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4421A9" w14:paraId="33804FB6" w14:textId="77777777" w:rsidTr="00EB4E9C">
        <w:tc>
          <w:tcPr>
            <w:tcW w:w="6522" w:type="dxa"/>
          </w:tcPr>
          <w:p w14:paraId="11EB7F1F" w14:textId="77777777" w:rsidR="00DC3802" w:rsidRPr="004421A9" w:rsidRDefault="00CA7BA1" w:rsidP="00AC2883">
            <w:r w:rsidRPr="004421A9">
              <w:rPr>
                <w:noProof/>
              </w:rPr>
              <w:drawing>
                <wp:inline distT="0" distB="0" distL="0" distR="0" wp14:anchorId="2A364BC0" wp14:editId="0004BCBA">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12787DD7" w14:textId="5F64C3B7" w:rsidR="00DC3802" w:rsidRPr="004421A9" w:rsidRDefault="00CF1AF0" w:rsidP="00AC2883">
            <w:pPr>
              <w:pStyle w:val="Lettrine"/>
            </w:pPr>
            <w:r w:rsidRPr="004421A9">
              <w:t>G</w:t>
            </w:r>
          </w:p>
        </w:tc>
      </w:tr>
      <w:tr w:rsidR="00DC3802" w:rsidRPr="004421A9" w14:paraId="7631ED54" w14:textId="77777777" w:rsidTr="00645CA8">
        <w:trPr>
          <w:trHeight w:val="219"/>
        </w:trPr>
        <w:tc>
          <w:tcPr>
            <w:tcW w:w="6522" w:type="dxa"/>
          </w:tcPr>
          <w:p w14:paraId="5C7ED235" w14:textId="3A8A93B2" w:rsidR="00DC3802" w:rsidRPr="004421A9" w:rsidRDefault="00DC3802" w:rsidP="00AC2883">
            <w:pPr>
              <w:pStyle w:val="upove"/>
            </w:pPr>
            <w:r w:rsidRPr="004421A9">
              <w:t xml:space="preserve">Internationaler Verband zum Schutz </w:t>
            </w:r>
            <w:r w:rsidR="00CF1AF0" w:rsidRPr="004421A9">
              <w:t>von Pflanzenzüchtungen</w:t>
            </w:r>
          </w:p>
        </w:tc>
        <w:tc>
          <w:tcPr>
            <w:tcW w:w="3117" w:type="dxa"/>
          </w:tcPr>
          <w:p w14:paraId="085313F9" w14:textId="77777777" w:rsidR="00DC3802" w:rsidRPr="004421A9" w:rsidRDefault="00DC3802" w:rsidP="00DA4973"/>
        </w:tc>
      </w:tr>
    </w:tbl>
    <w:p w14:paraId="746AA05B" w14:textId="77777777" w:rsidR="00DC3802" w:rsidRPr="004421A9" w:rsidRDefault="00DC3802" w:rsidP="00DC3802"/>
    <w:p w14:paraId="3996B22E" w14:textId="77777777" w:rsidR="00DA4973" w:rsidRPr="004421A9"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4421A9" w14:paraId="172E9C97" w14:textId="77777777" w:rsidTr="00EB4E9C">
        <w:tc>
          <w:tcPr>
            <w:tcW w:w="6512" w:type="dxa"/>
          </w:tcPr>
          <w:p w14:paraId="653E5092" w14:textId="4AA736F4" w:rsidR="00EB4E9C" w:rsidRPr="004421A9" w:rsidRDefault="00CF1AF0" w:rsidP="00AC2883">
            <w:pPr>
              <w:pStyle w:val="Sessiontc"/>
              <w:spacing w:line="240" w:lineRule="auto"/>
            </w:pPr>
            <w:r w:rsidRPr="004421A9">
              <w:t xml:space="preserve">Der </w:t>
            </w:r>
            <w:r w:rsidR="00A3365A" w:rsidRPr="004421A9">
              <w:t>Rat</w:t>
            </w:r>
          </w:p>
          <w:p w14:paraId="22A5E448" w14:textId="77777777" w:rsidR="0083359E" w:rsidRPr="004421A9" w:rsidRDefault="00987CB1" w:rsidP="0051361E">
            <w:pPr>
              <w:pStyle w:val="Sessiontcplacedate"/>
            </w:pPr>
            <w:r w:rsidRPr="004421A9">
              <w:t xml:space="preserve">Neunundfünfzigste </w:t>
            </w:r>
            <w:r w:rsidR="00A3365A" w:rsidRPr="004421A9">
              <w:t xml:space="preserve">ordentliche </w:t>
            </w:r>
            <w:r w:rsidR="00EB4E9C" w:rsidRPr="004421A9">
              <w:t>Tagung</w:t>
            </w:r>
          </w:p>
          <w:p w14:paraId="51335F91" w14:textId="77777777" w:rsidR="00EB4E9C" w:rsidRPr="004421A9" w:rsidRDefault="00EB4E9C" w:rsidP="00E364BF">
            <w:pPr>
              <w:pStyle w:val="Sessiontcplacedate"/>
              <w:rPr>
                <w:sz w:val="22"/>
              </w:rPr>
            </w:pPr>
            <w:r w:rsidRPr="004421A9">
              <w:t>Genf,</w:t>
            </w:r>
            <w:r w:rsidR="00987CB1" w:rsidRPr="004421A9">
              <w:t xml:space="preserve"> 24</w:t>
            </w:r>
            <w:r w:rsidR="00E364BF" w:rsidRPr="004421A9">
              <w:t>.</w:t>
            </w:r>
            <w:r w:rsidR="0020304B" w:rsidRPr="004421A9">
              <w:t xml:space="preserve"> Oktober</w:t>
            </w:r>
            <w:r w:rsidR="00987CB1" w:rsidRPr="004421A9">
              <w:t xml:space="preserve"> 2025</w:t>
            </w:r>
          </w:p>
        </w:tc>
        <w:tc>
          <w:tcPr>
            <w:tcW w:w="3127" w:type="dxa"/>
          </w:tcPr>
          <w:p w14:paraId="3AE62D78" w14:textId="420B24E1" w:rsidR="00EB4E9C" w:rsidRPr="004421A9" w:rsidRDefault="00B65EDC" w:rsidP="003C7FBE">
            <w:pPr>
              <w:pStyle w:val="Doccode"/>
              <w:rPr>
                <w:lang w:val="de-DE"/>
              </w:rPr>
            </w:pPr>
            <w:r w:rsidRPr="004421A9">
              <w:rPr>
                <w:lang w:val="de-DE"/>
              </w:rPr>
              <w:t>C/59/4</w:t>
            </w:r>
          </w:p>
          <w:p w14:paraId="2B6B2EBC" w14:textId="2E0CD04D" w:rsidR="00EB4E9C" w:rsidRPr="004421A9" w:rsidRDefault="00EB4E9C" w:rsidP="003C7FBE">
            <w:pPr>
              <w:pStyle w:val="Docoriginal"/>
            </w:pPr>
            <w:r w:rsidRPr="004421A9">
              <w:t xml:space="preserve">Original: </w:t>
            </w:r>
            <w:r w:rsidR="00CF1AF0" w:rsidRPr="004421A9">
              <w:rPr>
                <w:b w:val="0"/>
                <w:spacing w:val="0"/>
              </w:rPr>
              <w:t>e</w:t>
            </w:r>
            <w:r w:rsidRPr="004421A9">
              <w:rPr>
                <w:b w:val="0"/>
                <w:spacing w:val="0"/>
              </w:rPr>
              <w:t>nglisch</w:t>
            </w:r>
          </w:p>
          <w:p w14:paraId="49ECA97A" w14:textId="303092E2" w:rsidR="00EB4E9C" w:rsidRPr="004421A9" w:rsidRDefault="00EB4E9C" w:rsidP="00E364BF">
            <w:pPr>
              <w:pStyle w:val="Docoriginal"/>
            </w:pPr>
            <w:r w:rsidRPr="004421A9">
              <w:t>Datum:</w:t>
            </w:r>
            <w:r w:rsidR="00877E3D" w:rsidRPr="004421A9">
              <w:rPr>
                <w:b w:val="0"/>
                <w:spacing w:val="0"/>
              </w:rPr>
              <w:t xml:space="preserve"> </w:t>
            </w:r>
            <w:r w:rsidR="00476ACD" w:rsidRPr="004421A9">
              <w:rPr>
                <w:b w:val="0"/>
                <w:spacing w:val="0"/>
              </w:rPr>
              <w:t xml:space="preserve"> 1</w:t>
            </w:r>
            <w:r w:rsidR="005D43A2">
              <w:rPr>
                <w:b w:val="0"/>
                <w:spacing w:val="0"/>
              </w:rPr>
              <w:t>9</w:t>
            </w:r>
            <w:r w:rsidRPr="004421A9">
              <w:rPr>
                <w:b w:val="0"/>
                <w:spacing w:val="0"/>
              </w:rPr>
              <w:t>.</w:t>
            </w:r>
            <w:r w:rsidR="00766E51" w:rsidRPr="004421A9">
              <w:rPr>
                <w:b w:val="0"/>
                <w:spacing w:val="0"/>
              </w:rPr>
              <w:t xml:space="preserve"> </w:t>
            </w:r>
            <w:r w:rsidR="001126FE" w:rsidRPr="004421A9">
              <w:rPr>
                <w:b w:val="0"/>
                <w:spacing w:val="0"/>
              </w:rPr>
              <w:t>September</w:t>
            </w:r>
            <w:r w:rsidR="00987CB1" w:rsidRPr="004421A9">
              <w:rPr>
                <w:b w:val="0"/>
                <w:spacing w:val="0"/>
              </w:rPr>
              <w:t xml:space="preserve"> 2025</w:t>
            </w:r>
          </w:p>
        </w:tc>
      </w:tr>
    </w:tbl>
    <w:p w14:paraId="3DDD6FE8" w14:textId="327C3824" w:rsidR="00B65EDC" w:rsidRPr="004421A9" w:rsidRDefault="00B65EDC" w:rsidP="00B65EDC">
      <w:pPr>
        <w:pStyle w:val="Titleofdoc0"/>
      </w:pPr>
      <w:r w:rsidRPr="004421A9">
        <w:t xml:space="preserve">ENTWURF </w:t>
      </w:r>
      <w:r w:rsidR="005B6889" w:rsidRPr="004421A9">
        <w:t xml:space="preserve">EINES </w:t>
      </w:r>
      <w:r w:rsidRPr="004421A9">
        <w:t xml:space="preserve">PROGRAMMS UND HAUSHALTSPLANS </w:t>
      </w:r>
      <w:r w:rsidR="001330C6" w:rsidRPr="004421A9">
        <w:t>FÜR DIE RECHNUNGSPERIODE</w:t>
      </w:r>
      <w:r w:rsidR="00521C0D" w:rsidRPr="004421A9">
        <w:t xml:space="preserve"> 2026-2027</w:t>
      </w:r>
    </w:p>
    <w:p w14:paraId="4B71A4C5" w14:textId="77777777" w:rsidR="00F04D5C" w:rsidRPr="004421A9" w:rsidRDefault="00F04D5C" w:rsidP="00F04D5C">
      <w:pPr>
        <w:pStyle w:val="preparedby1"/>
        <w:jc w:val="left"/>
      </w:pPr>
      <w:r w:rsidRPr="004421A9">
        <w:t>vom Verbandsbüro erstelltes Dokument</w:t>
      </w:r>
    </w:p>
    <w:p w14:paraId="61CAF846" w14:textId="77777777" w:rsidR="00F04D5C" w:rsidRPr="004421A9" w:rsidRDefault="00F04D5C" w:rsidP="00F04D5C">
      <w:pPr>
        <w:pStyle w:val="Disclaimer"/>
        <w:rPr>
          <w:lang w:val="de-DE"/>
        </w:rPr>
      </w:pPr>
      <w:r w:rsidRPr="004421A9">
        <w:rPr>
          <w:lang w:val="de-DE"/>
        </w:rPr>
        <w:t>Haftungsausschluss: dieses Dokument gibt nicht die Grundsätze oder eine Anleitung der UPOV wieder</w:t>
      </w:r>
    </w:p>
    <w:p w14:paraId="40D828E4" w14:textId="77777777" w:rsidR="00B65EDC" w:rsidRPr="004421A9" w:rsidRDefault="00B65EDC" w:rsidP="00B65EDC">
      <w:r w:rsidRPr="004421A9">
        <w:t>ZUSAMMENFASSUNG</w:t>
      </w:r>
    </w:p>
    <w:p w14:paraId="3FA5986E" w14:textId="77777777" w:rsidR="00B65EDC" w:rsidRPr="004421A9" w:rsidRDefault="00B65EDC" w:rsidP="00B65EDC"/>
    <w:p w14:paraId="02326063" w14:textId="4548257D" w:rsidR="00A41AE7" w:rsidRPr="004421A9" w:rsidRDefault="00D00D83" w:rsidP="00A70ED5">
      <w:pPr>
        <w:spacing w:after="160"/>
      </w:pPr>
      <w:r w:rsidRPr="004421A9">
        <w:t>1</w:t>
      </w:r>
      <w:r w:rsidR="00F764A9" w:rsidRPr="004421A9">
        <w:t>.</w:t>
      </w:r>
      <w:r w:rsidR="00575E00" w:rsidRPr="004421A9">
        <w:tab/>
      </w:r>
      <w:r w:rsidR="00A41AE7" w:rsidRPr="004421A9">
        <w:t xml:space="preserve">Die Vorschläge für den „Vorläufigen Entwurf </w:t>
      </w:r>
      <w:r w:rsidR="002551EC" w:rsidRPr="004421A9">
        <w:t>eines</w:t>
      </w:r>
      <w:r w:rsidR="00A41AE7" w:rsidRPr="004421A9">
        <w:t xml:space="preserve"> Programms und Haushaltsplans für die </w:t>
      </w:r>
      <w:r w:rsidR="002551EC" w:rsidRPr="004421A9">
        <w:t>Rechnungsperiode</w:t>
      </w:r>
      <w:r w:rsidR="00A41AE7" w:rsidRPr="004421A9">
        <w:t xml:space="preserve"> 2026-2027“ wurden am 28. Februar 2025 </w:t>
      </w:r>
      <w:r w:rsidR="00F030A5" w:rsidRPr="004421A9">
        <w:t>verbreitet</w:t>
      </w:r>
      <w:r w:rsidR="00A41AE7" w:rsidRPr="004421A9">
        <w:t xml:space="preserve"> und vom Beratenden Ausschuss am 11. April 2025 auf dem Schriftweg ge</w:t>
      </w:r>
      <w:r w:rsidR="00F61B16" w:rsidRPr="004421A9">
        <w:t>billigt</w:t>
      </w:r>
      <w:r w:rsidR="00A41AE7" w:rsidRPr="004421A9">
        <w:t xml:space="preserve"> (Rundschreiben E-25/013).</w:t>
      </w:r>
    </w:p>
    <w:p w14:paraId="5BC68F9F" w14:textId="4981ECF5" w:rsidR="00A41AE7" w:rsidRPr="004421A9" w:rsidRDefault="00D00D83" w:rsidP="00A70ED5">
      <w:pPr>
        <w:spacing w:after="160"/>
      </w:pPr>
      <w:r w:rsidRPr="004421A9">
        <w:t>2</w:t>
      </w:r>
      <w:r w:rsidR="00F764A9" w:rsidRPr="004421A9">
        <w:t>.</w:t>
      </w:r>
      <w:r w:rsidR="00A41AE7" w:rsidRPr="004421A9">
        <w:tab/>
        <w:t xml:space="preserve">Der Entwurf </w:t>
      </w:r>
      <w:r w:rsidR="00B550AB" w:rsidRPr="004421A9">
        <w:t>eines</w:t>
      </w:r>
      <w:r w:rsidR="00A41AE7" w:rsidRPr="004421A9">
        <w:t xml:space="preserve"> Programms und Haushaltsplans für die </w:t>
      </w:r>
      <w:r w:rsidR="002551EC" w:rsidRPr="004421A9">
        <w:t>Rechnungsperiode</w:t>
      </w:r>
      <w:r w:rsidR="00A41AE7" w:rsidRPr="004421A9">
        <w:t xml:space="preserve"> 2026-2027 enthält dieselben Vorschläge, die </w:t>
      </w:r>
      <w:r w:rsidR="008050D0" w:rsidRPr="004421A9">
        <w:t>an den</w:t>
      </w:r>
      <w:r w:rsidR="00A41AE7" w:rsidRPr="004421A9">
        <w:t xml:space="preserve"> Beratenden Ausschuss </w:t>
      </w:r>
      <w:r w:rsidR="008050D0" w:rsidRPr="004421A9">
        <w:t>verb</w:t>
      </w:r>
      <w:r w:rsidR="00EC02E6" w:rsidRPr="004421A9">
        <w:t>r</w:t>
      </w:r>
      <w:r w:rsidR="008050D0" w:rsidRPr="004421A9">
        <w:t>eitet worden sind</w:t>
      </w:r>
      <w:r w:rsidR="00A41AE7" w:rsidRPr="004421A9">
        <w:t xml:space="preserve">, da </w:t>
      </w:r>
      <w:r w:rsidR="00E447F7" w:rsidRPr="004421A9">
        <w:t xml:space="preserve">von </w:t>
      </w:r>
      <w:r w:rsidR="00A41AE7" w:rsidRPr="004421A9">
        <w:t xml:space="preserve">den </w:t>
      </w:r>
      <w:r w:rsidR="00C3246F" w:rsidRPr="004421A9">
        <w:t>Verbandsm</w:t>
      </w:r>
      <w:r w:rsidR="00A41AE7" w:rsidRPr="004421A9">
        <w:t xml:space="preserve">itgliedern keine wesentlichen Änderungen eingegangen sind. </w:t>
      </w:r>
    </w:p>
    <w:p w14:paraId="20E23405" w14:textId="7D7567B6" w:rsidR="000F5C9A" w:rsidRPr="004421A9" w:rsidRDefault="000F5C9A" w:rsidP="00A70ED5">
      <w:pPr>
        <w:spacing w:after="160"/>
      </w:pPr>
      <w:r w:rsidRPr="004421A9">
        <w:t>3.</w:t>
      </w:r>
      <w:r w:rsidRPr="004421A9">
        <w:tab/>
        <w:t xml:space="preserve">Im Juli 2025 wurde die Überprüfung der </w:t>
      </w:r>
      <w:r w:rsidR="00191549" w:rsidRPr="004421A9">
        <w:t xml:space="preserve">Vereinbarung auf Arbeitsebene („Service Level Arrangement" SLA) </w:t>
      </w:r>
      <w:r w:rsidRPr="004421A9">
        <w:t>zwischen der WIPO und der UPOV abgeschlossen. Dies führte zu einer erheblichen Erhöhung der Kosten für die von der WIPO für die UPOV erbrachten Dienstleistungen. Angesichts der Auswirkungen, die diese erhebliche Erhöhung auf den Haushalt der UPOV haben würde, wird die Rechnungsperiode 2026-2027 eine Übergangsphase darstellen, in der die WIPO 25 Prozent der Erhöhung in Rechnung stellen wird.</w:t>
      </w:r>
      <w:r w:rsidR="00185065" w:rsidRPr="004421A9">
        <w:t xml:space="preserve"> </w:t>
      </w:r>
      <w:r w:rsidRPr="004421A9">
        <w:t xml:space="preserve">Dieser Betrag ist in den Zahlen des Entwurfs </w:t>
      </w:r>
      <w:r w:rsidR="00185065" w:rsidRPr="004421A9">
        <w:t>eines</w:t>
      </w:r>
      <w:r w:rsidRPr="004421A9">
        <w:t xml:space="preserve"> Programms und Haushaltsplans für 2026-2027 (Dokument C/59/4) nicht enthalten und wird durch Kosteneinsparungen, die während der Umsetzung ermittelt werden, aufgefangen.</w:t>
      </w:r>
    </w:p>
    <w:p w14:paraId="11278F14" w14:textId="4BAC8D45" w:rsidR="000F5C9A" w:rsidRPr="004421A9" w:rsidRDefault="000F5C9A" w:rsidP="00A70ED5">
      <w:pPr>
        <w:spacing w:after="160"/>
      </w:pPr>
      <w:r w:rsidRPr="004421A9">
        <w:t>4.</w:t>
      </w:r>
      <w:r w:rsidRPr="004421A9">
        <w:tab/>
        <w:t xml:space="preserve">Die von der WIPO erbrachten Dienstleistungen und der von der UPOV im Rahmen der SLA zu zahlende Betrag werden im Rahmen der Vorbereitung jedes zweijährigen Programms und Haushaltsplans der UPOV überprüft. Die Rechnungsstellung der WIPO an die UPOV wird alle zwei Jahre entsprechend angepasst. Die Ressourcenstrategie der UPOV (Dokument C/59/16) ist von entscheidender Bedeutung, um sicherzustellen, dass die UPOV die gesamten Kosten der von der WIPO erbrachten Dienstleistungen in den folgenden Zweijahreszeiträumen decken kann. </w:t>
      </w:r>
    </w:p>
    <w:p w14:paraId="2D2C38C4" w14:textId="2C2ED29C" w:rsidR="00575E00" w:rsidRPr="004421A9" w:rsidRDefault="00633046" w:rsidP="00A70ED5">
      <w:pPr>
        <w:spacing w:after="160"/>
      </w:pPr>
      <w:r w:rsidRPr="004421A9">
        <w:t>5</w:t>
      </w:r>
      <w:r w:rsidR="00D00D83" w:rsidRPr="004421A9">
        <w:t>.</w:t>
      </w:r>
      <w:r w:rsidR="00A41AE7" w:rsidRPr="004421A9">
        <w:tab/>
        <w:t xml:space="preserve">Auf dieser Grundlage und </w:t>
      </w:r>
      <w:r w:rsidR="00575E00" w:rsidRPr="004421A9">
        <w:t xml:space="preserve">gemäß dem UPOV-Übereinkommen (Artikel 23 Absatz 2 </w:t>
      </w:r>
      <w:r w:rsidR="0060111C" w:rsidRPr="004421A9">
        <w:t>der</w:t>
      </w:r>
      <w:r w:rsidR="00575E00" w:rsidRPr="004421A9">
        <w:t xml:space="preserve"> Ak</w:t>
      </w:r>
      <w:r w:rsidR="0060111C" w:rsidRPr="004421A9">
        <w:t>te</w:t>
      </w:r>
      <w:r w:rsidR="00575E00" w:rsidRPr="004421A9">
        <w:t xml:space="preserve"> von 1978</w:t>
      </w:r>
      <w:r w:rsidR="0087262B" w:rsidRPr="004421A9">
        <w:t>,</w:t>
      </w:r>
      <w:r w:rsidR="00575E00" w:rsidRPr="004421A9">
        <w:t xml:space="preserve"> </w:t>
      </w:r>
      <w:r w:rsidR="0087262B" w:rsidRPr="004421A9">
        <w:rPr>
          <w:spacing w:val="-2"/>
        </w:rPr>
        <w:t>und</w:t>
      </w:r>
      <w:r w:rsidR="00575E00" w:rsidRPr="004421A9">
        <w:rPr>
          <w:spacing w:val="-2"/>
        </w:rPr>
        <w:t xml:space="preserve"> Artikel 27 Absatz 2 </w:t>
      </w:r>
      <w:r w:rsidR="00E04A2B" w:rsidRPr="004421A9">
        <w:rPr>
          <w:spacing w:val="-2"/>
        </w:rPr>
        <w:t>der</w:t>
      </w:r>
      <w:r w:rsidR="00575E00" w:rsidRPr="004421A9">
        <w:rPr>
          <w:spacing w:val="-2"/>
        </w:rPr>
        <w:t xml:space="preserve"> </w:t>
      </w:r>
      <w:r w:rsidR="00E04A2B" w:rsidRPr="004421A9">
        <w:rPr>
          <w:spacing w:val="-2"/>
        </w:rPr>
        <w:t>Akte</w:t>
      </w:r>
      <w:r w:rsidR="00575E00" w:rsidRPr="004421A9">
        <w:rPr>
          <w:spacing w:val="-2"/>
        </w:rPr>
        <w:t xml:space="preserve"> von 1991) und der Finanzordnung </w:t>
      </w:r>
      <w:r w:rsidR="00DA2361" w:rsidRPr="004421A9">
        <w:rPr>
          <w:spacing w:val="-2"/>
        </w:rPr>
        <w:t>und ihre</w:t>
      </w:r>
      <w:r w:rsidR="00F61B16" w:rsidRPr="004421A9">
        <w:rPr>
          <w:spacing w:val="-2"/>
        </w:rPr>
        <w:t>n</w:t>
      </w:r>
      <w:r w:rsidR="00DA2361" w:rsidRPr="004421A9">
        <w:rPr>
          <w:spacing w:val="-2"/>
        </w:rPr>
        <w:t xml:space="preserve"> Durchführungsbestimmungen </w:t>
      </w:r>
      <w:r w:rsidR="00575E00" w:rsidRPr="004421A9">
        <w:rPr>
          <w:spacing w:val="-2"/>
        </w:rPr>
        <w:t xml:space="preserve">der UPOV (Dokument UPOV/INF/4/6) </w:t>
      </w:r>
      <w:bookmarkStart w:id="0" w:name="_Hlk203668795"/>
      <w:r w:rsidR="00575E00" w:rsidRPr="004421A9">
        <w:t xml:space="preserve">wird </w:t>
      </w:r>
      <w:r w:rsidR="00E04A2B" w:rsidRPr="004421A9">
        <w:t xml:space="preserve">dem Rat </w:t>
      </w:r>
      <w:r w:rsidR="00575E00" w:rsidRPr="004421A9">
        <w:t xml:space="preserve">der Entwurf </w:t>
      </w:r>
      <w:r w:rsidR="00B550AB" w:rsidRPr="004421A9">
        <w:t>eines</w:t>
      </w:r>
      <w:r w:rsidR="00575E00" w:rsidRPr="004421A9">
        <w:t xml:space="preserve"> Programms und Haushaltsplans für die </w:t>
      </w:r>
      <w:r w:rsidR="002551EC" w:rsidRPr="004421A9">
        <w:t>Rechnungsperiode</w:t>
      </w:r>
      <w:r w:rsidR="00521C0D" w:rsidRPr="004421A9">
        <w:t xml:space="preserve"> 2026-2027</w:t>
      </w:r>
      <w:bookmarkEnd w:id="0"/>
      <w:r w:rsidR="00575E00" w:rsidRPr="004421A9">
        <w:t xml:space="preserve"> zur </w:t>
      </w:r>
      <w:r w:rsidR="00F61B16" w:rsidRPr="004421A9">
        <w:t>Billigung</w:t>
      </w:r>
      <w:r w:rsidR="00575E00" w:rsidRPr="004421A9">
        <w:t xml:space="preserve"> vorgelegt.</w:t>
      </w:r>
    </w:p>
    <w:p w14:paraId="1E399ABB" w14:textId="04276173" w:rsidR="00575E00" w:rsidRPr="004421A9" w:rsidRDefault="00633046" w:rsidP="00A70ED5">
      <w:pPr>
        <w:spacing w:after="160"/>
      </w:pPr>
      <w:r w:rsidRPr="004421A9">
        <w:t>6</w:t>
      </w:r>
      <w:r w:rsidR="00D00D83" w:rsidRPr="004421A9">
        <w:t>.</w:t>
      </w:r>
      <w:r w:rsidR="00575E00" w:rsidRPr="004421A9">
        <w:tab/>
        <w:t xml:space="preserve">Der Entwurf </w:t>
      </w:r>
      <w:r w:rsidR="00057163" w:rsidRPr="004421A9">
        <w:t>eines</w:t>
      </w:r>
      <w:r w:rsidR="00575E00" w:rsidRPr="004421A9">
        <w:t xml:space="preserve"> Programms und Haushaltsplans für die Rechnungsperiode</w:t>
      </w:r>
      <w:r w:rsidR="00521C0D" w:rsidRPr="004421A9">
        <w:t xml:space="preserve"> 2026-2027 </w:t>
      </w:r>
      <w:r w:rsidR="00575E00" w:rsidRPr="004421A9">
        <w:t xml:space="preserve">ist in der Anlage </w:t>
      </w:r>
      <w:r w:rsidR="00392732" w:rsidRPr="004421A9">
        <w:t>dieses</w:t>
      </w:r>
      <w:r w:rsidR="00575E00" w:rsidRPr="004421A9">
        <w:t xml:space="preserve"> Dokument</w:t>
      </w:r>
      <w:r w:rsidR="00392732" w:rsidRPr="004421A9">
        <w:t>s</w:t>
      </w:r>
      <w:r w:rsidR="00575E00" w:rsidRPr="004421A9">
        <w:t xml:space="preserve"> enthalten.</w:t>
      </w:r>
    </w:p>
    <w:p w14:paraId="4615EC21" w14:textId="783777A3" w:rsidR="00575E00" w:rsidRPr="004421A9" w:rsidRDefault="00633046" w:rsidP="00A70ED5">
      <w:pPr>
        <w:pStyle w:val="DecisionParagraphs"/>
        <w:spacing w:after="120"/>
      </w:pPr>
      <w:r w:rsidRPr="004421A9">
        <w:t>7</w:t>
      </w:r>
      <w:r w:rsidR="00D00D83" w:rsidRPr="004421A9">
        <w:t>.</w:t>
      </w:r>
      <w:r w:rsidR="00575E00" w:rsidRPr="004421A9">
        <w:tab/>
        <w:t xml:space="preserve">Der Rat wird ersucht, den Entwurf </w:t>
      </w:r>
      <w:r w:rsidR="00375855" w:rsidRPr="004421A9">
        <w:t>eines</w:t>
      </w:r>
      <w:r w:rsidR="00575E00" w:rsidRPr="004421A9">
        <w:t xml:space="preserve"> Programms und Haushaltsplans </w:t>
      </w:r>
      <w:r w:rsidR="00102417" w:rsidRPr="004421A9">
        <w:t>des</w:t>
      </w:r>
      <w:r w:rsidR="00575E00" w:rsidRPr="004421A9">
        <w:t xml:space="preserve"> </w:t>
      </w:r>
      <w:r w:rsidR="00102417" w:rsidRPr="004421A9">
        <w:t>Verbandes</w:t>
      </w:r>
      <w:r w:rsidR="00575E00" w:rsidRPr="004421A9">
        <w:t xml:space="preserve"> für </w:t>
      </w:r>
      <w:r w:rsidR="00F764A9" w:rsidRPr="004421A9">
        <w:t>die</w:t>
      </w:r>
      <w:r w:rsidR="00575E00" w:rsidRPr="004421A9">
        <w:t xml:space="preserve"> </w:t>
      </w:r>
      <w:r w:rsidR="00F764A9" w:rsidRPr="00A70ED5">
        <w:rPr>
          <w:spacing w:val="-2"/>
        </w:rPr>
        <w:t>Rechnungsperiode</w:t>
      </w:r>
      <w:r w:rsidR="00521C0D" w:rsidRPr="00A70ED5">
        <w:rPr>
          <w:spacing w:val="-2"/>
        </w:rPr>
        <w:t xml:space="preserve"> 2026-2027</w:t>
      </w:r>
      <w:r w:rsidR="001D537E" w:rsidRPr="00A70ED5">
        <w:rPr>
          <w:spacing w:val="-2"/>
        </w:rPr>
        <w:t>, wie</w:t>
      </w:r>
      <w:r w:rsidR="00521C0D" w:rsidRPr="00A70ED5">
        <w:rPr>
          <w:spacing w:val="-2"/>
        </w:rPr>
        <w:t xml:space="preserve"> </w:t>
      </w:r>
      <w:r w:rsidR="00575E00" w:rsidRPr="00A70ED5">
        <w:rPr>
          <w:spacing w:val="-2"/>
        </w:rPr>
        <w:t xml:space="preserve">in der Anlage </w:t>
      </w:r>
      <w:r w:rsidR="00716D2A" w:rsidRPr="00A70ED5">
        <w:rPr>
          <w:spacing w:val="-2"/>
        </w:rPr>
        <w:t>dieses</w:t>
      </w:r>
      <w:r w:rsidR="00575E00" w:rsidRPr="00A70ED5">
        <w:rPr>
          <w:spacing w:val="-2"/>
        </w:rPr>
        <w:t xml:space="preserve"> Dokument</w:t>
      </w:r>
      <w:r w:rsidR="00993301" w:rsidRPr="00A70ED5">
        <w:rPr>
          <w:spacing w:val="-2"/>
        </w:rPr>
        <w:t>s</w:t>
      </w:r>
      <w:r w:rsidR="00575E00" w:rsidRPr="00A70ED5">
        <w:rPr>
          <w:spacing w:val="-2"/>
        </w:rPr>
        <w:t xml:space="preserve"> </w:t>
      </w:r>
      <w:r w:rsidR="00993301" w:rsidRPr="00A70ED5">
        <w:rPr>
          <w:spacing w:val="-2"/>
        </w:rPr>
        <w:t>dargelegt</w:t>
      </w:r>
      <w:r w:rsidR="00E621D0" w:rsidRPr="00A70ED5">
        <w:rPr>
          <w:spacing w:val="-2"/>
        </w:rPr>
        <w:t>,</w:t>
      </w:r>
      <w:r w:rsidR="00575E00" w:rsidRPr="00A70ED5">
        <w:rPr>
          <w:spacing w:val="-2"/>
        </w:rPr>
        <w:t xml:space="preserve"> </w:t>
      </w:r>
      <w:r w:rsidR="00093483" w:rsidRPr="00A70ED5">
        <w:rPr>
          <w:spacing w:val="-2"/>
        </w:rPr>
        <w:t xml:space="preserve">zu </w:t>
      </w:r>
      <w:r w:rsidR="00C96C6C" w:rsidRPr="00A70ED5">
        <w:rPr>
          <w:spacing w:val="-2"/>
        </w:rPr>
        <w:t>billigen</w:t>
      </w:r>
      <w:r w:rsidR="00575E00" w:rsidRPr="00A70ED5">
        <w:rPr>
          <w:spacing w:val="-2"/>
        </w:rPr>
        <w:t>, einschließlich:</w:t>
      </w:r>
    </w:p>
    <w:p w14:paraId="5F76DED7" w14:textId="20023D5B" w:rsidR="00575E00" w:rsidRPr="004421A9" w:rsidRDefault="00575E00" w:rsidP="00A70ED5">
      <w:pPr>
        <w:pStyle w:val="DecisionParagraphs"/>
        <w:spacing w:after="120"/>
      </w:pPr>
      <w:r w:rsidRPr="004421A9">
        <w:tab/>
        <w:t>i)</w:t>
      </w:r>
      <w:r w:rsidRPr="004421A9">
        <w:tab/>
      </w:r>
      <w:r w:rsidR="00AD2F09" w:rsidRPr="004421A9">
        <w:rPr>
          <w:spacing w:val="-2"/>
        </w:rPr>
        <w:t>des</w:t>
      </w:r>
      <w:r w:rsidRPr="004421A9">
        <w:rPr>
          <w:spacing w:val="-2"/>
        </w:rPr>
        <w:t xml:space="preserve"> </w:t>
      </w:r>
      <w:r w:rsidR="00AD2F09" w:rsidRPr="004421A9">
        <w:rPr>
          <w:spacing w:val="-2"/>
        </w:rPr>
        <w:t>Betrags</w:t>
      </w:r>
      <w:r w:rsidRPr="004421A9">
        <w:rPr>
          <w:spacing w:val="-2"/>
        </w:rPr>
        <w:t xml:space="preserve"> der Beiträge der </w:t>
      </w:r>
      <w:r w:rsidR="0008037F" w:rsidRPr="004421A9">
        <w:rPr>
          <w:spacing w:val="-2"/>
        </w:rPr>
        <w:t>Verbandsmitglieder</w:t>
      </w:r>
      <w:r w:rsidRPr="004421A9">
        <w:t>;</w:t>
      </w:r>
    </w:p>
    <w:p w14:paraId="06E86735" w14:textId="1148769C" w:rsidR="00575E00" w:rsidRPr="004421A9" w:rsidRDefault="00575E00" w:rsidP="00A70ED5">
      <w:pPr>
        <w:pStyle w:val="DecisionParagraphs"/>
        <w:spacing w:after="120"/>
      </w:pPr>
      <w:r w:rsidRPr="004421A9">
        <w:tab/>
        <w:t>ii)</w:t>
      </w:r>
      <w:r w:rsidRPr="004421A9">
        <w:tab/>
      </w:r>
      <w:r w:rsidR="0008037F" w:rsidRPr="004421A9">
        <w:t>der</w:t>
      </w:r>
      <w:r w:rsidRPr="004421A9">
        <w:t xml:space="preserve"> vorgeschlagene</w:t>
      </w:r>
      <w:r w:rsidR="0008037F" w:rsidRPr="004421A9">
        <w:t>n</w:t>
      </w:r>
      <w:r w:rsidRPr="004421A9">
        <w:t xml:space="preserve"> </w:t>
      </w:r>
      <w:r w:rsidR="00AB6F53" w:rsidRPr="004421A9">
        <w:t>Höchstgrenze für die Ausgaben</w:t>
      </w:r>
      <w:r w:rsidRPr="004421A9">
        <w:t xml:space="preserve"> im </w:t>
      </w:r>
      <w:r w:rsidR="00246115" w:rsidRPr="004421A9">
        <w:t>ordentlichen</w:t>
      </w:r>
      <w:r w:rsidRPr="004421A9">
        <w:t xml:space="preserve"> Haushalt</w:t>
      </w:r>
      <w:r w:rsidR="004A3EE2" w:rsidRPr="004421A9">
        <w:t>,</w:t>
      </w:r>
      <w:r w:rsidRPr="004421A9">
        <w:t xml:space="preserve"> </w:t>
      </w:r>
      <w:r w:rsidR="004A3EE2" w:rsidRPr="004421A9">
        <w:t>die</w:t>
      </w:r>
      <w:r w:rsidRPr="004421A9">
        <w:t xml:space="preserve"> 7.615.864 Schweizer Franken </w:t>
      </w:r>
      <w:r w:rsidR="004A3EE2" w:rsidRPr="004421A9">
        <w:t xml:space="preserve">beträgt, </w:t>
      </w:r>
      <w:r w:rsidRPr="004421A9">
        <w:t xml:space="preserve">oder die </w:t>
      </w:r>
      <w:r w:rsidR="00524002" w:rsidRPr="004421A9">
        <w:t>in der</w:t>
      </w:r>
      <w:r w:rsidRPr="004421A9">
        <w:t xml:space="preserve"> </w:t>
      </w:r>
      <w:r w:rsidR="00524002" w:rsidRPr="004421A9">
        <w:t xml:space="preserve">Rechnungsperiode </w:t>
      </w:r>
      <w:r w:rsidRPr="004421A9">
        <w:t>erzielten Einnahmen, je nachdem, welcher Betrag niedriger ist; und</w:t>
      </w:r>
    </w:p>
    <w:p w14:paraId="5950E3F4" w14:textId="234D534D" w:rsidR="00575E00" w:rsidRPr="004421A9" w:rsidRDefault="00575E00" w:rsidP="00575E00">
      <w:pPr>
        <w:pStyle w:val="DecisionParagraphs"/>
      </w:pPr>
      <w:r w:rsidRPr="004421A9">
        <w:tab/>
        <w:t>iii)</w:t>
      </w:r>
      <w:r w:rsidRPr="004421A9">
        <w:tab/>
      </w:r>
      <w:r w:rsidR="00DA2361" w:rsidRPr="004421A9">
        <w:t xml:space="preserve">der </w:t>
      </w:r>
      <w:r w:rsidR="00004BCF" w:rsidRPr="004421A9">
        <w:t>G</w:t>
      </w:r>
      <w:r w:rsidR="007B0EF5" w:rsidRPr="004421A9">
        <w:t>esamt</w:t>
      </w:r>
      <w:r w:rsidR="00004BCF" w:rsidRPr="004421A9">
        <w:t>an</w:t>
      </w:r>
      <w:r w:rsidRPr="004421A9">
        <w:t xml:space="preserve">zahl der </w:t>
      </w:r>
      <w:r w:rsidR="00325CDB" w:rsidRPr="004421A9">
        <w:t>Posten</w:t>
      </w:r>
      <w:r w:rsidRPr="004421A9">
        <w:t>.</w:t>
      </w:r>
    </w:p>
    <w:p w14:paraId="6F7788EA" w14:textId="44535A5B" w:rsidR="00B65EDC" w:rsidRPr="004421A9" w:rsidRDefault="00B65EDC" w:rsidP="00A70ED5">
      <w:pPr>
        <w:spacing w:before="240"/>
        <w:jc w:val="right"/>
      </w:pPr>
      <w:r w:rsidRPr="004421A9">
        <w:t>[</w:t>
      </w:r>
      <w:r w:rsidR="00575E00" w:rsidRPr="004421A9">
        <w:t>An</w:t>
      </w:r>
      <w:r w:rsidR="00F61B16" w:rsidRPr="004421A9">
        <w:t>lage</w:t>
      </w:r>
      <w:r w:rsidR="00575E00" w:rsidRPr="004421A9">
        <w:t xml:space="preserve"> folgt</w:t>
      </w:r>
      <w:r w:rsidRPr="004421A9">
        <w:t>]</w:t>
      </w:r>
    </w:p>
    <w:p w14:paraId="57CC7038" w14:textId="77777777" w:rsidR="00B65EDC" w:rsidRPr="004421A9" w:rsidRDefault="00B65EDC" w:rsidP="00B65EDC">
      <w:pPr>
        <w:jc w:val="left"/>
        <w:sectPr w:rsidR="00B65EDC" w:rsidRPr="004421A9" w:rsidSect="00A70ED5">
          <w:headerReference w:type="default" r:id="rId8"/>
          <w:footerReference w:type="even" r:id="rId9"/>
          <w:pgSz w:w="11907" w:h="16840" w:code="9"/>
          <w:pgMar w:top="510" w:right="1134" w:bottom="426" w:left="1134" w:header="510" w:footer="680" w:gutter="0"/>
          <w:cols w:space="720"/>
          <w:titlePg/>
          <w:docGrid w:linePitch="272"/>
        </w:sectPr>
      </w:pPr>
    </w:p>
    <w:p w14:paraId="580BEB9A" w14:textId="54E6C292" w:rsidR="005D2CBA" w:rsidRPr="004421A9" w:rsidRDefault="005D2CBA" w:rsidP="005D2CBA">
      <w:pPr>
        <w:pStyle w:val="Titleofdoc0"/>
        <w:spacing w:before="0" w:after="0"/>
        <w:jc w:val="center"/>
        <w:rPr>
          <w:caps w:val="0"/>
          <w:color w:val="194C33" w:themeColor="accent1" w:themeShade="80"/>
          <w:sz w:val="32"/>
          <w:szCs w:val="32"/>
        </w:rPr>
      </w:pPr>
      <w:bookmarkStart w:id="1" w:name="_Toc63091083"/>
      <w:bookmarkStart w:id="2" w:name="_Toc63091280"/>
      <w:bookmarkStart w:id="3" w:name="_Toc63091810"/>
      <w:bookmarkStart w:id="4" w:name="_Toc63149887"/>
      <w:bookmarkStart w:id="5" w:name="_Toc63091084"/>
      <w:bookmarkStart w:id="6" w:name="_Toc63091281"/>
      <w:bookmarkStart w:id="7" w:name="_Toc63091811"/>
      <w:bookmarkStart w:id="8" w:name="_Toc63149888"/>
      <w:bookmarkStart w:id="9" w:name="_Toc63091085"/>
      <w:bookmarkStart w:id="10" w:name="_Toc63091282"/>
      <w:bookmarkStart w:id="11" w:name="_Toc63091812"/>
      <w:bookmarkStart w:id="12" w:name="_Toc63149889"/>
      <w:bookmarkEnd w:id="1"/>
      <w:bookmarkEnd w:id="2"/>
      <w:bookmarkEnd w:id="3"/>
      <w:bookmarkEnd w:id="4"/>
      <w:bookmarkEnd w:id="5"/>
      <w:bookmarkEnd w:id="6"/>
      <w:bookmarkEnd w:id="7"/>
      <w:bookmarkEnd w:id="8"/>
      <w:bookmarkEnd w:id="9"/>
      <w:bookmarkEnd w:id="10"/>
      <w:bookmarkEnd w:id="11"/>
      <w:bookmarkEnd w:id="12"/>
      <w:r w:rsidRPr="004421A9">
        <w:rPr>
          <w:caps w:val="0"/>
          <w:color w:val="194C33" w:themeColor="accent1" w:themeShade="80"/>
          <w:sz w:val="32"/>
          <w:szCs w:val="32"/>
        </w:rPr>
        <w:lastRenderedPageBreak/>
        <w:t>Entwurf des Programms und Haushaltsplans</w:t>
      </w:r>
      <w:r w:rsidR="00766E51" w:rsidRPr="004421A9">
        <w:rPr>
          <w:caps w:val="0"/>
          <w:color w:val="194C33" w:themeColor="accent1" w:themeShade="80"/>
          <w:sz w:val="32"/>
          <w:szCs w:val="32"/>
        </w:rPr>
        <w:t xml:space="preserve"> 2026–2027</w:t>
      </w:r>
    </w:p>
    <w:p w14:paraId="7B8BD863" w14:textId="77777777" w:rsidR="005D2CBA" w:rsidRPr="004421A9" w:rsidRDefault="005D2CBA" w:rsidP="00B65EDC"/>
    <w:p w14:paraId="7D46F8A5" w14:textId="77777777" w:rsidR="005D2CBA" w:rsidRPr="004421A9" w:rsidRDefault="005D2CBA" w:rsidP="00B65EDC"/>
    <w:sdt>
      <w:sdtPr>
        <w:rPr>
          <w:b/>
          <w:bCs/>
        </w:rPr>
        <w:id w:val="-1719118402"/>
        <w:docPartObj>
          <w:docPartGallery w:val="Table of Contents"/>
          <w:docPartUnique/>
        </w:docPartObj>
      </w:sdtPr>
      <w:sdtEndPr>
        <w:rPr>
          <w:rFonts w:asciiTheme="minorHAnsi" w:hAnsiTheme="minorHAnsi" w:cstheme="minorHAnsi"/>
          <w:b w:val="0"/>
          <w:bCs w:val="0"/>
          <w:lang w:val="en-US"/>
        </w:rPr>
      </w:sdtEndPr>
      <w:sdtContent>
        <w:p w14:paraId="3E992AF5" w14:textId="3EF94E8B" w:rsidR="00B65EDC" w:rsidRPr="004421A9" w:rsidRDefault="00B65EDC" w:rsidP="00B65EDC">
          <w:pPr>
            <w:rPr>
              <w:b/>
              <w:bCs/>
            </w:rPr>
          </w:pPr>
          <w:r w:rsidRPr="004421A9">
            <w:rPr>
              <w:b/>
              <w:color w:val="26724C" w:themeColor="accent1" w:themeShade="BF"/>
            </w:rPr>
            <w:t>Inhalt</w:t>
          </w:r>
        </w:p>
        <w:p w14:paraId="405BEAEE" w14:textId="0BD785F6" w:rsidR="00CC5224" w:rsidRDefault="00B65ED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4421A9">
            <w:rPr>
              <w:lang w:val="de-DE"/>
            </w:rPr>
            <w:fldChar w:fldCharType="begin"/>
          </w:r>
          <w:r w:rsidRPr="004421A9">
            <w:rPr>
              <w:lang w:val="de-DE"/>
            </w:rPr>
            <w:instrText xml:space="preserve"> TOC \o "1-3" \u \t "Heading 9,4" </w:instrText>
          </w:r>
          <w:r w:rsidRPr="004421A9">
            <w:rPr>
              <w:lang w:val="de-DE"/>
            </w:rPr>
            <w:fldChar w:fldCharType="separate"/>
          </w:r>
          <w:r w:rsidR="00CC5224" w:rsidRPr="00F11E36">
            <w:rPr>
              <w:noProof/>
              <w:lang w:val="de-DE"/>
            </w:rPr>
            <w:t>I.</w:t>
          </w:r>
          <w:r w:rsidR="00CC5224">
            <w:rPr>
              <w:rFonts w:asciiTheme="minorHAnsi" w:eastAsiaTheme="minorEastAsia" w:hAnsiTheme="minorHAnsi" w:cstheme="minorBidi"/>
              <w:bCs w:val="0"/>
              <w:caps w:val="0"/>
              <w:noProof/>
              <w:kern w:val="2"/>
              <w:sz w:val="24"/>
              <w:szCs w:val="24"/>
              <w:lang w:val="en-GB" w:eastAsia="en-GB"/>
              <w14:ligatures w14:val="standardContextual"/>
            </w:rPr>
            <w:tab/>
          </w:r>
          <w:r w:rsidR="00CC5224" w:rsidRPr="00F11E36">
            <w:rPr>
              <w:noProof/>
              <w:lang w:val="de-DE"/>
            </w:rPr>
            <w:t>Gesamtzusammenhang</w:t>
          </w:r>
          <w:r w:rsidR="00CC5224">
            <w:rPr>
              <w:noProof/>
            </w:rPr>
            <w:tab/>
          </w:r>
          <w:r w:rsidR="00CC5224">
            <w:rPr>
              <w:noProof/>
            </w:rPr>
            <w:fldChar w:fldCharType="begin"/>
          </w:r>
          <w:r w:rsidR="00CC5224">
            <w:rPr>
              <w:noProof/>
            </w:rPr>
            <w:instrText xml:space="preserve"> PAGEREF _Toc210041690 \h </w:instrText>
          </w:r>
          <w:r w:rsidR="00CC5224">
            <w:rPr>
              <w:noProof/>
            </w:rPr>
          </w:r>
          <w:r w:rsidR="00CC5224">
            <w:rPr>
              <w:noProof/>
            </w:rPr>
            <w:fldChar w:fldCharType="separate"/>
          </w:r>
          <w:r w:rsidR="00AE11B6">
            <w:rPr>
              <w:noProof/>
            </w:rPr>
            <w:t>2</w:t>
          </w:r>
          <w:r w:rsidR="00CC5224">
            <w:rPr>
              <w:noProof/>
            </w:rPr>
            <w:fldChar w:fldCharType="end"/>
          </w:r>
        </w:p>
        <w:p w14:paraId="2150833B" w14:textId="7E4FB21C" w:rsidR="00CC5224" w:rsidRDefault="00CC5224">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F11E36">
            <w:rPr>
              <w:noProof/>
              <w:lang w:val="de-DE"/>
            </w:rPr>
            <w:t>II.</w:t>
          </w:r>
          <w:r>
            <w:rPr>
              <w:rFonts w:asciiTheme="minorHAnsi" w:eastAsiaTheme="minorEastAsia" w:hAnsiTheme="minorHAnsi" w:cstheme="minorBidi"/>
              <w:bCs w:val="0"/>
              <w:caps w:val="0"/>
              <w:noProof/>
              <w:kern w:val="2"/>
              <w:sz w:val="24"/>
              <w:szCs w:val="24"/>
              <w:lang w:val="en-GB" w:eastAsia="en-GB"/>
              <w14:ligatures w14:val="standardContextual"/>
            </w:rPr>
            <w:tab/>
          </w:r>
          <w:r w:rsidRPr="00F11E36">
            <w:rPr>
              <w:noProof/>
              <w:lang w:val="de-DE"/>
            </w:rPr>
            <w:t>Überblick über Programm und Haushaltsplan</w:t>
          </w:r>
          <w:r>
            <w:rPr>
              <w:noProof/>
            </w:rPr>
            <w:tab/>
          </w:r>
          <w:r>
            <w:rPr>
              <w:noProof/>
            </w:rPr>
            <w:fldChar w:fldCharType="begin"/>
          </w:r>
          <w:r>
            <w:rPr>
              <w:noProof/>
            </w:rPr>
            <w:instrText xml:space="preserve"> PAGEREF _Toc210041691 \h </w:instrText>
          </w:r>
          <w:r>
            <w:rPr>
              <w:noProof/>
            </w:rPr>
          </w:r>
          <w:r>
            <w:rPr>
              <w:noProof/>
            </w:rPr>
            <w:fldChar w:fldCharType="separate"/>
          </w:r>
          <w:r w:rsidR="00AE11B6">
            <w:rPr>
              <w:noProof/>
            </w:rPr>
            <w:t>5</w:t>
          </w:r>
          <w:r>
            <w:rPr>
              <w:noProof/>
            </w:rPr>
            <w:fldChar w:fldCharType="end"/>
          </w:r>
        </w:p>
        <w:p w14:paraId="28C72EF3" w14:textId="4C19DF59"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Finanzieller Überblick</w:t>
          </w:r>
          <w:r>
            <w:rPr>
              <w:noProof/>
            </w:rPr>
            <w:tab/>
          </w:r>
          <w:r>
            <w:rPr>
              <w:noProof/>
            </w:rPr>
            <w:fldChar w:fldCharType="begin"/>
          </w:r>
          <w:r>
            <w:rPr>
              <w:noProof/>
            </w:rPr>
            <w:instrText xml:space="preserve"> PAGEREF _Toc210041692 \h </w:instrText>
          </w:r>
          <w:r>
            <w:rPr>
              <w:noProof/>
            </w:rPr>
          </w:r>
          <w:r>
            <w:rPr>
              <w:noProof/>
            </w:rPr>
            <w:fldChar w:fldCharType="separate"/>
          </w:r>
          <w:r w:rsidR="00AE11B6">
            <w:rPr>
              <w:noProof/>
            </w:rPr>
            <w:t>5</w:t>
          </w:r>
          <w:r>
            <w:rPr>
              <w:noProof/>
            </w:rPr>
            <w:fldChar w:fldCharType="end"/>
          </w:r>
        </w:p>
        <w:p w14:paraId="7C60E2CF" w14:textId="10931D34"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Einnahmen</w:t>
          </w:r>
          <w:r>
            <w:rPr>
              <w:noProof/>
            </w:rPr>
            <w:tab/>
          </w:r>
          <w:r>
            <w:rPr>
              <w:noProof/>
            </w:rPr>
            <w:fldChar w:fldCharType="begin"/>
          </w:r>
          <w:r>
            <w:rPr>
              <w:noProof/>
            </w:rPr>
            <w:instrText xml:space="preserve"> PAGEREF _Toc210041693 \h </w:instrText>
          </w:r>
          <w:r>
            <w:rPr>
              <w:noProof/>
            </w:rPr>
          </w:r>
          <w:r>
            <w:rPr>
              <w:noProof/>
            </w:rPr>
            <w:fldChar w:fldCharType="separate"/>
          </w:r>
          <w:r w:rsidR="00AE11B6">
            <w:rPr>
              <w:noProof/>
            </w:rPr>
            <w:t>5</w:t>
          </w:r>
          <w:r>
            <w:rPr>
              <w:noProof/>
            </w:rPr>
            <w:fldChar w:fldCharType="end"/>
          </w:r>
        </w:p>
        <w:p w14:paraId="2BEA2ACB" w14:textId="418437CB"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Gesamtmittelplan</w:t>
          </w:r>
          <w:r>
            <w:rPr>
              <w:noProof/>
            </w:rPr>
            <w:tab/>
          </w:r>
          <w:r>
            <w:rPr>
              <w:noProof/>
            </w:rPr>
            <w:fldChar w:fldCharType="begin"/>
          </w:r>
          <w:r>
            <w:rPr>
              <w:noProof/>
            </w:rPr>
            <w:instrText xml:space="preserve"> PAGEREF _Toc210041694 \h </w:instrText>
          </w:r>
          <w:r>
            <w:rPr>
              <w:noProof/>
            </w:rPr>
          </w:r>
          <w:r>
            <w:rPr>
              <w:noProof/>
            </w:rPr>
            <w:fldChar w:fldCharType="separate"/>
          </w:r>
          <w:r w:rsidR="00AE11B6">
            <w:rPr>
              <w:noProof/>
            </w:rPr>
            <w:t>7</w:t>
          </w:r>
          <w:r>
            <w:rPr>
              <w:noProof/>
            </w:rPr>
            <w:fldChar w:fldCharType="end"/>
          </w:r>
        </w:p>
        <w:p w14:paraId="51787082" w14:textId="79DD2AAF"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Ausgaben</w:t>
          </w:r>
          <w:r>
            <w:rPr>
              <w:noProof/>
            </w:rPr>
            <w:tab/>
          </w:r>
          <w:r>
            <w:rPr>
              <w:noProof/>
            </w:rPr>
            <w:fldChar w:fldCharType="begin"/>
          </w:r>
          <w:r>
            <w:rPr>
              <w:noProof/>
            </w:rPr>
            <w:instrText xml:space="preserve"> PAGEREF _Toc210041695 \h </w:instrText>
          </w:r>
          <w:r>
            <w:rPr>
              <w:noProof/>
            </w:rPr>
          </w:r>
          <w:r>
            <w:rPr>
              <w:noProof/>
            </w:rPr>
            <w:fldChar w:fldCharType="separate"/>
          </w:r>
          <w:r w:rsidR="00AE11B6">
            <w:rPr>
              <w:noProof/>
            </w:rPr>
            <w:t>8</w:t>
          </w:r>
          <w:r>
            <w:rPr>
              <w:noProof/>
            </w:rPr>
            <w:fldChar w:fldCharType="end"/>
          </w:r>
        </w:p>
        <w:p w14:paraId="1480FF00" w14:textId="13BCBEC1"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Personalkosten</w:t>
          </w:r>
          <w:r>
            <w:rPr>
              <w:noProof/>
            </w:rPr>
            <w:tab/>
          </w:r>
          <w:r>
            <w:rPr>
              <w:noProof/>
            </w:rPr>
            <w:fldChar w:fldCharType="begin"/>
          </w:r>
          <w:r>
            <w:rPr>
              <w:noProof/>
            </w:rPr>
            <w:instrText xml:space="preserve"> PAGEREF _Toc210041696 \h </w:instrText>
          </w:r>
          <w:r>
            <w:rPr>
              <w:noProof/>
            </w:rPr>
          </w:r>
          <w:r>
            <w:rPr>
              <w:noProof/>
            </w:rPr>
            <w:fldChar w:fldCharType="separate"/>
          </w:r>
          <w:r w:rsidR="00AE11B6">
            <w:rPr>
              <w:noProof/>
            </w:rPr>
            <w:t>10</w:t>
          </w:r>
          <w:r>
            <w:rPr>
              <w:noProof/>
            </w:rPr>
            <w:fldChar w:fldCharType="end"/>
          </w:r>
        </w:p>
        <w:p w14:paraId="33C35953" w14:textId="4313A3D8" w:rsidR="00CC5224" w:rsidRDefault="00CC5224">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F11E36">
            <w:rPr>
              <w:noProof/>
              <w:lang w:val="de-DE"/>
            </w:rPr>
            <w:t>III.</w:t>
          </w:r>
          <w:r>
            <w:rPr>
              <w:rFonts w:asciiTheme="minorHAnsi" w:eastAsiaTheme="minorEastAsia" w:hAnsiTheme="minorHAnsi" w:cstheme="minorBidi"/>
              <w:bCs w:val="0"/>
              <w:caps w:val="0"/>
              <w:noProof/>
              <w:kern w:val="2"/>
              <w:sz w:val="24"/>
              <w:szCs w:val="24"/>
              <w:lang w:val="en-GB" w:eastAsia="en-GB"/>
              <w14:ligatures w14:val="standardContextual"/>
            </w:rPr>
            <w:tab/>
          </w:r>
          <w:r w:rsidRPr="00F11E36">
            <w:rPr>
              <w:noProof/>
              <w:lang w:val="de-DE"/>
            </w:rPr>
            <w:t>Ziele und erwartete Ergebnisse</w:t>
          </w:r>
          <w:r>
            <w:rPr>
              <w:noProof/>
            </w:rPr>
            <w:tab/>
          </w:r>
          <w:r>
            <w:rPr>
              <w:noProof/>
            </w:rPr>
            <w:fldChar w:fldCharType="begin"/>
          </w:r>
          <w:r>
            <w:rPr>
              <w:noProof/>
            </w:rPr>
            <w:instrText xml:space="preserve"> PAGEREF _Toc210041697 \h </w:instrText>
          </w:r>
          <w:r>
            <w:rPr>
              <w:noProof/>
            </w:rPr>
          </w:r>
          <w:r>
            <w:rPr>
              <w:noProof/>
            </w:rPr>
            <w:fldChar w:fldCharType="separate"/>
          </w:r>
          <w:r w:rsidR="00AE11B6">
            <w:rPr>
              <w:noProof/>
            </w:rPr>
            <w:t>12</w:t>
          </w:r>
          <w:r>
            <w:rPr>
              <w:noProof/>
            </w:rPr>
            <w:fldChar w:fldCharType="end"/>
          </w:r>
        </w:p>
        <w:p w14:paraId="68469313" w14:textId="75B23139"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Einführung</w:t>
          </w:r>
          <w:r>
            <w:rPr>
              <w:noProof/>
            </w:rPr>
            <w:tab/>
          </w:r>
          <w:r>
            <w:rPr>
              <w:noProof/>
            </w:rPr>
            <w:fldChar w:fldCharType="begin"/>
          </w:r>
          <w:r>
            <w:rPr>
              <w:noProof/>
            </w:rPr>
            <w:instrText xml:space="preserve"> PAGEREF _Toc210041698 \h </w:instrText>
          </w:r>
          <w:r>
            <w:rPr>
              <w:noProof/>
            </w:rPr>
          </w:r>
          <w:r>
            <w:rPr>
              <w:noProof/>
            </w:rPr>
            <w:fldChar w:fldCharType="separate"/>
          </w:r>
          <w:r w:rsidR="00AE11B6">
            <w:rPr>
              <w:noProof/>
            </w:rPr>
            <w:t>12</w:t>
          </w:r>
          <w:r>
            <w:rPr>
              <w:noProof/>
            </w:rPr>
            <w:fldChar w:fldCharType="end"/>
          </w:r>
        </w:p>
        <w:p w14:paraId="76853C81" w14:textId="2B662DE1"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Säule 1: Interessengruppen zusammenbringen, um dazu beizutragen, das UPOV-System zu gestalten</w:t>
          </w:r>
          <w:r>
            <w:rPr>
              <w:noProof/>
            </w:rPr>
            <w:tab/>
          </w:r>
          <w:r>
            <w:rPr>
              <w:noProof/>
            </w:rPr>
            <w:fldChar w:fldCharType="begin"/>
          </w:r>
          <w:r>
            <w:rPr>
              <w:noProof/>
            </w:rPr>
            <w:instrText xml:space="preserve"> PAGEREF _Toc210041699 \h </w:instrText>
          </w:r>
          <w:r>
            <w:rPr>
              <w:noProof/>
            </w:rPr>
          </w:r>
          <w:r>
            <w:rPr>
              <w:noProof/>
            </w:rPr>
            <w:fldChar w:fldCharType="separate"/>
          </w:r>
          <w:r w:rsidR="00AE11B6">
            <w:rPr>
              <w:noProof/>
            </w:rPr>
            <w:t>13</w:t>
          </w:r>
          <w:r>
            <w:rPr>
              <w:noProof/>
            </w:rPr>
            <w:fldChar w:fldCharType="end"/>
          </w:r>
        </w:p>
        <w:p w14:paraId="706F23AF" w14:textId="751DD9F3"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Umsetzung der Strategie zur Erreichung der erwarteten Ergebnisse</w:t>
          </w:r>
          <w:r>
            <w:rPr>
              <w:noProof/>
            </w:rPr>
            <w:tab/>
          </w:r>
          <w:r>
            <w:rPr>
              <w:noProof/>
            </w:rPr>
            <w:fldChar w:fldCharType="begin"/>
          </w:r>
          <w:r>
            <w:rPr>
              <w:noProof/>
            </w:rPr>
            <w:instrText xml:space="preserve"> PAGEREF _Toc210041700 \h </w:instrText>
          </w:r>
          <w:r>
            <w:rPr>
              <w:noProof/>
            </w:rPr>
          </w:r>
          <w:r>
            <w:rPr>
              <w:noProof/>
            </w:rPr>
            <w:fldChar w:fldCharType="separate"/>
          </w:r>
          <w:r w:rsidR="00AE11B6">
            <w:rPr>
              <w:noProof/>
            </w:rPr>
            <w:t>13</w:t>
          </w:r>
          <w:r>
            <w:rPr>
              <w:noProof/>
            </w:rPr>
            <w:fldChar w:fldCharType="end"/>
          </w:r>
        </w:p>
        <w:p w14:paraId="72B8F678" w14:textId="360E87E2"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Erwartete Ergebnisse und Planerfüllungsindikatoren</w:t>
          </w:r>
          <w:r>
            <w:rPr>
              <w:noProof/>
            </w:rPr>
            <w:tab/>
          </w:r>
          <w:r>
            <w:rPr>
              <w:noProof/>
            </w:rPr>
            <w:fldChar w:fldCharType="begin"/>
          </w:r>
          <w:r>
            <w:rPr>
              <w:noProof/>
            </w:rPr>
            <w:instrText xml:space="preserve"> PAGEREF _Toc210041701 \h </w:instrText>
          </w:r>
          <w:r>
            <w:rPr>
              <w:noProof/>
            </w:rPr>
          </w:r>
          <w:r>
            <w:rPr>
              <w:noProof/>
            </w:rPr>
            <w:fldChar w:fldCharType="separate"/>
          </w:r>
          <w:r w:rsidR="00AE11B6">
            <w:rPr>
              <w:noProof/>
            </w:rPr>
            <w:t>14</w:t>
          </w:r>
          <w:r>
            <w:rPr>
              <w:noProof/>
            </w:rPr>
            <w:fldChar w:fldCharType="end"/>
          </w:r>
        </w:p>
        <w:p w14:paraId="3CD44A36" w14:textId="4CF399E8"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Säule 2: Bereitstellung von Anleitung und Unterstützung und Erleichterung der Zusammenarbeit bei der Umsetzung des UPOV-Systems</w:t>
          </w:r>
          <w:r>
            <w:rPr>
              <w:noProof/>
            </w:rPr>
            <w:tab/>
          </w:r>
          <w:r>
            <w:rPr>
              <w:noProof/>
            </w:rPr>
            <w:fldChar w:fldCharType="begin"/>
          </w:r>
          <w:r>
            <w:rPr>
              <w:noProof/>
            </w:rPr>
            <w:instrText xml:space="preserve"> PAGEREF _Toc210041702 \h </w:instrText>
          </w:r>
          <w:r>
            <w:rPr>
              <w:noProof/>
            </w:rPr>
          </w:r>
          <w:r>
            <w:rPr>
              <w:noProof/>
            </w:rPr>
            <w:fldChar w:fldCharType="separate"/>
          </w:r>
          <w:r w:rsidR="00AE11B6">
            <w:rPr>
              <w:noProof/>
            </w:rPr>
            <w:t>14</w:t>
          </w:r>
          <w:r>
            <w:rPr>
              <w:noProof/>
            </w:rPr>
            <w:fldChar w:fldCharType="end"/>
          </w:r>
        </w:p>
        <w:p w14:paraId="372FD3C2" w14:textId="7626E826"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Umsetzung der Strategie zur Erreichung der erwarteten Ergebnisse</w:t>
          </w:r>
          <w:r>
            <w:rPr>
              <w:noProof/>
            </w:rPr>
            <w:tab/>
          </w:r>
          <w:r>
            <w:rPr>
              <w:noProof/>
            </w:rPr>
            <w:fldChar w:fldCharType="begin"/>
          </w:r>
          <w:r>
            <w:rPr>
              <w:noProof/>
            </w:rPr>
            <w:instrText xml:space="preserve"> PAGEREF _Toc210041703 \h </w:instrText>
          </w:r>
          <w:r>
            <w:rPr>
              <w:noProof/>
            </w:rPr>
          </w:r>
          <w:r>
            <w:rPr>
              <w:noProof/>
            </w:rPr>
            <w:fldChar w:fldCharType="separate"/>
          </w:r>
          <w:r w:rsidR="00AE11B6">
            <w:rPr>
              <w:noProof/>
            </w:rPr>
            <w:t>14</w:t>
          </w:r>
          <w:r>
            <w:rPr>
              <w:noProof/>
            </w:rPr>
            <w:fldChar w:fldCharType="end"/>
          </w:r>
        </w:p>
        <w:p w14:paraId="40DB80A9" w14:textId="4A12B356"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Erwartete Ergebnisse und Planerfüllungsindikatoren</w:t>
          </w:r>
          <w:r>
            <w:rPr>
              <w:noProof/>
            </w:rPr>
            <w:tab/>
          </w:r>
          <w:r>
            <w:rPr>
              <w:noProof/>
            </w:rPr>
            <w:fldChar w:fldCharType="begin"/>
          </w:r>
          <w:r>
            <w:rPr>
              <w:noProof/>
            </w:rPr>
            <w:instrText xml:space="preserve"> PAGEREF _Toc210041704 \h </w:instrText>
          </w:r>
          <w:r>
            <w:rPr>
              <w:noProof/>
            </w:rPr>
          </w:r>
          <w:r>
            <w:rPr>
              <w:noProof/>
            </w:rPr>
            <w:fldChar w:fldCharType="separate"/>
          </w:r>
          <w:r w:rsidR="00AE11B6">
            <w:rPr>
              <w:noProof/>
            </w:rPr>
            <w:t>18</w:t>
          </w:r>
          <w:r>
            <w:rPr>
              <w:noProof/>
            </w:rPr>
            <w:fldChar w:fldCharType="end"/>
          </w:r>
        </w:p>
        <w:p w14:paraId="3FE39C4D" w14:textId="4ABA3AE0"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Säule 3: Bereitstellung qualitativ hochstehender Dienstleistungen für UPOV-Mitglieder und Nutzer des UPOV-Systems</w:t>
          </w:r>
          <w:r>
            <w:rPr>
              <w:noProof/>
            </w:rPr>
            <w:tab/>
          </w:r>
          <w:r>
            <w:rPr>
              <w:noProof/>
            </w:rPr>
            <w:fldChar w:fldCharType="begin"/>
          </w:r>
          <w:r>
            <w:rPr>
              <w:noProof/>
            </w:rPr>
            <w:instrText xml:space="preserve"> PAGEREF _Toc210041705 \h </w:instrText>
          </w:r>
          <w:r>
            <w:rPr>
              <w:noProof/>
            </w:rPr>
          </w:r>
          <w:r>
            <w:rPr>
              <w:noProof/>
            </w:rPr>
            <w:fldChar w:fldCharType="separate"/>
          </w:r>
          <w:r w:rsidR="00AE11B6">
            <w:rPr>
              <w:noProof/>
            </w:rPr>
            <w:t>19</w:t>
          </w:r>
          <w:r>
            <w:rPr>
              <w:noProof/>
            </w:rPr>
            <w:fldChar w:fldCharType="end"/>
          </w:r>
        </w:p>
        <w:p w14:paraId="19F005B3" w14:textId="4FDA41C3"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Umsetzung der Strategie zur Erreichung der erwarteten Ergebnisse</w:t>
          </w:r>
          <w:r>
            <w:rPr>
              <w:noProof/>
            </w:rPr>
            <w:tab/>
          </w:r>
          <w:r>
            <w:rPr>
              <w:noProof/>
            </w:rPr>
            <w:fldChar w:fldCharType="begin"/>
          </w:r>
          <w:r>
            <w:rPr>
              <w:noProof/>
            </w:rPr>
            <w:instrText xml:space="preserve"> PAGEREF _Toc210041706 \h </w:instrText>
          </w:r>
          <w:r>
            <w:rPr>
              <w:noProof/>
            </w:rPr>
          </w:r>
          <w:r>
            <w:rPr>
              <w:noProof/>
            </w:rPr>
            <w:fldChar w:fldCharType="separate"/>
          </w:r>
          <w:r w:rsidR="00AE11B6">
            <w:rPr>
              <w:noProof/>
            </w:rPr>
            <w:t>19</w:t>
          </w:r>
          <w:r>
            <w:rPr>
              <w:noProof/>
            </w:rPr>
            <w:fldChar w:fldCharType="end"/>
          </w:r>
        </w:p>
        <w:p w14:paraId="281761B2" w14:textId="0B501991"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Erwartete Ergebnisse und Planerfüllungsindikatoren</w:t>
          </w:r>
          <w:r>
            <w:rPr>
              <w:noProof/>
            </w:rPr>
            <w:tab/>
          </w:r>
          <w:r>
            <w:rPr>
              <w:noProof/>
            </w:rPr>
            <w:fldChar w:fldCharType="begin"/>
          </w:r>
          <w:r>
            <w:rPr>
              <w:noProof/>
            </w:rPr>
            <w:instrText xml:space="preserve"> PAGEREF _Toc210041707 \h </w:instrText>
          </w:r>
          <w:r>
            <w:rPr>
              <w:noProof/>
            </w:rPr>
          </w:r>
          <w:r>
            <w:rPr>
              <w:noProof/>
            </w:rPr>
            <w:fldChar w:fldCharType="separate"/>
          </w:r>
          <w:r w:rsidR="00AE11B6">
            <w:rPr>
              <w:noProof/>
            </w:rPr>
            <w:t>22</w:t>
          </w:r>
          <w:r>
            <w:rPr>
              <w:noProof/>
            </w:rPr>
            <w:fldChar w:fldCharType="end"/>
          </w:r>
        </w:p>
        <w:p w14:paraId="240BAFF3" w14:textId="40779E5B"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Fundament: Unsere Mitarbeitenden befähigen, effizient, kooperativ und innovativ zu arbeiten, indem wir ihnen die richtigen Ressourcen, Schulungen und ein geeignetes Umfeld zur Verfügung stellen</w:t>
          </w:r>
          <w:r>
            <w:rPr>
              <w:noProof/>
            </w:rPr>
            <w:tab/>
          </w:r>
          <w:r>
            <w:rPr>
              <w:noProof/>
            </w:rPr>
            <w:fldChar w:fldCharType="begin"/>
          </w:r>
          <w:r>
            <w:rPr>
              <w:noProof/>
            </w:rPr>
            <w:instrText xml:space="preserve"> PAGEREF _Toc210041708 \h </w:instrText>
          </w:r>
          <w:r>
            <w:rPr>
              <w:noProof/>
            </w:rPr>
          </w:r>
          <w:r>
            <w:rPr>
              <w:noProof/>
            </w:rPr>
            <w:fldChar w:fldCharType="separate"/>
          </w:r>
          <w:r w:rsidR="00AE11B6">
            <w:rPr>
              <w:noProof/>
            </w:rPr>
            <w:t>22</w:t>
          </w:r>
          <w:r>
            <w:rPr>
              <w:noProof/>
            </w:rPr>
            <w:fldChar w:fldCharType="end"/>
          </w:r>
        </w:p>
        <w:p w14:paraId="6F69BF49" w14:textId="32E28674"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Umsetzung der Strategie zur Erreichung der erwarteten Ergebnisse</w:t>
          </w:r>
          <w:r>
            <w:rPr>
              <w:noProof/>
            </w:rPr>
            <w:tab/>
          </w:r>
          <w:r>
            <w:rPr>
              <w:noProof/>
            </w:rPr>
            <w:fldChar w:fldCharType="begin"/>
          </w:r>
          <w:r>
            <w:rPr>
              <w:noProof/>
            </w:rPr>
            <w:instrText xml:space="preserve"> PAGEREF _Toc210041709 \h </w:instrText>
          </w:r>
          <w:r>
            <w:rPr>
              <w:noProof/>
            </w:rPr>
          </w:r>
          <w:r>
            <w:rPr>
              <w:noProof/>
            </w:rPr>
            <w:fldChar w:fldCharType="separate"/>
          </w:r>
          <w:r w:rsidR="00AE11B6">
            <w:rPr>
              <w:noProof/>
            </w:rPr>
            <w:t>22</w:t>
          </w:r>
          <w:r>
            <w:rPr>
              <w:noProof/>
            </w:rPr>
            <w:fldChar w:fldCharType="end"/>
          </w:r>
        </w:p>
        <w:p w14:paraId="46DC54B2" w14:textId="18CB011F"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Erwartete Ergebnisse und Planerfüllungsindikatoren</w:t>
          </w:r>
          <w:r>
            <w:rPr>
              <w:noProof/>
            </w:rPr>
            <w:tab/>
          </w:r>
          <w:r>
            <w:rPr>
              <w:noProof/>
            </w:rPr>
            <w:fldChar w:fldCharType="begin"/>
          </w:r>
          <w:r>
            <w:rPr>
              <w:noProof/>
            </w:rPr>
            <w:instrText xml:space="preserve"> PAGEREF _Toc210041710 \h </w:instrText>
          </w:r>
          <w:r>
            <w:rPr>
              <w:noProof/>
            </w:rPr>
          </w:r>
          <w:r>
            <w:rPr>
              <w:noProof/>
            </w:rPr>
            <w:fldChar w:fldCharType="separate"/>
          </w:r>
          <w:r w:rsidR="00AE11B6">
            <w:rPr>
              <w:noProof/>
            </w:rPr>
            <w:t>24</w:t>
          </w:r>
          <w:r>
            <w:rPr>
              <w:noProof/>
            </w:rPr>
            <w:fldChar w:fldCharType="end"/>
          </w:r>
        </w:p>
        <w:p w14:paraId="0DAA1033" w14:textId="1D053E89" w:rsidR="00CC5224" w:rsidRDefault="00CC5224">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F11E36">
            <w:rPr>
              <w:noProof/>
              <w:lang w:val="de-DE"/>
            </w:rPr>
            <w:t>IV.</w:t>
          </w:r>
          <w:r>
            <w:rPr>
              <w:rFonts w:asciiTheme="minorHAnsi" w:eastAsiaTheme="minorEastAsia" w:hAnsiTheme="minorHAnsi" w:cstheme="minorBidi"/>
              <w:bCs w:val="0"/>
              <w:caps w:val="0"/>
              <w:noProof/>
              <w:kern w:val="2"/>
              <w:sz w:val="24"/>
              <w:szCs w:val="24"/>
              <w:lang w:val="en-GB" w:eastAsia="en-GB"/>
              <w14:ligatures w14:val="standardContextual"/>
            </w:rPr>
            <w:tab/>
          </w:r>
          <w:r w:rsidRPr="00F11E36">
            <w:rPr>
              <w:noProof/>
              <w:lang w:val="de-DE"/>
            </w:rPr>
            <w:t>Finanzindikatoren 2020–2029</w:t>
          </w:r>
          <w:r>
            <w:rPr>
              <w:noProof/>
            </w:rPr>
            <w:tab/>
          </w:r>
          <w:r>
            <w:rPr>
              <w:noProof/>
            </w:rPr>
            <w:fldChar w:fldCharType="begin"/>
          </w:r>
          <w:r>
            <w:rPr>
              <w:noProof/>
            </w:rPr>
            <w:instrText xml:space="preserve"> PAGEREF _Toc210041711 \h </w:instrText>
          </w:r>
          <w:r>
            <w:rPr>
              <w:noProof/>
            </w:rPr>
          </w:r>
          <w:r>
            <w:rPr>
              <w:noProof/>
            </w:rPr>
            <w:fldChar w:fldCharType="separate"/>
          </w:r>
          <w:r w:rsidR="00AE11B6">
            <w:rPr>
              <w:noProof/>
            </w:rPr>
            <w:t>26</w:t>
          </w:r>
          <w:r>
            <w:rPr>
              <w:noProof/>
            </w:rPr>
            <w:fldChar w:fldCharType="end"/>
          </w:r>
        </w:p>
        <w:p w14:paraId="503C3EB5" w14:textId="532F6D1F" w:rsidR="00CC5224" w:rsidRDefault="00CC5224">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F11E36">
            <w:rPr>
              <w:noProof/>
              <w:lang w:val="de-DE"/>
            </w:rPr>
            <w:t>V.</w:t>
          </w:r>
          <w:r>
            <w:rPr>
              <w:rFonts w:asciiTheme="minorHAnsi" w:eastAsiaTheme="minorEastAsia" w:hAnsiTheme="minorHAnsi" w:cstheme="minorBidi"/>
              <w:bCs w:val="0"/>
              <w:caps w:val="0"/>
              <w:noProof/>
              <w:kern w:val="2"/>
              <w:sz w:val="24"/>
              <w:szCs w:val="24"/>
              <w:lang w:val="en-GB" w:eastAsia="en-GB"/>
              <w14:ligatures w14:val="standardContextual"/>
            </w:rPr>
            <w:tab/>
          </w:r>
          <w:r w:rsidRPr="00F11E36">
            <w:rPr>
              <w:noProof/>
              <w:lang w:val="de-DE"/>
            </w:rPr>
            <w:t>Anhänge</w:t>
          </w:r>
          <w:r>
            <w:rPr>
              <w:noProof/>
            </w:rPr>
            <w:tab/>
          </w:r>
          <w:r>
            <w:rPr>
              <w:noProof/>
            </w:rPr>
            <w:fldChar w:fldCharType="begin"/>
          </w:r>
          <w:r>
            <w:rPr>
              <w:noProof/>
            </w:rPr>
            <w:instrText xml:space="preserve"> PAGEREF _Toc210041712 \h </w:instrText>
          </w:r>
          <w:r>
            <w:rPr>
              <w:noProof/>
            </w:rPr>
          </w:r>
          <w:r>
            <w:rPr>
              <w:noProof/>
            </w:rPr>
            <w:fldChar w:fldCharType="separate"/>
          </w:r>
          <w:r w:rsidR="00AE11B6">
            <w:rPr>
              <w:noProof/>
            </w:rPr>
            <w:t>27</w:t>
          </w:r>
          <w:r>
            <w:rPr>
              <w:noProof/>
            </w:rPr>
            <w:fldChar w:fldCharType="end"/>
          </w:r>
        </w:p>
        <w:p w14:paraId="323E78DA" w14:textId="308568E9" w:rsidR="00CC5224" w:rsidRDefault="00CC5224">
          <w:pPr>
            <w:pStyle w:val="TOC4"/>
            <w:rPr>
              <w:rFonts w:eastAsiaTheme="minorEastAsia" w:cstheme="minorBidi"/>
              <w:noProof/>
              <w:kern w:val="2"/>
              <w:sz w:val="24"/>
              <w:szCs w:val="24"/>
              <w:lang w:val="en-GB" w:eastAsia="en-GB"/>
              <w14:ligatures w14:val="standardContextual"/>
            </w:rPr>
          </w:pPr>
          <w:r w:rsidRPr="00F11E36">
            <w:rPr>
              <w:noProof/>
              <w:lang w:val="de-DE"/>
            </w:rPr>
            <w:t>Anhang I</w:t>
          </w:r>
          <w:r>
            <w:rPr>
              <w:rFonts w:eastAsiaTheme="minorEastAsia" w:cstheme="minorBidi"/>
              <w:noProof/>
              <w:kern w:val="2"/>
              <w:sz w:val="24"/>
              <w:szCs w:val="24"/>
              <w:lang w:val="en-GB" w:eastAsia="en-GB"/>
              <w14:ligatures w14:val="standardContextual"/>
            </w:rPr>
            <w:tab/>
          </w:r>
          <w:r w:rsidRPr="00F11E36">
            <w:rPr>
              <w:noProof/>
              <w:lang w:val="de-DE"/>
            </w:rPr>
            <w:t>Stand in Bezug auf den Internationalen Verband zum Schutz von Pflanzenneuzüchtungen (UPOV) zum  16. September 2025</w:t>
          </w:r>
          <w:r>
            <w:rPr>
              <w:noProof/>
            </w:rPr>
            <w:tab/>
          </w:r>
          <w:r>
            <w:rPr>
              <w:noProof/>
            </w:rPr>
            <w:fldChar w:fldCharType="begin"/>
          </w:r>
          <w:r>
            <w:rPr>
              <w:noProof/>
            </w:rPr>
            <w:instrText xml:space="preserve"> PAGEREF _Toc210041713 \h </w:instrText>
          </w:r>
          <w:r>
            <w:rPr>
              <w:noProof/>
            </w:rPr>
          </w:r>
          <w:r>
            <w:rPr>
              <w:noProof/>
            </w:rPr>
            <w:fldChar w:fldCharType="separate"/>
          </w:r>
          <w:r w:rsidR="00AE11B6">
            <w:rPr>
              <w:noProof/>
            </w:rPr>
            <w:t>27</w:t>
          </w:r>
          <w:r>
            <w:rPr>
              <w:noProof/>
            </w:rPr>
            <w:fldChar w:fldCharType="end"/>
          </w:r>
        </w:p>
        <w:p w14:paraId="21AF0788" w14:textId="40210DD7" w:rsidR="00CC5224" w:rsidRDefault="00CC5224">
          <w:pPr>
            <w:pStyle w:val="TOC4"/>
            <w:rPr>
              <w:rFonts w:eastAsiaTheme="minorEastAsia" w:cstheme="minorBidi"/>
              <w:noProof/>
              <w:kern w:val="2"/>
              <w:sz w:val="24"/>
              <w:szCs w:val="24"/>
              <w:lang w:val="en-GB" w:eastAsia="en-GB"/>
              <w14:ligatures w14:val="standardContextual"/>
            </w:rPr>
          </w:pPr>
          <w:r w:rsidRPr="00F11E36">
            <w:rPr>
              <w:noProof/>
              <w:lang w:val="de-DE"/>
            </w:rPr>
            <w:t>Anhang II</w:t>
          </w:r>
          <w:r>
            <w:rPr>
              <w:rFonts w:eastAsiaTheme="minorEastAsia" w:cstheme="minorBidi"/>
              <w:noProof/>
              <w:kern w:val="2"/>
              <w:sz w:val="24"/>
              <w:szCs w:val="24"/>
              <w:lang w:val="en-GB" w:eastAsia="en-GB"/>
              <w14:ligatures w14:val="standardContextual"/>
            </w:rPr>
            <w:tab/>
          </w:r>
          <w:r w:rsidRPr="00F11E36">
            <w:rPr>
              <w:noProof/>
              <w:lang w:val="de-DE"/>
            </w:rPr>
            <w:t>Beiträge der Verbandsmitglieder</w:t>
          </w:r>
          <w:r>
            <w:rPr>
              <w:noProof/>
            </w:rPr>
            <w:tab/>
          </w:r>
          <w:r>
            <w:rPr>
              <w:noProof/>
            </w:rPr>
            <w:fldChar w:fldCharType="begin"/>
          </w:r>
          <w:r>
            <w:rPr>
              <w:noProof/>
            </w:rPr>
            <w:instrText xml:space="preserve"> PAGEREF _Toc210041714 \h </w:instrText>
          </w:r>
          <w:r>
            <w:rPr>
              <w:noProof/>
            </w:rPr>
          </w:r>
          <w:r>
            <w:rPr>
              <w:noProof/>
            </w:rPr>
            <w:fldChar w:fldCharType="separate"/>
          </w:r>
          <w:r w:rsidR="00AE11B6">
            <w:rPr>
              <w:noProof/>
            </w:rPr>
            <w:t>28</w:t>
          </w:r>
          <w:r>
            <w:rPr>
              <w:noProof/>
            </w:rPr>
            <w:fldChar w:fldCharType="end"/>
          </w:r>
        </w:p>
        <w:p w14:paraId="52C0B90F" w14:textId="1FEFE896" w:rsidR="00CC5224" w:rsidRDefault="00CC5224">
          <w:pPr>
            <w:pStyle w:val="TOC4"/>
            <w:rPr>
              <w:rFonts w:eastAsiaTheme="minorEastAsia" w:cstheme="minorBidi"/>
              <w:noProof/>
              <w:kern w:val="2"/>
              <w:sz w:val="24"/>
              <w:szCs w:val="24"/>
              <w:lang w:val="en-GB" w:eastAsia="en-GB"/>
              <w14:ligatures w14:val="standardContextual"/>
            </w:rPr>
          </w:pPr>
          <w:r w:rsidRPr="00F11E36">
            <w:rPr>
              <w:noProof/>
              <w:lang w:val="de-DE"/>
            </w:rPr>
            <w:t>Anhang III</w:t>
          </w:r>
          <w:r>
            <w:rPr>
              <w:rFonts w:eastAsiaTheme="minorEastAsia" w:cstheme="minorBidi"/>
              <w:noProof/>
              <w:kern w:val="2"/>
              <w:sz w:val="24"/>
              <w:szCs w:val="24"/>
              <w:lang w:val="en-GB" w:eastAsia="en-GB"/>
              <w14:ligatures w14:val="standardContextual"/>
            </w:rPr>
            <w:tab/>
          </w:r>
          <w:r w:rsidRPr="00F11E36">
            <w:rPr>
              <w:noProof/>
              <w:lang w:val="de-DE"/>
            </w:rPr>
            <w:t>Definition von Einnahmequellen und Kostenkategorien</w:t>
          </w:r>
          <w:r>
            <w:rPr>
              <w:noProof/>
            </w:rPr>
            <w:tab/>
          </w:r>
          <w:r>
            <w:rPr>
              <w:noProof/>
            </w:rPr>
            <w:fldChar w:fldCharType="begin"/>
          </w:r>
          <w:r>
            <w:rPr>
              <w:noProof/>
            </w:rPr>
            <w:instrText xml:space="preserve"> PAGEREF _Toc210041715 \h </w:instrText>
          </w:r>
          <w:r>
            <w:rPr>
              <w:noProof/>
            </w:rPr>
          </w:r>
          <w:r>
            <w:rPr>
              <w:noProof/>
            </w:rPr>
            <w:fldChar w:fldCharType="separate"/>
          </w:r>
          <w:r w:rsidR="00AE11B6">
            <w:rPr>
              <w:noProof/>
            </w:rPr>
            <w:t>30</w:t>
          </w:r>
          <w:r>
            <w:rPr>
              <w:noProof/>
            </w:rPr>
            <w:fldChar w:fldCharType="end"/>
          </w:r>
        </w:p>
        <w:p w14:paraId="574746AB" w14:textId="46884752" w:rsidR="00B65EDC" w:rsidRPr="004421A9" w:rsidRDefault="00B65EDC" w:rsidP="00CC5224">
          <w:pPr>
            <w:pStyle w:val="TOC4"/>
          </w:pPr>
          <w:r w:rsidRPr="004421A9">
            <w:fldChar w:fldCharType="end"/>
          </w:r>
        </w:p>
      </w:sdtContent>
    </w:sdt>
    <w:p w14:paraId="646EE436" w14:textId="1C6F3453" w:rsidR="00B65EDC" w:rsidRPr="004421A9" w:rsidRDefault="005E48E3" w:rsidP="006F69F5">
      <w:pPr>
        <w:pStyle w:val="Heading1"/>
        <w:numPr>
          <w:ilvl w:val="0"/>
          <w:numId w:val="6"/>
        </w:numPr>
        <w:ind w:left="720"/>
        <w:jc w:val="both"/>
        <w:rPr>
          <w:lang w:val="de-DE"/>
        </w:rPr>
      </w:pPr>
      <w:bookmarkStart w:id="13" w:name="_Toc63091087"/>
      <w:bookmarkStart w:id="14" w:name="_Toc63091284"/>
      <w:bookmarkStart w:id="15" w:name="_Toc63091814"/>
      <w:bookmarkStart w:id="16" w:name="_Toc63177676"/>
      <w:bookmarkStart w:id="17" w:name="_Toc63177802"/>
      <w:bookmarkStart w:id="18" w:name="_Toc63178431"/>
      <w:bookmarkStart w:id="19" w:name="_Toc63182523"/>
      <w:bookmarkStart w:id="20" w:name="_Toc63091088"/>
      <w:bookmarkStart w:id="21" w:name="_Toc63091285"/>
      <w:bookmarkStart w:id="22" w:name="_Toc63091815"/>
      <w:bookmarkStart w:id="23" w:name="_Toc63177677"/>
      <w:bookmarkStart w:id="24" w:name="_Toc63177803"/>
      <w:bookmarkStart w:id="25" w:name="_Toc63178432"/>
      <w:bookmarkStart w:id="26" w:name="_Toc63182524"/>
      <w:bookmarkStart w:id="27" w:name="_Toc63177678"/>
      <w:bookmarkStart w:id="28" w:name="_Toc63177804"/>
      <w:bookmarkStart w:id="29" w:name="_Toc63178433"/>
      <w:bookmarkStart w:id="30" w:name="_Toc63182525"/>
      <w:bookmarkStart w:id="31" w:name="_Toc63177679"/>
      <w:bookmarkStart w:id="32" w:name="_Toc63177805"/>
      <w:bookmarkStart w:id="33" w:name="_Toc63178434"/>
      <w:bookmarkStart w:id="34" w:name="_Toc63182526"/>
      <w:bookmarkStart w:id="35" w:name="_Toc63177680"/>
      <w:bookmarkStart w:id="36" w:name="_Toc63177806"/>
      <w:bookmarkStart w:id="37" w:name="_Toc63178435"/>
      <w:bookmarkStart w:id="38" w:name="_Toc63182527"/>
      <w:bookmarkStart w:id="39" w:name="_Toc63177681"/>
      <w:bookmarkStart w:id="40" w:name="_Toc63177807"/>
      <w:bookmarkStart w:id="41" w:name="_Toc63178436"/>
      <w:bookmarkStart w:id="42" w:name="_Toc63182528"/>
      <w:bookmarkStart w:id="43" w:name="_Toc63177682"/>
      <w:bookmarkStart w:id="44" w:name="_Toc63177808"/>
      <w:bookmarkStart w:id="45" w:name="_Toc63178437"/>
      <w:bookmarkStart w:id="46" w:name="_Toc63182529"/>
      <w:bookmarkStart w:id="47" w:name="_Toc63177683"/>
      <w:bookmarkStart w:id="48" w:name="_Toc63177809"/>
      <w:bookmarkStart w:id="49" w:name="_Toc63178438"/>
      <w:bookmarkStart w:id="50" w:name="_Toc63182530"/>
      <w:bookmarkStart w:id="51" w:name="_Toc63177684"/>
      <w:bookmarkStart w:id="52" w:name="_Toc63177810"/>
      <w:bookmarkStart w:id="53" w:name="_Toc63178439"/>
      <w:bookmarkStart w:id="54" w:name="_Toc63182531"/>
      <w:bookmarkStart w:id="55" w:name="_Toc63177685"/>
      <w:bookmarkStart w:id="56" w:name="_Toc63177811"/>
      <w:bookmarkStart w:id="57" w:name="_Toc63178440"/>
      <w:bookmarkStart w:id="58" w:name="_Toc63182532"/>
      <w:bookmarkStart w:id="59" w:name="_Toc63177686"/>
      <w:bookmarkStart w:id="60" w:name="_Toc63177812"/>
      <w:bookmarkStart w:id="61" w:name="_Toc63178441"/>
      <w:bookmarkStart w:id="62" w:name="_Toc63182533"/>
      <w:bookmarkStart w:id="63" w:name="_Toc63177687"/>
      <w:bookmarkStart w:id="64" w:name="_Toc63177813"/>
      <w:bookmarkStart w:id="65" w:name="_Toc63178442"/>
      <w:bookmarkStart w:id="66" w:name="_Toc63182534"/>
      <w:bookmarkStart w:id="67" w:name="_Toc63177688"/>
      <w:bookmarkStart w:id="68" w:name="_Toc63177814"/>
      <w:bookmarkStart w:id="69" w:name="_Toc63178443"/>
      <w:bookmarkStart w:id="70" w:name="_Toc63182535"/>
      <w:bookmarkStart w:id="71" w:name="_Toc63177689"/>
      <w:bookmarkStart w:id="72" w:name="_Toc63177815"/>
      <w:bookmarkStart w:id="73" w:name="_Toc63178444"/>
      <w:bookmarkStart w:id="74" w:name="_Toc63182536"/>
      <w:bookmarkStart w:id="75" w:name="_Toc63177690"/>
      <w:bookmarkStart w:id="76" w:name="_Toc63177816"/>
      <w:bookmarkStart w:id="77" w:name="_Toc63178445"/>
      <w:bookmarkStart w:id="78" w:name="_Toc63182537"/>
      <w:bookmarkStart w:id="79" w:name="_Toc63177691"/>
      <w:bookmarkStart w:id="80" w:name="_Toc63177817"/>
      <w:bookmarkStart w:id="81" w:name="_Toc63178446"/>
      <w:bookmarkStart w:id="82" w:name="_Toc63182538"/>
      <w:bookmarkStart w:id="83" w:name="_Toc63177692"/>
      <w:bookmarkStart w:id="84" w:name="_Toc63177818"/>
      <w:bookmarkStart w:id="85" w:name="_Toc63178447"/>
      <w:bookmarkStart w:id="86" w:name="_Toc63182539"/>
      <w:bookmarkStart w:id="87" w:name="_Toc63177693"/>
      <w:bookmarkStart w:id="88" w:name="_Toc63177819"/>
      <w:bookmarkStart w:id="89" w:name="_Toc63178448"/>
      <w:bookmarkStart w:id="90" w:name="_Toc63182540"/>
      <w:bookmarkStart w:id="91" w:name="_Toc63177694"/>
      <w:bookmarkStart w:id="92" w:name="_Toc63177820"/>
      <w:bookmarkStart w:id="93" w:name="_Toc63178449"/>
      <w:bookmarkStart w:id="94" w:name="_Toc63182541"/>
      <w:bookmarkStart w:id="95" w:name="_Toc63177695"/>
      <w:bookmarkStart w:id="96" w:name="_Toc63177821"/>
      <w:bookmarkStart w:id="97" w:name="_Toc63178450"/>
      <w:bookmarkStart w:id="98" w:name="_Toc63182542"/>
      <w:bookmarkStart w:id="99" w:name="_Toc63177696"/>
      <w:bookmarkStart w:id="100" w:name="_Toc63177822"/>
      <w:bookmarkStart w:id="101" w:name="_Toc63178451"/>
      <w:bookmarkStart w:id="102" w:name="_Toc63182543"/>
      <w:bookmarkStart w:id="103" w:name="_Toc63177697"/>
      <w:bookmarkStart w:id="104" w:name="_Toc63177823"/>
      <w:bookmarkStart w:id="105" w:name="_Toc63178452"/>
      <w:bookmarkStart w:id="106" w:name="_Toc63182544"/>
      <w:bookmarkStart w:id="107" w:name="_Toc63177698"/>
      <w:bookmarkStart w:id="108" w:name="_Toc63177824"/>
      <w:bookmarkStart w:id="109" w:name="_Toc63178453"/>
      <w:bookmarkStart w:id="110" w:name="_Toc63182545"/>
      <w:bookmarkStart w:id="111" w:name="_Toc63177699"/>
      <w:bookmarkStart w:id="112" w:name="_Toc63177825"/>
      <w:bookmarkStart w:id="113" w:name="_Toc63178454"/>
      <w:bookmarkStart w:id="114" w:name="_Toc63182546"/>
      <w:bookmarkStart w:id="115" w:name="_Toc63177700"/>
      <w:bookmarkStart w:id="116" w:name="_Toc63177826"/>
      <w:bookmarkStart w:id="117" w:name="_Toc63178455"/>
      <w:bookmarkStart w:id="118" w:name="_Toc63182547"/>
      <w:bookmarkStart w:id="119" w:name="_Toc63177701"/>
      <w:bookmarkStart w:id="120" w:name="_Toc63177827"/>
      <w:bookmarkStart w:id="121" w:name="_Toc63178456"/>
      <w:bookmarkStart w:id="122" w:name="_Toc63182548"/>
      <w:bookmarkStart w:id="123" w:name="_Toc63177702"/>
      <w:bookmarkStart w:id="124" w:name="_Toc63177828"/>
      <w:bookmarkStart w:id="125" w:name="_Toc63178457"/>
      <w:bookmarkStart w:id="126" w:name="_Toc63182549"/>
      <w:bookmarkStart w:id="127" w:name="_Toc63177703"/>
      <w:bookmarkStart w:id="128" w:name="_Toc63177829"/>
      <w:bookmarkStart w:id="129" w:name="_Toc63178458"/>
      <w:bookmarkStart w:id="130" w:name="_Toc63182550"/>
      <w:bookmarkStart w:id="131" w:name="_Toc63177704"/>
      <w:bookmarkStart w:id="132" w:name="_Toc63177830"/>
      <w:bookmarkStart w:id="133" w:name="_Toc63178459"/>
      <w:bookmarkStart w:id="134" w:name="_Toc63182551"/>
      <w:bookmarkStart w:id="135" w:name="_Toc63177705"/>
      <w:bookmarkStart w:id="136" w:name="_Toc63177831"/>
      <w:bookmarkStart w:id="137" w:name="_Toc63178460"/>
      <w:bookmarkStart w:id="138" w:name="_Toc63182552"/>
      <w:bookmarkStart w:id="139" w:name="_Toc63177706"/>
      <w:bookmarkStart w:id="140" w:name="_Toc63177832"/>
      <w:bookmarkStart w:id="141" w:name="_Toc63178461"/>
      <w:bookmarkStart w:id="142" w:name="_Toc63182553"/>
      <w:bookmarkStart w:id="143" w:name="_Toc63177707"/>
      <w:bookmarkStart w:id="144" w:name="_Toc63177833"/>
      <w:bookmarkStart w:id="145" w:name="_Toc63178462"/>
      <w:bookmarkStart w:id="146" w:name="_Toc63182554"/>
      <w:bookmarkStart w:id="147" w:name="_Toc63177708"/>
      <w:bookmarkStart w:id="148" w:name="_Toc63177834"/>
      <w:bookmarkStart w:id="149" w:name="_Toc63178463"/>
      <w:bookmarkStart w:id="150" w:name="_Toc63182555"/>
      <w:bookmarkStart w:id="151" w:name="_Toc63177709"/>
      <w:bookmarkStart w:id="152" w:name="_Toc63177835"/>
      <w:bookmarkStart w:id="153" w:name="_Toc63178464"/>
      <w:bookmarkStart w:id="154" w:name="_Toc63182556"/>
      <w:bookmarkStart w:id="155" w:name="_Toc63177710"/>
      <w:bookmarkStart w:id="156" w:name="_Toc63177836"/>
      <w:bookmarkStart w:id="157" w:name="_Toc63178465"/>
      <w:bookmarkStart w:id="158" w:name="_Toc63182557"/>
      <w:bookmarkStart w:id="159" w:name="_Toc63177711"/>
      <w:bookmarkStart w:id="160" w:name="_Toc63177837"/>
      <w:bookmarkStart w:id="161" w:name="_Toc63178466"/>
      <w:bookmarkStart w:id="162" w:name="_Toc63182558"/>
      <w:bookmarkStart w:id="163" w:name="_Toc63177712"/>
      <w:bookmarkStart w:id="164" w:name="_Toc63177838"/>
      <w:bookmarkStart w:id="165" w:name="_Toc63178467"/>
      <w:bookmarkStart w:id="166" w:name="_Toc63182559"/>
      <w:bookmarkStart w:id="167" w:name="_Toc63177713"/>
      <w:bookmarkStart w:id="168" w:name="_Toc63177839"/>
      <w:bookmarkStart w:id="169" w:name="_Toc63178468"/>
      <w:bookmarkStart w:id="170" w:name="_Toc63182560"/>
      <w:bookmarkStart w:id="171" w:name="_Toc63177714"/>
      <w:bookmarkStart w:id="172" w:name="_Toc63177840"/>
      <w:bookmarkStart w:id="173" w:name="_Toc63178469"/>
      <w:bookmarkStart w:id="174" w:name="_Toc63182561"/>
      <w:bookmarkStart w:id="175" w:name="_Toc63177715"/>
      <w:bookmarkStart w:id="176" w:name="_Toc63177841"/>
      <w:bookmarkStart w:id="177" w:name="_Toc63178470"/>
      <w:bookmarkStart w:id="178" w:name="_Toc63182562"/>
      <w:bookmarkStart w:id="179" w:name="_Toc63177716"/>
      <w:bookmarkStart w:id="180" w:name="_Toc63177842"/>
      <w:bookmarkStart w:id="181" w:name="_Toc63178471"/>
      <w:bookmarkStart w:id="182" w:name="_Toc63182563"/>
      <w:bookmarkStart w:id="183" w:name="_Toc63177717"/>
      <w:bookmarkStart w:id="184" w:name="_Toc63177843"/>
      <w:bookmarkStart w:id="185" w:name="_Toc63178472"/>
      <w:bookmarkStart w:id="186" w:name="_Toc63182564"/>
      <w:bookmarkStart w:id="187" w:name="_Toc63177718"/>
      <w:bookmarkStart w:id="188" w:name="_Toc63177844"/>
      <w:bookmarkStart w:id="189" w:name="_Toc63178473"/>
      <w:bookmarkStart w:id="190" w:name="_Toc63182565"/>
      <w:bookmarkStart w:id="191" w:name="_Toc63177719"/>
      <w:bookmarkStart w:id="192" w:name="_Toc63177845"/>
      <w:bookmarkStart w:id="193" w:name="_Toc63178474"/>
      <w:bookmarkStart w:id="194" w:name="_Toc63182566"/>
      <w:bookmarkStart w:id="195" w:name="_Toc63177720"/>
      <w:bookmarkStart w:id="196" w:name="_Toc63177846"/>
      <w:bookmarkStart w:id="197" w:name="_Toc63178475"/>
      <w:bookmarkStart w:id="198" w:name="_Toc63182567"/>
      <w:bookmarkStart w:id="199" w:name="_Toc63177721"/>
      <w:bookmarkStart w:id="200" w:name="_Toc63177847"/>
      <w:bookmarkStart w:id="201" w:name="_Toc63178476"/>
      <w:bookmarkStart w:id="202" w:name="_Toc63182568"/>
      <w:bookmarkStart w:id="203" w:name="_Toc63177722"/>
      <w:bookmarkStart w:id="204" w:name="_Toc63177848"/>
      <w:bookmarkStart w:id="205" w:name="_Toc63178477"/>
      <w:bookmarkStart w:id="206" w:name="_Toc63182569"/>
      <w:bookmarkStart w:id="207" w:name="_Toc63177723"/>
      <w:bookmarkStart w:id="208" w:name="_Toc63177849"/>
      <w:bookmarkStart w:id="209" w:name="_Toc63178478"/>
      <w:bookmarkStart w:id="210" w:name="_Toc63182570"/>
      <w:bookmarkStart w:id="211" w:name="_Toc63177724"/>
      <w:bookmarkStart w:id="212" w:name="_Toc63177850"/>
      <w:bookmarkStart w:id="213" w:name="_Toc63178479"/>
      <w:bookmarkStart w:id="214" w:name="_Toc63182571"/>
      <w:bookmarkStart w:id="215" w:name="_Toc63177725"/>
      <w:bookmarkStart w:id="216" w:name="_Toc63177851"/>
      <w:bookmarkStart w:id="217" w:name="_Toc63178480"/>
      <w:bookmarkStart w:id="218" w:name="_Toc63182572"/>
      <w:bookmarkStart w:id="219" w:name="_Toc63177726"/>
      <w:bookmarkStart w:id="220" w:name="_Toc63177852"/>
      <w:bookmarkStart w:id="221" w:name="_Toc63178481"/>
      <w:bookmarkStart w:id="222" w:name="_Toc63182573"/>
      <w:bookmarkStart w:id="223" w:name="_Toc63177727"/>
      <w:bookmarkStart w:id="224" w:name="_Toc63177853"/>
      <w:bookmarkStart w:id="225" w:name="_Toc63178482"/>
      <w:bookmarkStart w:id="226" w:name="_Toc63182574"/>
      <w:bookmarkStart w:id="227" w:name="_Toc63177728"/>
      <w:bookmarkStart w:id="228" w:name="_Toc63177854"/>
      <w:bookmarkStart w:id="229" w:name="_Toc63178483"/>
      <w:bookmarkStart w:id="230" w:name="_Toc63182575"/>
      <w:bookmarkStart w:id="231" w:name="_Toc63177729"/>
      <w:bookmarkStart w:id="232" w:name="_Toc63177855"/>
      <w:bookmarkStart w:id="233" w:name="_Toc63178484"/>
      <w:bookmarkStart w:id="234" w:name="_Toc63182576"/>
      <w:bookmarkStart w:id="235" w:name="_Toc63177730"/>
      <w:bookmarkStart w:id="236" w:name="_Toc63177856"/>
      <w:bookmarkStart w:id="237" w:name="_Toc63178485"/>
      <w:bookmarkStart w:id="238" w:name="_Toc63182577"/>
      <w:bookmarkStart w:id="239" w:name="_Toc63177731"/>
      <w:bookmarkStart w:id="240" w:name="_Toc63177857"/>
      <w:bookmarkStart w:id="241" w:name="_Toc63178486"/>
      <w:bookmarkStart w:id="242" w:name="_Toc63182578"/>
      <w:bookmarkStart w:id="243" w:name="_Toc63177732"/>
      <w:bookmarkStart w:id="244" w:name="_Toc63177858"/>
      <w:bookmarkStart w:id="245" w:name="_Toc63178487"/>
      <w:bookmarkStart w:id="246" w:name="_Toc63182579"/>
      <w:bookmarkStart w:id="247" w:name="_Toc63177733"/>
      <w:bookmarkStart w:id="248" w:name="_Toc63177859"/>
      <w:bookmarkStart w:id="249" w:name="_Toc63178488"/>
      <w:bookmarkStart w:id="250" w:name="_Toc63182580"/>
      <w:bookmarkStart w:id="251" w:name="_Toc63177734"/>
      <w:bookmarkStart w:id="252" w:name="_Toc63177860"/>
      <w:bookmarkStart w:id="253" w:name="_Toc63178489"/>
      <w:bookmarkStart w:id="254" w:name="_Toc63182581"/>
      <w:bookmarkStart w:id="255" w:name="_Toc63177735"/>
      <w:bookmarkStart w:id="256" w:name="_Toc63177861"/>
      <w:bookmarkStart w:id="257" w:name="_Toc63178490"/>
      <w:bookmarkStart w:id="258" w:name="_Toc63182582"/>
      <w:bookmarkStart w:id="259" w:name="_Toc63177736"/>
      <w:bookmarkStart w:id="260" w:name="_Toc63177862"/>
      <w:bookmarkStart w:id="261" w:name="_Toc63178491"/>
      <w:bookmarkStart w:id="262" w:name="_Toc63182583"/>
      <w:bookmarkStart w:id="263" w:name="_Toc63177737"/>
      <w:bookmarkStart w:id="264" w:name="_Toc63177863"/>
      <w:bookmarkStart w:id="265" w:name="_Toc63178492"/>
      <w:bookmarkStart w:id="266" w:name="_Toc63182584"/>
      <w:bookmarkStart w:id="267" w:name="_Toc63177738"/>
      <w:bookmarkStart w:id="268" w:name="_Toc63177864"/>
      <w:bookmarkStart w:id="269" w:name="_Toc63178493"/>
      <w:bookmarkStart w:id="270" w:name="_Toc63182585"/>
      <w:bookmarkStart w:id="271" w:name="_Toc63177739"/>
      <w:bookmarkStart w:id="272" w:name="_Toc63177865"/>
      <w:bookmarkStart w:id="273" w:name="_Toc63178494"/>
      <w:bookmarkStart w:id="274" w:name="_Toc63182586"/>
      <w:bookmarkStart w:id="275" w:name="_Toc63177740"/>
      <w:bookmarkStart w:id="276" w:name="_Toc63177866"/>
      <w:bookmarkStart w:id="277" w:name="_Toc63178495"/>
      <w:bookmarkStart w:id="278" w:name="_Toc63182587"/>
      <w:bookmarkStart w:id="279" w:name="_Toc63177741"/>
      <w:bookmarkStart w:id="280" w:name="_Toc63177867"/>
      <w:bookmarkStart w:id="281" w:name="_Toc63178496"/>
      <w:bookmarkStart w:id="282" w:name="_Toc63182588"/>
      <w:bookmarkStart w:id="283" w:name="_Toc63177742"/>
      <w:bookmarkStart w:id="284" w:name="_Toc63177868"/>
      <w:bookmarkStart w:id="285" w:name="_Toc63178497"/>
      <w:bookmarkStart w:id="286" w:name="_Toc63182589"/>
      <w:bookmarkStart w:id="287" w:name="_Toc63177743"/>
      <w:bookmarkStart w:id="288" w:name="_Toc63177869"/>
      <w:bookmarkStart w:id="289" w:name="_Toc63178498"/>
      <w:bookmarkStart w:id="290" w:name="_Toc63182590"/>
      <w:bookmarkStart w:id="291" w:name="_Toc63177744"/>
      <w:bookmarkStart w:id="292" w:name="_Toc63177870"/>
      <w:bookmarkStart w:id="293" w:name="_Toc63178499"/>
      <w:bookmarkStart w:id="294" w:name="_Toc63182591"/>
      <w:bookmarkStart w:id="295" w:name="_Toc63177745"/>
      <w:bookmarkStart w:id="296" w:name="_Toc63177871"/>
      <w:bookmarkStart w:id="297" w:name="_Toc63178500"/>
      <w:bookmarkStart w:id="298" w:name="_Toc63182592"/>
      <w:bookmarkStart w:id="299" w:name="_Toc63177746"/>
      <w:bookmarkStart w:id="300" w:name="_Toc63177872"/>
      <w:bookmarkStart w:id="301" w:name="_Toc63178501"/>
      <w:bookmarkStart w:id="302" w:name="_Toc63182593"/>
      <w:bookmarkStart w:id="303" w:name="_Toc63177747"/>
      <w:bookmarkStart w:id="304" w:name="_Toc63177873"/>
      <w:bookmarkStart w:id="305" w:name="_Toc63178502"/>
      <w:bookmarkStart w:id="306" w:name="_Toc63182594"/>
      <w:bookmarkStart w:id="307" w:name="_Toc63177748"/>
      <w:bookmarkStart w:id="308" w:name="_Toc63177874"/>
      <w:bookmarkStart w:id="309" w:name="_Toc63178503"/>
      <w:bookmarkStart w:id="310" w:name="_Toc63182595"/>
      <w:bookmarkStart w:id="311" w:name="_Toc63177749"/>
      <w:bookmarkStart w:id="312" w:name="_Toc63177875"/>
      <w:bookmarkStart w:id="313" w:name="_Toc63178504"/>
      <w:bookmarkStart w:id="314" w:name="_Toc63182596"/>
      <w:bookmarkStart w:id="315" w:name="_Toc63177750"/>
      <w:bookmarkStart w:id="316" w:name="_Toc63177876"/>
      <w:bookmarkStart w:id="317" w:name="_Toc63178505"/>
      <w:bookmarkStart w:id="318" w:name="_Toc63182597"/>
      <w:bookmarkStart w:id="319" w:name="_Toc63177751"/>
      <w:bookmarkStart w:id="320" w:name="_Toc63177877"/>
      <w:bookmarkStart w:id="321" w:name="_Toc63178506"/>
      <w:bookmarkStart w:id="322" w:name="_Toc63182598"/>
      <w:bookmarkStart w:id="323" w:name="_Toc63177752"/>
      <w:bookmarkStart w:id="324" w:name="_Toc63177878"/>
      <w:bookmarkStart w:id="325" w:name="_Toc63178507"/>
      <w:bookmarkStart w:id="326" w:name="_Toc63182599"/>
      <w:bookmarkStart w:id="327" w:name="_Toc63177753"/>
      <w:bookmarkStart w:id="328" w:name="_Toc63177879"/>
      <w:bookmarkStart w:id="329" w:name="_Toc63178508"/>
      <w:bookmarkStart w:id="330" w:name="_Toc63182600"/>
      <w:bookmarkStart w:id="331" w:name="_Toc63177754"/>
      <w:bookmarkStart w:id="332" w:name="_Toc63177880"/>
      <w:bookmarkStart w:id="333" w:name="_Toc63178509"/>
      <w:bookmarkStart w:id="334" w:name="_Toc63182601"/>
      <w:bookmarkStart w:id="335" w:name="_Toc63177755"/>
      <w:bookmarkStart w:id="336" w:name="_Toc63177881"/>
      <w:bookmarkStart w:id="337" w:name="_Toc63178510"/>
      <w:bookmarkStart w:id="338" w:name="_Toc63182602"/>
      <w:bookmarkStart w:id="339" w:name="_Toc63177756"/>
      <w:bookmarkStart w:id="340" w:name="_Toc63177882"/>
      <w:bookmarkStart w:id="341" w:name="_Toc63178511"/>
      <w:bookmarkStart w:id="342" w:name="_Toc63182603"/>
      <w:bookmarkStart w:id="343" w:name="_Toc63177757"/>
      <w:bookmarkStart w:id="344" w:name="_Toc63177883"/>
      <w:bookmarkStart w:id="345" w:name="_Toc63178512"/>
      <w:bookmarkStart w:id="346" w:name="_Toc63182604"/>
      <w:bookmarkStart w:id="347" w:name="_Toc63177758"/>
      <w:bookmarkStart w:id="348" w:name="_Toc63177884"/>
      <w:bookmarkStart w:id="349" w:name="_Toc63178513"/>
      <w:bookmarkStart w:id="350" w:name="_Toc63182605"/>
      <w:bookmarkStart w:id="351" w:name="_Toc63177759"/>
      <w:bookmarkStart w:id="352" w:name="_Toc63177885"/>
      <w:bookmarkStart w:id="353" w:name="_Toc63178514"/>
      <w:bookmarkStart w:id="354" w:name="_Toc63182606"/>
      <w:bookmarkStart w:id="355" w:name="_Toc63177760"/>
      <w:bookmarkStart w:id="356" w:name="_Toc63177886"/>
      <w:bookmarkStart w:id="357" w:name="_Toc63178515"/>
      <w:bookmarkStart w:id="358" w:name="_Toc63182607"/>
      <w:bookmarkStart w:id="359" w:name="_Toc63177761"/>
      <w:bookmarkStart w:id="360" w:name="_Toc63177887"/>
      <w:bookmarkStart w:id="361" w:name="_Toc63178516"/>
      <w:bookmarkStart w:id="362" w:name="_Toc63182608"/>
      <w:bookmarkStart w:id="363" w:name="_Toc63177762"/>
      <w:bookmarkStart w:id="364" w:name="_Toc63177888"/>
      <w:bookmarkStart w:id="365" w:name="_Toc63178517"/>
      <w:bookmarkStart w:id="366" w:name="_Toc63182609"/>
      <w:bookmarkStart w:id="367" w:name="_Toc63177763"/>
      <w:bookmarkStart w:id="368" w:name="_Toc63177889"/>
      <w:bookmarkStart w:id="369" w:name="_Toc63178518"/>
      <w:bookmarkStart w:id="370" w:name="_Toc63182610"/>
      <w:bookmarkStart w:id="371" w:name="_Toc63177764"/>
      <w:bookmarkStart w:id="372" w:name="_Toc63177890"/>
      <w:bookmarkStart w:id="373" w:name="_Toc63178519"/>
      <w:bookmarkStart w:id="374" w:name="_Toc63182611"/>
      <w:bookmarkStart w:id="375" w:name="_Toc63177765"/>
      <w:bookmarkStart w:id="376" w:name="_Toc63177891"/>
      <w:bookmarkStart w:id="377" w:name="_Toc63178520"/>
      <w:bookmarkStart w:id="378" w:name="_Toc63182612"/>
      <w:bookmarkStart w:id="379" w:name="_Toc63177766"/>
      <w:bookmarkStart w:id="380" w:name="_Toc63177892"/>
      <w:bookmarkStart w:id="381" w:name="_Toc63178521"/>
      <w:bookmarkStart w:id="382" w:name="_Toc63182613"/>
      <w:bookmarkStart w:id="383" w:name="_Toc63177767"/>
      <w:bookmarkStart w:id="384" w:name="_Toc63177893"/>
      <w:bookmarkStart w:id="385" w:name="_Toc63178522"/>
      <w:bookmarkStart w:id="386" w:name="_Toc63182614"/>
      <w:bookmarkStart w:id="387" w:name="_Toc63177768"/>
      <w:bookmarkStart w:id="388" w:name="_Toc63177894"/>
      <w:bookmarkStart w:id="389" w:name="_Toc63178523"/>
      <w:bookmarkStart w:id="390" w:name="_Toc63182615"/>
      <w:bookmarkStart w:id="391" w:name="_Toc63177769"/>
      <w:bookmarkStart w:id="392" w:name="_Toc63177895"/>
      <w:bookmarkStart w:id="393" w:name="_Toc63178524"/>
      <w:bookmarkStart w:id="394" w:name="_Toc63182616"/>
      <w:bookmarkStart w:id="395" w:name="_Toc63177770"/>
      <w:bookmarkStart w:id="396" w:name="_Toc63177896"/>
      <w:bookmarkStart w:id="397" w:name="_Toc63178525"/>
      <w:bookmarkStart w:id="398" w:name="_Toc63182617"/>
      <w:bookmarkStart w:id="399" w:name="_Toc63177771"/>
      <w:bookmarkStart w:id="400" w:name="_Toc63177897"/>
      <w:bookmarkStart w:id="401" w:name="_Toc63178526"/>
      <w:bookmarkStart w:id="402" w:name="_Toc63182618"/>
      <w:bookmarkStart w:id="403" w:name="_Toc63177772"/>
      <w:bookmarkStart w:id="404" w:name="_Toc63177898"/>
      <w:bookmarkStart w:id="405" w:name="_Toc63178527"/>
      <w:bookmarkStart w:id="406" w:name="_Toc63182619"/>
      <w:bookmarkStart w:id="407" w:name="_Toc63177773"/>
      <w:bookmarkStart w:id="408" w:name="_Toc63177899"/>
      <w:bookmarkStart w:id="409" w:name="_Toc63178528"/>
      <w:bookmarkStart w:id="410" w:name="_Toc63182620"/>
      <w:bookmarkStart w:id="411" w:name="_Toc63177774"/>
      <w:bookmarkStart w:id="412" w:name="_Toc63177900"/>
      <w:bookmarkStart w:id="413" w:name="_Toc63178529"/>
      <w:bookmarkStart w:id="414" w:name="_Toc63182621"/>
      <w:bookmarkStart w:id="415" w:name="_Toc63177775"/>
      <w:bookmarkStart w:id="416" w:name="_Toc63177901"/>
      <w:bookmarkStart w:id="417" w:name="_Toc63178530"/>
      <w:bookmarkStart w:id="418" w:name="_Toc63182622"/>
      <w:bookmarkStart w:id="419" w:name="_Toc63177776"/>
      <w:bookmarkStart w:id="420" w:name="_Toc63177902"/>
      <w:bookmarkStart w:id="421" w:name="_Toc63178531"/>
      <w:bookmarkStart w:id="422" w:name="_Toc63182623"/>
      <w:bookmarkStart w:id="423" w:name="_Toc63177777"/>
      <w:bookmarkStart w:id="424" w:name="_Toc63177903"/>
      <w:bookmarkStart w:id="425" w:name="_Toc63178532"/>
      <w:bookmarkStart w:id="426" w:name="_Toc63182624"/>
      <w:bookmarkStart w:id="427" w:name="_Toc63177778"/>
      <w:bookmarkStart w:id="428" w:name="_Toc63177904"/>
      <w:bookmarkStart w:id="429" w:name="_Toc63178533"/>
      <w:bookmarkStart w:id="430" w:name="_Toc63182625"/>
      <w:bookmarkStart w:id="431" w:name="_Toc21004169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4421A9">
        <w:rPr>
          <w:lang w:val="de-DE"/>
        </w:rPr>
        <w:lastRenderedPageBreak/>
        <w:t>G</w:t>
      </w:r>
      <w:r w:rsidR="007B0EF5" w:rsidRPr="004421A9">
        <w:rPr>
          <w:lang w:val="de-DE"/>
        </w:rPr>
        <w:t>esamt</w:t>
      </w:r>
      <w:r w:rsidRPr="004421A9">
        <w:rPr>
          <w:lang w:val="de-DE"/>
        </w:rPr>
        <w:t>zusammenhang</w:t>
      </w:r>
      <w:bookmarkEnd w:id="431"/>
    </w:p>
    <w:p w14:paraId="0D35E082" w14:textId="77777777" w:rsidR="00B65EDC" w:rsidRPr="004421A9" w:rsidRDefault="00B65EDC" w:rsidP="00B65EDC"/>
    <w:p w14:paraId="6E4CCEEF" w14:textId="4806BB42" w:rsidR="002E25E4" w:rsidRPr="004421A9" w:rsidRDefault="00FF1561" w:rsidP="002E25E4">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00B65EDC" w:rsidRPr="004421A9">
        <w:rPr>
          <w:bCs/>
          <w:color w:val="000000" w:themeColor="text1"/>
        </w:rPr>
        <w:tab/>
      </w:r>
      <w:bookmarkStart w:id="432" w:name="_Hlk191662773"/>
      <w:r w:rsidR="002E25E4" w:rsidRPr="004421A9">
        <w:rPr>
          <w:bCs/>
          <w:color w:val="000000" w:themeColor="text1"/>
        </w:rPr>
        <w:t xml:space="preserve">Die Aufgabe der UPOV besteht in der Bereitstellung und Förderung eines wirksamen Sortenschutzsystems (PVP) mit dem Ziel, die Entwicklung neuer Pflanzensorten zum Nutzen der Gesellschaft zu begünstigen. </w:t>
      </w:r>
    </w:p>
    <w:p w14:paraId="13ABA169" w14:textId="77777777" w:rsidR="002E25E4" w:rsidRPr="004421A9" w:rsidRDefault="002E25E4" w:rsidP="002E25E4">
      <w:pPr>
        <w:rPr>
          <w:bCs/>
          <w:color w:val="000000" w:themeColor="text1"/>
        </w:rPr>
      </w:pPr>
    </w:p>
    <w:p w14:paraId="3A5BF2EA" w14:textId="4262051E" w:rsidR="002E25E4" w:rsidRPr="004421A9" w:rsidRDefault="001964D8" w:rsidP="002E25E4">
      <w:pPr>
        <w:rPr>
          <w:bCs/>
          <w:color w:val="000000" w:themeColor="text1"/>
        </w:rPr>
      </w:pPr>
      <w:r w:rsidRPr="004421A9">
        <w:fldChar w:fldCharType="begin"/>
      </w:r>
      <w:r w:rsidRPr="004421A9">
        <w:instrText xml:space="preserve"> AUTONUM  </w:instrText>
      </w:r>
      <w:r w:rsidRPr="004421A9">
        <w:fldChar w:fldCharType="end"/>
      </w:r>
      <w:r w:rsidR="002E25E4" w:rsidRPr="004421A9">
        <w:rPr>
          <w:bCs/>
          <w:color w:val="000000" w:themeColor="text1"/>
        </w:rPr>
        <w:tab/>
        <w:t>In der Rechnungsperiode 2026-2027 wird sich die UPOV gemäß dem Strategischen Geschäftsplan der UPOV auf vorrangige Bereiche konzentrieren. Dies spiegelt sich in den vorgeschlagenen Ausgaben für diese vorrangigen Bereiche und in der Begrenzung der Personalkosten wider. Die Arbeit in den Bereichen Kommunikation und Digitalisierung wird eine zentrale Rolle spielen, um die erwarteten Ergebnisse zu erzielen. Bis zusätzliche Finanzmittel gesichert werden können, werden neue Initiativen sorgfältig geprüft und verstärkt virtuelle/hybride Sitzungsinstrumente und die Online-Teilnahme an von Dritten organisierten Veranstaltungen eingesetzt, was zu einer Verringerung der Reisezeit und der Reisekosten führen wird.</w:t>
      </w:r>
    </w:p>
    <w:p w14:paraId="7482D691" w14:textId="77777777" w:rsidR="002E25E4" w:rsidRPr="004421A9" w:rsidRDefault="002E25E4" w:rsidP="002E25E4">
      <w:pPr>
        <w:rPr>
          <w:bCs/>
          <w:color w:val="000000" w:themeColor="text1"/>
        </w:rPr>
      </w:pPr>
    </w:p>
    <w:p w14:paraId="17E0078D" w14:textId="7703581A" w:rsidR="00B65EDC" w:rsidRPr="004421A9" w:rsidRDefault="00A5641E" w:rsidP="002E25E4">
      <w:r w:rsidRPr="004421A9">
        <w:fldChar w:fldCharType="begin"/>
      </w:r>
      <w:r w:rsidRPr="004421A9">
        <w:instrText xml:space="preserve"> AUTONUM  </w:instrText>
      </w:r>
      <w:r w:rsidRPr="004421A9">
        <w:fldChar w:fldCharType="end"/>
      </w:r>
      <w:r w:rsidR="002E25E4" w:rsidRPr="004421A9">
        <w:rPr>
          <w:bCs/>
          <w:color w:val="000000" w:themeColor="text1"/>
        </w:rPr>
        <w:tab/>
        <w:t xml:space="preserve">Dem Rat der UPOV wird im Oktober 2025 eine </w:t>
      </w:r>
      <w:r w:rsidR="00861F20" w:rsidRPr="004421A9">
        <w:rPr>
          <w:bCs/>
          <w:color w:val="000000" w:themeColor="text1"/>
        </w:rPr>
        <w:t>Ressourcenstrategie</w:t>
      </w:r>
      <w:r w:rsidR="00A476A4" w:rsidRPr="004421A9">
        <w:rPr>
          <w:bCs/>
          <w:color w:val="000000" w:themeColor="text1"/>
        </w:rPr>
        <w:t xml:space="preserve"> der UPOV (Dokument C/59/16)</w:t>
      </w:r>
      <w:r w:rsidR="002E25E4" w:rsidRPr="004421A9">
        <w:rPr>
          <w:bCs/>
          <w:color w:val="000000" w:themeColor="text1"/>
        </w:rPr>
        <w:t xml:space="preserve"> mit Vorschlägen zur Bewältigung finanzieller Herausforderungen und Möglichkeiten zur Gewährleistung einer nachhaltigen Entwicklung der UPOV vorgelegt werden</w:t>
      </w:r>
      <w:r w:rsidR="00B65EDC" w:rsidRPr="004421A9">
        <w:t>.</w:t>
      </w:r>
    </w:p>
    <w:p w14:paraId="088E586F" w14:textId="77777777" w:rsidR="00B65EDC" w:rsidRPr="004421A9" w:rsidRDefault="00B65EDC" w:rsidP="00B65EDC">
      <w:pPr>
        <w:rPr>
          <w:bCs/>
          <w:color w:val="000000" w:themeColor="text1"/>
        </w:rPr>
      </w:pPr>
    </w:p>
    <w:p w14:paraId="57E3543E" w14:textId="77777777" w:rsidR="00B65EDC" w:rsidRPr="004421A9" w:rsidRDefault="00B65EDC" w:rsidP="00B65EDC">
      <w:pPr>
        <w:rPr>
          <w:bCs/>
          <w:color w:val="000000" w:themeColor="text1"/>
        </w:rPr>
      </w:pPr>
    </w:p>
    <w:p w14:paraId="4723B806" w14:textId="77777777" w:rsidR="00B65EDC" w:rsidRPr="004421A9" w:rsidRDefault="00B65EDC" w:rsidP="00B65EDC">
      <w:pPr>
        <w:rPr>
          <w:bCs/>
          <w:color w:val="000000" w:themeColor="text1"/>
          <w:u w:val="single"/>
        </w:rPr>
      </w:pPr>
      <w:r w:rsidRPr="004421A9">
        <w:rPr>
          <w:bCs/>
          <w:color w:val="000000" w:themeColor="text1"/>
          <w:u w:val="single"/>
        </w:rPr>
        <w:t>Erweiterung der UPOV-Mitgliedschaft</w:t>
      </w:r>
    </w:p>
    <w:p w14:paraId="40578E6E" w14:textId="77777777" w:rsidR="00B65EDC" w:rsidRPr="004421A9" w:rsidRDefault="00B65EDC" w:rsidP="00B65EDC">
      <w:pPr>
        <w:rPr>
          <w:bCs/>
          <w:color w:val="000000" w:themeColor="text1"/>
        </w:rPr>
      </w:pPr>
    </w:p>
    <w:p w14:paraId="79FFDA0A" w14:textId="556CE3CB" w:rsidR="00B65EDC" w:rsidRPr="004421A9" w:rsidRDefault="00D353FA"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00B65EDC" w:rsidRPr="004421A9">
        <w:rPr>
          <w:bCs/>
          <w:color w:val="000000" w:themeColor="text1"/>
        </w:rPr>
        <w:tab/>
      </w:r>
      <w:r w:rsidR="00181D5E" w:rsidRPr="004421A9">
        <w:rPr>
          <w:bCs/>
          <w:color w:val="000000" w:themeColor="text1"/>
        </w:rPr>
        <w:t>Die Erweiterung der UPOV-Mitgliedschaft ist weiterhin eine Priorität für die Organisation</w:t>
      </w:r>
      <w:r w:rsidR="00B65EDC" w:rsidRPr="004421A9">
        <w:rPr>
          <w:bCs/>
          <w:color w:val="000000" w:themeColor="text1"/>
        </w:rPr>
        <w:t xml:space="preserve">. </w:t>
      </w:r>
      <w:r w:rsidR="005237AC" w:rsidRPr="004421A9">
        <w:rPr>
          <w:bCs/>
          <w:color w:val="000000" w:themeColor="text1"/>
        </w:rPr>
        <w:t xml:space="preserve">In der Rechnungsperiode 2026-2027 wird die UPOV weiterhin mit internationalen und regionalen Organisationen zusammenarbeiten, um </w:t>
      </w:r>
      <w:r w:rsidR="00161ED9" w:rsidRPr="004421A9">
        <w:rPr>
          <w:bCs/>
          <w:color w:val="000000" w:themeColor="text1"/>
        </w:rPr>
        <w:t>diese Priorität</w:t>
      </w:r>
      <w:r w:rsidR="005237AC" w:rsidRPr="004421A9">
        <w:rPr>
          <w:bCs/>
          <w:color w:val="000000" w:themeColor="text1"/>
        </w:rPr>
        <w:t xml:space="preserve"> in die Entwicklungsgespräche zu integrieren (z. B. die Rolle des Sortenschutzes für die Ziele nachhaltiger Entwicklung, die Bewältigung des Klimawandels und den Beitrag zu einem besseren Leben und einem besseren Planeten)</w:t>
      </w:r>
      <w:r w:rsidR="00B65EDC" w:rsidRPr="004421A9">
        <w:rPr>
          <w:bCs/>
          <w:color w:val="000000" w:themeColor="text1"/>
        </w:rPr>
        <w:t>.</w:t>
      </w:r>
      <w:r w:rsidR="00640924" w:rsidRPr="004421A9">
        <w:rPr>
          <w:bCs/>
          <w:color w:val="000000" w:themeColor="text1"/>
        </w:rPr>
        <w:t xml:space="preserve"> </w:t>
      </w:r>
    </w:p>
    <w:p w14:paraId="675CA7CB" w14:textId="77777777" w:rsidR="00B65EDC" w:rsidRPr="004421A9" w:rsidRDefault="00B65EDC" w:rsidP="00B65EDC">
      <w:pPr>
        <w:rPr>
          <w:bCs/>
          <w:color w:val="000000" w:themeColor="text1"/>
        </w:rPr>
      </w:pPr>
    </w:p>
    <w:p w14:paraId="689E01D1" w14:textId="79A434AD"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114FA4" w:rsidRPr="004421A9">
        <w:rPr>
          <w:bCs/>
          <w:color w:val="000000" w:themeColor="text1"/>
        </w:rPr>
        <w:t>Das zunehmende Interesse an Sortenschutz in Ländern Afrikas und Südostasiens, von denen viele der UPOV beigetreten sind oder auf eine Mitgliedschaft hinarbeiten, unterstreicht die Wirkung dieser Initiativen. Durch die Förderung des Zugangs zu klimaresistenten Sorten unterstützt das UPOV-Sortenschutzsystem sowohl die Produktivität als auch die Nachhaltigkeit in der gesamten landwirtschaftlichen und gartenbaulichen Wertschöpfungskette</w:t>
      </w:r>
      <w:r w:rsidRPr="004421A9">
        <w:rPr>
          <w:bCs/>
          <w:color w:val="000000" w:themeColor="text1"/>
        </w:rPr>
        <w:t>.</w:t>
      </w:r>
    </w:p>
    <w:p w14:paraId="10B89E6C" w14:textId="77777777" w:rsidR="00B65EDC" w:rsidRPr="004421A9" w:rsidRDefault="00B65EDC" w:rsidP="00B65EDC">
      <w:pPr>
        <w:rPr>
          <w:bCs/>
          <w:color w:val="000000" w:themeColor="text1"/>
        </w:rPr>
      </w:pPr>
    </w:p>
    <w:p w14:paraId="15A25381" w14:textId="73569B8A"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1A7682" w:rsidRPr="004421A9">
        <w:rPr>
          <w:bCs/>
          <w:color w:val="000000" w:themeColor="text1"/>
        </w:rPr>
        <w:t>Eine verstärkte Zusammenarbeit mit regionalen Plattformen wie der Afrikanischen Regionalorganisation für geistiges Eigentum (ARIPO) ist ebenfalls wichtig. Neben dem wachsenden Engagement der ARIPO zeigt das Inkrafttreten des Arusha-Protokolls der ARIPO über Sortenschutz im November 2024, welche Dynamik in ganz Afrika die Bemühungen um die Stärkung des Sortenschutzes und die Förderung landwirtschaftlicher Innovationen entwickeln</w:t>
      </w:r>
      <w:r w:rsidRPr="004421A9">
        <w:rPr>
          <w:bCs/>
          <w:color w:val="000000" w:themeColor="text1"/>
        </w:rPr>
        <w:t>.</w:t>
      </w:r>
    </w:p>
    <w:p w14:paraId="0F6A2D2B" w14:textId="77777777" w:rsidR="00B65EDC" w:rsidRPr="004421A9" w:rsidRDefault="00B65EDC" w:rsidP="00B65EDC">
      <w:pPr>
        <w:rPr>
          <w:bCs/>
          <w:color w:val="000000" w:themeColor="text1"/>
        </w:rPr>
      </w:pPr>
    </w:p>
    <w:p w14:paraId="77539206" w14:textId="77777777" w:rsidR="00B65EDC" w:rsidRPr="004421A9" w:rsidRDefault="00B65EDC" w:rsidP="00B65EDC">
      <w:pPr>
        <w:rPr>
          <w:bCs/>
          <w:color w:val="000000" w:themeColor="text1"/>
        </w:rPr>
      </w:pPr>
    </w:p>
    <w:p w14:paraId="5C15F45A" w14:textId="77777777" w:rsidR="00B65EDC" w:rsidRPr="004421A9" w:rsidRDefault="00B65EDC" w:rsidP="00B65EDC">
      <w:pPr>
        <w:rPr>
          <w:bCs/>
          <w:color w:val="000000" w:themeColor="text1"/>
          <w:u w:val="single"/>
        </w:rPr>
      </w:pPr>
      <w:r w:rsidRPr="004421A9">
        <w:rPr>
          <w:bCs/>
          <w:color w:val="000000" w:themeColor="text1"/>
          <w:u w:val="single"/>
        </w:rPr>
        <w:t>Ernährungssicherheit und Auswirkungen des Klimawandels</w:t>
      </w:r>
    </w:p>
    <w:p w14:paraId="514C0A6B" w14:textId="77777777" w:rsidR="00B65EDC" w:rsidRPr="004421A9" w:rsidRDefault="00B65EDC" w:rsidP="00B65EDC">
      <w:pPr>
        <w:rPr>
          <w:bCs/>
          <w:color w:val="000000" w:themeColor="text1"/>
        </w:rPr>
      </w:pPr>
    </w:p>
    <w:p w14:paraId="6D389006" w14:textId="41CA3DAA"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2705C9" w:rsidRPr="004421A9">
        <w:rPr>
          <w:bCs/>
          <w:color w:val="000000" w:themeColor="text1"/>
        </w:rPr>
        <w:t>Der Generalsekretär der UPOV berichtete in seiner Rede vor dem Rat</w:t>
      </w:r>
      <w:r w:rsidR="00BC2AF6" w:rsidRPr="004421A9">
        <w:rPr>
          <w:bCs/>
          <w:color w:val="000000" w:themeColor="text1"/>
        </w:rPr>
        <w:t xml:space="preserve"> der UPOV</w:t>
      </w:r>
      <w:r w:rsidR="002705C9" w:rsidRPr="004421A9">
        <w:rPr>
          <w:bCs/>
          <w:color w:val="000000" w:themeColor="text1"/>
        </w:rPr>
        <w:t xml:space="preserve"> im Oktober 2024, dass 2023 das wärmste Jahr seit Beginn der Aufzeichnungen war. </w:t>
      </w:r>
      <w:r w:rsidR="0057732D" w:rsidRPr="004421A9">
        <w:rPr>
          <w:bCs/>
          <w:color w:val="000000" w:themeColor="text1"/>
        </w:rPr>
        <w:t xml:space="preserve">Gleichzeitig sind mehr als 860 Millionen Menschen von schwerer Ernährungsunsicherheit betroffen. </w:t>
      </w:r>
      <w:r w:rsidR="001B62AE" w:rsidRPr="004421A9">
        <w:rPr>
          <w:bCs/>
          <w:color w:val="000000" w:themeColor="text1"/>
        </w:rPr>
        <w:t>In Afrika sind fast 60 Prozent der Bevölkerung entweder mäßig oder stark von Ernährungsunsicherheit betroffen.</w:t>
      </w:r>
    </w:p>
    <w:p w14:paraId="2DFA1843" w14:textId="77777777" w:rsidR="00B65EDC" w:rsidRPr="004421A9" w:rsidRDefault="00B65EDC" w:rsidP="00B65EDC">
      <w:pPr>
        <w:rPr>
          <w:bCs/>
          <w:color w:val="000000" w:themeColor="text1"/>
        </w:rPr>
      </w:pPr>
    </w:p>
    <w:p w14:paraId="6E819356" w14:textId="6DF85089"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C10355" w:rsidRPr="004421A9">
        <w:rPr>
          <w:bCs/>
          <w:color w:val="000000" w:themeColor="text1"/>
        </w:rPr>
        <w:t>Da die Nachfrage nach Nahrungsmitteln mit dem Bevölkerungswachstum steigt und sich die Auswirkungen des Klimawandels verstärken, sind Innovationen für die Gewährleistung der Ernährungssicherheit, die Steigerung der Produktivität und den Aufbau von Widerstandsfähigkeit unerlässlich</w:t>
      </w:r>
      <w:r w:rsidRPr="004421A9">
        <w:rPr>
          <w:bCs/>
          <w:color w:val="000000" w:themeColor="text1"/>
        </w:rPr>
        <w:t xml:space="preserve">. </w:t>
      </w:r>
      <w:r w:rsidR="00C10355" w:rsidRPr="004421A9">
        <w:rPr>
          <w:bCs/>
          <w:color w:val="000000" w:themeColor="text1"/>
        </w:rPr>
        <w:t xml:space="preserve">Diese Entwicklungen unterstreichen die wachsende Bedeutung von Innovationen </w:t>
      </w:r>
      <w:r w:rsidR="003B7114" w:rsidRPr="004421A9">
        <w:rPr>
          <w:bCs/>
          <w:color w:val="000000" w:themeColor="text1"/>
        </w:rPr>
        <w:t>in der</w:t>
      </w:r>
      <w:r w:rsidR="003247D7" w:rsidRPr="004421A9">
        <w:rPr>
          <w:bCs/>
          <w:color w:val="000000" w:themeColor="text1"/>
        </w:rPr>
        <w:t xml:space="preserve"> Landwirtschaft </w:t>
      </w:r>
      <w:r w:rsidR="003B7114" w:rsidRPr="004421A9">
        <w:rPr>
          <w:bCs/>
          <w:color w:val="000000" w:themeColor="text1"/>
        </w:rPr>
        <w:t>und im</w:t>
      </w:r>
      <w:r w:rsidR="003247D7" w:rsidRPr="004421A9">
        <w:rPr>
          <w:bCs/>
          <w:color w:val="000000" w:themeColor="text1"/>
        </w:rPr>
        <w:t xml:space="preserve"> Gartenbau</w:t>
      </w:r>
      <w:r w:rsidR="00D358B5" w:rsidRPr="004421A9">
        <w:rPr>
          <w:bCs/>
          <w:color w:val="000000" w:themeColor="text1"/>
        </w:rPr>
        <w:t>.</w:t>
      </w:r>
    </w:p>
    <w:p w14:paraId="7BFE31A4" w14:textId="77777777" w:rsidR="00B65EDC" w:rsidRPr="004421A9" w:rsidRDefault="00B65EDC" w:rsidP="00B65EDC">
      <w:pPr>
        <w:rPr>
          <w:bCs/>
          <w:color w:val="000000" w:themeColor="text1"/>
        </w:rPr>
      </w:pPr>
    </w:p>
    <w:p w14:paraId="61C353E4" w14:textId="240E2C7C"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9D324C" w:rsidRPr="004421A9">
        <w:rPr>
          <w:bCs/>
          <w:color w:val="000000" w:themeColor="text1"/>
        </w:rPr>
        <w:t xml:space="preserve">Dies ist besonders wichtig </w:t>
      </w:r>
      <w:r w:rsidR="003B7114" w:rsidRPr="004421A9">
        <w:rPr>
          <w:bCs/>
          <w:color w:val="000000" w:themeColor="text1"/>
        </w:rPr>
        <w:t>in der</w:t>
      </w:r>
      <w:r w:rsidR="009D324C" w:rsidRPr="004421A9">
        <w:rPr>
          <w:bCs/>
          <w:color w:val="000000" w:themeColor="text1"/>
        </w:rPr>
        <w:t xml:space="preserve"> Landwirtschaft </w:t>
      </w:r>
      <w:r w:rsidR="003B7114" w:rsidRPr="004421A9">
        <w:rPr>
          <w:bCs/>
          <w:color w:val="000000" w:themeColor="text1"/>
        </w:rPr>
        <w:t>und im</w:t>
      </w:r>
      <w:r w:rsidR="009D324C" w:rsidRPr="004421A9">
        <w:rPr>
          <w:bCs/>
          <w:color w:val="000000" w:themeColor="text1"/>
        </w:rPr>
        <w:t xml:space="preserve"> Garten</w:t>
      </w:r>
      <w:r w:rsidR="005B4D6B" w:rsidRPr="004421A9">
        <w:rPr>
          <w:bCs/>
          <w:color w:val="000000" w:themeColor="text1"/>
        </w:rPr>
        <w:t>bau</w:t>
      </w:r>
      <w:r w:rsidR="009D324C" w:rsidRPr="004421A9">
        <w:rPr>
          <w:bCs/>
          <w:color w:val="000000" w:themeColor="text1"/>
        </w:rPr>
        <w:t xml:space="preserve">, wo in vielen Ländern ein großer Teil der Bevölkerung in der Landwirtschaft und im Handel tätig ist. </w:t>
      </w:r>
      <w:r w:rsidR="002C65B7" w:rsidRPr="004421A9">
        <w:rPr>
          <w:bCs/>
          <w:color w:val="000000" w:themeColor="text1"/>
        </w:rPr>
        <w:t>Das Sortenschutzsystem der UPOV spielt eine zentrale Rolle</w:t>
      </w:r>
      <w:r w:rsidRPr="004421A9">
        <w:rPr>
          <w:bCs/>
          <w:color w:val="000000" w:themeColor="text1"/>
        </w:rPr>
        <w:t xml:space="preserve">, indem </w:t>
      </w:r>
      <w:r w:rsidR="009D324C" w:rsidRPr="004421A9">
        <w:rPr>
          <w:bCs/>
          <w:color w:val="000000" w:themeColor="text1"/>
        </w:rPr>
        <w:t>es</w:t>
      </w:r>
      <w:r w:rsidRPr="004421A9">
        <w:rPr>
          <w:bCs/>
          <w:color w:val="000000" w:themeColor="text1"/>
        </w:rPr>
        <w:t xml:space="preserve"> Anreize für </w:t>
      </w:r>
      <w:r w:rsidR="009D324C" w:rsidRPr="004421A9">
        <w:rPr>
          <w:bCs/>
          <w:color w:val="000000" w:themeColor="text1"/>
        </w:rPr>
        <w:t>Innovationen in diesen Sektoren schafft und</w:t>
      </w:r>
      <w:r w:rsidR="00F930D2" w:rsidRPr="004421A9">
        <w:rPr>
          <w:bCs/>
          <w:color w:val="000000" w:themeColor="text1"/>
        </w:rPr>
        <w:t xml:space="preserve"> </w:t>
      </w:r>
      <w:r w:rsidRPr="004421A9">
        <w:rPr>
          <w:bCs/>
          <w:color w:val="000000" w:themeColor="text1"/>
        </w:rPr>
        <w:t>die Entwicklung und Vermarktung neuer Pflanzensorten</w:t>
      </w:r>
      <w:r w:rsidR="00AE42F7" w:rsidRPr="004421A9">
        <w:rPr>
          <w:bCs/>
          <w:color w:val="000000" w:themeColor="text1"/>
        </w:rPr>
        <w:t xml:space="preserve"> erleichtert</w:t>
      </w:r>
      <w:r w:rsidRPr="004421A9">
        <w:rPr>
          <w:bCs/>
          <w:color w:val="000000" w:themeColor="text1"/>
        </w:rPr>
        <w:t xml:space="preserve">. </w:t>
      </w:r>
      <w:r w:rsidR="00BA135F" w:rsidRPr="004421A9">
        <w:rPr>
          <w:bCs/>
          <w:color w:val="000000" w:themeColor="text1"/>
        </w:rPr>
        <w:t xml:space="preserve">Durch den Schutz der Züchterrechte können Züchter ihre Investitionen in die Züchtung </w:t>
      </w:r>
      <w:r w:rsidR="0025028A" w:rsidRPr="004421A9">
        <w:rPr>
          <w:bCs/>
          <w:color w:val="000000" w:themeColor="text1"/>
        </w:rPr>
        <w:t xml:space="preserve">amortisieren </w:t>
      </w:r>
      <w:r w:rsidR="00BA135F" w:rsidRPr="004421A9">
        <w:rPr>
          <w:bCs/>
          <w:color w:val="000000" w:themeColor="text1"/>
        </w:rPr>
        <w:t>und so die Einführung ertragreicher, schädlingsresistenter und klimafreundlicher Pflanzen vorantreiben.</w:t>
      </w:r>
      <w:r w:rsidRPr="004421A9">
        <w:rPr>
          <w:bCs/>
          <w:color w:val="000000" w:themeColor="text1"/>
        </w:rPr>
        <w:t xml:space="preserve"> Beispiele aus Ländern wie Vietnam zeigen, dass </w:t>
      </w:r>
      <w:r w:rsidR="00757F17" w:rsidRPr="004421A9">
        <w:rPr>
          <w:bCs/>
          <w:color w:val="000000" w:themeColor="text1"/>
        </w:rPr>
        <w:t>Sortens</w:t>
      </w:r>
      <w:r w:rsidRPr="004421A9">
        <w:rPr>
          <w:bCs/>
          <w:color w:val="000000" w:themeColor="text1"/>
        </w:rPr>
        <w:t xml:space="preserve">chutz und die </w:t>
      </w:r>
      <w:r w:rsidR="00757F17" w:rsidRPr="004421A9">
        <w:rPr>
          <w:bCs/>
          <w:color w:val="000000" w:themeColor="text1"/>
        </w:rPr>
        <w:t>UPOV-</w:t>
      </w:r>
      <w:r w:rsidRPr="004421A9">
        <w:rPr>
          <w:bCs/>
          <w:color w:val="000000" w:themeColor="text1"/>
        </w:rPr>
        <w:t xml:space="preserve">Mitgliedschaft zu einem Anstieg der Investitionen des Privatsektors in die Entwicklung von Pflanzensorten geführt haben, </w:t>
      </w:r>
      <w:r w:rsidR="004B0B86" w:rsidRPr="004421A9">
        <w:rPr>
          <w:bCs/>
          <w:color w:val="000000" w:themeColor="text1"/>
        </w:rPr>
        <w:t xml:space="preserve">was die landwirtschaftliche Innovation und das Wirtschaftswachstum </w:t>
      </w:r>
      <w:r w:rsidR="004B0B86" w:rsidRPr="004421A9">
        <w:rPr>
          <w:bCs/>
          <w:color w:val="000000" w:themeColor="text1"/>
        </w:rPr>
        <w:lastRenderedPageBreak/>
        <w:t xml:space="preserve">beschleunigt hat. </w:t>
      </w:r>
      <w:r w:rsidRPr="004421A9">
        <w:rPr>
          <w:bCs/>
          <w:color w:val="000000" w:themeColor="text1"/>
        </w:rPr>
        <w:t xml:space="preserve">Der Schutz der Züchterrechte </w:t>
      </w:r>
      <w:r w:rsidR="006C6A3B" w:rsidRPr="004421A9">
        <w:rPr>
          <w:bCs/>
          <w:color w:val="000000" w:themeColor="text1"/>
        </w:rPr>
        <w:t>treibt nicht nur die</w:t>
      </w:r>
      <w:r w:rsidRPr="004421A9">
        <w:rPr>
          <w:bCs/>
          <w:color w:val="000000" w:themeColor="text1"/>
        </w:rPr>
        <w:t xml:space="preserve"> Innovationen</w:t>
      </w:r>
      <w:r w:rsidR="006C6A3B" w:rsidRPr="004421A9">
        <w:rPr>
          <w:bCs/>
          <w:color w:val="000000" w:themeColor="text1"/>
        </w:rPr>
        <w:t xml:space="preserve"> voran</w:t>
      </w:r>
      <w:r w:rsidRPr="004421A9">
        <w:rPr>
          <w:bCs/>
          <w:color w:val="000000" w:themeColor="text1"/>
        </w:rPr>
        <w:t xml:space="preserve">, sondern </w:t>
      </w:r>
      <w:r w:rsidR="006C6A3B" w:rsidRPr="004421A9">
        <w:rPr>
          <w:bCs/>
          <w:color w:val="000000" w:themeColor="text1"/>
        </w:rPr>
        <w:t xml:space="preserve">fördert </w:t>
      </w:r>
      <w:r w:rsidRPr="004421A9">
        <w:rPr>
          <w:bCs/>
          <w:color w:val="000000" w:themeColor="text1"/>
        </w:rPr>
        <w:t xml:space="preserve">auch die </w:t>
      </w:r>
      <w:r w:rsidR="006C6A3B" w:rsidRPr="004421A9">
        <w:rPr>
          <w:bCs/>
          <w:color w:val="000000" w:themeColor="text1"/>
        </w:rPr>
        <w:t xml:space="preserve">weitere </w:t>
      </w:r>
      <w:r w:rsidRPr="004421A9">
        <w:rPr>
          <w:bCs/>
          <w:color w:val="000000" w:themeColor="text1"/>
        </w:rPr>
        <w:t xml:space="preserve">Verbreitung neuer Sorten, </w:t>
      </w:r>
      <w:r w:rsidR="007A6024" w:rsidRPr="004421A9">
        <w:rPr>
          <w:bCs/>
          <w:color w:val="000000" w:themeColor="text1"/>
        </w:rPr>
        <w:t>wodurch Produktivität und Nachhaltigkeit gesteigert werden</w:t>
      </w:r>
      <w:r w:rsidRPr="004421A9">
        <w:rPr>
          <w:bCs/>
          <w:color w:val="000000" w:themeColor="text1"/>
        </w:rPr>
        <w:t>.</w:t>
      </w:r>
      <w:r w:rsidR="00640924" w:rsidRPr="004421A9">
        <w:rPr>
          <w:bCs/>
          <w:color w:val="000000" w:themeColor="text1"/>
        </w:rPr>
        <w:t xml:space="preserve"> </w:t>
      </w:r>
    </w:p>
    <w:p w14:paraId="1D7640A6" w14:textId="77777777" w:rsidR="00B65EDC" w:rsidRPr="004421A9" w:rsidRDefault="00B65EDC" w:rsidP="00B65EDC">
      <w:pPr>
        <w:rPr>
          <w:bCs/>
          <w:color w:val="000000" w:themeColor="text1"/>
        </w:rPr>
      </w:pPr>
    </w:p>
    <w:p w14:paraId="5C9AEC95" w14:textId="7A7FECFE"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D74040" w:rsidRPr="004421A9">
        <w:rPr>
          <w:bCs/>
          <w:color w:val="000000" w:themeColor="text1"/>
        </w:rPr>
        <w:t xml:space="preserve">Die Rolle, die das UPOV-System spielt, um sicherzustellen, dass alle Landwirte und Züchter Zugang zu qualitativ hochwertigen Pflanzensorten haben, die ihren Bedürfnissen entsprechen und gegenüber </w:t>
      </w:r>
      <w:r w:rsidR="006C45E6" w:rsidRPr="004421A9">
        <w:rPr>
          <w:bCs/>
          <w:color w:val="000000" w:themeColor="text1"/>
        </w:rPr>
        <w:t xml:space="preserve">der </w:t>
      </w:r>
      <w:r w:rsidR="00D74040" w:rsidRPr="004421A9">
        <w:rPr>
          <w:bCs/>
          <w:color w:val="000000" w:themeColor="text1"/>
        </w:rPr>
        <w:t>Klimaveränderung widerstandsfähig sind, wird weiterhin eine Priorität bleiben. Erfolgsgeschichten von Nutzern des UPOV-Systems werden entscheidend dazu beitragen, dessen Vorteile zu demonstrieren. Im Jahr 2026 wird ein Seminar organisiert werden, um diese Themen zu beleuchten.</w:t>
      </w:r>
    </w:p>
    <w:p w14:paraId="3E72E686" w14:textId="77777777" w:rsidR="00B65EDC" w:rsidRPr="004421A9" w:rsidRDefault="00B65EDC" w:rsidP="00B65EDC">
      <w:pPr>
        <w:rPr>
          <w:bCs/>
          <w:color w:val="000000" w:themeColor="text1"/>
        </w:rPr>
      </w:pPr>
    </w:p>
    <w:p w14:paraId="590266B7" w14:textId="77777777" w:rsidR="00B65EDC" w:rsidRPr="004421A9" w:rsidRDefault="00B65EDC" w:rsidP="00B65EDC">
      <w:pPr>
        <w:rPr>
          <w:bCs/>
          <w:color w:val="000000" w:themeColor="text1"/>
        </w:rPr>
      </w:pPr>
    </w:p>
    <w:p w14:paraId="4C2B519F" w14:textId="77777777" w:rsidR="00B65EDC" w:rsidRPr="004421A9" w:rsidRDefault="00B65EDC" w:rsidP="00B65EDC">
      <w:pPr>
        <w:keepNext/>
        <w:rPr>
          <w:iCs/>
          <w:u w:val="single"/>
        </w:rPr>
      </w:pPr>
      <w:r w:rsidRPr="004421A9">
        <w:rPr>
          <w:iCs/>
          <w:u w:val="single"/>
        </w:rPr>
        <w:t xml:space="preserve">Digitalisierung und neue Technologien </w:t>
      </w:r>
    </w:p>
    <w:p w14:paraId="34E7241E" w14:textId="77777777" w:rsidR="00B65EDC" w:rsidRPr="004421A9" w:rsidRDefault="00B65EDC" w:rsidP="00B65EDC">
      <w:pPr>
        <w:keepNext/>
        <w:rPr>
          <w:u w:val="single"/>
        </w:rPr>
      </w:pPr>
    </w:p>
    <w:p w14:paraId="22616732" w14:textId="7E21F20A" w:rsidR="00B65EDC" w:rsidRPr="004421A9" w:rsidRDefault="00B65EDC" w:rsidP="00B65EDC">
      <w:pPr>
        <w:rPr>
          <w:bCs/>
          <w:color w:val="000000" w:themeColor="text1"/>
        </w:rPr>
      </w:pPr>
      <w:r w:rsidRPr="004421A9">
        <w:fldChar w:fldCharType="begin"/>
      </w:r>
      <w:r w:rsidRPr="004421A9">
        <w:instrText xml:space="preserve"> AUTONUM  </w:instrText>
      </w:r>
      <w:r w:rsidRPr="004421A9">
        <w:fldChar w:fldCharType="end"/>
      </w:r>
      <w:r w:rsidRPr="004421A9">
        <w:tab/>
      </w:r>
      <w:r w:rsidR="001F36C2" w:rsidRPr="004421A9">
        <w:rPr>
          <w:bCs/>
          <w:color w:val="000000" w:themeColor="text1"/>
        </w:rPr>
        <w:t>In den letzten Jahren haben die Entwicklung und Einführung neuer Technologien wie künstliche Intelligenz in beispiellosem Tempo Fortschritte gemacht, und der Bereich des Sortenschutzes bildet dabei keine Ausnahme.</w:t>
      </w:r>
      <w:r w:rsidRPr="004421A9">
        <w:rPr>
          <w:bCs/>
          <w:color w:val="000000" w:themeColor="text1"/>
        </w:rPr>
        <w:t xml:space="preserve"> </w:t>
      </w:r>
      <w:r w:rsidR="00CA2276" w:rsidRPr="004421A9">
        <w:rPr>
          <w:bCs/>
          <w:color w:val="000000" w:themeColor="text1"/>
        </w:rPr>
        <w:t>Fortschritte in den biologischen Wissenschaften und DNS-basierten Informationen bieten Möglichkeiten für eine verstärkte Zusammenarbeit zwischen UPOV-Mitgliedern und Effizienzsteigerungen bei der Sortenprüfung, wodurch der Zeitaufwand und andere Mittel, die für die Erteilung von Züchterrechten erforderlich sind, möglicherweise reduziert werden können</w:t>
      </w:r>
      <w:r w:rsidRPr="004421A9">
        <w:t>.</w:t>
      </w:r>
      <w:r w:rsidR="00CA2276" w:rsidRPr="004421A9">
        <w:t xml:space="preserve"> In Zusammenarbeit mit UPOV-Mitgliedern und Züchtern wurden </w:t>
      </w:r>
      <w:r w:rsidR="00CA2276" w:rsidRPr="004421A9">
        <w:rPr>
          <w:bCs/>
          <w:color w:val="000000" w:themeColor="text1"/>
        </w:rPr>
        <w:t xml:space="preserve">digitale Instrumente wie </w:t>
      </w:r>
      <w:r w:rsidR="00CA2276" w:rsidRPr="004421A9">
        <w:t>UPOV e-PVP entwickelt.</w:t>
      </w:r>
      <w:r w:rsidRPr="004421A9">
        <w:t xml:space="preserve"> </w:t>
      </w:r>
      <w:r w:rsidR="00810F8A" w:rsidRPr="004421A9">
        <w:t xml:space="preserve">UPOV e-PVP bietet die Möglichkeit, den UPOV-Mitgliedern und Interessenvertretern Dienstleistungen auf eine Art und Weise zu erbringen, die die Effizienz des globalen UPOV-Systems verbessern und eine </w:t>
      </w:r>
      <w:r w:rsidR="00D358B5" w:rsidRPr="004421A9">
        <w:t>Weiterentwicklung</w:t>
      </w:r>
      <w:r w:rsidR="00810F8A" w:rsidRPr="004421A9">
        <w:t xml:space="preserve"> der Kapazitäten innerhalb der UPOV erreichen wird</w:t>
      </w:r>
      <w:r w:rsidRPr="004421A9">
        <w:t xml:space="preserve">. </w:t>
      </w:r>
    </w:p>
    <w:p w14:paraId="0DC0A9E8" w14:textId="77777777" w:rsidR="00B65EDC" w:rsidRPr="004421A9" w:rsidRDefault="00B65EDC" w:rsidP="00B65EDC">
      <w:pPr>
        <w:rPr>
          <w:bCs/>
          <w:color w:val="000000" w:themeColor="text1"/>
        </w:rPr>
      </w:pPr>
    </w:p>
    <w:p w14:paraId="3342DA5C" w14:textId="37AD2D9B"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F1647C" w:rsidRPr="004421A9">
        <w:rPr>
          <w:bCs/>
          <w:color w:val="000000" w:themeColor="text1"/>
        </w:rPr>
        <w:t xml:space="preserve">Auf dem „Seminar über die Interaktion zwischen Sortenschutz und dem Einsatz von Pflanzenzüchtungstechniken“ der UPOV (2023) wurden Beispiele für den Einsatz von Technologien wie „Genomsequenzierung“ und „markergestützte Auswahl“, „induzierte Mutation“, „Genom-Editierung“ und „Doppelhaploide“ zur Unterstützung der Pflanzenzüchtung gesammelt. Mehrere Sachverständige berichteten, dass die jüngsten Entwicklungen den Einsatz dieser Technologien „billiger und einfacher“ machen. Das Seminar im Jahr 2023 fand vor der Annahme der überarbeiteten Erläuterungen zu den im Wesentlichen abgeleiteten Sorten statt. Neue Pflanzenzuchttechnologien beschleunigen die Sortenentwicklung. Bestimmte Technologien ermöglichen die präzise Veränderung von Genen und die Entwicklung von Sorten mit einer oder wenigen Änderungen der morphologischen, physiologischen, agronomischen, industriellen und/oder biochemischen Eigenschaften. Dies könnte zu kürzeren </w:t>
      </w:r>
      <w:r w:rsidR="003247D7" w:rsidRPr="004421A9">
        <w:rPr>
          <w:bCs/>
          <w:color w:val="000000" w:themeColor="text1"/>
        </w:rPr>
        <w:t xml:space="preserve">Lebenszyklen </w:t>
      </w:r>
      <w:r w:rsidR="00F1647C" w:rsidRPr="004421A9">
        <w:rPr>
          <w:bCs/>
          <w:color w:val="000000" w:themeColor="text1"/>
        </w:rPr>
        <w:t>von Sorten und einem häufigeren Ersatz von sich bereits im Handel befindlichen Sorten führen</w:t>
      </w:r>
      <w:r w:rsidRPr="004421A9">
        <w:rPr>
          <w:bCs/>
          <w:color w:val="000000" w:themeColor="text1"/>
        </w:rPr>
        <w:t>.</w:t>
      </w:r>
      <w:r w:rsidR="00640924" w:rsidRPr="004421A9">
        <w:rPr>
          <w:bCs/>
          <w:color w:val="000000" w:themeColor="text1"/>
        </w:rPr>
        <w:t xml:space="preserve"> </w:t>
      </w:r>
    </w:p>
    <w:p w14:paraId="26BFD44A" w14:textId="77777777" w:rsidR="00B65EDC" w:rsidRPr="004421A9" w:rsidRDefault="00B65EDC" w:rsidP="00B65EDC">
      <w:pPr>
        <w:jc w:val="left"/>
      </w:pPr>
    </w:p>
    <w:p w14:paraId="283FDEB2" w14:textId="2D55D50F" w:rsidR="00B65EDC" w:rsidRPr="004421A9" w:rsidRDefault="00B65EDC" w:rsidP="00B65EDC">
      <w:r w:rsidRPr="004421A9">
        <w:fldChar w:fldCharType="begin"/>
      </w:r>
      <w:r w:rsidRPr="004421A9">
        <w:instrText xml:space="preserve"> AUTONUM  </w:instrText>
      </w:r>
      <w:r w:rsidRPr="004421A9">
        <w:fldChar w:fldCharType="end"/>
      </w:r>
      <w:r w:rsidRPr="004421A9">
        <w:tab/>
      </w:r>
      <w:r w:rsidR="005E7C7A" w:rsidRPr="004421A9">
        <w:t>In der Rechnungsperiode 2026-2027 wird die UPOV weiterhin die Verwendung von DNS-basierten Informationen und Instrumenten zur Phänotypisierung, wie Bildanalyse, Automatisierung der Erfassung von Daten/Verfahren zur Unterstützung der Sortenprüfung, untersuchen. Die Technischen Arbeitsgruppen sind damit beauftragt, die Erörterungen über diese Fragen voranzutreiben</w:t>
      </w:r>
      <w:r w:rsidRPr="004421A9">
        <w:t xml:space="preserve">. </w:t>
      </w:r>
    </w:p>
    <w:p w14:paraId="354F14E7" w14:textId="77777777" w:rsidR="00B65EDC" w:rsidRPr="004421A9" w:rsidRDefault="00B65EDC" w:rsidP="00B65EDC"/>
    <w:p w14:paraId="35E1AB46" w14:textId="19D6233A" w:rsidR="00B65EDC" w:rsidRPr="004421A9" w:rsidRDefault="00B65EDC" w:rsidP="00B65EDC">
      <w:r w:rsidRPr="004421A9">
        <w:fldChar w:fldCharType="begin"/>
      </w:r>
      <w:r w:rsidRPr="004421A9">
        <w:instrText xml:space="preserve"> AUTONUM  </w:instrText>
      </w:r>
      <w:r w:rsidRPr="004421A9">
        <w:fldChar w:fldCharType="end"/>
      </w:r>
      <w:r w:rsidRPr="004421A9">
        <w:tab/>
        <w:t xml:space="preserve">Um den vollen Nutzen aus dem UPOV-System ziehen zu können, muss untersucht werden, wie geeignete rechtliche Maßnahmen und technologische Fortschritte eine wirksame Durchsetzung unterstützen können. Es wird erwartet, dass die </w:t>
      </w:r>
      <w:r w:rsidR="003501DA" w:rsidRPr="004421A9">
        <w:t>Technische Arbeitsgruppe für Prüfmethoden und -techniken</w:t>
      </w:r>
      <w:r w:rsidRPr="004421A9">
        <w:t xml:space="preserve"> (TWM) zu einer wichtigen Plattform für den Erfahrungsaustausch über die Rolle molekularer Verfahren für die Sortenidentifi</w:t>
      </w:r>
      <w:r w:rsidR="002A191A" w:rsidRPr="004421A9">
        <w:t>kation</w:t>
      </w:r>
      <w:r w:rsidRPr="004421A9">
        <w:t xml:space="preserve"> und -durchsetzung wird.</w:t>
      </w:r>
    </w:p>
    <w:p w14:paraId="2D746F9A" w14:textId="77777777" w:rsidR="00B65EDC" w:rsidRPr="004421A9" w:rsidRDefault="00B65EDC" w:rsidP="00B65EDC">
      <w:pPr>
        <w:rPr>
          <w:bCs/>
          <w:color w:val="000000" w:themeColor="text1"/>
        </w:rPr>
      </w:pPr>
    </w:p>
    <w:p w14:paraId="66EA323F" w14:textId="77777777" w:rsidR="00B65EDC" w:rsidRPr="004421A9" w:rsidRDefault="00B65EDC" w:rsidP="00B65EDC">
      <w:pPr>
        <w:rPr>
          <w:bCs/>
          <w:color w:val="000000" w:themeColor="text1"/>
        </w:rPr>
      </w:pPr>
    </w:p>
    <w:p w14:paraId="419689C8" w14:textId="6FE3C30A" w:rsidR="00B65EDC" w:rsidRPr="004421A9" w:rsidDel="003B0A44" w:rsidRDefault="00B65EDC" w:rsidP="00B65EDC">
      <w:pPr>
        <w:rPr>
          <w:bCs/>
          <w:color w:val="000000" w:themeColor="text1"/>
          <w:u w:val="single"/>
        </w:rPr>
      </w:pPr>
      <w:r w:rsidRPr="004421A9">
        <w:rPr>
          <w:bCs/>
          <w:color w:val="000000" w:themeColor="text1"/>
          <w:u w:val="single"/>
        </w:rPr>
        <w:t xml:space="preserve">Kontinuierliche Verbesserung von Standards, </w:t>
      </w:r>
      <w:r w:rsidR="00D13165" w:rsidRPr="004421A9">
        <w:rPr>
          <w:bCs/>
          <w:color w:val="000000" w:themeColor="text1"/>
          <w:u w:val="single"/>
        </w:rPr>
        <w:t>Anleitung</w:t>
      </w:r>
      <w:r w:rsidRPr="004421A9">
        <w:rPr>
          <w:bCs/>
          <w:color w:val="000000" w:themeColor="text1"/>
          <w:u w:val="single"/>
        </w:rPr>
        <w:t xml:space="preserve"> und Schulung</w:t>
      </w:r>
    </w:p>
    <w:p w14:paraId="473090E7" w14:textId="77777777" w:rsidR="00B65EDC" w:rsidRPr="004421A9" w:rsidRDefault="00B65EDC" w:rsidP="00B65EDC">
      <w:pPr>
        <w:rPr>
          <w:bCs/>
          <w:color w:val="000000" w:themeColor="text1"/>
        </w:rPr>
      </w:pPr>
    </w:p>
    <w:p w14:paraId="6FA01F65" w14:textId="3FF722E3" w:rsidR="00AE588A" w:rsidRPr="004421A9" w:rsidRDefault="003435C3" w:rsidP="00AE588A">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00B65EDC" w:rsidRPr="004421A9">
        <w:rPr>
          <w:bCs/>
          <w:color w:val="000000" w:themeColor="text1"/>
        </w:rPr>
        <w:tab/>
      </w:r>
      <w:r w:rsidR="00AE588A" w:rsidRPr="004421A9">
        <w:rPr>
          <w:bCs/>
          <w:color w:val="000000" w:themeColor="text1"/>
        </w:rPr>
        <w:t>Die UPOV spielt eine zentrale Rolle bei der Festlegung internationale</w:t>
      </w:r>
      <w:r w:rsidR="000F473C" w:rsidRPr="004421A9">
        <w:rPr>
          <w:bCs/>
          <w:color w:val="000000" w:themeColor="text1"/>
        </w:rPr>
        <w:t>r</w:t>
      </w:r>
      <w:r w:rsidR="00AE588A" w:rsidRPr="004421A9">
        <w:rPr>
          <w:bCs/>
          <w:color w:val="000000" w:themeColor="text1"/>
        </w:rPr>
        <w:t xml:space="preserve"> Standards für Sortenschutz in den Bereichen Recht, Technik, Digitalisierung und Schulung. Die Rolle der UPOV als internationale Organisation zur Festlegung von Standards für Sortenschutz sorgt für Klarheit, Transparenz und Stabilität und begünstigt nachhaltige und langfristige Kooperationen. Eine kontinuierliche Zusammenarbeit mit UPOV-Mitgliedern und Interessengruppen der Wertschöpfungskette ist unerlässlich, um sicherzustellen, dass die UPOV diese Rolle weiterhin einnehmen kann. </w:t>
      </w:r>
    </w:p>
    <w:p w14:paraId="6CE149F1" w14:textId="77777777" w:rsidR="00AE588A" w:rsidRPr="004421A9" w:rsidRDefault="00AE588A" w:rsidP="00AE588A">
      <w:pPr>
        <w:rPr>
          <w:bCs/>
          <w:color w:val="000000" w:themeColor="text1"/>
        </w:rPr>
      </w:pPr>
    </w:p>
    <w:p w14:paraId="19DEA41B" w14:textId="30297977" w:rsidR="00AE588A" w:rsidRPr="004421A9" w:rsidRDefault="00FC31F5" w:rsidP="00AE588A">
      <w:pPr>
        <w:rPr>
          <w:bCs/>
          <w:color w:val="000000" w:themeColor="text1"/>
        </w:rPr>
      </w:pPr>
      <w:r w:rsidRPr="004421A9">
        <w:fldChar w:fldCharType="begin"/>
      </w:r>
      <w:r w:rsidRPr="004421A9">
        <w:instrText xml:space="preserve"> AUTONUM  </w:instrText>
      </w:r>
      <w:r w:rsidRPr="004421A9">
        <w:fldChar w:fldCharType="end"/>
      </w:r>
      <w:r w:rsidR="00AE588A" w:rsidRPr="004421A9">
        <w:rPr>
          <w:bCs/>
          <w:color w:val="000000" w:themeColor="text1"/>
        </w:rPr>
        <w:tab/>
        <w:t>Die Arbeit zur Erteilung von Anleitung zu den wichtigsten Bestimmungen der Akte von 1991 des UPOV-Übereinkommens wird in der Rechnungsperiode 2026-2027 fortgesetzt werden. Eine von der UPOV in Auftrag gegebene Studie über den „Inhalt des Züchterrechts“ und die Beziehung zur „Erschöpfung des Züchterrechts“ soll im Jahre 2025 abgeschlossen werden, was einen Beitrag zur weiteren Arbeit an der Erteilung von Anleitung leisten wird.</w:t>
      </w:r>
    </w:p>
    <w:p w14:paraId="0D4A5589" w14:textId="77777777" w:rsidR="00AE588A" w:rsidRPr="004421A9" w:rsidRDefault="00AE588A" w:rsidP="00AE588A">
      <w:pPr>
        <w:rPr>
          <w:bCs/>
          <w:color w:val="000000" w:themeColor="text1"/>
        </w:rPr>
      </w:pPr>
    </w:p>
    <w:p w14:paraId="48C479D0" w14:textId="42258A12" w:rsidR="00B65EDC" w:rsidRPr="004421A9" w:rsidRDefault="003D7A89" w:rsidP="00AE588A">
      <w:pPr>
        <w:rPr>
          <w:iCs/>
        </w:rPr>
      </w:pPr>
      <w:r w:rsidRPr="004421A9">
        <w:rPr>
          <w:iCs/>
        </w:rPr>
        <w:lastRenderedPageBreak/>
        <w:fldChar w:fldCharType="begin"/>
      </w:r>
      <w:r w:rsidRPr="004421A9">
        <w:rPr>
          <w:iCs/>
        </w:rPr>
        <w:instrText xml:space="preserve"> AUTONUM  </w:instrText>
      </w:r>
      <w:r w:rsidRPr="004421A9">
        <w:rPr>
          <w:iCs/>
        </w:rPr>
        <w:fldChar w:fldCharType="end"/>
      </w:r>
      <w:r w:rsidR="00AE588A" w:rsidRPr="004421A9">
        <w:rPr>
          <w:bCs/>
          <w:color w:val="000000" w:themeColor="text1"/>
        </w:rPr>
        <w:tab/>
        <w:t>Das 2024 lancierte UPOV-Sortenschutzzertifikatsprogramm wird weiterhin eine zentrale Rolle als Plattform für das Engagement für Schulungsmaßnahmen zum Sortenschutz spielen. Die Einschreibung von Lernenden aus dem Privatsektor und von Organisationen, die nicht unter die Prioritäten des UPOV-Rates fallen, wird gegen Zahlung einer Gebühr ermöglicht. Dieses Akkreditierungsprogramm wird weiterhin neue Schulungen und akademische Programme anziehen und zum Aufbewahrungsort für von der UPOV und ihren Mitgliedern entwickelte Standards und Anleitung werden</w:t>
      </w:r>
      <w:r w:rsidR="00B65EDC" w:rsidRPr="004421A9">
        <w:t>.</w:t>
      </w:r>
    </w:p>
    <w:p w14:paraId="3481F60F" w14:textId="77777777" w:rsidR="00B65EDC" w:rsidRPr="004421A9" w:rsidRDefault="00B65EDC" w:rsidP="00B65EDC">
      <w:pPr>
        <w:rPr>
          <w:bCs/>
          <w:color w:val="000000" w:themeColor="text1"/>
        </w:rPr>
      </w:pPr>
    </w:p>
    <w:p w14:paraId="78C95A96" w14:textId="3E8C90B0" w:rsidR="00B65EDC" w:rsidRPr="004421A9" w:rsidRDefault="00B65EDC" w:rsidP="00FC7FED">
      <w:pPr>
        <w:pStyle w:val="Heading1"/>
        <w:rPr>
          <w:lang w:val="de-DE"/>
        </w:rPr>
      </w:pPr>
      <w:bookmarkStart w:id="433" w:name="_Toc210041691"/>
      <w:bookmarkEnd w:id="432"/>
      <w:r w:rsidRPr="004421A9">
        <w:rPr>
          <w:lang w:val="de-DE"/>
        </w:rPr>
        <w:lastRenderedPageBreak/>
        <w:t>Über</w:t>
      </w:r>
      <w:r w:rsidR="005E48E3" w:rsidRPr="004421A9">
        <w:rPr>
          <w:lang w:val="de-DE"/>
        </w:rPr>
        <w:t>blick</w:t>
      </w:r>
      <w:r w:rsidRPr="004421A9">
        <w:rPr>
          <w:lang w:val="de-DE"/>
        </w:rPr>
        <w:t xml:space="preserve"> über Programm und Haushalt</w:t>
      </w:r>
      <w:r w:rsidR="00693CA6" w:rsidRPr="004421A9">
        <w:rPr>
          <w:lang w:val="de-DE"/>
        </w:rPr>
        <w:t>s</w:t>
      </w:r>
      <w:r w:rsidR="005E48E3" w:rsidRPr="004421A9">
        <w:rPr>
          <w:lang w:val="de-DE"/>
        </w:rPr>
        <w:t>plan</w:t>
      </w:r>
      <w:bookmarkEnd w:id="433"/>
      <w:r w:rsidRPr="004421A9">
        <w:rPr>
          <w:lang w:val="de-DE"/>
        </w:rPr>
        <w:t xml:space="preserve"> </w:t>
      </w:r>
    </w:p>
    <w:p w14:paraId="5FA53516" w14:textId="77777777" w:rsidR="00B65EDC" w:rsidRPr="004421A9" w:rsidRDefault="00B65EDC" w:rsidP="00B65EDC"/>
    <w:p w14:paraId="5FF26BED" w14:textId="2F031ED8" w:rsidR="00B65EDC" w:rsidRPr="004421A9" w:rsidRDefault="00B65EDC" w:rsidP="004448C7">
      <w:pPr>
        <w:pStyle w:val="Heading2"/>
        <w:rPr>
          <w:lang w:val="de-DE"/>
        </w:rPr>
      </w:pPr>
      <w:bookmarkStart w:id="434" w:name="_Toc210041692"/>
      <w:r w:rsidRPr="004421A9">
        <w:rPr>
          <w:lang w:val="de-DE"/>
        </w:rPr>
        <w:t>Finanz</w:t>
      </w:r>
      <w:r w:rsidR="00C52FDB" w:rsidRPr="004421A9">
        <w:rPr>
          <w:lang w:val="de-DE"/>
        </w:rPr>
        <w:t>ieller Überblick</w:t>
      </w:r>
      <w:bookmarkEnd w:id="434"/>
    </w:p>
    <w:p w14:paraId="72234241" w14:textId="77777777" w:rsidR="00B65EDC" w:rsidRPr="004421A9" w:rsidRDefault="00B65EDC" w:rsidP="00B65EDC"/>
    <w:p w14:paraId="4DB1ABAD" w14:textId="5696A74E" w:rsidR="00B65EDC" w:rsidRPr="004421A9" w:rsidRDefault="00375C54" w:rsidP="00B65EDC">
      <w:pPr>
        <w:rPr>
          <w:spacing w:val="-2"/>
          <w:szCs w:val="24"/>
        </w:rPr>
      </w:pPr>
      <w:r w:rsidRPr="004421A9">
        <w:fldChar w:fldCharType="begin"/>
      </w:r>
      <w:r w:rsidRPr="004421A9">
        <w:instrText xml:space="preserve"> AUTONUM  </w:instrText>
      </w:r>
      <w:r w:rsidRPr="004421A9">
        <w:fldChar w:fldCharType="end"/>
      </w:r>
      <w:r w:rsidR="00B65EDC" w:rsidRPr="004421A9">
        <w:tab/>
      </w:r>
      <w:r w:rsidR="008166F5" w:rsidRPr="004421A9">
        <w:t>Der vorgeschlagene Haushaltsplan</w:t>
      </w:r>
      <w:r w:rsidR="00901D71" w:rsidRPr="004421A9">
        <w:rPr>
          <w:rStyle w:val="FootnoteReference"/>
        </w:rPr>
        <w:footnoteReference w:id="2"/>
      </w:r>
      <w:r w:rsidR="008166F5" w:rsidRPr="004421A9">
        <w:t xml:space="preserve"> für die Rechnungsperiode 2026-2027 sieht Einnahmen von 7.615.864 Schweizer Franken im Vergleich zu den geschätzten Einnahmen von 7.901.307 Schweizer Franken im Haushaltsplan von 2024-2025 vor. Die Ausgaben werden auf die gleiche Höhe wie die erwarteten Einnahmen geschätzt (vergleiche Tabelle 1).</w:t>
      </w:r>
    </w:p>
    <w:p w14:paraId="3413F3A0" w14:textId="77777777" w:rsidR="00B65EDC" w:rsidRPr="004421A9" w:rsidRDefault="00B65EDC" w:rsidP="00B65EDC"/>
    <w:p w14:paraId="7C760A8D" w14:textId="77777777" w:rsidR="00B65EDC" w:rsidRPr="004421A9" w:rsidRDefault="00B65EDC" w:rsidP="00B65EDC">
      <w:pPr>
        <w:jc w:val="center"/>
      </w:pPr>
    </w:p>
    <w:p w14:paraId="577FC3B9" w14:textId="50732384" w:rsidR="00B65EDC" w:rsidRPr="004421A9" w:rsidRDefault="00B65EDC" w:rsidP="00B65EDC">
      <w:pPr>
        <w:jc w:val="center"/>
        <w:rPr>
          <w:b/>
          <w:color w:val="26724C" w:themeColor="accent1" w:themeShade="BF"/>
        </w:rPr>
      </w:pPr>
      <w:r w:rsidRPr="004421A9">
        <w:rPr>
          <w:b/>
          <w:color w:val="26724C" w:themeColor="accent1" w:themeShade="BF"/>
        </w:rPr>
        <w:t>Tabelle 1: Einnahmen und Ausgaben 2022–2023, 2024–2025 und</w:t>
      </w:r>
      <w:r w:rsidR="00521C0D" w:rsidRPr="004421A9">
        <w:rPr>
          <w:b/>
          <w:color w:val="26724C" w:themeColor="accent1" w:themeShade="BF"/>
        </w:rPr>
        <w:t xml:space="preserve"> 2026–2027</w:t>
      </w:r>
    </w:p>
    <w:p w14:paraId="5B847DD3" w14:textId="10408C98" w:rsidR="00B65EDC" w:rsidRPr="004421A9" w:rsidRDefault="00B65EDC" w:rsidP="00B65EDC">
      <w:pPr>
        <w:jc w:val="center"/>
        <w:rPr>
          <w:i/>
          <w:sz w:val="18"/>
        </w:rPr>
      </w:pPr>
      <w:r w:rsidRPr="004421A9">
        <w:rPr>
          <w:i/>
          <w:sz w:val="18"/>
        </w:rPr>
        <w:t>(</w:t>
      </w:r>
      <w:r w:rsidR="008166F5" w:rsidRPr="004421A9">
        <w:rPr>
          <w:i/>
          <w:sz w:val="18"/>
        </w:rPr>
        <w:t>in tausend Schweizer Franken</w:t>
      </w:r>
      <w:r w:rsidRPr="004421A9">
        <w:rPr>
          <w:i/>
          <w:sz w:val="18"/>
        </w:rPr>
        <w:t>)</w:t>
      </w:r>
    </w:p>
    <w:p w14:paraId="04DBFDE5" w14:textId="77777777" w:rsidR="00B65EDC" w:rsidRPr="004421A9" w:rsidRDefault="00B65EDC" w:rsidP="00B65EDC">
      <w:pPr>
        <w:rPr>
          <w:spacing w:val="-2"/>
          <w:szCs w:val="24"/>
        </w:rPr>
      </w:pPr>
    </w:p>
    <w:tbl>
      <w:tblPr>
        <w:tblW w:w="9560" w:type="dxa"/>
        <w:tblLook w:val="04A0" w:firstRow="1" w:lastRow="0" w:firstColumn="1" w:lastColumn="0" w:noHBand="0" w:noVBand="1"/>
      </w:tblPr>
      <w:tblGrid>
        <w:gridCol w:w="3800"/>
        <w:gridCol w:w="1180"/>
        <w:gridCol w:w="1180"/>
        <w:gridCol w:w="870"/>
        <w:gridCol w:w="870"/>
        <w:gridCol w:w="1660"/>
      </w:tblGrid>
      <w:tr w:rsidR="00B65EDC" w:rsidRPr="004421A9" w14:paraId="00F751FC" w14:textId="77777777" w:rsidTr="00CD4E21">
        <w:trPr>
          <w:trHeight w:val="255"/>
        </w:trPr>
        <w:tc>
          <w:tcPr>
            <w:tcW w:w="3800" w:type="dxa"/>
            <w:tcBorders>
              <w:top w:val="nil"/>
              <w:left w:val="nil"/>
              <w:bottom w:val="nil"/>
              <w:right w:val="nil"/>
            </w:tcBorders>
            <w:shd w:val="clear" w:color="000000" w:fill="C7CFD8"/>
            <w:hideMark/>
          </w:tcPr>
          <w:p w14:paraId="06A7DF6F" w14:textId="77777777" w:rsidR="00B65EDC" w:rsidRPr="004421A9" w:rsidRDefault="00B65EDC" w:rsidP="00CD4E21">
            <w:pPr>
              <w:ind w:firstLineChars="100" w:firstLine="201"/>
              <w:jc w:val="left"/>
              <w:rPr>
                <w:rFonts w:cs="Arial"/>
                <w:b/>
                <w:bCs/>
                <w:i/>
                <w:iCs/>
              </w:rPr>
            </w:pPr>
          </w:p>
        </w:tc>
        <w:tc>
          <w:tcPr>
            <w:tcW w:w="1180" w:type="dxa"/>
            <w:tcBorders>
              <w:top w:val="nil"/>
              <w:left w:val="nil"/>
              <w:bottom w:val="nil"/>
              <w:right w:val="nil"/>
            </w:tcBorders>
            <w:shd w:val="clear" w:color="000000" w:fill="C7CFD8"/>
            <w:vAlign w:val="center"/>
            <w:hideMark/>
          </w:tcPr>
          <w:p w14:paraId="7133635D"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2022–2023 </w:t>
            </w:r>
          </w:p>
        </w:tc>
        <w:tc>
          <w:tcPr>
            <w:tcW w:w="1180" w:type="dxa"/>
            <w:tcBorders>
              <w:top w:val="nil"/>
              <w:left w:val="nil"/>
              <w:bottom w:val="nil"/>
              <w:right w:val="nil"/>
            </w:tcBorders>
            <w:shd w:val="clear" w:color="000000" w:fill="C7CFD8"/>
            <w:vAlign w:val="center"/>
            <w:hideMark/>
          </w:tcPr>
          <w:p w14:paraId="5B77CFE9"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2024–2025 </w:t>
            </w:r>
          </w:p>
        </w:tc>
        <w:tc>
          <w:tcPr>
            <w:tcW w:w="1740" w:type="dxa"/>
            <w:gridSpan w:val="2"/>
            <w:vMerge w:val="restart"/>
            <w:tcBorders>
              <w:top w:val="nil"/>
              <w:left w:val="nil"/>
              <w:bottom w:val="single" w:sz="4" w:space="0" w:color="748B9E"/>
              <w:right w:val="nil"/>
            </w:tcBorders>
            <w:shd w:val="clear" w:color="000000" w:fill="C7CFD8"/>
            <w:vAlign w:val="center"/>
            <w:hideMark/>
          </w:tcPr>
          <w:p w14:paraId="1E6FF17E"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Veränderung</w:t>
            </w:r>
          </w:p>
        </w:tc>
        <w:tc>
          <w:tcPr>
            <w:tcW w:w="1660" w:type="dxa"/>
            <w:tcBorders>
              <w:top w:val="nil"/>
              <w:left w:val="nil"/>
              <w:bottom w:val="nil"/>
              <w:right w:val="nil"/>
            </w:tcBorders>
            <w:shd w:val="clear" w:color="000000" w:fill="C7CFD8"/>
            <w:vAlign w:val="center"/>
            <w:hideMark/>
          </w:tcPr>
          <w:p w14:paraId="47902C11" w14:textId="17206A4C" w:rsidR="00B65EDC" w:rsidRPr="004421A9" w:rsidRDefault="00521C0D" w:rsidP="00CD4E21">
            <w:pPr>
              <w:jc w:val="center"/>
              <w:rPr>
                <w:rFonts w:ascii="Arial Narrow" w:hAnsi="Arial Narrow" w:cs="Arial"/>
                <w:b/>
                <w:bCs/>
                <w:sz w:val="18"/>
                <w:szCs w:val="18"/>
              </w:rPr>
            </w:pPr>
            <w:r w:rsidRPr="004421A9">
              <w:rPr>
                <w:rFonts w:ascii="Arial Narrow" w:hAnsi="Arial Narrow" w:cs="Arial"/>
                <w:b/>
                <w:bCs/>
                <w:sz w:val="18"/>
                <w:szCs w:val="18"/>
              </w:rPr>
              <w:t>2026–2027</w:t>
            </w:r>
          </w:p>
        </w:tc>
      </w:tr>
      <w:tr w:rsidR="00B65EDC" w:rsidRPr="004421A9" w14:paraId="7F791BC2" w14:textId="77777777" w:rsidTr="00CD4E21">
        <w:trPr>
          <w:trHeight w:val="260"/>
        </w:trPr>
        <w:tc>
          <w:tcPr>
            <w:tcW w:w="3800" w:type="dxa"/>
            <w:tcBorders>
              <w:top w:val="nil"/>
              <w:left w:val="nil"/>
              <w:bottom w:val="nil"/>
              <w:right w:val="nil"/>
            </w:tcBorders>
            <w:shd w:val="clear" w:color="000000" w:fill="C7CFD8"/>
            <w:hideMark/>
          </w:tcPr>
          <w:p w14:paraId="2B10E0CD" w14:textId="77777777" w:rsidR="00B65EDC" w:rsidRPr="004421A9" w:rsidRDefault="00B65EDC" w:rsidP="00CD4E21">
            <w:pPr>
              <w:ind w:firstLineChars="100" w:firstLine="201"/>
              <w:jc w:val="left"/>
              <w:rPr>
                <w:rFonts w:cs="Arial"/>
                <w:b/>
                <w:bCs/>
                <w:i/>
                <w:iCs/>
              </w:rPr>
            </w:pPr>
          </w:p>
        </w:tc>
        <w:tc>
          <w:tcPr>
            <w:tcW w:w="1180" w:type="dxa"/>
            <w:tcBorders>
              <w:top w:val="nil"/>
              <w:left w:val="nil"/>
              <w:bottom w:val="nil"/>
              <w:right w:val="nil"/>
            </w:tcBorders>
            <w:shd w:val="clear" w:color="000000" w:fill="C7CFD8"/>
            <w:vAlign w:val="center"/>
            <w:hideMark/>
          </w:tcPr>
          <w:p w14:paraId="418CF16A"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Ist </w:t>
            </w:r>
          </w:p>
        </w:tc>
        <w:tc>
          <w:tcPr>
            <w:tcW w:w="1180" w:type="dxa"/>
            <w:tcBorders>
              <w:top w:val="nil"/>
              <w:left w:val="nil"/>
              <w:bottom w:val="nil"/>
              <w:right w:val="nil"/>
            </w:tcBorders>
            <w:shd w:val="clear" w:color="000000" w:fill="C7CFD8"/>
            <w:vAlign w:val="center"/>
            <w:hideMark/>
          </w:tcPr>
          <w:p w14:paraId="571645C9"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Haushalt </w:t>
            </w:r>
          </w:p>
        </w:tc>
        <w:tc>
          <w:tcPr>
            <w:tcW w:w="1740" w:type="dxa"/>
            <w:gridSpan w:val="2"/>
            <w:vMerge/>
            <w:tcBorders>
              <w:top w:val="nil"/>
              <w:left w:val="nil"/>
              <w:bottom w:val="nil"/>
              <w:right w:val="nil"/>
            </w:tcBorders>
            <w:vAlign w:val="center"/>
            <w:hideMark/>
          </w:tcPr>
          <w:p w14:paraId="0C80231D" w14:textId="77777777" w:rsidR="00B65EDC" w:rsidRPr="004421A9" w:rsidRDefault="00B65EDC" w:rsidP="00CD4E21">
            <w:pPr>
              <w:jc w:val="left"/>
              <w:rPr>
                <w:rFonts w:ascii="Arial Narrow" w:hAnsi="Arial Narrow" w:cs="Arial"/>
                <w:b/>
                <w:bCs/>
                <w:sz w:val="18"/>
                <w:szCs w:val="18"/>
              </w:rPr>
            </w:pPr>
          </w:p>
        </w:tc>
        <w:tc>
          <w:tcPr>
            <w:tcW w:w="1660" w:type="dxa"/>
            <w:tcBorders>
              <w:top w:val="nil"/>
              <w:left w:val="nil"/>
              <w:bottom w:val="nil"/>
              <w:right w:val="nil"/>
            </w:tcBorders>
            <w:shd w:val="clear" w:color="000000" w:fill="C7CFD8"/>
            <w:vAlign w:val="center"/>
            <w:hideMark/>
          </w:tcPr>
          <w:p w14:paraId="2ACFC303"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Vorgeschlagen </w:t>
            </w:r>
          </w:p>
        </w:tc>
      </w:tr>
      <w:tr w:rsidR="00B65EDC" w:rsidRPr="004421A9" w14:paraId="18B03438" w14:textId="77777777" w:rsidTr="00CD4E21">
        <w:trPr>
          <w:trHeight w:val="260"/>
        </w:trPr>
        <w:tc>
          <w:tcPr>
            <w:tcW w:w="3800" w:type="dxa"/>
            <w:tcBorders>
              <w:top w:val="nil"/>
              <w:left w:val="nil"/>
              <w:bottom w:val="nil"/>
              <w:right w:val="nil"/>
            </w:tcBorders>
            <w:shd w:val="clear" w:color="000000" w:fill="C7CFD8"/>
            <w:vAlign w:val="bottom"/>
            <w:hideMark/>
          </w:tcPr>
          <w:p w14:paraId="642AE13A" w14:textId="77777777" w:rsidR="00B65EDC" w:rsidRPr="004421A9" w:rsidRDefault="00B65EDC" w:rsidP="00CD4E21">
            <w:pPr>
              <w:ind w:firstLineChars="100" w:firstLine="201"/>
              <w:jc w:val="left"/>
              <w:rPr>
                <w:rFonts w:cs="Arial"/>
                <w:b/>
                <w:bCs/>
                <w:i/>
                <w:iCs/>
              </w:rPr>
            </w:pPr>
          </w:p>
        </w:tc>
        <w:tc>
          <w:tcPr>
            <w:tcW w:w="1180" w:type="dxa"/>
            <w:tcBorders>
              <w:top w:val="nil"/>
              <w:left w:val="nil"/>
              <w:bottom w:val="nil"/>
              <w:right w:val="nil"/>
            </w:tcBorders>
            <w:shd w:val="clear" w:color="000000" w:fill="C7CFD8"/>
            <w:vAlign w:val="center"/>
            <w:hideMark/>
          </w:tcPr>
          <w:p w14:paraId="5C0F62BB"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A </w:t>
            </w:r>
          </w:p>
        </w:tc>
        <w:tc>
          <w:tcPr>
            <w:tcW w:w="1180" w:type="dxa"/>
            <w:tcBorders>
              <w:top w:val="nil"/>
              <w:left w:val="nil"/>
              <w:bottom w:val="nil"/>
              <w:right w:val="nil"/>
            </w:tcBorders>
            <w:shd w:val="clear" w:color="000000" w:fill="C7CFD8"/>
            <w:noWrap/>
            <w:vAlign w:val="center"/>
            <w:hideMark/>
          </w:tcPr>
          <w:p w14:paraId="554B990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B </w:t>
            </w:r>
          </w:p>
        </w:tc>
        <w:tc>
          <w:tcPr>
            <w:tcW w:w="870" w:type="dxa"/>
            <w:tcBorders>
              <w:top w:val="nil"/>
              <w:left w:val="nil"/>
              <w:bottom w:val="nil"/>
              <w:right w:val="nil"/>
            </w:tcBorders>
            <w:shd w:val="clear" w:color="000000" w:fill="C7CFD8"/>
            <w:vAlign w:val="center"/>
            <w:hideMark/>
          </w:tcPr>
          <w:p w14:paraId="503A1CAC"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C </w:t>
            </w:r>
          </w:p>
        </w:tc>
        <w:tc>
          <w:tcPr>
            <w:tcW w:w="870" w:type="dxa"/>
            <w:tcBorders>
              <w:top w:val="nil"/>
              <w:left w:val="nil"/>
              <w:bottom w:val="nil"/>
              <w:right w:val="nil"/>
            </w:tcBorders>
            <w:shd w:val="clear" w:color="000000" w:fill="C7CFD8"/>
            <w:vAlign w:val="center"/>
            <w:hideMark/>
          </w:tcPr>
          <w:p w14:paraId="606AD3BD"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C/B</w:t>
            </w:r>
          </w:p>
        </w:tc>
        <w:tc>
          <w:tcPr>
            <w:tcW w:w="1660" w:type="dxa"/>
            <w:tcBorders>
              <w:top w:val="nil"/>
              <w:left w:val="nil"/>
              <w:bottom w:val="nil"/>
              <w:right w:val="nil"/>
            </w:tcBorders>
            <w:shd w:val="clear" w:color="000000" w:fill="C7CFD8"/>
            <w:noWrap/>
            <w:vAlign w:val="center"/>
            <w:hideMark/>
          </w:tcPr>
          <w:p w14:paraId="7D49F10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D=B+C </w:t>
            </w:r>
          </w:p>
        </w:tc>
      </w:tr>
      <w:tr w:rsidR="00B65EDC" w:rsidRPr="004421A9" w14:paraId="0C1E407C" w14:textId="77777777" w:rsidTr="00CD4E21">
        <w:trPr>
          <w:trHeight w:val="330"/>
        </w:trPr>
        <w:tc>
          <w:tcPr>
            <w:tcW w:w="3800" w:type="dxa"/>
            <w:tcBorders>
              <w:top w:val="nil"/>
              <w:left w:val="nil"/>
              <w:bottom w:val="nil"/>
              <w:right w:val="nil"/>
            </w:tcBorders>
            <w:vAlign w:val="center"/>
            <w:hideMark/>
          </w:tcPr>
          <w:p w14:paraId="3AD0154C" w14:textId="29421528" w:rsidR="00B65EDC" w:rsidRPr="004421A9" w:rsidRDefault="00B65EDC" w:rsidP="00CD4E21">
            <w:pPr>
              <w:jc w:val="left"/>
              <w:rPr>
                <w:rFonts w:ascii="Arial Narrow" w:hAnsi="Arial Narrow" w:cs="Arial"/>
                <w:b/>
                <w:bCs/>
              </w:rPr>
            </w:pPr>
            <w:r w:rsidRPr="004421A9">
              <w:rPr>
                <w:rFonts w:ascii="Arial Narrow" w:hAnsi="Arial Narrow" w:cs="Arial"/>
                <w:b/>
                <w:bCs/>
              </w:rPr>
              <w:t>1. Ein</w:t>
            </w:r>
            <w:r w:rsidR="00D358B5" w:rsidRPr="004421A9">
              <w:rPr>
                <w:rFonts w:ascii="Arial Narrow" w:hAnsi="Arial Narrow" w:cs="Arial"/>
                <w:b/>
                <w:bCs/>
              </w:rPr>
              <w:t>nahmen</w:t>
            </w:r>
          </w:p>
        </w:tc>
        <w:tc>
          <w:tcPr>
            <w:tcW w:w="1180" w:type="dxa"/>
            <w:tcBorders>
              <w:top w:val="nil"/>
              <w:left w:val="nil"/>
              <w:bottom w:val="nil"/>
              <w:right w:val="nil"/>
            </w:tcBorders>
            <w:vAlign w:val="center"/>
          </w:tcPr>
          <w:p w14:paraId="5BCDCCF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7.572</w:t>
            </w:r>
          </w:p>
        </w:tc>
        <w:tc>
          <w:tcPr>
            <w:tcW w:w="1180" w:type="dxa"/>
            <w:tcBorders>
              <w:top w:val="nil"/>
              <w:left w:val="nil"/>
              <w:bottom w:val="nil"/>
              <w:right w:val="nil"/>
            </w:tcBorders>
            <w:vAlign w:val="center"/>
          </w:tcPr>
          <w:p w14:paraId="013DF196"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7.901</w:t>
            </w:r>
          </w:p>
        </w:tc>
        <w:tc>
          <w:tcPr>
            <w:tcW w:w="870" w:type="dxa"/>
            <w:tcBorders>
              <w:top w:val="nil"/>
              <w:left w:val="nil"/>
              <w:bottom w:val="nil"/>
              <w:right w:val="nil"/>
            </w:tcBorders>
            <w:vAlign w:val="center"/>
          </w:tcPr>
          <w:p w14:paraId="4069BBA5" w14:textId="77777777" w:rsidR="00B65EDC" w:rsidRPr="004421A9" w:rsidRDefault="00B65EDC" w:rsidP="00CD4E21">
            <w:pPr>
              <w:jc w:val="right"/>
              <w:rPr>
                <w:rFonts w:ascii="Arial Narrow" w:hAnsi="Arial Narrow" w:cs="Arial"/>
                <w:b/>
                <w:bCs/>
              </w:rPr>
            </w:pPr>
            <w:r w:rsidRPr="004421A9">
              <w:rPr>
                <w:rFonts w:ascii="Arial Narrow" w:hAnsi="Arial Narrow" w:cs="Arial"/>
                <w:b/>
                <w:bCs/>
                <w:color w:val="000000"/>
              </w:rPr>
              <w:t>(285)</w:t>
            </w:r>
          </w:p>
        </w:tc>
        <w:tc>
          <w:tcPr>
            <w:tcW w:w="870" w:type="dxa"/>
            <w:tcBorders>
              <w:top w:val="nil"/>
              <w:left w:val="nil"/>
              <w:bottom w:val="nil"/>
              <w:right w:val="nil"/>
            </w:tcBorders>
            <w:vAlign w:val="center"/>
          </w:tcPr>
          <w:p w14:paraId="33506C9B" w14:textId="3694567D" w:rsidR="00B65EDC" w:rsidRPr="004421A9" w:rsidRDefault="00B65EDC" w:rsidP="00CD4E21">
            <w:pPr>
              <w:jc w:val="right"/>
              <w:rPr>
                <w:rFonts w:ascii="Arial Narrow" w:hAnsi="Arial Narrow" w:cs="Arial"/>
                <w:b/>
                <w:bCs/>
              </w:rPr>
            </w:pPr>
            <w:r w:rsidRPr="004421A9">
              <w:rPr>
                <w:rFonts w:ascii="Arial Narrow" w:hAnsi="Arial Narrow" w:cs="Arial"/>
                <w:b/>
                <w:bCs/>
              </w:rPr>
              <w:t>-3,6</w:t>
            </w:r>
            <w:r w:rsidR="00D97FEF" w:rsidRPr="004421A9">
              <w:rPr>
                <w:rFonts w:ascii="Arial Narrow" w:hAnsi="Arial Narrow" w:cs="Arial"/>
                <w:b/>
                <w:bCs/>
              </w:rPr>
              <w:t xml:space="preserve"> %</w:t>
            </w:r>
          </w:p>
        </w:tc>
        <w:tc>
          <w:tcPr>
            <w:tcW w:w="1660" w:type="dxa"/>
            <w:tcBorders>
              <w:top w:val="nil"/>
              <w:left w:val="nil"/>
              <w:bottom w:val="nil"/>
              <w:right w:val="nil"/>
            </w:tcBorders>
            <w:vAlign w:val="center"/>
          </w:tcPr>
          <w:p w14:paraId="2F633613"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7.616 </w:t>
            </w:r>
          </w:p>
        </w:tc>
      </w:tr>
      <w:tr w:rsidR="00B65EDC" w:rsidRPr="004421A9" w14:paraId="600DDAAD" w14:textId="77777777" w:rsidTr="00CD4E21">
        <w:trPr>
          <w:trHeight w:val="330"/>
        </w:trPr>
        <w:tc>
          <w:tcPr>
            <w:tcW w:w="3800" w:type="dxa"/>
            <w:tcBorders>
              <w:top w:val="nil"/>
              <w:left w:val="nil"/>
              <w:bottom w:val="single" w:sz="4" w:space="0" w:color="AAB8C4"/>
              <w:right w:val="nil"/>
            </w:tcBorders>
            <w:noWrap/>
            <w:vAlign w:val="center"/>
            <w:hideMark/>
          </w:tcPr>
          <w:p w14:paraId="7F9C96C1" w14:textId="77777777" w:rsidR="00B65EDC" w:rsidRPr="004421A9" w:rsidRDefault="00B65EDC" w:rsidP="00CD4E21">
            <w:pPr>
              <w:jc w:val="left"/>
              <w:rPr>
                <w:rFonts w:ascii="Arial Narrow" w:hAnsi="Arial Narrow" w:cs="Arial"/>
                <w:b/>
                <w:bCs/>
              </w:rPr>
            </w:pPr>
            <w:r w:rsidRPr="004421A9">
              <w:rPr>
                <w:rFonts w:ascii="Arial Narrow" w:hAnsi="Arial Narrow" w:cs="Arial"/>
                <w:b/>
                <w:bCs/>
              </w:rPr>
              <w:t>2. Ausgaben</w:t>
            </w:r>
          </w:p>
        </w:tc>
        <w:tc>
          <w:tcPr>
            <w:tcW w:w="1180" w:type="dxa"/>
            <w:tcBorders>
              <w:top w:val="nil"/>
              <w:left w:val="nil"/>
              <w:bottom w:val="single" w:sz="4" w:space="0" w:color="BFBFBF"/>
              <w:right w:val="nil"/>
            </w:tcBorders>
            <w:vAlign w:val="center"/>
          </w:tcPr>
          <w:p w14:paraId="355075C8"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7.382</w:t>
            </w:r>
          </w:p>
        </w:tc>
        <w:tc>
          <w:tcPr>
            <w:tcW w:w="1180" w:type="dxa"/>
            <w:tcBorders>
              <w:top w:val="nil"/>
              <w:left w:val="nil"/>
              <w:bottom w:val="single" w:sz="4" w:space="0" w:color="AAB8C4"/>
              <w:right w:val="nil"/>
            </w:tcBorders>
            <w:vAlign w:val="center"/>
          </w:tcPr>
          <w:p w14:paraId="6AC3434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7.901</w:t>
            </w:r>
          </w:p>
        </w:tc>
        <w:tc>
          <w:tcPr>
            <w:tcW w:w="870" w:type="dxa"/>
            <w:tcBorders>
              <w:top w:val="nil"/>
              <w:left w:val="nil"/>
              <w:bottom w:val="single" w:sz="4" w:space="0" w:color="AAB8C4"/>
              <w:right w:val="nil"/>
            </w:tcBorders>
            <w:vAlign w:val="center"/>
          </w:tcPr>
          <w:p w14:paraId="5FFA1CBE" w14:textId="77777777" w:rsidR="00B65EDC" w:rsidRPr="004421A9" w:rsidRDefault="00B65EDC" w:rsidP="00CD4E21">
            <w:pPr>
              <w:jc w:val="right"/>
              <w:rPr>
                <w:rFonts w:ascii="Arial Narrow" w:hAnsi="Arial Narrow" w:cs="Arial"/>
                <w:b/>
                <w:bCs/>
              </w:rPr>
            </w:pPr>
            <w:r w:rsidRPr="004421A9">
              <w:rPr>
                <w:rFonts w:ascii="Arial Narrow" w:hAnsi="Arial Narrow" w:cs="Arial"/>
                <w:b/>
                <w:bCs/>
                <w:color w:val="000000"/>
              </w:rPr>
              <w:t>(285)</w:t>
            </w:r>
          </w:p>
        </w:tc>
        <w:tc>
          <w:tcPr>
            <w:tcW w:w="870" w:type="dxa"/>
            <w:tcBorders>
              <w:top w:val="nil"/>
              <w:left w:val="nil"/>
              <w:bottom w:val="single" w:sz="4" w:space="0" w:color="BFBFBF"/>
              <w:right w:val="nil"/>
            </w:tcBorders>
            <w:vAlign w:val="center"/>
          </w:tcPr>
          <w:p w14:paraId="192D8635" w14:textId="2BAC17FE" w:rsidR="00B65EDC" w:rsidRPr="004421A9" w:rsidRDefault="00B65EDC" w:rsidP="00CD4E21">
            <w:pPr>
              <w:jc w:val="right"/>
              <w:rPr>
                <w:rFonts w:ascii="Arial Narrow" w:hAnsi="Arial Narrow" w:cs="Arial"/>
                <w:b/>
                <w:bCs/>
              </w:rPr>
            </w:pPr>
            <w:r w:rsidRPr="004421A9">
              <w:rPr>
                <w:rFonts w:ascii="Arial Narrow" w:hAnsi="Arial Narrow" w:cs="Arial"/>
                <w:b/>
                <w:bCs/>
              </w:rPr>
              <w:t>-3,6</w:t>
            </w:r>
            <w:r w:rsidR="00D97FEF" w:rsidRPr="004421A9">
              <w:rPr>
                <w:rFonts w:ascii="Arial Narrow" w:hAnsi="Arial Narrow" w:cs="Arial"/>
                <w:b/>
                <w:bCs/>
              </w:rPr>
              <w:t xml:space="preserve"> %</w:t>
            </w:r>
          </w:p>
        </w:tc>
        <w:tc>
          <w:tcPr>
            <w:tcW w:w="1660" w:type="dxa"/>
            <w:tcBorders>
              <w:top w:val="nil"/>
              <w:left w:val="nil"/>
              <w:bottom w:val="single" w:sz="4" w:space="0" w:color="AAB8C4"/>
              <w:right w:val="nil"/>
            </w:tcBorders>
            <w:vAlign w:val="center"/>
          </w:tcPr>
          <w:p w14:paraId="0282694A"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7.616 </w:t>
            </w:r>
          </w:p>
        </w:tc>
      </w:tr>
      <w:tr w:rsidR="00B65EDC" w:rsidRPr="004421A9" w14:paraId="57B0E166" w14:textId="77777777" w:rsidTr="00CD4E21">
        <w:trPr>
          <w:trHeight w:val="330"/>
        </w:trPr>
        <w:tc>
          <w:tcPr>
            <w:tcW w:w="3800" w:type="dxa"/>
            <w:tcBorders>
              <w:top w:val="nil"/>
              <w:left w:val="nil"/>
              <w:bottom w:val="nil"/>
              <w:right w:val="nil"/>
            </w:tcBorders>
            <w:vAlign w:val="bottom"/>
            <w:hideMark/>
          </w:tcPr>
          <w:p w14:paraId="0E8B11CB" w14:textId="77777777" w:rsidR="00B65EDC" w:rsidRPr="004421A9" w:rsidRDefault="00B65EDC" w:rsidP="00CD4E21">
            <w:pPr>
              <w:ind w:firstLineChars="100" w:firstLine="200"/>
              <w:jc w:val="left"/>
              <w:rPr>
                <w:rFonts w:ascii="Arial Narrow" w:hAnsi="Arial Narrow" w:cs="Arial"/>
                <w:i/>
                <w:iCs/>
              </w:rPr>
            </w:pPr>
            <w:r w:rsidRPr="004421A9">
              <w:rPr>
                <w:rFonts w:ascii="Arial Narrow" w:hAnsi="Arial Narrow" w:cs="Arial"/>
                <w:i/>
                <w:iCs/>
              </w:rPr>
              <w:t xml:space="preserve">Differenz </w:t>
            </w:r>
          </w:p>
        </w:tc>
        <w:tc>
          <w:tcPr>
            <w:tcW w:w="1180" w:type="dxa"/>
            <w:tcBorders>
              <w:top w:val="nil"/>
              <w:left w:val="nil"/>
              <w:bottom w:val="nil"/>
              <w:right w:val="nil"/>
            </w:tcBorders>
            <w:vAlign w:val="bottom"/>
          </w:tcPr>
          <w:p w14:paraId="0836554B"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190</w:t>
            </w:r>
          </w:p>
        </w:tc>
        <w:tc>
          <w:tcPr>
            <w:tcW w:w="1180" w:type="dxa"/>
            <w:tcBorders>
              <w:top w:val="nil"/>
              <w:left w:val="nil"/>
              <w:bottom w:val="nil"/>
              <w:right w:val="nil"/>
            </w:tcBorders>
            <w:vAlign w:val="bottom"/>
          </w:tcPr>
          <w:p w14:paraId="2772C8BB"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w:t>
            </w:r>
          </w:p>
        </w:tc>
        <w:tc>
          <w:tcPr>
            <w:tcW w:w="870" w:type="dxa"/>
            <w:tcBorders>
              <w:top w:val="nil"/>
              <w:left w:val="nil"/>
              <w:bottom w:val="nil"/>
              <w:right w:val="nil"/>
            </w:tcBorders>
            <w:vAlign w:val="bottom"/>
          </w:tcPr>
          <w:p w14:paraId="798B8765"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w:t>
            </w:r>
          </w:p>
        </w:tc>
        <w:tc>
          <w:tcPr>
            <w:tcW w:w="870" w:type="dxa"/>
            <w:tcBorders>
              <w:top w:val="nil"/>
              <w:left w:val="nil"/>
              <w:bottom w:val="nil"/>
              <w:right w:val="nil"/>
            </w:tcBorders>
            <w:vAlign w:val="bottom"/>
          </w:tcPr>
          <w:p w14:paraId="78D6293F"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w:t>
            </w:r>
          </w:p>
        </w:tc>
        <w:tc>
          <w:tcPr>
            <w:tcW w:w="1660" w:type="dxa"/>
            <w:tcBorders>
              <w:top w:val="nil"/>
              <w:left w:val="nil"/>
              <w:bottom w:val="nil"/>
              <w:right w:val="nil"/>
            </w:tcBorders>
            <w:vAlign w:val="bottom"/>
          </w:tcPr>
          <w:p w14:paraId="4AF943F5"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w:t>
            </w:r>
          </w:p>
        </w:tc>
      </w:tr>
      <w:tr w:rsidR="00B65EDC" w:rsidRPr="004421A9" w14:paraId="76536324" w14:textId="77777777" w:rsidTr="00CD4E21">
        <w:trPr>
          <w:trHeight w:val="260"/>
        </w:trPr>
        <w:tc>
          <w:tcPr>
            <w:tcW w:w="3800" w:type="dxa"/>
            <w:tcBorders>
              <w:top w:val="nil"/>
              <w:left w:val="nil"/>
              <w:bottom w:val="nil"/>
              <w:right w:val="nil"/>
            </w:tcBorders>
            <w:vAlign w:val="bottom"/>
            <w:hideMark/>
          </w:tcPr>
          <w:p w14:paraId="37C3E643" w14:textId="77777777" w:rsidR="00B65EDC" w:rsidRPr="004421A9" w:rsidRDefault="00B65EDC" w:rsidP="00CD4E21">
            <w:pPr>
              <w:jc w:val="left"/>
              <w:rPr>
                <w:rFonts w:ascii="Arial Narrow" w:hAnsi="Arial Narrow" w:cs="Arial"/>
                <w:i/>
                <w:iCs/>
                <w:color w:val="000000"/>
              </w:rPr>
            </w:pPr>
          </w:p>
        </w:tc>
        <w:tc>
          <w:tcPr>
            <w:tcW w:w="1180" w:type="dxa"/>
            <w:tcBorders>
              <w:top w:val="nil"/>
              <w:left w:val="nil"/>
              <w:bottom w:val="nil"/>
              <w:right w:val="nil"/>
            </w:tcBorders>
            <w:vAlign w:val="bottom"/>
          </w:tcPr>
          <w:p w14:paraId="71657ADE" w14:textId="77777777" w:rsidR="00B65EDC" w:rsidRPr="004421A9" w:rsidRDefault="00B65EDC" w:rsidP="00CD4E21">
            <w:pPr>
              <w:jc w:val="right"/>
              <w:rPr>
                <w:rFonts w:ascii="Times New Roman" w:hAnsi="Times New Roman"/>
              </w:rPr>
            </w:pPr>
          </w:p>
        </w:tc>
        <w:tc>
          <w:tcPr>
            <w:tcW w:w="1180" w:type="dxa"/>
            <w:tcBorders>
              <w:top w:val="nil"/>
              <w:left w:val="nil"/>
              <w:bottom w:val="nil"/>
              <w:right w:val="nil"/>
            </w:tcBorders>
            <w:vAlign w:val="bottom"/>
          </w:tcPr>
          <w:p w14:paraId="5D279161" w14:textId="77777777" w:rsidR="00B65EDC" w:rsidRPr="004421A9" w:rsidRDefault="00B65EDC" w:rsidP="00CD4E21">
            <w:pPr>
              <w:jc w:val="right"/>
              <w:rPr>
                <w:rFonts w:ascii="Times New Roman" w:hAnsi="Times New Roman"/>
              </w:rPr>
            </w:pPr>
          </w:p>
        </w:tc>
        <w:tc>
          <w:tcPr>
            <w:tcW w:w="870" w:type="dxa"/>
            <w:tcBorders>
              <w:top w:val="nil"/>
              <w:left w:val="nil"/>
              <w:bottom w:val="nil"/>
              <w:right w:val="nil"/>
            </w:tcBorders>
            <w:vAlign w:val="bottom"/>
          </w:tcPr>
          <w:p w14:paraId="52012475" w14:textId="77777777" w:rsidR="00B65EDC" w:rsidRPr="004421A9" w:rsidRDefault="00B65EDC" w:rsidP="00CD4E21">
            <w:pPr>
              <w:jc w:val="right"/>
              <w:rPr>
                <w:rFonts w:ascii="Times New Roman" w:hAnsi="Times New Roman"/>
              </w:rPr>
            </w:pPr>
          </w:p>
        </w:tc>
        <w:tc>
          <w:tcPr>
            <w:tcW w:w="870" w:type="dxa"/>
            <w:tcBorders>
              <w:top w:val="nil"/>
              <w:left w:val="nil"/>
              <w:bottom w:val="nil"/>
              <w:right w:val="nil"/>
            </w:tcBorders>
            <w:vAlign w:val="bottom"/>
          </w:tcPr>
          <w:p w14:paraId="10E07DC4" w14:textId="77777777" w:rsidR="00B65EDC" w:rsidRPr="004421A9" w:rsidRDefault="00B65EDC" w:rsidP="00CD4E21">
            <w:pPr>
              <w:jc w:val="right"/>
              <w:rPr>
                <w:rFonts w:ascii="Times New Roman" w:hAnsi="Times New Roman"/>
              </w:rPr>
            </w:pPr>
          </w:p>
        </w:tc>
        <w:tc>
          <w:tcPr>
            <w:tcW w:w="1660" w:type="dxa"/>
            <w:tcBorders>
              <w:top w:val="nil"/>
              <w:left w:val="nil"/>
              <w:bottom w:val="nil"/>
              <w:right w:val="nil"/>
            </w:tcBorders>
            <w:vAlign w:val="bottom"/>
          </w:tcPr>
          <w:p w14:paraId="0F4572D7" w14:textId="77777777" w:rsidR="00B65EDC" w:rsidRPr="004421A9" w:rsidRDefault="00B65EDC" w:rsidP="00CD4E21">
            <w:pPr>
              <w:jc w:val="right"/>
              <w:rPr>
                <w:rFonts w:ascii="Times New Roman" w:hAnsi="Times New Roman"/>
              </w:rPr>
            </w:pPr>
          </w:p>
        </w:tc>
      </w:tr>
      <w:tr w:rsidR="00B65EDC" w:rsidRPr="004421A9" w14:paraId="5217DB30" w14:textId="77777777" w:rsidTr="00CD4E21">
        <w:trPr>
          <w:trHeight w:val="330"/>
        </w:trPr>
        <w:tc>
          <w:tcPr>
            <w:tcW w:w="3800" w:type="dxa"/>
            <w:tcBorders>
              <w:top w:val="single" w:sz="4" w:space="0" w:color="AAB8C4"/>
              <w:left w:val="nil"/>
              <w:bottom w:val="single" w:sz="8" w:space="0" w:color="AAB8C4"/>
              <w:right w:val="nil"/>
            </w:tcBorders>
            <w:vAlign w:val="bottom"/>
            <w:hideMark/>
          </w:tcPr>
          <w:p w14:paraId="780F4F64" w14:textId="3B9A13B8" w:rsidR="00B65EDC" w:rsidRPr="004421A9" w:rsidRDefault="00B65EDC" w:rsidP="00CD4E21">
            <w:pPr>
              <w:jc w:val="left"/>
              <w:rPr>
                <w:rFonts w:ascii="Arial Narrow" w:hAnsi="Arial Narrow" w:cs="Arial"/>
                <w:b/>
                <w:bCs/>
              </w:rPr>
            </w:pPr>
            <w:r w:rsidRPr="004421A9">
              <w:rPr>
                <w:rFonts w:ascii="Arial Narrow" w:hAnsi="Arial Narrow" w:cs="Arial"/>
                <w:b/>
                <w:bCs/>
              </w:rPr>
              <w:t xml:space="preserve">3. </w:t>
            </w:r>
            <w:r w:rsidR="00E32876" w:rsidRPr="004421A9">
              <w:rPr>
                <w:rFonts w:ascii="Arial Narrow" w:hAnsi="Arial Narrow" w:cs="Arial"/>
                <w:b/>
                <w:bCs/>
              </w:rPr>
              <w:t>Betriebsmittelfond</w:t>
            </w:r>
            <w:r w:rsidRPr="004421A9">
              <w:rPr>
                <w:rFonts w:ascii="Arial Narrow" w:hAnsi="Arial Narrow" w:cs="Arial"/>
                <w:b/>
                <w:bCs/>
              </w:rPr>
              <w:t>s</w:t>
            </w:r>
          </w:p>
        </w:tc>
        <w:tc>
          <w:tcPr>
            <w:tcW w:w="1180" w:type="dxa"/>
            <w:tcBorders>
              <w:top w:val="single" w:sz="4" w:space="0" w:color="AAB8C4"/>
              <w:left w:val="nil"/>
              <w:bottom w:val="single" w:sz="8" w:space="0" w:color="AAB8C4"/>
              <w:right w:val="nil"/>
            </w:tcBorders>
            <w:vAlign w:val="bottom"/>
          </w:tcPr>
          <w:p w14:paraId="7E659E2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578</w:t>
            </w:r>
          </w:p>
        </w:tc>
        <w:tc>
          <w:tcPr>
            <w:tcW w:w="1180" w:type="dxa"/>
            <w:tcBorders>
              <w:top w:val="single" w:sz="4" w:space="0" w:color="AAB8C4"/>
              <w:left w:val="nil"/>
              <w:bottom w:val="single" w:sz="8" w:space="0" w:color="AAB8C4"/>
              <w:right w:val="nil"/>
            </w:tcBorders>
            <w:vAlign w:val="bottom"/>
          </w:tcPr>
          <w:p w14:paraId="1B70E429"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583</w:t>
            </w:r>
          </w:p>
        </w:tc>
        <w:tc>
          <w:tcPr>
            <w:tcW w:w="870" w:type="dxa"/>
            <w:tcBorders>
              <w:top w:val="single" w:sz="4" w:space="0" w:color="AAB8C4"/>
              <w:left w:val="nil"/>
              <w:bottom w:val="single" w:sz="8" w:space="0" w:color="AAB8C4"/>
              <w:right w:val="nil"/>
            </w:tcBorders>
            <w:vAlign w:val="bottom"/>
          </w:tcPr>
          <w:p w14:paraId="54EDAFF7"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0</w:t>
            </w:r>
          </w:p>
        </w:tc>
        <w:tc>
          <w:tcPr>
            <w:tcW w:w="870" w:type="dxa"/>
            <w:tcBorders>
              <w:top w:val="single" w:sz="4" w:space="0" w:color="BFBFBF"/>
              <w:left w:val="nil"/>
              <w:bottom w:val="single" w:sz="8" w:space="0" w:color="BFBFBF"/>
              <w:right w:val="nil"/>
            </w:tcBorders>
            <w:vAlign w:val="bottom"/>
          </w:tcPr>
          <w:p w14:paraId="3D8483FA" w14:textId="67C56DB0" w:rsidR="00B65EDC" w:rsidRPr="004421A9" w:rsidRDefault="00B65EDC" w:rsidP="00CD4E21">
            <w:pPr>
              <w:jc w:val="right"/>
              <w:rPr>
                <w:rFonts w:ascii="Arial Narrow" w:hAnsi="Arial Narrow" w:cs="Arial"/>
                <w:b/>
                <w:bCs/>
              </w:rPr>
            </w:pPr>
            <w:r w:rsidRPr="004421A9">
              <w:rPr>
                <w:rFonts w:ascii="Arial Narrow" w:hAnsi="Arial Narrow" w:cs="Arial"/>
                <w:b/>
                <w:bCs/>
              </w:rPr>
              <w:t>0,0</w:t>
            </w:r>
            <w:r w:rsidR="00D97FEF" w:rsidRPr="004421A9">
              <w:rPr>
                <w:rFonts w:ascii="Arial Narrow" w:hAnsi="Arial Narrow" w:cs="Arial"/>
                <w:b/>
                <w:bCs/>
              </w:rPr>
              <w:t xml:space="preserve"> %</w:t>
            </w:r>
          </w:p>
        </w:tc>
        <w:tc>
          <w:tcPr>
            <w:tcW w:w="1660" w:type="dxa"/>
            <w:tcBorders>
              <w:top w:val="single" w:sz="4" w:space="0" w:color="AAB8C4"/>
              <w:left w:val="nil"/>
              <w:bottom w:val="single" w:sz="8" w:space="0" w:color="AAB8C4"/>
              <w:right w:val="nil"/>
            </w:tcBorders>
            <w:vAlign w:val="bottom"/>
          </w:tcPr>
          <w:p w14:paraId="1FC7E138"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583</w:t>
            </w:r>
          </w:p>
        </w:tc>
      </w:tr>
    </w:tbl>
    <w:p w14:paraId="7840A2F7" w14:textId="77777777" w:rsidR="00B65EDC" w:rsidRPr="004421A9" w:rsidRDefault="00B65EDC" w:rsidP="00B65EDC">
      <w:pPr>
        <w:rPr>
          <w:spacing w:val="-2"/>
          <w:szCs w:val="24"/>
        </w:rPr>
      </w:pPr>
    </w:p>
    <w:p w14:paraId="62B8D876" w14:textId="77777777" w:rsidR="00B65EDC" w:rsidRPr="004421A9" w:rsidRDefault="00B65EDC" w:rsidP="00B65EDC">
      <w:pPr>
        <w:rPr>
          <w:spacing w:val="-2"/>
          <w:szCs w:val="24"/>
        </w:rPr>
      </w:pPr>
    </w:p>
    <w:p w14:paraId="68551516" w14:textId="7E8D1AE2" w:rsidR="00B65EDC" w:rsidRPr="004421A9" w:rsidRDefault="00773789" w:rsidP="00B65EDC">
      <w:pPr>
        <w:rPr>
          <w:spacing w:val="-2"/>
          <w:szCs w:val="24"/>
        </w:rPr>
      </w:pPr>
      <w:r w:rsidRPr="004421A9">
        <w:fldChar w:fldCharType="begin"/>
      </w:r>
      <w:r w:rsidRPr="004421A9">
        <w:instrText xml:space="preserve"> AUTONUM  </w:instrText>
      </w:r>
      <w:r w:rsidRPr="004421A9">
        <w:fldChar w:fldCharType="end"/>
      </w:r>
      <w:r w:rsidR="00B65EDC" w:rsidRPr="004421A9">
        <w:tab/>
      </w:r>
      <w:r w:rsidR="004D7283" w:rsidRPr="004421A9">
        <w:rPr>
          <w:spacing w:val="-2"/>
          <w:szCs w:val="24"/>
        </w:rPr>
        <w:t xml:space="preserve">In Bezug auf den Reservefond wird daran erinnert, dass das Dokument UPOV/INF/4/6 „Finanzordnung und ihre Durchführungsbestimmungen der UPOV“, Regel 4.6 lautet: „[...] Wenn der Reservefond nach Abschluss der Rechnungsperiode 15 Prozent der </w:t>
      </w:r>
      <w:r w:rsidR="007B0EF5" w:rsidRPr="004421A9">
        <w:rPr>
          <w:spacing w:val="-2"/>
          <w:szCs w:val="24"/>
        </w:rPr>
        <w:t>Gesamteinnahmen</w:t>
      </w:r>
      <w:r w:rsidR="004D7283" w:rsidRPr="004421A9">
        <w:rPr>
          <w:spacing w:val="-2"/>
          <w:szCs w:val="24"/>
        </w:rPr>
        <w:t xml:space="preserve"> übersteigt, entscheidet der Rat über die Verwendung der die Ausgaben der Rechnungsperiode übersteigenden Einnahmen.“ Die notwendigen Maßnahmen werden für die Prüfung durch den Beratenden Ausschuss und den Rat erfolgen, sofern diese Situation vor Rechnungsabschluss der Rechnungsperiode 2026-2027 zutrifft</w:t>
      </w:r>
      <w:r w:rsidR="00B65EDC" w:rsidRPr="004421A9">
        <w:rPr>
          <w:spacing w:val="-2"/>
          <w:szCs w:val="24"/>
        </w:rPr>
        <w:t xml:space="preserve">. </w:t>
      </w:r>
    </w:p>
    <w:p w14:paraId="2316CE40" w14:textId="77777777" w:rsidR="00B65EDC" w:rsidRPr="004421A9" w:rsidRDefault="00B65EDC" w:rsidP="00B65EDC">
      <w:pPr>
        <w:rPr>
          <w:spacing w:val="-2"/>
          <w:szCs w:val="24"/>
        </w:rPr>
      </w:pPr>
    </w:p>
    <w:p w14:paraId="3CF33E3F" w14:textId="77777777" w:rsidR="00B65EDC" w:rsidRPr="004421A9" w:rsidRDefault="00B65EDC" w:rsidP="00B65EDC">
      <w:pPr>
        <w:rPr>
          <w:spacing w:val="-2"/>
          <w:szCs w:val="24"/>
        </w:rPr>
      </w:pPr>
    </w:p>
    <w:p w14:paraId="5AA7DE49" w14:textId="77777777" w:rsidR="00B65EDC" w:rsidRPr="004421A9" w:rsidRDefault="00B65EDC" w:rsidP="00B65EDC">
      <w:pPr>
        <w:pStyle w:val="Heading3"/>
        <w:rPr>
          <w:lang w:val="de-DE"/>
        </w:rPr>
      </w:pPr>
      <w:bookmarkStart w:id="435" w:name="_Toc210041693"/>
      <w:r w:rsidRPr="004421A9">
        <w:rPr>
          <w:lang w:val="de-DE"/>
        </w:rPr>
        <w:t>Einnahmen</w:t>
      </w:r>
      <w:bookmarkEnd w:id="435"/>
    </w:p>
    <w:p w14:paraId="750789D5" w14:textId="77777777" w:rsidR="00B65EDC" w:rsidRPr="004421A9" w:rsidRDefault="00B65EDC" w:rsidP="00B65EDC">
      <w:pPr>
        <w:rPr>
          <w:spacing w:val="-2"/>
          <w:szCs w:val="24"/>
        </w:rPr>
      </w:pPr>
    </w:p>
    <w:bookmarkStart w:id="436" w:name="_Hlk190005715"/>
    <w:p w14:paraId="3D3F9F20" w14:textId="3E472A1D" w:rsidR="00B65EDC" w:rsidRPr="004421A9" w:rsidRDefault="00DF69C4" w:rsidP="00B65EDC">
      <w:r w:rsidRPr="004421A9">
        <w:fldChar w:fldCharType="begin"/>
      </w:r>
      <w:r w:rsidRPr="004421A9">
        <w:instrText xml:space="preserve"> AUTONUM  </w:instrText>
      </w:r>
      <w:r w:rsidRPr="004421A9">
        <w:fldChar w:fldCharType="end"/>
      </w:r>
      <w:r w:rsidR="00B65EDC" w:rsidRPr="004421A9">
        <w:tab/>
      </w:r>
      <w:bookmarkEnd w:id="436"/>
      <w:r w:rsidR="005A0825" w:rsidRPr="004421A9">
        <w:t xml:space="preserve">Die </w:t>
      </w:r>
      <w:r w:rsidR="007B0EF5" w:rsidRPr="004421A9">
        <w:t>Gesamteinnahmen</w:t>
      </w:r>
      <w:r w:rsidR="005A0825" w:rsidRPr="004421A9">
        <w:t xml:space="preserve"> im ordentlichen Haushalt in der Rechnungsperiode 2026-2027 werden auf 7.615.864 Schweizer Franken geschätzt, d. h. 285.443 Schweizer Franken oder 3,6 Prozent niedriger als die geschätzten Einnahmen für die Rechnungsperiode 2024-2025 (7.901.307 Schweizer Franken) (vergleiche Tabelle 2). Die Einnahmenschätzung für 2026-2027 basiert auf 66,45 Beitragseinheiten im Jahr 2026 und 66,65 Beitragseinheiten im Jahr 2027 bei unverändertem Wert der Beitragseinheit, der in diesem Vorschlag für die Rechnungsperiode 2026-2027, wie für das Jahr 2024-2025, als 53.641 Schweizer Franken angenommen wird</w:t>
      </w:r>
      <w:r w:rsidR="00B65EDC" w:rsidRPr="004421A9">
        <w:t>.</w:t>
      </w:r>
    </w:p>
    <w:p w14:paraId="4CC85415" w14:textId="77777777" w:rsidR="00B65EDC" w:rsidRPr="004421A9" w:rsidRDefault="00B65EDC" w:rsidP="00B65EDC"/>
    <w:p w14:paraId="3C4E9214" w14:textId="04285622" w:rsidR="00B65EDC" w:rsidRPr="004421A9" w:rsidRDefault="00D84906" w:rsidP="00B65EDC">
      <w:r w:rsidRPr="004421A9">
        <w:fldChar w:fldCharType="begin"/>
      </w:r>
      <w:r w:rsidRPr="004421A9">
        <w:instrText xml:space="preserve"> AUTONUM  </w:instrText>
      </w:r>
      <w:r w:rsidRPr="004421A9">
        <w:fldChar w:fldCharType="end"/>
      </w:r>
      <w:r w:rsidR="00B65EDC" w:rsidRPr="004421A9">
        <w:tab/>
      </w:r>
      <w:r w:rsidR="007F0073" w:rsidRPr="004421A9">
        <w:t>Die Beiträge der Mitglieder stellen die Haupteinnahmequelle der UPOV dar, d. h. 93</w:t>
      </w:r>
      <w:r w:rsidR="00D358B5" w:rsidRPr="004421A9">
        <w:t>,7</w:t>
      </w:r>
      <w:r w:rsidR="007F0073" w:rsidRPr="004421A9">
        <w:t xml:space="preserve"> Prozent. Der Wert der Beitragseinheit ist seit 1995 unverändert bei 53.641 Schweizer Franken geblieben. Die Einnahmeprognosen für 2026-2027 sehen einen allgemeinen Rückgang der Einnahmen vor, während die Nachfrage nach den Dienstleistungen der UPOV weiter zunimmt. Um den Rückgang der Einnahmen auszugleichen und sicherzustellen, dass die UPOV in der Lage ist, den Bedarf der UPOV in den vom Rat vereinbarten vorrangigen Bereichen zu decken, wird der Generalsekretär zusammen mit dem UPOV-Büro Beratungen durchführen, um den Wert der Beitragseinheit zu bewerten und einen Vorschlag zur Prüfung durch den Beratenden Ausschuss und den Rat im Oktober 2025 vorzulegen</w:t>
      </w:r>
      <w:r w:rsidR="004D7F9F" w:rsidRPr="004421A9">
        <w:t xml:space="preserve"> (</w:t>
      </w:r>
      <w:r w:rsidR="00BE2B70">
        <w:t xml:space="preserve">vergleiche die </w:t>
      </w:r>
      <w:r w:rsidR="00861F20" w:rsidRPr="004421A9">
        <w:rPr>
          <w:bCs/>
          <w:color w:val="000000" w:themeColor="text1"/>
        </w:rPr>
        <w:t xml:space="preserve">Ressourcenstrategie der UPOV </w:t>
      </w:r>
      <w:r w:rsidR="004D7F9F" w:rsidRPr="004421A9">
        <w:rPr>
          <w:bCs/>
          <w:color w:val="000000" w:themeColor="text1"/>
        </w:rPr>
        <w:t>(Dokument C/59/16)</w:t>
      </w:r>
      <w:r w:rsidR="00BE2B70">
        <w:rPr>
          <w:bCs/>
          <w:color w:val="000000" w:themeColor="text1"/>
        </w:rPr>
        <w:t>)</w:t>
      </w:r>
      <w:r w:rsidR="00B65EDC" w:rsidRPr="004421A9">
        <w:t>.</w:t>
      </w:r>
    </w:p>
    <w:p w14:paraId="2D46EB0C" w14:textId="77777777" w:rsidR="00B65EDC" w:rsidRPr="004421A9" w:rsidRDefault="00B65EDC" w:rsidP="00B65EDC"/>
    <w:p w14:paraId="29A7FE32" w14:textId="24BD303E" w:rsidR="004E7133" w:rsidRPr="004421A9" w:rsidRDefault="00065BC4" w:rsidP="004E7133">
      <w:r w:rsidRPr="004421A9">
        <w:fldChar w:fldCharType="begin"/>
      </w:r>
      <w:r w:rsidRPr="004421A9">
        <w:instrText xml:space="preserve"> AUTONUM  </w:instrText>
      </w:r>
      <w:r w:rsidRPr="004421A9">
        <w:fldChar w:fldCharType="end"/>
      </w:r>
      <w:r w:rsidR="00B65EDC" w:rsidRPr="004421A9">
        <w:tab/>
      </w:r>
      <w:r w:rsidR="00EB7FF6" w:rsidRPr="004421A9">
        <w:t>Die Einnahmen aus Beiträgen werden auf der Grundlage eines neuen Verbandsmitglieds pro Jahr geschätzt, das jeweils 0,2 Beitragseinheiten zum Haushalt (und 1.667 Schweizer Franken zum Betriebsmittelfonds) beiträgt</w:t>
      </w:r>
      <w:r w:rsidR="00B65EDC" w:rsidRPr="004421A9">
        <w:t>.</w:t>
      </w:r>
      <w:r w:rsidR="004E7133" w:rsidRPr="004421A9">
        <w:t xml:space="preserve"> Am 27. Februar 2025 </w:t>
      </w:r>
      <w:r w:rsidR="002C04BD" w:rsidRPr="004421A9">
        <w:t>hinterlegte</w:t>
      </w:r>
      <w:r w:rsidR="004E7133" w:rsidRPr="004421A9">
        <w:t xml:space="preserve"> Nigeria seine </w:t>
      </w:r>
      <w:r w:rsidR="006E7FD8" w:rsidRPr="004421A9">
        <w:t>U</w:t>
      </w:r>
      <w:r w:rsidR="004E7133" w:rsidRPr="004421A9">
        <w:t xml:space="preserve">rkunde </w:t>
      </w:r>
      <w:r w:rsidR="006E7FD8" w:rsidRPr="004421A9">
        <w:t xml:space="preserve">über den Beitritt </w:t>
      </w:r>
      <w:r w:rsidR="004E7133" w:rsidRPr="004421A9">
        <w:t>zum UPOV-Übereinkommen.</w:t>
      </w:r>
      <w:r w:rsidR="002C04BD" w:rsidRPr="004421A9">
        <w:t xml:space="preserve"> </w:t>
      </w:r>
      <w:r w:rsidR="004E7133" w:rsidRPr="004421A9">
        <w:t xml:space="preserve">Nigeria </w:t>
      </w:r>
      <w:r w:rsidR="00D358B5" w:rsidRPr="004421A9">
        <w:t>wurde</w:t>
      </w:r>
      <w:r w:rsidR="004E7133" w:rsidRPr="004421A9">
        <w:t xml:space="preserve"> am 27. März 2025 das achtzigste Mitglied der UPOV</w:t>
      </w:r>
      <w:r w:rsidR="00B549BF" w:rsidRPr="004421A9">
        <w:t xml:space="preserve">. </w:t>
      </w:r>
      <w:r w:rsidR="004E7133" w:rsidRPr="004421A9">
        <w:t xml:space="preserve">Der jährliche Beitrag Nigerias zu den Ausgaben des Verbandes beträgt ein Fünftel einer Einheit (0,2). Auf seiner dreiundzwanzigsten außerordentlichen Tagung vom 7. April 2006 in Genf entschied der Rat, dass „die </w:t>
      </w:r>
      <w:r w:rsidR="004E7133" w:rsidRPr="004421A9">
        <w:lastRenderedPageBreak/>
        <w:t xml:space="preserve">Verbandsmitglieder die Anzahl ihrer Beitragseinheiten nicht nach unten revidieren sollten, ohne die Auswirkungen für die UPOV zu bedenken und zu überlegen, wie diese Reduzierung durch andere Verbandsmitglieder ausgeglichen würde. Insbesondere sollten die Verbandsmitglieder die Anzahl ihrer Beitragseinheiten während einer vom Rat gebilligten Haushaltsperiode nur unter außergewöhnlichen und unvermeidlichen Umständen reduzieren“ (vergleiche Anlage III des Dokuments C(Extr.)/23/5). </w:t>
      </w:r>
    </w:p>
    <w:p w14:paraId="2CCF7F36" w14:textId="77777777" w:rsidR="004E7133" w:rsidRPr="004421A9" w:rsidRDefault="004E7133" w:rsidP="004E7133"/>
    <w:p w14:paraId="2F4FF330" w14:textId="3F3BBB17" w:rsidR="004E7133" w:rsidRPr="004421A9" w:rsidRDefault="00D323CE" w:rsidP="004E7133">
      <w:r w:rsidRPr="004421A9">
        <w:fldChar w:fldCharType="begin"/>
      </w:r>
      <w:r w:rsidRPr="004421A9">
        <w:instrText xml:space="preserve"> AUTONUM  </w:instrText>
      </w:r>
      <w:r w:rsidRPr="004421A9">
        <w:fldChar w:fldCharType="end"/>
      </w:r>
      <w:r w:rsidR="004E7133" w:rsidRPr="004421A9">
        <w:tab/>
        <w:t>Am 25. Oktober 2024 wurde der UPOV mitgeteilt, dass die Anzahl von für Schweden geltenden Beitragseinheiten mit Wirkung vom Januar 2026 von 1,5 auf 1 Beitragseinheit reduziert werden wird. In der Rechnungsperiode 2026-2027 ist keine weitere Reduzierung der Anzahl von Beitragseinheiten von Verbandsmitgliedern vorgesehen.</w:t>
      </w:r>
    </w:p>
    <w:p w14:paraId="29315799" w14:textId="77777777" w:rsidR="004E7133" w:rsidRPr="004421A9" w:rsidRDefault="004E7133" w:rsidP="004E7133"/>
    <w:p w14:paraId="540CC1DA" w14:textId="262B6F78" w:rsidR="00B65EDC" w:rsidRPr="004421A9" w:rsidRDefault="00240247" w:rsidP="004E7133">
      <w:r w:rsidRPr="004421A9">
        <w:fldChar w:fldCharType="begin"/>
      </w:r>
      <w:r w:rsidRPr="004421A9">
        <w:instrText xml:space="preserve"> AUTONUM  </w:instrText>
      </w:r>
      <w:r w:rsidRPr="004421A9">
        <w:fldChar w:fldCharType="end"/>
      </w:r>
      <w:r w:rsidR="004E7133" w:rsidRPr="004421A9">
        <w:tab/>
        <w:t>Zusätzlich zu den Beiträgen von Verbandsmitgliedern werden Einnahmen aus den Gebühren für IT-Instrumente und Dienstleistungen der UPOV (326.520 Schweizer Franken) erwartet und die sonstigen Einnahmen werden auf 149.749 Schweizer Franken geschätzt, einschließlich: i) Kosten für administrative Unterstützung aus Treuhandgeldern (109.749 Schweizer Franken); und ii) Gebühren aus dem Fernlehrgangsprogramm (40.000 Schweizer Franken). Andere Einnahmequellen als Beiträge machen 6,3</w:t>
      </w:r>
      <w:r w:rsidR="00834A1F">
        <w:t> </w:t>
      </w:r>
      <w:r w:rsidR="004E7133" w:rsidRPr="004421A9">
        <w:t xml:space="preserve">Prozent der geschätzten </w:t>
      </w:r>
      <w:r w:rsidR="007B0EF5" w:rsidRPr="004421A9">
        <w:t>Gesamteinnahmen</w:t>
      </w:r>
      <w:r w:rsidR="004E7133" w:rsidRPr="004421A9">
        <w:t xml:space="preserve"> für 2026-2027 aus</w:t>
      </w:r>
      <w:r w:rsidR="00B65EDC" w:rsidRPr="004421A9">
        <w:t xml:space="preserve">. </w:t>
      </w:r>
    </w:p>
    <w:p w14:paraId="0875BD29" w14:textId="77777777" w:rsidR="00B65EDC" w:rsidRPr="004421A9" w:rsidRDefault="00B65EDC" w:rsidP="00B65EDC">
      <w:pPr>
        <w:rPr>
          <w:spacing w:val="-2"/>
          <w:szCs w:val="24"/>
        </w:rPr>
      </w:pPr>
    </w:p>
    <w:p w14:paraId="27E69621" w14:textId="77777777" w:rsidR="00B65EDC" w:rsidRPr="004421A9" w:rsidRDefault="00B65EDC" w:rsidP="00B65EDC">
      <w:pPr>
        <w:rPr>
          <w:spacing w:val="-2"/>
          <w:szCs w:val="24"/>
        </w:rPr>
      </w:pPr>
    </w:p>
    <w:p w14:paraId="541A275C" w14:textId="0AD1038A" w:rsidR="00B65EDC" w:rsidRPr="004421A9" w:rsidRDefault="00B65EDC" w:rsidP="00B65EDC">
      <w:pPr>
        <w:keepNext/>
        <w:jc w:val="center"/>
        <w:rPr>
          <w:rFonts w:cs="Arial"/>
          <w:i/>
          <w:iCs/>
          <w:sz w:val="18"/>
          <w:szCs w:val="18"/>
        </w:rPr>
      </w:pPr>
      <w:r w:rsidRPr="004421A9">
        <w:rPr>
          <w:rFonts w:cs="Arial"/>
          <w:b/>
          <w:bCs/>
          <w:color w:val="26724C" w:themeColor="accent1" w:themeShade="BF"/>
        </w:rPr>
        <w:t>Tabelle 2:</w:t>
      </w:r>
      <w:r w:rsidR="00877E3D" w:rsidRPr="004421A9">
        <w:rPr>
          <w:rFonts w:cs="Arial"/>
          <w:b/>
          <w:bCs/>
          <w:color w:val="26724C" w:themeColor="accent1" w:themeShade="BF"/>
        </w:rPr>
        <w:t xml:space="preserve"> </w:t>
      </w:r>
      <w:r w:rsidRPr="004421A9">
        <w:rPr>
          <w:rFonts w:cs="Arial"/>
          <w:b/>
          <w:bCs/>
          <w:color w:val="26724C" w:themeColor="accent1" w:themeShade="BF"/>
        </w:rPr>
        <w:t xml:space="preserve">Einnahmen </w:t>
      </w:r>
      <w:bookmarkStart w:id="437" w:name="_Hlk189579333"/>
      <w:r w:rsidRPr="004421A9">
        <w:rPr>
          <w:rFonts w:cs="Arial"/>
          <w:b/>
          <w:bCs/>
          <w:color w:val="26724C" w:themeColor="accent1" w:themeShade="BF"/>
        </w:rPr>
        <w:t>2024–2025 und</w:t>
      </w:r>
      <w:r w:rsidR="00521C0D" w:rsidRPr="004421A9">
        <w:rPr>
          <w:rFonts w:cs="Arial"/>
          <w:b/>
          <w:bCs/>
          <w:color w:val="26724C" w:themeColor="accent1" w:themeShade="BF"/>
        </w:rPr>
        <w:t xml:space="preserve"> 2026–2027</w:t>
      </w:r>
      <w:bookmarkEnd w:id="437"/>
      <w:r w:rsidRPr="004421A9" w:rsidDel="00DB24D8">
        <w:rPr>
          <w:rFonts w:cs="Arial"/>
          <w:b/>
          <w:bCs/>
          <w:color w:val="26724C" w:themeColor="accent1" w:themeShade="BF"/>
        </w:rPr>
        <w:t xml:space="preserve"> </w:t>
      </w:r>
      <w:r w:rsidRPr="004421A9">
        <w:rPr>
          <w:rFonts w:cs="Arial"/>
          <w:b/>
          <w:bCs/>
        </w:rPr>
        <w:br/>
      </w:r>
      <w:r w:rsidRPr="004421A9">
        <w:rPr>
          <w:rFonts w:cs="Arial"/>
          <w:i/>
          <w:iCs/>
          <w:sz w:val="18"/>
          <w:szCs w:val="18"/>
        </w:rPr>
        <w:t>(</w:t>
      </w:r>
      <w:r w:rsidR="008166F5" w:rsidRPr="004421A9">
        <w:rPr>
          <w:rFonts w:cs="Arial"/>
          <w:i/>
          <w:iCs/>
          <w:sz w:val="18"/>
          <w:szCs w:val="18"/>
        </w:rPr>
        <w:t>in tausend Schweizer Franken</w:t>
      </w:r>
      <w:r w:rsidRPr="004421A9">
        <w:rPr>
          <w:rFonts w:cs="Arial"/>
          <w:i/>
          <w:iCs/>
          <w:sz w:val="18"/>
          <w:szCs w:val="18"/>
        </w:rPr>
        <w:t>)</w:t>
      </w:r>
    </w:p>
    <w:p w14:paraId="0A64D72E" w14:textId="77777777" w:rsidR="00B65EDC" w:rsidRPr="004421A9" w:rsidRDefault="00B65EDC" w:rsidP="00B65EDC">
      <w:pPr>
        <w:keepNext/>
        <w:rPr>
          <w:rFonts w:cs="Arial"/>
          <w:i/>
          <w:iCs/>
        </w:rPr>
      </w:pPr>
    </w:p>
    <w:tbl>
      <w:tblPr>
        <w:tblW w:w="9587" w:type="dxa"/>
        <w:tblLook w:val="04A0" w:firstRow="1" w:lastRow="0" w:firstColumn="1" w:lastColumn="0" w:noHBand="0" w:noVBand="1"/>
      </w:tblPr>
      <w:tblGrid>
        <w:gridCol w:w="3402"/>
        <w:gridCol w:w="1276"/>
        <w:gridCol w:w="1418"/>
        <w:gridCol w:w="1134"/>
        <w:gridCol w:w="1114"/>
        <w:gridCol w:w="1243"/>
      </w:tblGrid>
      <w:tr w:rsidR="00B65EDC" w:rsidRPr="004421A9" w14:paraId="5ABBAEFC" w14:textId="77777777" w:rsidTr="00CD4E21">
        <w:trPr>
          <w:trHeight w:val="317"/>
        </w:trPr>
        <w:tc>
          <w:tcPr>
            <w:tcW w:w="3402" w:type="dxa"/>
            <w:tcBorders>
              <w:top w:val="nil"/>
              <w:left w:val="nil"/>
              <w:bottom w:val="nil"/>
              <w:right w:val="nil"/>
            </w:tcBorders>
            <w:shd w:val="clear" w:color="000000" w:fill="C7CFD8"/>
            <w:hideMark/>
          </w:tcPr>
          <w:p w14:paraId="599FC29F" w14:textId="77777777" w:rsidR="00B65EDC" w:rsidRPr="004421A9" w:rsidRDefault="00B65EDC" w:rsidP="00CD4E21">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60FA2F77"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2022–2023</w:t>
            </w:r>
          </w:p>
        </w:tc>
        <w:tc>
          <w:tcPr>
            <w:tcW w:w="1418" w:type="dxa"/>
            <w:tcBorders>
              <w:top w:val="nil"/>
              <w:left w:val="nil"/>
              <w:bottom w:val="nil"/>
              <w:right w:val="nil"/>
            </w:tcBorders>
            <w:shd w:val="clear" w:color="000000" w:fill="C7CFD8"/>
            <w:vAlign w:val="center"/>
            <w:hideMark/>
          </w:tcPr>
          <w:p w14:paraId="78FBE309"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2024–2025 </w:t>
            </w:r>
          </w:p>
        </w:tc>
        <w:tc>
          <w:tcPr>
            <w:tcW w:w="2248" w:type="dxa"/>
            <w:gridSpan w:val="2"/>
            <w:vMerge w:val="restart"/>
            <w:tcBorders>
              <w:top w:val="nil"/>
              <w:left w:val="nil"/>
              <w:bottom w:val="single" w:sz="4" w:space="0" w:color="748B9E"/>
              <w:right w:val="nil"/>
            </w:tcBorders>
            <w:shd w:val="clear" w:color="000000" w:fill="C7CFD8"/>
            <w:vAlign w:val="center"/>
            <w:hideMark/>
          </w:tcPr>
          <w:p w14:paraId="7241C54E"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Veränderung</w:t>
            </w:r>
          </w:p>
        </w:tc>
        <w:tc>
          <w:tcPr>
            <w:tcW w:w="1243" w:type="dxa"/>
            <w:tcBorders>
              <w:top w:val="nil"/>
              <w:left w:val="nil"/>
              <w:bottom w:val="nil"/>
              <w:right w:val="nil"/>
            </w:tcBorders>
            <w:shd w:val="clear" w:color="000000" w:fill="C7CFD8"/>
            <w:vAlign w:val="center"/>
            <w:hideMark/>
          </w:tcPr>
          <w:p w14:paraId="603B370C" w14:textId="19723B34" w:rsidR="00B65EDC" w:rsidRPr="004421A9" w:rsidRDefault="00521C0D" w:rsidP="00CD4E21">
            <w:pPr>
              <w:jc w:val="center"/>
              <w:rPr>
                <w:rFonts w:ascii="Arial Narrow" w:hAnsi="Arial Narrow" w:cs="Arial"/>
                <w:b/>
                <w:bCs/>
                <w:sz w:val="18"/>
                <w:szCs w:val="18"/>
              </w:rPr>
            </w:pPr>
            <w:r w:rsidRPr="004421A9">
              <w:rPr>
                <w:rFonts w:ascii="Arial Narrow" w:hAnsi="Arial Narrow" w:cs="Arial"/>
                <w:b/>
                <w:bCs/>
                <w:sz w:val="18"/>
                <w:szCs w:val="18"/>
              </w:rPr>
              <w:t>2026–2027</w:t>
            </w:r>
          </w:p>
        </w:tc>
      </w:tr>
      <w:tr w:rsidR="00B65EDC" w:rsidRPr="004421A9" w14:paraId="58D4A2EC" w14:textId="77777777" w:rsidTr="00CD4E21">
        <w:trPr>
          <w:trHeight w:val="272"/>
        </w:trPr>
        <w:tc>
          <w:tcPr>
            <w:tcW w:w="3402" w:type="dxa"/>
            <w:tcBorders>
              <w:top w:val="nil"/>
              <w:left w:val="nil"/>
              <w:bottom w:val="nil"/>
              <w:right w:val="nil"/>
            </w:tcBorders>
            <w:shd w:val="clear" w:color="000000" w:fill="C7CFD8"/>
            <w:hideMark/>
          </w:tcPr>
          <w:p w14:paraId="6D34DB67" w14:textId="77777777" w:rsidR="00B65EDC" w:rsidRPr="004421A9" w:rsidRDefault="00B65EDC" w:rsidP="00CD4E21">
            <w:pPr>
              <w:ind w:firstLineChars="100" w:firstLine="181"/>
              <w:jc w:val="left"/>
              <w:rPr>
                <w:rFonts w:ascii="Arial Narrow" w:hAnsi="Arial Narrow" w:cs="Arial"/>
                <w:b/>
                <w:bCs/>
                <w:sz w:val="18"/>
                <w:szCs w:val="18"/>
              </w:rPr>
            </w:pPr>
            <w:r w:rsidRPr="004421A9">
              <w:rPr>
                <w:rFonts w:ascii="Arial Narrow" w:hAnsi="Arial Narrow" w:cs="Arial"/>
                <w:b/>
                <w:bCs/>
                <w:sz w:val="18"/>
                <w:szCs w:val="18"/>
              </w:rPr>
              <w:t>Quelle</w:t>
            </w:r>
          </w:p>
        </w:tc>
        <w:tc>
          <w:tcPr>
            <w:tcW w:w="1276" w:type="dxa"/>
            <w:tcBorders>
              <w:top w:val="nil"/>
              <w:left w:val="nil"/>
              <w:bottom w:val="nil"/>
              <w:right w:val="nil"/>
            </w:tcBorders>
            <w:shd w:val="clear" w:color="000000" w:fill="C7CFD8"/>
            <w:vAlign w:val="center"/>
            <w:hideMark/>
          </w:tcPr>
          <w:p w14:paraId="1FD1E0CD"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Ist</w:t>
            </w:r>
            <w:r w:rsidRPr="004421A9">
              <w:rPr>
                <w:rFonts w:cs="Arial"/>
                <w:b/>
                <w:bCs/>
                <w:i/>
                <w:iCs/>
                <w:color w:val="000000"/>
                <w:sz w:val="18"/>
                <w:szCs w:val="18"/>
                <w:vertAlign w:val="superscript"/>
              </w:rPr>
              <w:t>1</w:t>
            </w:r>
          </w:p>
        </w:tc>
        <w:tc>
          <w:tcPr>
            <w:tcW w:w="1418" w:type="dxa"/>
            <w:tcBorders>
              <w:top w:val="nil"/>
              <w:left w:val="nil"/>
              <w:bottom w:val="nil"/>
              <w:right w:val="nil"/>
            </w:tcBorders>
            <w:shd w:val="clear" w:color="000000" w:fill="C7CFD8"/>
            <w:vAlign w:val="center"/>
            <w:hideMark/>
          </w:tcPr>
          <w:p w14:paraId="51A9DEFB" w14:textId="3FC5B68A" w:rsidR="00B65EDC" w:rsidRPr="004421A9" w:rsidRDefault="00DC4D07" w:rsidP="00CD4E21">
            <w:pPr>
              <w:jc w:val="center"/>
              <w:rPr>
                <w:rFonts w:ascii="Arial Narrow" w:hAnsi="Arial Narrow" w:cs="Arial"/>
                <w:b/>
                <w:bCs/>
                <w:sz w:val="18"/>
                <w:szCs w:val="18"/>
              </w:rPr>
            </w:pPr>
            <w:r w:rsidRPr="004421A9">
              <w:rPr>
                <w:rFonts w:ascii="Arial Narrow" w:hAnsi="Arial Narrow" w:cs="Arial"/>
                <w:b/>
                <w:bCs/>
                <w:sz w:val="18"/>
                <w:szCs w:val="18"/>
              </w:rPr>
              <w:t>G</w:t>
            </w:r>
            <w:r w:rsidR="00AE4A2C" w:rsidRPr="004421A9">
              <w:rPr>
                <w:rFonts w:ascii="Arial Narrow" w:hAnsi="Arial Narrow" w:cs="Arial"/>
                <w:b/>
                <w:bCs/>
                <w:sz w:val="18"/>
                <w:szCs w:val="18"/>
              </w:rPr>
              <w:t>ebilligt</w:t>
            </w:r>
          </w:p>
        </w:tc>
        <w:tc>
          <w:tcPr>
            <w:tcW w:w="2248" w:type="dxa"/>
            <w:gridSpan w:val="2"/>
            <w:vMerge/>
            <w:tcBorders>
              <w:top w:val="nil"/>
              <w:left w:val="nil"/>
              <w:bottom w:val="nil"/>
              <w:right w:val="nil"/>
            </w:tcBorders>
            <w:vAlign w:val="center"/>
            <w:hideMark/>
          </w:tcPr>
          <w:p w14:paraId="7CDC1A19" w14:textId="77777777" w:rsidR="00B65EDC" w:rsidRPr="004421A9" w:rsidRDefault="00B65EDC" w:rsidP="00CD4E21">
            <w:pPr>
              <w:jc w:val="left"/>
              <w:rPr>
                <w:rFonts w:ascii="Arial Narrow" w:hAnsi="Arial Narrow" w:cs="Arial"/>
                <w:b/>
                <w:bCs/>
                <w:sz w:val="18"/>
                <w:szCs w:val="18"/>
              </w:rPr>
            </w:pPr>
          </w:p>
        </w:tc>
        <w:tc>
          <w:tcPr>
            <w:tcW w:w="1243" w:type="dxa"/>
            <w:tcBorders>
              <w:top w:val="nil"/>
              <w:left w:val="nil"/>
              <w:bottom w:val="nil"/>
              <w:right w:val="nil"/>
            </w:tcBorders>
            <w:shd w:val="clear" w:color="000000" w:fill="C7CFD8"/>
            <w:vAlign w:val="center"/>
            <w:hideMark/>
          </w:tcPr>
          <w:p w14:paraId="22E225E6" w14:textId="1EF89963" w:rsidR="00B65EDC" w:rsidRPr="004421A9" w:rsidRDefault="00DC4D07" w:rsidP="00CD4E21">
            <w:pPr>
              <w:jc w:val="center"/>
              <w:rPr>
                <w:rFonts w:ascii="Arial Narrow" w:hAnsi="Arial Narrow" w:cs="Arial"/>
                <w:b/>
                <w:bCs/>
                <w:sz w:val="18"/>
                <w:szCs w:val="18"/>
              </w:rPr>
            </w:pPr>
            <w:r w:rsidRPr="004421A9">
              <w:rPr>
                <w:rFonts w:ascii="Arial Narrow" w:hAnsi="Arial Narrow" w:cs="Arial"/>
                <w:b/>
                <w:bCs/>
                <w:sz w:val="18"/>
                <w:szCs w:val="18"/>
              </w:rPr>
              <w:t>V</w:t>
            </w:r>
            <w:r w:rsidR="00AE4A2C" w:rsidRPr="004421A9">
              <w:rPr>
                <w:rFonts w:ascii="Arial Narrow" w:hAnsi="Arial Narrow" w:cs="Arial"/>
                <w:b/>
                <w:bCs/>
                <w:sz w:val="18"/>
                <w:szCs w:val="18"/>
              </w:rPr>
              <w:t xml:space="preserve">eranschlagt </w:t>
            </w:r>
          </w:p>
        </w:tc>
      </w:tr>
      <w:tr w:rsidR="00B65EDC" w:rsidRPr="004421A9" w14:paraId="0BCA6E5C" w14:textId="77777777" w:rsidTr="00CD4E21">
        <w:trPr>
          <w:trHeight w:val="287"/>
        </w:trPr>
        <w:tc>
          <w:tcPr>
            <w:tcW w:w="3402" w:type="dxa"/>
            <w:tcBorders>
              <w:top w:val="nil"/>
              <w:left w:val="nil"/>
              <w:bottom w:val="nil"/>
              <w:right w:val="nil"/>
            </w:tcBorders>
            <w:shd w:val="clear" w:color="000000" w:fill="C7CFD8"/>
            <w:vAlign w:val="bottom"/>
            <w:hideMark/>
          </w:tcPr>
          <w:p w14:paraId="707B24AD" w14:textId="77777777" w:rsidR="00B65EDC" w:rsidRPr="004421A9" w:rsidRDefault="00B65EDC" w:rsidP="00CD4E21">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3F3B0519"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A</w:t>
            </w:r>
          </w:p>
        </w:tc>
        <w:tc>
          <w:tcPr>
            <w:tcW w:w="1418" w:type="dxa"/>
            <w:tcBorders>
              <w:top w:val="nil"/>
              <w:left w:val="nil"/>
              <w:bottom w:val="nil"/>
              <w:right w:val="nil"/>
            </w:tcBorders>
            <w:shd w:val="clear" w:color="000000" w:fill="C7CFD8"/>
            <w:noWrap/>
            <w:vAlign w:val="center"/>
            <w:hideMark/>
          </w:tcPr>
          <w:p w14:paraId="563F5A7C"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B</w:t>
            </w:r>
          </w:p>
        </w:tc>
        <w:tc>
          <w:tcPr>
            <w:tcW w:w="1134" w:type="dxa"/>
            <w:tcBorders>
              <w:top w:val="nil"/>
              <w:left w:val="nil"/>
              <w:bottom w:val="nil"/>
              <w:right w:val="nil"/>
            </w:tcBorders>
            <w:shd w:val="clear" w:color="000000" w:fill="C7CFD8"/>
            <w:vAlign w:val="center"/>
            <w:hideMark/>
          </w:tcPr>
          <w:p w14:paraId="577F2F0C"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C</w:t>
            </w:r>
          </w:p>
        </w:tc>
        <w:tc>
          <w:tcPr>
            <w:tcW w:w="1114" w:type="dxa"/>
            <w:tcBorders>
              <w:top w:val="nil"/>
              <w:left w:val="nil"/>
              <w:bottom w:val="nil"/>
              <w:right w:val="nil"/>
            </w:tcBorders>
            <w:shd w:val="clear" w:color="000000" w:fill="C7CFD8"/>
            <w:vAlign w:val="center"/>
            <w:hideMark/>
          </w:tcPr>
          <w:p w14:paraId="453CBDB2"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C/B (%)</w:t>
            </w:r>
          </w:p>
        </w:tc>
        <w:tc>
          <w:tcPr>
            <w:tcW w:w="1243" w:type="dxa"/>
            <w:tcBorders>
              <w:top w:val="nil"/>
              <w:left w:val="nil"/>
              <w:bottom w:val="nil"/>
              <w:right w:val="nil"/>
            </w:tcBorders>
            <w:shd w:val="clear" w:color="000000" w:fill="C7CFD8"/>
            <w:noWrap/>
            <w:vAlign w:val="center"/>
            <w:hideMark/>
          </w:tcPr>
          <w:p w14:paraId="46462371"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D=B+C </w:t>
            </w:r>
          </w:p>
        </w:tc>
      </w:tr>
      <w:tr w:rsidR="00B65EDC" w:rsidRPr="004421A9" w14:paraId="2F53AE58" w14:textId="77777777" w:rsidTr="00CD4E21">
        <w:trPr>
          <w:trHeight w:val="362"/>
        </w:trPr>
        <w:tc>
          <w:tcPr>
            <w:tcW w:w="3402" w:type="dxa"/>
            <w:tcBorders>
              <w:top w:val="nil"/>
              <w:left w:val="nil"/>
              <w:bottom w:val="nil"/>
              <w:right w:val="nil"/>
            </w:tcBorders>
            <w:vAlign w:val="bottom"/>
            <w:hideMark/>
          </w:tcPr>
          <w:p w14:paraId="6FF87DC2" w14:textId="77777777" w:rsidR="00B65EDC" w:rsidRPr="004421A9" w:rsidRDefault="00B65EDC" w:rsidP="00CD4E21">
            <w:pPr>
              <w:jc w:val="left"/>
              <w:rPr>
                <w:rFonts w:ascii="Arial Narrow" w:hAnsi="Arial Narrow" w:cs="Arial"/>
                <w:b/>
                <w:bCs/>
                <w:color w:val="000000"/>
              </w:rPr>
            </w:pPr>
            <w:r w:rsidRPr="004421A9">
              <w:rPr>
                <w:rFonts w:ascii="Arial Narrow" w:hAnsi="Arial Narrow" w:cs="Arial"/>
                <w:b/>
                <w:bCs/>
                <w:color w:val="000000"/>
              </w:rPr>
              <w:t>Beiträge</w:t>
            </w:r>
          </w:p>
        </w:tc>
        <w:tc>
          <w:tcPr>
            <w:tcW w:w="1276" w:type="dxa"/>
            <w:tcBorders>
              <w:top w:val="nil"/>
              <w:left w:val="nil"/>
              <w:bottom w:val="nil"/>
              <w:right w:val="nil"/>
            </w:tcBorders>
            <w:vAlign w:val="bottom"/>
          </w:tcPr>
          <w:p w14:paraId="2AFD807A"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7.140</w:t>
            </w:r>
          </w:p>
        </w:tc>
        <w:tc>
          <w:tcPr>
            <w:tcW w:w="1418" w:type="dxa"/>
            <w:tcBorders>
              <w:top w:val="nil"/>
              <w:left w:val="nil"/>
              <w:bottom w:val="nil"/>
              <w:right w:val="nil"/>
            </w:tcBorders>
            <w:vAlign w:val="bottom"/>
          </w:tcPr>
          <w:p w14:paraId="5A368BAE"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7.193</w:t>
            </w:r>
          </w:p>
        </w:tc>
        <w:tc>
          <w:tcPr>
            <w:tcW w:w="1134" w:type="dxa"/>
            <w:tcBorders>
              <w:top w:val="nil"/>
              <w:left w:val="nil"/>
              <w:bottom w:val="nil"/>
              <w:right w:val="nil"/>
            </w:tcBorders>
            <w:vAlign w:val="bottom"/>
          </w:tcPr>
          <w:p w14:paraId="7999775C"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(54)</w:t>
            </w:r>
          </w:p>
        </w:tc>
        <w:tc>
          <w:tcPr>
            <w:tcW w:w="1114" w:type="dxa"/>
            <w:tcBorders>
              <w:top w:val="nil"/>
              <w:left w:val="nil"/>
              <w:bottom w:val="nil"/>
              <w:right w:val="nil"/>
            </w:tcBorders>
            <w:vAlign w:val="bottom"/>
          </w:tcPr>
          <w:p w14:paraId="0F850CDF" w14:textId="0915F51D"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-0,7</w:t>
            </w:r>
            <w:r w:rsidR="00D97FEF" w:rsidRPr="004421A9">
              <w:rPr>
                <w:rFonts w:ascii="Arial Narrow" w:hAnsi="Arial Narrow" w:cs="Arial"/>
                <w:b/>
                <w:bCs/>
                <w:color w:val="000000"/>
              </w:rPr>
              <w:t xml:space="preserve"> %</w:t>
            </w:r>
          </w:p>
        </w:tc>
        <w:tc>
          <w:tcPr>
            <w:tcW w:w="1243" w:type="dxa"/>
            <w:tcBorders>
              <w:top w:val="nil"/>
              <w:left w:val="nil"/>
              <w:bottom w:val="nil"/>
              <w:right w:val="nil"/>
            </w:tcBorders>
            <w:vAlign w:val="bottom"/>
          </w:tcPr>
          <w:p w14:paraId="7E4B71A4"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7.140</w:t>
            </w:r>
          </w:p>
        </w:tc>
      </w:tr>
      <w:tr w:rsidR="00B65EDC" w:rsidRPr="004421A9" w14:paraId="087F58E6" w14:textId="77777777" w:rsidTr="00CD4E21">
        <w:trPr>
          <w:trHeight w:val="347"/>
        </w:trPr>
        <w:tc>
          <w:tcPr>
            <w:tcW w:w="3402" w:type="dxa"/>
            <w:tcBorders>
              <w:top w:val="nil"/>
              <w:left w:val="nil"/>
              <w:bottom w:val="nil"/>
              <w:right w:val="nil"/>
            </w:tcBorders>
            <w:vAlign w:val="bottom"/>
            <w:hideMark/>
          </w:tcPr>
          <w:p w14:paraId="385432EC" w14:textId="2DB20BAE" w:rsidR="00B65EDC" w:rsidRPr="004421A9" w:rsidRDefault="00DD43F0" w:rsidP="00CD4E21">
            <w:pPr>
              <w:jc w:val="left"/>
              <w:rPr>
                <w:rFonts w:ascii="Arial Narrow" w:hAnsi="Arial Narrow" w:cs="Arial"/>
                <w:b/>
                <w:bCs/>
                <w:color w:val="000000"/>
              </w:rPr>
            </w:pPr>
            <w:r w:rsidRPr="004421A9">
              <w:rPr>
                <w:rFonts w:ascii="Arial Narrow" w:hAnsi="Arial Narrow" w:cs="Arial"/>
                <w:b/>
                <w:bCs/>
                <w:color w:val="000000"/>
              </w:rPr>
              <w:t>Gebühren für IT-Instrumente und Dienstleistungen der UPOV</w:t>
            </w:r>
          </w:p>
        </w:tc>
        <w:tc>
          <w:tcPr>
            <w:tcW w:w="1276" w:type="dxa"/>
            <w:tcBorders>
              <w:top w:val="nil"/>
              <w:left w:val="nil"/>
              <w:bottom w:val="nil"/>
              <w:right w:val="nil"/>
            </w:tcBorders>
            <w:vAlign w:val="bottom"/>
          </w:tcPr>
          <w:p w14:paraId="1132501E"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307</w:t>
            </w:r>
          </w:p>
        </w:tc>
        <w:tc>
          <w:tcPr>
            <w:tcW w:w="1418" w:type="dxa"/>
            <w:tcBorders>
              <w:top w:val="nil"/>
              <w:left w:val="nil"/>
              <w:bottom w:val="nil"/>
              <w:right w:val="nil"/>
            </w:tcBorders>
            <w:vAlign w:val="bottom"/>
          </w:tcPr>
          <w:p w14:paraId="52385435"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508</w:t>
            </w:r>
          </w:p>
        </w:tc>
        <w:tc>
          <w:tcPr>
            <w:tcW w:w="1134" w:type="dxa"/>
            <w:tcBorders>
              <w:top w:val="nil"/>
              <w:left w:val="nil"/>
              <w:bottom w:val="nil"/>
              <w:right w:val="nil"/>
            </w:tcBorders>
            <w:vAlign w:val="bottom"/>
          </w:tcPr>
          <w:p w14:paraId="56034FC4"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(182)</w:t>
            </w:r>
          </w:p>
        </w:tc>
        <w:tc>
          <w:tcPr>
            <w:tcW w:w="1114" w:type="dxa"/>
            <w:tcBorders>
              <w:top w:val="nil"/>
              <w:left w:val="nil"/>
              <w:bottom w:val="nil"/>
              <w:right w:val="nil"/>
            </w:tcBorders>
            <w:vAlign w:val="bottom"/>
          </w:tcPr>
          <w:p w14:paraId="5817FC3A" w14:textId="077CFAC5"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-35,8</w:t>
            </w:r>
            <w:r w:rsidR="00D97FEF" w:rsidRPr="004421A9">
              <w:rPr>
                <w:rFonts w:ascii="Arial Narrow" w:hAnsi="Arial Narrow" w:cs="Arial"/>
                <w:b/>
                <w:bCs/>
                <w:color w:val="000000"/>
              </w:rPr>
              <w:t xml:space="preserve"> %</w:t>
            </w:r>
          </w:p>
        </w:tc>
        <w:tc>
          <w:tcPr>
            <w:tcW w:w="1243" w:type="dxa"/>
            <w:tcBorders>
              <w:top w:val="nil"/>
              <w:left w:val="nil"/>
              <w:bottom w:val="nil"/>
              <w:right w:val="nil"/>
            </w:tcBorders>
            <w:vAlign w:val="bottom"/>
          </w:tcPr>
          <w:p w14:paraId="2B3417BC" w14:textId="08F07DE3"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32</w:t>
            </w:r>
            <w:r w:rsidR="00D358B5" w:rsidRPr="004421A9">
              <w:rPr>
                <w:rFonts w:ascii="Arial Narrow" w:hAnsi="Arial Narrow" w:cs="Arial"/>
                <w:b/>
                <w:bCs/>
              </w:rPr>
              <w:t>7</w:t>
            </w:r>
          </w:p>
        </w:tc>
      </w:tr>
      <w:tr w:rsidR="00B65EDC" w:rsidRPr="004421A9" w14:paraId="4720A4BC" w14:textId="77777777" w:rsidTr="00CD4E21">
        <w:trPr>
          <w:trHeight w:val="347"/>
        </w:trPr>
        <w:tc>
          <w:tcPr>
            <w:tcW w:w="3402" w:type="dxa"/>
            <w:tcBorders>
              <w:top w:val="nil"/>
              <w:left w:val="nil"/>
              <w:bottom w:val="nil"/>
              <w:right w:val="nil"/>
            </w:tcBorders>
            <w:vAlign w:val="bottom"/>
            <w:hideMark/>
          </w:tcPr>
          <w:p w14:paraId="18821B9E" w14:textId="5ABE0D5B" w:rsidR="00B65EDC" w:rsidRPr="004421A9" w:rsidRDefault="00B65EDC" w:rsidP="00CD4E21">
            <w:pPr>
              <w:jc w:val="left"/>
              <w:rPr>
                <w:rFonts w:ascii="Arial Narrow" w:hAnsi="Arial Narrow" w:cs="Arial"/>
                <w:b/>
                <w:bCs/>
                <w:color w:val="000000"/>
              </w:rPr>
            </w:pPr>
            <w:r w:rsidRPr="004421A9">
              <w:rPr>
                <w:rFonts w:ascii="Arial Narrow" w:hAnsi="Arial Narrow" w:cs="Arial"/>
                <w:b/>
                <w:bCs/>
                <w:color w:val="000000"/>
              </w:rPr>
              <w:t xml:space="preserve">Sonstige </w:t>
            </w:r>
            <w:r w:rsidR="002B5802" w:rsidRPr="004421A9">
              <w:rPr>
                <w:rFonts w:ascii="Arial Narrow" w:hAnsi="Arial Narrow" w:cs="Arial"/>
                <w:b/>
                <w:bCs/>
                <w:color w:val="000000"/>
              </w:rPr>
              <w:t>Einnahmen</w:t>
            </w:r>
          </w:p>
        </w:tc>
        <w:tc>
          <w:tcPr>
            <w:tcW w:w="1276" w:type="dxa"/>
            <w:tcBorders>
              <w:top w:val="nil"/>
              <w:left w:val="nil"/>
              <w:bottom w:val="nil"/>
              <w:right w:val="nil"/>
            </w:tcBorders>
            <w:vAlign w:val="bottom"/>
          </w:tcPr>
          <w:p w14:paraId="526A2861"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126</w:t>
            </w:r>
          </w:p>
        </w:tc>
        <w:tc>
          <w:tcPr>
            <w:tcW w:w="1418" w:type="dxa"/>
            <w:tcBorders>
              <w:top w:val="nil"/>
              <w:left w:val="nil"/>
              <w:bottom w:val="nil"/>
              <w:right w:val="nil"/>
            </w:tcBorders>
            <w:vAlign w:val="bottom"/>
          </w:tcPr>
          <w:p w14:paraId="4D9C02FB"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200</w:t>
            </w:r>
          </w:p>
        </w:tc>
        <w:tc>
          <w:tcPr>
            <w:tcW w:w="1134" w:type="dxa"/>
            <w:tcBorders>
              <w:top w:val="nil"/>
              <w:left w:val="nil"/>
              <w:bottom w:val="nil"/>
              <w:right w:val="nil"/>
            </w:tcBorders>
            <w:vAlign w:val="bottom"/>
          </w:tcPr>
          <w:p w14:paraId="752B26AE"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(50</w:t>
            </w:r>
          </w:p>
        </w:tc>
        <w:tc>
          <w:tcPr>
            <w:tcW w:w="1114" w:type="dxa"/>
            <w:tcBorders>
              <w:top w:val="nil"/>
              <w:left w:val="nil"/>
              <w:bottom w:val="nil"/>
              <w:right w:val="nil"/>
            </w:tcBorders>
            <w:vAlign w:val="bottom"/>
          </w:tcPr>
          <w:p w14:paraId="1377D6B4" w14:textId="0C53BE1C"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-25,0</w:t>
            </w:r>
            <w:r w:rsidR="00D97FEF" w:rsidRPr="004421A9">
              <w:rPr>
                <w:rFonts w:ascii="Arial Narrow" w:hAnsi="Arial Narrow" w:cs="Arial"/>
                <w:b/>
                <w:bCs/>
                <w:color w:val="000000"/>
              </w:rPr>
              <w:t xml:space="preserve"> %</w:t>
            </w:r>
          </w:p>
        </w:tc>
        <w:tc>
          <w:tcPr>
            <w:tcW w:w="1243" w:type="dxa"/>
            <w:tcBorders>
              <w:top w:val="nil"/>
              <w:left w:val="nil"/>
              <w:bottom w:val="nil"/>
              <w:right w:val="nil"/>
            </w:tcBorders>
            <w:vAlign w:val="bottom"/>
          </w:tcPr>
          <w:p w14:paraId="777463AC"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150</w:t>
            </w:r>
          </w:p>
        </w:tc>
      </w:tr>
      <w:tr w:rsidR="00B65EDC" w:rsidRPr="004421A9" w14:paraId="24EE9DC3" w14:textId="77777777" w:rsidTr="00CD4E21">
        <w:trPr>
          <w:trHeight w:val="347"/>
        </w:trPr>
        <w:tc>
          <w:tcPr>
            <w:tcW w:w="3402" w:type="dxa"/>
            <w:tcBorders>
              <w:top w:val="nil"/>
              <w:left w:val="nil"/>
              <w:bottom w:val="nil"/>
              <w:right w:val="nil"/>
            </w:tcBorders>
            <w:vAlign w:val="bottom"/>
            <w:hideMark/>
          </w:tcPr>
          <w:p w14:paraId="7CB2B4BE" w14:textId="77777777" w:rsidR="0096329B" w:rsidRPr="004421A9" w:rsidRDefault="0096329B" w:rsidP="0096329B">
            <w:pPr>
              <w:ind w:firstLineChars="200" w:firstLine="400"/>
              <w:jc w:val="left"/>
              <w:rPr>
                <w:rFonts w:ascii="Arial Narrow" w:hAnsi="Arial Narrow" w:cs="Arial"/>
                <w:i/>
                <w:iCs/>
                <w:color w:val="000000"/>
              </w:rPr>
            </w:pPr>
            <w:r w:rsidRPr="004421A9">
              <w:rPr>
                <w:rFonts w:ascii="Arial Narrow" w:hAnsi="Arial Narrow" w:cs="Arial"/>
                <w:i/>
                <w:iCs/>
                <w:color w:val="000000"/>
              </w:rPr>
              <w:t xml:space="preserve">Kosten für administrative </w:t>
            </w:r>
          </w:p>
          <w:p w14:paraId="4A5CA5D3" w14:textId="6ECCD2CF" w:rsidR="00B65EDC" w:rsidRPr="004421A9" w:rsidRDefault="0096329B" w:rsidP="0096329B">
            <w:pPr>
              <w:ind w:firstLineChars="200" w:firstLine="400"/>
              <w:jc w:val="left"/>
              <w:rPr>
                <w:rFonts w:ascii="Arial Narrow" w:hAnsi="Arial Narrow" w:cs="Arial"/>
                <w:i/>
                <w:iCs/>
                <w:color w:val="000000"/>
              </w:rPr>
            </w:pPr>
            <w:r w:rsidRPr="004421A9">
              <w:rPr>
                <w:rFonts w:ascii="Arial Narrow" w:hAnsi="Arial Narrow" w:cs="Arial"/>
                <w:i/>
                <w:iCs/>
                <w:color w:val="000000"/>
              </w:rPr>
              <w:t>Unterstützung - FITS</w:t>
            </w:r>
          </w:p>
        </w:tc>
        <w:tc>
          <w:tcPr>
            <w:tcW w:w="1276" w:type="dxa"/>
            <w:tcBorders>
              <w:top w:val="nil"/>
              <w:left w:val="nil"/>
              <w:bottom w:val="nil"/>
              <w:right w:val="nil"/>
            </w:tcBorders>
            <w:vAlign w:val="bottom"/>
          </w:tcPr>
          <w:p w14:paraId="5F526E36"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119</w:t>
            </w:r>
          </w:p>
        </w:tc>
        <w:tc>
          <w:tcPr>
            <w:tcW w:w="1418" w:type="dxa"/>
            <w:tcBorders>
              <w:top w:val="nil"/>
              <w:left w:val="nil"/>
              <w:bottom w:val="nil"/>
              <w:right w:val="nil"/>
            </w:tcBorders>
            <w:vAlign w:val="bottom"/>
          </w:tcPr>
          <w:p w14:paraId="785AF04B"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120</w:t>
            </w:r>
          </w:p>
        </w:tc>
        <w:tc>
          <w:tcPr>
            <w:tcW w:w="1134" w:type="dxa"/>
            <w:tcBorders>
              <w:top w:val="nil"/>
              <w:left w:val="nil"/>
              <w:bottom w:val="nil"/>
              <w:right w:val="nil"/>
            </w:tcBorders>
            <w:vAlign w:val="bottom"/>
          </w:tcPr>
          <w:p w14:paraId="53C175EA"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(10)</w:t>
            </w:r>
          </w:p>
        </w:tc>
        <w:tc>
          <w:tcPr>
            <w:tcW w:w="1114" w:type="dxa"/>
            <w:tcBorders>
              <w:top w:val="nil"/>
              <w:left w:val="nil"/>
              <w:bottom w:val="nil"/>
              <w:right w:val="nil"/>
            </w:tcBorders>
            <w:vAlign w:val="bottom"/>
          </w:tcPr>
          <w:p w14:paraId="3FD577D6" w14:textId="14068FED"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-8,3</w:t>
            </w:r>
            <w:r w:rsidR="00D97FEF" w:rsidRPr="004421A9">
              <w:rPr>
                <w:rFonts w:ascii="Arial Narrow" w:hAnsi="Arial Narrow" w:cs="Arial"/>
                <w:i/>
                <w:iCs/>
                <w:color w:val="000000"/>
              </w:rPr>
              <w:t xml:space="preserve"> %</w:t>
            </w:r>
          </w:p>
        </w:tc>
        <w:tc>
          <w:tcPr>
            <w:tcW w:w="1243" w:type="dxa"/>
            <w:tcBorders>
              <w:top w:val="nil"/>
              <w:left w:val="nil"/>
              <w:bottom w:val="nil"/>
              <w:right w:val="nil"/>
            </w:tcBorders>
            <w:vAlign w:val="bottom"/>
          </w:tcPr>
          <w:p w14:paraId="7B6320CF" w14:textId="0D1A2C42" w:rsidR="00B65EDC" w:rsidRPr="004421A9" w:rsidRDefault="00B65EDC" w:rsidP="00CD4E21">
            <w:pPr>
              <w:jc w:val="right"/>
              <w:rPr>
                <w:rFonts w:ascii="Arial Narrow" w:hAnsi="Arial Narrow" w:cs="Arial"/>
                <w:b/>
                <w:bCs/>
                <w:color w:val="000000"/>
              </w:rPr>
            </w:pPr>
            <w:bookmarkStart w:id="438" w:name="_Hlk190003129"/>
            <w:r w:rsidRPr="004421A9">
              <w:rPr>
                <w:rFonts w:ascii="Arial Narrow" w:hAnsi="Arial Narrow" w:cs="Arial"/>
                <w:b/>
                <w:bCs/>
              </w:rPr>
              <w:t>11</w:t>
            </w:r>
            <w:bookmarkEnd w:id="438"/>
            <w:r w:rsidR="00D358B5" w:rsidRPr="004421A9">
              <w:rPr>
                <w:rFonts w:ascii="Arial Narrow" w:hAnsi="Arial Narrow" w:cs="Arial"/>
                <w:b/>
                <w:bCs/>
              </w:rPr>
              <w:t>0</w:t>
            </w:r>
          </w:p>
        </w:tc>
      </w:tr>
      <w:tr w:rsidR="00B65EDC" w:rsidRPr="004421A9" w14:paraId="00B3CCDD" w14:textId="77777777" w:rsidTr="00CD4E21">
        <w:trPr>
          <w:trHeight w:val="347"/>
        </w:trPr>
        <w:tc>
          <w:tcPr>
            <w:tcW w:w="3402" w:type="dxa"/>
            <w:tcBorders>
              <w:top w:val="nil"/>
              <w:left w:val="nil"/>
              <w:bottom w:val="nil"/>
              <w:right w:val="nil"/>
            </w:tcBorders>
            <w:vAlign w:val="bottom"/>
            <w:hideMark/>
          </w:tcPr>
          <w:p w14:paraId="7126FF5A" w14:textId="27C9D16D" w:rsidR="00B65EDC" w:rsidRPr="004421A9" w:rsidRDefault="002B103D"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Fernlehrgangsprogramm</w:t>
            </w:r>
          </w:p>
        </w:tc>
        <w:tc>
          <w:tcPr>
            <w:tcW w:w="1276" w:type="dxa"/>
            <w:tcBorders>
              <w:top w:val="nil"/>
              <w:left w:val="nil"/>
              <w:bottom w:val="nil"/>
              <w:right w:val="nil"/>
            </w:tcBorders>
            <w:vAlign w:val="bottom"/>
          </w:tcPr>
          <w:p w14:paraId="001F24C6"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50</w:t>
            </w:r>
          </w:p>
        </w:tc>
        <w:tc>
          <w:tcPr>
            <w:tcW w:w="1418" w:type="dxa"/>
            <w:tcBorders>
              <w:top w:val="nil"/>
              <w:left w:val="nil"/>
              <w:bottom w:val="nil"/>
              <w:right w:val="nil"/>
            </w:tcBorders>
            <w:vAlign w:val="bottom"/>
          </w:tcPr>
          <w:p w14:paraId="45D263D2"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80</w:t>
            </w:r>
          </w:p>
        </w:tc>
        <w:tc>
          <w:tcPr>
            <w:tcW w:w="1134" w:type="dxa"/>
            <w:tcBorders>
              <w:top w:val="nil"/>
              <w:left w:val="nil"/>
              <w:bottom w:val="nil"/>
              <w:right w:val="nil"/>
            </w:tcBorders>
            <w:vAlign w:val="bottom"/>
          </w:tcPr>
          <w:p w14:paraId="334C495B"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(40)</w:t>
            </w:r>
          </w:p>
        </w:tc>
        <w:tc>
          <w:tcPr>
            <w:tcW w:w="1114" w:type="dxa"/>
            <w:tcBorders>
              <w:top w:val="nil"/>
              <w:left w:val="nil"/>
              <w:bottom w:val="nil"/>
              <w:right w:val="nil"/>
            </w:tcBorders>
            <w:vAlign w:val="bottom"/>
          </w:tcPr>
          <w:p w14:paraId="10A6F6A9" w14:textId="7C6103D4"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-50,0</w:t>
            </w:r>
            <w:r w:rsidR="00D97FEF" w:rsidRPr="004421A9">
              <w:rPr>
                <w:rFonts w:ascii="Arial Narrow" w:hAnsi="Arial Narrow" w:cs="Arial"/>
                <w:i/>
                <w:iCs/>
                <w:color w:val="000000"/>
              </w:rPr>
              <w:t xml:space="preserve"> %</w:t>
            </w:r>
          </w:p>
        </w:tc>
        <w:tc>
          <w:tcPr>
            <w:tcW w:w="1243" w:type="dxa"/>
            <w:tcBorders>
              <w:top w:val="nil"/>
              <w:left w:val="nil"/>
              <w:bottom w:val="nil"/>
              <w:right w:val="nil"/>
            </w:tcBorders>
            <w:vAlign w:val="bottom"/>
          </w:tcPr>
          <w:p w14:paraId="7051799F"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40</w:t>
            </w:r>
          </w:p>
        </w:tc>
      </w:tr>
      <w:tr w:rsidR="00B65EDC" w:rsidRPr="004421A9" w14:paraId="638F0E10" w14:textId="77777777" w:rsidTr="00CD4E21">
        <w:trPr>
          <w:trHeight w:val="347"/>
        </w:trPr>
        <w:tc>
          <w:tcPr>
            <w:tcW w:w="3402" w:type="dxa"/>
            <w:tcBorders>
              <w:top w:val="nil"/>
              <w:left w:val="nil"/>
              <w:bottom w:val="nil"/>
              <w:right w:val="nil"/>
            </w:tcBorders>
            <w:vAlign w:val="bottom"/>
            <w:hideMark/>
          </w:tcPr>
          <w:p w14:paraId="0CC6F6C1" w14:textId="77777777" w:rsidR="00B65EDC" w:rsidRPr="004421A9" w:rsidRDefault="00B65ED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 xml:space="preserve">Sonstige </w:t>
            </w:r>
          </w:p>
        </w:tc>
        <w:tc>
          <w:tcPr>
            <w:tcW w:w="1276" w:type="dxa"/>
            <w:tcBorders>
              <w:top w:val="nil"/>
              <w:left w:val="nil"/>
              <w:bottom w:val="nil"/>
              <w:right w:val="nil"/>
            </w:tcBorders>
            <w:vAlign w:val="bottom"/>
          </w:tcPr>
          <w:p w14:paraId="47F513FE"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(44)</w:t>
            </w:r>
          </w:p>
        </w:tc>
        <w:tc>
          <w:tcPr>
            <w:tcW w:w="1418" w:type="dxa"/>
            <w:tcBorders>
              <w:top w:val="nil"/>
              <w:left w:val="nil"/>
              <w:bottom w:val="nil"/>
              <w:right w:val="nil"/>
            </w:tcBorders>
            <w:vAlign w:val="bottom"/>
          </w:tcPr>
          <w:p w14:paraId="200CE05D"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134" w:type="dxa"/>
            <w:tcBorders>
              <w:top w:val="nil"/>
              <w:left w:val="nil"/>
              <w:bottom w:val="nil"/>
              <w:right w:val="nil"/>
            </w:tcBorders>
            <w:vAlign w:val="bottom"/>
          </w:tcPr>
          <w:p w14:paraId="29080CEE"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114" w:type="dxa"/>
            <w:tcBorders>
              <w:top w:val="nil"/>
              <w:left w:val="nil"/>
              <w:bottom w:val="nil"/>
              <w:right w:val="nil"/>
            </w:tcBorders>
            <w:vAlign w:val="bottom"/>
          </w:tcPr>
          <w:p w14:paraId="34E4C254"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243" w:type="dxa"/>
            <w:tcBorders>
              <w:top w:val="nil"/>
              <w:left w:val="nil"/>
              <w:bottom w:val="nil"/>
              <w:right w:val="nil"/>
            </w:tcBorders>
            <w:vAlign w:val="bottom"/>
          </w:tcPr>
          <w:p w14:paraId="46FFEF60"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w:t>
            </w:r>
          </w:p>
        </w:tc>
      </w:tr>
      <w:tr w:rsidR="00B65EDC" w:rsidRPr="004421A9" w14:paraId="597D928F" w14:textId="77777777" w:rsidTr="00CD4E21">
        <w:trPr>
          <w:trHeight w:val="181"/>
        </w:trPr>
        <w:tc>
          <w:tcPr>
            <w:tcW w:w="3402" w:type="dxa"/>
            <w:tcBorders>
              <w:top w:val="nil"/>
              <w:left w:val="nil"/>
              <w:bottom w:val="nil"/>
              <w:right w:val="nil"/>
            </w:tcBorders>
            <w:vAlign w:val="bottom"/>
            <w:hideMark/>
          </w:tcPr>
          <w:p w14:paraId="021B7400" w14:textId="77777777" w:rsidR="00B65EDC" w:rsidRPr="004421A9" w:rsidRDefault="00B65EDC" w:rsidP="00CD4E21">
            <w:pPr>
              <w:jc w:val="right"/>
              <w:rPr>
                <w:rFonts w:ascii="Arial Narrow" w:hAnsi="Arial Narrow" w:cs="Arial"/>
                <w:b/>
                <w:bCs/>
                <w:color w:val="000000"/>
              </w:rPr>
            </w:pPr>
          </w:p>
        </w:tc>
        <w:tc>
          <w:tcPr>
            <w:tcW w:w="1276" w:type="dxa"/>
            <w:tcBorders>
              <w:top w:val="nil"/>
              <w:left w:val="nil"/>
              <w:bottom w:val="nil"/>
              <w:right w:val="nil"/>
            </w:tcBorders>
            <w:vAlign w:val="bottom"/>
          </w:tcPr>
          <w:p w14:paraId="723DE4F6" w14:textId="77777777" w:rsidR="00B65EDC" w:rsidRPr="004421A9" w:rsidRDefault="00B65EDC" w:rsidP="00CD4E21">
            <w:pPr>
              <w:ind w:firstLineChars="200" w:firstLine="400"/>
              <w:jc w:val="left"/>
              <w:rPr>
                <w:rFonts w:ascii="Times New Roman" w:hAnsi="Times New Roman"/>
              </w:rPr>
            </w:pPr>
          </w:p>
        </w:tc>
        <w:tc>
          <w:tcPr>
            <w:tcW w:w="1418" w:type="dxa"/>
            <w:tcBorders>
              <w:top w:val="nil"/>
              <w:left w:val="nil"/>
              <w:bottom w:val="nil"/>
              <w:right w:val="nil"/>
            </w:tcBorders>
            <w:vAlign w:val="bottom"/>
          </w:tcPr>
          <w:p w14:paraId="4B859DB7" w14:textId="77777777" w:rsidR="00B65EDC" w:rsidRPr="004421A9" w:rsidRDefault="00B65EDC" w:rsidP="00CD4E21">
            <w:pPr>
              <w:jc w:val="right"/>
              <w:rPr>
                <w:rFonts w:ascii="Times New Roman" w:hAnsi="Times New Roman"/>
              </w:rPr>
            </w:pPr>
          </w:p>
        </w:tc>
        <w:tc>
          <w:tcPr>
            <w:tcW w:w="1134" w:type="dxa"/>
            <w:tcBorders>
              <w:top w:val="nil"/>
              <w:left w:val="nil"/>
              <w:bottom w:val="nil"/>
              <w:right w:val="nil"/>
            </w:tcBorders>
            <w:vAlign w:val="bottom"/>
          </w:tcPr>
          <w:p w14:paraId="6000590F" w14:textId="77777777" w:rsidR="00B65EDC" w:rsidRPr="004421A9" w:rsidRDefault="00B65EDC" w:rsidP="00CD4E21">
            <w:pPr>
              <w:jc w:val="right"/>
              <w:rPr>
                <w:rFonts w:ascii="Times New Roman" w:hAnsi="Times New Roman"/>
              </w:rPr>
            </w:pPr>
          </w:p>
        </w:tc>
        <w:tc>
          <w:tcPr>
            <w:tcW w:w="1114" w:type="dxa"/>
            <w:tcBorders>
              <w:top w:val="nil"/>
              <w:left w:val="nil"/>
              <w:bottom w:val="nil"/>
              <w:right w:val="nil"/>
            </w:tcBorders>
            <w:vAlign w:val="bottom"/>
          </w:tcPr>
          <w:p w14:paraId="08657DA7" w14:textId="77777777" w:rsidR="00B65EDC" w:rsidRPr="004421A9" w:rsidRDefault="00B65EDC" w:rsidP="00CD4E21">
            <w:pPr>
              <w:jc w:val="right"/>
              <w:rPr>
                <w:rFonts w:ascii="Times New Roman" w:hAnsi="Times New Roman"/>
              </w:rPr>
            </w:pPr>
          </w:p>
        </w:tc>
        <w:tc>
          <w:tcPr>
            <w:tcW w:w="1243" w:type="dxa"/>
            <w:tcBorders>
              <w:top w:val="nil"/>
              <w:left w:val="nil"/>
              <w:bottom w:val="nil"/>
              <w:right w:val="nil"/>
            </w:tcBorders>
            <w:vAlign w:val="bottom"/>
          </w:tcPr>
          <w:p w14:paraId="3892240B" w14:textId="77777777" w:rsidR="00B65EDC" w:rsidRPr="004421A9" w:rsidRDefault="00B65EDC" w:rsidP="00CD4E21">
            <w:pPr>
              <w:jc w:val="right"/>
              <w:rPr>
                <w:rFonts w:ascii="Times New Roman" w:hAnsi="Times New Roman"/>
              </w:rPr>
            </w:pPr>
          </w:p>
        </w:tc>
      </w:tr>
      <w:tr w:rsidR="00B65EDC" w:rsidRPr="004421A9" w14:paraId="2A1E2C8C" w14:textId="77777777" w:rsidTr="00CD4E21">
        <w:trPr>
          <w:trHeight w:val="423"/>
        </w:trPr>
        <w:tc>
          <w:tcPr>
            <w:tcW w:w="3402" w:type="dxa"/>
            <w:tcBorders>
              <w:top w:val="single" w:sz="4" w:space="0" w:color="AAB8C4"/>
              <w:left w:val="nil"/>
              <w:bottom w:val="single" w:sz="8" w:space="0" w:color="AAB8C4"/>
              <w:right w:val="nil"/>
            </w:tcBorders>
            <w:vAlign w:val="center"/>
            <w:hideMark/>
          </w:tcPr>
          <w:p w14:paraId="416C6C9D" w14:textId="755D34AE" w:rsidR="00B65EDC" w:rsidRPr="004421A9" w:rsidRDefault="007B0EF5" w:rsidP="00CD4E21">
            <w:pPr>
              <w:rPr>
                <w:rFonts w:ascii="Arial Narrow" w:hAnsi="Arial Narrow" w:cs="Arial"/>
                <w:b/>
                <w:bCs/>
                <w:color w:val="000000"/>
              </w:rPr>
            </w:pPr>
            <w:r w:rsidRPr="004421A9">
              <w:rPr>
                <w:rFonts w:ascii="Arial Narrow" w:hAnsi="Arial Narrow" w:cs="Arial"/>
                <w:b/>
                <w:bCs/>
                <w:color w:val="000000"/>
              </w:rPr>
              <w:t>Insgesamt</w:t>
            </w:r>
          </w:p>
        </w:tc>
        <w:tc>
          <w:tcPr>
            <w:tcW w:w="1276" w:type="dxa"/>
            <w:tcBorders>
              <w:top w:val="single" w:sz="4" w:space="0" w:color="AAB8C4"/>
              <w:left w:val="nil"/>
              <w:bottom w:val="single" w:sz="8" w:space="0" w:color="AAB8C4"/>
              <w:right w:val="nil"/>
            </w:tcBorders>
            <w:vAlign w:val="center"/>
          </w:tcPr>
          <w:p w14:paraId="778F95C1"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7.572</w:t>
            </w:r>
          </w:p>
        </w:tc>
        <w:tc>
          <w:tcPr>
            <w:tcW w:w="1418" w:type="dxa"/>
            <w:tcBorders>
              <w:top w:val="single" w:sz="4" w:space="0" w:color="AAB8C4"/>
              <w:left w:val="nil"/>
              <w:bottom w:val="single" w:sz="8" w:space="0" w:color="AAB8C4"/>
              <w:right w:val="nil"/>
            </w:tcBorders>
            <w:vAlign w:val="center"/>
          </w:tcPr>
          <w:p w14:paraId="5A70FB55"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7.901</w:t>
            </w:r>
          </w:p>
        </w:tc>
        <w:tc>
          <w:tcPr>
            <w:tcW w:w="1134" w:type="dxa"/>
            <w:tcBorders>
              <w:top w:val="single" w:sz="4" w:space="0" w:color="AAB8C4"/>
              <w:left w:val="nil"/>
              <w:bottom w:val="single" w:sz="8" w:space="0" w:color="AAB8C4"/>
              <w:right w:val="nil"/>
            </w:tcBorders>
            <w:vAlign w:val="center"/>
          </w:tcPr>
          <w:p w14:paraId="3B66CD36"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(285)</w:t>
            </w:r>
          </w:p>
        </w:tc>
        <w:tc>
          <w:tcPr>
            <w:tcW w:w="1114" w:type="dxa"/>
            <w:tcBorders>
              <w:top w:val="single" w:sz="4" w:space="0" w:color="AAB8C4"/>
              <w:left w:val="nil"/>
              <w:bottom w:val="single" w:sz="8" w:space="0" w:color="AAB8C4"/>
              <w:right w:val="nil"/>
            </w:tcBorders>
            <w:vAlign w:val="center"/>
          </w:tcPr>
          <w:p w14:paraId="71DB6895"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-3,6</w:t>
            </w:r>
          </w:p>
        </w:tc>
        <w:tc>
          <w:tcPr>
            <w:tcW w:w="1243" w:type="dxa"/>
            <w:tcBorders>
              <w:top w:val="single" w:sz="4" w:space="0" w:color="AAB8C4"/>
              <w:left w:val="nil"/>
              <w:bottom w:val="single" w:sz="8" w:space="0" w:color="AAB8C4"/>
              <w:right w:val="nil"/>
            </w:tcBorders>
            <w:vAlign w:val="center"/>
          </w:tcPr>
          <w:p w14:paraId="0947FF6A"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 xml:space="preserve">7.616 </w:t>
            </w:r>
          </w:p>
        </w:tc>
      </w:tr>
    </w:tbl>
    <w:p w14:paraId="629FC2AF" w14:textId="08F431B0" w:rsidR="00B65EDC" w:rsidRPr="004421A9" w:rsidRDefault="00B65EDC" w:rsidP="00B65EDC">
      <w:pPr>
        <w:keepNext/>
        <w:spacing w:before="120"/>
        <w:rPr>
          <w:rFonts w:cs="Arial"/>
          <w:i/>
          <w:iCs/>
          <w:sz w:val="16"/>
          <w:szCs w:val="16"/>
        </w:rPr>
      </w:pPr>
      <w:r w:rsidRPr="004421A9">
        <w:rPr>
          <w:rFonts w:cs="Arial"/>
          <w:i/>
          <w:iCs/>
          <w:sz w:val="16"/>
          <w:szCs w:val="16"/>
          <w:vertAlign w:val="superscript"/>
        </w:rPr>
        <w:t>1</w:t>
      </w:r>
      <w:r w:rsidRPr="004421A9">
        <w:rPr>
          <w:rFonts w:cs="Arial"/>
          <w:i/>
          <w:iCs/>
          <w:sz w:val="16"/>
          <w:szCs w:val="16"/>
        </w:rPr>
        <w:t xml:space="preserve"> </w:t>
      </w:r>
      <w:r w:rsidR="0082404F" w:rsidRPr="004421A9">
        <w:rPr>
          <w:rFonts w:cs="Arial"/>
          <w:i/>
          <w:iCs/>
          <w:sz w:val="16"/>
          <w:szCs w:val="16"/>
        </w:rPr>
        <w:t>In der Rechnungsperiode 2022-2023 geben die sonstigen Einnahmen (Sonstige) hauptsächlich nicht realisierte Devisengewinne/(-verluste) bedingt durch den Neubewertungsprozess der Konten für Zahlungsmittel und sonstige Vermögenswerte und Verbindlichkeiten (andere Währungen als Schweizer Franken) wieder</w:t>
      </w:r>
      <w:r w:rsidRPr="004421A9">
        <w:rPr>
          <w:rFonts w:cs="Arial"/>
          <w:i/>
          <w:iCs/>
          <w:sz w:val="16"/>
          <w:szCs w:val="16"/>
        </w:rPr>
        <w:t>.</w:t>
      </w:r>
    </w:p>
    <w:p w14:paraId="25FCACE3" w14:textId="77777777" w:rsidR="00B65EDC" w:rsidRPr="004421A9" w:rsidRDefault="00B65EDC" w:rsidP="00B65EDC"/>
    <w:p w14:paraId="698136DC" w14:textId="77777777" w:rsidR="00B65EDC" w:rsidRPr="004421A9" w:rsidRDefault="00B65EDC" w:rsidP="00B65EDC"/>
    <w:p w14:paraId="1D22912E" w14:textId="7E586B58" w:rsidR="00B65EDC" w:rsidRPr="004421A9" w:rsidRDefault="00B65EDC" w:rsidP="00B65EDC">
      <w:r w:rsidRPr="004421A9">
        <w:fldChar w:fldCharType="begin"/>
      </w:r>
      <w:r w:rsidRPr="004421A9">
        <w:instrText xml:space="preserve"> AUTONUM  </w:instrText>
      </w:r>
      <w:r w:rsidRPr="004421A9">
        <w:fldChar w:fldCharType="end"/>
      </w:r>
      <w:r w:rsidRPr="004421A9">
        <w:tab/>
      </w:r>
      <w:r w:rsidR="00AE1F07" w:rsidRPr="004421A9">
        <w:t>Die veranschlagten Einnahmen aus Gebühren für IT-Instrumente und Dienstleistungen der UPOV sind wie folgt</w:t>
      </w:r>
      <w:r w:rsidRPr="004421A9">
        <w:t>:</w:t>
      </w:r>
    </w:p>
    <w:p w14:paraId="522863D5" w14:textId="77777777" w:rsidR="00B65EDC" w:rsidRPr="004421A9" w:rsidRDefault="00B65EDC" w:rsidP="00B65EDC"/>
    <w:tbl>
      <w:tblPr>
        <w:tblW w:w="9639" w:type="dxa"/>
        <w:tblLayout w:type="fixed"/>
        <w:tblLook w:val="04A0" w:firstRow="1" w:lastRow="0" w:firstColumn="1" w:lastColumn="0" w:noHBand="0" w:noVBand="1"/>
      </w:tblPr>
      <w:tblGrid>
        <w:gridCol w:w="2694"/>
        <w:gridCol w:w="1417"/>
        <w:gridCol w:w="921"/>
        <w:gridCol w:w="780"/>
        <w:gridCol w:w="1063"/>
        <w:gridCol w:w="921"/>
        <w:gridCol w:w="851"/>
        <w:gridCol w:w="992"/>
      </w:tblGrid>
      <w:tr w:rsidR="00B65EDC" w:rsidRPr="004421A9" w14:paraId="3E00FB1C" w14:textId="77777777" w:rsidTr="00CD4E21">
        <w:trPr>
          <w:trHeight w:val="735"/>
        </w:trPr>
        <w:tc>
          <w:tcPr>
            <w:tcW w:w="2694" w:type="dxa"/>
            <w:vMerge w:val="restart"/>
            <w:tcBorders>
              <w:top w:val="nil"/>
              <w:left w:val="nil"/>
              <w:bottom w:val="nil"/>
              <w:right w:val="nil"/>
            </w:tcBorders>
            <w:shd w:val="clear" w:color="000000" w:fill="C7CFD8"/>
            <w:vAlign w:val="bottom"/>
          </w:tcPr>
          <w:p w14:paraId="728ABF36" w14:textId="77777777" w:rsidR="00B65EDC" w:rsidRPr="004421A9" w:rsidRDefault="00B65EDC" w:rsidP="00CD4E21">
            <w:pPr>
              <w:rPr>
                <w:sz w:val="18"/>
                <w:szCs w:val="18"/>
                <w:lang w:eastAsia="en-GB"/>
              </w:rPr>
            </w:pPr>
          </w:p>
        </w:tc>
        <w:tc>
          <w:tcPr>
            <w:tcW w:w="1417" w:type="dxa"/>
            <w:vMerge w:val="restart"/>
            <w:tcBorders>
              <w:top w:val="nil"/>
              <w:left w:val="nil"/>
              <w:bottom w:val="nil"/>
              <w:right w:val="nil"/>
            </w:tcBorders>
            <w:shd w:val="clear" w:color="000000" w:fill="C7CFD8"/>
            <w:vAlign w:val="center"/>
            <w:hideMark/>
          </w:tcPr>
          <w:p w14:paraId="1644EE46" w14:textId="40209BB2" w:rsidR="005F34AB"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Einreichung</w:t>
            </w:r>
            <w:r w:rsidR="005F34AB" w:rsidRPr="004421A9">
              <w:rPr>
                <w:rFonts w:ascii="Arial Narrow" w:hAnsi="Arial Narrow" w:cs="Arial"/>
                <w:b/>
                <w:bCs/>
                <w:sz w:val="18"/>
                <w:szCs w:val="18"/>
                <w:lang w:eastAsia="en-GB"/>
              </w:rPr>
              <w:t>en</w:t>
            </w:r>
            <w:r w:rsidR="00D358B5" w:rsidRPr="004421A9">
              <w:rPr>
                <w:rFonts w:ascii="Arial Narrow" w:hAnsi="Arial Narrow" w:cs="Arial"/>
                <w:b/>
                <w:bCs/>
                <w:sz w:val="18"/>
                <w:szCs w:val="18"/>
                <w:lang w:eastAsia="en-GB"/>
              </w:rPr>
              <w:t>/</w:t>
            </w:r>
          </w:p>
          <w:p w14:paraId="4FD67CD8" w14:textId="13CF643B"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Abonnement</w:t>
            </w:r>
            <w:r w:rsidR="005F34AB" w:rsidRPr="004421A9">
              <w:rPr>
                <w:rFonts w:ascii="Arial Narrow" w:hAnsi="Arial Narrow" w:cs="Arial"/>
                <w:b/>
                <w:bCs/>
                <w:sz w:val="18"/>
                <w:szCs w:val="18"/>
                <w:lang w:eastAsia="en-GB"/>
              </w:rPr>
              <w:t>-</w:t>
            </w:r>
            <w:r w:rsidRPr="004421A9">
              <w:rPr>
                <w:rFonts w:ascii="Arial Narrow" w:hAnsi="Arial Narrow" w:cs="Arial"/>
                <w:b/>
                <w:bCs/>
                <w:sz w:val="18"/>
                <w:szCs w:val="18"/>
                <w:lang w:eastAsia="en-GB"/>
              </w:rPr>
              <w:t>gebühr</w:t>
            </w:r>
            <w:r w:rsidR="005F34AB" w:rsidRPr="004421A9">
              <w:rPr>
                <w:rFonts w:ascii="Arial Narrow" w:hAnsi="Arial Narrow" w:cs="Arial"/>
                <w:b/>
                <w:bCs/>
                <w:sz w:val="18"/>
                <w:szCs w:val="18"/>
                <w:lang w:eastAsia="en-GB"/>
              </w:rPr>
              <w:t>en</w:t>
            </w:r>
          </w:p>
        </w:tc>
        <w:tc>
          <w:tcPr>
            <w:tcW w:w="2764" w:type="dxa"/>
            <w:gridSpan w:val="3"/>
            <w:tcBorders>
              <w:top w:val="nil"/>
              <w:left w:val="nil"/>
              <w:bottom w:val="single" w:sz="4" w:space="0" w:color="BFBFBF"/>
              <w:right w:val="nil"/>
            </w:tcBorders>
            <w:shd w:val="clear" w:color="000000" w:fill="C7CFD8"/>
            <w:vAlign w:val="center"/>
            <w:hideMark/>
          </w:tcPr>
          <w:p w14:paraId="05383AD9"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Einreichungen / Prognosen</w:t>
            </w:r>
          </w:p>
          <w:p w14:paraId="7280389E" w14:textId="314EC5DF" w:rsidR="005F34AB" w:rsidRPr="004421A9" w:rsidRDefault="005F34AB"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Abonnenten</w:t>
            </w:r>
          </w:p>
        </w:tc>
        <w:tc>
          <w:tcPr>
            <w:tcW w:w="2764" w:type="dxa"/>
            <w:gridSpan w:val="3"/>
            <w:tcBorders>
              <w:top w:val="nil"/>
              <w:left w:val="nil"/>
              <w:bottom w:val="single" w:sz="4" w:space="0" w:color="BFBFBF"/>
              <w:right w:val="nil"/>
            </w:tcBorders>
            <w:shd w:val="clear" w:color="000000" w:fill="C7CFD8"/>
            <w:vAlign w:val="center"/>
            <w:hideMark/>
          </w:tcPr>
          <w:p w14:paraId="2E65C73C" w14:textId="77777777" w:rsidR="001A560C" w:rsidRPr="004421A9" w:rsidRDefault="001A560C" w:rsidP="001A560C">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Einreichungen / Einnahmen</w:t>
            </w:r>
          </w:p>
          <w:p w14:paraId="3C08F08C" w14:textId="1199165A" w:rsidR="00B65EDC" w:rsidRPr="004421A9" w:rsidRDefault="001A560C" w:rsidP="001A560C">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Abonnenten</w:t>
            </w:r>
          </w:p>
        </w:tc>
      </w:tr>
      <w:tr w:rsidR="00B65EDC" w:rsidRPr="004421A9" w14:paraId="19A05661" w14:textId="77777777" w:rsidTr="007B0EF5">
        <w:trPr>
          <w:trHeight w:val="495"/>
        </w:trPr>
        <w:tc>
          <w:tcPr>
            <w:tcW w:w="2694" w:type="dxa"/>
            <w:vMerge/>
            <w:tcBorders>
              <w:top w:val="nil"/>
              <w:left w:val="nil"/>
              <w:bottom w:val="nil"/>
              <w:right w:val="nil"/>
            </w:tcBorders>
            <w:vAlign w:val="center"/>
            <w:hideMark/>
          </w:tcPr>
          <w:p w14:paraId="46AE2941" w14:textId="77777777" w:rsidR="00B65EDC" w:rsidRPr="004421A9" w:rsidRDefault="00B65EDC" w:rsidP="00CD4E21">
            <w:pPr>
              <w:jc w:val="left"/>
              <w:rPr>
                <w:rFonts w:ascii="Arial Narrow" w:hAnsi="Arial Narrow" w:cs="Arial"/>
                <w:b/>
                <w:bCs/>
                <w:color w:val="00B050"/>
                <w:sz w:val="18"/>
                <w:szCs w:val="18"/>
                <w:lang w:eastAsia="en-GB"/>
              </w:rPr>
            </w:pPr>
          </w:p>
        </w:tc>
        <w:tc>
          <w:tcPr>
            <w:tcW w:w="1417" w:type="dxa"/>
            <w:vMerge/>
            <w:tcBorders>
              <w:top w:val="nil"/>
              <w:left w:val="nil"/>
              <w:bottom w:val="nil"/>
              <w:right w:val="nil"/>
            </w:tcBorders>
            <w:vAlign w:val="center"/>
            <w:hideMark/>
          </w:tcPr>
          <w:p w14:paraId="2271726A" w14:textId="77777777" w:rsidR="00B65EDC" w:rsidRPr="004421A9" w:rsidRDefault="00B65EDC" w:rsidP="00CD4E21">
            <w:pPr>
              <w:jc w:val="left"/>
              <w:rPr>
                <w:rFonts w:ascii="Arial Narrow" w:hAnsi="Arial Narrow" w:cs="Arial"/>
                <w:b/>
                <w:bCs/>
                <w:sz w:val="18"/>
                <w:szCs w:val="18"/>
                <w:lang w:eastAsia="en-GB"/>
              </w:rPr>
            </w:pPr>
          </w:p>
        </w:tc>
        <w:tc>
          <w:tcPr>
            <w:tcW w:w="921" w:type="dxa"/>
            <w:tcBorders>
              <w:top w:val="nil"/>
              <w:left w:val="nil"/>
              <w:bottom w:val="nil"/>
              <w:right w:val="nil"/>
            </w:tcBorders>
            <w:shd w:val="clear" w:color="000000" w:fill="C7CFD8"/>
            <w:vAlign w:val="center"/>
            <w:hideMark/>
          </w:tcPr>
          <w:p w14:paraId="753F1124"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2026</w:t>
            </w:r>
          </w:p>
        </w:tc>
        <w:tc>
          <w:tcPr>
            <w:tcW w:w="780" w:type="dxa"/>
            <w:tcBorders>
              <w:top w:val="nil"/>
              <w:left w:val="nil"/>
              <w:bottom w:val="nil"/>
              <w:right w:val="nil"/>
            </w:tcBorders>
            <w:shd w:val="clear" w:color="000000" w:fill="C7CFD8"/>
            <w:vAlign w:val="center"/>
            <w:hideMark/>
          </w:tcPr>
          <w:p w14:paraId="0F817A9B"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2027</w:t>
            </w:r>
          </w:p>
        </w:tc>
        <w:tc>
          <w:tcPr>
            <w:tcW w:w="1063" w:type="dxa"/>
            <w:tcBorders>
              <w:top w:val="nil"/>
              <w:left w:val="nil"/>
              <w:bottom w:val="nil"/>
              <w:right w:val="nil"/>
            </w:tcBorders>
            <w:shd w:val="clear" w:color="000000" w:fill="C7CFD8"/>
            <w:vAlign w:val="center"/>
            <w:hideMark/>
          </w:tcPr>
          <w:p w14:paraId="75494EC4" w14:textId="19CC87B9" w:rsidR="00B65EDC" w:rsidRPr="004421A9" w:rsidRDefault="007B0EF5"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Insgesamt</w:t>
            </w:r>
          </w:p>
        </w:tc>
        <w:tc>
          <w:tcPr>
            <w:tcW w:w="921" w:type="dxa"/>
            <w:tcBorders>
              <w:top w:val="nil"/>
              <w:left w:val="single" w:sz="4" w:space="0" w:color="BFBFBF"/>
              <w:bottom w:val="nil"/>
              <w:right w:val="nil"/>
            </w:tcBorders>
            <w:shd w:val="clear" w:color="000000" w:fill="C7CFD8"/>
            <w:vAlign w:val="center"/>
            <w:hideMark/>
          </w:tcPr>
          <w:p w14:paraId="185FB9D4"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2026</w:t>
            </w:r>
          </w:p>
        </w:tc>
        <w:tc>
          <w:tcPr>
            <w:tcW w:w="851" w:type="dxa"/>
            <w:tcBorders>
              <w:top w:val="nil"/>
              <w:left w:val="nil"/>
              <w:bottom w:val="nil"/>
              <w:right w:val="nil"/>
            </w:tcBorders>
            <w:shd w:val="clear" w:color="000000" w:fill="C7CFD8"/>
            <w:vAlign w:val="center"/>
            <w:hideMark/>
          </w:tcPr>
          <w:p w14:paraId="2B68C0F9"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2027</w:t>
            </w:r>
          </w:p>
        </w:tc>
        <w:tc>
          <w:tcPr>
            <w:tcW w:w="992" w:type="dxa"/>
            <w:tcBorders>
              <w:top w:val="nil"/>
              <w:left w:val="nil"/>
              <w:bottom w:val="nil"/>
              <w:right w:val="nil"/>
            </w:tcBorders>
            <w:shd w:val="clear" w:color="000000" w:fill="C7CFD8"/>
            <w:vAlign w:val="center"/>
            <w:hideMark/>
          </w:tcPr>
          <w:p w14:paraId="6CBFEAD1" w14:textId="77CB1072" w:rsidR="00B65EDC" w:rsidRPr="004421A9" w:rsidRDefault="007B0EF5"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Insgesamt</w:t>
            </w:r>
          </w:p>
        </w:tc>
      </w:tr>
      <w:tr w:rsidR="00B65EDC" w:rsidRPr="004421A9" w14:paraId="3EA4DCDA" w14:textId="77777777" w:rsidTr="007B0EF5">
        <w:trPr>
          <w:trHeight w:val="255"/>
        </w:trPr>
        <w:tc>
          <w:tcPr>
            <w:tcW w:w="2694" w:type="dxa"/>
            <w:tcBorders>
              <w:top w:val="nil"/>
              <w:left w:val="nil"/>
              <w:bottom w:val="nil"/>
              <w:right w:val="nil"/>
            </w:tcBorders>
            <w:vAlign w:val="center"/>
            <w:hideMark/>
          </w:tcPr>
          <w:p w14:paraId="371E83DB" w14:textId="2F7D2DA3" w:rsidR="00B65EDC" w:rsidRPr="004421A9" w:rsidRDefault="00FC2A35" w:rsidP="00CD4E21">
            <w:pPr>
              <w:jc w:val="left"/>
              <w:rPr>
                <w:rFonts w:ascii="Arial Narrow" w:hAnsi="Arial Narrow" w:cs="Arial"/>
                <w:sz w:val="18"/>
                <w:szCs w:val="18"/>
                <w:lang w:eastAsia="en-GB"/>
              </w:rPr>
            </w:pPr>
            <w:r>
              <w:rPr>
                <w:rFonts w:ascii="Arial Narrow" w:hAnsi="Arial Narrow" w:cs="Arial"/>
                <w:sz w:val="18"/>
                <w:szCs w:val="18"/>
                <w:lang w:eastAsia="en-GB"/>
              </w:rPr>
              <w:t>UPOV PRISMA</w:t>
            </w:r>
          </w:p>
        </w:tc>
        <w:tc>
          <w:tcPr>
            <w:tcW w:w="1417" w:type="dxa"/>
            <w:tcBorders>
              <w:top w:val="nil"/>
              <w:left w:val="nil"/>
              <w:bottom w:val="nil"/>
              <w:right w:val="nil"/>
            </w:tcBorders>
            <w:noWrap/>
            <w:vAlign w:val="center"/>
            <w:hideMark/>
          </w:tcPr>
          <w:p w14:paraId="28B54060"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90</w:t>
            </w:r>
          </w:p>
        </w:tc>
        <w:tc>
          <w:tcPr>
            <w:tcW w:w="921" w:type="dxa"/>
            <w:tcBorders>
              <w:top w:val="nil"/>
              <w:left w:val="nil"/>
              <w:bottom w:val="nil"/>
              <w:right w:val="nil"/>
            </w:tcBorders>
            <w:noWrap/>
            <w:vAlign w:val="center"/>
            <w:hideMark/>
          </w:tcPr>
          <w:p w14:paraId="4C737838"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1.648</w:t>
            </w:r>
          </w:p>
        </w:tc>
        <w:tc>
          <w:tcPr>
            <w:tcW w:w="780" w:type="dxa"/>
            <w:tcBorders>
              <w:top w:val="nil"/>
              <w:left w:val="nil"/>
              <w:bottom w:val="nil"/>
              <w:right w:val="nil"/>
            </w:tcBorders>
            <w:noWrap/>
            <w:vAlign w:val="center"/>
            <w:hideMark/>
          </w:tcPr>
          <w:p w14:paraId="04D7D1EA"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1.730</w:t>
            </w:r>
          </w:p>
        </w:tc>
        <w:tc>
          <w:tcPr>
            <w:tcW w:w="1063" w:type="dxa"/>
            <w:tcBorders>
              <w:top w:val="nil"/>
              <w:left w:val="nil"/>
              <w:bottom w:val="nil"/>
              <w:right w:val="nil"/>
            </w:tcBorders>
            <w:noWrap/>
            <w:vAlign w:val="center"/>
            <w:hideMark/>
          </w:tcPr>
          <w:p w14:paraId="669CC21E"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3.378</w:t>
            </w:r>
          </w:p>
        </w:tc>
        <w:tc>
          <w:tcPr>
            <w:tcW w:w="921" w:type="dxa"/>
            <w:tcBorders>
              <w:top w:val="nil"/>
              <w:left w:val="single" w:sz="4" w:space="0" w:color="BFBFBF"/>
              <w:bottom w:val="nil"/>
              <w:right w:val="nil"/>
            </w:tcBorders>
            <w:noWrap/>
            <w:vAlign w:val="center"/>
            <w:hideMark/>
          </w:tcPr>
          <w:p w14:paraId="26CFD703"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148.320</w:t>
            </w:r>
          </w:p>
        </w:tc>
        <w:tc>
          <w:tcPr>
            <w:tcW w:w="851" w:type="dxa"/>
            <w:tcBorders>
              <w:top w:val="nil"/>
              <w:left w:val="nil"/>
              <w:bottom w:val="nil"/>
              <w:right w:val="nil"/>
            </w:tcBorders>
            <w:noWrap/>
            <w:vAlign w:val="center"/>
            <w:hideMark/>
          </w:tcPr>
          <w:p w14:paraId="0E7846F7"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155.700</w:t>
            </w:r>
          </w:p>
        </w:tc>
        <w:tc>
          <w:tcPr>
            <w:tcW w:w="992" w:type="dxa"/>
            <w:tcBorders>
              <w:top w:val="nil"/>
              <w:left w:val="nil"/>
              <w:bottom w:val="nil"/>
              <w:right w:val="nil"/>
            </w:tcBorders>
            <w:noWrap/>
            <w:vAlign w:val="center"/>
            <w:hideMark/>
          </w:tcPr>
          <w:p w14:paraId="37472009"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304.020</w:t>
            </w:r>
          </w:p>
        </w:tc>
      </w:tr>
      <w:tr w:rsidR="00B65EDC" w:rsidRPr="004421A9" w14:paraId="7AC3DF26" w14:textId="77777777" w:rsidTr="007B0EF5">
        <w:trPr>
          <w:trHeight w:val="255"/>
        </w:trPr>
        <w:tc>
          <w:tcPr>
            <w:tcW w:w="2694" w:type="dxa"/>
            <w:tcBorders>
              <w:top w:val="nil"/>
              <w:left w:val="nil"/>
              <w:bottom w:val="nil"/>
              <w:right w:val="nil"/>
            </w:tcBorders>
            <w:vAlign w:val="center"/>
            <w:hideMark/>
          </w:tcPr>
          <w:p w14:paraId="55B95A08" w14:textId="77777777" w:rsidR="00B65EDC" w:rsidRPr="004421A9" w:rsidRDefault="00B65EDC" w:rsidP="00CD4E21">
            <w:pPr>
              <w:jc w:val="left"/>
              <w:rPr>
                <w:rFonts w:ascii="Arial Narrow" w:hAnsi="Arial Narrow" w:cs="Arial"/>
                <w:sz w:val="18"/>
                <w:szCs w:val="18"/>
                <w:lang w:eastAsia="en-GB"/>
              </w:rPr>
            </w:pPr>
            <w:r w:rsidRPr="004421A9">
              <w:rPr>
                <w:rFonts w:ascii="Arial Narrow" w:hAnsi="Arial Narrow" w:cs="Arial"/>
                <w:sz w:val="18"/>
                <w:szCs w:val="18"/>
                <w:lang w:eastAsia="en-GB"/>
              </w:rPr>
              <w:t>PLUTO</w:t>
            </w:r>
          </w:p>
        </w:tc>
        <w:tc>
          <w:tcPr>
            <w:tcW w:w="1417" w:type="dxa"/>
            <w:tcBorders>
              <w:top w:val="nil"/>
              <w:left w:val="nil"/>
              <w:bottom w:val="nil"/>
              <w:right w:val="nil"/>
            </w:tcBorders>
            <w:noWrap/>
            <w:vAlign w:val="center"/>
            <w:hideMark/>
          </w:tcPr>
          <w:p w14:paraId="42BFBFA5"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750</w:t>
            </w:r>
          </w:p>
        </w:tc>
        <w:tc>
          <w:tcPr>
            <w:tcW w:w="921" w:type="dxa"/>
            <w:tcBorders>
              <w:top w:val="nil"/>
              <w:left w:val="nil"/>
              <w:bottom w:val="nil"/>
              <w:right w:val="nil"/>
            </w:tcBorders>
            <w:noWrap/>
            <w:vAlign w:val="center"/>
            <w:hideMark/>
          </w:tcPr>
          <w:p w14:paraId="5127F582"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15</w:t>
            </w:r>
          </w:p>
        </w:tc>
        <w:tc>
          <w:tcPr>
            <w:tcW w:w="780" w:type="dxa"/>
            <w:tcBorders>
              <w:top w:val="nil"/>
              <w:left w:val="nil"/>
              <w:bottom w:val="nil"/>
              <w:right w:val="nil"/>
            </w:tcBorders>
            <w:noWrap/>
            <w:vAlign w:val="center"/>
            <w:hideMark/>
          </w:tcPr>
          <w:p w14:paraId="05024A88"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15</w:t>
            </w:r>
          </w:p>
        </w:tc>
        <w:tc>
          <w:tcPr>
            <w:tcW w:w="1063" w:type="dxa"/>
            <w:tcBorders>
              <w:top w:val="nil"/>
              <w:left w:val="nil"/>
              <w:bottom w:val="nil"/>
              <w:right w:val="nil"/>
            </w:tcBorders>
            <w:noWrap/>
            <w:vAlign w:val="center"/>
            <w:hideMark/>
          </w:tcPr>
          <w:p w14:paraId="43F1EFC4"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30</w:t>
            </w:r>
          </w:p>
        </w:tc>
        <w:tc>
          <w:tcPr>
            <w:tcW w:w="921" w:type="dxa"/>
            <w:tcBorders>
              <w:top w:val="nil"/>
              <w:left w:val="single" w:sz="4" w:space="0" w:color="BFBFBF"/>
              <w:bottom w:val="single" w:sz="4" w:space="0" w:color="BFBFBF"/>
              <w:right w:val="nil"/>
            </w:tcBorders>
            <w:noWrap/>
            <w:vAlign w:val="center"/>
            <w:hideMark/>
          </w:tcPr>
          <w:p w14:paraId="3387FA0F"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11.250</w:t>
            </w:r>
          </w:p>
        </w:tc>
        <w:tc>
          <w:tcPr>
            <w:tcW w:w="851" w:type="dxa"/>
            <w:tcBorders>
              <w:top w:val="nil"/>
              <w:left w:val="nil"/>
              <w:bottom w:val="nil"/>
              <w:right w:val="nil"/>
            </w:tcBorders>
            <w:noWrap/>
            <w:vAlign w:val="center"/>
            <w:hideMark/>
          </w:tcPr>
          <w:p w14:paraId="0290F2B6"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11.250</w:t>
            </w:r>
          </w:p>
        </w:tc>
        <w:tc>
          <w:tcPr>
            <w:tcW w:w="992" w:type="dxa"/>
            <w:tcBorders>
              <w:top w:val="nil"/>
              <w:left w:val="nil"/>
              <w:bottom w:val="nil"/>
              <w:right w:val="nil"/>
            </w:tcBorders>
            <w:noWrap/>
            <w:vAlign w:val="center"/>
            <w:hideMark/>
          </w:tcPr>
          <w:p w14:paraId="0DBBDAC1"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22.500</w:t>
            </w:r>
          </w:p>
        </w:tc>
      </w:tr>
      <w:tr w:rsidR="00B65EDC" w:rsidRPr="004421A9" w14:paraId="5DD8D33C" w14:textId="77777777" w:rsidTr="007B0EF5">
        <w:trPr>
          <w:trHeight w:val="270"/>
        </w:trPr>
        <w:tc>
          <w:tcPr>
            <w:tcW w:w="2694" w:type="dxa"/>
            <w:tcBorders>
              <w:top w:val="single" w:sz="4" w:space="0" w:color="BFBFBF"/>
              <w:left w:val="nil"/>
              <w:bottom w:val="single" w:sz="8" w:space="0" w:color="BFBFBF"/>
              <w:right w:val="nil"/>
            </w:tcBorders>
            <w:vAlign w:val="center"/>
            <w:hideMark/>
          </w:tcPr>
          <w:p w14:paraId="5FEBB9B1" w14:textId="432FB297" w:rsidR="007B0EF5" w:rsidRPr="004421A9" w:rsidRDefault="007B0EF5" w:rsidP="00CD4E21">
            <w:pPr>
              <w:jc w:val="left"/>
              <w:rPr>
                <w:rFonts w:ascii="Arial Narrow" w:hAnsi="Arial Narrow" w:cs="Arial"/>
                <w:b/>
                <w:bCs/>
                <w:sz w:val="18"/>
                <w:szCs w:val="18"/>
                <w:lang w:eastAsia="en-GB"/>
              </w:rPr>
            </w:pPr>
            <w:r w:rsidRPr="004421A9">
              <w:rPr>
                <w:rFonts w:ascii="Arial Narrow" w:hAnsi="Arial Narrow" w:cs="Arial"/>
                <w:b/>
                <w:bCs/>
                <w:sz w:val="18"/>
                <w:szCs w:val="18"/>
                <w:lang w:eastAsia="en-GB"/>
              </w:rPr>
              <w:t>Insg</w:t>
            </w:r>
            <w:r w:rsidR="00B65EDC" w:rsidRPr="004421A9">
              <w:rPr>
                <w:rFonts w:ascii="Arial Narrow" w:hAnsi="Arial Narrow" w:cs="Arial"/>
                <w:b/>
                <w:bCs/>
                <w:sz w:val="18"/>
                <w:szCs w:val="18"/>
                <w:lang w:eastAsia="en-GB"/>
              </w:rPr>
              <w:t xml:space="preserve">esamt </w:t>
            </w:r>
            <w:r w:rsidR="00FC2A35">
              <w:rPr>
                <w:rFonts w:ascii="Arial Narrow" w:hAnsi="Arial Narrow" w:cs="Arial"/>
                <w:b/>
                <w:bCs/>
                <w:sz w:val="18"/>
                <w:szCs w:val="18"/>
                <w:lang w:eastAsia="en-GB"/>
              </w:rPr>
              <w:t>UPOV PRISMA</w:t>
            </w:r>
            <w:r w:rsidR="00B65EDC" w:rsidRPr="004421A9">
              <w:rPr>
                <w:rFonts w:ascii="Arial Narrow" w:hAnsi="Arial Narrow" w:cs="Arial"/>
                <w:b/>
                <w:bCs/>
                <w:sz w:val="18"/>
                <w:szCs w:val="18"/>
                <w:lang w:eastAsia="en-GB"/>
              </w:rPr>
              <w:t xml:space="preserve"> </w:t>
            </w:r>
          </w:p>
          <w:p w14:paraId="4754BF1F" w14:textId="6DDD5AA7" w:rsidR="00B65EDC" w:rsidRPr="004421A9" w:rsidRDefault="00B65EDC" w:rsidP="00CD4E21">
            <w:pPr>
              <w:jc w:val="left"/>
              <w:rPr>
                <w:rFonts w:ascii="Arial Narrow" w:hAnsi="Arial Narrow" w:cs="Arial"/>
                <w:b/>
                <w:bCs/>
                <w:sz w:val="18"/>
                <w:szCs w:val="18"/>
                <w:lang w:eastAsia="en-GB"/>
              </w:rPr>
            </w:pPr>
            <w:r w:rsidRPr="004421A9">
              <w:rPr>
                <w:rFonts w:ascii="Arial Narrow" w:hAnsi="Arial Narrow" w:cs="Arial"/>
                <w:b/>
                <w:bCs/>
                <w:sz w:val="18"/>
                <w:szCs w:val="18"/>
                <w:lang w:eastAsia="en-GB"/>
              </w:rPr>
              <w:t>und PLUTO</w:t>
            </w:r>
          </w:p>
        </w:tc>
        <w:tc>
          <w:tcPr>
            <w:tcW w:w="1417" w:type="dxa"/>
            <w:tcBorders>
              <w:top w:val="single" w:sz="4" w:space="0" w:color="BFBFBF"/>
              <w:left w:val="nil"/>
              <w:bottom w:val="single" w:sz="8" w:space="0" w:color="BFBFBF"/>
              <w:right w:val="nil"/>
            </w:tcBorders>
            <w:vAlign w:val="center"/>
            <w:hideMark/>
          </w:tcPr>
          <w:p w14:paraId="1934EE18" w14:textId="77777777" w:rsidR="00B65EDC" w:rsidRPr="004421A9" w:rsidRDefault="00B65EDC" w:rsidP="00CD4E21">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1E9EBC6D" w14:textId="77777777" w:rsidR="00B65EDC" w:rsidRPr="004421A9" w:rsidRDefault="00B65EDC" w:rsidP="00CD4E21">
            <w:pPr>
              <w:jc w:val="right"/>
              <w:rPr>
                <w:rFonts w:ascii="Arial Narrow" w:hAnsi="Arial Narrow" w:cs="Arial"/>
                <w:b/>
                <w:bCs/>
                <w:sz w:val="18"/>
                <w:szCs w:val="18"/>
                <w:lang w:eastAsia="en-GB"/>
              </w:rPr>
            </w:pPr>
          </w:p>
        </w:tc>
        <w:tc>
          <w:tcPr>
            <w:tcW w:w="780" w:type="dxa"/>
            <w:tcBorders>
              <w:top w:val="single" w:sz="4" w:space="0" w:color="BFBFBF"/>
              <w:left w:val="nil"/>
              <w:bottom w:val="single" w:sz="8" w:space="0" w:color="BFBFBF"/>
              <w:right w:val="nil"/>
            </w:tcBorders>
            <w:noWrap/>
            <w:vAlign w:val="center"/>
            <w:hideMark/>
          </w:tcPr>
          <w:p w14:paraId="4AAF73CB" w14:textId="77777777" w:rsidR="00B65EDC" w:rsidRPr="004421A9" w:rsidRDefault="00B65EDC" w:rsidP="00CD4E21">
            <w:pPr>
              <w:jc w:val="right"/>
              <w:rPr>
                <w:rFonts w:ascii="Arial Narrow" w:hAnsi="Arial Narrow" w:cs="Arial"/>
                <w:b/>
                <w:bCs/>
                <w:sz w:val="18"/>
                <w:szCs w:val="18"/>
                <w:lang w:eastAsia="en-GB"/>
              </w:rPr>
            </w:pPr>
          </w:p>
        </w:tc>
        <w:tc>
          <w:tcPr>
            <w:tcW w:w="1063" w:type="dxa"/>
            <w:tcBorders>
              <w:top w:val="single" w:sz="4" w:space="0" w:color="BFBFBF"/>
              <w:left w:val="nil"/>
              <w:bottom w:val="single" w:sz="8" w:space="0" w:color="BFBFBF"/>
              <w:right w:val="nil"/>
            </w:tcBorders>
            <w:noWrap/>
            <w:vAlign w:val="center"/>
            <w:hideMark/>
          </w:tcPr>
          <w:p w14:paraId="47FA168D" w14:textId="77777777" w:rsidR="00B65EDC" w:rsidRPr="004421A9" w:rsidRDefault="00B65EDC" w:rsidP="00CD4E21">
            <w:pPr>
              <w:jc w:val="right"/>
              <w:rPr>
                <w:rFonts w:ascii="Arial Narrow" w:hAnsi="Arial Narrow" w:cs="Arial"/>
                <w:b/>
                <w:bCs/>
                <w:sz w:val="18"/>
                <w:szCs w:val="18"/>
                <w:lang w:eastAsia="en-GB"/>
              </w:rPr>
            </w:pPr>
          </w:p>
        </w:tc>
        <w:tc>
          <w:tcPr>
            <w:tcW w:w="921" w:type="dxa"/>
            <w:tcBorders>
              <w:top w:val="nil"/>
              <w:left w:val="nil"/>
              <w:bottom w:val="single" w:sz="8" w:space="0" w:color="BFBFBF"/>
              <w:right w:val="nil"/>
            </w:tcBorders>
            <w:noWrap/>
            <w:vAlign w:val="center"/>
            <w:hideMark/>
          </w:tcPr>
          <w:p w14:paraId="603FF6F6" w14:textId="77777777" w:rsidR="00B65EDC" w:rsidRPr="004421A9" w:rsidRDefault="00B65EDC" w:rsidP="00CD4E21">
            <w:pPr>
              <w:jc w:val="right"/>
              <w:rPr>
                <w:rFonts w:ascii="Arial Narrow" w:hAnsi="Arial Narrow" w:cs="Arial"/>
                <w:b/>
                <w:bCs/>
                <w:sz w:val="18"/>
                <w:szCs w:val="18"/>
                <w:lang w:eastAsia="en-GB"/>
              </w:rPr>
            </w:pPr>
            <w:r w:rsidRPr="004421A9">
              <w:rPr>
                <w:rFonts w:ascii="Arial Narrow" w:hAnsi="Arial Narrow" w:cs="Arial"/>
                <w:b/>
                <w:bCs/>
                <w:sz w:val="18"/>
                <w:szCs w:val="18"/>
                <w:lang w:eastAsia="en-GB"/>
              </w:rPr>
              <w:t>159.570</w:t>
            </w:r>
          </w:p>
        </w:tc>
        <w:tc>
          <w:tcPr>
            <w:tcW w:w="851" w:type="dxa"/>
            <w:tcBorders>
              <w:top w:val="single" w:sz="4" w:space="0" w:color="BFBFBF"/>
              <w:left w:val="nil"/>
              <w:bottom w:val="single" w:sz="8" w:space="0" w:color="BFBFBF"/>
              <w:right w:val="nil"/>
            </w:tcBorders>
            <w:noWrap/>
            <w:vAlign w:val="center"/>
            <w:hideMark/>
          </w:tcPr>
          <w:p w14:paraId="10F2301C" w14:textId="77777777" w:rsidR="00B65EDC" w:rsidRPr="004421A9" w:rsidRDefault="00B65EDC" w:rsidP="00CD4E21">
            <w:pPr>
              <w:jc w:val="right"/>
              <w:rPr>
                <w:rFonts w:ascii="Arial Narrow" w:hAnsi="Arial Narrow" w:cs="Arial"/>
                <w:b/>
                <w:bCs/>
                <w:sz w:val="18"/>
                <w:szCs w:val="18"/>
                <w:lang w:eastAsia="en-GB"/>
              </w:rPr>
            </w:pPr>
            <w:r w:rsidRPr="004421A9">
              <w:rPr>
                <w:rFonts w:ascii="Arial Narrow" w:hAnsi="Arial Narrow" w:cs="Arial"/>
                <w:b/>
                <w:bCs/>
                <w:sz w:val="18"/>
                <w:szCs w:val="18"/>
                <w:lang w:eastAsia="en-GB"/>
              </w:rPr>
              <w:t>166.950</w:t>
            </w:r>
          </w:p>
        </w:tc>
        <w:tc>
          <w:tcPr>
            <w:tcW w:w="992" w:type="dxa"/>
            <w:tcBorders>
              <w:top w:val="single" w:sz="4" w:space="0" w:color="BFBFBF"/>
              <w:left w:val="nil"/>
              <w:bottom w:val="single" w:sz="8" w:space="0" w:color="BFBFBF"/>
              <w:right w:val="nil"/>
            </w:tcBorders>
            <w:noWrap/>
            <w:vAlign w:val="center"/>
            <w:hideMark/>
          </w:tcPr>
          <w:p w14:paraId="362C5580" w14:textId="77777777" w:rsidR="00B65EDC" w:rsidRPr="004421A9" w:rsidRDefault="00B65EDC" w:rsidP="00CD4E21">
            <w:pPr>
              <w:jc w:val="right"/>
              <w:rPr>
                <w:rFonts w:ascii="Arial Narrow" w:hAnsi="Arial Narrow" w:cs="Arial"/>
                <w:b/>
                <w:bCs/>
                <w:sz w:val="18"/>
                <w:szCs w:val="18"/>
                <w:lang w:eastAsia="en-GB"/>
              </w:rPr>
            </w:pPr>
            <w:bookmarkStart w:id="439" w:name="_Hlk190003051"/>
            <w:r w:rsidRPr="004421A9">
              <w:rPr>
                <w:rFonts w:ascii="Arial Narrow" w:hAnsi="Arial Narrow" w:cs="Arial"/>
                <w:b/>
                <w:bCs/>
                <w:sz w:val="18"/>
                <w:szCs w:val="18"/>
                <w:lang w:eastAsia="en-GB"/>
              </w:rPr>
              <w:t>326.520</w:t>
            </w:r>
            <w:bookmarkEnd w:id="439"/>
          </w:p>
        </w:tc>
      </w:tr>
    </w:tbl>
    <w:p w14:paraId="622C866D" w14:textId="77777777" w:rsidR="00B65EDC" w:rsidRPr="004421A9" w:rsidRDefault="00B65EDC" w:rsidP="00B65EDC"/>
    <w:p w14:paraId="612DF76F" w14:textId="77777777" w:rsidR="00B65EDC" w:rsidRPr="004421A9" w:rsidRDefault="00B65EDC" w:rsidP="00B65EDC"/>
    <w:p w14:paraId="6049D89F" w14:textId="5CEA8B30" w:rsidR="00D30F1A" w:rsidRPr="004421A9" w:rsidRDefault="0042610C" w:rsidP="00D30F1A">
      <w:r w:rsidRPr="004421A9">
        <w:fldChar w:fldCharType="begin"/>
      </w:r>
      <w:r w:rsidRPr="004421A9">
        <w:instrText xml:space="preserve"> AUTONUM  </w:instrText>
      </w:r>
      <w:r w:rsidRPr="004421A9">
        <w:fldChar w:fldCharType="end"/>
      </w:r>
      <w:r w:rsidR="00B65EDC" w:rsidRPr="004421A9">
        <w:tab/>
      </w:r>
      <w:r w:rsidR="00D30F1A" w:rsidRPr="004421A9">
        <w:t xml:space="preserve">Die Zahlen für </w:t>
      </w:r>
      <w:r w:rsidR="00FC2A35">
        <w:t>UPOV PRISMA</w:t>
      </w:r>
      <w:r w:rsidR="00D30F1A" w:rsidRPr="004421A9">
        <w:t xml:space="preserve"> beruhen auf den Prognosen in Dokument CC/102/4 „Entwicklung und Finanzierung von UPOV e-PVP“, sowie auf jüngsten Entwicklungen und Schätzungen zur künftigen Nutzung von </w:t>
      </w:r>
      <w:r w:rsidR="00FC2A35">
        <w:t>UPOV PRISMA</w:t>
      </w:r>
      <w:r w:rsidR="00D30F1A" w:rsidRPr="004421A9">
        <w:t>.</w:t>
      </w:r>
    </w:p>
    <w:p w14:paraId="0C08429A" w14:textId="77777777" w:rsidR="00D30F1A" w:rsidRPr="004421A9" w:rsidRDefault="00D30F1A" w:rsidP="00D30F1A"/>
    <w:p w14:paraId="33EFC492" w14:textId="75F411F4" w:rsidR="00D30F1A" w:rsidRPr="004421A9" w:rsidRDefault="00744875" w:rsidP="00D30F1A">
      <w:r w:rsidRPr="004421A9">
        <w:lastRenderedPageBreak/>
        <w:fldChar w:fldCharType="begin"/>
      </w:r>
      <w:r w:rsidRPr="004421A9">
        <w:instrText xml:space="preserve"> AUTONUM  </w:instrText>
      </w:r>
      <w:r w:rsidRPr="004421A9">
        <w:fldChar w:fldCharType="end"/>
      </w:r>
      <w:r w:rsidR="00D30F1A" w:rsidRPr="004421A9">
        <w:tab/>
        <w:t xml:space="preserve">Die Prognosen im Haushaltsplan 2024-2025 gingen von einem Anstieg der zahlungspflichtigen Einreichungen unter Verwendung von </w:t>
      </w:r>
      <w:r w:rsidR="00FC2A35">
        <w:t>UPOV PRISMA</w:t>
      </w:r>
      <w:r w:rsidR="00D30F1A" w:rsidRPr="004421A9">
        <w:t xml:space="preserve"> um 20 Prozent aus. Die Analyse in Dokument CC/102/4 spiegelt wider, dass im Jahr 2024 ein durchschnittlicher Anstieg der zahlenden Einreichungen um 5 Prozent anstatt um 20 Prozent zu verzeichnen war. Die Prognose für 2026-2027 geht daher von einem realistischeren Anstieg der zahlungspflichtigen Einreichungen um 5 Prozent aus, der auf der Erweiterung der Gattungen und Arten in den teilnehmenden UPOV-Mitgliedern und Daten beruht, die zeigen, dass die Antragsteller </w:t>
      </w:r>
      <w:r w:rsidR="00FC2A35">
        <w:t>UPOV PRISMA</w:t>
      </w:r>
      <w:r w:rsidR="00D30F1A" w:rsidRPr="004421A9">
        <w:t xml:space="preserve"> in mehr UPOV-Mitgliedern nutzen.</w:t>
      </w:r>
    </w:p>
    <w:p w14:paraId="1054D87A" w14:textId="77777777" w:rsidR="00D30F1A" w:rsidRPr="004421A9" w:rsidRDefault="00D30F1A" w:rsidP="00D30F1A"/>
    <w:p w14:paraId="182CE63B" w14:textId="5697FB5A" w:rsidR="00B65EDC" w:rsidRPr="004421A9" w:rsidRDefault="0057490B" w:rsidP="00D30F1A">
      <w:r w:rsidRPr="004421A9">
        <w:fldChar w:fldCharType="begin"/>
      </w:r>
      <w:r w:rsidRPr="004421A9">
        <w:instrText xml:space="preserve"> AUTONUM  </w:instrText>
      </w:r>
      <w:r w:rsidRPr="004421A9">
        <w:fldChar w:fldCharType="end"/>
      </w:r>
      <w:r w:rsidR="00D30F1A" w:rsidRPr="004421A9">
        <w:tab/>
        <w:t>Ab 2022 haben 12 zahlende PLUTO-Premium-Nutzer ihr PLUTO-Abonnement automatisch jährlich verlängert. Auf der Grundlage dieses Trends wird für 2026-2027 mit 15 PLUTO-Abonnements pro Jahr gerechnet, die Einnahmen generieren</w:t>
      </w:r>
      <w:r w:rsidR="00B65EDC" w:rsidRPr="004421A9">
        <w:t xml:space="preserve">. </w:t>
      </w:r>
    </w:p>
    <w:p w14:paraId="0D891DC8" w14:textId="77777777" w:rsidR="00B65EDC" w:rsidRPr="004421A9" w:rsidRDefault="00B65EDC" w:rsidP="00B65EDC">
      <w:pPr>
        <w:tabs>
          <w:tab w:val="left" w:pos="760"/>
        </w:tabs>
      </w:pPr>
    </w:p>
    <w:p w14:paraId="60484BE9" w14:textId="20F0EE2F" w:rsidR="00B65EDC" w:rsidRPr="004421A9" w:rsidRDefault="00D30F1A" w:rsidP="00B65EDC">
      <w:pPr>
        <w:pStyle w:val="Heading3"/>
        <w:rPr>
          <w:lang w:val="de-DE"/>
        </w:rPr>
      </w:pPr>
      <w:bookmarkStart w:id="440" w:name="_Toc210041694"/>
      <w:r w:rsidRPr="004421A9">
        <w:rPr>
          <w:lang w:val="de-DE"/>
        </w:rPr>
        <w:t>G</w:t>
      </w:r>
      <w:r w:rsidR="007B0EF5" w:rsidRPr="004421A9">
        <w:rPr>
          <w:lang w:val="de-DE"/>
        </w:rPr>
        <w:t>esamt</w:t>
      </w:r>
      <w:r w:rsidR="00B65EDC" w:rsidRPr="004421A9">
        <w:rPr>
          <w:lang w:val="de-DE"/>
        </w:rPr>
        <w:t>mittelplan</w:t>
      </w:r>
      <w:bookmarkEnd w:id="440"/>
    </w:p>
    <w:p w14:paraId="509503B5" w14:textId="77777777" w:rsidR="00B65EDC" w:rsidRPr="004421A9" w:rsidRDefault="00B65EDC" w:rsidP="00B65EDC">
      <w:pPr>
        <w:pStyle w:val="annexiparanumbered"/>
        <w:keepNext/>
        <w:numPr>
          <w:ilvl w:val="0"/>
          <w:numId w:val="0"/>
        </w:numPr>
        <w:rPr>
          <w:sz w:val="18"/>
          <w:szCs w:val="16"/>
        </w:rPr>
      </w:pPr>
    </w:p>
    <w:p w14:paraId="7290AF22" w14:textId="1C9EE638" w:rsidR="00B3233D" w:rsidRPr="004421A9" w:rsidRDefault="001F0AF5" w:rsidP="00B3233D">
      <w:r w:rsidRPr="004421A9">
        <w:fldChar w:fldCharType="begin"/>
      </w:r>
      <w:r w:rsidRPr="004421A9">
        <w:instrText xml:space="preserve"> AUTONUM  </w:instrText>
      </w:r>
      <w:r w:rsidRPr="004421A9">
        <w:fldChar w:fldCharType="end"/>
      </w:r>
      <w:r w:rsidR="00B65EDC" w:rsidRPr="004421A9">
        <w:tab/>
      </w:r>
      <w:r w:rsidR="00B3233D" w:rsidRPr="004421A9">
        <w:t>Die Gesamtmittel für das Tätigkeitsprogramm, das die UPOV in der Rechnungsperiode 2026-2027 durchzuführen gedenkt, bel</w:t>
      </w:r>
      <w:r w:rsidR="0057692A" w:rsidRPr="004421A9">
        <w:t>aufen</w:t>
      </w:r>
      <w:r w:rsidR="00B3233D" w:rsidRPr="004421A9">
        <w:t xml:space="preserve"> sich auf 8.460.091 Schweizer Franken (vergleiche Tabelle 3). Dieser Betrag umfasst 7.615.864 Schweizer Franken im ordentlichen Haushalt (vergleiche Tabelle 1) und geschätzte 844.227 Schweizer Franken, die im Rahmen von Treuhandvereinbarungen finanziert werden.</w:t>
      </w:r>
    </w:p>
    <w:p w14:paraId="339B99CC" w14:textId="77777777" w:rsidR="00B3233D" w:rsidRPr="004421A9" w:rsidRDefault="00B3233D" w:rsidP="00B3233D"/>
    <w:p w14:paraId="7367F6E8" w14:textId="6F6332F5" w:rsidR="00B3233D" w:rsidRPr="004421A9" w:rsidRDefault="003F0BC5" w:rsidP="00B3233D">
      <w:r w:rsidRPr="004421A9">
        <w:fldChar w:fldCharType="begin"/>
      </w:r>
      <w:r w:rsidRPr="004421A9">
        <w:instrText xml:space="preserve"> AUTONUM  </w:instrText>
      </w:r>
      <w:r w:rsidRPr="004421A9">
        <w:fldChar w:fldCharType="end"/>
      </w:r>
      <w:r w:rsidR="00B3233D" w:rsidRPr="004421A9">
        <w:tab/>
        <w:t>Für die Rechnungsperiode 2026-2027 werden sich Einnahmen und Ausgaben im ordentlichen Haushalt voraussichtlich die Waage halten.</w:t>
      </w:r>
    </w:p>
    <w:p w14:paraId="76780D47" w14:textId="77777777" w:rsidR="00B3233D" w:rsidRPr="004421A9" w:rsidRDefault="00B3233D" w:rsidP="00B3233D"/>
    <w:p w14:paraId="76A24551" w14:textId="3A26768B" w:rsidR="00B3233D" w:rsidRPr="004421A9" w:rsidRDefault="00FF6817" w:rsidP="00B3233D">
      <w:r w:rsidRPr="004421A9">
        <w:fldChar w:fldCharType="begin"/>
      </w:r>
      <w:r w:rsidRPr="004421A9">
        <w:instrText xml:space="preserve"> AUTONUM  </w:instrText>
      </w:r>
      <w:r w:rsidRPr="004421A9">
        <w:fldChar w:fldCharType="end"/>
      </w:r>
      <w:r w:rsidR="00B3233D" w:rsidRPr="004421A9">
        <w:tab/>
        <w:t>Treuhandgelder (Funds-in-Trust, FIT) sind freiwillige Geldzuwendungen, üblicherweise von Verbandsmitgliedern, an die UPOV und werden in der Regel zur Finanzierung eines zwischen dem Verbandsbüro und dem entsprechenden Verbandsmitglied vereinbarten spezifischen Programms bereitgestellt. Ohne die unabhängigen Entscheidungen von Gebern beeinflussen zu wollen, wird damit gerechnet, dass sich der Gesamtbetrag solcher Gelder für die Rechnungsperiode 2026-2027 auf 844.227</w:t>
      </w:r>
      <w:r w:rsidR="00834A1F">
        <w:t> </w:t>
      </w:r>
      <w:r w:rsidR="00B3233D" w:rsidRPr="004421A9">
        <w:t>Schweizer</w:t>
      </w:r>
      <w:r w:rsidR="00834A1F">
        <w:t> </w:t>
      </w:r>
      <w:r w:rsidR="00B3233D" w:rsidRPr="004421A9">
        <w:t>Franken belaufen wird. Es ist zu erwähnen, dass finanzielle Unterstützung (z.</w:t>
      </w:r>
      <w:r w:rsidR="00834A1F">
        <w:t> </w:t>
      </w:r>
      <w:r w:rsidR="00B3233D" w:rsidRPr="004421A9">
        <w:t>B.</w:t>
      </w:r>
      <w:r w:rsidR="00834A1F">
        <w:t> </w:t>
      </w:r>
      <w:r w:rsidR="00B3233D" w:rsidRPr="004421A9">
        <w:t xml:space="preserve">Treuhandgelder) und nicht-geldliche Unterstützung (Sachleistungen), insbesondere für technische Unterstützung und Ausbildungsveranstaltungen, im Programm und Haushaltsplan der UPOV nicht enthalten sind. </w:t>
      </w:r>
    </w:p>
    <w:p w14:paraId="4A4A1D40" w14:textId="77777777" w:rsidR="00B3233D" w:rsidRPr="004421A9" w:rsidRDefault="00B3233D" w:rsidP="00B3233D"/>
    <w:p w14:paraId="70B8118C" w14:textId="14088AA1" w:rsidR="00B65EDC" w:rsidRPr="004421A9" w:rsidRDefault="00F80999" w:rsidP="00B3233D">
      <w:r w:rsidRPr="004421A9">
        <w:fldChar w:fldCharType="begin"/>
      </w:r>
      <w:r w:rsidRPr="004421A9">
        <w:instrText xml:space="preserve"> AUTONUM  </w:instrText>
      </w:r>
      <w:r w:rsidRPr="004421A9">
        <w:fldChar w:fldCharType="end"/>
      </w:r>
      <w:r w:rsidR="00B3233D" w:rsidRPr="004421A9">
        <w:tab/>
        <w:t xml:space="preserve">Ein neues FIT-Programm mit Japan soll im Jahr 2025 anlaufen. Das Programm wird die Sammlung und Analyse von Daten über die Auswirkungen des Sortenschutzes in UPOV-Mitgliedern und die Verbreitung von Informationen gemäß der Kommunikationsstrategie der UPOV unterstützen. Das neue FIT-Programm wird auch einen von Japan finanzierte </w:t>
      </w:r>
      <w:r w:rsidR="00ED4132" w:rsidRPr="004421A9">
        <w:t>Junior Professional Officer (</w:t>
      </w:r>
      <w:r w:rsidR="00B3233D" w:rsidRPr="004421A9">
        <w:t>JPO</w:t>
      </w:r>
      <w:r w:rsidR="00ED4132" w:rsidRPr="004421A9">
        <w:t>)</w:t>
      </w:r>
      <w:r w:rsidR="00B3233D" w:rsidRPr="004421A9">
        <w:t xml:space="preserve"> umfassen. Es wird erwartet, dass das neue FIT-Programm mit Japan in der Rechnungsperiode 2026-2027 fortgesetzt wird</w:t>
      </w:r>
      <w:r w:rsidR="00B65EDC" w:rsidRPr="004421A9">
        <w:t>.</w:t>
      </w:r>
    </w:p>
    <w:p w14:paraId="60861E2B" w14:textId="77777777" w:rsidR="00B65EDC" w:rsidRPr="004421A9" w:rsidRDefault="00B65EDC" w:rsidP="00B65EDC"/>
    <w:p w14:paraId="144050A2" w14:textId="77777777" w:rsidR="00B65EDC" w:rsidRPr="004421A9" w:rsidRDefault="00B65EDC" w:rsidP="00B65EDC">
      <w:pPr>
        <w:rPr>
          <w:szCs w:val="24"/>
        </w:rPr>
      </w:pPr>
    </w:p>
    <w:p w14:paraId="026217BE" w14:textId="43C04A64" w:rsidR="00B65EDC" w:rsidRPr="004421A9" w:rsidRDefault="00B65EDC" w:rsidP="00B65EDC">
      <w:pPr>
        <w:jc w:val="center"/>
        <w:rPr>
          <w:color w:val="26724C" w:themeColor="accent1" w:themeShade="BF"/>
          <w:spacing w:val="-2"/>
          <w:szCs w:val="24"/>
        </w:rPr>
      </w:pPr>
      <w:r w:rsidRPr="004421A9">
        <w:rPr>
          <w:rFonts w:cs="Arial"/>
          <w:b/>
          <w:bCs/>
          <w:color w:val="26724C" w:themeColor="accent1" w:themeShade="BF"/>
        </w:rPr>
        <w:t>Tabelle 3:</w:t>
      </w:r>
      <w:r w:rsidR="00877E3D" w:rsidRPr="004421A9">
        <w:rPr>
          <w:rFonts w:cs="Arial"/>
          <w:b/>
          <w:bCs/>
          <w:color w:val="26724C" w:themeColor="accent1" w:themeShade="BF"/>
        </w:rPr>
        <w:t xml:space="preserve"> </w:t>
      </w:r>
      <w:r w:rsidR="00CC4FBD" w:rsidRPr="004421A9">
        <w:rPr>
          <w:rFonts w:cs="Arial"/>
          <w:b/>
          <w:bCs/>
          <w:color w:val="26724C" w:themeColor="accent1" w:themeShade="BF"/>
        </w:rPr>
        <w:t xml:space="preserve">Mittelplan </w:t>
      </w:r>
      <w:r w:rsidRPr="004421A9">
        <w:rPr>
          <w:rFonts w:cs="Arial"/>
          <w:b/>
          <w:bCs/>
          <w:color w:val="26724C" w:themeColor="accent1" w:themeShade="BF"/>
        </w:rPr>
        <w:t>2024-2025 und</w:t>
      </w:r>
      <w:r w:rsidR="00521C0D" w:rsidRPr="004421A9">
        <w:rPr>
          <w:rFonts w:cs="Arial"/>
          <w:b/>
          <w:bCs/>
          <w:color w:val="26724C" w:themeColor="accent1" w:themeShade="BF"/>
        </w:rPr>
        <w:t xml:space="preserve"> 2026-2027</w:t>
      </w:r>
    </w:p>
    <w:p w14:paraId="0835930B" w14:textId="1EB542B8" w:rsidR="00B65EDC" w:rsidRPr="004421A9" w:rsidRDefault="00B65EDC" w:rsidP="00B65EDC">
      <w:pPr>
        <w:jc w:val="center"/>
        <w:rPr>
          <w:rFonts w:cs="Arial"/>
          <w:i/>
          <w:iCs/>
          <w:sz w:val="18"/>
        </w:rPr>
      </w:pPr>
      <w:r w:rsidRPr="004421A9">
        <w:rPr>
          <w:rFonts w:cs="Arial"/>
          <w:i/>
          <w:iCs/>
          <w:sz w:val="18"/>
        </w:rPr>
        <w:t>(</w:t>
      </w:r>
      <w:r w:rsidR="008166F5" w:rsidRPr="004421A9">
        <w:rPr>
          <w:rFonts w:cs="Arial"/>
          <w:i/>
          <w:iCs/>
          <w:sz w:val="18"/>
        </w:rPr>
        <w:t>in tausend Schweizer Franken</w:t>
      </w:r>
      <w:r w:rsidRPr="004421A9">
        <w:rPr>
          <w:rFonts w:cs="Arial"/>
          <w:i/>
          <w:iCs/>
          <w:sz w:val="18"/>
        </w:rPr>
        <w:t>)</w:t>
      </w:r>
    </w:p>
    <w:p w14:paraId="0A56B743" w14:textId="77777777" w:rsidR="00B65EDC" w:rsidRPr="004421A9" w:rsidRDefault="00B65EDC" w:rsidP="00B65EDC">
      <w:pPr>
        <w:jc w:val="center"/>
        <w:rPr>
          <w:spacing w:val="-2"/>
          <w:szCs w:val="24"/>
        </w:rPr>
      </w:pPr>
    </w:p>
    <w:tbl>
      <w:tblPr>
        <w:tblW w:w="9729" w:type="dxa"/>
        <w:tblLook w:val="04A0" w:firstRow="1" w:lastRow="0" w:firstColumn="1" w:lastColumn="0" w:noHBand="0" w:noVBand="1"/>
      </w:tblPr>
      <w:tblGrid>
        <w:gridCol w:w="482"/>
        <w:gridCol w:w="3771"/>
        <w:gridCol w:w="1793"/>
        <w:gridCol w:w="1778"/>
        <w:gridCol w:w="1905"/>
      </w:tblGrid>
      <w:tr w:rsidR="008B005B" w:rsidRPr="004421A9" w14:paraId="06FAB401" w14:textId="77777777" w:rsidTr="008B005B">
        <w:trPr>
          <w:trHeight w:val="431"/>
        </w:trPr>
        <w:tc>
          <w:tcPr>
            <w:tcW w:w="4253" w:type="dxa"/>
            <w:gridSpan w:val="2"/>
            <w:vMerge w:val="restart"/>
            <w:tcBorders>
              <w:top w:val="nil"/>
              <w:left w:val="nil"/>
              <w:bottom w:val="nil"/>
              <w:right w:val="nil"/>
            </w:tcBorders>
            <w:shd w:val="clear" w:color="000000" w:fill="C7CFD8"/>
            <w:vAlign w:val="center"/>
            <w:hideMark/>
          </w:tcPr>
          <w:p w14:paraId="3BC13A88" w14:textId="1CF9C802" w:rsidR="008B005B" w:rsidRPr="004421A9" w:rsidRDefault="008B005B" w:rsidP="008B005B">
            <w:pPr>
              <w:jc w:val="left"/>
              <w:rPr>
                <w:rFonts w:ascii="Arial Narrow" w:hAnsi="Arial Narrow" w:cs="Arial"/>
                <w:b/>
                <w:bCs/>
                <w:sz w:val="18"/>
                <w:szCs w:val="18"/>
              </w:rPr>
            </w:pPr>
            <w:r w:rsidRPr="004421A9">
              <w:rPr>
                <w:rFonts w:ascii="Arial Narrow" w:hAnsi="Arial Narrow" w:cs="Arial"/>
                <w:b/>
                <w:bCs/>
                <w:sz w:val="18"/>
                <w:szCs w:val="18"/>
              </w:rPr>
              <w:t>Haushaltsplan und Mittelverfügbarkeit</w:t>
            </w:r>
          </w:p>
        </w:tc>
        <w:tc>
          <w:tcPr>
            <w:tcW w:w="1793" w:type="dxa"/>
            <w:tcBorders>
              <w:top w:val="nil"/>
              <w:left w:val="nil"/>
              <w:bottom w:val="nil"/>
              <w:right w:val="nil"/>
            </w:tcBorders>
            <w:shd w:val="clear" w:color="000000" w:fill="C7CFD8"/>
            <w:vAlign w:val="center"/>
            <w:hideMark/>
          </w:tcPr>
          <w:p w14:paraId="7EEF3CA3" w14:textId="3E0F3F00" w:rsidR="008B005B" w:rsidRPr="004421A9" w:rsidRDefault="008B005B" w:rsidP="008B005B">
            <w:pPr>
              <w:jc w:val="center"/>
              <w:rPr>
                <w:rFonts w:ascii="Arial Narrow" w:hAnsi="Arial Narrow" w:cs="Arial"/>
                <w:b/>
                <w:bCs/>
                <w:sz w:val="18"/>
                <w:szCs w:val="18"/>
              </w:rPr>
            </w:pPr>
            <w:r w:rsidRPr="004421A9">
              <w:rPr>
                <w:rFonts w:ascii="Arial Narrow" w:hAnsi="Arial Narrow" w:cs="Arial"/>
                <w:b/>
                <w:bCs/>
                <w:sz w:val="18"/>
                <w:szCs w:val="18"/>
              </w:rPr>
              <w:t xml:space="preserve">Ordentlicher Haushalt </w:t>
            </w:r>
          </w:p>
        </w:tc>
        <w:tc>
          <w:tcPr>
            <w:tcW w:w="1778" w:type="dxa"/>
            <w:tcBorders>
              <w:top w:val="nil"/>
              <w:left w:val="nil"/>
              <w:bottom w:val="nil"/>
              <w:right w:val="nil"/>
            </w:tcBorders>
            <w:shd w:val="clear" w:color="000000" w:fill="C7CFD8"/>
            <w:vAlign w:val="center"/>
            <w:hideMark/>
          </w:tcPr>
          <w:p w14:paraId="3AF62C3B" w14:textId="55A89D55" w:rsidR="008B005B" w:rsidRPr="004421A9" w:rsidRDefault="008B005B" w:rsidP="008B005B">
            <w:pPr>
              <w:jc w:val="center"/>
              <w:rPr>
                <w:rFonts w:ascii="Arial Narrow" w:hAnsi="Arial Narrow" w:cs="Arial"/>
                <w:b/>
                <w:bCs/>
                <w:sz w:val="18"/>
                <w:szCs w:val="18"/>
              </w:rPr>
            </w:pPr>
            <w:r w:rsidRPr="004421A9">
              <w:rPr>
                <w:rFonts w:ascii="Arial Narrow" w:hAnsi="Arial Narrow" w:cs="Arial"/>
                <w:b/>
                <w:bCs/>
                <w:sz w:val="18"/>
                <w:szCs w:val="18"/>
              </w:rPr>
              <w:t xml:space="preserve">Treuhandgelder * </w:t>
            </w:r>
          </w:p>
        </w:tc>
        <w:tc>
          <w:tcPr>
            <w:tcW w:w="1905" w:type="dxa"/>
            <w:tcBorders>
              <w:top w:val="nil"/>
              <w:left w:val="nil"/>
              <w:bottom w:val="nil"/>
              <w:right w:val="nil"/>
            </w:tcBorders>
            <w:shd w:val="clear" w:color="000000" w:fill="C7CFD8"/>
            <w:vAlign w:val="center"/>
            <w:hideMark/>
          </w:tcPr>
          <w:p w14:paraId="110BA662" w14:textId="23F51A20" w:rsidR="008B005B" w:rsidRPr="004421A9" w:rsidRDefault="008B005B" w:rsidP="008B005B">
            <w:pPr>
              <w:jc w:val="center"/>
              <w:rPr>
                <w:rFonts w:ascii="Arial Narrow" w:hAnsi="Arial Narrow" w:cs="Arial"/>
                <w:b/>
                <w:bCs/>
                <w:sz w:val="18"/>
                <w:szCs w:val="18"/>
              </w:rPr>
            </w:pPr>
            <w:r w:rsidRPr="004421A9">
              <w:rPr>
                <w:rFonts w:ascii="Arial Narrow" w:hAnsi="Arial Narrow" w:cs="Arial"/>
                <w:b/>
                <w:bCs/>
                <w:sz w:val="18"/>
                <w:szCs w:val="18"/>
              </w:rPr>
              <w:t xml:space="preserve">Mittel insgesamt </w:t>
            </w:r>
          </w:p>
        </w:tc>
      </w:tr>
      <w:tr w:rsidR="008B005B" w:rsidRPr="004421A9" w14:paraId="64A8C5DF" w14:textId="77777777" w:rsidTr="008B005B">
        <w:trPr>
          <w:trHeight w:val="70"/>
        </w:trPr>
        <w:tc>
          <w:tcPr>
            <w:tcW w:w="4253" w:type="dxa"/>
            <w:gridSpan w:val="2"/>
            <w:vMerge/>
            <w:tcBorders>
              <w:top w:val="nil"/>
              <w:left w:val="nil"/>
              <w:bottom w:val="nil"/>
              <w:right w:val="nil"/>
            </w:tcBorders>
            <w:vAlign w:val="center"/>
            <w:hideMark/>
          </w:tcPr>
          <w:p w14:paraId="5AD838E4" w14:textId="77777777" w:rsidR="008B005B" w:rsidRPr="004421A9" w:rsidRDefault="008B005B" w:rsidP="008B005B">
            <w:pPr>
              <w:jc w:val="left"/>
              <w:rPr>
                <w:rFonts w:ascii="Arial Narrow" w:hAnsi="Arial Narrow" w:cs="Arial"/>
                <w:b/>
                <w:bCs/>
                <w:sz w:val="18"/>
                <w:szCs w:val="18"/>
              </w:rPr>
            </w:pPr>
          </w:p>
        </w:tc>
        <w:tc>
          <w:tcPr>
            <w:tcW w:w="1793" w:type="dxa"/>
            <w:tcBorders>
              <w:top w:val="nil"/>
              <w:left w:val="nil"/>
              <w:bottom w:val="nil"/>
              <w:right w:val="nil"/>
            </w:tcBorders>
            <w:shd w:val="clear" w:color="000000" w:fill="C7CFD8"/>
            <w:noWrap/>
            <w:vAlign w:val="center"/>
            <w:hideMark/>
          </w:tcPr>
          <w:p w14:paraId="340B7B50" w14:textId="208A115E" w:rsidR="008B005B" w:rsidRPr="004421A9" w:rsidRDefault="008B005B" w:rsidP="008B005B">
            <w:pPr>
              <w:jc w:val="center"/>
              <w:rPr>
                <w:rFonts w:ascii="Arial Narrow" w:hAnsi="Arial Narrow" w:cs="Arial"/>
                <w:b/>
                <w:bCs/>
                <w:i/>
                <w:iCs/>
                <w:sz w:val="18"/>
                <w:szCs w:val="18"/>
              </w:rPr>
            </w:pPr>
            <w:r w:rsidRPr="004421A9">
              <w:rPr>
                <w:rFonts w:ascii="Arial Narrow" w:hAnsi="Arial Narrow" w:cs="Arial"/>
                <w:b/>
                <w:bCs/>
                <w:sz w:val="18"/>
                <w:szCs w:val="18"/>
              </w:rPr>
              <w:t xml:space="preserve">A </w:t>
            </w:r>
          </w:p>
        </w:tc>
        <w:tc>
          <w:tcPr>
            <w:tcW w:w="1778" w:type="dxa"/>
            <w:tcBorders>
              <w:top w:val="nil"/>
              <w:left w:val="nil"/>
              <w:bottom w:val="nil"/>
              <w:right w:val="nil"/>
            </w:tcBorders>
            <w:shd w:val="clear" w:color="000000" w:fill="C7CFD8"/>
            <w:vAlign w:val="center"/>
            <w:hideMark/>
          </w:tcPr>
          <w:p w14:paraId="378688E6" w14:textId="1A08AE83" w:rsidR="008B005B" w:rsidRPr="004421A9" w:rsidRDefault="008B005B" w:rsidP="008B005B">
            <w:pPr>
              <w:jc w:val="center"/>
              <w:rPr>
                <w:rFonts w:ascii="Arial Narrow" w:hAnsi="Arial Narrow" w:cs="Arial"/>
                <w:b/>
                <w:bCs/>
                <w:i/>
                <w:iCs/>
                <w:sz w:val="18"/>
                <w:szCs w:val="18"/>
              </w:rPr>
            </w:pPr>
            <w:r w:rsidRPr="004421A9">
              <w:rPr>
                <w:rFonts w:ascii="Arial Narrow" w:hAnsi="Arial Narrow" w:cs="Arial"/>
                <w:b/>
                <w:bCs/>
                <w:i/>
                <w:iCs/>
                <w:sz w:val="18"/>
                <w:szCs w:val="18"/>
              </w:rPr>
              <w:t>B</w:t>
            </w:r>
          </w:p>
        </w:tc>
        <w:tc>
          <w:tcPr>
            <w:tcW w:w="1905" w:type="dxa"/>
            <w:tcBorders>
              <w:top w:val="nil"/>
              <w:left w:val="nil"/>
              <w:bottom w:val="nil"/>
              <w:right w:val="nil"/>
            </w:tcBorders>
            <w:shd w:val="clear" w:color="000000" w:fill="C7CFD8"/>
            <w:vAlign w:val="center"/>
            <w:hideMark/>
          </w:tcPr>
          <w:p w14:paraId="3F3EBB6B" w14:textId="6F900760" w:rsidR="008B005B" w:rsidRPr="004421A9" w:rsidRDefault="008B005B" w:rsidP="008B005B">
            <w:pPr>
              <w:jc w:val="center"/>
              <w:rPr>
                <w:rFonts w:ascii="Arial Narrow" w:hAnsi="Arial Narrow" w:cs="Arial"/>
                <w:b/>
                <w:bCs/>
                <w:i/>
                <w:iCs/>
                <w:sz w:val="18"/>
                <w:szCs w:val="18"/>
              </w:rPr>
            </w:pPr>
            <w:r w:rsidRPr="004421A9">
              <w:rPr>
                <w:rFonts w:ascii="Arial Narrow" w:hAnsi="Arial Narrow" w:cs="Arial"/>
                <w:b/>
                <w:bCs/>
                <w:i/>
                <w:iCs/>
                <w:sz w:val="18"/>
                <w:szCs w:val="18"/>
              </w:rPr>
              <w:t>C = A+B</w:t>
            </w:r>
          </w:p>
        </w:tc>
      </w:tr>
      <w:tr w:rsidR="00B65EDC" w:rsidRPr="004421A9" w14:paraId="18443706" w14:textId="77777777" w:rsidTr="008B005B">
        <w:trPr>
          <w:trHeight w:val="263"/>
        </w:trPr>
        <w:tc>
          <w:tcPr>
            <w:tcW w:w="4253" w:type="dxa"/>
            <w:gridSpan w:val="2"/>
            <w:tcBorders>
              <w:top w:val="nil"/>
              <w:left w:val="nil"/>
              <w:bottom w:val="nil"/>
              <w:right w:val="nil"/>
            </w:tcBorders>
            <w:hideMark/>
          </w:tcPr>
          <w:p w14:paraId="39BBD939" w14:textId="77777777" w:rsidR="00B65EDC" w:rsidRPr="004421A9" w:rsidRDefault="00B65EDC" w:rsidP="00CD4E21">
            <w:pPr>
              <w:jc w:val="center"/>
              <w:rPr>
                <w:rFonts w:ascii="Arial Narrow" w:hAnsi="Arial Narrow" w:cs="Arial"/>
                <w:b/>
                <w:bCs/>
                <w:i/>
                <w:iCs/>
                <w:sz w:val="18"/>
                <w:szCs w:val="18"/>
              </w:rPr>
            </w:pPr>
          </w:p>
        </w:tc>
        <w:tc>
          <w:tcPr>
            <w:tcW w:w="1793" w:type="dxa"/>
            <w:tcBorders>
              <w:top w:val="nil"/>
              <w:left w:val="nil"/>
              <w:bottom w:val="nil"/>
              <w:right w:val="nil"/>
            </w:tcBorders>
            <w:hideMark/>
          </w:tcPr>
          <w:p w14:paraId="7689380B" w14:textId="77777777" w:rsidR="00B65EDC" w:rsidRPr="004421A9" w:rsidRDefault="00B65EDC" w:rsidP="00CD4E21">
            <w:pPr>
              <w:rPr>
                <w:rFonts w:ascii="Times New Roman" w:hAnsi="Times New Roman"/>
              </w:rPr>
            </w:pPr>
          </w:p>
        </w:tc>
        <w:tc>
          <w:tcPr>
            <w:tcW w:w="1778" w:type="dxa"/>
            <w:tcBorders>
              <w:top w:val="nil"/>
              <w:left w:val="nil"/>
              <w:bottom w:val="nil"/>
              <w:right w:val="nil"/>
            </w:tcBorders>
            <w:hideMark/>
          </w:tcPr>
          <w:p w14:paraId="0938041F" w14:textId="77777777" w:rsidR="00B65EDC" w:rsidRPr="004421A9" w:rsidRDefault="00B65EDC" w:rsidP="00CD4E21">
            <w:pPr>
              <w:rPr>
                <w:rFonts w:ascii="Times New Roman" w:hAnsi="Times New Roman"/>
              </w:rPr>
            </w:pPr>
          </w:p>
        </w:tc>
        <w:tc>
          <w:tcPr>
            <w:tcW w:w="1905" w:type="dxa"/>
            <w:tcBorders>
              <w:top w:val="nil"/>
              <w:left w:val="nil"/>
              <w:bottom w:val="nil"/>
              <w:right w:val="nil"/>
            </w:tcBorders>
            <w:hideMark/>
          </w:tcPr>
          <w:p w14:paraId="4502D222" w14:textId="77777777" w:rsidR="00B65EDC" w:rsidRPr="004421A9" w:rsidRDefault="00B65EDC" w:rsidP="00CD4E21">
            <w:pPr>
              <w:jc w:val="left"/>
              <w:rPr>
                <w:rFonts w:ascii="Times New Roman" w:hAnsi="Times New Roman"/>
              </w:rPr>
            </w:pPr>
          </w:p>
        </w:tc>
      </w:tr>
      <w:tr w:rsidR="00B65EDC" w:rsidRPr="004421A9" w14:paraId="4779A1D3" w14:textId="77777777" w:rsidTr="008B005B">
        <w:trPr>
          <w:trHeight w:val="318"/>
        </w:trPr>
        <w:tc>
          <w:tcPr>
            <w:tcW w:w="4253" w:type="dxa"/>
            <w:gridSpan w:val="2"/>
            <w:tcBorders>
              <w:top w:val="nil"/>
              <w:left w:val="nil"/>
              <w:bottom w:val="nil"/>
              <w:right w:val="nil"/>
            </w:tcBorders>
            <w:hideMark/>
          </w:tcPr>
          <w:p w14:paraId="0BFF9E66" w14:textId="24530FCE" w:rsidR="00B65EDC" w:rsidRPr="004421A9" w:rsidRDefault="000F65D0" w:rsidP="00CD4E21">
            <w:pPr>
              <w:rPr>
                <w:rFonts w:ascii="Arial Narrow" w:hAnsi="Arial Narrow" w:cs="Arial"/>
                <w:b/>
                <w:bCs/>
                <w:color w:val="000000"/>
              </w:rPr>
            </w:pPr>
            <w:r w:rsidRPr="004421A9">
              <w:rPr>
                <w:rFonts w:ascii="Arial Narrow" w:hAnsi="Arial Narrow" w:cs="Arial"/>
                <w:b/>
                <w:bCs/>
                <w:color w:val="000000"/>
              </w:rPr>
              <w:t xml:space="preserve">Mittelverfügbarkeit </w:t>
            </w:r>
            <w:r w:rsidR="00B65EDC" w:rsidRPr="004421A9">
              <w:rPr>
                <w:rFonts w:ascii="Arial Narrow" w:hAnsi="Arial Narrow" w:cs="Arial"/>
                <w:b/>
                <w:bCs/>
                <w:color w:val="000000"/>
              </w:rPr>
              <w:t>2024–2025</w:t>
            </w:r>
          </w:p>
        </w:tc>
        <w:tc>
          <w:tcPr>
            <w:tcW w:w="1793" w:type="dxa"/>
            <w:tcBorders>
              <w:top w:val="nil"/>
              <w:left w:val="nil"/>
              <w:bottom w:val="nil"/>
              <w:right w:val="nil"/>
            </w:tcBorders>
            <w:noWrap/>
            <w:vAlign w:val="bottom"/>
            <w:hideMark/>
          </w:tcPr>
          <w:p w14:paraId="686C71E3" w14:textId="77777777" w:rsidR="00B65EDC" w:rsidRPr="004421A9" w:rsidRDefault="00B65EDC" w:rsidP="00CD4E21">
            <w:pPr>
              <w:jc w:val="right"/>
              <w:rPr>
                <w:rFonts w:ascii="Arial Narrow" w:hAnsi="Arial Narrow" w:cs="Arial"/>
                <w:b/>
                <w:bCs/>
                <w:color w:val="000000"/>
              </w:rPr>
            </w:pPr>
          </w:p>
        </w:tc>
        <w:tc>
          <w:tcPr>
            <w:tcW w:w="1778" w:type="dxa"/>
            <w:tcBorders>
              <w:top w:val="nil"/>
              <w:left w:val="nil"/>
              <w:bottom w:val="nil"/>
              <w:right w:val="nil"/>
            </w:tcBorders>
            <w:hideMark/>
          </w:tcPr>
          <w:p w14:paraId="235A1292" w14:textId="77777777" w:rsidR="00B65EDC" w:rsidRPr="004421A9" w:rsidRDefault="00B65EDC" w:rsidP="00CD4E21">
            <w:pPr>
              <w:jc w:val="right"/>
              <w:rPr>
                <w:rFonts w:ascii="Times New Roman" w:hAnsi="Times New Roman"/>
              </w:rPr>
            </w:pPr>
          </w:p>
        </w:tc>
        <w:tc>
          <w:tcPr>
            <w:tcW w:w="1905" w:type="dxa"/>
            <w:tcBorders>
              <w:top w:val="nil"/>
              <w:left w:val="nil"/>
              <w:bottom w:val="nil"/>
              <w:right w:val="nil"/>
            </w:tcBorders>
            <w:hideMark/>
          </w:tcPr>
          <w:p w14:paraId="51871D3E" w14:textId="77777777" w:rsidR="00B65EDC" w:rsidRPr="004421A9" w:rsidRDefault="00B65EDC" w:rsidP="00CD4E21">
            <w:pPr>
              <w:jc w:val="right"/>
              <w:rPr>
                <w:rFonts w:ascii="Times New Roman" w:hAnsi="Times New Roman"/>
              </w:rPr>
            </w:pPr>
          </w:p>
        </w:tc>
      </w:tr>
      <w:tr w:rsidR="00B65EDC" w:rsidRPr="004421A9" w14:paraId="2665EE8B" w14:textId="77777777" w:rsidTr="008B005B">
        <w:trPr>
          <w:trHeight w:val="349"/>
        </w:trPr>
        <w:tc>
          <w:tcPr>
            <w:tcW w:w="482" w:type="dxa"/>
            <w:tcBorders>
              <w:top w:val="nil"/>
              <w:left w:val="nil"/>
              <w:bottom w:val="nil"/>
              <w:right w:val="nil"/>
            </w:tcBorders>
            <w:vAlign w:val="center"/>
            <w:hideMark/>
          </w:tcPr>
          <w:p w14:paraId="2041EE60"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1</w:t>
            </w:r>
          </w:p>
        </w:tc>
        <w:tc>
          <w:tcPr>
            <w:tcW w:w="3771" w:type="dxa"/>
            <w:tcBorders>
              <w:top w:val="nil"/>
              <w:left w:val="nil"/>
              <w:bottom w:val="nil"/>
              <w:right w:val="nil"/>
            </w:tcBorders>
            <w:vAlign w:val="center"/>
            <w:hideMark/>
          </w:tcPr>
          <w:p w14:paraId="1C62A0BC" w14:textId="77777777" w:rsidR="00B65EDC" w:rsidRPr="004421A9" w:rsidRDefault="00B65EDC" w:rsidP="00CD4E21">
            <w:pPr>
              <w:rPr>
                <w:rFonts w:ascii="Arial Narrow" w:hAnsi="Arial Narrow" w:cs="Arial"/>
                <w:color w:val="000000"/>
              </w:rPr>
            </w:pPr>
            <w:r w:rsidRPr="004421A9">
              <w:rPr>
                <w:rFonts w:ascii="Arial Narrow" w:hAnsi="Arial Narrow" w:cs="Arial"/>
                <w:color w:val="000000"/>
              </w:rPr>
              <w:t>Einnahmen</w:t>
            </w:r>
          </w:p>
        </w:tc>
        <w:tc>
          <w:tcPr>
            <w:tcW w:w="1793" w:type="dxa"/>
            <w:tcBorders>
              <w:top w:val="nil"/>
              <w:left w:val="nil"/>
              <w:bottom w:val="nil"/>
              <w:right w:val="nil"/>
            </w:tcBorders>
            <w:vAlign w:val="center"/>
          </w:tcPr>
          <w:p w14:paraId="0EBD0732"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7.901</w:t>
            </w:r>
          </w:p>
        </w:tc>
        <w:tc>
          <w:tcPr>
            <w:tcW w:w="1778" w:type="dxa"/>
            <w:tcBorders>
              <w:top w:val="nil"/>
              <w:left w:val="nil"/>
              <w:bottom w:val="nil"/>
              <w:right w:val="nil"/>
            </w:tcBorders>
            <w:vAlign w:val="center"/>
          </w:tcPr>
          <w:p w14:paraId="04C9B3CD"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965</w:t>
            </w:r>
          </w:p>
        </w:tc>
        <w:tc>
          <w:tcPr>
            <w:tcW w:w="1905" w:type="dxa"/>
            <w:tcBorders>
              <w:top w:val="nil"/>
              <w:left w:val="nil"/>
              <w:bottom w:val="nil"/>
              <w:right w:val="nil"/>
            </w:tcBorders>
            <w:vAlign w:val="center"/>
          </w:tcPr>
          <w:p w14:paraId="49038083"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8.867</w:t>
            </w:r>
          </w:p>
        </w:tc>
      </w:tr>
      <w:tr w:rsidR="00B65EDC" w:rsidRPr="004421A9" w14:paraId="5E49BB4B" w14:textId="77777777" w:rsidTr="008B005B">
        <w:trPr>
          <w:trHeight w:val="349"/>
        </w:trPr>
        <w:tc>
          <w:tcPr>
            <w:tcW w:w="482" w:type="dxa"/>
            <w:tcBorders>
              <w:top w:val="nil"/>
              <w:left w:val="nil"/>
              <w:bottom w:val="nil"/>
              <w:right w:val="nil"/>
            </w:tcBorders>
            <w:vAlign w:val="center"/>
            <w:hideMark/>
          </w:tcPr>
          <w:p w14:paraId="2F7D12E1"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2</w:t>
            </w:r>
          </w:p>
        </w:tc>
        <w:tc>
          <w:tcPr>
            <w:tcW w:w="3771" w:type="dxa"/>
            <w:tcBorders>
              <w:top w:val="nil"/>
              <w:left w:val="nil"/>
              <w:bottom w:val="nil"/>
              <w:right w:val="nil"/>
            </w:tcBorders>
            <w:vAlign w:val="center"/>
            <w:hideMark/>
          </w:tcPr>
          <w:p w14:paraId="6C4A070B" w14:textId="3CFF2593" w:rsidR="00B65EDC" w:rsidRPr="004421A9" w:rsidRDefault="00B65EDC" w:rsidP="00CD4E21">
            <w:pPr>
              <w:rPr>
                <w:rFonts w:ascii="Arial Narrow" w:hAnsi="Arial Narrow" w:cs="Arial"/>
                <w:color w:val="000000"/>
              </w:rPr>
            </w:pPr>
            <w:r w:rsidRPr="004421A9">
              <w:rPr>
                <w:rFonts w:ascii="Arial Narrow" w:hAnsi="Arial Narrow" w:cs="Arial"/>
                <w:color w:val="000000"/>
              </w:rPr>
              <w:t>+/(-)</w:t>
            </w:r>
            <w:r w:rsidR="00440345" w:rsidRPr="004421A9">
              <w:rPr>
                <w:rFonts w:ascii="Arial Narrow" w:hAnsi="Arial Narrow" w:cs="Arial"/>
                <w:color w:val="000000"/>
              </w:rPr>
              <w:t xml:space="preserve"> Überweisung von/zu Reserven</w:t>
            </w:r>
          </w:p>
        </w:tc>
        <w:tc>
          <w:tcPr>
            <w:tcW w:w="1793" w:type="dxa"/>
            <w:tcBorders>
              <w:top w:val="nil"/>
              <w:left w:val="nil"/>
              <w:bottom w:val="nil"/>
              <w:right w:val="nil"/>
            </w:tcBorders>
            <w:vAlign w:val="center"/>
          </w:tcPr>
          <w:p w14:paraId="6EFD31DF"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w:t>
            </w:r>
          </w:p>
        </w:tc>
        <w:tc>
          <w:tcPr>
            <w:tcW w:w="1778" w:type="dxa"/>
            <w:tcBorders>
              <w:top w:val="nil"/>
              <w:left w:val="nil"/>
              <w:bottom w:val="nil"/>
              <w:right w:val="nil"/>
            </w:tcBorders>
            <w:vAlign w:val="center"/>
          </w:tcPr>
          <w:p w14:paraId="026F220A"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w:t>
            </w:r>
          </w:p>
        </w:tc>
        <w:tc>
          <w:tcPr>
            <w:tcW w:w="1905" w:type="dxa"/>
            <w:tcBorders>
              <w:top w:val="nil"/>
              <w:left w:val="nil"/>
              <w:bottom w:val="nil"/>
              <w:right w:val="nil"/>
            </w:tcBorders>
            <w:vAlign w:val="center"/>
          </w:tcPr>
          <w:p w14:paraId="7C798E01"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w:t>
            </w:r>
          </w:p>
        </w:tc>
      </w:tr>
      <w:tr w:rsidR="00B65EDC" w:rsidRPr="004421A9" w14:paraId="3C3EBEB5" w14:textId="77777777" w:rsidTr="008B005B">
        <w:trPr>
          <w:trHeight w:val="349"/>
        </w:trPr>
        <w:tc>
          <w:tcPr>
            <w:tcW w:w="482" w:type="dxa"/>
            <w:tcBorders>
              <w:top w:val="single" w:sz="4" w:space="0" w:color="AAB8C4"/>
              <w:left w:val="nil"/>
              <w:bottom w:val="single" w:sz="8" w:space="0" w:color="AAB8C4"/>
              <w:right w:val="nil"/>
            </w:tcBorders>
            <w:vAlign w:val="center"/>
            <w:hideMark/>
          </w:tcPr>
          <w:p w14:paraId="4DA311A0"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3</w:t>
            </w:r>
          </w:p>
        </w:tc>
        <w:tc>
          <w:tcPr>
            <w:tcW w:w="3771" w:type="dxa"/>
            <w:tcBorders>
              <w:top w:val="single" w:sz="4" w:space="0" w:color="AAB8C4"/>
              <w:left w:val="nil"/>
              <w:bottom w:val="single" w:sz="8" w:space="0" w:color="AAB8C4"/>
              <w:right w:val="nil"/>
            </w:tcBorders>
            <w:vAlign w:val="center"/>
            <w:hideMark/>
          </w:tcPr>
          <w:p w14:paraId="03E7F7C0" w14:textId="4029D618" w:rsidR="00B65EDC" w:rsidRPr="004421A9" w:rsidRDefault="007A34DB" w:rsidP="00CD4E21">
            <w:pPr>
              <w:rPr>
                <w:rFonts w:ascii="Arial Narrow" w:hAnsi="Arial Narrow" w:cs="Arial"/>
                <w:color w:val="000000"/>
              </w:rPr>
            </w:pPr>
            <w:r w:rsidRPr="004421A9">
              <w:rPr>
                <w:rFonts w:ascii="Arial Narrow" w:hAnsi="Arial Narrow" w:cs="Arial"/>
                <w:color w:val="000000"/>
              </w:rPr>
              <w:t>Mittel insgesamt</w:t>
            </w:r>
          </w:p>
        </w:tc>
        <w:tc>
          <w:tcPr>
            <w:tcW w:w="1793" w:type="dxa"/>
            <w:tcBorders>
              <w:top w:val="single" w:sz="4" w:space="0" w:color="AAB8C4"/>
              <w:left w:val="nil"/>
              <w:bottom w:val="single" w:sz="8" w:space="0" w:color="AAB8C4"/>
              <w:right w:val="nil"/>
            </w:tcBorders>
            <w:vAlign w:val="center"/>
          </w:tcPr>
          <w:p w14:paraId="7518454E"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7.901</w:t>
            </w:r>
          </w:p>
        </w:tc>
        <w:tc>
          <w:tcPr>
            <w:tcW w:w="1778" w:type="dxa"/>
            <w:tcBorders>
              <w:top w:val="single" w:sz="4" w:space="0" w:color="AAB8C4"/>
              <w:left w:val="nil"/>
              <w:bottom w:val="single" w:sz="8" w:space="0" w:color="AAB8C4"/>
              <w:right w:val="nil"/>
            </w:tcBorders>
            <w:vAlign w:val="center"/>
          </w:tcPr>
          <w:p w14:paraId="3F27C942"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965</w:t>
            </w:r>
          </w:p>
        </w:tc>
        <w:tc>
          <w:tcPr>
            <w:tcW w:w="1905" w:type="dxa"/>
            <w:tcBorders>
              <w:top w:val="single" w:sz="4" w:space="0" w:color="AAB8C4"/>
              <w:left w:val="nil"/>
              <w:bottom w:val="single" w:sz="8" w:space="0" w:color="AAB8C4"/>
              <w:right w:val="nil"/>
            </w:tcBorders>
            <w:vAlign w:val="center"/>
          </w:tcPr>
          <w:p w14:paraId="7460AFA2"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8.867</w:t>
            </w:r>
          </w:p>
        </w:tc>
      </w:tr>
      <w:tr w:rsidR="00B65EDC" w:rsidRPr="004421A9" w14:paraId="249E410D" w14:textId="77777777" w:rsidTr="008B005B">
        <w:trPr>
          <w:trHeight w:val="263"/>
        </w:trPr>
        <w:tc>
          <w:tcPr>
            <w:tcW w:w="482" w:type="dxa"/>
            <w:tcBorders>
              <w:top w:val="nil"/>
              <w:left w:val="nil"/>
              <w:bottom w:val="nil"/>
              <w:right w:val="nil"/>
            </w:tcBorders>
            <w:vAlign w:val="center"/>
            <w:hideMark/>
          </w:tcPr>
          <w:p w14:paraId="4E26EC1C" w14:textId="77777777" w:rsidR="00B65EDC" w:rsidRPr="004421A9" w:rsidRDefault="00B65EDC" w:rsidP="00CD4E21">
            <w:pPr>
              <w:jc w:val="right"/>
              <w:rPr>
                <w:rFonts w:ascii="Arial Narrow" w:hAnsi="Arial Narrow" w:cs="Arial"/>
                <w:color w:val="000000"/>
              </w:rPr>
            </w:pPr>
          </w:p>
        </w:tc>
        <w:tc>
          <w:tcPr>
            <w:tcW w:w="3771" w:type="dxa"/>
            <w:tcBorders>
              <w:top w:val="nil"/>
              <w:left w:val="nil"/>
              <w:bottom w:val="nil"/>
              <w:right w:val="nil"/>
            </w:tcBorders>
            <w:vAlign w:val="center"/>
            <w:hideMark/>
          </w:tcPr>
          <w:p w14:paraId="463CDD84" w14:textId="77777777" w:rsidR="00B65EDC" w:rsidRPr="004421A9" w:rsidRDefault="00B65EDC" w:rsidP="00CD4E21">
            <w:pPr>
              <w:jc w:val="right"/>
              <w:rPr>
                <w:rFonts w:ascii="Times New Roman" w:hAnsi="Times New Roman"/>
              </w:rPr>
            </w:pPr>
          </w:p>
        </w:tc>
        <w:tc>
          <w:tcPr>
            <w:tcW w:w="1793" w:type="dxa"/>
            <w:tcBorders>
              <w:top w:val="nil"/>
              <w:left w:val="nil"/>
              <w:bottom w:val="nil"/>
              <w:right w:val="nil"/>
            </w:tcBorders>
            <w:vAlign w:val="center"/>
          </w:tcPr>
          <w:p w14:paraId="280AE7A6" w14:textId="77777777" w:rsidR="00B65EDC" w:rsidRPr="004421A9" w:rsidRDefault="00B65EDC" w:rsidP="00CD4E21">
            <w:pPr>
              <w:jc w:val="right"/>
              <w:rPr>
                <w:rFonts w:ascii="Times New Roman" w:hAnsi="Times New Roman"/>
              </w:rPr>
            </w:pPr>
          </w:p>
        </w:tc>
        <w:tc>
          <w:tcPr>
            <w:tcW w:w="1778" w:type="dxa"/>
            <w:tcBorders>
              <w:top w:val="nil"/>
              <w:left w:val="nil"/>
              <w:bottom w:val="nil"/>
              <w:right w:val="nil"/>
            </w:tcBorders>
            <w:vAlign w:val="center"/>
          </w:tcPr>
          <w:p w14:paraId="456584DA" w14:textId="77777777" w:rsidR="00B65EDC" w:rsidRPr="004421A9" w:rsidRDefault="00B65EDC" w:rsidP="00CD4E21">
            <w:pPr>
              <w:jc w:val="right"/>
              <w:rPr>
                <w:rFonts w:ascii="Times New Roman" w:hAnsi="Times New Roman"/>
              </w:rPr>
            </w:pPr>
          </w:p>
        </w:tc>
        <w:tc>
          <w:tcPr>
            <w:tcW w:w="1905" w:type="dxa"/>
            <w:tcBorders>
              <w:top w:val="nil"/>
              <w:left w:val="nil"/>
              <w:bottom w:val="nil"/>
              <w:right w:val="nil"/>
            </w:tcBorders>
            <w:vAlign w:val="center"/>
          </w:tcPr>
          <w:p w14:paraId="62A665DA" w14:textId="77777777" w:rsidR="00B65EDC" w:rsidRPr="004421A9" w:rsidRDefault="00B65EDC" w:rsidP="00CD4E21">
            <w:pPr>
              <w:jc w:val="right"/>
              <w:rPr>
                <w:rFonts w:ascii="Times New Roman" w:hAnsi="Times New Roman"/>
              </w:rPr>
            </w:pPr>
          </w:p>
        </w:tc>
      </w:tr>
      <w:tr w:rsidR="00B65EDC" w:rsidRPr="004421A9" w14:paraId="09590297" w14:textId="77777777" w:rsidTr="008B005B">
        <w:trPr>
          <w:trHeight w:val="349"/>
        </w:trPr>
        <w:tc>
          <w:tcPr>
            <w:tcW w:w="4253" w:type="dxa"/>
            <w:gridSpan w:val="2"/>
            <w:tcBorders>
              <w:top w:val="nil"/>
              <w:left w:val="nil"/>
              <w:bottom w:val="nil"/>
              <w:right w:val="nil"/>
            </w:tcBorders>
            <w:vAlign w:val="center"/>
            <w:hideMark/>
          </w:tcPr>
          <w:p w14:paraId="663255EE" w14:textId="7CADCFD7" w:rsidR="00B65EDC" w:rsidRPr="004421A9" w:rsidRDefault="00E05676" w:rsidP="00CD4E21">
            <w:pPr>
              <w:rPr>
                <w:rFonts w:ascii="Arial Narrow" w:hAnsi="Arial Narrow" w:cs="Arial"/>
                <w:b/>
                <w:bCs/>
                <w:color w:val="000000"/>
              </w:rPr>
            </w:pPr>
            <w:r w:rsidRPr="004421A9">
              <w:rPr>
                <w:rFonts w:ascii="Arial Narrow" w:hAnsi="Arial Narrow" w:cs="Arial"/>
                <w:b/>
                <w:bCs/>
                <w:color w:val="000000"/>
              </w:rPr>
              <w:t xml:space="preserve">Mittelverfügbarkeit </w:t>
            </w:r>
            <w:r w:rsidR="00521C0D" w:rsidRPr="004421A9">
              <w:rPr>
                <w:rFonts w:ascii="Arial Narrow" w:hAnsi="Arial Narrow" w:cs="Arial"/>
                <w:b/>
                <w:bCs/>
                <w:color w:val="000000"/>
              </w:rPr>
              <w:t>2026–2027</w:t>
            </w:r>
          </w:p>
        </w:tc>
        <w:tc>
          <w:tcPr>
            <w:tcW w:w="1793" w:type="dxa"/>
            <w:tcBorders>
              <w:top w:val="nil"/>
              <w:left w:val="nil"/>
              <w:bottom w:val="nil"/>
              <w:right w:val="nil"/>
            </w:tcBorders>
            <w:vAlign w:val="center"/>
          </w:tcPr>
          <w:p w14:paraId="34176CDE" w14:textId="77777777" w:rsidR="00B65EDC" w:rsidRPr="004421A9" w:rsidRDefault="00B65EDC" w:rsidP="00CD4E21">
            <w:pPr>
              <w:jc w:val="right"/>
              <w:rPr>
                <w:rFonts w:ascii="Arial Narrow" w:hAnsi="Arial Narrow" w:cs="Arial"/>
                <w:b/>
                <w:bCs/>
                <w:color w:val="000000"/>
              </w:rPr>
            </w:pPr>
          </w:p>
        </w:tc>
        <w:tc>
          <w:tcPr>
            <w:tcW w:w="1778" w:type="dxa"/>
            <w:tcBorders>
              <w:top w:val="nil"/>
              <w:left w:val="nil"/>
              <w:bottom w:val="nil"/>
              <w:right w:val="nil"/>
            </w:tcBorders>
            <w:vAlign w:val="center"/>
          </w:tcPr>
          <w:p w14:paraId="01B85F96" w14:textId="77777777" w:rsidR="00B65EDC" w:rsidRPr="004421A9" w:rsidRDefault="00B65EDC" w:rsidP="00CD4E21">
            <w:pPr>
              <w:jc w:val="right"/>
              <w:rPr>
                <w:rFonts w:ascii="Times New Roman" w:hAnsi="Times New Roman"/>
              </w:rPr>
            </w:pPr>
          </w:p>
        </w:tc>
        <w:tc>
          <w:tcPr>
            <w:tcW w:w="1905" w:type="dxa"/>
            <w:tcBorders>
              <w:top w:val="nil"/>
              <w:left w:val="nil"/>
              <w:bottom w:val="nil"/>
              <w:right w:val="nil"/>
            </w:tcBorders>
            <w:vAlign w:val="center"/>
          </w:tcPr>
          <w:p w14:paraId="1937B64A" w14:textId="77777777" w:rsidR="00B65EDC" w:rsidRPr="004421A9" w:rsidRDefault="00B65EDC" w:rsidP="00CD4E21">
            <w:pPr>
              <w:jc w:val="right"/>
              <w:rPr>
                <w:rFonts w:ascii="Times New Roman" w:hAnsi="Times New Roman"/>
              </w:rPr>
            </w:pPr>
          </w:p>
        </w:tc>
      </w:tr>
      <w:tr w:rsidR="00B65EDC" w:rsidRPr="004421A9" w14:paraId="73196B90" w14:textId="77777777" w:rsidTr="008B005B">
        <w:trPr>
          <w:trHeight w:val="349"/>
        </w:trPr>
        <w:tc>
          <w:tcPr>
            <w:tcW w:w="482" w:type="dxa"/>
            <w:tcBorders>
              <w:top w:val="nil"/>
              <w:left w:val="nil"/>
              <w:bottom w:val="nil"/>
              <w:right w:val="nil"/>
            </w:tcBorders>
            <w:vAlign w:val="center"/>
            <w:hideMark/>
          </w:tcPr>
          <w:p w14:paraId="36C50CD5"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4</w:t>
            </w:r>
          </w:p>
        </w:tc>
        <w:tc>
          <w:tcPr>
            <w:tcW w:w="3771" w:type="dxa"/>
            <w:tcBorders>
              <w:top w:val="nil"/>
              <w:left w:val="nil"/>
              <w:bottom w:val="nil"/>
              <w:right w:val="nil"/>
            </w:tcBorders>
            <w:vAlign w:val="center"/>
            <w:hideMark/>
          </w:tcPr>
          <w:p w14:paraId="408A2723" w14:textId="77777777" w:rsidR="00B65EDC" w:rsidRPr="004421A9" w:rsidRDefault="00B65EDC" w:rsidP="00CD4E21">
            <w:pPr>
              <w:rPr>
                <w:rFonts w:ascii="Arial Narrow" w:hAnsi="Arial Narrow" w:cs="Arial"/>
                <w:color w:val="000000"/>
              </w:rPr>
            </w:pPr>
            <w:r w:rsidRPr="004421A9">
              <w:rPr>
                <w:rFonts w:ascii="Arial Narrow" w:hAnsi="Arial Narrow" w:cs="Arial"/>
                <w:color w:val="000000"/>
              </w:rPr>
              <w:t>Einnahmen</w:t>
            </w:r>
          </w:p>
        </w:tc>
        <w:tc>
          <w:tcPr>
            <w:tcW w:w="1793" w:type="dxa"/>
            <w:tcBorders>
              <w:top w:val="nil"/>
              <w:left w:val="nil"/>
              <w:bottom w:val="nil"/>
              <w:right w:val="nil"/>
            </w:tcBorders>
            <w:vAlign w:val="center"/>
          </w:tcPr>
          <w:p w14:paraId="0F0C48CD" w14:textId="77777777" w:rsidR="00B65EDC" w:rsidRPr="004421A9" w:rsidRDefault="00B65EDC" w:rsidP="00CD4E21">
            <w:pPr>
              <w:jc w:val="right"/>
              <w:rPr>
                <w:rFonts w:ascii="Arial Narrow" w:hAnsi="Arial Narrow" w:cs="Arial"/>
                <w:color w:val="000000"/>
              </w:rPr>
            </w:pPr>
            <w:bookmarkStart w:id="441" w:name="_Hlk190005485"/>
            <w:r w:rsidRPr="004421A9">
              <w:rPr>
                <w:rFonts w:ascii="Arial Narrow" w:hAnsi="Arial Narrow" w:cs="Arial"/>
              </w:rPr>
              <w:t>7.616</w:t>
            </w:r>
            <w:bookmarkEnd w:id="441"/>
          </w:p>
        </w:tc>
        <w:tc>
          <w:tcPr>
            <w:tcW w:w="1778" w:type="dxa"/>
            <w:tcBorders>
              <w:top w:val="nil"/>
              <w:left w:val="nil"/>
              <w:bottom w:val="nil"/>
              <w:right w:val="nil"/>
            </w:tcBorders>
            <w:vAlign w:val="center"/>
          </w:tcPr>
          <w:p w14:paraId="6551A734" w14:textId="77777777" w:rsidR="00B65EDC" w:rsidRPr="004421A9" w:rsidRDefault="00B65EDC" w:rsidP="00CD4E21">
            <w:pPr>
              <w:jc w:val="right"/>
              <w:rPr>
                <w:rFonts w:ascii="Arial Narrow" w:hAnsi="Arial Narrow" w:cs="Arial"/>
                <w:color w:val="000000"/>
              </w:rPr>
            </w:pPr>
            <w:bookmarkStart w:id="442" w:name="_Hlk190005036"/>
            <w:r w:rsidRPr="004421A9">
              <w:rPr>
                <w:rFonts w:ascii="Arial Narrow" w:hAnsi="Arial Narrow" w:cs="Arial"/>
              </w:rPr>
              <w:t>844</w:t>
            </w:r>
            <w:bookmarkEnd w:id="442"/>
          </w:p>
        </w:tc>
        <w:tc>
          <w:tcPr>
            <w:tcW w:w="1905" w:type="dxa"/>
            <w:tcBorders>
              <w:top w:val="nil"/>
              <w:left w:val="nil"/>
              <w:bottom w:val="nil"/>
              <w:right w:val="nil"/>
            </w:tcBorders>
            <w:vAlign w:val="center"/>
          </w:tcPr>
          <w:p w14:paraId="088861B7" w14:textId="77777777" w:rsidR="00B65EDC" w:rsidRPr="004421A9" w:rsidRDefault="00B65EDC" w:rsidP="00CD4E21">
            <w:pPr>
              <w:jc w:val="right"/>
              <w:rPr>
                <w:rFonts w:ascii="Arial Narrow" w:hAnsi="Arial Narrow" w:cs="Arial"/>
                <w:color w:val="000000"/>
              </w:rPr>
            </w:pPr>
            <w:bookmarkStart w:id="443" w:name="_Hlk190004987"/>
            <w:r w:rsidRPr="004421A9">
              <w:rPr>
                <w:rFonts w:ascii="Arial Narrow" w:hAnsi="Arial Narrow" w:cs="Arial"/>
              </w:rPr>
              <w:t>8.460</w:t>
            </w:r>
            <w:bookmarkEnd w:id="443"/>
          </w:p>
        </w:tc>
      </w:tr>
      <w:tr w:rsidR="00B65EDC" w:rsidRPr="004421A9" w14:paraId="538C61A9" w14:textId="77777777" w:rsidTr="008B005B">
        <w:trPr>
          <w:trHeight w:val="349"/>
        </w:trPr>
        <w:tc>
          <w:tcPr>
            <w:tcW w:w="482" w:type="dxa"/>
            <w:tcBorders>
              <w:top w:val="nil"/>
              <w:left w:val="nil"/>
              <w:bottom w:val="nil"/>
              <w:right w:val="nil"/>
            </w:tcBorders>
            <w:vAlign w:val="center"/>
            <w:hideMark/>
          </w:tcPr>
          <w:p w14:paraId="31407B75"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5</w:t>
            </w:r>
          </w:p>
        </w:tc>
        <w:tc>
          <w:tcPr>
            <w:tcW w:w="3771" w:type="dxa"/>
            <w:tcBorders>
              <w:top w:val="nil"/>
              <w:left w:val="nil"/>
              <w:bottom w:val="nil"/>
              <w:right w:val="nil"/>
            </w:tcBorders>
            <w:vAlign w:val="center"/>
            <w:hideMark/>
          </w:tcPr>
          <w:p w14:paraId="11CD12FF" w14:textId="101984D5" w:rsidR="00B65EDC" w:rsidRPr="004421A9" w:rsidRDefault="00B06848" w:rsidP="00CD4E21">
            <w:pPr>
              <w:rPr>
                <w:rFonts w:ascii="Arial Narrow" w:hAnsi="Arial Narrow" w:cs="Arial"/>
                <w:color w:val="000000"/>
              </w:rPr>
            </w:pPr>
            <w:r w:rsidRPr="004421A9">
              <w:rPr>
                <w:rFonts w:ascii="Arial Narrow" w:hAnsi="Arial Narrow" w:cs="Arial"/>
                <w:color w:val="000000"/>
              </w:rPr>
              <w:t>+/(-) Überweisung von/zu Reserven</w:t>
            </w:r>
          </w:p>
        </w:tc>
        <w:tc>
          <w:tcPr>
            <w:tcW w:w="1793" w:type="dxa"/>
            <w:tcBorders>
              <w:top w:val="nil"/>
              <w:left w:val="nil"/>
              <w:bottom w:val="nil"/>
              <w:right w:val="nil"/>
            </w:tcBorders>
            <w:vAlign w:val="center"/>
          </w:tcPr>
          <w:p w14:paraId="035E6BCD" w14:textId="77777777" w:rsidR="00B65EDC" w:rsidRPr="004421A9" w:rsidRDefault="00B65EDC" w:rsidP="00CD4E21">
            <w:pPr>
              <w:jc w:val="right"/>
              <w:rPr>
                <w:rFonts w:ascii="Arial Narrow" w:hAnsi="Arial Narrow" w:cs="Arial"/>
                <w:color w:val="000000"/>
              </w:rPr>
            </w:pPr>
            <w:r w:rsidRPr="004421A9">
              <w:rPr>
                <w:rFonts w:ascii="Arial Narrow" w:hAnsi="Arial Narrow" w:cs="Arial"/>
              </w:rPr>
              <w:t>-</w:t>
            </w:r>
          </w:p>
        </w:tc>
        <w:tc>
          <w:tcPr>
            <w:tcW w:w="1778" w:type="dxa"/>
            <w:tcBorders>
              <w:top w:val="nil"/>
              <w:left w:val="nil"/>
              <w:bottom w:val="nil"/>
              <w:right w:val="nil"/>
            </w:tcBorders>
            <w:vAlign w:val="center"/>
          </w:tcPr>
          <w:p w14:paraId="585A3C90" w14:textId="77777777" w:rsidR="00B65EDC" w:rsidRPr="004421A9" w:rsidRDefault="00B65EDC" w:rsidP="00CD4E21">
            <w:pPr>
              <w:jc w:val="right"/>
              <w:rPr>
                <w:rFonts w:ascii="Arial Narrow" w:hAnsi="Arial Narrow" w:cs="Arial"/>
                <w:color w:val="000000"/>
              </w:rPr>
            </w:pPr>
            <w:r w:rsidRPr="004421A9">
              <w:rPr>
                <w:rFonts w:ascii="Arial Narrow" w:hAnsi="Arial Narrow" w:cs="Arial"/>
              </w:rPr>
              <w:t>-</w:t>
            </w:r>
          </w:p>
        </w:tc>
        <w:tc>
          <w:tcPr>
            <w:tcW w:w="1905" w:type="dxa"/>
            <w:tcBorders>
              <w:top w:val="nil"/>
              <w:left w:val="nil"/>
              <w:bottom w:val="nil"/>
              <w:right w:val="nil"/>
            </w:tcBorders>
            <w:vAlign w:val="center"/>
          </w:tcPr>
          <w:p w14:paraId="18D236C8" w14:textId="77777777" w:rsidR="00B65EDC" w:rsidRPr="004421A9" w:rsidRDefault="00B65EDC" w:rsidP="00CD4E21">
            <w:pPr>
              <w:jc w:val="right"/>
              <w:rPr>
                <w:rFonts w:ascii="Arial Narrow" w:hAnsi="Arial Narrow" w:cs="Arial"/>
                <w:color w:val="000000"/>
              </w:rPr>
            </w:pPr>
            <w:r w:rsidRPr="004421A9">
              <w:rPr>
                <w:rFonts w:ascii="Arial Narrow" w:hAnsi="Arial Narrow" w:cs="Arial"/>
              </w:rPr>
              <w:t>-</w:t>
            </w:r>
          </w:p>
        </w:tc>
      </w:tr>
      <w:tr w:rsidR="00B65EDC" w:rsidRPr="004421A9" w14:paraId="63DF9610" w14:textId="77777777" w:rsidTr="008B005B">
        <w:trPr>
          <w:trHeight w:val="379"/>
        </w:trPr>
        <w:tc>
          <w:tcPr>
            <w:tcW w:w="482" w:type="dxa"/>
            <w:tcBorders>
              <w:top w:val="single" w:sz="4" w:space="0" w:color="AAB8C4"/>
              <w:left w:val="nil"/>
              <w:bottom w:val="single" w:sz="8" w:space="0" w:color="AAB8C4"/>
              <w:right w:val="nil"/>
            </w:tcBorders>
            <w:vAlign w:val="center"/>
            <w:hideMark/>
          </w:tcPr>
          <w:p w14:paraId="4B8B636A"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6</w:t>
            </w:r>
          </w:p>
        </w:tc>
        <w:tc>
          <w:tcPr>
            <w:tcW w:w="3771" w:type="dxa"/>
            <w:tcBorders>
              <w:top w:val="single" w:sz="4" w:space="0" w:color="AAB8C4"/>
              <w:left w:val="nil"/>
              <w:bottom w:val="single" w:sz="8" w:space="0" w:color="AAB8C4"/>
              <w:right w:val="nil"/>
            </w:tcBorders>
            <w:vAlign w:val="center"/>
            <w:hideMark/>
          </w:tcPr>
          <w:p w14:paraId="3D71BD3D" w14:textId="03CC1BDC" w:rsidR="00B65EDC" w:rsidRPr="004421A9" w:rsidRDefault="00F72FCA" w:rsidP="00CD4E21">
            <w:pPr>
              <w:rPr>
                <w:rFonts w:ascii="Arial Narrow" w:hAnsi="Arial Narrow" w:cs="Arial"/>
                <w:b/>
                <w:bCs/>
                <w:color w:val="000000"/>
              </w:rPr>
            </w:pPr>
            <w:r w:rsidRPr="004421A9">
              <w:rPr>
                <w:rFonts w:ascii="Arial Narrow" w:hAnsi="Arial Narrow" w:cs="Arial"/>
                <w:b/>
                <w:bCs/>
                <w:color w:val="000000"/>
              </w:rPr>
              <w:t>Mittel insgesamt</w:t>
            </w:r>
          </w:p>
        </w:tc>
        <w:tc>
          <w:tcPr>
            <w:tcW w:w="1793" w:type="dxa"/>
            <w:tcBorders>
              <w:top w:val="single" w:sz="4" w:space="0" w:color="AAB8C4"/>
              <w:left w:val="nil"/>
              <w:bottom w:val="single" w:sz="8" w:space="0" w:color="AAB8C4"/>
              <w:right w:val="nil"/>
            </w:tcBorders>
            <w:vAlign w:val="center"/>
          </w:tcPr>
          <w:p w14:paraId="4F759DEF"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 xml:space="preserve">7.616 </w:t>
            </w:r>
          </w:p>
        </w:tc>
        <w:tc>
          <w:tcPr>
            <w:tcW w:w="1778" w:type="dxa"/>
            <w:tcBorders>
              <w:top w:val="single" w:sz="4" w:space="0" w:color="AAB8C4"/>
              <w:left w:val="nil"/>
              <w:bottom w:val="single" w:sz="8" w:space="0" w:color="AAB8C4"/>
              <w:right w:val="nil"/>
            </w:tcBorders>
            <w:vAlign w:val="center"/>
          </w:tcPr>
          <w:p w14:paraId="6E38AC51"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 xml:space="preserve">844 </w:t>
            </w:r>
          </w:p>
        </w:tc>
        <w:tc>
          <w:tcPr>
            <w:tcW w:w="1905" w:type="dxa"/>
            <w:tcBorders>
              <w:top w:val="single" w:sz="4" w:space="0" w:color="AAB8C4"/>
              <w:left w:val="nil"/>
              <w:bottom w:val="single" w:sz="8" w:space="0" w:color="AAB8C4"/>
              <w:right w:val="nil"/>
            </w:tcBorders>
            <w:vAlign w:val="center"/>
          </w:tcPr>
          <w:p w14:paraId="0F379F1B"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 xml:space="preserve">8.460 </w:t>
            </w:r>
          </w:p>
        </w:tc>
      </w:tr>
      <w:tr w:rsidR="00B65EDC" w:rsidRPr="004421A9" w14:paraId="4FD53A27" w14:textId="77777777" w:rsidTr="008B005B">
        <w:trPr>
          <w:trHeight w:val="334"/>
        </w:trPr>
        <w:tc>
          <w:tcPr>
            <w:tcW w:w="482" w:type="dxa"/>
            <w:tcBorders>
              <w:top w:val="nil"/>
              <w:left w:val="nil"/>
              <w:bottom w:val="nil"/>
              <w:right w:val="nil"/>
            </w:tcBorders>
            <w:hideMark/>
          </w:tcPr>
          <w:p w14:paraId="138CDA0D" w14:textId="77777777" w:rsidR="00B65EDC" w:rsidRPr="004421A9" w:rsidRDefault="00B65EDC" w:rsidP="00CD4E21">
            <w:pPr>
              <w:jc w:val="right"/>
              <w:rPr>
                <w:rFonts w:ascii="Arial Narrow" w:hAnsi="Arial Narrow" w:cs="Arial"/>
                <w:b/>
                <w:bCs/>
                <w:color w:val="000000"/>
              </w:rPr>
            </w:pPr>
          </w:p>
        </w:tc>
        <w:tc>
          <w:tcPr>
            <w:tcW w:w="3771" w:type="dxa"/>
            <w:tcBorders>
              <w:top w:val="nil"/>
              <w:left w:val="nil"/>
              <w:bottom w:val="nil"/>
              <w:right w:val="nil"/>
            </w:tcBorders>
            <w:vAlign w:val="center"/>
            <w:hideMark/>
          </w:tcPr>
          <w:p w14:paraId="1D95F054" w14:textId="77777777" w:rsidR="00B65EDC" w:rsidRPr="004421A9" w:rsidRDefault="00B65EDC" w:rsidP="00CD4E21">
            <w:pPr>
              <w:rPr>
                <w:rFonts w:ascii="Arial Narrow" w:hAnsi="Arial Narrow" w:cs="Arial"/>
                <w:i/>
                <w:iCs/>
                <w:color w:val="000000"/>
              </w:rPr>
            </w:pPr>
            <w:r w:rsidRPr="004421A9">
              <w:rPr>
                <w:rFonts w:ascii="Arial Narrow" w:hAnsi="Arial Narrow" w:cs="Arial"/>
                <w:i/>
                <w:iCs/>
                <w:color w:val="000000"/>
              </w:rPr>
              <w:t>Veränderung</w:t>
            </w:r>
          </w:p>
        </w:tc>
        <w:tc>
          <w:tcPr>
            <w:tcW w:w="1793" w:type="dxa"/>
            <w:tcBorders>
              <w:top w:val="nil"/>
              <w:left w:val="nil"/>
              <w:bottom w:val="nil"/>
              <w:right w:val="nil"/>
            </w:tcBorders>
            <w:vAlign w:val="center"/>
          </w:tcPr>
          <w:p w14:paraId="1C31848F" w14:textId="67D9AE3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-3,6</w:t>
            </w:r>
            <w:r w:rsidR="002E6411" w:rsidRPr="004421A9">
              <w:rPr>
                <w:rFonts w:ascii="Arial Narrow" w:hAnsi="Arial Narrow" w:cs="Arial"/>
                <w:i/>
                <w:iCs/>
                <w:color w:val="000000"/>
              </w:rPr>
              <w:t xml:space="preserve"> %</w:t>
            </w:r>
          </w:p>
        </w:tc>
        <w:tc>
          <w:tcPr>
            <w:tcW w:w="1778" w:type="dxa"/>
            <w:tcBorders>
              <w:top w:val="nil"/>
              <w:left w:val="nil"/>
              <w:bottom w:val="nil"/>
              <w:right w:val="nil"/>
            </w:tcBorders>
            <w:vAlign w:val="center"/>
          </w:tcPr>
          <w:p w14:paraId="32B724B6" w14:textId="77777777" w:rsidR="00B65EDC" w:rsidRPr="004421A9" w:rsidRDefault="00B65EDC" w:rsidP="00CD4E21">
            <w:pPr>
              <w:jc w:val="right"/>
              <w:rPr>
                <w:rFonts w:ascii="Arial Narrow" w:hAnsi="Arial Narrow" w:cs="Arial"/>
                <w:i/>
                <w:iCs/>
                <w:color w:val="000000"/>
              </w:rPr>
            </w:pPr>
          </w:p>
        </w:tc>
        <w:tc>
          <w:tcPr>
            <w:tcW w:w="1905" w:type="dxa"/>
            <w:tcBorders>
              <w:top w:val="nil"/>
              <w:left w:val="nil"/>
              <w:bottom w:val="nil"/>
              <w:right w:val="nil"/>
            </w:tcBorders>
            <w:vAlign w:val="center"/>
          </w:tcPr>
          <w:p w14:paraId="37082DE3" w14:textId="7A829D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-4,6</w:t>
            </w:r>
            <w:r w:rsidR="002E6411" w:rsidRPr="004421A9">
              <w:rPr>
                <w:rFonts w:ascii="Arial Narrow" w:hAnsi="Arial Narrow" w:cs="Arial"/>
                <w:i/>
                <w:iCs/>
                <w:color w:val="000000"/>
              </w:rPr>
              <w:t xml:space="preserve"> %</w:t>
            </w:r>
          </w:p>
        </w:tc>
      </w:tr>
    </w:tbl>
    <w:p w14:paraId="4224B818" w14:textId="0084A3B5" w:rsidR="00B65EDC" w:rsidRPr="004421A9" w:rsidRDefault="00B65EDC" w:rsidP="00B65EDC">
      <w:pPr>
        <w:tabs>
          <w:tab w:val="left" w:pos="284"/>
        </w:tabs>
        <w:spacing w:before="120"/>
        <w:rPr>
          <w:i/>
          <w:iCs/>
          <w:sz w:val="16"/>
        </w:rPr>
      </w:pPr>
      <w:r w:rsidRPr="004421A9">
        <w:rPr>
          <w:i/>
          <w:iCs/>
          <w:sz w:val="16"/>
        </w:rPr>
        <w:t xml:space="preserve">* </w:t>
      </w:r>
      <w:r w:rsidR="001F2C4A" w:rsidRPr="004421A9">
        <w:rPr>
          <w:i/>
          <w:iCs/>
          <w:sz w:val="16"/>
        </w:rPr>
        <w:t>Ohne 13</w:t>
      </w:r>
      <w:r w:rsidR="001A378D" w:rsidRPr="004421A9">
        <w:rPr>
          <w:i/>
          <w:iCs/>
          <w:sz w:val="16"/>
        </w:rPr>
        <w:t xml:space="preserve"> </w:t>
      </w:r>
      <w:r w:rsidR="001F2C4A" w:rsidRPr="004421A9">
        <w:rPr>
          <w:i/>
          <w:iCs/>
          <w:sz w:val="16"/>
        </w:rPr>
        <w:t>% Kosten für administrative Unterstützung aus Treuhandgeldern (FITs</w:t>
      </w:r>
      <w:r w:rsidRPr="004421A9">
        <w:rPr>
          <w:i/>
          <w:iCs/>
          <w:sz w:val="16"/>
        </w:rPr>
        <w:t>).</w:t>
      </w:r>
    </w:p>
    <w:p w14:paraId="15B746F7" w14:textId="77777777" w:rsidR="00B65EDC" w:rsidRPr="004421A9" w:rsidRDefault="00B65EDC" w:rsidP="00B65EDC"/>
    <w:p w14:paraId="7346CF66" w14:textId="77777777" w:rsidR="00B65EDC" w:rsidRPr="004421A9" w:rsidRDefault="00B65EDC" w:rsidP="00B65EDC">
      <w:pPr>
        <w:pStyle w:val="Heading3"/>
        <w:rPr>
          <w:lang w:val="de-DE"/>
        </w:rPr>
      </w:pPr>
      <w:bookmarkStart w:id="444" w:name="_Toc210041695"/>
      <w:r w:rsidRPr="004421A9">
        <w:rPr>
          <w:lang w:val="de-DE"/>
        </w:rPr>
        <w:lastRenderedPageBreak/>
        <w:t>Ausgaben</w:t>
      </w:r>
      <w:bookmarkEnd w:id="444"/>
    </w:p>
    <w:p w14:paraId="7E8F5EA8" w14:textId="77777777" w:rsidR="00B65EDC" w:rsidRPr="004421A9" w:rsidRDefault="00B65EDC" w:rsidP="00834A1F">
      <w:pPr>
        <w:keepNext/>
      </w:pPr>
    </w:p>
    <w:p w14:paraId="2ED12079" w14:textId="5D8F364C" w:rsidR="00956C95" w:rsidRPr="004421A9" w:rsidRDefault="00CD03F7" w:rsidP="00956C95">
      <w:pPr>
        <w:tabs>
          <w:tab w:val="left" w:pos="567"/>
        </w:tabs>
      </w:pPr>
      <w:r w:rsidRPr="004421A9">
        <w:fldChar w:fldCharType="begin"/>
      </w:r>
      <w:r w:rsidRPr="004421A9">
        <w:instrText xml:space="preserve"> AUTONUM  </w:instrText>
      </w:r>
      <w:r w:rsidRPr="004421A9">
        <w:fldChar w:fldCharType="end"/>
      </w:r>
      <w:r w:rsidR="00B65EDC" w:rsidRPr="004421A9">
        <w:tab/>
      </w:r>
      <w:r w:rsidR="00956C95" w:rsidRPr="004421A9">
        <w:t>Der vorgeschlagene Haushaltsplan für 2026-2027 beläuft sich auf 7.615.864 Schweizer Franken, was einem Rückgang von 285.443 Schweizer Franken bzw. 3,6 Prozent gegenüber dem Haushaltsplan für 2024</w:t>
      </w:r>
      <w:r w:rsidR="00E45634">
        <w:noBreakHyphen/>
      </w:r>
      <w:r w:rsidR="00956C95" w:rsidRPr="004421A9">
        <w:t>2025 entspricht (vergleiche Tabelle 4).</w:t>
      </w:r>
    </w:p>
    <w:p w14:paraId="27D79966" w14:textId="77777777" w:rsidR="00956C95" w:rsidRPr="004421A9" w:rsidRDefault="00956C95" w:rsidP="00956C95">
      <w:pPr>
        <w:tabs>
          <w:tab w:val="left" w:pos="567"/>
        </w:tabs>
      </w:pPr>
    </w:p>
    <w:p w14:paraId="1524B6EC" w14:textId="735B3D0A" w:rsidR="00956C95" w:rsidRPr="004421A9" w:rsidRDefault="00A00071" w:rsidP="00956C95">
      <w:pPr>
        <w:tabs>
          <w:tab w:val="left" w:pos="567"/>
        </w:tabs>
      </w:pPr>
      <w:r w:rsidRPr="004421A9">
        <w:fldChar w:fldCharType="begin"/>
      </w:r>
      <w:r w:rsidRPr="004421A9">
        <w:instrText xml:space="preserve"> AUTONUM  </w:instrText>
      </w:r>
      <w:r w:rsidRPr="004421A9">
        <w:fldChar w:fldCharType="end"/>
      </w:r>
      <w:r w:rsidR="00956C95" w:rsidRPr="004421A9">
        <w:tab/>
        <w:t>Die vorgeschlagenen Ausgaben konzentrieren sich auf vorrangige Bereiche und halten gleichzeitig die Personalkosten</w:t>
      </w:r>
      <w:r w:rsidR="0076354D" w:rsidRPr="004421A9">
        <w:t xml:space="preserve"> </w:t>
      </w:r>
      <w:r w:rsidR="002A596F" w:rsidRPr="004421A9">
        <w:t>und Betriebskosten</w:t>
      </w:r>
      <w:r w:rsidR="00956C95" w:rsidRPr="004421A9">
        <w:t xml:space="preserve"> in Grenzen. </w:t>
      </w:r>
      <w:r w:rsidR="002A596F" w:rsidRPr="004421A9">
        <w:t>Durch den routinemäßigen Einsatz maschinelle</w:t>
      </w:r>
      <w:r w:rsidR="005E738B" w:rsidRPr="004421A9">
        <w:t>r</w:t>
      </w:r>
      <w:r w:rsidR="002A596F" w:rsidRPr="004421A9">
        <w:t xml:space="preserve"> Übersetzungstechnologie</w:t>
      </w:r>
      <w:r w:rsidR="004C71EF">
        <w:t>n</w:t>
      </w:r>
      <w:r w:rsidR="002A596F" w:rsidRPr="004421A9">
        <w:t xml:space="preserve"> für die Übersetzung von Dokumenten konnten die Übersetzungskosten um 68</w:t>
      </w:r>
      <w:r w:rsidR="00E45634">
        <w:t> </w:t>
      </w:r>
      <w:r w:rsidR="002A596F" w:rsidRPr="004421A9">
        <w:t xml:space="preserve">Prozent gesenkt werden. </w:t>
      </w:r>
      <w:r w:rsidR="00956C95" w:rsidRPr="004421A9">
        <w:t>Bis zusätzliche Mittel bereitgestellt werden können, werden verstärkt virtuelle/hybride Sitzungsinstrumente und die Online-Teilnahme an von Dritten organisierten Veranstaltungen eingesetzt, was zu einer Verringerung der Reisezeit und der Reisekosten führen wird (31</w:t>
      </w:r>
      <w:r w:rsidR="00E45634">
        <w:t> Prozent</w:t>
      </w:r>
      <w:r w:rsidR="00956C95" w:rsidRPr="004421A9">
        <w:t xml:space="preserve"> weniger in den Jahren 2026-2027 im Vergleich zu 2024-2025).</w:t>
      </w:r>
    </w:p>
    <w:p w14:paraId="0E10E6CC" w14:textId="77777777" w:rsidR="00025A2E" w:rsidRPr="004421A9" w:rsidRDefault="00025A2E" w:rsidP="00956C95">
      <w:pPr>
        <w:tabs>
          <w:tab w:val="left" w:pos="567"/>
        </w:tabs>
      </w:pPr>
    </w:p>
    <w:p w14:paraId="6BD74A01" w14:textId="141F6268" w:rsidR="00F261FC" w:rsidRDefault="00E25EC6" w:rsidP="00956C95">
      <w:pPr>
        <w:tabs>
          <w:tab w:val="left" w:pos="567"/>
        </w:tabs>
      </w:pPr>
      <w:r w:rsidRPr="004421A9">
        <w:fldChar w:fldCharType="begin"/>
      </w:r>
      <w:r w:rsidRPr="004421A9">
        <w:instrText xml:space="preserve"> AUTONUM  </w:instrText>
      </w:r>
      <w:r w:rsidRPr="004421A9">
        <w:fldChar w:fldCharType="end"/>
      </w:r>
      <w:r w:rsidR="00D164DE">
        <w:tab/>
      </w:r>
      <w:r w:rsidR="002473EA" w:rsidRPr="004421A9">
        <w:t xml:space="preserve">Die Überprüfung der </w:t>
      </w:r>
      <w:r w:rsidR="00D164DE" w:rsidRPr="004421A9">
        <w:t xml:space="preserve">Vereinbarung auf Arbeitsebene („Service Level Arrangement" SLA) </w:t>
      </w:r>
      <w:r w:rsidR="002473EA" w:rsidRPr="004421A9">
        <w:t xml:space="preserve">zwischen der WIPO und der UPOV im Jahr 2025 hat zu einer Erhöhung der Kosten für die von der WIPO für die UPOV erbrachten Dienstleistungen um 368.054 Schweizer Franken für die Rechnungsperiode 2026-2027 geführt. Angesichts der Auswirkungen, die diese erhebliche Erhöhung auf den Haushalt der UPOV haben würde, wird die Rechnungsperiode 2026-2027 eine Übergangsphase darstellen, in der die WIPO 25 Prozent der Erhöhung, d. h. 92.014 Schweizer Franken, in Rechnung stellen wird. Dieser Betrag ist in den Zahlen des Entwurfs </w:t>
      </w:r>
      <w:r w:rsidR="002C2F9F" w:rsidRPr="004421A9">
        <w:t>eines</w:t>
      </w:r>
      <w:r w:rsidR="002473EA" w:rsidRPr="004421A9">
        <w:t xml:space="preserve"> Programms und Haushaltsplans für 2026-2027 (Dokument C/59/4) nicht enthalten und wird durch Kosteneinsparungen, die während der Umsetzung ermittelt werden, aufgefangen</w:t>
      </w:r>
      <w:r w:rsidR="00B65EDC" w:rsidRPr="004421A9">
        <w:t>.</w:t>
      </w:r>
      <w:r w:rsidR="00640924" w:rsidRPr="004421A9">
        <w:t xml:space="preserve"> </w:t>
      </w:r>
    </w:p>
    <w:p w14:paraId="4582C351" w14:textId="77777777" w:rsidR="005D48D6" w:rsidRDefault="005D48D6" w:rsidP="00956C95">
      <w:pPr>
        <w:tabs>
          <w:tab w:val="left" w:pos="567"/>
        </w:tabs>
      </w:pPr>
    </w:p>
    <w:p w14:paraId="66319BFC" w14:textId="7B02402A" w:rsidR="005D48D6" w:rsidRPr="00AF53C3" w:rsidRDefault="005D48D6" w:rsidP="005D48D6">
      <w:r>
        <w:fldChar w:fldCharType="begin"/>
      </w:r>
      <w:r w:rsidRPr="00AF53C3">
        <w:instrText xml:space="preserve"> AUTONUM  </w:instrText>
      </w:r>
      <w:r>
        <w:fldChar w:fldCharType="end"/>
      </w:r>
      <w:r w:rsidRPr="00AF53C3">
        <w:tab/>
      </w:r>
      <w:r w:rsidR="00AF53C3" w:rsidRPr="004421A9">
        <w:t>Die von der WIPO erbrachten Dienstleistungen und der von der UPOV im Rahmen de</w:t>
      </w:r>
      <w:r w:rsidR="00AF53C3">
        <w:t>r</w:t>
      </w:r>
      <w:r w:rsidR="00AF53C3" w:rsidRPr="004421A9">
        <w:t xml:space="preserve"> SLA zu zahlende Betrag werden im Rahmen der Vorbereitung jedes zweijährigen Programms und Haushaltsplans der UPOV überprüft. Die Rechnungsstellung der WIPO an die UPOV wird alle zwei Jahre entsprechend angepasst. Die</w:t>
      </w:r>
      <w:r w:rsidR="00F61200">
        <w:t> </w:t>
      </w:r>
      <w:r w:rsidR="00AF53C3" w:rsidRPr="004421A9">
        <w:t>Ressourcenstrategie der UPOV (C/59/16) ist von entscheidender Bedeutung, um sicherzustellen, dass die UPOV die gesamten Kosten der von der WIPO in den folgenden Rechnungsperioden erbrachten Dienstleistungen decken kann</w:t>
      </w:r>
      <w:r w:rsidRPr="00AF53C3">
        <w:t xml:space="preserve">. </w:t>
      </w:r>
    </w:p>
    <w:p w14:paraId="40F9A1CB" w14:textId="77777777" w:rsidR="005D48D6" w:rsidRPr="00AF53C3" w:rsidRDefault="005D48D6" w:rsidP="00956C95">
      <w:pPr>
        <w:tabs>
          <w:tab w:val="left" w:pos="567"/>
        </w:tabs>
      </w:pPr>
    </w:p>
    <w:p w14:paraId="31009965" w14:textId="77777777" w:rsidR="008B0542" w:rsidRPr="004421A9" w:rsidRDefault="008B0542" w:rsidP="00956C95">
      <w:pPr>
        <w:tabs>
          <w:tab w:val="left" w:pos="567"/>
        </w:tabs>
      </w:pPr>
    </w:p>
    <w:p w14:paraId="299488F2" w14:textId="77777777" w:rsidR="008B0542" w:rsidRPr="004421A9" w:rsidRDefault="008B0542" w:rsidP="00956C95">
      <w:pPr>
        <w:tabs>
          <w:tab w:val="left" w:pos="567"/>
        </w:tabs>
      </w:pPr>
    </w:p>
    <w:p w14:paraId="4D1DE9BD" w14:textId="77777777" w:rsidR="00F261FC" w:rsidRPr="004421A9" w:rsidRDefault="00F261FC">
      <w:pPr>
        <w:jc w:val="left"/>
      </w:pPr>
      <w:r w:rsidRPr="004421A9">
        <w:br w:type="page"/>
      </w:r>
    </w:p>
    <w:p w14:paraId="3D3EF8D5" w14:textId="77777777" w:rsidR="00B65EDC" w:rsidRPr="004421A9" w:rsidRDefault="00B65EDC" w:rsidP="00B65EDC"/>
    <w:p w14:paraId="33DCCF95" w14:textId="0FECB453" w:rsidR="00B65EDC" w:rsidRPr="004421A9" w:rsidRDefault="00B65EDC" w:rsidP="00B65EDC">
      <w:pPr>
        <w:keepNext/>
        <w:jc w:val="center"/>
        <w:rPr>
          <w:rFonts w:cs="Arial"/>
          <w:b/>
          <w:bCs/>
          <w:color w:val="26724C" w:themeColor="accent1" w:themeShade="BF"/>
        </w:rPr>
      </w:pPr>
      <w:r w:rsidRPr="004421A9">
        <w:rPr>
          <w:rFonts w:cs="Arial"/>
          <w:b/>
          <w:bCs/>
          <w:color w:val="26724C" w:themeColor="accent1" w:themeShade="BF"/>
        </w:rPr>
        <w:t>Tabelle 4:</w:t>
      </w:r>
      <w:r w:rsidR="00877E3D" w:rsidRPr="004421A9">
        <w:rPr>
          <w:rFonts w:cs="Arial"/>
          <w:b/>
          <w:bCs/>
          <w:color w:val="26724C" w:themeColor="accent1" w:themeShade="BF"/>
        </w:rPr>
        <w:t xml:space="preserve"> </w:t>
      </w:r>
      <w:r w:rsidR="00B65CA9" w:rsidRPr="004421A9">
        <w:rPr>
          <w:rFonts w:cs="Arial"/>
          <w:b/>
          <w:bCs/>
          <w:color w:val="26724C" w:themeColor="accent1" w:themeShade="BF"/>
        </w:rPr>
        <w:t>Vorgeschlagener</w:t>
      </w:r>
      <w:r w:rsidRPr="004421A9">
        <w:rPr>
          <w:rFonts w:cs="Arial"/>
          <w:b/>
          <w:bCs/>
          <w:color w:val="26724C" w:themeColor="accent1" w:themeShade="BF"/>
        </w:rPr>
        <w:t xml:space="preserve"> Haushaltsplans</w:t>
      </w:r>
      <w:r w:rsidR="00521C0D" w:rsidRPr="004421A9">
        <w:rPr>
          <w:rFonts w:cs="Arial"/>
          <w:b/>
          <w:bCs/>
          <w:color w:val="26724C" w:themeColor="accent1" w:themeShade="BF"/>
        </w:rPr>
        <w:t xml:space="preserve"> 2026-2027</w:t>
      </w:r>
      <w:r w:rsidRPr="004421A9">
        <w:rPr>
          <w:rFonts w:cs="Arial"/>
          <w:b/>
          <w:bCs/>
          <w:color w:val="26724C" w:themeColor="accent1" w:themeShade="BF"/>
        </w:rPr>
        <w:t>:</w:t>
      </w:r>
      <w:r w:rsidR="00877E3D" w:rsidRPr="004421A9">
        <w:rPr>
          <w:rFonts w:cs="Arial"/>
          <w:b/>
          <w:bCs/>
          <w:color w:val="26724C" w:themeColor="accent1" w:themeShade="BF"/>
        </w:rPr>
        <w:t xml:space="preserve"> </w:t>
      </w:r>
      <w:r w:rsidRPr="004421A9">
        <w:rPr>
          <w:rFonts w:cs="Arial"/>
          <w:b/>
          <w:bCs/>
          <w:color w:val="26724C" w:themeColor="accent1" w:themeShade="BF"/>
        </w:rPr>
        <w:t>Haushalt nach Kostenkategorie</w:t>
      </w:r>
    </w:p>
    <w:p w14:paraId="3914568E" w14:textId="226AF5F5" w:rsidR="00B65EDC" w:rsidRPr="004421A9" w:rsidRDefault="00B65EDC" w:rsidP="00B65EDC">
      <w:pPr>
        <w:keepNext/>
        <w:jc w:val="center"/>
        <w:rPr>
          <w:rFonts w:cs="Arial"/>
          <w:i/>
          <w:iCs/>
          <w:sz w:val="18"/>
          <w:szCs w:val="18"/>
        </w:rPr>
      </w:pPr>
      <w:r w:rsidRPr="004421A9">
        <w:rPr>
          <w:rFonts w:cs="Arial"/>
          <w:i/>
          <w:iCs/>
          <w:sz w:val="18"/>
          <w:szCs w:val="18"/>
        </w:rPr>
        <w:t>(</w:t>
      </w:r>
      <w:r w:rsidR="008166F5" w:rsidRPr="004421A9">
        <w:rPr>
          <w:rFonts w:cs="Arial"/>
          <w:i/>
          <w:iCs/>
          <w:sz w:val="18"/>
          <w:szCs w:val="18"/>
        </w:rPr>
        <w:t>in tausend Schweizer Franken</w:t>
      </w:r>
      <w:r w:rsidRPr="004421A9">
        <w:rPr>
          <w:rFonts w:cs="Arial"/>
          <w:i/>
          <w:iCs/>
          <w:sz w:val="18"/>
          <w:szCs w:val="18"/>
        </w:rPr>
        <w:t>)</w:t>
      </w:r>
    </w:p>
    <w:p w14:paraId="5C494DBE" w14:textId="77777777" w:rsidR="00B65EDC" w:rsidRPr="004421A9" w:rsidRDefault="00B65EDC" w:rsidP="00B65EDC">
      <w:pPr>
        <w:keepNext/>
        <w:rPr>
          <w:rFonts w:cs="Arial"/>
          <w:i/>
          <w:iCs/>
        </w:rPr>
      </w:pPr>
    </w:p>
    <w:tbl>
      <w:tblPr>
        <w:tblW w:w="9183" w:type="dxa"/>
        <w:jc w:val="center"/>
        <w:tblLook w:val="04A0" w:firstRow="1" w:lastRow="0" w:firstColumn="1" w:lastColumn="0" w:noHBand="0" w:noVBand="1"/>
      </w:tblPr>
      <w:tblGrid>
        <w:gridCol w:w="419"/>
        <w:gridCol w:w="3123"/>
        <w:gridCol w:w="1142"/>
        <w:gridCol w:w="1225"/>
        <w:gridCol w:w="933"/>
        <w:gridCol w:w="1123"/>
        <w:gridCol w:w="1218"/>
      </w:tblGrid>
      <w:tr w:rsidR="00B65EDC" w:rsidRPr="004421A9" w14:paraId="7DF868BE" w14:textId="77777777" w:rsidTr="007D74F3">
        <w:trPr>
          <w:trHeight w:val="543"/>
          <w:jc w:val="center"/>
        </w:trPr>
        <w:tc>
          <w:tcPr>
            <w:tcW w:w="419" w:type="dxa"/>
            <w:vMerge w:val="restart"/>
            <w:tcBorders>
              <w:top w:val="nil"/>
              <w:left w:val="nil"/>
              <w:bottom w:val="single" w:sz="4" w:space="0" w:color="BFBFBF"/>
              <w:right w:val="nil"/>
            </w:tcBorders>
            <w:shd w:val="clear" w:color="000000" w:fill="C7CFD8"/>
            <w:vAlign w:val="bottom"/>
            <w:hideMark/>
          </w:tcPr>
          <w:p w14:paraId="033848CB" w14:textId="77777777" w:rsidR="00B65EDC" w:rsidRPr="004421A9" w:rsidRDefault="00B65EDC" w:rsidP="00CD4E21">
            <w:pPr>
              <w:jc w:val="center"/>
              <w:rPr>
                <w:rFonts w:cs="Arial"/>
                <w:b/>
                <w:bCs/>
              </w:rPr>
            </w:pPr>
          </w:p>
        </w:tc>
        <w:tc>
          <w:tcPr>
            <w:tcW w:w="3123" w:type="dxa"/>
            <w:vMerge w:val="restart"/>
            <w:tcBorders>
              <w:top w:val="nil"/>
              <w:left w:val="nil"/>
              <w:bottom w:val="single" w:sz="4" w:space="0" w:color="BFBFBF"/>
              <w:right w:val="nil"/>
            </w:tcBorders>
            <w:shd w:val="clear" w:color="000000" w:fill="C7CFD8"/>
            <w:vAlign w:val="bottom"/>
            <w:hideMark/>
          </w:tcPr>
          <w:p w14:paraId="214D5443" w14:textId="77777777" w:rsidR="00B65EDC" w:rsidRPr="004421A9" w:rsidRDefault="00B65EDC" w:rsidP="00CD4E21">
            <w:pPr>
              <w:jc w:val="center"/>
              <w:rPr>
                <w:rFonts w:cs="Arial"/>
                <w:b/>
                <w:bCs/>
              </w:rPr>
            </w:pPr>
          </w:p>
        </w:tc>
        <w:tc>
          <w:tcPr>
            <w:tcW w:w="1142" w:type="dxa"/>
            <w:vMerge w:val="restart"/>
            <w:tcBorders>
              <w:top w:val="single" w:sz="4" w:space="0" w:color="BFBFBF"/>
              <w:left w:val="nil"/>
              <w:bottom w:val="nil"/>
              <w:right w:val="nil"/>
            </w:tcBorders>
            <w:shd w:val="clear" w:color="000000" w:fill="C7CFD8"/>
            <w:vAlign w:val="center"/>
            <w:hideMark/>
          </w:tcPr>
          <w:p w14:paraId="2EA650E1"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2022-2023 Ist </w:t>
            </w:r>
          </w:p>
        </w:tc>
        <w:tc>
          <w:tcPr>
            <w:tcW w:w="1225" w:type="dxa"/>
            <w:vMerge w:val="restart"/>
            <w:tcBorders>
              <w:top w:val="single" w:sz="4" w:space="0" w:color="BFBFBF"/>
              <w:left w:val="nil"/>
              <w:bottom w:val="nil"/>
              <w:right w:val="nil"/>
            </w:tcBorders>
            <w:shd w:val="clear" w:color="000000" w:fill="C7CFD8"/>
            <w:vAlign w:val="center"/>
            <w:hideMark/>
          </w:tcPr>
          <w:p w14:paraId="3CAD6784" w14:textId="77777777" w:rsidR="003714F7" w:rsidRPr="004421A9" w:rsidRDefault="00B65EDC" w:rsidP="003714F7">
            <w:pPr>
              <w:jc w:val="center"/>
              <w:rPr>
                <w:rFonts w:ascii="Arial Narrow" w:hAnsi="Arial Narrow" w:cs="Arial"/>
                <w:b/>
                <w:bCs/>
                <w:sz w:val="18"/>
                <w:szCs w:val="18"/>
              </w:rPr>
            </w:pPr>
            <w:r w:rsidRPr="004421A9">
              <w:rPr>
                <w:rFonts w:ascii="Arial Narrow" w:hAnsi="Arial Narrow" w:cs="Arial"/>
                <w:b/>
                <w:bCs/>
                <w:sz w:val="18"/>
                <w:szCs w:val="18"/>
              </w:rPr>
              <w:t xml:space="preserve"> </w:t>
            </w:r>
            <w:r w:rsidR="003714F7" w:rsidRPr="004421A9">
              <w:rPr>
                <w:rFonts w:ascii="Arial Narrow" w:hAnsi="Arial Narrow" w:cs="Arial"/>
                <w:b/>
                <w:bCs/>
                <w:sz w:val="18"/>
                <w:szCs w:val="18"/>
              </w:rPr>
              <w:t>2024-2025</w:t>
            </w:r>
          </w:p>
          <w:p w14:paraId="3D799D9B" w14:textId="6368F69D" w:rsidR="00B65EDC" w:rsidRPr="004421A9" w:rsidRDefault="003714F7" w:rsidP="003714F7">
            <w:pPr>
              <w:jc w:val="center"/>
              <w:rPr>
                <w:rFonts w:ascii="Arial Narrow" w:hAnsi="Arial Narrow" w:cs="Arial"/>
                <w:b/>
                <w:bCs/>
                <w:sz w:val="18"/>
                <w:szCs w:val="18"/>
              </w:rPr>
            </w:pPr>
            <w:r w:rsidRPr="004421A9">
              <w:rPr>
                <w:rFonts w:ascii="Arial Narrow" w:hAnsi="Arial Narrow" w:cs="Arial"/>
                <w:b/>
                <w:bCs/>
                <w:sz w:val="18"/>
                <w:szCs w:val="18"/>
              </w:rPr>
              <w:t>Haushaltsplan</w:t>
            </w:r>
          </w:p>
        </w:tc>
        <w:tc>
          <w:tcPr>
            <w:tcW w:w="2056" w:type="dxa"/>
            <w:gridSpan w:val="2"/>
            <w:tcBorders>
              <w:top w:val="single" w:sz="4" w:space="0" w:color="BFBFBF"/>
              <w:left w:val="nil"/>
              <w:bottom w:val="nil"/>
              <w:right w:val="nil"/>
            </w:tcBorders>
            <w:shd w:val="clear" w:color="000000" w:fill="C7CFD8"/>
            <w:vAlign w:val="center"/>
            <w:hideMark/>
          </w:tcPr>
          <w:p w14:paraId="7DA0234A"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Veränderung </w:t>
            </w:r>
          </w:p>
        </w:tc>
        <w:tc>
          <w:tcPr>
            <w:tcW w:w="1218" w:type="dxa"/>
            <w:vMerge w:val="restart"/>
            <w:tcBorders>
              <w:top w:val="single" w:sz="4" w:space="0" w:color="BFBFBF"/>
              <w:left w:val="nil"/>
              <w:bottom w:val="nil"/>
              <w:right w:val="nil"/>
            </w:tcBorders>
            <w:shd w:val="clear" w:color="000000" w:fill="C7CFD8"/>
            <w:vAlign w:val="center"/>
            <w:hideMark/>
          </w:tcPr>
          <w:p w14:paraId="0376C1E0" w14:textId="247AA30E" w:rsidR="00B65EDC" w:rsidRPr="004421A9" w:rsidRDefault="00521C0D" w:rsidP="00CD4E21">
            <w:pPr>
              <w:jc w:val="center"/>
              <w:rPr>
                <w:rFonts w:ascii="Arial Narrow" w:hAnsi="Arial Narrow" w:cs="Arial"/>
                <w:b/>
                <w:bCs/>
                <w:sz w:val="18"/>
                <w:szCs w:val="18"/>
              </w:rPr>
            </w:pPr>
            <w:r w:rsidRPr="004421A9">
              <w:rPr>
                <w:rFonts w:ascii="Arial Narrow" w:hAnsi="Arial Narrow" w:cs="Arial"/>
                <w:b/>
                <w:bCs/>
                <w:sz w:val="18"/>
                <w:szCs w:val="18"/>
              </w:rPr>
              <w:t xml:space="preserve">2026–2027 </w:t>
            </w:r>
            <w:r w:rsidR="00FC7602" w:rsidRPr="004421A9">
              <w:rPr>
                <w:rFonts w:ascii="Arial Narrow" w:hAnsi="Arial Narrow" w:cs="Arial"/>
                <w:b/>
                <w:bCs/>
                <w:sz w:val="18"/>
                <w:szCs w:val="18"/>
              </w:rPr>
              <w:t>Veranschlagt</w:t>
            </w:r>
          </w:p>
        </w:tc>
      </w:tr>
      <w:tr w:rsidR="00B65EDC" w:rsidRPr="004421A9" w14:paraId="50AA827C" w14:textId="77777777" w:rsidTr="007D74F3">
        <w:trPr>
          <w:trHeight w:val="337"/>
          <w:jc w:val="center"/>
        </w:trPr>
        <w:tc>
          <w:tcPr>
            <w:tcW w:w="419" w:type="dxa"/>
            <w:vMerge/>
            <w:tcBorders>
              <w:top w:val="nil"/>
              <w:left w:val="nil"/>
              <w:bottom w:val="single" w:sz="4" w:space="0" w:color="BFBFBF"/>
              <w:right w:val="nil"/>
            </w:tcBorders>
            <w:vAlign w:val="center"/>
            <w:hideMark/>
          </w:tcPr>
          <w:p w14:paraId="3DD72DF8" w14:textId="77777777" w:rsidR="00B65EDC" w:rsidRPr="004421A9" w:rsidRDefault="00B65EDC" w:rsidP="00CD4E21">
            <w:pPr>
              <w:jc w:val="left"/>
              <w:rPr>
                <w:rFonts w:cs="Arial"/>
                <w:b/>
                <w:bCs/>
              </w:rPr>
            </w:pPr>
          </w:p>
        </w:tc>
        <w:tc>
          <w:tcPr>
            <w:tcW w:w="3123" w:type="dxa"/>
            <w:vMerge/>
            <w:tcBorders>
              <w:top w:val="nil"/>
              <w:left w:val="nil"/>
              <w:bottom w:val="single" w:sz="4" w:space="0" w:color="BFBFBF"/>
              <w:right w:val="nil"/>
            </w:tcBorders>
            <w:vAlign w:val="center"/>
            <w:hideMark/>
          </w:tcPr>
          <w:p w14:paraId="030B6122" w14:textId="77777777" w:rsidR="00B65EDC" w:rsidRPr="004421A9" w:rsidRDefault="00B65EDC" w:rsidP="00CD4E21">
            <w:pPr>
              <w:jc w:val="left"/>
              <w:rPr>
                <w:rFonts w:cs="Arial"/>
                <w:b/>
                <w:bCs/>
              </w:rPr>
            </w:pPr>
          </w:p>
        </w:tc>
        <w:tc>
          <w:tcPr>
            <w:tcW w:w="1142" w:type="dxa"/>
            <w:vMerge/>
            <w:tcBorders>
              <w:top w:val="single" w:sz="4" w:space="0" w:color="BFBFBF"/>
              <w:left w:val="nil"/>
              <w:bottom w:val="nil"/>
              <w:right w:val="nil"/>
            </w:tcBorders>
            <w:vAlign w:val="center"/>
            <w:hideMark/>
          </w:tcPr>
          <w:p w14:paraId="669A0740" w14:textId="77777777" w:rsidR="00B65EDC" w:rsidRPr="004421A9" w:rsidRDefault="00B65EDC" w:rsidP="00CD4E21">
            <w:pPr>
              <w:jc w:val="left"/>
              <w:rPr>
                <w:rFonts w:ascii="Arial Narrow" w:hAnsi="Arial Narrow" w:cs="Arial"/>
                <w:b/>
                <w:bCs/>
                <w:sz w:val="18"/>
                <w:szCs w:val="18"/>
              </w:rPr>
            </w:pPr>
          </w:p>
        </w:tc>
        <w:tc>
          <w:tcPr>
            <w:tcW w:w="1225" w:type="dxa"/>
            <w:vMerge/>
            <w:tcBorders>
              <w:top w:val="single" w:sz="4" w:space="0" w:color="BFBFBF"/>
              <w:left w:val="nil"/>
              <w:bottom w:val="nil"/>
              <w:right w:val="nil"/>
            </w:tcBorders>
            <w:vAlign w:val="center"/>
            <w:hideMark/>
          </w:tcPr>
          <w:p w14:paraId="3E152168" w14:textId="77777777" w:rsidR="00B65EDC" w:rsidRPr="004421A9" w:rsidRDefault="00B65EDC" w:rsidP="00CD4E21">
            <w:pPr>
              <w:jc w:val="left"/>
              <w:rPr>
                <w:rFonts w:ascii="Arial Narrow" w:hAnsi="Arial Narrow" w:cs="Arial"/>
                <w:b/>
                <w:bCs/>
                <w:sz w:val="18"/>
                <w:szCs w:val="18"/>
              </w:rPr>
            </w:pPr>
          </w:p>
        </w:tc>
        <w:tc>
          <w:tcPr>
            <w:tcW w:w="933" w:type="dxa"/>
            <w:tcBorders>
              <w:top w:val="single" w:sz="4" w:space="0" w:color="748B9E"/>
              <w:left w:val="nil"/>
              <w:bottom w:val="nil"/>
              <w:right w:val="nil"/>
            </w:tcBorders>
            <w:shd w:val="clear" w:color="000000" w:fill="C7CFD8"/>
            <w:vAlign w:val="center"/>
            <w:hideMark/>
          </w:tcPr>
          <w:p w14:paraId="4BAF66A0"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Betrag </w:t>
            </w:r>
          </w:p>
        </w:tc>
        <w:tc>
          <w:tcPr>
            <w:tcW w:w="1123" w:type="dxa"/>
            <w:tcBorders>
              <w:top w:val="single" w:sz="4" w:space="0" w:color="748B9E"/>
              <w:left w:val="nil"/>
              <w:bottom w:val="nil"/>
              <w:right w:val="nil"/>
            </w:tcBorders>
            <w:shd w:val="clear" w:color="000000" w:fill="C7CFD8"/>
            <w:vAlign w:val="center"/>
            <w:hideMark/>
          </w:tcPr>
          <w:p w14:paraId="2300EBC8"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 </w:t>
            </w:r>
          </w:p>
        </w:tc>
        <w:tc>
          <w:tcPr>
            <w:tcW w:w="1218" w:type="dxa"/>
            <w:vMerge/>
            <w:tcBorders>
              <w:top w:val="single" w:sz="4" w:space="0" w:color="BFBFBF"/>
              <w:left w:val="nil"/>
              <w:bottom w:val="nil"/>
              <w:right w:val="nil"/>
            </w:tcBorders>
            <w:vAlign w:val="center"/>
            <w:hideMark/>
          </w:tcPr>
          <w:p w14:paraId="75622175" w14:textId="77777777" w:rsidR="00B65EDC" w:rsidRPr="004421A9" w:rsidRDefault="00B65EDC" w:rsidP="00CD4E21">
            <w:pPr>
              <w:jc w:val="left"/>
              <w:rPr>
                <w:rFonts w:ascii="Arial Narrow" w:hAnsi="Arial Narrow" w:cs="Arial"/>
                <w:b/>
                <w:bCs/>
                <w:sz w:val="18"/>
                <w:szCs w:val="18"/>
              </w:rPr>
            </w:pPr>
          </w:p>
        </w:tc>
      </w:tr>
      <w:tr w:rsidR="00B65EDC" w:rsidRPr="004421A9" w14:paraId="5971B9B1" w14:textId="77777777" w:rsidTr="007D74F3">
        <w:trPr>
          <w:trHeight w:val="258"/>
          <w:jc w:val="center"/>
        </w:trPr>
        <w:tc>
          <w:tcPr>
            <w:tcW w:w="419" w:type="dxa"/>
            <w:vMerge/>
            <w:tcBorders>
              <w:top w:val="nil"/>
              <w:left w:val="nil"/>
              <w:bottom w:val="single" w:sz="4" w:space="0" w:color="BFBFBF"/>
              <w:right w:val="nil"/>
            </w:tcBorders>
            <w:vAlign w:val="center"/>
            <w:hideMark/>
          </w:tcPr>
          <w:p w14:paraId="385CA7FD" w14:textId="77777777" w:rsidR="00B65EDC" w:rsidRPr="004421A9" w:rsidRDefault="00B65EDC" w:rsidP="00CD4E21">
            <w:pPr>
              <w:jc w:val="left"/>
              <w:rPr>
                <w:rFonts w:cs="Arial"/>
                <w:b/>
                <w:bCs/>
              </w:rPr>
            </w:pPr>
          </w:p>
        </w:tc>
        <w:tc>
          <w:tcPr>
            <w:tcW w:w="3123" w:type="dxa"/>
            <w:vMerge/>
            <w:tcBorders>
              <w:top w:val="nil"/>
              <w:left w:val="nil"/>
              <w:bottom w:val="single" w:sz="4" w:space="0" w:color="BFBFBF"/>
              <w:right w:val="nil"/>
            </w:tcBorders>
            <w:vAlign w:val="center"/>
            <w:hideMark/>
          </w:tcPr>
          <w:p w14:paraId="55A55FB0" w14:textId="77777777" w:rsidR="00B65EDC" w:rsidRPr="004421A9" w:rsidRDefault="00B65EDC" w:rsidP="00CD4E21">
            <w:pPr>
              <w:jc w:val="left"/>
              <w:rPr>
                <w:rFonts w:cs="Arial"/>
                <w:b/>
                <w:bCs/>
              </w:rPr>
            </w:pPr>
          </w:p>
        </w:tc>
        <w:tc>
          <w:tcPr>
            <w:tcW w:w="1142" w:type="dxa"/>
            <w:tcBorders>
              <w:top w:val="nil"/>
              <w:left w:val="nil"/>
              <w:bottom w:val="nil"/>
              <w:right w:val="nil"/>
            </w:tcBorders>
            <w:shd w:val="clear" w:color="000000" w:fill="C7CFD8"/>
            <w:vAlign w:val="center"/>
            <w:hideMark/>
          </w:tcPr>
          <w:p w14:paraId="4454C76B"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A </w:t>
            </w:r>
          </w:p>
        </w:tc>
        <w:tc>
          <w:tcPr>
            <w:tcW w:w="1225" w:type="dxa"/>
            <w:tcBorders>
              <w:top w:val="nil"/>
              <w:left w:val="nil"/>
              <w:bottom w:val="nil"/>
              <w:right w:val="nil"/>
            </w:tcBorders>
            <w:shd w:val="clear" w:color="000000" w:fill="C7CFD8"/>
            <w:noWrap/>
            <w:vAlign w:val="center"/>
            <w:hideMark/>
          </w:tcPr>
          <w:p w14:paraId="03731D9B"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B </w:t>
            </w:r>
          </w:p>
        </w:tc>
        <w:tc>
          <w:tcPr>
            <w:tcW w:w="933" w:type="dxa"/>
            <w:tcBorders>
              <w:top w:val="nil"/>
              <w:left w:val="nil"/>
              <w:bottom w:val="nil"/>
              <w:right w:val="nil"/>
            </w:tcBorders>
            <w:shd w:val="clear" w:color="000000" w:fill="C7CFD8"/>
            <w:vAlign w:val="center"/>
            <w:hideMark/>
          </w:tcPr>
          <w:p w14:paraId="72436C97"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C </w:t>
            </w:r>
          </w:p>
        </w:tc>
        <w:tc>
          <w:tcPr>
            <w:tcW w:w="1123" w:type="dxa"/>
            <w:tcBorders>
              <w:top w:val="nil"/>
              <w:left w:val="nil"/>
              <w:bottom w:val="nil"/>
              <w:right w:val="nil"/>
            </w:tcBorders>
            <w:shd w:val="clear" w:color="000000" w:fill="C7CFD8"/>
            <w:vAlign w:val="center"/>
            <w:hideMark/>
          </w:tcPr>
          <w:p w14:paraId="1FA9E048"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C/B</w:t>
            </w:r>
          </w:p>
        </w:tc>
        <w:tc>
          <w:tcPr>
            <w:tcW w:w="1218" w:type="dxa"/>
            <w:tcBorders>
              <w:top w:val="nil"/>
              <w:left w:val="nil"/>
              <w:bottom w:val="nil"/>
              <w:right w:val="nil"/>
            </w:tcBorders>
            <w:shd w:val="clear" w:color="000000" w:fill="C7CFD8"/>
            <w:noWrap/>
            <w:vAlign w:val="center"/>
            <w:hideMark/>
          </w:tcPr>
          <w:p w14:paraId="530DF4B6"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D=B+C</w:t>
            </w:r>
          </w:p>
        </w:tc>
      </w:tr>
      <w:tr w:rsidR="00B65EDC" w:rsidRPr="004421A9" w14:paraId="57DA510A" w14:textId="77777777" w:rsidTr="007D74F3">
        <w:trPr>
          <w:trHeight w:val="337"/>
          <w:jc w:val="center"/>
        </w:trPr>
        <w:tc>
          <w:tcPr>
            <w:tcW w:w="3542" w:type="dxa"/>
            <w:gridSpan w:val="2"/>
            <w:tcBorders>
              <w:top w:val="nil"/>
              <w:left w:val="nil"/>
              <w:bottom w:val="nil"/>
              <w:right w:val="nil"/>
            </w:tcBorders>
            <w:noWrap/>
            <w:vAlign w:val="center"/>
            <w:hideMark/>
          </w:tcPr>
          <w:p w14:paraId="7AED9164" w14:textId="3EA0185C" w:rsidR="00B65EDC" w:rsidRPr="004421A9" w:rsidRDefault="00B65EDC" w:rsidP="00CD4E21">
            <w:pPr>
              <w:jc w:val="left"/>
              <w:rPr>
                <w:rFonts w:ascii="Arial Narrow" w:hAnsi="Arial Narrow" w:cs="Arial"/>
                <w:b/>
                <w:bCs/>
                <w:sz w:val="22"/>
                <w:szCs w:val="22"/>
              </w:rPr>
            </w:pPr>
            <w:r w:rsidRPr="004421A9">
              <w:rPr>
                <w:rFonts w:ascii="Arial Narrow" w:hAnsi="Arial Narrow" w:cs="Arial"/>
                <w:b/>
                <w:bCs/>
                <w:sz w:val="22"/>
                <w:szCs w:val="22"/>
              </w:rPr>
              <w:t>A.</w:t>
            </w:r>
            <w:r w:rsidR="00877E3D" w:rsidRPr="004421A9">
              <w:rPr>
                <w:rFonts w:ascii="Arial Narrow" w:hAnsi="Arial Narrow" w:cs="Arial"/>
                <w:b/>
                <w:bCs/>
                <w:sz w:val="22"/>
                <w:szCs w:val="22"/>
              </w:rPr>
              <w:t xml:space="preserve"> </w:t>
            </w:r>
            <w:r w:rsidR="00325CDB" w:rsidRPr="004421A9">
              <w:rPr>
                <w:rFonts w:ascii="Arial Narrow" w:hAnsi="Arial Narrow" w:cs="Arial"/>
                <w:b/>
                <w:bCs/>
                <w:sz w:val="22"/>
                <w:szCs w:val="22"/>
              </w:rPr>
              <w:t>Personalkosten</w:t>
            </w:r>
          </w:p>
        </w:tc>
        <w:tc>
          <w:tcPr>
            <w:tcW w:w="1142" w:type="dxa"/>
            <w:tcBorders>
              <w:top w:val="nil"/>
              <w:left w:val="nil"/>
              <w:bottom w:val="nil"/>
              <w:right w:val="nil"/>
            </w:tcBorders>
            <w:vAlign w:val="center"/>
            <w:hideMark/>
          </w:tcPr>
          <w:p w14:paraId="06EF9E38" w14:textId="77777777" w:rsidR="00B65EDC" w:rsidRPr="004421A9" w:rsidRDefault="00B65EDC" w:rsidP="00CD4E21">
            <w:pPr>
              <w:jc w:val="left"/>
              <w:rPr>
                <w:rFonts w:ascii="Arial Narrow" w:hAnsi="Arial Narrow" w:cs="Arial"/>
                <w:b/>
                <w:bCs/>
                <w:sz w:val="22"/>
                <w:szCs w:val="22"/>
              </w:rPr>
            </w:pPr>
          </w:p>
        </w:tc>
        <w:tc>
          <w:tcPr>
            <w:tcW w:w="1225" w:type="dxa"/>
            <w:tcBorders>
              <w:top w:val="nil"/>
              <w:left w:val="nil"/>
              <w:bottom w:val="nil"/>
              <w:right w:val="nil"/>
            </w:tcBorders>
            <w:vAlign w:val="center"/>
            <w:hideMark/>
          </w:tcPr>
          <w:p w14:paraId="31958B9C" w14:textId="77777777" w:rsidR="00B65EDC" w:rsidRPr="004421A9" w:rsidRDefault="00B65EDC" w:rsidP="00CD4E21">
            <w:pPr>
              <w:jc w:val="left"/>
              <w:rPr>
                <w:rFonts w:ascii="Times New Roman" w:hAnsi="Times New Roman"/>
              </w:rPr>
            </w:pPr>
          </w:p>
        </w:tc>
        <w:tc>
          <w:tcPr>
            <w:tcW w:w="933" w:type="dxa"/>
            <w:tcBorders>
              <w:top w:val="nil"/>
              <w:left w:val="nil"/>
              <w:bottom w:val="nil"/>
              <w:right w:val="nil"/>
            </w:tcBorders>
            <w:vAlign w:val="center"/>
            <w:hideMark/>
          </w:tcPr>
          <w:p w14:paraId="51199B2A" w14:textId="77777777" w:rsidR="00B65EDC" w:rsidRPr="004421A9" w:rsidRDefault="00B65EDC" w:rsidP="00CD4E21">
            <w:pPr>
              <w:jc w:val="left"/>
              <w:rPr>
                <w:rFonts w:ascii="Times New Roman" w:hAnsi="Times New Roman"/>
              </w:rPr>
            </w:pPr>
          </w:p>
        </w:tc>
        <w:tc>
          <w:tcPr>
            <w:tcW w:w="1123" w:type="dxa"/>
            <w:tcBorders>
              <w:top w:val="nil"/>
              <w:left w:val="nil"/>
              <w:bottom w:val="nil"/>
              <w:right w:val="nil"/>
            </w:tcBorders>
            <w:vAlign w:val="center"/>
            <w:hideMark/>
          </w:tcPr>
          <w:p w14:paraId="5E627CA3" w14:textId="77777777" w:rsidR="00B65EDC" w:rsidRPr="004421A9" w:rsidRDefault="00B65EDC" w:rsidP="00CD4E21">
            <w:pPr>
              <w:jc w:val="left"/>
              <w:rPr>
                <w:rFonts w:ascii="Times New Roman" w:hAnsi="Times New Roman"/>
              </w:rPr>
            </w:pPr>
          </w:p>
        </w:tc>
        <w:tc>
          <w:tcPr>
            <w:tcW w:w="1218" w:type="dxa"/>
            <w:tcBorders>
              <w:top w:val="nil"/>
              <w:left w:val="nil"/>
              <w:bottom w:val="nil"/>
              <w:right w:val="nil"/>
            </w:tcBorders>
            <w:vAlign w:val="center"/>
            <w:hideMark/>
          </w:tcPr>
          <w:p w14:paraId="03546604" w14:textId="77777777" w:rsidR="00B65EDC" w:rsidRPr="004421A9" w:rsidRDefault="00B65EDC" w:rsidP="00CD4E21">
            <w:pPr>
              <w:jc w:val="left"/>
              <w:rPr>
                <w:rFonts w:ascii="Times New Roman" w:hAnsi="Times New Roman"/>
              </w:rPr>
            </w:pPr>
          </w:p>
        </w:tc>
      </w:tr>
      <w:tr w:rsidR="00B65EDC" w:rsidRPr="004421A9" w14:paraId="63D0B635" w14:textId="77777777" w:rsidTr="007D74F3">
        <w:trPr>
          <w:trHeight w:val="396"/>
          <w:jc w:val="center"/>
        </w:trPr>
        <w:tc>
          <w:tcPr>
            <w:tcW w:w="419" w:type="dxa"/>
            <w:tcBorders>
              <w:top w:val="nil"/>
              <w:left w:val="nil"/>
              <w:bottom w:val="nil"/>
              <w:right w:val="nil"/>
            </w:tcBorders>
            <w:noWrap/>
            <w:vAlign w:val="bottom"/>
            <w:hideMark/>
          </w:tcPr>
          <w:p w14:paraId="6D63BF34" w14:textId="77777777" w:rsidR="00B65EDC" w:rsidRPr="004421A9" w:rsidRDefault="00B65EDC" w:rsidP="00CD4E21">
            <w:pPr>
              <w:jc w:val="left"/>
              <w:rPr>
                <w:rFonts w:ascii="Times New Roman" w:hAnsi="Times New Roman"/>
              </w:rPr>
            </w:pPr>
          </w:p>
        </w:tc>
        <w:tc>
          <w:tcPr>
            <w:tcW w:w="3123" w:type="dxa"/>
            <w:tcBorders>
              <w:top w:val="nil"/>
              <w:left w:val="nil"/>
              <w:bottom w:val="nil"/>
              <w:right w:val="nil"/>
            </w:tcBorders>
            <w:vAlign w:val="bottom"/>
            <w:hideMark/>
          </w:tcPr>
          <w:p w14:paraId="26AB252E" w14:textId="5034CC2A" w:rsidR="00B65EDC" w:rsidRPr="004421A9" w:rsidRDefault="00325CDB"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Posten</w:t>
            </w:r>
          </w:p>
        </w:tc>
        <w:tc>
          <w:tcPr>
            <w:tcW w:w="1142" w:type="dxa"/>
            <w:tcBorders>
              <w:top w:val="nil"/>
              <w:left w:val="nil"/>
              <w:bottom w:val="nil"/>
              <w:right w:val="nil"/>
            </w:tcBorders>
            <w:vAlign w:val="bottom"/>
            <w:hideMark/>
          </w:tcPr>
          <w:p w14:paraId="0EBE0FC9"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4.302 </w:t>
            </w:r>
          </w:p>
        </w:tc>
        <w:tc>
          <w:tcPr>
            <w:tcW w:w="1225" w:type="dxa"/>
            <w:tcBorders>
              <w:top w:val="nil"/>
              <w:left w:val="nil"/>
              <w:bottom w:val="nil"/>
              <w:right w:val="nil"/>
            </w:tcBorders>
            <w:vAlign w:val="bottom"/>
            <w:hideMark/>
          </w:tcPr>
          <w:p w14:paraId="2C703CBB"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5.186 </w:t>
            </w:r>
          </w:p>
        </w:tc>
        <w:tc>
          <w:tcPr>
            <w:tcW w:w="933" w:type="dxa"/>
            <w:tcBorders>
              <w:top w:val="nil"/>
              <w:left w:val="nil"/>
              <w:bottom w:val="nil"/>
              <w:right w:val="nil"/>
            </w:tcBorders>
            <w:vAlign w:val="bottom"/>
            <w:hideMark/>
          </w:tcPr>
          <w:p w14:paraId="68D699F0" w14:textId="77777777" w:rsidR="00B65EDC" w:rsidRPr="004421A9" w:rsidRDefault="00B65EDC" w:rsidP="00CD4E21">
            <w:pPr>
              <w:jc w:val="right"/>
              <w:rPr>
                <w:rFonts w:ascii="Arial Narrow" w:hAnsi="Arial Narrow" w:cs="Arial"/>
              </w:rPr>
            </w:pPr>
            <w:r w:rsidRPr="004421A9">
              <w:rPr>
                <w:rFonts w:ascii="Arial Narrow" w:hAnsi="Arial Narrow" w:cs="Arial"/>
              </w:rPr>
              <w:t>(225)</w:t>
            </w:r>
          </w:p>
        </w:tc>
        <w:tc>
          <w:tcPr>
            <w:tcW w:w="1123" w:type="dxa"/>
            <w:tcBorders>
              <w:top w:val="nil"/>
              <w:left w:val="nil"/>
              <w:bottom w:val="nil"/>
              <w:right w:val="nil"/>
            </w:tcBorders>
            <w:vAlign w:val="bottom"/>
            <w:hideMark/>
          </w:tcPr>
          <w:p w14:paraId="0BDC7B62" w14:textId="5968B78B" w:rsidR="00B65EDC" w:rsidRPr="004421A9" w:rsidRDefault="00B65EDC" w:rsidP="00CD4E21">
            <w:pPr>
              <w:jc w:val="right"/>
              <w:rPr>
                <w:rFonts w:ascii="Arial Narrow" w:hAnsi="Arial Narrow" w:cs="Arial"/>
              </w:rPr>
            </w:pPr>
            <w:r w:rsidRPr="004421A9">
              <w:rPr>
                <w:rFonts w:ascii="Arial Narrow" w:hAnsi="Arial Narrow" w:cs="Arial"/>
              </w:rPr>
              <w:t>-4</w:t>
            </w:r>
            <w:r w:rsidR="004C4EB5" w:rsidRPr="004421A9">
              <w:rPr>
                <w:rFonts w:ascii="Arial Narrow" w:hAnsi="Arial Narrow" w:cs="Arial"/>
              </w:rPr>
              <w:t xml:space="preserve"> %</w:t>
            </w:r>
          </w:p>
        </w:tc>
        <w:tc>
          <w:tcPr>
            <w:tcW w:w="1218" w:type="dxa"/>
            <w:tcBorders>
              <w:top w:val="nil"/>
              <w:left w:val="nil"/>
              <w:bottom w:val="nil"/>
              <w:right w:val="nil"/>
            </w:tcBorders>
            <w:vAlign w:val="bottom"/>
            <w:hideMark/>
          </w:tcPr>
          <w:p w14:paraId="2476275C" w14:textId="77777777" w:rsidR="00B65EDC" w:rsidRPr="004421A9" w:rsidRDefault="00B65EDC" w:rsidP="00CD4E21">
            <w:pPr>
              <w:jc w:val="right"/>
              <w:rPr>
                <w:rFonts w:ascii="Arial Narrow" w:hAnsi="Arial Narrow" w:cs="Arial"/>
              </w:rPr>
            </w:pPr>
            <w:r w:rsidRPr="004421A9">
              <w:rPr>
                <w:rFonts w:ascii="Arial Narrow" w:hAnsi="Arial Narrow" w:cs="Arial"/>
              </w:rPr>
              <w:t>4.961</w:t>
            </w:r>
          </w:p>
        </w:tc>
      </w:tr>
      <w:tr w:rsidR="00B65EDC" w:rsidRPr="004421A9" w14:paraId="323E9C26" w14:textId="77777777" w:rsidTr="007D74F3">
        <w:trPr>
          <w:trHeight w:val="382"/>
          <w:jc w:val="center"/>
        </w:trPr>
        <w:tc>
          <w:tcPr>
            <w:tcW w:w="419" w:type="dxa"/>
            <w:tcBorders>
              <w:top w:val="nil"/>
              <w:left w:val="nil"/>
              <w:bottom w:val="nil"/>
              <w:right w:val="nil"/>
            </w:tcBorders>
            <w:noWrap/>
            <w:vAlign w:val="bottom"/>
            <w:hideMark/>
          </w:tcPr>
          <w:p w14:paraId="58EAFB86"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49C02F93" w14:textId="2AB26BBA" w:rsidR="00B65EDC" w:rsidRPr="004421A9" w:rsidRDefault="00B26DD7"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Bedienstete auf Zeit</w:t>
            </w:r>
          </w:p>
        </w:tc>
        <w:tc>
          <w:tcPr>
            <w:tcW w:w="1142" w:type="dxa"/>
            <w:tcBorders>
              <w:top w:val="nil"/>
              <w:left w:val="nil"/>
              <w:bottom w:val="nil"/>
              <w:right w:val="nil"/>
            </w:tcBorders>
            <w:vAlign w:val="bottom"/>
            <w:hideMark/>
          </w:tcPr>
          <w:p w14:paraId="6CEE09D1"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324 </w:t>
            </w:r>
          </w:p>
        </w:tc>
        <w:tc>
          <w:tcPr>
            <w:tcW w:w="1225" w:type="dxa"/>
            <w:tcBorders>
              <w:top w:val="nil"/>
              <w:left w:val="nil"/>
              <w:bottom w:val="nil"/>
              <w:right w:val="nil"/>
            </w:tcBorders>
            <w:vAlign w:val="bottom"/>
            <w:hideMark/>
          </w:tcPr>
          <w:p w14:paraId="02FB9AF4"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569 </w:t>
            </w:r>
          </w:p>
        </w:tc>
        <w:tc>
          <w:tcPr>
            <w:tcW w:w="933" w:type="dxa"/>
            <w:tcBorders>
              <w:top w:val="nil"/>
              <w:left w:val="nil"/>
              <w:bottom w:val="nil"/>
              <w:right w:val="nil"/>
            </w:tcBorders>
            <w:vAlign w:val="bottom"/>
            <w:hideMark/>
          </w:tcPr>
          <w:p w14:paraId="09743838" w14:textId="77777777" w:rsidR="00B65EDC" w:rsidRPr="004421A9" w:rsidRDefault="00B65EDC" w:rsidP="00CD4E21">
            <w:pPr>
              <w:jc w:val="right"/>
              <w:rPr>
                <w:rFonts w:ascii="Arial Narrow" w:hAnsi="Arial Narrow" w:cs="Arial"/>
              </w:rPr>
            </w:pPr>
            <w:r w:rsidRPr="004421A9">
              <w:rPr>
                <w:rFonts w:ascii="Arial Narrow" w:hAnsi="Arial Narrow" w:cs="Arial"/>
              </w:rPr>
              <w:t>211</w:t>
            </w:r>
          </w:p>
        </w:tc>
        <w:tc>
          <w:tcPr>
            <w:tcW w:w="1123" w:type="dxa"/>
            <w:tcBorders>
              <w:top w:val="nil"/>
              <w:left w:val="nil"/>
              <w:bottom w:val="nil"/>
              <w:right w:val="nil"/>
            </w:tcBorders>
            <w:vAlign w:val="bottom"/>
            <w:hideMark/>
          </w:tcPr>
          <w:p w14:paraId="4A9D6AF3" w14:textId="2759088C" w:rsidR="00B65EDC" w:rsidRPr="004421A9" w:rsidRDefault="00B65EDC" w:rsidP="00CD4E21">
            <w:pPr>
              <w:jc w:val="right"/>
              <w:rPr>
                <w:rFonts w:ascii="Arial Narrow" w:hAnsi="Arial Narrow" w:cs="Arial"/>
              </w:rPr>
            </w:pPr>
            <w:r w:rsidRPr="004421A9">
              <w:rPr>
                <w:rFonts w:ascii="Arial Narrow" w:hAnsi="Arial Narrow" w:cs="Arial"/>
              </w:rPr>
              <w:t>37</w:t>
            </w:r>
            <w:r w:rsidR="004C4EB5" w:rsidRPr="004421A9">
              <w:rPr>
                <w:rFonts w:ascii="Arial Narrow" w:hAnsi="Arial Narrow" w:cs="Arial"/>
              </w:rPr>
              <w:t xml:space="preserve"> %</w:t>
            </w:r>
          </w:p>
        </w:tc>
        <w:tc>
          <w:tcPr>
            <w:tcW w:w="1218" w:type="dxa"/>
            <w:tcBorders>
              <w:top w:val="nil"/>
              <w:left w:val="nil"/>
              <w:bottom w:val="nil"/>
              <w:right w:val="nil"/>
            </w:tcBorders>
            <w:vAlign w:val="bottom"/>
            <w:hideMark/>
          </w:tcPr>
          <w:p w14:paraId="141CDC5D" w14:textId="77777777" w:rsidR="00B65EDC" w:rsidRPr="004421A9" w:rsidRDefault="00B65EDC" w:rsidP="00CD4E21">
            <w:pPr>
              <w:jc w:val="right"/>
              <w:rPr>
                <w:rFonts w:ascii="Arial Narrow" w:hAnsi="Arial Narrow" w:cs="Arial"/>
              </w:rPr>
            </w:pPr>
            <w:r w:rsidRPr="004421A9">
              <w:rPr>
                <w:rFonts w:ascii="Arial Narrow" w:hAnsi="Arial Narrow" w:cs="Arial"/>
              </w:rPr>
              <w:t>780</w:t>
            </w:r>
          </w:p>
        </w:tc>
      </w:tr>
      <w:tr w:rsidR="00B65EDC" w:rsidRPr="004421A9" w14:paraId="19F8CACA" w14:textId="77777777" w:rsidTr="007D74F3">
        <w:trPr>
          <w:trHeight w:val="382"/>
          <w:jc w:val="center"/>
        </w:trPr>
        <w:tc>
          <w:tcPr>
            <w:tcW w:w="419" w:type="dxa"/>
            <w:tcBorders>
              <w:top w:val="nil"/>
              <w:left w:val="nil"/>
              <w:bottom w:val="nil"/>
              <w:right w:val="nil"/>
            </w:tcBorders>
            <w:noWrap/>
            <w:vAlign w:val="bottom"/>
            <w:hideMark/>
          </w:tcPr>
          <w:p w14:paraId="26F938C5"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4203A4AC" w14:textId="77777777" w:rsidR="00B65EDC" w:rsidRPr="004421A9" w:rsidRDefault="00B65ED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Sonstige Personalkosten</w:t>
            </w:r>
          </w:p>
        </w:tc>
        <w:tc>
          <w:tcPr>
            <w:tcW w:w="1142" w:type="dxa"/>
            <w:tcBorders>
              <w:top w:val="nil"/>
              <w:left w:val="nil"/>
              <w:bottom w:val="nil"/>
              <w:right w:val="nil"/>
            </w:tcBorders>
            <w:vAlign w:val="bottom"/>
            <w:hideMark/>
          </w:tcPr>
          <w:p w14:paraId="20D142C9"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16FBECDE"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933" w:type="dxa"/>
            <w:tcBorders>
              <w:top w:val="nil"/>
              <w:left w:val="nil"/>
              <w:bottom w:val="nil"/>
              <w:right w:val="nil"/>
            </w:tcBorders>
            <w:vAlign w:val="bottom"/>
            <w:hideMark/>
          </w:tcPr>
          <w:p w14:paraId="59BABDF0"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123" w:type="dxa"/>
            <w:tcBorders>
              <w:top w:val="nil"/>
              <w:left w:val="nil"/>
              <w:bottom w:val="single" w:sz="4" w:space="0" w:color="BFBFBF"/>
              <w:right w:val="nil"/>
            </w:tcBorders>
            <w:vAlign w:val="bottom"/>
            <w:hideMark/>
          </w:tcPr>
          <w:p w14:paraId="6C15905A"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124FC9AE" w14:textId="77777777" w:rsidR="00B65EDC" w:rsidRPr="004421A9" w:rsidRDefault="00B65EDC" w:rsidP="00CD4E21">
            <w:pPr>
              <w:jc w:val="right"/>
              <w:rPr>
                <w:rFonts w:ascii="Arial Narrow" w:hAnsi="Arial Narrow" w:cs="Arial"/>
              </w:rPr>
            </w:pPr>
            <w:r w:rsidRPr="004421A9">
              <w:rPr>
                <w:rFonts w:ascii="Arial Narrow" w:hAnsi="Arial Narrow" w:cs="Arial"/>
              </w:rPr>
              <w:t>-</w:t>
            </w:r>
          </w:p>
        </w:tc>
      </w:tr>
      <w:tr w:rsidR="00B65EDC" w:rsidRPr="004421A9" w14:paraId="61E14555" w14:textId="77777777" w:rsidTr="007D74F3">
        <w:trPr>
          <w:trHeight w:val="352"/>
          <w:jc w:val="center"/>
        </w:trPr>
        <w:tc>
          <w:tcPr>
            <w:tcW w:w="419" w:type="dxa"/>
            <w:tcBorders>
              <w:top w:val="single" w:sz="4" w:space="0" w:color="AAB8C4"/>
              <w:left w:val="nil"/>
              <w:bottom w:val="single" w:sz="8" w:space="0" w:color="AAB8C4"/>
              <w:right w:val="nil"/>
            </w:tcBorders>
            <w:noWrap/>
            <w:vAlign w:val="bottom"/>
            <w:hideMark/>
          </w:tcPr>
          <w:p w14:paraId="78887228" w14:textId="77777777" w:rsidR="00B65EDC" w:rsidRPr="004421A9" w:rsidRDefault="00B65EDC" w:rsidP="00CD4E21">
            <w:pPr>
              <w:jc w:val="left"/>
              <w:rPr>
                <w:rFonts w:cs="Arial"/>
                <w:b/>
                <w:bCs/>
              </w:rPr>
            </w:pPr>
          </w:p>
        </w:tc>
        <w:tc>
          <w:tcPr>
            <w:tcW w:w="3123" w:type="dxa"/>
            <w:tcBorders>
              <w:top w:val="single" w:sz="4" w:space="0" w:color="AAB8C4"/>
              <w:left w:val="nil"/>
              <w:bottom w:val="single" w:sz="8" w:space="0" w:color="AAB8C4"/>
              <w:right w:val="nil"/>
            </w:tcBorders>
            <w:vAlign w:val="bottom"/>
            <w:hideMark/>
          </w:tcPr>
          <w:p w14:paraId="25907360" w14:textId="2ABA7C7E" w:rsidR="00B65EDC" w:rsidRPr="004421A9" w:rsidRDefault="007B0EF5" w:rsidP="00CD4E21">
            <w:pPr>
              <w:jc w:val="left"/>
              <w:rPr>
                <w:rFonts w:ascii="Arial Narrow" w:hAnsi="Arial Narrow" w:cs="Arial"/>
                <w:b/>
                <w:bCs/>
                <w:color w:val="000000"/>
              </w:rPr>
            </w:pPr>
            <w:r w:rsidRPr="004421A9">
              <w:rPr>
                <w:rFonts w:ascii="Arial Narrow" w:hAnsi="Arial Narrow" w:cs="Arial"/>
                <w:b/>
                <w:bCs/>
                <w:color w:val="000000"/>
              </w:rPr>
              <w:t>Insgesamt</w:t>
            </w:r>
            <w:r w:rsidR="00B65EDC" w:rsidRPr="004421A9">
              <w:rPr>
                <w:rFonts w:ascii="Arial Narrow" w:hAnsi="Arial Narrow" w:cs="Arial"/>
                <w:b/>
                <w:bCs/>
                <w:color w:val="000000"/>
              </w:rPr>
              <w:t>, A</w:t>
            </w:r>
          </w:p>
        </w:tc>
        <w:tc>
          <w:tcPr>
            <w:tcW w:w="1142" w:type="dxa"/>
            <w:tcBorders>
              <w:top w:val="single" w:sz="4" w:space="0" w:color="AAB8C4"/>
              <w:left w:val="nil"/>
              <w:bottom w:val="single" w:sz="8" w:space="0" w:color="AAB8C4"/>
              <w:right w:val="nil"/>
            </w:tcBorders>
            <w:vAlign w:val="bottom"/>
            <w:hideMark/>
          </w:tcPr>
          <w:p w14:paraId="31A6F3AE"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4.626 </w:t>
            </w:r>
          </w:p>
        </w:tc>
        <w:tc>
          <w:tcPr>
            <w:tcW w:w="1225" w:type="dxa"/>
            <w:tcBorders>
              <w:top w:val="single" w:sz="4" w:space="0" w:color="AAB8C4"/>
              <w:left w:val="nil"/>
              <w:bottom w:val="single" w:sz="8" w:space="0" w:color="AAB8C4"/>
              <w:right w:val="nil"/>
            </w:tcBorders>
            <w:vAlign w:val="bottom"/>
            <w:hideMark/>
          </w:tcPr>
          <w:p w14:paraId="6CDF30D3"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5.755 </w:t>
            </w:r>
          </w:p>
        </w:tc>
        <w:tc>
          <w:tcPr>
            <w:tcW w:w="933" w:type="dxa"/>
            <w:tcBorders>
              <w:top w:val="single" w:sz="4" w:space="0" w:color="BFBFBF"/>
              <w:left w:val="nil"/>
              <w:bottom w:val="single" w:sz="8" w:space="0" w:color="BFBFBF"/>
              <w:right w:val="nil"/>
            </w:tcBorders>
            <w:vAlign w:val="bottom"/>
            <w:hideMark/>
          </w:tcPr>
          <w:p w14:paraId="49610DF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(15)</w:t>
            </w:r>
          </w:p>
        </w:tc>
        <w:tc>
          <w:tcPr>
            <w:tcW w:w="1123" w:type="dxa"/>
            <w:tcBorders>
              <w:top w:val="nil"/>
              <w:left w:val="nil"/>
              <w:bottom w:val="single" w:sz="8" w:space="0" w:color="BFBFBF"/>
              <w:right w:val="nil"/>
            </w:tcBorders>
            <w:vAlign w:val="bottom"/>
            <w:hideMark/>
          </w:tcPr>
          <w:p w14:paraId="2B613ADC" w14:textId="3E751F98" w:rsidR="00B65EDC" w:rsidRPr="004421A9" w:rsidRDefault="00B65EDC" w:rsidP="00CD4E21">
            <w:pPr>
              <w:jc w:val="right"/>
              <w:rPr>
                <w:rFonts w:ascii="Arial Narrow" w:hAnsi="Arial Narrow" w:cs="Arial"/>
                <w:b/>
                <w:bCs/>
              </w:rPr>
            </w:pPr>
            <w:r w:rsidRPr="004421A9">
              <w:rPr>
                <w:rFonts w:ascii="Arial Narrow" w:hAnsi="Arial Narrow" w:cs="Arial"/>
                <w:b/>
                <w:bCs/>
              </w:rPr>
              <w:t>0</w:t>
            </w:r>
            <w:r w:rsidR="004C4EB5" w:rsidRPr="004421A9">
              <w:rPr>
                <w:rFonts w:ascii="Arial Narrow" w:hAnsi="Arial Narrow" w:cs="Arial"/>
              </w:rPr>
              <w:t xml:space="preserve"> %</w:t>
            </w:r>
          </w:p>
        </w:tc>
        <w:tc>
          <w:tcPr>
            <w:tcW w:w="1218" w:type="dxa"/>
            <w:tcBorders>
              <w:top w:val="single" w:sz="4" w:space="0" w:color="AAB8C4"/>
              <w:left w:val="nil"/>
              <w:bottom w:val="single" w:sz="8" w:space="0" w:color="AAB8C4"/>
              <w:right w:val="nil"/>
            </w:tcBorders>
            <w:vAlign w:val="bottom"/>
            <w:hideMark/>
          </w:tcPr>
          <w:p w14:paraId="4C1BCF01"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5.740</w:t>
            </w:r>
          </w:p>
        </w:tc>
      </w:tr>
      <w:tr w:rsidR="00B65EDC" w:rsidRPr="004421A9" w14:paraId="24116368" w14:textId="77777777" w:rsidTr="007D74F3">
        <w:trPr>
          <w:trHeight w:val="258"/>
          <w:jc w:val="center"/>
        </w:trPr>
        <w:tc>
          <w:tcPr>
            <w:tcW w:w="419" w:type="dxa"/>
            <w:tcBorders>
              <w:top w:val="nil"/>
              <w:left w:val="nil"/>
              <w:bottom w:val="nil"/>
              <w:right w:val="nil"/>
            </w:tcBorders>
            <w:noWrap/>
            <w:vAlign w:val="bottom"/>
            <w:hideMark/>
          </w:tcPr>
          <w:p w14:paraId="1A2DC445"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noWrap/>
            <w:vAlign w:val="bottom"/>
            <w:hideMark/>
          </w:tcPr>
          <w:p w14:paraId="68CF3E3E" w14:textId="77777777" w:rsidR="00B65EDC" w:rsidRPr="004421A9" w:rsidRDefault="00B65EDC" w:rsidP="00CD4E21">
            <w:pPr>
              <w:jc w:val="left"/>
              <w:rPr>
                <w:rFonts w:ascii="Times New Roman" w:hAnsi="Times New Roman"/>
              </w:rPr>
            </w:pPr>
          </w:p>
        </w:tc>
        <w:tc>
          <w:tcPr>
            <w:tcW w:w="1142" w:type="dxa"/>
            <w:tcBorders>
              <w:top w:val="nil"/>
              <w:left w:val="nil"/>
              <w:bottom w:val="nil"/>
              <w:right w:val="nil"/>
            </w:tcBorders>
            <w:noWrap/>
            <w:vAlign w:val="bottom"/>
            <w:hideMark/>
          </w:tcPr>
          <w:p w14:paraId="7193ACAF" w14:textId="77777777" w:rsidR="00B65EDC" w:rsidRPr="004421A9" w:rsidRDefault="00B65EDC" w:rsidP="00CD4E21">
            <w:pPr>
              <w:jc w:val="left"/>
              <w:rPr>
                <w:rFonts w:ascii="Times New Roman" w:hAnsi="Times New Roman"/>
              </w:rPr>
            </w:pPr>
          </w:p>
        </w:tc>
        <w:tc>
          <w:tcPr>
            <w:tcW w:w="1225" w:type="dxa"/>
            <w:tcBorders>
              <w:top w:val="nil"/>
              <w:left w:val="nil"/>
              <w:bottom w:val="nil"/>
              <w:right w:val="nil"/>
            </w:tcBorders>
            <w:noWrap/>
            <w:vAlign w:val="bottom"/>
            <w:hideMark/>
          </w:tcPr>
          <w:p w14:paraId="49549F73" w14:textId="77777777" w:rsidR="00B65EDC" w:rsidRPr="004421A9" w:rsidRDefault="00B65EDC" w:rsidP="00CD4E21">
            <w:pPr>
              <w:jc w:val="left"/>
              <w:rPr>
                <w:rFonts w:ascii="Times New Roman" w:hAnsi="Times New Roman"/>
              </w:rPr>
            </w:pPr>
          </w:p>
        </w:tc>
        <w:tc>
          <w:tcPr>
            <w:tcW w:w="933" w:type="dxa"/>
            <w:tcBorders>
              <w:top w:val="nil"/>
              <w:left w:val="nil"/>
              <w:bottom w:val="nil"/>
              <w:right w:val="nil"/>
            </w:tcBorders>
            <w:noWrap/>
            <w:vAlign w:val="bottom"/>
            <w:hideMark/>
          </w:tcPr>
          <w:p w14:paraId="4E75CB94" w14:textId="77777777" w:rsidR="00B65EDC" w:rsidRPr="004421A9" w:rsidRDefault="00B65EDC" w:rsidP="00CD4E21">
            <w:pPr>
              <w:jc w:val="left"/>
              <w:rPr>
                <w:rFonts w:ascii="Times New Roman" w:hAnsi="Times New Roman"/>
              </w:rPr>
            </w:pPr>
          </w:p>
        </w:tc>
        <w:tc>
          <w:tcPr>
            <w:tcW w:w="1123" w:type="dxa"/>
            <w:tcBorders>
              <w:top w:val="nil"/>
              <w:left w:val="nil"/>
              <w:bottom w:val="nil"/>
              <w:right w:val="nil"/>
            </w:tcBorders>
            <w:noWrap/>
            <w:vAlign w:val="bottom"/>
            <w:hideMark/>
          </w:tcPr>
          <w:p w14:paraId="180FCD93" w14:textId="77777777" w:rsidR="00B65EDC" w:rsidRPr="004421A9" w:rsidRDefault="00B65EDC" w:rsidP="00CD4E21">
            <w:pPr>
              <w:jc w:val="left"/>
              <w:rPr>
                <w:rFonts w:ascii="Times New Roman" w:hAnsi="Times New Roman"/>
              </w:rPr>
            </w:pPr>
          </w:p>
        </w:tc>
        <w:tc>
          <w:tcPr>
            <w:tcW w:w="1218" w:type="dxa"/>
            <w:tcBorders>
              <w:top w:val="nil"/>
              <w:left w:val="nil"/>
              <w:bottom w:val="nil"/>
              <w:right w:val="nil"/>
            </w:tcBorders>
            <w:noWrap/>
            <w:vAlign w:val="bottom"/>
            <w:hideMark/>
          </w:tcPr>
          <w:p w14:paraId="314E4DF4" w14:textId="77777777" w:rsidR="00B65EDC" w:rsidRPr="004421A9" w:rsidRDefault="00B65EDC" w:rsidP="00CD4E21">
            <w:pPr>
              <w:jc w:val="left"/>
              <w:rPr>
                <w:rFonts w:ascii="Times New Roman" w:hAnsi="Times New Roman"/>
              </w:rPr>
            </w:pPr>
          </w:p>
        </w:tc>
      </w:tr>
      <w:tr w:rsidR="00B65EDC" w:rsidRPr="004421A9" w14:paraId="52809E92" w14:textId="77777777" w:rsidTr="007D74F3">
        <w:trPr>
          <w:trHeight w:val="382"/>
          <w:jc w:val="center"/>
        </w:trPr>
        <w:tc>
          <w:tcPr>
            <w:tcW w:w="3542" w:type="dxa"/>
            <w:gridSpan w:val="2"/>
            <w:tcBorders>
              <w:top w:val="nil"/>
              <w:left w:val="nil"/>
              <w:bottom w:val="nil"/>
              <w:right w:val="nil"/>
            </w:tcBorders>
            <w:noWrap/>
            <w:vAlign w:val="center"/>
            <w:hideMark/>
          </w:tcPr>
          <w:p w14:paraId="4A1F577C" w14:textId="2B6701C6" w:rsidR="00B65EDC" w:rsidRPr="004421A9" w:rsidRDefault="00B65EDC" w:rsidP="00CD4E21">
            <w:pPr>
              <w:jc w:val="left"/>
              <w:rPr>
                <w:rFonts w:ascii="Arial Narrow" w:hAnsi="Arial Narrow" w:cs="Arial"/>
                <w:b/>
                <w:bCs/>
                <w:sz w:val="22"/>
                <w:szCs w:val="22"/>
              </w:rPr>
            </w:pPr>
            <w:r w:rsidRPr="004421A9">
              <w:rPr>
                <w:rFonts w:ascii="Arial Narrow" w:hAnsi="Arial Narrow" w:cs="Arial"/>
                <w:b/>
                <w:bCs/>
                <w:sz w:val="22"/>
                <w:szCs w:val="22"/>
              </w:rPr>
              <w:t>B.</w:t>
            </w:r>
            <w:r w:rsidR="00877E3D" w:rsidRPr="004421A9">
              <w:rPr>
                <w:rFonts w:ascii="Arial Narrow" w:hAnsi="Arial Narrow" w:cs="Arial"/>
                <w:b/>
                <w:bCs/>
                <w:sz w:val="22"/>
                <w:szCs w:val="22"/>
              </w:rPr>
              <w:t xml:space="preserve"> </w:t>
            </w:r>
            <w:r w:rsidR="007D6523" w:rsidRPr="004421A9">
              <w:rPr>
                <w:rFonts w:ascii="Arial Narrow" w:hAnsi="Arial Narrow" w:cs="Arial"/>
                <w:b/>
                <w:bCs/>
                <w:sz w:val="22"/>
                <w:szCs w:val="22"/>
              </w:rPr>
              <w:t>Nichtpersonalkosten</w:t>
            </w:r>
          </w:p>
        </w:tc>
        <w:tc>
          <w:tcPr>
            <w:tcW w:w="1142" w:type="dxa"/>
            <w:tcBorders>
              <w:top w:val="nil"/>
              <w:left w:val="nil"/>
              <w:bottom w:val="nil"/>
              <w:right w:val="nil"/>
            </w:tcBorders>
            <w:vAlign w:val="center"/>
            <w:hideMark/>
          </w:tcPr>
          <w:p w14:paraId="2F6C0D8F" w14:textId="77777777" w:rsidR="00B65EDC" w:rsidRPr="004421A9" w:rsidRDefault="00B65EDC" w:rsidP="00CD4E21">
            <w:pPr>
              <w:jc w:val="left"/>
              <w:rPr>
                <w:rFonts w:ascii="Arial Narrow" w:hAnsi="Arial Narrow" w:cs="Arial"/>
                <w:b/>
                <w:bCs/>
                <w:sz w:val="22"/>
                <w:szCs w:val="22"/>
              </w:rPr>
            </w:pPr>
          </w:p>
        </w:tc>
        <w:tc>
          <w:tcPr>
            <w:tcW w:w="1225" w:type="dxa"/>
            <w:tcBorders>
              <w:top w:val="nil"/>
              <w:left w:val="nil"/>
              <w:bottom w:val="nil"/>
              <w:right w:val="nil"/>
            </w:tcBorders>
            <w:vAlign w:val="center"/>
            <w:hideMark/>
          </w:tcPr>
          <w:p w14:paraId="5F50F4CC" w14:textId="77777777" w:rsidR="00B65EDC" w:rsidRPr="004421A9" w:rsidRDefault="00B65EDC" w:rsidP="00CD4E21">
            <w:pPr>
              <w:jc w:val="left"/>
              <w:rPr>
                <w:rFonts w:ascii="Times New Roman" w:hAnsi="Times New Roman"/>
              </w:rPr>
            </w:pPr>
          </w:p>
        </w:tc>
        <w:tc>
          <w:tcPr>
            <w:tcW w:w="933" w:type="dxa"/>
            <w:tcBorders>
              <w:top w:val="nil"/>
              <w:left w:val="nil"/>
              <w:bottom w:val="nil"/>
              <w:right w:val="nil"/>
            </w:tcBorders>
            <w:vAlign w:val="center"/>
            <w:hideMark/>
          </w:tcPr>
          <w:p w14:paraId="3FCC2BBF" w14:textId="77777777" w:rsidR="00B65EDC" w:rsidRPr="004421A9" w:rsidRDefault="00B65EDC" w:rsidP="00CD4E21">
            <w:pPr>
              <w:jc w:val="left"/>
              <w:rPr>
                <w:rFonts w:ascii="Times New Roman" w:hAnsi="Times New Roman"/>
              </w:rPr>
            </w:pPr>
          </w:p>
        </w:tc>
        <w:tc>
          <w:tcPr>
            <w:tcW w:w="1123" w:type="dxa"/>
            <w:tcBorders>
              <w:top w:val="nil"/>
              <w:left w:val="nil"/>
              <w:bottom w:val="nil"/>
              <w:right w:val="nil"/>
            </w:tcBorders>
            <w:vAlign w:val="center"/>
            <w:hideMark/>
          </w:tcPr>
          <w:p w14:paraId="16B71EF9" w14:textId="77777777" w:rsidR="00B65EDC" w:rsidRPr="004421A9" w:rsidRDefault="00B65EDC" w:rsidP="00CD4E21">
            <w:pPr>
              <w:jc w:val="left"/>
              <w:rPr>
                <w:rFonts w:ascii="Times New Roman" w:hAnsi="Times New Roman"/>
              </w:rPr>
            </w:pPr>
          </w:p>
        </w:tc>
        <w:tc>
          <w:tcPr>
            <w:tcW w:w="1218" w:type="dxa"/>
            <w:tcBorders>
              <w:top w:val="nil"/>
              <w:left w:val="nil"/>
              <w:bottom w:val="nil"/>
              <w:right w:val="nil"/>
            </w:tcBorders>
            <w:vAlign w:val="center"/>
            <w:hideMark/>
          </w:tcPr>
          <w:p w14:paraId="0A2BEF1B" w14:textId="77777777" w:rsidR="00B65EDC" w:rsidRPr="004421A9" w:rsidRDefault="00B65EDC" w:rsidP="00CD4E21">
            <w:pPr>
              <w:jc w:val="left"/>
              <w:rPr>
                <w:rFonts w:ascii="Times New Roman" w:hAnsi="Times New Roman"/>
              </w:rPr>
            </w:pPr>
          </w:p>
        </w:tc>
      </w:tr>
      <w:tr w:rsidR="00B65EDC" w:rsidRPr="004421A9" w14:paraId="0047F249" w14:textId="77777777" w:rsidTr="007D74F3">
        <w:trPr>
          <w:trHeight w:val="352"/>
          <w:jc w:val="center"/>
        </w:trPr>
        <w:tc>
          <w:tcPr>
            <w:tcW w:w="419" w:type="dxa"/>
            <w:tcBorders>
              <w:top w:val="nil"/>
              <w:left w:val="nil"/>
              <w:bottom w:val="nil"/>
              <w:right w:val="nil"/>
            </w:tcBorders>
            <w:noWrap/>
            <w:vAlign w:val="bottom"/>
            <w:hideMark/>
          </w:tcPr>
          <w:p w14:paraId="2B5036FC" w14:textId="77777777" w:rsidR="00B65EDC" w:rsidRPr="004421A9" w:rsidRDefault="00B65EDC" w:rsidP="00CD4E21">
            <w:pPr>
              <w:jc w:val="left"/>
              <w:rPr>
                <w:rFonts w:ascii="Times New Roman" w:hAnsi="Times New Roman"/>
              </w:rPr>
            </w:pPr>
          </w:p>
        </w:tc>
        <w:tc>
          <w:tcPr>
            <w:tcW w:w="3123" w:type="dxa"/>
            <w:tcBorders>
              <w:top w:val="nil"/>
              <w:left w:val="nil"/>
              <w:bottom w:val="nil"/>
              <w:right w:val="nil"/>
            </w:tcBorders>
            <w:vAlign w:val="bottom"/>
            <w:hideMark/>
          </w:tcPr>
          <w:p w14:paraId="3F5A2342" w14:textId="77777777" w:rsidR="00B65EDC" w:rsidRPr="004421A9" w:rsidRDefault="00B65EDC" w:rsidP="00CD4E21">
            <w:pPr>
              <w:jc w:val="left"/>
              <w:rPr>
                <w:rFonts w:ascii="Arial Narrow" w:hAnsi="Arial Narrow" w:cs="Arial"/>
                <w:b/>
                <w:bCs/>
              </w:rPr>
            </w:pPr>
            <w:r w:rsidRPr="004421A9">
              <w:rPr>
                <w:rFonts w:ascii="Arial Narrow" w:hAnsi="Arial Narrow" w:cs="Arial"/>
                <w:b/>
                <w:bCs/>
              </w:rPr>
              <w:t>Praktika und Stipendien</w:t>
            </w:r>
          </w:p>
        </w:tc>
        <w:tc>
          <w:tcPr>
            <w:tcW w:w="1142" w:type="dxa"/>
            <w:tcBorders>
              <w:top w:val="nil"/>
              <w:left w:val="nil"/>
              <w:bottom w:val="nil"/>
              <w:right w:val="nil"/>
            </w:tcBorders>
            <w:vAlign w:val="bottom"/>
            <w:hideMark/>
          </w:tcPr>
          <w:p w14:paraId="00078049"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bottom"/>
            <w:hideMark/>
          </w:tcPr>
          <w:p w14:paraId="3AD113D0" w14:textId="77777777" w:rsidR="00B65EDC" w:rsidRPr="004421A9" w:rsidRDefault="00B65EDC" w:rsidP="00CD4E21">
            <w:pPr>
              <w:jc w:val="left"/>
              <w:rPr>
                <w:rFonts w:ascii="Times New Roman" w:hAnsi="Times New Roman"/>
              </w:rPr>
            </w:pPr>
          </w:p>
        </w:tc>
        <w:tc>
          <w:tcPr>
            <w:tcW w:w="933" w:type="dxa"/>
            <w:tcBorders>
              <w:top w:val="nil"/>
              <w:left w:val="nil"/>
              <w:bottom w:val="nil"/>
              <w:right w:val="nil"/>
            </w:tcBorders>
            <w:vAlign w:val="bottom"/>
            <w:hideMark/>
          </w:tcPr>
          <w:p w14:paraId="01F1DB40" w14:textId="77777777" w:rsidR="00B65EDC" w:rsidRPr="004421A9" w:rsidRDefault="00B65EDC" w:rsidP="00CD4E21">
            <w:pPr>
              <w:jc w:val="left"/>
              <w:rPr>
                <w:rFonts w:ascii="Times New Roman" w:hAnsi="Times New Roman"/>
              </w:rPr>
            </w:pPr>
          </w:p>
        </w:tc>
        <w:tc>
          <w:tcPr>
            <w:tcW w:w="1123" w:type="dxa"/>
            <w:tcBorders>
              <w:top w:val="nil"/>
              <w:left w:val="nil"/>
              <w:bottom w:val="nil"/>
              <w:right w:val="nil"/>
            </w:tcBorders>
            <w:vAlign w:val="bottom"/>
            <w:hideMark/>
          </w:tcPr>
          <w:p w14:paraId="3674C858" w14:textId="77777777" w:rsidR="00B65EDC" w:rsidRPr="004421A9" w:rsidRDefault="00B65EDC" w:rsidP="00CD4E21">
            <w:pPr>
              <w:jc w:val="left"/>
              <w:rPr>
                <w:rFonts w:ascii="Times New Roman" w:hAnsi="Times New Roman"/>
              </w:rPr>
            </w:pPr>
          </w:p>
        </w:tc>
        <w:tc>
          <w:tcPr>
            <w:tcW w:w="1218" w:type="dxa"/>
            <w:tcBorders>
              <w:top w:val="nil"/>
              <w:left w:val="nil"/>
              <w:bottom w:val="nil"/>
              <w:right w:val="nil"/>
            </w:tcBorders>
            <w:vAlign w:val="bottom"/>
            <w:hideMark/>
          </w:tcPr>
          <w:p w14:paraId="3936A440" w14:textId="77777777" w:rsidR="00B65EDC" w:rsidRPr="004421A9" w:rsidRDefault="00B65EDC" w:rsidP="00CD4E21">
            <w:pPr>
              <w:jc w:val="left"/>
              <w:rPr>
                <w:rFonts w:ascii="Times New Roman" w:hAnsi="Times New Roman"/>
              </w:rPr>
            </w:pPr>
          </w:p>
        </w:tc>
      </w:tr>
      <w:tr w:rsidR="00B65EDC" w:rsidRPr="004421A9" w14:paraId="573D3EBF" w14:textId="77777777" w:rsidTr="007D74F3">
        <w:trPr>
          <w:trHeight w:val="352"/>
          <w:jc w:val="center"/>
        </w:trPr>
        <w:tc>
          <w:tcPr>
            <w:tcW w:w="419" w:type="dxa"/>
            <w:tcBorders>
              <w:top w:val="nil"/>
              <w:left w:val="nil"/>
              <w:bottom w:val="nil"/>
              <w:right w:val="nil"/>
            </w:tcBorders>
            <w:noWrap/>
            <w:vAlign w:val="bottom"/>
            <w:hideMark/>
          </w:tcPr>
          <w:p w14:paraId="6326957C" w14:textId="77777777" w:rsidR="00B65EDC" w:rsidRPr="004421A9" w:rsidRDefault="00B65EDC" w:rsidP="00CD4E21">
            <w:pPr>
              <w:jc w:val="left"/>
              <w:rPr>
                <w:rFonts w:ascii="Times New Roman" w:hAnsi="Times New Roman"/>
              </w:rPr>
            </w:pPr>
          </w:p>
        </w:tc>
        <w:tc>
          <w:tcPr>
            <w:tcW w:w="3123" w:type="dxa"/>
            <w:tcBorders>
              <w:top w:val="nil"/>
              <w:left w:val="nil"/>
              <w:bottom w:val="nil"/>
              <w:right w:val="nil"/>
            </w:tcBorders>
            <w:vAlign w:val="bottom"/>
            <w:hideMark/>
          </w:tcPr>
          <w:p w14:paraId="5A41B460" w14:textId="77777777" w:rsidR="00B65EDC" w:rsidRPr="004421A9" w:rsidRDefault="00B65EDC" w:rsidP="00CD4E21">
            <w:pPr>
              <w:ind w:firstLineChars="200" w:firstLine="400"/>
              <w:jc w:val="left"/>
              <w:rPr>
                <w:rFonts w:ascii="Arial Narrow" w:hAnsi="Arial Narrow" w:cs="Arial"/>
                <w:i/>
                <w:iCs/>
              </w:rPr>
            </w:pPr>
            <w:r w:rsidRPr="004421A9">
              <w:rPr>
                <w:rFonts w:ascii="Arial Narrow" w:hAnsi="Arial Narrow" w:cs="Arial"/>
                <w:i/>
                <w:iCs/>
              </w:rPr>
              <w:t>Praktika</w:t>
            </w:r>
          </w:p>
        </w:tc>
        <w:tc>
          <w:tcPr>
            <w:tcW w:w="1142" w:type="dxa"/>
            <w:tcBorders>
              <w:top w:val="nil"/>
              <w:left w:val="nil"/>
              <w:bottom w:val="nil"/>
              <w:right w:val="nil"/>
            </w:tcBorders>
            <w:vAlign w:val="bottom"/>
            <w:hideMark/>
          </w:tcPr>
          <w:p w14:paraId="25B1B88B"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2E017507"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15 </w:t>
            </w:r>
          </w:p>
        </w:tc>
        <w:tc>
          <w:tcPr>
            <w:tcW w:w="933" w:type="dxa"/>
            <w:tcBorders>
              <w:top w:val="nil"/>
              <w:left w:val="nil"/>
              <w:bottom w:val="nil"/>
              <w:right w:val="nil"/>
            </w:tcBorders>
            <w:vAlign w:val="bottom"/>
            <w:hideMark/>
          </w:tcPr>
          <w:p w14:paraId="08F360CB" w14:textId="77777777" w:rsidR="00B65EDC" w:rsidRPr="004421A9" w:rsidRDefault="00B65EDC" w:rsidP="00CD4E21">
            <w:pPr>
              <w:jc w:val="right"/>
              <w:rPr>
                <w:rFonts w:ascii="Arial Narrow" w:hAnsi="Arial Narrow" w:cs="Arial"/>
              </w:rPr>
            </w:pPr>
            <w:r w:rsidRPr="004421A9">
              <w:rPr>
                <w:rFonts w:ascii="Arial Narrow" w:hAnsi="Arial Narrow" w:cs="Arial"/>
              </w:rPr>
              <w:t>(15)</w:t>
            </w:r>
          </w:p>
        </w:tc>
        <w:tc>
          <w:tcPr>
            <w:tcW w:w="1123" w:type="dxa"/>
            <w:tcBorders>
              <w:top w:val="nil"/>
              <w:left w:val="nil"/>
              <w:bottom w:val="nil"/>
              <w:right w:val="nil"/>
            </w:tcBorders>
            <w:vAlign w:val="bottom"/>
            <w:hideMark/>
          </w:tcPr>
          <w:p w14:paraId="7BD4F7A7" w14:textId="77777777" w:rsidR="00B65EDC" w:rsidRPr="004421A9" w:rsidRDefault="00B65EDC" w:rsidP="00CD4E21">
            <w:pPr>
              <w:jc w:val="right"/>
              <w:rPr>
                <w:rFonts w:ascii="Arial Narrow" w:hAnsi="Arial Narrow" w:cs="Arial"/>
              </w:rPr>
            </w:pPr>
            <w:r w:rsidRPr="004421A9">
              <w:rPr>
                <w:rFonts w:ascii="Arial Narrow" w:hAnsi="Arial Narrow" w:cs="Arial"/>
              </w:rPr>
              <w:t>-100 %</w:t>
            </w:r>
          </w:p>
        </w:tc>
        <w:tc>
          <w:tcPr>
            <w:tcW w:w="1218" w:type="dxa"/>
            <w:tcBorders>
              <w:top w:val="nil"/>
              <w:left w:val="nil"/>
              <w:bottom w:val="nil"/>
              <w:right w:val="nil"/>
            </w:tcBorders>
            <w:vAlign w:val="bottom"/>
            <w:hideMark/>
          </w:tcPr>
          <w:p w14:paraId="342DAC71" w14:textId="77777777" w:rsidR="00B65EDC" w:rsidRPr="004421A9" w:rsidRDefault="00B65EDC" w:rsidP="00CD4E21">
            <w:pPr>
              <w:jc w:val="right"/>
              <w:rPr>
                <w:rFonts w:ascii="Arial Narrow" w:hAnsi="Arial Narrow" w:cs="Arial"/>
              </w:rPr>
            </w:pPr>
            <w:r w:rsidRPr="004421A9">
              <w:rPr>
                <w:rFonts w:ascii="Arial Narrow" w:hAnsi="Arial Narrow" w:cs="Arial"/>
              </w:rPr>
              <w:t>-</w:t>
            </w:r>
          </w:p>
        </w:tc>
      </w:tr>
      <w:tr w:rsidR="00B65EDC" w:rsidRPr="004421A9" w14:paraId="3F35DC65" w14:textId="77777777" w:rsidTr="007D74F3">
        <w:trPr>
          <w:trHeight w:val="352"/>
          <w:jc w:val="center"/>
        </w:trPr>
        <w:tc>
          <w:tcPr>
            <w:tcW w:w="419" w:type="dxa"/>
            <w:tcBorders>
              <w:top w:val="nil"/>
              <w:left w:val="nil"/>
              <w:bottom w:val="nil"/>
              <w:right w:val="nil"/>
            </w:tcBorders>
            <w:noWrap/>
            <w:vAlign w:val="bottom"/>
            <w:hideMark/>
          </w:tcPr>
          <w:p w14:paraId="639CFB1A"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185A0CDC" w14:textId="77777777" w:rsidR="00B65EDC" w:rsidRPr="004421A9" w:rsidRDefault="00B65EDC" w:rsidP="00CD4E21">
            <w:pPr>
              <w:ind w:firstLineChars="200" w:firstLine="400"/>
              <w:jc w:val="left"/>
              <w:rPr>
                <w:rFonts w:ascii="Arial Narrow" w:hAnsi="Arial Narrow" w:cs="Arial"/>
                <w:i/>
                <w:iCs/>
              </w:rPr>
            </w:pPr>
            <w:r w:rsidRPr="004421A9">
              <w:rPr>
                <w:rFonts w:ascii="Arial Narrow" w:hAnsi="Arial Narrow" w:cs="Arial"/>
                <w:i/>
                <w:iCs/>
              </w:rPr>
              <w:t>Stipendien</w:t>
            </w:r>
          </w:p>
        </w:tc>
        <w:tc>
          <w:tcPr>
            <w:tcW w:w="1142" w:type="dxa"/>
            <w:tcBorders>
              <w:top w:val="nil"/>
              <w:left w:val="nil"/>
              <w:bottom w:val="nil"/>
              <w:right w:val="nil"/>
            </w:tcBorders>
            <w:vAlign w:val="bottom"/>
            <w:hideMark/>
          </w:tcPr>
          <w:p w14:paraId="51AC036D"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4F0C4C95"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15 </w:t>
            </w:r>
          </w:p>
        </w:tc>
        <w:tc>
          <w:tcPr>
            <w:tcW w:w="933" w:type="dxa"/>
            <w:tcBorders>
              <w:top w:val="nil"/>
              <w:left w:val="nil"/>
              <w:bottom w:val="nil"/>
              <w:right w:val="nil"/>
            </w:tcBorders>
            <w:vAlign w:val="bottom"/>
            <w:hideMark/>
          </w:tcPr>
          <w:p w14:paraId="25E2BDC2" w14:textId="77777777" w:rsidR="00B65EDC" w:rsidRPr="004421A9" w:rsidRDefault="00B65EDC" w:rsidP="00CD4E21">
            <w:pPr>
              <w:jc w:val="right"/>
              <w:rPr>
                <w:rFonts w:ascii="Arial Narrow" w:hAnsi="Arial Narrow" w:cs="Arial"/>
              </w:rPr>
            </w:pPr>
            <w:r w:rsidRPr="004421A9">
              <w:rPr>
                <w:rFonts w:ascii="Arial Narrow" w:hAnsi="Arial Narrow" w:cs="Arial"/>
              </w:rPr>
              <w:t>(15)</w:t>
            </w:r>
          </w:p>
        </w:tc>
        <w:tc>
          <w:tcPr>
            <w:tcW w:w="1123" w:type="dxa"/>
            <w:tcBorders>
              <w:top w:val="nil"/>
              <w:left w:val="nil"/>
              <w:bottom w:val="nil"/>
              <w:right w:val="nil"/>
            </w:tcBorders>
            <w:vAlign w:val="bottom"/>
            <w:hideMark/>
          </w:tcPr>
          <w:p w14:paraId="069675D9" w14:textId="77777777" w:rsidR="00B65EDC" w:rsidRPr="004421A9" w:rsidRDefault="00B65EDC" w:rsidP="00CD4E21">
            <w:pPr>
              <w:jc w:val="right"/>
              <w:rPr>
                <w:rFonts w:ascii="Arial Narrow" w:hAnsi="Arial Narrow" w:cs="Arial"/>
              </w:rPr>
            </w:pPr>
            <w:r w:rsidRPr="004421A9">
              <w:rPr>
                <w:rFonts w:ascii="Arial Narrow" w:hAnsi="Arial Narrow" w:cs="Arial"/>
              </w:rPr>
              <w:t>-100 %</w:t>
            </w:r>
          </w:p>
        </w:tc>
        <w:tc>
          <w:tcPr>
            <w:tcW w:w="1218" w:type="dxa"/>
            <w:tcBorders>
              <w:top w:val="nil"/>
              <w:left w:val="nil"/>
              <w:bottom w:val="nil"/>
              <w:right w:val="nil"/>
            </w:tcBorders>
            <w:vAlign w:val="bottom"/>
            <w:hideMark/>
          </w:tcPr>
          <w:p w14:paraId="5533CC6A" w14:textId="77777777" w:rsidR="00B65EDC" w:rsidRPr="004421A9" w:rsidRDefault="00B65EDC" w:rsidP="00CD4E21">
            <w:pPr>
              <w:jc w:val="right"/>
              <w:rPr>
                <w:rFonts w:ascii="Arial Narrow" w:hAnsi="Arial Narrow" w:cs="Arial"/>
              </w:rPr>
            </w:pPr>
            <w:r w:rsidRPr="004421A9">
              <w:rPr>
                <w:rFonts w:ascii="Arial Narrow" w:hAnsi="Arial Narrow" w:cs="Arial"/>
              </w:rPr>
              <w:t>-</w:t>
            </w:r>
          </w:p>
        </w:tc>
      </w:tr>
      <w:tr w:rsidR="00B65EDC" w:rsidRPr="004421A9" w14:paraId="3EFC657B" w14:textId="77777777" w:rsidTr="007D74F3">
        <w:trPr>
          <w:trHeight w:val="352"/>
          <w:jc w:val="center"/>
        </w:trPr>
        <w:tc>
          <w:tcPr>
            <w:tcW w:w="419" w:type="dxa"/>
            <w:tcBorders>
              <w:top w:val="nil"/>
              <w:left w:val="nil"/>
              <w:bottom w:val="single" w:sz="4" w:space="0" w:color="A6A6A6"/>
              <w:right w:val="nil"/>
            </w:tcBorders>
            <w:noWrap/>
            <w:vAlign w:val="bottom"/>
            <w:hideMark/>
          </w:tcPr>
          <w:p w14:paraId="1054D906" w14:textId="77777777" w:rsidR="00B65EDC" w:rsidRPr="004421A9" w:rsidRDefault="00B65EDC" w:rsidP="00CD4E21">
            <w:pPr>
              <w:jc w:val="left"/>
              <w:rPr>
                <w:rFonts w:cs="Arial"/>
                <w:b/>
                <w:bCs/>
              </w:rPr>
            </w:pPr>
          </w:p>
        </w:tc>
        <w:tc>
          <w:tcPr>
            <w:tcW w:w="3123" w:type="dxa"/>
            <w:tcBorders>
              <w:top w:val="nil"/>
              <w:left w:val="nil"/>
              <w:bottom w:val="single" w:sz="4" w:space="0" w:color="A6A6A6"/>
              <w:right w:val="nil"/>
            </w:tcBorders>
            <w:vAlign w:val="bottom"/>
            <w:hideMark/>
          </w:tcPr>
          <w:p w14:paraId="221675DA"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6A6A6"/>
              <w:right w:val="nil"/>
            </w:tcBorders>
            <w:vAlign w:val="bottom"/>
            <w:hideMark/>
          </w:tcPr>
          <w:p w14:paraId="52B3E849" w14:textId="77777777" w:rsidR="00B65EDC" w:rsidRPr="004421A9" w:rsidRDefault="00B65EDC" w:rsidP="00CD4E21">
            <w:pPr>
              <w:jc w:val="right"/>
              <w:rPr>
                <w:rFonts w:ascii="Arial Narrow" w:hAnsi="Arial Narrow" w:cs="Arial"/>
                <w:b/>
                <w:bCs/>
              </w:rPr>
            </w:pPr>
            <w:r w:rsidRPr="004421A9">
              <w:rPr>
                <w:rFonts w:ascii="Arial Narrow" w:hAnsi="Arial Narrow" w:cs="Arial"/>
              </w:rPr>
              <w:t>-</w:t>
            </w:r>
          </w:p>
        </w:tc>
        <w:tc>
          <w:tcPr>
            <w:tcW w:w="1225" w:type="dxa"/>
            <w:tcBorders>
              <w:top w:val="nil"/>
              <w:left w:val="nil"/>
              <w:bottom w:val="single" w:sz="4" w:space="0" w:color="A6A6A6"/>
              <w:right w:val="nil"/>
            </w:tcBorders>
            <w:vAlign w:val="bottom"/>
            <w:hideMark/>
          </w:tcPr>
          <w:p w14:paraId="5AE32C48"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30 </w:t>
            </w:r>
          </w:p>
        </w:tc>
        <w:tc>
          <w:tcPr>
            <w:tcW w:w="933" w:type="dxa"/>
            <w:tcBorders>
              <w:top w:val="nil"/>
              <w:left w:val="nil"/>
              <w:bottom w:val="single" w:sz="4" w:space="0" w:color="A6A6A6"/>
              <w:right w:val="nil"/>
            </w:tcBorders>
            <w:vAlign w:val="bottom"/>
            <w:hideMark/>
          </w:tcPr>
          <w:p w14:paraId="5826B859"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(30)</w:t>
            </w:r>
          </w:p>
        </w:tc>
        <w:tc>
          <w:tcPr>
            <w:tcW w:w="1123" w:type="dxa"/>
            <w:tcBorders>
              <w:top w:val="nil"/>
              <w:left w:val="nil"/>
              <w:bottom w:val="single" w:sz="4" w:space="0" w:color="A6A6A6"/>
              <w:right w:val="nil"/>
            </w:tcBorders>
            <w:vAlign w:val="bottom"/>
            <w:hideMark/>
          </w:tcPr>
          <w:p w14:paraId="607B0147"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-100 %</w:t>
            </w:r>
          </w:p>
        </w:tc>
        <w:tc>
          <w:tcPr>
            <w:tcW w:w="1218" w:type="dxa"/>
            <w:tcBorders>
              <w:top w:val="nil"/>
              <w:left w:val="nil"/>
              <w:bottom w:val="single" w:sz="4" w:space="0" w:color="A6A6A6"/>
              <w:right w:val="nil"/>
            </w:tcBorders>
            <w:vAlign w:val="bottom"/>
            <w:hideMark/>
          </w:tcPr>
          <w:p w14:paraId="69ECDD8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0</w:t>
            </w:r>
          </w:p>
        </w:tc>
      </w:tr>
      <w:tr w:rsidR="00B65EDC" w:rsidRPr="004421A9" w14:paraId="37EDAF3A" w14:textId="77777777" w:rsidTr="007D74F3">
        <w:trPr>
          <w:trHeight w:val="455"/>
          <w:jc w:val="center"/>
        </w:trPr>
        <w:tc>
          <w:tcPr>
            <w:tcW w:w="419" w:type="dxa"/>
            <w:tcBorders>
              <w:top w:val="nil"/>
              <w:left w:val="nil"/>
              <w:bottom w:val="nil"/>
              <w:right w:val="nil"/>
            </w:tcBorders>
            <w:noWrap/>
            <w:vAlign w:val="bottom"/>
            <w:hideMark/>
          </w:tcPr>
          <w:p w14:paraId="73CDF1CD"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vAlign w:val="bottom"/>
            <w:hideMark/>
          </w:tcPr>
          <w:p w14:paraId="3EC248AC" w14:textId="2E6CDE38" w:rsidR="00B65EDC" w:rsidRPr="004421A9" w:rsidRDefault="00B65EDC" w:rsidP="00CD4E21">
            <w:pPr>
              <w:jc w:val="left"/>
              <w:rPr>
                <w:rFonts w:ascii="Arial Narrow" w:hAnsi="Arial Narrow" w:cs="Arial"/>
                <w:b/>
                <w:bCs/>
              </w:rPr>
            </w:pPr>
            <w:r w:rsidRPr="004421A9">
              <w:rPr>
                <w:rFonts w:ascii="Arial Narrow" w:hAnsi="Arial Narrow" w:cs="Arial"/>
                <w:b/>
                <w:bCs/>
              </w:rPr>
              <w:t xml:space="preserve">Reisen, </w:t>
            </w:r>
            <w:r w:rsidR="00D15DB9" w:rsidRPr="004421A9">
              <w:rPr>
                <w:rFonts w:ascii="Arial Narrow" w:hAnsi="Arial Narrow" w:cs="Arial"/>
                <w:b/>
                <w:bCs/>
              </w:rPr>
              <w:t>Ausbildung und Zuschüsse</w:t>
            </w:r>
          </w:p>
        </w:tc>
        <w:tc>
          <w:tcPr>
            <w:tcW w:w="1142" w:type="dxa"/>
            <w:tcBorders>
              <w:top w:val="nil"/>
              <w:left w:val="nil"/>
              <w:bottom w:val="nil"/>
              <w:right w:val="nil"/>
            </w:tcBorders>
            <w:vAlign w:val="center"/>
            <w:hideMark/>
          </w:tcPr>
          <w:p w14:paraId="3E6ACA6C"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center"/>
            <w:hideMark/>
          </w:tcPr>
          <w:p w14:paraId="21E46635" w14:textId="77777777" w:rsidR="00B65EDC" w:rsidRPr="004421A9" w:rsidRDefault="00B65EDC" w:rsidP="00CD4E21">
            <w:pPr>
              <w:jc w:val="right"/>
              <w:rPr>
                <w:rFonts w:ascii="Times New Roman" w:hAnsi="Times New Roman"/>
              </w:rPr>
            </w:pPr>
          </w:p>
        </w:tc>
        <w:tc>
          <w:tcPr>
            <w:tcW w:w="933" w:type="dxa"/>
            <w:tcBorders>
              <w:top w:val="nil"/>
              <w:left w:val="nil"/>
              <w:bottom w:val="nil"/>
              <w:right w:val="nil"/>
            </w:tcBorders>
            <w:vAlign w:val="center"/>
            <w:hideMark/>
          </w:tcPr>
          <w:p w14:paraId="5231B1FB" w14:textId="77777777" w:rsidR="00B65EDC" w:rsidRPr="004421A9" w:rsidRDefault="00B65EDC" w:rsidP="00CD4E21">
            <w:pPr>
              <w:jc w:val="right"/>
              <w:rPr>
                <w:rFonts w:ascii="Times New Roman" w:hAnsi="Times New Roman"/>
              </w:rPr>
            </w:pPr>
          </w:p>
        </w:tc>
        <w:tc>
          <w:tcPr>
            <w:tcW w:w="1123" w:type="dxa"/>
            <w:tcBorders>
              <w:top w:val="nil"/>
              <w:left w:val="nil"/>
              <w:bottom w:val="nil"/>
              <w:right w:val="nil"/>
            </w:tcBorders>
            <w:vAlign w:val="center"/>
            <w:hideMark/>
          </w:tcPr>
          <w:p w14:paraId="5785C2E6" w14:textId="77777777" w:rsidR="00B65EDC" w:rsidRPr="004421A9" w:rsidRDefault="00B65EDC" w:rsidP="00CD4E21">
            <w:pPr>
              <w:jc w:val="right"/>
              <w:rPr>
                <w:rFonts w:ascii="Times New Roman" w:hAnsi="Times New Roman"/>
              </w:rPr>
            </w:pPr>
          </w:p>
        </w:tc>
        <w:tc>
          <w:tcPr>
            <w:tcW w:w="1218" w:type="dxa"/>
            <w:tcBorders>
              <w:top w:val="nil"/>
              <w:left w:val="nil"/>
              <w:bottom w:val="nil"/>
              <w:right w:val="nil"/>
            </w:tcBorders>
            <w:vAlign w:val="center"/>
            <w:hideMark/>
          </w:tcPr>
          <w:p w14:paraId="4192CDCB" w14:textId="77777777" w:rsidR="00B65EDC" w:rsidRPr="004421A9" w:rsidRDefault="00B65EDC" w:rsidP="00CD4E21">
            <w:pPr>
              <w:jc w:val="right"/>
              <w:rPr>
                <w:rFonts w:ascii="Times New Roman" w:hAnsi="Times New Roman"/>
              </w:rPr>
            </w:pPr>
          </w:p>
        </w:tc>
      </w:tr>
      <w:tr w:rsidR="00B65EDC" w:rsidRPr="004421A9" w14:paraId="1D202C35" w14:textId="77777777" w:rsidTr="007D74F3">
        <w:trPr>
          <w:trHeight w:val="352"/>
          <w:jc w:val="center"/>
        </w:trPr>
        <w:tc>
          <w:tcPr>
            <w:tcW w:w="419" w:type="dxa"/>
            <w:tcBorders>
              <w:top w:val="nil"/>
              <w:left w:val="nil"/>
              <w:bottom w:val="nil"/>
              <w:right w:val="nil"/>
            </w:tcBorders>
            <w:noWrap/>
            <w:vAlign w:val="bottom"/>
            <w:hideMark/>
          </w:tcPr>
          <w:p w14:paraId="34680CAD" w14:textId="77777777" w:rsidR="00B65EDC" w:rsidRPr="004421A9" w:rsidRDefault="00B65EDC" w:rsidP="00CD4E21">
            <w:pPr>
              <w:jc w:val="right"/>
              <w:rPr>
                <w:rFonts w:ascii="Times New Roman" w:hAnsi="Times New Roman"/>
              </w:rPr>
            </w:pPr>
          </w:p>
        </w:tc>
        <w:tc>
          <w:tcPr>
            <w:tcW w:w="3123" w:type="dxa"/>
            <w:tcBorders>
              <w:top w:val="nil"/>
              <w:left w:val="nil"/>
              <w:bottom w:val="nil"/>
              <w:right w:val="nil"/>
            </w:tcBorders>
            <w:vAlign w:val="bottom"/>
            <w:hideMark/>
          </w:tcPr>
          <w:p w14:paraId="16BB2310" w14:textId="77777777" w:rsidR="00B65EDC" w:rsidRPr="004421A9" w:rsidRDefault="00B65ED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Dienstreisen</w:t>
            </w:r>
          </w:p>
        </w:tc>
        <w:tc>
          <w:tcPr>
            <w:tcW w:w="1142" w:type="dxa"/>
            <w:tcBorders>
              <w:top w:val="nil"/>
              <w:left w:val="nil"/>
              <w:bottom w:val="nil"/>
              <w:right w:val="nil"/>
            </w:tcBorders>
            <w:vAlign w:val="bottom"/>
            <w:hideMark/>
          </w:tcPr>
          <w:p w14:paraId="243CEAF7"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99 </w:t>
            </w:r>
          </w:p>
        </w:tc>
        <w:tc>
          <w:tcPr>
            <w:tcW w:w="1225" w:type="dxa"/>
            <w:tcBorders>
              <w:top w:val="nil"/>
              <w:left w:val="nil"/>
              <w:bottom w:val="nil"/>
              <w:right w:val="nil"/>
            </w:tcBorders>
            <w:vAlign w:val="bottom"/>
            <w:hideMark/>
          </w:tcPr>
          <w:p w14:paraId="500ECA84"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145 </w:t>
            </w:r>
          </w:p>
        </w:tc>
        <w:tc>
          <w:tcPr>
            <w:tcW w:w="933" w:type="dxa"/>
            <w:tcBorders>
              <w:top w:val="nil"/>
              <w:left w:val="nil"/>
              <w:bottom w:val="nil"/>
              <w:right w:val="nil"/>
            </w:tcBorders>
            <w:vAlign w:val="bottom"/>
            <w:hideMark/>
          </w:tcPr>
          <w:p w14:paraId="627BFA0D" w14:textId="77777777" w:rsidR="00B65EDC" w:rsidRPr="004421A9" w:rsidRDefault="00B65EDC" w:rsidP="00CD4E21">
            <w:pPr>
              <w:jc w:val="right"/>
              <w:rPr>
                <w:rFonts w:ascii="Arial Narrow" w:hAnsi="Arial Narrow" w:cs="Arial"/>
              </w:rPr>
            </w:pPr>
            <w:r w:rsidRPr="004421A9">
              <w:rPr>
                <w:rFonts w:ascii="Arial Narrow" w:hAnsi="Arial Narrow" w:cs="Arial"/>
              </w:rPr>
              <w:t>(45)</w:t>
            </w:r>
          </w:p>
        </w:tc>
        <w:tc>
          <w:tcPr>
            <w:tcW w:w="1123" w:type="dxa"/>
            <w:tcBorders>
              <w:top w:val="nil"/>
              <w:left w:val="nil"/>
              <w:bottom w:val="nil"/>
              <w:right w:val="nil"/>
            </w:tcBorders>
            <w:vAlign w:val="bottom"/>
            <w:hideMark/>
          </w:tcPr>
          <w:p w14:paraId="4934A53B" w14:textId="7A982832" w:rsidR="00B65EDC" w:rsidRPr="004421A9" w:rsidRDefault="00B65EDC" w:rsidP="00CD4E21">
            <w:pPr>
              <w:jc w:val="right"/>
              <w:rPr>
                <w:rFonts w:ascii="Arial Narrow" w:hAnsi="Arial Narrow" w:cs="Arial"/>
              </w:rPr>
            </w:pPr>
            <w:r w:rsidRPr="004421A9">
              <w:rPr>
                <w:rFonts w:ascii="Arial Narrow" w:hAnsi="Arial Narrow" w:cs="Arial"/>
              </w:rPr>
              <w:t>-31</w:t>
            </w:r>
            <w:r w:rsidR="004C4EB5" w:rsidRPr="004421A9">
              <w:rPr>
                <w:rFonts w:ascii="Arial Narrow" w:hAnsi="Arial Narrow" w:cs="Arial"/>
              </w:rPr>
              <w:t xml:space="preserve"> %</w:t>
            </w:r>
          </w:p>
        </w:tc>
        <w:tc>
          <w:tcPr>
            <w:tcW w:w="1218" w:type="dxa"/>
            <w:tcBorders>
              <w:top w:val="nil"/>
              <w:left w:val="nil"/>
              <w:bottom w:val="nil"/>
              <w:right w:val="nil"/>
            </w:tcBorders>
            <w:vAlign w:val="bottom"/>
            <w:hideMark/>
          </w:tcPr>
          <w:p w14:paraId="03B3A07A" w14:textId="77777777" w:rsidR="00B65EDC" w:rsidRPr="004421A9" w:rsidRDefault="00B65EDC" w:rsidP="00CD4E21">
            <w:pPr>
              <w:jc w:val="right"/>
              <w:rPr>
                <w:rFonts w:ascii="Arial Narrow" w:hAnsi="Arial Narrow" w:cs="Arial"/>
              </w:rPr>
            </w:pPr>
            <w:r w:rsidRPr="004421A9">
              <w:rPr>
                <w:rFonts w:ascii="Arial Narrow" w:hAnsi="Arial Narrow" w:cs="Arial"/>
              </w:rPr>
              <w:t>100</w:t>
            </w:r>
          </w:p>
        </w:tc>
      </w:tr>
      <w:tr w:rsidR="00B65EDC" w:rsidRPr="004421A9" w14:paraId="6F42A098" w14:textId="77777777" w:rsidTr="007D74F3">
        <w:trPr>
          <w:trHeight w:val="352"/>
          <w:jc w:val="center"/>
        </w:trPr>
        <w:tc>
          <w:tcPr>
            <w:tcW w:w="419" w:type="dxa"/>
            <w:tcBorders>
              <w:top w:val="nil"/>
              <w:left w:val="nil"/>
              <w:bottom w:val="nil"/>
              <w:right w:val="nil"/>
            </w:tcBorders>
            <w:noWrap/>
            <w:vAlign w:val="bottom"/>
            <w:hideMark/>
          </w:tcPr>
          <w:p w14:paraId="764CB675"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78009219" w14:textId="2368C563" w:rsidR="00B65EDC" w:rsidRPr="004421A9" w:rsidRDefault="008C301F"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Reisen Dritter</w:t>
            </w:r>
          </w:p>
        </w:tc>
        <w:tc>
          <w:tcPr>
            <w:tcW w:w="1142" w:type="dxa"/>
            <w:tcBorders>
              <w:top w:val="nil"/>
              <w:left w:val="nil"/>
              <w:bottom w:val="nil"/>
              <w:right w:val="nil"/>
            </w:tcBorders>
            <w:vAlign w:val="bottom"/>
            <w:hideMark/>
          </w:tcPr>
          <w:p w14:paraId="48F1C2FD"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7DD25220"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5 </w:t>
            </w:r>
          </w:p>
        </w:tc>
        <w:tc>
          <w:tcPr>
            <w:tcW w:w="933" w:type="dxa"/>
            <w:tcBorders>
              <w:top w:val="nil"/>
              <w:left w:val="nil"/>
              <w:bottom w:val="nil"/>
              <w:right w:val="nil"/>
            </w:tcBorders>
            <w:vAlign w:val="bottom"/>
            <w:hideMark/>
          </w:tcPr>
          <w:p w14:paraId="08A59D40" w14:textId="77777777" w:rsidR="00B65EDC" w:rsidRPr="004421A9" w:rsidRDefault="00B65EDC" w:rsidP="00CD4E21">
            <w:pPr>
              <w:jc w:val="right"/>
              <w:rPr>
                <w:rFonts w:ascii="Arial Narrow" w:hAnsi="Arial Narrow" w:cs="Arial"/>
              </w:rPr>
            </w:pPr>
            <w:r w:rsidRPr="004421A9">
              <w:rPr>
                <w:rFonts w:ascii="Arial Narrow" w:hAnsi="Arial Narrow" w:cs="Arial"/>
              </w:rPr>
              <w:t>(5)</w:t>
            </w:r>
          </w:p>
        </w:tc>
        <w:tc>
          <w:tcPr>
            <w:tcW w:w="1123" w:type="dxa"/>
            <w:tcBorders>
              <w:top w:val="nil"/>
              <w:left w:val="nil"/>
              <w:bottom w:val="nil"/>
              <w:right w:val="nil"/>
            </w:tcBorders>
            <w:vAlign w:val="bottom"/>
            <w:hideMark/>
          </w:tcPr>
          <w:p w14:paraId="548E4B08" w14:textId="77777777" w:rsidR="00B65EDC" w:rsidRPr="004421A9" w:rsidRDefault="00B65EDC" w:rsidP="00CD4E21">
            <w:pPr>
              <w:jc w:val="right"/>
              <w:rPr>
                <w:rFonts w:ascii="Arial Narrow" w:hAnsi="Arial Narrow" w:cs="Arial"/>
              </w:rPr>
            </w:pPr>
            <w:r w:rsidRPr="004421A9">
              <w:rPr>
                <w:rFonts w:ascii="Arial Narrow" w:hAnsi="Arial Narrow" w:cs="Arial"/>
              </w:rPr>
              <w:t>-100 %</w:t>
            </w:r>
          </w:p>
        </w:tc>
        <w:tc>
          <w:tcPr>
            <w:tcW w:w="1218" w:type="dxa"/>
            <w:tcBorders>
              <w:top w:val="nil"/>
              <w:left w:val="nil"/>
              <w:bottom w:val="nil"/>
              <w:right w:val="nil"/>
            </w:tcBorders>
            <w:vAlign w:val="bottom"/>
            <w:hideMark/>
          </w:tcPr>
          <w:p w14:paraId="71E1673E" w14:textId="77777777" w:rsidR="00B65EDC" w:rsidRPr="004421A9" w:rsidRDefault="00B65EDC" w:rsidP="00CD4E21">
            <w:pPr>
              <w:jc w:val="right"/>
              <w:rPr>
                <w:rFonts w:ascii="Arial Narrow" w:hAnsi="Arial Narrow" w:cs="Arial"/>
              </w:rPr>
            </w:pPr>
            <w:r w:rsidRPr="004421A9">
              <w:rPr>
                <w:rFonts w:ascii="Arial Narrow" w:hAnsi="Arial Narrow" w:cs="Arial"/>
              </w:rPr>
              <w:t>-</w:t>
            </w:r>
          </w:p>
        </w:tc>
      </w:tr>
      <w:tr w:rsidR="00B65EDC" w:rsidRPr="004421A9" w14:paraId="45600296" w14:textId="77777777" w:rsidTr="007D74F3">
        <w:trPr>
          <w:trHeight w:val="352"/>
          <w:jc w:val="center"/>
        </w:trPr>
        <w:tc>
          <w:tcPr>
            <w:tcW w:w="419" w:type="dxa"/>
            <w:tcBorders>
              <w:top w:val="nil"/>
              <w:left w:val="nil"/>
              <w:bottom w:val="single" w:sz="4" w:space="0" w:color="A6A6A6"/>
              <w:right w:val="nil"/>
            </w:tcBorders>
            <w:noWrap/>
            <w:vAlign w:val="bottom"/>
            <w:hideMark/>
          </w:tcPr>
          <w:p w14:paraId="6A17D6C9" w14:textId="77777777" w:rsidR="00B65EDC" w:rsidRPr="004421A9" w:rsidRDefault="00B65EDC" w:rsidP="00CD4E21">
            <w:pPr>
              <w:jc w:val="left"/>
              <w:rPr>
                <w:rFonts w:cs="Arial"/>
                <w:b/>
                <w:bCs/>
              </w:rPr>
            </w:pPr>
          </w:p>
        </w:tc>
        <w:tc>
          <w:tcPr>
            <w:tcW w:w="3123" w:type="dxa"/>
            <w:tcBorders>
              <w:top w:val="nil"/>
              <w:left w:val="nil"/>
              <w:bottom w:val="single" w:sz="4" w:space="0" w:color="A6A6A6"/>
              <w:right w:val="nil"/>
            </w:tcBorders>
            <w:vAlign w:val="bottom"/>
            <w:hideMark/>
          </w:tcPr>
          <w:p w14:paraId="2F97C8B1"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6A6A6"/>
              <w:right w:val="nil"/>
            </w:tcBorders>
            <w:vAlign w:val="bottom"/>
            <w:hideMark/>
          </w:tcPr>
          <w:p w14:paraId="6CFB08D0"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99 </w:t>
            </w:r>
          </w:p>
        </w:tc>
        <w:tc>
          <w:tcPr>
            <w:tcW w:w="1225" w:type="dxa"/>
            <w:tcBorders>
              <w:top w:val="nil"/>
              <w:left w:val="nil"/>
              <w:bottom w:val="single" w:sz="4" w:space="0" w:color="A6A6A6"/>
              <w:right w:val="nil"/>
            </w:tcBorders>
            <w:vAlign w:val="bottom"/>
            <w:hideMark/>
          </w:tcPr>
          <w:p w14:paraId="758DFD9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150 </w:t>
            </w:r>
          </w:p>
        </w:tc>
        <w:tc>
          <w:tcPr>
            <w:tcW w:w="933" w:type="dxa"/>
            <w:tcBorders>
              <w:top w:val="nil"/>
              <w:left w:val="nil"/>
              <w:bottom w:val="single" w:sz="4" w:space="0" w:color="A6A6A6"/>
              <w:right w:val="nil"/>
            </w:tcBorders>
            <w:vAlign w:val="bottom"/>
            <w:hideMark/>
          </w:tcPr>
          <w:p w14:paraId="63463E3B"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(50)</w:t>
            </w:r>
          </w:p>
        </w:tc>
        <w:tc>
          <w:tcPr>
            <w:tcW w:w="1123" w:type="dxa"/>
            <w:tcBorders>
              <w:top w:val="nil"/>
              <w:left w:val="nil"/>
              <w:bottom w:val="single" w:sz="4" w:space="0" w:color="A6A6A6"/>
              <w:right w:val="nil"/>
            </w:tcBorders>
            <w:vAlign w:val="bottom"/>
            <w:hideMark/>
          </w:tcPr>
          <w:p w14:paraId="18CE3614"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-33 %</w:t>
            </w:r>
          </w:p>
        </w:tc>
        <w:tc>
          <w:tcPr>
            <w:tcW w:w="1218" w:type="dxa"/>
            <w:tcBorders>
              <w:top w:val="nil"/>
              <w:left w:val="nil"/>
              <w:bottom w:val="single" w:sz="4" w:space="0" w:color="A6A6A6"/>
              <w:right w:val="nil"/>
            </w:tcBorders>
            <w:vAlign w:val="bottom"/>
            <w:hideMark/>
          </w:tcPr>
          <w:p w14:paraId="39FD4C2C"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100</w:t>
            </w:r>
          </w:p>
        </w:tc>
      </w:tr>
      <w:tr w:rsidR="00B65EDC" w:rsidRPr="004421A9" w14:paraId="3009D873" w14:textId="77777777" w:rsidTr="007D74F3">
        <w:trPr>
          <w:trHeight w:val="455"/>
          <w:jc w:val="center"/>
        </w:trPr>
        <w:tc>
          <w:tcPr>
            <w:tcW w:w="419" w:type="dxa"/>
            <w:tcBorders>
              <w:top w:val="nil"/>
              <w:left w:val="nil"/>
              <w:bottom w:val="nil"/>
              <w:right w:val="nil"/>
            </w:tcBorders>
            <w:noWrap/>
            <w:vAlign w:val="bottom"/>
            <w:hideMark/>
          </w:tcPr>
          <w:p w14:paraId="0F4FFCBA"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vAlign w:val="bottom"/>
            <w:hideMark/>
          </w:tcPr>
          <w:p w14:paraId="0A9F22F2" w14:textId="36AE962A" w:rsidR="00B65EDC" w:rsidRPr="004421A9" w:rsidRDefault="00E90E65" w:rsidP="00CD4E21">
            <w:pPr>
              <w:jc w:val="left"/>
              <w:rPr>
                <w:rFonts w:ascii="Arial Narrow" w:hAnsi="Arial Narrow" w:cs="Arial"/>
                <w:b/>
                <w:bCs/>
              </w:rPr>
            </w:pPr>
            <w:r w:rsidRPr="004421A9">
              <w:rPr>
                <w:rFonts w:ascii="Arial Narrow" w:hAnsi="Arial Narrow" w:cs="Arial"/>
                <w:b/>
                <w:bCs/>
              </w:rPr>
              <w:t>Vertraglich vereinbarte Dienstleistungen</w:t>
            </w:r>
          </w:p>
        </w:tc>
        <w:tc>
          <w:tcPr>
            <w:tcW w:w="1142" w:type="dxa"/>
            <w:tcBorders>
              <w:top w:val="nil"/>
              <w:left w:val="nil"/>
              <w:bottom w:val="nil"/>
              <w:right w:val="nil"/>
            </w:tcBorders>
            <w:vAlign w:val="center"/>
            <w:hideMark/>
          </w:tcPr>
          <w:p w14:paraId="160C5A4F"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center"/>
            <w:hideMark/>
          </w:tcPr>
          <w:p w14:paraId="72F14B9B" w14:textId="77777777" w:rsidR="00B65EDC" w:rsidRPr="004421A9" w:rsidRDefault="00B65EDC" w:rsidP="00CD4E21">
            <w:pPr>
              <w:jc w:val="right"/>
              <w:rPr>
                <w:rFonts w:ascii="Times New Roman" w:hAnsi="Times New Roman"/>
              </w:rPr>
            </w:pPr>
          </w:p>
        </w:tc>
        <w:tc>
          <w:tcPr>
            <w:tcW w:w="933" w:type="dxa"/>
            <w:tcBorders>
              <w:top w:val="nil"/>
              <w:left w:val="nil"/>
              <w:bottom w:val="nil"/>
              <w:right w:val="nil"/>
            </w:tcBorders>
            <w:vAlign w:val="center"/>
            <w:hideMark/>
          </w:tcPr>
          <w:p w14:paraId="2DEE8161" w14:textId="77777777" w:rsidR="00B65EDC" w:rsidRPr="004421A9" w:rsidRDefault="00B65EDC" w:rsidP="00CD4E21">
            <w:pPr>
              <w:jc w:val="right"/>
              <w:rPr>
                <w:rFonts w:ascii="Times New Roman" w:hAnsi="Times New Roman"/>
              </w:rPr>
            </w:pPr>
          </w:p>
        </w:tc>
        <w:tc>
          <w:tcPr>
            <w:tcW w:w="1123" w:type="dxa"/>
            <w:tcBorders>
              <w:top w:val="nil"/>
              <w:left w:val="nil"/>
              <w:bottom w:val="nil"/>
              <w:right w:val="nil"/>
            </w:tcBorders>
            <w:vAlign w:val="center"/>
            <w:hideMark/>
          </w:tcPr>
          <w:p w14:paraId="31E63AAF" w14:textId="77777777" w:rsidR="00B65EDC" w:rsidRPr="004421A9" w:rsidRDefault="00B65EDC" w:rsidP="00CD4E21">
            <w:pPr>
              <w:jc w:val="right"/>
              <w:rPr>
                <w:rFonts w:ascii="Times New Roman" w:hAnsi="Times New Roman"/>
              </w:rPr>
            </w:pPr>
          </w:p>
        </w:tc>
        <w:tc>
          <w:tcPr>
            <w:tcW w:w="1218" w:type="dxa"/>
            <w:tcBorders>
              <w:top w:val="nil"/>
              <w:left w:val="nil"/>
              <w:bottom w:val="nil"/>
              <w:right w:val="nil"/>
            </w:tcBorders>
            <w:vAlign w:val="center"/>
            <w:hideMark/>
          </w:tcPr>
          <w:p w14:paraId="68661A3F" w14:textId="77777777" w:rsidR="00B65EDC" w:rsidRPr="004421A9" w:rsidRDefault="00B65EDC" w:rsidP="00CD4E21">
            <w:pPr>
              <w:jc w:val="right"/>
              <w:rPr>
                <w:rFonts w:ascii="Times New Roman" w:hAnsi="Times New Roman"/>
              </w:rPr>
            </w:pPr>
          </w:p>
        </w:tc>
      </w:tr>
      <w:tr w:rsidR="00B65EDC" w:rsidRPr="004421A9" w14:paraId="37A1D6E0" w14:textId="77777777" w:rsidTr="007D74F3">
        <w:trPr>
          <w:trHeight w:val="352"/>
          <w:jc w:val="center"/>
        </w:trPr>
        <w:tc>
          <w:tcPr>
            <w:tcW w:w="419" w:type="dxa"/>
            <w:tcBorders>
              <w:top w:val="nil"/>
              <w:left w:val="nil"/>
              <w:bottom w:val="nil"/>
              <w:right w:val="nil"/>
            </w:tcBorders>
            <w:noWrap/>
            <w:vAlign w:val="bottom"/>
            <w:hideMark/>
          </w:tcPr>
          <w:p w14:paraId="04C18D65" w14:textId="77777777" w:rsidR="00B65EDC" w:rsidRPr="004421A9" w:rsidRDefault="00B65EDC" w:rsidP="00CD4E21">
            <w:pPr>
              <w:jc w:val="right"/>
              <w:rPr>
                <w:rFonts w:ascii="Times New Roman" w:hAnsi="Times New Roman"/>
              </w:rPr>
            </w:pPr>
          </w:p>
        </w:tc>
        <w:tc>
          <w:tcPr>
            <w:tcW w:w="3123" w:type="dxa"/>
            <w:tcBorders>
              <w:top w:val="nil"/>
              <w:left w:val="nil"/>
              <w:bottom w:val="nil"/>
              <w:right w:val="nil"/>
            </w:tcBorders>
            <w:vAlign w:val="bottom"/>
            <w:hideMark/>
          </w:tcPr>
          <w:p w14:paraId="105A1876" w14:textId="77777777" w:rsidR="00B65EDC" w:rsidRPr="004421A9" w:rsidRDefault="00B65ED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Konferenzen</w:t>
            </w:r>
          </w:p>
        </w:tc>
        <w:tc>
          <w:tcPr>
            <w:tcW w:w="1142" w:type="dxa"/>
            <w:tcBorders>
              <w:top w:val="nil"/>
              <w:left w:val="nil"/>
              <w:bottom w:val="nil"/>
              <w:right w:val="nil"/>
            </w:tcBorders>
            <w:vAlign w:val="bottom"/>
            <w:hideMark/>
          </w:tcPr>
          <w:p w14:paraId="6B692641"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264 </w:t>
            </w:r>
          </w:p>
        </w:tc>
        <w:tc>
          <w:tcPr>
            <w:tcW w:w="1225" w:type="dxa"/>
            <w:tcBorders>
              <w:top w:val="nil"/>
              <w:left w:val="nil"/>
              <w:bottom w:val="nil"/>
              <w:right w:val="nil"/>
            </w:tcBorders>
            <w:vAlign w:val="bottom"/>
            <w:hideMark/>
          </w:tcPr>
          <w:p w14:paraId="3BED7F14"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200 </w:t>
            </w:r>
          </w:p>
        </w:tc>
        <w:tc>
          <w:tcPr>
            <w:tcW w:w="933" w:type="dxa"/>
            <w:tcBorders>
              <w:top w:val="nil"/>
              <w:left w:val="nil"/>
              <w:bottom w:val="nil"/>
              <w:right w:val="nil"/>
            </w:tcBorders>
            <w:vAlign w:val="bottom"/>
            <w:hideMark/>
          </w:tcPr>
          <w:p w14:paraId="2130F8A9"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123" w:type="dxa"/>
            <w:tcBorders>
              <w:top w:val="nil"/>
              <w:left w:val="nil"/>
              <w:bottom w:val="nil"/>
              <w:right w:val="nil"/>
            </w:tcBorders>
            <w:vAlign w:val="bottom"/>
            <w:hideMark/>
          </w:tcPr>
          <w:p w14:paraId="6EC02F6D"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5DE8661A" w14:textId="77777777" w:rsidR="00B65EDC" w:rsidRPr="004421A9" w:rsidRDefault="00B65EDC" w:rsidP="00CD4E21">
            <w:pPr>
              <w:jc w:val="right"/>
              <w:rPr>
                <w:rFonts w:ascii="Arial Narrow" w:hAnsi="Arial Narrow" w:cs="Arial"/>
              </w:rPr>
            </w:pPr>
            <w:r w:rsidRPr="004421A9">
              <w:rPr>
                <w:rFonts w:ascii="Arial Narrow" w:hAnsi="Arial Narrow" w:cs="Arial"/>
              </w:rPr>
              <w:t>200</w:t>
            </w:r>
          </w:p>
        </w:tc>
      </w:tr>
      <w:tr w:rsidR="007D74F3" w:rsidRPr="004421A9" w14:paraId="53D93D67" w14:textId="77777777" w:rsidTr="007D74F3">
        <w:trPr>
          <w:trHeight w:val="352"/>
          <w:jc w:val="center"/>
        </w:trPr>
        <w:tc>
          <w:tcPr>
            <w:tcW w:w="419" w:type="dxa"/>
            <w:tcBorders>
              <w:top w:val="nil"/>
              <w:left w:val="nil"/>
              <w:bottom w:val="nil"/>
              <w:right w:val="nil"/>
            </w:tcBorders>
            <w:noWrap/>
            <w:vAlign w:val="bottom"/>
            <w:hideMark/>
          </w:tcPr>
          <w:p w14:paraId="56BD2AA3" w14:textId="77777777" w:rsidR="007D74F3" w:rsidRPr="004421A9" w:rsidRDefault="007D74F3" w:rsidP="007D74F3">
            <w:pPr>
              <w:jc w:val="right"/>
              <w:rPr>
                <w:rFonts w:ascii="Arial Narrow" w:hAnsi="Arial Narrow" w:cs="Arial"/>
              </w:rPr>
            </w:pPr>
          </w:p>
        </w:tc>
        <w:tc>
          <w:tcPr>
            <w:tcW w:w="3123" w:type="dxa"/>
            <w:tcBorders>
              <w:top w:val="nil"/>
              <w:left w:val="nil"/>
              <w:bottom w:val="nil"/>
              <w:right w:val="nil"/>
            </w:tcBorders>
            <w:vAlign w:val="bottom"/>
            <w:hideMark/>
          </w:tcPr>
          <w:p w14:paraId="32199232" w14:textId="5308A8DD"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Veröffentlichungen</w:t>
            </w:r>
          </w:p>
        </w:tc>
        <w:tc>
          <w:tcPr>
            <w:tcW w:w="1142" w:type="dxa"/>
            <w:tcBorders>
              <w:top w:val="nil"/>
              <w:left w:val="nil"/>
              <w:bottom w:val="nil"/>
              <w:right w:val="nil"/>
            </w:tcBorders>
            <w:vAlign w:val="bottom"/>
            <w:hideMark/>
          </w:tcPr>
          <w:p w14:paraId="1A0A5FFC" w14:textId="77777777" w:rsidR="007D74F3" w:rsidRPr="004421A9" w:rsidRDefault="007D74F3" w:rsidP="007D74F3">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1B10F588" w14:textId="77777777" w:rsidR="007D74F3" w:rsidRPr="004421A9" w:rsidRDefault="007D74F3" w:rsidP="007D74F3">
            <w:pPr>
              <w:jc w:val="right"/>
              <w:rPr>
                <w:rFonts w:ascii="Arial Narrow" w:hAnsi="Arial Narrow" w:cs="Arial"/>
              </w:rPr>
            </w:pPr>
            <w:r w:rsidRPr="004421A9">
              <w:rPr>
                <w:rFonts w:ascii="Arial Narrow" w:hAnsi="Arial Narrow" w:cs="Arial"/>
              </w:rPr>
              <w:t>-</w:t>
            </w:r>
          </w:p>
        </w:tc>
        <w:tc>
          <w:tcPr>
            <w:tcW w:w="933" w:type="dxa"/>
            <w:tcBorders>
              <w:top w:val="nil"/>
              <w:left w:val="nil"/>
              <w:bottom w:val="nil"/>
              <w:right w:val="nil"/>
            </w:tcBorders>
            <w:vAlign w:val="bottom"/>
            <w:hideMark/>
          </w:tcPr>
          <w:p w14:paraId="74A8119C" w14:textId="77777777" w:rsidR="007D74F3" w:rsidRPr="004421A9" w:rsidRDefault="007D74F3" w:rsidP="007D74F3">
            <w:pPr>
              <w:jc w:val="right"/>
              <w:rPr>
                <w:rFonts w:ascii="Arial Narrow" w:hAnsi="Arial Narrow" w:cs="Arial"/>
              </w:rPr>
            </w:pPr>
            <w:r w:rsidRPr="004421A9">
              <w:rPr>
                <w:rFonts w:ascii="Arial Narrow" w:hAnsi="Arial Narrow" w:cs="Arial"/>
              </w:rPr>
              <w:t>-</w:t>
            </w:r>
          </w:p>
        </w:tc>
        <w:tc>
          <w:tcPr>
            <w:tcW w:w="1123" w:type="dxa"/>
            <w:tcBorders>
              <w:top w:val="nil"/>
              <w:left w:val="nil"/>
              <w:bottom w:val="nil"/>
              <w:right w:val="nil"/>
            </w:tcBorders>
            <w:vAlign w:val="bottom"/>
            <w:hideMark/>
          </w:tcPr>
          <w:p w14:paraId="6EB87824" w14:textId="77777777" w:rsidR="007D74F3" w:rsidRPr="004421A9" w:rsidRDefault="007D74F3" w:rsidP="007D74F3">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35E601A1" w14:textId="77777777" w:rsidR="007D74F3" w:rsidRPr="004421A9" w:rsidRDefault="007D74F3" w:rsidP="007D74F3">
            <w:pPr>
              <w:jc w:val="right"/>
              <w:rPr>
                <w:rFonts w:ascii="Arial Narrow" w:hAnsi="Arial Narrow" w:cs="Arial"/>
              </w:rPr>
            </w:pPr>
            <w:r w:rsidRPr="004421A9">
              <w:rPr>
                <w:rFonts w:ascii="Arial Narrow" w:hAnsi="Arial Narrow" w:cs="Arial"/>
              </w:rPr>
              <w:t>-</w:t>
            </w:r>
          </w:p>
        </w:tc>
      </w:tr>
      <w:tr w:rsidR="007D74F3" w:rsidRPr="004421A9" w14:paraId="2611DA14" w14:textId="77777777" w:rsidTr="007D74F3">
        <w:trPr>
          <w:trHeight w:val="352"/>
          <w:jc w:val="center"/>
        </w:trPr>
        <w:tc>
          <w:tcPr>
            <w:tcW w:w="419" w:type="dxa"/>
            <w:tcBorders>
              <w:top w:val="nil"/>
              <w:left w:val="nil"/>
              <w:bottom w:val="nil"/>
              <w:right w:val="nil"/>
            </w:tcBorders>
            <w:noWrap/>
            <w:vAlign w:val="bottom"/>
            <w:hideMark/>
          </w:tcPr>
          <w:p w14:paraId="50156FEF" w14:textId="77777777" w:rsidR="007D74F3" w:rsidRPr="004421A9" w:rsidRDefault="007D74F3" w:rsidP="007D74F3">
            <w:pPr>
              <w:jc w:val="right"/>
              <w:rPr>
                <w:rFonts w:ascii="Arial Narrow" w:hAnsi="Arial Narrow" w:cs="Arial"/>
              </w:rPr>
            </w:pPr>
          </w:p>
        </w:tc>
        <w:tc>
          <w:tcPr>
            <w:tcW w:w="3123" w:type="dxa"/>
            <w:tcBorders>
              <w:top w:val="nil"/>
              <w:left w:val="nil"/>
              <w:bottom w:val="nil"/>
              <w:right w:val="nil"/>
            </w:tcBorders>
            <w:vAlign w:val="bottom"/>
            <w:hideMark/>
          </w:tcPr>
          <w:p w14:paraId="3C4BB315" w14:textId="77777777"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 xml:space="preserve">Einzeln vertraglich vereinbarte </w:t>
            </w:r>
          </w:p>
          <w:p w14:paraId="617403A8" w14:textId="3F21F35D"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Dienstleistungen</w:t>
            </w:r>
          </w:p>
        </w:tc>
        <w:tc>
          <w:tcPr>
            <w:tcW w:w="1142" w:type="dxa"/>
            <w:tcBorders>
              <w:top w:val="nil"/>
              <w:left w:val="nil"/>
              <w:bottom w:val="nil"/>
              <w:right w:val="nil"/>
            </w:tcBorders>
            <w:vAlign w:val="bottom"/>
            <w:hideMark/>
          </w:tcPr>
          <w:p w14:paraId="3ABD2A16" w14:textId="77777777" w:rsidR="007D74F3" w:rsidRPr="004421A9" w:rsidRDefault="007D74F3" w:rsidP="007D74F3">
            <w:pPr>
              <w:jc w:val="right"/>
              <w:rPr>
                <w:rFonts w:ascii="Arial Narrow" w:hAnsi="Arial Narrow" w:cs="Arial"/>
              </w:rPr>
            </w:pPr>
            <w:r w:rsidRPr="004421A9">
              <w:rPr>
                <w:rFonts w:ascii="Arial Narrow" w:hAnsi="Arial Narrow" w:cs="Arial"/>
              </w:rPr>
              <w:t xml:space="preserve">114 </w:t>
            </w:r>
          </w:p>
        </w:tc>
        <w:tc>
          <w:tcPr>
            <w:tcW w:w="1225" w:type="dxa"/>
            <w:tcBorders>
              <w:top w:val="nil"/>
              <w:left w:val="nil"/>
              <w:bottom w:val="nil"/>
              <w:right w:val="nil"/>
            </w:tcBorders>
            <w:vAlign w:val="bottom"/>
            <w:hideMark/>
          </w:tcPr>
          <w:p w14:paraId="0604509B" w14:textId="77777777" w:rsidR="007D74F3" w:rsidRPr="004421A9" w:rsidRDefault="007D74F3" w:rsidP="007D74F3">
            <w:pPr>
              <w:jc w:val="right"/>
              <w:rPr>
                <w:rFonts w:ascii="Arial Narrow" w:hAnsi="Arial Narrow" w:cs="Arial"/>
              </w:rPr>
            </w:pPr>
            <w:r w:rsidRPr="004421A9">
              <w:rPr>
                <w:rFonts w:ascii="Arial Narrow" w:hAnsi="Arial Narrow" w:cs="Arial"/>
              </w:rPr>
              <w:t xml:space="preserve">100 </w:t>
            </w:r>
          </w:p>
        </w:tc>
        <w:tc>
          <w:tcPr>
            <w:tcW w:w="933" w:type="dxa"/>
            <w:tcBorders>
              <w:top w:val="nil"/>
              <w:left w:val="nil"/>
              <w:bottom w:val="nil"/>
              <w:right w:val="nil"/>
            </w:tcBorders>
            <w:vAlign w:val="bottom"/>
            <w:hideMark/>
          </w:tcPr>
          <w:p w14:paraId="6E951024" w14:textId="77777777" w:rsidR="007D74F3" w:rsidRPr="004421A9" w:rsidRDefault="007D74F3" w:rsidP="007D74F3">
            <w:pPr>
              <w:jc w:val="right"/>
              <w:rPr>
                <w:rFonts w:ascii="Arial Narrow" w:hAnsi="Arial Narrow" w:cs="Arial"/>
              </w:rPr>
            </w:pPr>
            <w:r w:rsidRPr="004421A9">
              <w:rPr>
                <w:rFonts w:ascii="Arial Narrow" w:hAnsi="Arial Narrow" w:cs="Arial"/>
              </w:rPr>
              <w:t>(75)</w:t>
            </w:r>
          </w:p>
        </w:tc>
        <w:tc>
          <w:tcPr>
            <w:tcW w:w="1123" w:type="dxa"/>
            <w:tcBorders>
              <w:top w:val="nil"/>
              <w:left w:val="nil"/>
              <w:bottom w:val="nil"/>
              <w:right w:val="nil"/>
            </w:tcBorders>
            <w:vAlign w:val="bottom"/>
            <w:hideMark/>
          </w:tcPr>
          <w:p w14:paraId="67991A01" w14:textId="77777777" w:rsidR="007D74F3" w:rsidRPr="004421A9" w:rsidRDefault="007D74F3" w:rsidP="007D74F3">
            <w:pPr>
              <w:jc w:val="right"/>
              <w:rPr>
                <w:rFonts w:ascii="Arial Narrow" w:hAnsi="Arial Narrow" w:cs="Arial"/>
              </w:rPr>
            </w:pPr>
            <w:r w:rsidRPr="004421A9">
              <w:rPr>
                <w:rFonts w:ascii="Arial Narrow" w:hAnsi="Arial Narrow" w:cs="Arial"/>
              </w:rPr>
              <w:t>-75 %</w:t>
            </w:r>
          </w:p>
        </w:tc>
        <w:tc>
          <w:tcPr>
            <w:tcW w:w="1218" w:type="dxa"/>
            <w:tcBorders>
              <w:top w:val="nil"/>
              <w:left w:val="nil"/>
              <w:bottom w:val="nil"/>
              <w:right w:val="nil"/>
            </w:tcBorders>
            <w:vAlign w:val="bottom"/>
            <w:hideMark/>
          </w:tcPr>
          <w:p w14:paraId="77878BF9" w14:textId="77777777" w:rsidR="007D74F3" w:rsidRPr="004421A9" w:rsidRDefault="007D74F3" w:rsidP="007D74F3">
            <w:pPr>
              <w:jc w:val="right"/>
              <w:rPr>
                <w:rFonts w:ascii="Arial Narrow" w:hAnsi="Arial Narrow" w:cs="Arial"/>
              </w:rPr>
            </w:pPr>
            <w:r w:rsidRPr="004421A9">
              <w:rPr>
                <w:rFonts w:ascii="Arial Narrow" w:hAnsi="Arial Narrow" w:cs="Arial"/>
              </w:rPr>
              <w:t>25</w:t>
            </w:r>
          </w:p>
        </w:tc>
      </w:tr>
      <w:tr w:rsidR="007D74F3" w:rsidRPr="004421A9" w14:paraId="6666ECD2" w14:textId="77777777" w:rsidTr="007D74F3">
        <w:trPr>
          <w:trHeight w:val="352"/>
          <w:jc w:val="center"/>
        </w:trPr>
        <w:tc>
          <w:tcPr>
            <w:tcW w:w="419" w:type="dxa"/>
            <w:tcBorders>
              <w:top w:val="nil"/>
              <w:left w:val="nil"/>
              <w:bottom w:val="nil"/>
              <w:right w:val="nil"/>
            </w:tcBorders>
            <w:noWrap/>
            <w:vAlign w:val="bottom"/>
            <w:hideMark/>
          </w:tcPr>
          <w:p w14:paraId="15E7E63E" w14:textId="77777777" w:rsidR="007D74F3" w:rsidRPr="004421A9" w:rsidRDefault="007D74F3" w:rsidP="007D74F3">
            <w:pPr>
              <w:jc w:val="right"/>
              <w:rPr>
                <w:rFonts w:ascii="Arial Narrow" w:hAnsi="Arial Narrow" w:cs="Arial"/>
              </w:rPr>
            </w:pPr>
          </w:p>
        </w:tc>
        <w:tc>
          <w:tcPr>
            <w:tcW w:w="3123" w:type="dxa"/>
            <w:tcBorders>
              <w:top w:val="nil"/>
              <w:left w:val="nil"/>
              <w:bottom w:val="nil"/>
              <w:right w:val="nil"/>
            </w:tcBorders>
            <w:vAlign w:val="bottom"/>
            <w:hideMark/>
          </w:tcPr>
          <w:p w14:paraId="59B6BEF9" w14:textId="77777777"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 xml:space="preserve">Andere vertraglich vereinbarte </w:t>
            </w:r>
          </w:p>
          <w:p w14:paraId="7C789C1B" w14:textId="52C9383D"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Dienstleistungen</w:t>
            </w:r>
          </w:p>
        </w:tc>
        <w:tc>
          <w:tcPr>
            <w:tcW w:w="1142" w:type="dxa"/>
            <w:tcBorders>
              <w:top w:val="nil"/>
              <w:left w:val="nil"/>
              <w:bottom w:val="nil"/>
              <w:right w:val="nil"/>
            </w:tcBorders>
            <w:vAlign w:val="bottom"/>
            <w:hideMark/>
          </w:tcPr>
          <w:p w14:paraId="3A09B1DE" w14:textId="77777777" w:rsidR="007D74F3" w:rsidRPr="004421A9" w:rsidRDefault="007D74F3" w:rsidP="007D74F3">
            <w:pPr>
              <w:jc w:val="right"/>
              <w:rPr>
                <w:rFonts w:ascii="Arial Narrow" w:hAnsi="Arial Narrow" w:cs="Arial"/>
              </w:rPr>
            </w:pPr>
            <w:r w:rsidRPr="004421A9">
              <w:rPr>
                <w:rFonts w:ascii="Arial Narrow" w:hAnsi="Arial Narrow" w:cs="Arial"/>
              </w:rPr>
              <w:t xml:space="preserve">1.009 </w:t>
            </w:r>
          </w:p>
        </w:tc>
        <w:tc>
          <w:tcPr>
            <w:tcW w:w="1225" w:type="dxa"/>
            <w:tcBorders>
              <w:top w:val="nil"/>
              <w:left w:val="nil"/>
              <w:bottom w:val="nil"/>
              <w:right w:val="nil"/>
            </w:tcBorders>
            <w:vAlign w:val="bottom"/>
            <w:hideMark/>
          </w:tcPr>
          <w:p w14:paraId="20F96772" w14:textId="77777777" w:rsidR="007D74F3" w:rsidRPr="004421A9" w:rsidRDefault="007D74F3" w:rsidP="007D74F3">
            <w:pPr>
              <w:jc w:val="right"/>
              <w:rPr>
                <w:rFonts w:ascii="Arial Narrow" w:hAnsi="Arial Narrow" w:cs="Arial"/>
              </w:rPr>
            </w:pPr>
            <w:r w:rsidRPr="004421A9">
              <w:rPr>
                <w:rFonts w:ascii="Arial Narrow" w:hAnsi="Arial Narrow" w:cs="Arial"/>
              </w:rPr>
              <w:t xml:space="preserve">415 </w:t>
            </w:r>
          </w:p>
        </w:tc>
        <w:tc>
          <w:tcPr>
            <w:tcW w:w="933" w:type="dxa"/>
            <w:tcBorders>
              <w:top w:val="nil"/>
              <w:left w:val="nil"/>
              <w:bottom w:val="nil"/>
              <w:right w:val="nil"/>
            </w:tcBorders>
            <w:vAlign w:val="bottom"/>
            <w:hideMark/>
          </w:tcPr>
          <w:p w14:paraId="1B023311" w14:textId="77777777" w:rsidR="007D74F3" w:rsidRPr="004421A9" w:rsidRDefault="007D74F3" w:rsidP="007D74F3">
            <w:pPr>
              <w:jc w:val="right"/>
              <w:rPr>
                <w:rFonts w:ascii="Arial Narrow" w:hAnsi="Arial Narrow" w:cs="Arial"/>
              </w:rPr>
            </w:pPr>
            <w:r w:rsidRPr="004421A9">
              <w:rPr>
                <w:rFonts w:ascii="Arial Narrow" w:hAnsi="Arial Narrow" w:cs="Arial"/>
              </w:rPr>
              <w:t>(102)</w:t>
            </w:r>
          </w:p>
        </w:tc>
        <w:tc>
          <w:tcPr>
            <w:tcW w:w="1123" w:type="dxa"/>
            <w:tcBorders>
              <w:top w:val="nil"/>
              <w:left w:val="nil"/>
              <w:bottom w:val="nil"/>
              <w:right w:val="nil"/>
            </w:tcBorders>
            <w:vAlign w:val="bottom"/>
            <w:hideMark/>
          </w:tcPr>
          <w:p w14:paraId="3E6DE4EC" w14:textId="3A6A1D2A" w:rsidR="007D74F3" w:rsidRPr="004421A9" w:rsidRDefault="007D74F3" w:rsidP="007D74F3">
            <w:pPr>
              <w:jc w:val="right"/>
              <w:rPr>
                <w:rFonts w:ascii="Arial Narrow" w:hAnsi="Arial Narrow" w:cs="Arial"/>
              </w:rPr>
            </w:pPr>
            <w:r w:rsidRPr="004421A9">
              <w:rPr>
                <w:rFonts w:ascii="Arial Narrow" w:hAnsi="Arial Narrow" w:cs="Arial"/>
              </w:rPr>
              <w:t>-25</w:t>
            </w:r>
            <w:r w:rsidR="004C4EB5" w:rsidRPr="004421A9">
              <w:rPr>
                <w:rFonts w:ascii="Arial Narrow" w:hAnsi="Arial Narrow" w:cs="Arial"/>
              </w:rPr>
              <w:t xml:space="preserve"> %</w:t>
            </w:r>
          </w:p>
        </w:tc>
        <w:tc>
          <w:tcPr>
            <w:tcW w:w="1218" w:type="dxa"/>
            <w:tcBorders>
              <w:top w:val="nil"/>
              <w:left w:val="nil"/>
              <w:bottom w:val="nil"/>
              <w:right w:val="nil"/>
            </w:tcBorders>
            <w:vAlign w:val="bottom"/>
            <w:hideMark/>
          </w:tcPr>
          <w:p w14:paraId="18F41218" w14:textId="77777777" w:rsidR="007D74F3" w:rsidRPr="004421A9" w:rsidRDefault="007D74F3" w:rsidP="007D74F3">
            <w:pPr>
              <w:jc w:val="right"/>
              <w:rPr>
                <w:rFonts w:ascii="Arial Narrow" w:hAnsi="Arial Narrow" w:cs="Arial"/>
              </w:rPr>
            </w:pPr>
            <w:r w:rsidRPr="004421A9">
              <w:rPr>
                <w:rFonts w:ascii="Arial Narrow" w:hAnsi="Arial Narrow" w:cs="Arial"/>
              </w:rPr>
              <w:t>313</w:t>
            </w:r>
          </w:p>
        </w:tc>
      </w:tr>
      <w:tr w:rsidR="00B65EDC" w:rsidRPr="004421A9" w14:paraId="4DFD7AE8" w14:textId="77777777" w:rsidTr="007D74F3">
        <w:trPr>
          <w:trHeight w:val="352"/>
          <w:jc w:val="center"/>
        </w:trPr>
        <w:tc>
          <w:tcPr>
            <w:tcW w:w="419" w:type="dxa"/>
            <w:tcBorders>
              <w:top w:val="nil"/>
              <w:left w:val="nil"/>
              <w:bottom w:val="single" w:sz="4" w:space="0" w:color="AAB8C4"/>
              <w:right w:val="nil"/>
            </w:tcBorders>
            <w:noWrap/>
            <w:vAlign w:val="bottom"/>
            <w:hideMark/>
          </w:tcPr>
          <w:p w14:paraId="159826C8" w14:textId="77777777" w:rsidR="00B65EDC" w:rsidRPr="004421A9" w:rsidRDefault="00B65EDC" w:rsidP="00CD4E21">
            <w:pPr>
              <w:jc w:val="left"/>
              <w:rPr>
                <w:rFonts w:cs="Arial"/>
                <w:b/>
                <w:bCs/>
              </w:rPr>
            </w:pPr>
          </w:p>
        </w:tc>
        <w:tc>
          <w:tcPr>
            <w:tcW w:w="3123" w:type="dxa"/>
            <w:tcBorders>
              <w:top w:val="nil"/>
              <w:left w:val="nil"/>
              <w:bottom w:val="single" w:sz="4" w:space="0" w:color="AAB8C4"/>
              <w:right w:val="nil"/>
            </w:tcBorders>
            <w:vAlign w:val="bottom"/>
            <w:hideMark/>
          </w:tcPr>
          <w:p w14:paraId="09148F1E"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6A6A6"/>
              <w:right w:val="nil"/>
            </w:tcBorders>
            <w:vAlign w:val="bottom"/>
            <w:hideMark/>
          </w:tcPr>
          <w:p w14:paraId="74C317C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1.388 </w:t>
            </w:r>
          </w:p>
        </w:tc>
        <w:tc>
          <w:tcPr>
            <w:tcW w:w="1225" w:type="dxa"/>
            <w:tcBorders>
              <w:top w:val="nil"/>
              <w:left w:val="nil"/>
              <w:bottom w:val="single" w:sz="4" w:space="0" w:color="A6A6A6"/>
              <w:right w:val="nil"/>
            </w:tcBorders>
            <w:vAlign w:val="bottom"/>
            <w:hideMark/>
          </w:tcPr>
          <w:p w14:paraId="7B755CF4"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715 </w:t>
            </w:r>
          </w:p>
        </w:tc>
        <w:tc>
          <w:tcPr>
            <w:tcW w:w="933" w:type="dxa"/>
            <w:tcBorders>
              <w:top w:val="nil"/>
              <w:left w:val="nil"/>
              <w:bottom w:val="single" w:sz="4" w:space="0" w:color="A6A6A6"/>
              <w:right w:val="nil"/>
            </w:tcBorders>
            <w:vAlign w:val="bottom"/>
            <w:hideMark/>
          </w:tcPr>
          <w:p w14:paraId="607BE71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(177)</w:t>
            </w:r>
          </w:p>
        </w:tc>
        <w:tc>
          <w:tcPr>
            <w:tcW w:w="1123" w:type="dxa"/>
            <w:tcBorders>
              <w:top w:val="nil"/>
              <w:left w:val="nil"/>
              <w:bottom w:val="single" w:sz="4" w:space="0" w:color="A6A6A6"/>
              <w:right w:val="nil"/>
            </w:tcBorders>
            <w:vAlign w:val="bottom"/>
            <w:hideMark/>
          </w:tcPr>
          <w:p w14:paraId="0C5E21B9" w14:textId="34509F10" w:rsidR="00B65EDC" w:rsidRPr="004421A9" w:rsidRDefault="00B65EDC" w:rsidP="00CD4E21">
            <w:pPr>
              <w:jc w:val="right"/>
              <w:rPr>
                <w:rFonts w:ascii="Arial Narrow" w:hAnsi="Arial Narrow" w:cs="Arial"/>
                <w:b/>
                <w:bCs/>
              </w:rPr>
            </w:pPr>
            <w:r w:rsidRPr="004421A9">
              <w:rPr>
                <w:rFonts w:ascii="Arial Narrow" w:hAnsi="Arial Narrow" w:cs="Arial"/>
                <w:b/>
                <w:bCs/>
              </w:rPr>
              <w:t>-25</w:t>
            </w:r>
            <w:r w:rsidR="004C4EB5" w:rsidRPr="004421A9">
              <w:rPr>
                <w:rFonts w:ascii="Arial Narrow" w:hAnsi="Arial Narrow" w:cs="Arial"/>
                <w:b/>
                <w:bCs/>
              </w:rPr>
              <w:t xml:space="preserve"> %</w:t>
            </w:r>
          </w:p>
        </w:tc>
        <w:tc>
          <w:tcPr>
            <w:tcW w:w="1218" w:type="dxa"/>
            <w:tcBorders>
              <w:top w:val="nil"/>
              <w:left w:val="nil"/>
              <w:bottom w:val="single" w:sz="4" w:space="0" w:color="A6A6A6"/>
              <w:right w:val="nil"/>
            </w:tcBorders>
            <w:vAlign w:val="bottom"/>
            <w:hideMark/>
          </w:tcPr>
          <w:p w14:paraId="1240760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538</w:t>
            </w:r>
          </w:p>
        </w:tc>
      </w:tr>
      <w:tr w:rsidR="00B65EDC" w:rsidRPr="004421A9" w14:paraId="1451554C" w14:textId="77777777" w:rsidTr="007D74F3">
        <w:trPr>
          <w:trHeight w:val="352"/>
          <w:jc w:val="center"/>
        </w:trPr>
        <w:tc>
          <w:tcPr>
            <w:tcW w:w="419" w:type="dxa"/>
            <w:tcBorders>
              <w:top w:val="nil"/>
              <w:left w:val="nil"/>
              <w:bottom w:val="nil"/>
              <w:right w:val="nil"/>
            </w:tcBorders>
            <w:noWrap/>
            <w:vAlign w:val="bottom"/>
            <w:hideMark/>
          </w:tcPr>
          <w:p w14:paraId="1060FA3D"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vAlign w:val="bottom"/>
            <w:hideMark/>
          </w:tcPr>
          <w:p w14:paraId="736CB579" w14:textId="395FBB3F" w:rsidR="00B65EDC" w:rsidRPr="004421A9" w:rsidRDefault="00FB0C9E" w:rsidP="00CD4E21">
            <w:pPr>
              <w:jc w:val="left"/>
              <w:rPr>
                <w:rFonts w:ascii="Arial Narrow" w:hAnsi="Arial Narrow" w:cs="Arial"/>
                <w:b/>
                <w:bCs/>
              </w:rPr>
            </w:pPr>
            <w:r w:rsidRPr="004421A9">
              <w:rPr>
                <w:rFonts w:ascii="Arial Narrow" w:hAnsi="Arial Narrow" w:cs="Arial"/>
                <w:b/>
                <w:bCs/>
              </w:rPr>
              <w:t>Betriebsaufwand</w:t>
            </w:r>
          </w:p>
        </w:tc>
        <w:tc>
          <w:tcPr>
            <w:tcW w:w="1142" w:type="dxa"/>
            <w:tcBorders>
              <w:top w:val="nil"/>
              <w:left w:val="nil"/>
              <w:bottom w:val="nil"/>
              <w:right w:val="nil"/>
            </w:tcBorders>
            <w:vAlign w:val="center"/>
            <w:hideMark/>
          </w:tcPr>
          <w:p w14:paraId="2C7ACF74"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center"/>
            <w:hideMark/>
          </w:tcPr>
          <w:p w14:paraId="7E756F93" w14:textId="77777777" w:rsidR="00B65EDC" w:rsidRPr="004421A9" w:rsidRDefault="00B65EDC" w:rsidP="00CD4E21">
            <w:pPr>
              <w:jc w:val="right"/>
              <w:rPr>
                <w:rFonts w:ascii="Times New Roman" w:hAnsi="Times New Roman"/>
              </w:rPr>
            </w:pPr>
          </w:p>
        </w:tc>
        <w:tc>
          <w:tcPr>
            <w:tcW w:w="933" w:type="dxa"/>
            <w:tcBorders>
              <w:top w:val="nil"/>
              <w:left w:val="nil"/>
              <w:bottom w:val="nil"/>
              <w:right w:val="nil"/>
            </w:tcBorders>
            <w:vAlign w:val="center"/>
            <w:hideMark/>
          </w:tcPr>
          <w:p w14:paraId="7A4663D1" w14:textId="77777777" w:rsidR="00B65EDC" w:rsidRPr="004421A9" w:rsidRDefault="00B65EDC" w:rsidP="00CD4E21">
            <w:pPr>
              <w:jc w:val="right"/>
              <w:rPr>
                <w:rFonts w:ascii="Times New Roman" w:hAnsi="Times New Roman"/>
              </w:rPr>
            </w:pPr>
          </w:p>
        </w:tc>
        <w:tc>
          <w:tcPr>
            <w:tcW w:w="1123" w:type="dxa"/>
            <w:tcBorders>
              <w:top w:val="nil"/>
              <w:left w:val="nil"/>
              <w:bottom w:val="nil"/>
              <w:right w:val="nil"/>
            </w:tcBorders>
            <w:vAlign w:val="center"/>
            <w:hideMark/>
          </w:tcPr>
          <w:p w14:paraId="79704E38" w14:textId="77777777" w:rsidR="00B65EDC" w:rsidRPr="004421A9" w:rsidRDefault="00B65EDC" w:rsidP="00CD4E21">
            <w:pPr>
              <w:jc w:val="right"/>
              <w:rPr>
                <w:rFonts w:ascii="Times New Roman" w:hAnsi="Times New Roman"/>
              </w:rPr>
            </w:pPr>
          </w:p>
        </w:tc>
        <w:tc>
          <w:tcPr>
            <w:tcW w:w="1218" w:type="dxa"/>
            <w:tcBorders>
              <w:top w:val="nil"/>
              <w:left w:val="nil"/>
              <w:bottom w:val="nil"/>
              <w:right w:val="nil"/>
            </w:tcBorders>
            <w:vAlign w:val="center"/>
            <w:hideMark/>
          </w:tcPr>
          <w:p w14:paraId="6475BFF0" w14:textId="77777777" w:rsidR="00B65EDC" w:rsidRPr="004421A9" w:rsidRDefault="00B65EDC" w:rsidP="00CD4E21">
            <w:pPr>
              <w:jc w:val="right"/>
              <w:rPr>
                <w:rFonts w:ascii="Times New Roman" w:hAnsi="Times New Roman"/>
              </w:rPr>
            </w:pPr>
          </w:p>
        </w:tc>
      </w:tr>
      <w:tr w:rsidR="00B65EDC" w:rsidRPr="004421A9" w14:paraId="698FF30F" w14:textId="77777777" w:rsidTr="007D74F3">
        <w:trPr>
          <w:trHeight w:val="352"/>
          <w:jc w:val="center"/>
        </w:trPr>
        <w:tc>
          <w:tcPr>
            <w:tcW w:w="419" w:type="dxa"/>
            <w:tcBorders>
              <w:top w:val="nil"/>
              <w:left w:val="nil"/>
              <w:bottom w:val="single" w:sz="4" w:space="0" w:color="AAB8C4"/>
              <w:right w:val="nil"/>
            </w:tcBorders>
            <w:noWrap/>
            <w:vAlign w:val="bottom"/>
            <w:hideMark/>
          </w:tcPr>
          <w:p w14:paraId="0F4208CC" w14:textId="77777777" w:rsidR="00B65EDC" w:rsidRPr="004421A9" w:rsidRDefault="00B65EDC" w:rsidP="00CD4E21">
            <w:pPr>
              <w:jc w:val="left"/>
              <w:rPr>
                <w:rFonts w:cs="Arial"/>
                <w:b/>
                <w:bCs/>
              </w:rPr>
            </w:pPr>
          </w:p>
        </w:tc>
        <w:tc>
          <w:tcPr>
            <w:tcW w:w="3123" w:type="dxa"/>
            <w:tcBorders>
              <w:top w:val="nil"/>
              <w:left w:val="nil"/>
              <w:bottom w:val="single" w:sz="4" w:space="0" w:color="AAB8C4"/>
              <w:right w:val="nil"/>
            </w:tcBorders>
            <w:vAlign w:val="bottom"/>
            <w:hideMark/>
          </w:tcPr>
          <w:p w14:paraId="735838D2"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AB8C4"/>
              <w:right w:val="nil"/>
            </w:tcBorders>
            <w:vAlign w:val="bottom"/>
            <w:hideMark/>
          </w:tcPr>
          <w:p w14:paraId="1A88D1C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1.267 </w:t>
            </w:r>
          </w:p>
        </w:tc>
        <w:tc>
          <w:tcPr>
            <w:tcW w:w="1225" w:type="dxa"/>
            <w:tcBorders>
              <w:top w:val="nil"/>
              <w:left w:val="nil"/>
              <w:bottom w:val="single" w:sz="4" w:space="0" w:color="AAB8C4"/>
              <w:right w:val="nil"/>
            </w:tcBorders>
            <w:vAlign w:val="bottom"/>
            <w:hideMark/>
          </w:tcPr>
          <w:p w14:paraId="0DE42140"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1.250 </w:t>
            </w:r>
          </w:p>
        </w:tc>
        <w:tc>
          <w:tcPr>
            <w:tcW w:w="933" w:type="dxa"/>
            <w:tcBorders>
              <w:top w:val="nil"/>
              <w:left w:val="nil"/>
              <w:bottom w:val="single" w:sz="4" w:space="0" w:color="BFBFBF"/>
              <w:right w:val="nil"/>
            </w:tcBorders>
            <w:vAlign w:val="bottom"/>
            <w:hideMark/>
          </w:tcPr>
          <w:p w14:paraId="03DC4DF3"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(14)</w:t>
            </w:r>
          </w:p>
        </w:tc>
        <w:tc>
          <w:tcPr>
            <w:tcW w:w="1123" w:type="dxa"/>
            <w:tcBorders>
              <w:top w:val="nil"/>
              <w:left w:val="nil"/>
              <w:bottom w:val="single" w:sz="4" w:space="0" w:color="BFBFBF"/>
              <w:right w:val="nil"/>
            </w:tcBorders>
            <w:vAlign w:val="bottom"/>
            <w:hideMark/>
          </w:tcPr>
          <w:p w14:paraId="35A71182" w14:textId="76422F4C" w:rsidR="00B65EDC" w:rsidRPr="004421A9" w:rsidRDefault="00B65EDC" w:rsidP="00CD4E21">
            <w:pPr>
              <w:jc w:val="right"/>
              <w:rPr>
                <w:rFonts w:ascii="Arial Narrow" w:hAnsi="Arial Narrow" w:cs="Arial"/>
                <w:b/>
                <w:bCs/>
              </w:rPr>
            </w:pPr>
            <w:r w:rsidRPr="004421A9">
              <w:rPr>
                <w:rFonts w:ascii="Arial Narrow" w:hAnsi="Arial Narrow" w:cs="Arial"/>
                <w:b/>
                <w:bCs/>
              </w:rPr>
              <w:t>-1</w:t>
            </w:r>
            <w:r w:rsidR="004C4EB5" w:rsidRPr="004421A9">
              <w:rPr>
                <w:rFonts w:ascii="Arial Narrow" w:hAnsi="Arial Narrow" w:cs="Arial"/>
                <w:b/>
                <w:bCs/>
              </w:rPr>
              <w:t xml:space="preserve"> %</w:t>
            </w:r>
          </w:p>
        </w:tc>
        <w:tc>
          <w:tcPr>
            <w:tcW w:w="1218" w:type="dxa"/>
            <w:tcBorders>
              <w:top w:val="nil"/>
              <w:left w:val="nil"/>
              <w:bottom w:val="single" w:sz="4" w:space="0" w:color="BFBFBF"/>
              <w:right w:val="nil"/>
            </w:tcBorders>
            <w:vAlign w:val="bottom"/>
            <w:hideMark/>
          </w:tcPr>
          <w:p w14:paraId="655784D6"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1.236</w:t>
            </w:r>
          </w:p>
        </w:tc>
      </w:tr>
      <w:tr w:rsidR="00B65EDC" w:rsidRPr="004421A9" w14:paraId="3A527C91" w14:textId="77777777" w:rsidTr="007D74F3">
        <w:trPr>
          <w:trHeight w:val="514"/>
          <w:jc w:val="center"/>
        </w:trPr>
        <w:tc>
          <w:tcPr>
            <w:tcW w:w="419" w:type="dxa"/>
            <w:tcBorders>
              <w:top w:val="nil"/>
              <w:left w:val="nil"/>
              <w:bottom w:val="nil"/>
              <w:right w:val="nil"/>
            </w:tcBorders>
            <w:noWrap/>
            <w:vAlign w:val="bottom"/>
            <w:hideMark/>
          </w:tcPr>
          <w:p w14:paraId="526C872D"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vAlign w:val="bottom"/>
            <w:hideMark/>
          </w:tcPr>
          <w:p w14:paraId="288AA570" w14:textId="5AB018CB" w:rsidR="00B65EDC" w:rsidRPr="004421A9" w:rsidRDefault="00632A38" w:rsidP="00CD4E21">
            <w:pPr>
              <w:jc w:val="left"/>
              <w:rPr>
                <w:rFonts w:ascii="Arial Narrow" w:hAnsi="Arial Narrow" w:cs="Arial"/>
                <w:b/>
                <w:bCs/>
              </w:rPr>
            </w:pPr>
            <w:r w:rsidRPr="004421A9">
              <w:rPr>
                <w:rFonts w:ascii="Arial Narrow" w:hAnsi="Arial Narrow" w:cs="Arial"/>
                <w:b/>
                <w:bCs/>
              </w:rPr>
              <w:t>Betriebsausstattung und Bürobedarf</w:t>
            </w:r>
          </w:p>
        </w:tc>
        <w:tc>
          <w:tcPr>
            <w:tcW w:w="1142" w:type="dxa"/>
            <w:tcBorders>
              <w:top w:val="nil"/>
              <w:left w:val="nil"/>
              <w:bottom w:val="nil"/>
              <w:right w:val="nil"/>
            </w:tcBorders>
            <w:vAlign w:val="center"/>
            <w:hideMark/>
          </w:tcPr>
          <w:p w14:paraId="69F9763A"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center"/>
            <w:hideMark/>
          </w:tcPr>
          <w:p w14:paraId="22398649" w14:textId="77777777" w:rsidR="00B65EDC" w:rsidRPr="004421A9" w:rsidRDefault="00B65EDC" w:rsidP="00CD4E21">
            <w:pPr>
              <w:jc w:val="right"/>
              <w:rPr>
                <w:rFonts w:ascii="Times New Roman" w:hAnsi="Times New Roman"/>
              </w:rPr>
            </w:pPr>
          </w:p>
        </w:tc>
        <w:tc>
          <w:tcPr>
            <w:tcW w:w="933" w:type="dxa"/>
            <w:tcBorders>
              <w:top w:val="nil"/>
              <w:left w:val="nil"/>
              <w:bottom w:val="nil"/>
              <w:right w:val="nil"/>
            </w:tcBorders>
            <w:vAlign w:val="center"/>
            <w:hideMark/>
          </w:tcPr>
          <w:p w14:paraId="13E151A0" w14:textId="77777777" w:rsidR="00B65EDC" w:rsidRPr="004421A9" w:rsidRDefault="00B65EDC" w:rsidP="00CD4E21">
            <w:pPr>
              <w:jc w:val="right"/>
              <w:rPr>
                <w:rFonts w:ascii="Times New Roman" w:hAnsi="Times New Roman"/>
              </w:rPr>
            </w:pPr>
          </w:p>
        </w:tc>
        <w:tc>
          <w:tcPr>
            <w:tcW w:w="1123" w:type="dxa"/>
            <w:tcBorders>
              <w:top w:val="nil"/>
              <w:left w:val="nil"/>
              <w:bottom w:val="nil"/>
              <w:right w:val="nil"/>
            </w:tcBorders>
            <w:vAlign w:val="center"/>
            <w:hideMark/>
          </w:tcPr>
          <w:p w14:paraId="460515F5" w14:textId="77777777" w:rsidR="00B65EDC" w:rsidRPr="004421A9" w:rsidRDefault="00B65EDC" w:rsidP="00CD4E21">
            <w:pPr>
              <w:jc w:val="right"/>
              <w:rPr>
                <w:rFonts w:ascii="Times New Roman" w:hAnsi="Times New Roman"/>
              </w:rPr>
            </w:pPr>
          </w:p>
        </w:tc>
        <w:tc>
          <w:tcPr>
            <w:tcW w:w="1218" w:type="dxa"/>
            <w:tcBorders>
              <w:top w:val="nil"/>
              <w:left w:val="nil"/>
              <w:bottom w:val="nil"/>
              <w:right w:val="nil"/>
            </w:tcBorders>
            <w:vAlign w:val="center"/>
            <w:hideMark/>
          </w:tcPr>
          <w:p w14:paraId="4C281FA3" w14:textId="77777777" w:rsidR="00B65EDC" w:rsidRPr="004421A9" w:rsidRDefault="00B65EDC" w:rsidP="00CD4E21">
            <w:pPr>
              <w:jc w:val="right"/>
              <w:rPr>
                <w:rFonts w:ascii="Times New Roman" w:hAnsi="Times New Roman"/>
              </w:rPr>
            </w:pPr>
          </w:p>
        </w:tc>
      </w:tr>
      <w:tr w:rsidR="00B65EDC" w:rsidRPr="004421A9" w14:paraId="4FFEB37D" w14:textId="77777777" w:rsidTr="007D74F3">
        <w:trPr>
          <w:trHeight w:val="352"/>
          <w:jc w:val="center"/>
        </w:trPr>
        <w:tc>
          <w:tcPr>
            <w:tcW w:w="419" w:type="dxa"/>
            <w:tcBorders>
              <w:top w:val="nil"/>
              <w:left w:val="nil"/>
              <w:bottom w:val="nil"/>
              <w:right w:val="nil"/>
            </w:tcBorders>
            <w:noWrap/>
            <w:vAlign w:val="bottom"/>
            <w:hideMark/>
          </w:tcPr>
          <w:p w14:paraId="0981A40A" w14:textId="77777777" w:rsidR="00B65EDC" w:rsidRPr="004421A9" w:rsidRDefault="00B65EDC" w:rsidP="00CD4E21">
            <w:pPr>
              <w:jc w:val="right"/>
              <w:rPr>
                <w:rFonts w:ascii="Times New Roman" w:hAnsi="Times New Roman"/>
              </w:rPr>
            </w:pPr>
          </w:p>
        </w:tc>
        <w:tc>
          <w:tcPr>
            <w:tcW w:w="3123" w:type="dxa"/>
            <w:tcBorders>
              <w:top w:val="nil"/>
              <w:left w:val="nil"/>
              <w:bottom w:val="nil"/>
              <w:right w:val="nil"/>
            </w:tcBorders>
            <w:vAlign w:val="bottom"/>
            <w:hideMark/>
          </w:tcPr>
          <w:p w14:paraId="4D7ED38C" w14:textId="7EAE93FA" w:rsidR="00B65EDC" w:rsidRPr="004421A9" w:rsidRDefault="00A52B7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Mobiliar und Betriebsausstattung</w:t>
            </w:r>
          </w:p>
        </w:tc>
        <w:tc>
          <w:tcPr>
            <w:tcW w:w="1142" w:type="dxa"/>
            <w:tcBorders>
              <w:top w:val="nil"/>
              <w:left w:val="nil"/>
              <w:bottom w:val="nil"/>
              <w:right w:val="nil"/>
            </w:tcBorders>
            <w:vAlign w:val="bottom"/>
            <w:hideMark/>
          </w:tcPr>
          <w:p w14:paraId="15867961"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62EB37B5"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 </w:t>
            </w:r>
          </w:p>
        </w:tc>
        <w:tc>
          <w:tcPr>
            <w:tcW w:w="933" w:type="dxa"/>
            <w:tcBorders>
              <w:top w:val="nil"/>
              <w:left w:val="nil"/>
              <w:bottom w:val="nil"/>
              <w:right w:val="nil"/>
            </w:tcBorders>
            <w:vAlign w:val="bottom"/>
            <w:hideMark/>
          </w:tcPr>
          <w:p w14:paraId="74C500CE"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123" w:type="dxa"/>
            <w:tcBorders>
              <w:top w:val="nil"/>
              <w:left w:val="nil"/>
              <w:bottom w:val="nil"/>
              <w:right w:val="nil"/>
            </w:tcBorders>
            <w:vAlign w:val="bottom"/>
            <w:hideMark/>
          </w:tcPr>
          <w:p w14:paraId="44BCC7CF"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194A3C79" w14:textId="77777777" w:rsidR="00B65EDC" w:rsidRPr="004421A9" w:rsidRDefault="00B65EDC" w:rsidP="00CD4E21">
            <w:pPr>
              <w:jc w:val="right"/>
              <w:rPr>
                <w:rFonts w:ascii="Arial Narrow" w:hAnsi="Arial Narrow" w:cs="Arial"/>
              </w:rPr>
            </w:pPr>
            <w:r w:rsidRPr="004421A9">
              <w:rPr>
                <w:rFonts w:ascii="Arial Narrow" w:hAnsi="Arial Narrow" w:cs="Arial"/>
              </w:rPr>
              <w:t>1</w:t>
            </w:r>
          </w:p>
        </w:tc>
      </w:tr>
      <w:tr w:rsidR="00B65EDC" w:rsidRPr="004421A9" w14:paraId="14823837" w14:textId="77777777" w:rsidTr="007D74F3">
        <w:trPr>
          <w:trHeight w:val="352"/>
          <w:jc w:val="center"/>
        </w:trPr>
        <w:tc>
          <w:tcPr>
            <w:tcW w:w="419" w:type="dxa"/>
            <w:tcBorders>
              <w:top w:val="nil"/>
              <w:left w:val="nil"/>
              <w:bottom w:val="nil"/>
              <w:right w:val="nil"/>
            </w:tcBorders>
            <w:noWrap/>
            <w:vAlign w:val="bottom"/>
            <w:hideMark/>
          </w:tcPr>
          <w:p w14:paraId="7938B1D3"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0F0AEFAE" w14:textId="5AFC736F" w:rsidR="00B65EDC" w:rsidRPr="004421A9" w:rsidRDefault="007738B4"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Bürobedarf und Materialien</w:t>
            </w:r>
          </w:p>
        </w:tc>
        <w:tc>
          <w:tcPr>
            <w:tcW w:w="1142" w:type="dxa"/>
            <w:tcBorders>
              <w:top w:val="nil"/>
              <w:left w:val="nil"/>
              <w:bottom w:val="nil"/>
              <w:right w:val="nil"/>
            </w:tcBorders>
            <w:vAlign w:val="bottom"/>
            <w:hideMark/>
          </w:tcPr>
          <w:p w14:paraId="31999BC9"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3 </w:t>
            </w:r>
          </w:p>
        </w:tc>
        <w:tc>
          <w:tcPr>
            <w:tcW w:w="1225" w:type="dxa"/>
            <w:tcBorders>
              <w:top w:val="nil"/>
              <w:left w:val="nil"/>
              <w:bottom w:val="nil"/>
              <w:right w:val="nil"/>
            </w:tcBorders>
            <w:vAlign w:val="bottom"/>
            <w:hideMark/>
          </w:tcPr>
          <w:p w14:paraId="6CFA42FC"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 </w:t>
            </w:r>
          </w:p>
        </w:tc>
        <w:tc>
          <w:tcPr>
            <w:tcW w:w="933" w:type="dxa"/>
            <w:tcBorders>
              <w:top w:val="nil"/>
              <w:left w:val="nil"/>
              <w:bottom w:val="nil"/>
              <w:right w:val="nil"/>
            </w:tcBorders>
            <w:vAlign w:val="bottom"/>
            <w:hideMark/>
          </w:tcPr>
          <w:p w14:paraId="57E8BD00"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123" w:type="dxa"/>
            <w:tcBorders>
              <w:top w:val="nil"/>
              <w:left w:val="nil"/>
              <w:bottom w:val="nil"/>
              <w:right w:val="nil"/>
            </w:tcBorders>
            <w:vAlign w:val="bottom"/>
            <w:hideMark/>
          </w:tcPr>
          <w:p w14:paraId="16A781CB"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332B0597" w14:textId="77777777" w:rsidR="00B65EDC" w:rsidRPr="004421A9" w:rsidRDefault="00B65EDC" w:rsidP="00CD4E21">
            <w:pPr>
              <w:jc w:val="right"/>
              <w:rPr>
                <w:rFonts w:ascii="Arial Narrow" w:hAnsi="Arial Narrow" w:cs="Arial"/>
              </w:rPr>
            </w:pPr>
            <w:r w:rsidRPr="004421A9">
              <w:rPr>
                <w:rFonts w:ascii="Arial Narrow" w:hAnsi="Arial Narrow" w:cs="Arial"/>
              </w:rPr>
              <w:t>1</w:t>
            </w:r>
          </w:p>
        </w:tc>
      </w:tr>
      <w:tr w:rsidR="00B65EDC" w:rsidRPr="004421A9" w14:paraId="64632BEF" w14:textId="77777777" w:rsidTr="007D74F3">
        <w:trPr>
          <w:trHeight w:val="352"/>
          <w:jc w:val="center"/>
        </w:trPr>
        <w:tc>
          <w:tcPr>
            <w:tcW w:w="419" w:type="dxa"/>
            <w:tcBorders>
              <w:top w:val="nil"/>
              <w:left w:val="nil"/>
              <w:bottom w:val="single" w:sz="4" w:space="0" w:color="AAB8C4"/>
              <w:right w:val="nil"/>
            </w:tcBorders>
            <w:noWrap/>
            <w:vAlign w:val="bottom"/>
            <w:hideMark/>
          </w:tcPr>
          <w:p w14:paraId="62B35EF5" w14:textId="77777777" w:rsidR="00B65EDC" w:rsidRPr="004421A9" w:rsidRDefault="00B65EDC" w:rsidP="00CD4E21">
            <w:pPr>
              <w:jc w:val="left"/>
              <w:rPr>
                <w:rFonts w:cs="Arial"/>
                <w:b/>
                <w:bCs/>
              </w:rPr>
            </w:pPr>
          </w:p>
        </w:tc>
        <w:tc>
          <w:tcPr>
            <w:tcW w:w="3123" w:type="dxa"/>
            <w:tcBorders>
              <w:top w:val="nil"/>
              <w:left w:val="nil"/>
              <w:bottom w:val="single" w:sz="4" w:space="0" w:color="AAB8C4"/>
              <w:right w:val="nil"/>
            </w:tcBorders>
            <w:vAlign w:val="bottom"/>
            <w:hideMark/>
          </w:tcPr>
          <w:p w14:paraId="164EDA10"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AB8C4"/>
              <w:right w:val="nil"/>
            </w:tcBorders>
            <w:vAlign w:val="bottom"/>
            <w:hideMark/>
          </w:tcPr>
          <w:p w14:paraId="6A10515B"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3 </w:t>
            </w:r>
          </w:p>
        </w:tc>
        <w:tc>
          <w:tcPr>
            <w:tcW w:w="1225" w:type="dxa"/>
            <w:tcBorders>
              <w:top w:val="nil"/>
              <w:left w:val="nil"/>
              <w:bottom w:val="single" w:sz="4" w:space="0" w:color="AAB8C4"/>
              <w:right w:val="nil"/>
            </w:tcBorders>
            <w:vAlign w:val="bottom"/>
            <w:hideMark/>
          </w:tcPr>
          <w:p w14:paraId="0F0DFD1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2 </w:t>
            </w:r>
          </w:p>
        </w:tc>
        <w:tc>
          <w:tcPr>
            <w:tcW w:w="933" w:type="dxa"/>
            <w:tcBorders>
              <w:top w:val="nil"/>
              <w:left w:val="nil"/>
              <w:bottom w:val="nil"/>
              <w:right w:val="nil"/>
            </w:tcBorders>
            <w:vAlign w:val="bottom"/>
            <w:hideMark/>
          </w:tcPr>
          <w:p w14:paraId="26B2CD1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w:t>
            </w:r>
          </w:p>
        </w:tc>
        <w:tc>
          <w:tcPr>
            <w:tcW w:w="1123" w:type="dxa"/>
            <w:tcBorders>
              <w:top w:val="nil"/>
              <w:left w:val="nil"/>
              <w:bottom w:val="nil"/>
              <w:right w:val="nil"/>
            </w:tcBorders>
            <w:vAlign w:val="bottom"/>
            <w:hideMark/>
          </w:tcPr>
          <w:p w14:paraId="3473E478" w14:textId="44D2C4C7" w:rsidR="00B65EDC" w:rsidRPr="004421A9" w:rsidRDefault="00B65EDC" w:rsidP="00CD4E21">
            <w:pPr>
              <w:jc w:val="right"/>
              <w:rPr>
                <w:rFonts w:ascii="Arial Narrow" w:hAnsi="Arial Narrow" w:cs="Arial"/>
                <w:b/>
                <w:bCs/>
              </w:rPr>
            </w:pPr>
            <w:r w:rsidRPr="004421A9">
              <w:rPr>
                <w:rFonts w:ascii="Arial Narrow" w:hAnsi="Arial Narrow" w:cs="Arial"/>
                <w:b/>
                <w:bCs/>
              </w:rPr>
              <w:t>0</w:t>
            </w:r>
            <w:r w:rsidR="004C4EB5" w:rsidRPr="004421A9">
              <w:rPr>
                <w:rFonts w:ascii="Arial Narrow" w:hAnsi="Arial Narrow" w:cs="Arial"/>
                <w:b/>
                <w:bCs/>
              </w:rPr>
              <w:t xml:space="preserve"> %</w:t>
            </w:r>
          </w:p>
        </w:tc>
        <w:tc>
          <w:tcPr>
            <w:tcW w:w="1218" w:type="dxa"/>
            <w:tcBorders>
              <w:top w:val="nil"/>
              <w:left w:val="nil"/>
              <w:bottom w:val="nil"/>
              <w:right w:val="nil"/>
            </w:tcBorders>
            <w:vAlign w:val="bottom"/>
            <w:hideMark/>
          </w:tcPr>
          <w:p w14:paraId="5D10B100"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2</w:t>
            </w:r>
          </w:p>
        </w:tc>
      </w:tr>
      <w:tr w:rsidR="00B65EDC" w:rsidRPr="004421A9" w14:paraId="3B97A3E4" w14:textId="77777777" w:rsidTr="007D74F3">
        <w:trPr>
          <w:trHeight w:val="352"/>
          <w:jc w:val="center"/>
        </w:trPr>
        <w:tc>
          <w:tcPr>
            <w:tcW w:w="419" w:type="dxa"/>
            <w:tcBorders>
              <w:top w:val="nil"/>
              <w:left w:val="nil"/>
              <w:bottom w:val="single" w:sz="8" w:space="0" w:color="AAB8C4"/>
              <w:right w:val="nil"/>
            </w:tcBorders>
            <w:noWrap/>
            <w:vAlign w:val="bottom"/>
            <w:hideMark/>
          </w:tcPr>
          <w:p w14:paraId="4B994EFC" w14:textId="77777777" w:rsidR="00B65EDC" w:rsidRPr="004421A9" w:rsidRDefault="00B65EDC" w:rsidP="00CD4E21">
            <w:pPr>
              <w:jc w:val="left"/>
              <w:rPr>
                <w:rFonts w:cs="Arial"/>
                <w:b/>
                <w:bCs/>
              </w:rPr>
            </w:pPr>
          </w:p>
        </w:tc>
        <w:tc>
          <w:tcPr>
            <w:tcW w:w="3123" w:type="dxa"/>
            <w:tcBorders>
              <w:top w:val="nil"/>
              <w:left w:val="nil"/>
              <w:bottom w:val="single" w:sz="8" w:space="0" w:color="AAB8C4"/>
              <w:right w:val="nil"/>
            </w:tcBorders>
            <w:vAlign w:val="bottom"/>
            <w:hideMark/>
          </w:tcPr>
          <w:p w14:paraId="5377E73F" w14:textId="65DB2C71" w:rsidR="00B65EDC" w:rsidRPr="004421A9" w:rsidRDefault="007B0EF5" w:rsidP="00CD4E21">
            <w:pPr>
              <w:jc w:val="left"/>
              <w:rPr>
                <w:rFonts w:ascii="Arial Narrow" w:hAnsi="Arial Narrow" w:cs="Arial"/>
                <w:b/>
                <w:bCs/>
                <w:color w:val="000000"/>
              </w:rPr>
            </w:pPr>
            <w:r w:rsidRPr="004421A9">
              <w:rPr>
                <w:rFonts w:ascii="Arial Narrow" w:hAnsi="Arial Narrow" w:cs="Arial"/>
                <w:b/>
                <w:bCs/>
                <w:color w:val="000000"/>
              </w:rPr>
              <w:t>Insgesamt</w:t>
            </w:r>
            <w:r w:rsidR="00B65EDC" w:rsidRPr="004421A9">
              <w:rPr>
                <w:rFonts w:ascii="Arial Narrow" w:hAnsi="Arial Narrow" w:cs="Arial"/>
                <w:b/>
                <w:bCs/>
                <w:color w:val="000000"/>
              </w:rPr>
              <w:t>, B</w:t>
            </w:r>
          </w:p>
        </w:tc>
        <w:tc>
          <w:tcPr>
            <w:tcW w:w="1142" w:type="dxa"/>
            <w:tcBorders>
              <w:top w:val="nil"/>
              <w:left w:val="nil"/>
              <w:bottom w:val="single" w:sz="8" w:space="0" w:color="AAB8C4"/>
              <w:right w:val="nil"/>
            </w:tcBorders>
            <w:vAlign w:val="bottom"/>
            <w:hideMark/>
          </w:tcPr>
          <w:p w14:paraId="39EF4397"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2.756 </w:t>
            </w:r>
          </w:p>
        </w:tc>
        <w:tc>
          <w:tcPr>
            <w:tcW w:w="1225" w:type="dxa"/>
            <w:tcBorders>
              <w:top w:val="nil"/>
              <w:left w:val="nil"/>
              <w:bottom w:val="single" w:sz="8" w:space="0" w:color="AAB8C4"/>
              <w:right w:val="nil"/>
            </w:tcBorders>
            <w:vAlign w:val="bottom"/>
            <w:hideMark/>
          </w:tcPr>
          <w:p w14:paraId="2B00BA52"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2.147 </w:t>
            </w:r>
          </w:p>
        </w:tc>
        <w:tc>
          <w:tcPr>
            <w:tcW w:w="933" w:type="dxa"/>
            <w:tcBorders>
              <w:top w:val="single" w:sz="4" w:space="0" w:color="BFBFBF"/>
              <w:left w:val="nil"/>
              <w:bottom w:val="single" w:sz="8" w:space="0" w:color="BFBFBF"/>
              <w:right w:val="nil"/>
            </w:tcBorders>
            <w:vAlign w:val="bottom"/>
            <w:hideMark/>
          </w:tcPr>
          <w:p w14:paraId="55F893A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(271)</w:t>
            </w:r>
          </w:p>
        </w:tc>
        <w:tc>
          <w:tcPr>
            <w:tcW w:w="1123" w:type="dxa"/>
            <w:tcBorders>
              <w:top w:val="single" w:sz="4" w:space="0" w:color="BFBFBF"/>
              <w:left w:val="nil"/>
              <w:bottom w:val="single" w:sz="8" w:space="0" w:color="BFBFBF"/>
              <w:right w:val="nil"/>
            </w:tcBorders>
            <w:vAlign w:val="bottom"/>
            <w:hideMark/>
          </w:tcPr>
          <w:p w14:paraId="3C468DBF" w14:textId="76EA50AF" w:rsidR="00B65EDC" w:rsidRPr="004421A9" w:rsidRDefault="00B65EDC" w:rsidP="00CD4E21">
            <w:pPr>
              <w:jc w:val="right"/>
              <w:rPr>
                <w:rFonts w:ascii="Arial Narrow" w:hAnsi="Arial Narrow" w:cs="Arial"/>
                <w:b/>
                <w:bCs/>
              </w:rPr>
            </w:pPr>
            <w:r w:rsidRPr="004421A9">
              <w:rPr>
                <w:rFonts w:ascii="Arial Narrow" w:hAnsi="Arial Narrow" w:cs="Arial"/>
                <w:b/>
                <w:bCs/>
              </w:rPr>
              <w:t>-13</w:t>
            </w:r>
            <w:r w:rsidR="004C4EB5" w:rsidRPr="004421A9">
              <w:rPr>
                <w:rFonts w:ascii="Arial Narrow" w:hAnsi="Arial Narrow" w:cs="Arial"/>
                <w:b/>
                <w:bCs/>
              </w:rPr>
              <w:t xml:space="preserve"> %</w:t>
            </w:r>
          </w:p>
        </w:tc>
        <w:tc>
          <w:tcPr>
            <w:tcW w:w="1218" w:type="dxa"/>
            <w:tcBorders>
              <w:top w:val="single" w:sz="4" w:space="0" w:color="AAB8C4"/>
              <w:left w:val="nil"/>
              <w:bottom w:val="single" w:sz="8" w:space="0" w:color="AAB8C4"/>
              <w:right w:val="nil"/>
            </w:tcBorders>
            <w:vAlign w:val="bottom"/>
            <w:hideMark/>
          </w:tcPr>
          <w:p w14:paraId="79B8A4C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1.876</w:t>
            </w:r>
          </w:p>
        </w:tc>
      </w:tr>
      <w:tr w:rsidR="00B65EDC" w:rsidRPr="004421A9" w14:paraId="2BC3E8B7" w14:textId="77777777" w:rsidTr="007D74F3">
        <w:trPr>
          <w:trHeight w:val="352"/>
          <w:jc w:val="center"/>
        </w:trPr>
        <w:tc>
          <w:tcPr>
            <w:tcW w:w="419" w:type="dxa"/>
            <w:tcBorders>
              <w:top w:val="nil"/>
              <w:left w:val="nil"/>
              <w:bottom w:val="single" w:sz="8" w:space="0" w:color="AAB8C4"/>
              <w:right w:val="nil"/>
            </w:tcBorders>
            <w:noWrap/>
            <w:vAlign w:val="bottom"/>
            <w:hideMark/>
          </w:tcPr>
          <w:p w14:paraId="4377440F" w14:textId="77777777" w:rsidR="00B65EDC" w:rsidRPr="004421A9" w:rsidRDefault="00B65EDC" w:rsidP="00CD4E21">
            <w:pPr>
              <w:jc w:val="left"/>
              <w:rPr>
                <w:rFonts w:cs="Arial"/>
                <w:b/>
                <w:bCs/>
              </w:rPr>
            </w:pPr>
          </w:p>
        </w:tc>
        <w:tc>
          <w:tcPr>
            <w:tcW w:w="3123" w:type="dxa"/>
            <w:tcBorders>
              <w:top w:val="nil"/>
              <w:left w:val="nil"/>
              <w:bottom w:val="single" w:sz="8" w:space="0" w:color="AAB8C4"/>
              <w:right w:val="nil"/>
            </w:tcBorders>
            <w:vAlign w:val="center"/>
            <w:hideMark/>
          </w:tcPr>
          <w:p w14:paraId="517AD24F" w14:textId="305BB65E" w:rsidR="00B65EDC" w:rsidRPr="004421A9" w:rsidRDefault="007738B4" w:rsidP="00CD4E21">
            <w:pPr>
              <w:jc w:val="left"/>
              <w:rPr>
                <w:rFonts w:ascii="Arial Narrow" w:hAnsi="Arial Narrow" w:cs="Arial"/>
                <w:b/>
                <w:bCs/>
              </w:rPr>
            </w:pPr>
            <w:r w:rsidRPr="004421A9">
              <w:rPr>
                <w:rFonts w:ascii="Arial Narrow" w:hAnsi="Arial Narrow" w:cs="Arial"/>
                <w:b/>
                <w:bCs/>
              </w:rPr>
              <w:t>INSG</w:t>
            </w:r>
            <w:r w:rsidR="00B65EDC" w:rsidRPr="004421A9">
              <w:rPr>
                <w:rFonts w:ascii="Arial Narrow" w:hAnsi="Arial Narrow" w:cs="Arial"/>
                <w:b/>
                <w:bCs/>
              </w:rPr>
              <w:t>ESAMT, A + B</w:t>
            </w:r>
          </w:p>
        </w:tc>
        <w:tc>
          <w:tcPr>
            <w:tcW w:w="1142" w:type="dxa"/>
            <w:tcBorders>
              <w:top w:val="nil"/>
              <w:left w:val="nil"/>
              <w:bottom w:val="single" w:sz="8" w:space="0" w:color="AAB8C4"/>
              <w:right w:val="nil"/>
            </w:tcBorders>
            <w:vAlign w:val="center"/>
            <w:hideMark/>
          </w:tcPr>
          <w:p w14:paraId="6FE2F8E3"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7.382 </w:t>
            </w:r>
          </w:p>
        </w:tc>
        <w:tc>
          <w:tcPr>
            <w:tcW w:w="1225" w:type="dxa"/>
            <w:tcBorders>
              <w:top w:val="nil"/>
              <w:left w:val="nil"/>
              <w:bottom w:val="single" w:sz="8" w:space="0" w:color="AAB8C4"/>
              <w:right w:val="nil"/>
            </w:tcBorders>
            <w:vAlign w:val="center"/>
            <w:hideMark/>
          </w:tcPr>
          <w:p w14:paraId="717314A6"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7.901 </w:t>
            </w:r>
          </w:p>
        </w:tc>
        <w:tc>
          <w:tcPr>
            <w:tcW w:w="933" w:type="dxa"/>
            <w:tcBorders>
              <w:top w:val="single" w:sz="4" w:space="0" w:color="BFBFBF"/>
              <w:left w:val="nil"/>
              <w:bottom w:val="single" w:sz="8" w:space="0" w:color="BFBFBF"/>
              <w:right w:val="nil"/>
            </w:tcBorders>
            <w:vAlign w:val="center"/>
            <w:hideMark/>
          </w:tcPr>
          <w:p w14:paraId="66EC0BA1"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(285)</w:t>
            </w:r>
          </w:p>
        </w:tc>
        <w:tc>
          <w:tcPr>
            <w:tcW w:w="1123" w:type="dxa"/>
            <w:tcBorders>
              <w:top w:val="nil"/>
              <w:left w:val="nil"/>
              <w:bottom w:val="single" w:sz="8" w:space="0" w:color="BFBFBF"/>
              <w:right w:val="nil"/>
            </w:tcBorders>
            <w:vAlign w:val="center"/>
            <w:hideMark/>
          </w:tcPr>
          <w:p w14:paraId="08870BEA" w14:textId="7FEB42E8" w:rsidR="00B65EDC" w:rsidRPr="004421A9" w:rsidRDefault="00B65EDC" w:rsidP="00CD4E21">
            <w:pPr>
              <w:jc w:val="right"/>
              <w:rPr>
                <w:rFonts w:ascii="Arial Narrow" w:hAnsi="Arial Narrow" w:cs="Arial"/>
                <w:b/>
                <w:bCs/>
              </w:rPr>
            </w:pPr>
            <w:r w:rsidRPr="004421A9">
              <w:rPr>
                <w:rFonts w:ascii="Arial Narrow" w:hAnsi="Arial Narrow" w:cs="Arial"/>
                <w:b/>
                <w:bCs/>
              </w:rPr>
              <w:t>-4</w:t>
            </w:r>
            <w:r w:rsidR="004C4EB5" w:rsidRPr="004421A9">
              <w:rPr>
                <w:rFonts w:ascii="Arial Narrow" w:hAnsi="Arial Narrow" w:cs="Arial"/>
                <w:b/>
                <w:bCs/>
              </w:rPr>
              <w:t xml:space="preserve"> %</w:t>
            </w:r>
          </w:p>
        </w:tc>
        <w:tc>
          <w:tcPr>
            <w:tcW w:w="1218" w:type="dxa"/>
            <w:tcBorders>
              <w:top w:val="nil"/>
              <w:left w:val="nil"/>
              <w:bottom w:val="single" w:sz="8" w:space="0" w:color="AAB8C4"/>
              <w:right w:val="nil"/>
            </w:tcBorders>
            <w:vAlign w:val="center"/>
            <w:hideMark/>
          </w:tcPr>
          <w:p w14:paraId="3FE0BD1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7.616</w:t>
            </w:r>
          </w:p>
        </w:tc>
      </w:tr>
    </w:tbl>
    <w:p w14:paraId="05274BCA" w14:textId="77777777" w:rsidR="00B65EDC" w:rsidRPr="004421A9" w:rsidRDefault="00B65EDC" w:rsidP="00B65EDC">
      <w:pPr>
        <w:rPr>
          <w:b/>
          <w:spacing w:val="-2"/>
          <w:szCs w:val="24"/>
        </w:rPr>
      </w:pPr>
    </w:p>
    <w:p w14:paraId="4AA3527F" w14:textId="77777777" w:rsidR="00F61200" w:rsidRDefault="00F61200">
      <w:pPr>
        <w:jc w:val="left"/>
        <w:rPr>
          <w:b/>
          <w:color w:val="26724C" w:themeColor="accent1" w:themeShade="BF"/>
          <w:sz w:val="22"/>
        </w:rPr>
      </w:pPr>
      <w:bookmarkStart w:id="445" w:name="_Toc210041696"/>
      <w:r>
        <w:br w:type="page"/>
      </w:r>
    </w:p>
    <w:p w14:paraId="6053C7C1" w14:textId="20648086" w:rsidR="00B65EDC" w:rsidRPr="004421A9" w:rsidRDefault="00B65EDC" w:rsidP="00054C50">
      <w:pPr>
        <w:pStyle w:val="Heading3"/>
        <w:rPr>
          <w:lang w:val="de-DE"/>
        </w:rPr>
      </w:pPr>
      <w:r w:rsidRPr="004421A9">
        <w:rPr>
          <w:lang w:val="de-DE"/>
        </w:rPr>
        <w:lastRenderedPageBreak/>
        <w:t>Personalkosten</w:t>
      </w:r>
      <w:bookmarkEnd w:id="445"/>
    </w:p>
    <w:p w14:paraId="0923123B" w14:textId="77777777" w:rsidR="00B65EDC" w:rsidRPr="004421A9" w:rsidRDefault="00B65EDC" w:rsidP="00054C50">
      <w:pPr>
        <w:keepNext/>
      </w:pPr>
    </w:p>
    <w:p w14:paraId="01EDC981" w14:textId="2BBE426C" w:rsidR="00A82E77" w:rsidRPr="004421A9" w:rsidRDefault="008B24DC" w:rsidP="00054C50">
      <w:pPr>
        <w:keepNext/>
      </w:pPr>
      <w:r w:rsidRPr="004421A9">
        <w:fldChar w:fldCharType="begin"/>
      </w:r>
      <w:r w:rsidRPr="004421A9">
        <w:instrText xml:space="preserve"> AUTONUM  </w:instrText>
      </w:r>
      <w:r w:rsidRPr="004421A9">
        <w:fldChar w:fldCharType="end"/>
      </w:r>
      <w:r w:rsidR="00B65EDC" w:rsidRPr="004421A9">
        <w:tab/>
      </w:r>
      <w:r w:rsidR="00A82E77" w:rsidRPr="004421A9">
        <w:t xml:space="preserve">Die Personalkosten konzentrieren sich auf vorrangige Bereiche gemäß dem Strategischen Geschäftsplan (SBP) </w:t>
      </w:r>
      <w:r w:rsidR="00804352" w:rsidRPr="004421A9">
        <w:t>2026-2029</w:t>
      </w:r>
      <w:r w:rsidR="00A82E77" w:rsidRPr="004421A9">
        <w:t>.</w:t>
      </w:r>
    </w:p>
    <w:p w14:paraId="1A58009B" w14:textId="77777777" w:rsidR="00A82E77" w:rsidRPr="004421A9" w:rsidRDefault="00A82E77" w:rsidP="00A82E77"/>
    <w:p w14:paraId="0A4883D1" w14:textId="0270FB57" w:rsidR="00B65EDC" w:rsidRPr="004421A9" w:rsidRDefault="0012086B" w:rsidP="00A82E77">
      <w:r w:rsidRPr="004421A9">
        <w:fldChar w:fldCharType="begin"/>
      </w:r>
      <w:r w:rsidRPr="004421A9">
        <w:instrText xml:space="preserve"> AUTONUM  </w:instrText>
      </w:r>
      <w:r w:rsidRPr="004421A9">
        <w:fldChar w:fldCharType="end"/>
      </w:r>
      <w:r w:rsidR="00A82E77" w:rsidRPr="004421A9">
        <w:tab/>
        <w:t>Die Eindämmung der Personalkosten ist durch eingebaute Vakanzquoten sowohl bei regulären als auch bei befristeten Posten vorgesehen. Kommunikation und Digitalisierung werden eine zentrale Rolle spielen, um die erwarteten Ergebnisse zu erzielen</w:t>
      </w:r>
      <w:r w:rsidR="00B65EDC" w:rsidRPr="004421A9">
        <w:t xml:space="preserve">. </w:t>
      </w:r>
    </w:p>
    <w:p w14:paraId="1AF59F2D" w14:textId="77777777" w:rsidR="00B65EDC" w:rsidRPr="004421A9" w:rsidRDefault="00B65EDC" w:rsidP="00B65EDC"/>
    <w:p w14:paraId="5BE8484E" w14:textId="506CDF4B" w:rsidR="00B65EDC" w:rsidRPr="004421A9" w:rsidRDefault="00106399" w:rsidP="00B65EDC">
      <w:r w:rsidRPr="004421A9">
        <w:fldChar w:fldCharType="begin"/>
      </w:r>
      <w:r w:rsidRPr="004421A9">
        <w:instrText xml:space="preserve"> AUTONUM  </w:instrText>
      </w:r>
      <w:r w:rsidRPr="004421A9">
        <w:fldChar w:fldCharType="end"/>
      </w:r>
      <w:r w:rsidR="00B65EDC" w:rsidRPr="004421A9">
        <w:tab/>
        <w:t xml:space="preserve">Für </w:t>
      </w:r>
      <w:r w:rsidR="00F4337E" w:rsidRPr="004421A9">
        <w:t>die Rechnungsperiode</w:t>
      </w:r>
      <w:r w:rsidR="00521C0D" w:rsidRPr="004421A9">
        <w:t xml:space="preserve"> 2026-2027</w:t>
      </w:r>
      <w:r w:rsidR="00B65EDC" w:rsidRPr="004421A9">
        <w:t xml:space="preserve"> wurden zwei befristete </w:t>
      </w:r>
      <w:r w:rsidR="00325CDB" w:rsidRPr="004421A9">
        <w:t>Posten</w:t>
      </w:r>
      <w:r w:rsidR="00B65EDC" w:rsidRPr="004421A9">
        <w:t xml:space="preserve"> zur Unterstützung dieser vorrangigen Bereiche </w:t>
      </w:r>
      <w:r w:rsidR="00862D0C" w:rsidRPr="004421A9">
        <w:t>veranschlagt</w:t>
      </w:r>
      <w:r w:rsidR="00B65EDC" w:rsidRPr="004421A9">
        <w:t xml:space="preserve">. </w:t>
      </w:r>
      <w:r w:rsidR="00E564C7" w:rsidRPr="004421A9">
        <w:t>Der</w:t>
      </w:r>
      <w:r w:rsidR="00B65EDC" w:rsidRPr="004421A9">
        <w:t xml:space="preserve"> IT-</w:t>
      </w:r>
      <w:r w:rsidR="00E564C7" w:rsidRPr="004421A9">
        <w:t>Posten</w:t>
      </w:r>
      <w:r w:rsidR="00B65EDC" w:rsidRPr="004421A9">
        <w:t xml:space="preserve"> war bereits für 2024-2025 </w:t>
      </w:r>
      <w:r w:rsidR="0059438E" w:rsidRPr="004421A9">
        <w:t>veranschlagt</w:t>
      </w:r>
      <w:r w:rsidR="00B65EDC" w:rsidRPr="004421A9">
        <w:t xml:space="preserve">, doch der ausgewählte Bewerber hat ein anderes </w:t>
      </w:r>
      <w:r w:rsidR="00B65CA9" w:rsidRPr="004421A9">
        <w:t xml:space="preserve">Angebot </w:t>
      </w:r>
      <w:r w:rsidR="00B65EDC" w:rsidRPr="004421A9">
        <w:t>angenommen.</w:t>
      </w:r>
      <w:r w:rsidR="00AB27FA" w:rsidRPr="004421A9">
        <w:t xml:space="preserve"> </w:t>
      </w:r>
      <w:r w:rsidR="00B65EDC" w:rsidRPr="004421A9">
        <w:t xml:space="preserve">Dies </w:t>
      </w:r>
      <w:r w:rsidR="00AB27FA" w:rsidRPr="004421A9">
        <w:t>verdeutlichte</w:t>
      </w:r>
      <w:r w:rsidR="00B65EDC" w:rsidRPr="004421A9">
        <w:t xml:space="preserve"> </w:t>
      </w:r>
      <w:r w:rsidR="00AB27FA" w:rsidRPr="004421A9">
        <w:t>die Notwendigkeit, den Ansatz zur Gewinnung und Bindung qualifizierter IT-Sachverständiger zu überprüfen</w:t>
      </w:r>
      <w:r w:rsidR="00B65EDC" w:rsidRPr="004421A9">
        <w:t>.</w:t>
      </w:r>
      <w:r w:rsidR="008667D5" w:rsidRPr="004421A9">
        <w:t xml:space="preserve"> </w:t>
      </w:r>
      <w:r w:rsidR="00B65EDC" w:rsidRPr="004421A9">
        <w:t xml:space="preserve">Die </w:t>
      </w:r>
      <w:r w:rsidR="00EB37D1" w:rsidRPr="004421A9">
        <w:t xml:space="preserve">Aufgabe des </w:t>
      </w:r>
      <w:r w:rsidR="00B65EDC" w:rsidRPr="004421A9">
        <w:t xml:space="preserve">IT-Experten besteht </w:t>
      </w:r>
      <w:r w:rsidR="00EB37D1" w:rsidRPr="004421A9">
        <w:t xml:space="preserve">in </w:t>
      </w:r>
      <w:r w:rsidR="00B65EDC" w:rsidRPr="004421A9">
        <w:t xml:space="preserve">der Umsetzung </w:t>
      </w:r>
      <w:r w:rsidR="00AE4172" w:rsidRPr="004421A9">
        <w:t>von Schlüsselbereichen</w:t>
      </w:r>
      <w:r w:rsidR="00B65EDC" w:rsidRPr="004421A9">
        <w:t xml:space="preserve"> der Arbeit der UPOV, insbesondere </w:t>
      </w:r>
      <w:r w:rsidR="00AE4172" w:rsidRPr="004421A9">
        <w:t>für die</w:t>
      </w:r>
      <w:r w:rsidR="00B65EDC" w:rsidRPr="004421A9">
        <w:t xml:space="preserve"> Entwicklung und Wartung der Instrumente und Dienst</w:t>
      </w:r>
      <w:r w:rsidR="00AE4172" w:rsidRPr="004421A9">
        <w:t>leistungen</w:t>
      </w:r>
      <w:r w:rsidR="0020368F" w:rsidRPr="004421A9">
        <w:t xml:space="preserve"> der UPOV</w:t>
      </w:r>
      <w:r w:rsidR="00B65EDC" w:rsidRPr="004421A9">
        <w:t xml:space="preserve"> (PLUTO, </w:t>
      </w:r>
      <w:r w:rsidR="00FC2A35">
        <w:t>UPOV PRISMA</w:t>
      </w:r>
      <w:r w:rsidR="00B65EDC" w:rsidRPr="004421A9">
        <w:t>, DUS-Austauschmodul, TG-Vorlage).</w:t>
      </w:r>
    </w:p>
    <w:p w14:paraId="792AB2B2" w14:textId="77777777" w:rsidR="00B65EDC" w:rsidRPr="004421A9" w:rsidRDefault="00B65EDC" w:rsidP="00B65EDC"/>
    <w:p w14:paraId="7616591C" w14:textId="46952845" w:rsidR="00B65EDC" w:rsidRPr="004421A9" w:rsidRDefault="00E66805" w:rsidP="00B65EDC">
      <w:r w:rsidRPr="004421A9">
        <w:fldChar w:fldCharType="begin"/>
      </w:r>
      <w:r w:rsidRPr="004421A9">
        <w:instrText xml:space="preserve"> AUTONUM  </w:instrText>
      </w:r>
      <w:r w:rsidRPr="004421A9">
        <w:fldChar w:fldCharType="end"/>
      </w:r>
      <w:r w:rsidR="00B65EDC" w:rsidRPr="004421A9">
        <w:tab/>
      </w:r>
      <w:r w:rsidR="00832A6D" w:rsidRPr="004421A9">
        <w:t>Im Jahr 2025 wird aufgrund von Pensionierung ein Posten im allgemeinen Dienst vakant werden</w:t>
      </w:r>
      <w:r w:rsidR="00B65EDC" w:rsidRPr="004421A9">
        <w:t xml:space="preserve">. </w:t>
      </w:r>
      <w:r w:rsidR="00DF2B04" w:rsidRPr="004421A9">
        <w:t>Dieser Posten wurde für 2026-2027 in der Kategorie „Gehobener Dienst“ veranschlagt</w:t>
      </w:r>
      <w:r w:rsidR="00B65EDC" w:rsidRPr="004421A9">
        <w:t>,</w:t>
      </w:r>
      <w:r w:rsidR="00DF2B04" w:rsidRPr="004421A9">
        <w:t xml:space="preserve"> um den wachsenden Bedarf an Unterstützung und </w:t>
      </w:r>
      <w:r w:rsidR="002F7B34" w:rsidRPr="004421A9">
        <w:t>Anleitung</w:t>
      </w:r>
      <w:r w:rsidR="00DF2B04" w:rsidRPr="004421A9">
        <w:t xml:space="preserve"> im Bereich der Sortenschutzrechte zu decken</w:t>
      </w:r>
      <w:r w:rsidR="00B65EDC" w:rsidRPr="004421A9">
        <w:t xml:space="preserve">. </w:t>
      </w:r>
    </w:p>
    <w:p w14:paraId="52659084" w14:textId="77777777" w:rsidR="00B65EDC" w:rsidRPr="004421A9" w:rsidRDefault="00B65EDC" w:rsidP="00B65EDC"/>
    <w:p w14:paraId="1D65EFD9" w14:textId="77777777" w:rsidR="00B65EDC" w:rsidRPr="004421A9" w:rsidRDefault="00B65EDC" w:rsidP="00B65EDC">
      <w:pPr>
        <w:pStyle w:val="ListParagraph"/>
        <w:tabs>
          <w:tab w:val="left" w:pos="851"/>
        </w:tabs>
        <w:ind w:left="0"/>
        <w:contextualSpacing w:val="0"/>
        <w:rPr>
          <w:spacing w:val="-2"/>
        </w:rPr>
      </w:pPr>
    </w:p>
    <w:p w14:paraId="6AAF0DC7" w14:textId="6248A67F" w:rsidR="00B65EDC" w:rsidRPr="004421A9" w:rsidRDefault="00B65EDC" w:rsidP="00B65EDC">
      <w:pPr>
        <w:jc w:val="center"/>
        <w:rPr>
          <w:rFonts w:cs="Arial"/>
          <w:b/>
          <w:bCs/>
          <w:color w:val="26724C" w:themeColor="accent1" w:themeShade="BF"/>
        </w:rPr>
      </w:pPr>
      <w:r w:rsidRPr="004421A9">
        <w:rPr>
          <w:rFonts w:cs="Arial"/>
          <w:b/>
          <w:bCs/>
          <w:color w:val="26724C" w:themeColor="accent1" w:themeShade="BF"/>
        </w:rPr>
        <w:t>Tabelle 5:</w:t>
      </w:r>
      <w:r w:rsidR="00877E3D" w:rsidRPr="004421A9">
        <w:rPr>
          <w:rFonts w:cs="Arial"/>
          <w:b/>
          <w:bCs/>
          <w:color w:val="26724C" w:themeColor="accent1" w:themeShade="BF"/>
        </w:rPr>
        <w:t xml:space="preserve"> </w:t>
      </w:r>
      <w:r w:rsidRPr="004421A9">
        <w:rPr>
          <w:rFonts w:cs="Arial"/>
          <w:b/>
          <w:bCs/>
          <w:color w:val="26724C" w:themeColor="accent1" w:themeShade="BF"/>
        </w:rPr>
        <w:t>Haushalt</w:t>
      </w:r>
      <w:r w:rsidR="00B56D0C" w:rsidRPr="004421A9">
        <w:rPr>
          <w:rFonts w:cs="Arial"/>
          <w:b/>
          <w:bCs/>
          <w:color w:val="26724C" w:themeColor="accent1" w:themeShade="BF"/>
        </w:rPr>
        <w:t>splan</w:t>
      </w:r>
      <w:r w:rsidR="00521C0D" w:rsidRPr="004421A9">
        <w:rPr>
          <w:rFonts w:cs="Arial"/>
          <w:b/>
          <w:bCs/>
          <w:color w:val="26724C" w:themeColor="accent1" w:themeShade="BF"/>
        </w:rPr>
        <w:t xml:space="preserve"> 2026-2027</w:t>
      </w:r>
      <w:r w:rsidRPr="004421A9">
        <w:rPr>
          <w:rFonts w:cs="Arial"/>
          <w:b/>
          <w:bCs/>
          <w:color w:val="26724C" w:themeColor="accent1" w:themeShade="BF"/>
        </w:rPr>
        <w:t>:</w:t>
      </w:r>
      <w:r w:rsidR="00877E3D" w:rsidRPr="004421A9">
        <w:rPr>
          <w:rFonts w:cs="Arial"/>
          <w:b/>
          <w:bCs/>
          <w:color w:val="26724C" w:themeColor="accent1" w:themeShade="BF"/>
        </w:rPr>
        <w:t xml:space="preserve"> </w:t>
      </w:r>
      <w:r w:rsidR="00325CDB" w:rsidRPr="004421A9">
        <w:rPr>
          <w:rFonts w:cs="Arial"/>
          <w:b/>
          <w:bCs/>
          <w:color w:val="26724C" w:themeColor="accent1" w:themeShade="BF"/>
        </w:rPr>
        <w:t>Posten</w:t>
      </w:r>
      <w:r w:rsidRPr="004421A9">
        <w:rPr>
          <w:rFonts w:cs="Arial"/>
          <w:b/>
          <w:bCs/>
          <w:color w:val="26724C" w:themeColor="accent1" w:themeShade="BF"/>
        </w:rPr>
        <w:t xml:space="preserve"> nach </w:t>
      </w:r>
      <w:r w:rsidR="00D44145" w:rsidRPr="004421A9">
        <w:rPr>
          <w:rFonts w:cs="Arial"/>
          <w:b/>
          <w:bCs/>
          <w:color w:val="26724C" w:themeColor="accent1" w:themeShade="BF"/>
        </w:rPr>
        <w:t>Kategorie</w:t>
      </w:r>
    </w:p>
    <w:p w14:paraId="58B0831A" w14:textId="77777777" w:rsidR="00B65EDC" w:rsidRPr="004421A9" w:rsidRDefault="00B65EDC" w:rsidP="00B65EDC">
      <w:pPr>
        <w:rPr>
          <w:rFonts w:cs="Arial"/>
          <w:b/>
          <w:bCs/>
          <w:color w:val="26724C" w:themeColor="accent1" w:themeShade="BF"/>
        </w:rPr>
      </w:pPr>
    </w:p>
    <w:tbl>
      <w:tblPr>
        <w:tblW w:w="7980" w:type="dxa"/>
        <w:jc w:val="center"/>
        <w:tblLook w:val="04A0" w:firstRow="1" w:lastRow="0" w:firstColumn="1" w:lastColumn="0" w:noHBand="0" w:noVBand="1"/>
      </w:tblPr>
      <w:tblGrid>
        <w:gridCol w:w="2260"/>
        <w:gridCol w:w="1480"/>
        <w:gridCol w:w="1440"/>
        <w:gridCol w:w="1400"/>
        <w:gridCol w:w="1400"/>
      </w:tblGrid>
      <w:tr w:rsidR="00B65EDC" w:rsidRPr="004421A9" w14:paraId="1A51A639" w14:textId="77777777" w:rsidTr="00CD4E21">
        <w:trPr>
          <w:trHeight w:val="460"/>
          <w:jc w:val="center"/>
        </w:trPr>
        <w:tc>
          <w:tcPr>
            <w:tcW w:w="2260" w:type="dxa"/>
            <w:tcBorders>
              <w:top w:val="nil"/>
              <w:left w:val="nil"/>
              <w:bottom w:val="nil"/>
              <w:right w:val="nil"/>
            </w:tcBorders>
            <w:shd w:val="clear" w:color="000000" w:fill="C7CFD8"/>
            <w:vAlign w:val="center"/>
            <w:hideMark/>
          </w:tcPr>
          <w:p w14:paraId="06A2674C" w14:textId="60A4FEE0" w:rsidR="00B65EDC" w:rsidRPr="004421A9" w:rsidRDefault="00002E94" w:rsidP="00CD4E21">
            <w:pPr>
              <w:jc w:val="center"/>
              <w:rPr>
                <w:rFonts w:ascii="Arial Narrow" w:hAnsi="Arial Narrow" w:cs="Arial"/>
                <w:b/>
                <w:bCs/>
                <w:sz w:val="18"/>
                <w:szCs w:val="18"/>
              </w:rPr>
            </w:pPr>
            <w:r w:rsidRPr="004421A9">
              <w:rPr>
                <w:rFonts w:ascii="Arial Narrow" w:hAnsi="Arial Narrow" w:cs="Arial"/>
                <w:b/>
                <w:bCs/>
                <w:sz w:val="18"/>
                <w:szCs w:val="18"/>
              </w:rPr>
              <w:t>Kategorie des Postens</w:t>
            </w:r>
          </w:p>
        </w:tc>
        <w:tc>
          <w:tcPr>
            <w:tcW w:w="1480" w:type="dxa"/>
            <w:tcBorders>
              <w:top w:val="nil"/>
              <w:left w:val="nil"/>
              <w:bottom w:val="nil"/>
              <w:right w:val="nil"/>
            </w:tcBorders>
            <w:shd w:val="clear" w:color="000000" w:fill="C7CFD8"/>
            <w:vAlign w:val="center"/>
            <w:hideMark/>
          </w:tcPr>
          <w:p w14:paraId="1F6182D6"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2022-2023</w:t>
            </w:r>
            <w:r w:rsidRPr="004421A9">
              <w:rPr>
                <w:rFonts w:ascii="Arial Narrow" w:hAnsi="Arial Narrow" w:cs="Arial"/>
                <w:b/>
                <w:bCs/>
                <w:sz w:val="18"/>
                <w:szCs w:val="18"/>
              </w:rPr>
              <w:br/>
              <w:t xml:space="preserve">Ist </w:t>
            </w:r>
          </w:p>
        </w:tc>
        <w:tc>
          <w:tcPr>
            <w:tcW w:w="1440" w:type="dxa"/>
            <w:tcBorders>
              <w:top w:val="nil"/>
              <w:left w:val="nil"/>
              <w:bottom w:val="nil"/>
              <w:right w:val="nil"/>
            </w:tcBorders>
            <w:shd w:val="clear" w:color="000000" w:fill="C7CFD8"/>
            <w:vAlign w:val="center"/>
            <w:hideMark/>
          </w:tcPr>
          <w:p w14:paraId="7AE5165E" w14:textId="1A29E14B"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2024</w:t>
            </w:r>
            <w:r w:rsidR="00DD2EE4">
              <w:rPr>
                <w:rFonts w:ascii="Arial Narrow" w:hAnsi="Arial Narrow" w:cs="Arial"/>
                <w:b/>
                <w:bCs/>
                <w:sz w:val="18"/>
                <w:szCs w:val="18"/>
              </w:rPr>
              <w:t>-2025</w:t>
            </w:r>
            <w:r w:rsidRPr="004421A9">
              <w:rPr>
                <w:rFonts w:ascii="Arial Narrow" w:hAnsi="Arial Narrow" w:cs="Arial"/>
                <w:b/>
                <w:bCs/>
                <w:sz w:val="18"/>
                <w:szCs w:val="18"/>
              </w:rPr>
              <w:br/>
            </w:r>
            <w:r w:rsidR="00740538" w:rsidRPr="004421A9">
              <w:rPr>
                <w:rFonts w:ascii="Arial Narrow" w:hAnsi="Arial Narrow" w:cs="Arial"/>
                <w:b/>
                <w:bCs/>
                <w:sz w:val="18"/>
                <w:szCs w:val="18"/>
              </w:rPr>
              <w:t>Haushaltsplan</w:t>
            </w:r>
          </w:p>
        </w:tc>
        <w:tc>
          <w:tcPr>
            <w:tcW w:w="1400" w:type="dxa"/>
            <w:tcBorders>
              <w:top w:val="nil"/>
              <w:left w:val="nil"/>
              <w:bottom w:val="nil"/>
              <w:right w:val="nil"/>
            </w:tcBorders>
            <w:shd w:val="clear" w:color="000000" w:fill="C7CFD8"/>
            <w:vAlign w:val="center"/>
            <w:hideMark/>
          </w:tcPr>
          <w:p w14:paraId="4198110E" w14:textId="122C173A" w:rsidR="00B65EDC" w:rsidRPr="004421A9" w:rsidRDefault="00BB6564" w:rsidP="00CD4E21">
            <w:pPr>
              <w:jc w:val="center"/>
              <w:rPr>
                <w:rFonts w:ascii="Arial Narrow" w:hAnsi="Arial Narrow" w:cs="Arial"/>
                <w:b/>
                <w:bCs/>
                <w:sz w:val="18"/>
                <w:szCs w:val="18"/>
              </w:rPr>
            </w:pPr>
            <w:r w:rsidRPr="004421A9">
              <w:rPr>
                <w:rFonts w:ascii="Arial Narrow" w:hAnsi="Arial Narrow" w:cs="Arial"/>
                <w:b/>
                <w:bCs/>
                <w:sz w:val="18"/>
                <w:szCs w:val="18"/>
              </w:rPr>
              <w:t>Veränderung</w:t>
            </w:r>
          </w:p>
        </w:tc>
        <w:tc>
          <w:tcPr>
            <w:tcW w:w="1400" w:type="dxa"/>
            <w:tcBorders>
              <w:top w:val="nil"/>
              <w:left w:val="nil"/>
              <w:bottom w:val="nil"/>
              <w:right w:val="nil"/>
            </w:tcBorders>
            <w:shd w:val="clear" w:color="000000" w:fill="C7CFD8"/>
            <w:vAlign w:val="center"/>
            <w:hideMark/>
          </w:tcPr>
          <w:p w14:paraId="01D31823" w14:textId="7C78C5F0" w:rsidR="00B65EDC" w:rsidRPr="004421A9" w:rsidRDefault="00521C0D" w:rsidP="00CD4E21">
            <w:pPr>
              <w:jc w:val="center"/>
              <w:rPr>
                <w:rFonts w:ascii="Arial Narrow" w:hAnsi="Arial Narrow" w:cs="Arial"/>
                <w:b/>
                <w:bCs/>
                <w:sz w:val="18"/>
                <w:szCs w:val="18"/>
              </w:rPr>
            </w:pPr>
            <w:r w:rsidRPr="004421A9">
              <w:rPr>
                <w:rFonts w:ascii="Arial Narrow" w:hAnsi="Arial Narrow" w:cs="Arial"/>
                <w:b/>
                <w:bCs/>
                <w:sz w:val="18"/>
                <w:szCs w:val="18"/>
              </w:rPr>
              <w:t xml:space="preserve">2026–2027 </w:t>
            </w:r>
            <w:r w:rsidR="009A5E67" w:rsidRPr="004421A9">
              <w:rPr>
                <w:rFonts w:ascii="Arial Narrow" w:hAnsi="Arial Narrow" w:cs="Arial"/>
                <w:b/>
                <w:bCs/>
                <w:sz w:val="18"/>
                <w:szCs w:val="18"/>
              </w:rPr>
              <w:t>Veranschlagt</w:t>
            </w:r>
          </w:p>
        </w:tc>
      </w:tr>
      <w:tr w:rsidR="00B65EDC" w:rsidRPr="004421A9" w14:paraId="071FF521" w14:textId="77777777" w:rsidTr="00CD4E21">
        <w:trPr>
          <w:trHeight w:val="250"/>
          <w:jc w:val="center"/>
        </w:trPr>
        <w:tc>
          <w:tcPr>
            <w:tcW w:w="2260" w:type="dxa"/>
            <w:tcBorders>
              <w:top w:val="nil"/>
              <w:left w:val="nil"/>
              <w:bottom w:val="nil"/>
              <w:right w:val="nil"/>
            </w:tcBorders>
            <w:shd w:val="clear" w:color="000000" w:fill="C7CFD8"/>
            <w:vAlign w:val="center"/>
            <w:hideMark/>
          </w:tcPr>
          <w:p w14:paraId="49629254" w14:textId="77777777" w:rsidR="00B65EDC" w:rsidRPr="004421A9" w:rsidRDefault="00B65EDC" w:rsidP="00CD4E21">
            <w:pPr>
              <w:jc w:val="center"/>
              <w:rPr>
                <w:rFonts w:ascii="Arial Narrow" w:hAnsi="Arial Narrow" w:cs="Arial"/>
                <w:b/>
                <w:bCs/>
                <w:sz w:val="18"/>
                <w:szCs w:val="18"/>
              </w:rPr>
            </w:pPr>
          </w:p>
        </w:tc>
        <w:tc>
          <w:tcPr>
            <w:tcW w:w="1480" w:type="dxa"/>
            <w:tcBorders>
              <w:top w:val="nil"/>
              <w:left w:val="nil"/>
              <w:bottom w:val="nil"/>
              <w:right w:val="nil"/>
            </w:tcBorders>
            <w:shd w:val="clear" w:color="000000" w:fill="C7CFD8"/>
            <w:vAlign w:val="center"/>
            <w:hideMark/>
          </w:tcPr>
          <w:p w14:paraId="6594852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A </w:t>
            </w:r>
          </w:p>
        </w:tc>
        <w:tc>
          <w:tcPr>
            <w:tcW w:w="1440" w:type="dxa"/>
            <w:tcBorders>
              <w:top w:val="nil"/>
              <w:left w:val="nil"/>
              <w:bottom w:val="nil"/>
              <w:right w:val="nil"/>
            </w:tcBorders>
            <w:shd w:val="clear" w:color="000000" w:fill="C7CFD8"/>
            <w:vAlign w:val="center"/>
            <w:hideMark/>
          </w:tcPr>
          <w:p w14:paraId="0DC4B41C"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B </w:t>
            </w:r>
          </w:p>
        </w:tc>
        <w:tc>
          <w:tcPr>
            <w:tcW w:w="1400" w:type="dxa"/>
            <w:tcBorders>
              <w:top w:val="nil"/>
              <w:left w:val="nil"/>
              <w:bottom w:val="nil"/>
              <w:right w:val="nil"/>
            </w:tcBorders>
            <w:shd w:val="clear" w:color="000000" w:fill="C7CFD8"/>
            <w:vAlign w:val="center"/>
            <w:hideMark/>
          </w:tcPr>
          <w:p w14:paraId="4E3E5D9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C-B </w:t>
            </w:r>
          </w:p>
        </w:tc>
        <w:tc>
          <w:tcPr>
            <w:tcW w:w="1400" w:type="dxa"/>
            <w:tcBorders>
              <w:top w:val="nil"/>
              <w:left w:val="nil"/>
              <w:bottom w:val="nil"/>
              <w:right w:val="nil"/>
            </w:tcBorders>
            <w:shd w:val="clear" w:color="000000" w:fill="C7CFD8"/>
            <w:vAlign w:val="center"/>
            <w:hideMark/>
          </w:tcPr>
          <w:p w14:paraId="4998D493"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C </w:t>
            </w:r>
          </w:p>
        </w:tc>
      </w:tr>
      <w:tr w:rsidR="00B65EDC" w:rsidRPr="004421A9" w14:paraId="39E43C40" w14:textId="77777777" w:rsidTr="00CD4E21">
        <w:trPr>
          <w:trHeight w:val="150"/>
          <w:jc w:val="center"/>
        </w:trPr>
        <w:tc>
          <w:tcPr>
            <w:tcW w:w="2260" w:type="dxa"/>
            <w:tcBorders>
              <w:top w:val="nil"/>
              <w:left w:val="nil"/>
              <w:bottom w:val="nil"/>
              <w:right w:val="nil"/>
            </w:tcBorders>
            <w:hideMark/>
          </w:tcPr>
          <w:p w14:paraId="700BB1C7" w14:textId="77777777" w:rsidR="00B65EDC" w:rsidRPr="004421A9" w:rsidRDefault="00B65EDC" w:rsidP="00CD4E21">
            <w:pPr>
              <w:jc w:val="center"/>
              <w:rPr>
                <w:rFonts w:ascii="Arial Narrow" w:hAnsi="Arial Narrow" w:cs="Arial"/>
                <w:b/>
                <w:bCs/>
                <w:sz w:val="18"/>
                <w:szCs w:val="18"/>
              </w:rPr>
            </w:pPr>
          </w:p>
        </w:tc>
        <w:tc>
          <w:tcPr>
            <w:tcW w:w="1480" w:type="dxa"/>
            <w:tcBorders>
              <w:top w:val="nil"/>
              <w:left w:val="nil"/>
              <w:bottom w:val="nil"/>
              <w:right w:val="nil"/>
            </w:tcBorders>
            <w:hideMark/>
          </w:tcPr>
          <w:p w14:paraId="0BB00161" w14:textId="77777777" w:rsidR="00B65EDC" w:rsidRPr="004421A9" w:rsidRDefault="00B65EDC" w:rsidP="00CD4E21">
            <w:pPr>
              <w:rPr>
                <w:rFonts w:ascii="Times New Roman" w:hAnsi="Times New Roman"/>
              </w:rPr>
            </w:pPr>
          </w:p>
        </w:tc>
        <w:tc>
          <w:tcPr>
            <w:tcW w:w="1440" w:type="dxa"/>
            <w:tcBorders>
              <w:top w:val="nil"/>
              <w:left w:val="nil"/>
              <w:bottom w:val="nil"/>
              <w:right w:val="nil"/>
            </w:tcBorders>
            <w:hideMark/>
          </w:tcPr>
          <w:p w14:paraId="7A3190DF" w14:textId="77777777" w:rsidR="00B65EDC" w:rsidRPr="004421A9" w:rsidRDefault="00B65EDC" w:rsidP="00CD4E21">
            <w:pPr>
              <w:jc w:val="center"/>
              <w:rPr>
                <w:rFonts w:ascii="Times New Roman" w:hAnsi="Times New Roman"/>
              </w:rPr>
            </w:pPr>
          </w:p>
        </w:tc>
        <w:tc>
          <w:tcPr>
            <w:tcW w:w="1400" w:type="dxa"/>
            <w:tcBorders>
              <w:top w:val="nil"/>
              <w:left w:val="nil"/>
              <w:bottom w:val="nil"/>
              <w:right w:val="nil"/>
            </w:tcBorders>
            <w:hideMark/>
          </w:tcPr>
          <w:p w14:paraId="5A8FA269" w14:textId="77777777" w:rsidR="00B65EDC" w:rsidRPr="004421A9" w:rsidRDefault="00B65EDC" w:rsidP="00CD4E21">
            <w:pPr>
              <w:jc w:val="center"/>
              <w:rPr>
                <w:rFonts w:ascii="Times New Roman" w:hAnsi="Times New Roman"/>
              </w:rPr>
            </w:pPr>
          </w:p>
        </w:tc>
        <w:tc>
          <w:tcPr>
            <w:tcW w:w="1400" w:type="dxa"/>
            <w:tcBorders>
              <w:top w:val="nil"/>
              <w:left w:val="nil"/>
              <w:bottom w:val="nil"/>
              <w:right w:val="nil"/>
            </w:tcBorders>
            <w:hideMark/>
          </w:tcPr>
          <w:p w14:paraId="53568975" w14:textId="77777777" w:rsidR="00B65EDC" w:rsidRPr="004421A9" w:rsidRDefault="00B65EDC" w:rsidP="00CD4E21">
            <w:pPr>
              <w:jc w:val="left"/>
              <w:rPr>
                <w:rFonts w:ascii="Times New Roman" w:hAnsi="Times New Roman"/>
              </w:rPr>
            </w:pPr>
          </w:p>
        </w:tc>
      </w:tr>
      <w:tr w:rsidR="00B65EDC" w:rsidRPr="004421A9" w14:paraId="55AE34D3" w14:textId="77777777" w:rsidTr="00CD4E21">
        <w:trPr>
          <w:trHeight w:val="330"/>
          <w:jc w:val="center"/>
        </w:trPr>
        <w:tc>
          <w:tcPr>
            <w:tcW w:w="2260" w:type="dxa"/>
            <w:tcBorders>
              <w:top w:val="nil"/>
              <w:left w:val="nil"/>
              <w:bottom w:val="nil"/>
              <w:right w:val="nil"/>
            </w:tcBorders>
            <w:hideMark/>
          </w:tcPr>
          <w:p w14:paraId="03E82890" w14:textId="77777777" w:rsidR="00B65EDC" w:rsidRPr="004421A9" w:rsidRDefault="00B65EDC" w:rsidP="00CD4E21">
            <w:pPr>
              <w:rPr>
                <w:rFonts w:ascii="Arial Narrow" w:hAnsi="Arial Narrow" w:cs="Arial"/>
              </w:rPr>
            </w:pPr>
            <w:r w:rsidRPr="004421A9">
              <w:rPr>
                <w:rFonts w:ascii="Arial Narrow" w:hAnsi="Arial Narrow" w:cs="Arial"/>
              </w:rPr>
              <w:t>Direktoren*</w:t>
            </w:r>
          </w:p>
        </w:tc>
        <w:tc>
          <w:tcPr>
            <w:tcW w:w="1480" w:type="dxa"/>
            <w:tcBorders>
              <w:top w:val="nil"/>
              <w:left w:val="nil"/>
              <w:bottom w:val="nil"/>
              <w:right w:val="nil"/>
            </w:tcBorders>
          </w:tcPr>
          <w:p w14:paraId="7C68D076" w14:textId="77777777" w:rsidR="00B65EDC" w:rsidRPr="004421A9" w:rsidRDefault="00B65EDC" w:rsidP="00CD4E21">
            <w:pPr>
              <w:jc w:val="center"/>
              <w:rPr>
                <w:rFonts w:ascii="Arial Narrow" w:hAnsi="Arial Narrow" w:cs="Arial"/>
              </w:rPr>
            </w:pPr>
            <w:r w:rsidRPr="004421A9">
              <w:rPr>
                <w:rFonts w:ascii="Arial Narrow" w:hAnsi="Arial Narrow" w:cs="Arial"/>
              </w:rPr>
              <w:t>4</w:t>
            </w:r>
          </w:p>
        </w:tc>
        <w:tc>
          <w:tcPr>
            <w:tcW w:w="1440" w:type="dxa"/>
            <w:tcBorders>
              <w:top w:val="nil"/>
              <w:left w:val="nil"/>
              <w:bottom w:val="nil"/>
              <w:right w:val="nil"/>
            </w:tcBorders>
          </w:tcPr>
          <w:p w14:paraId="5C1228E4" w14:textId="77777777" w:rsidR="00B65EDC" w:rsidRPr="004421A9" w:rsidRDefault="00B65EDC" w:rsidP="00CD4E21">
            <w:pPr>
              <w:jc w:val="center"/>
              <w:rPr>
                <w:rFonts w:ascii="Arial Narrow" w:hAnsi="Arial Narrow" w:cs="Arial"/>
              </w:rPr>
            </w:pPr>
            <w:r w:rsidRPr="004421A9">
              <w:rPr>
                <w:rFonts w:ascii="Arial Narrow" w:hAnsi="Arial Narrow" w:cs="Arial"/>
              </w:rPr>
              <w:t>4</w:t>
            </w:r>
          </w:p>
        </w:tc>
        <w:tc>
          <w:tcPr>
            <w:tcW w:w="1400" w:type="dxa"/>
            <w:tcBorders>
              <w:top w:val="nil"/>
              <w:left w:val="nil"/>
              <w:bottom w:val="nil"/>
              <w:right w:val="nil"/>
            </w:tcBorders>
          </w:tcPr>
          <w:p w14:paraId="3FB78D91" w14:textId="77777777" w:rsidR="00B65EDC" w:rsidRPr="004421A9" w:rsidRDefault="00B65EDC" w:rsidP="00CD4E21">
            <w:pPr>
              <w:jc w:val="center"/>
              <w:rPr>
                <w:rFonts w:ascii="Arial Narrow" w:hAnsi="Arial Narrow" w:cs="Arial"/>
              </w:rPr>
            </w:pPr>
            <w:r w:rsidRPr="004421A9">
              <w:rPr>
                <w:rFonts w:ascii="Arial Narrow" w:hAnsi="Arial Narrow" w:cs="Arial"/>
              </w:rPr>
              <w:t>0</w:t>
            </w:r>
          </w:p>
        </w:tc>
        <w:tc>
          <w:tcPr>
            <w:tcW w:w="1400" w:type="dxa"/>
            <w:tcBorders>
              <w:top w:val="nil"/>
              <w:left w:val="nil"/>
              <w:bottom w:val="nil"/>
              <w:right w:val="nil"/>
            </w:tcBorders>
          </w:tcPr>
          <w:p w14:paraId="7FBECC3D" w14:textId="77777777" w:rsidR="00B65EDC" w:rsidRPr="004421A9" w:rsidRDefault="00B65EDC" w:rsidP="00CD4E21">
            <w:pPr>
              <w:jc w:val="center"/>
              <w:rPr>
                <w:rFonts w:ascii="Arial Narrow" w:hAnsi="Arial Narrow" w:cs="Arial"/>
              </w:rPr>
            </w:pPr>
            <w:r w:rsidRPr="004421A9">
              <w:rPr>
                <w:rFonts w:ascii="Arial Narrow" w:hAnsi="Arial Narrow" w:cs="Arial"/>
              </w:rPr>
              <w:t>4</w:t>
            </w:r>
          </w:p>
        </w:tc>
      </w:tr>
      <w:tr w:rsidR="00B65EDC" w:rsidRPr="004421A9" w14:paraId="68644C30" w14:textId="77777777" w:rsidTr="00CD4E21">
        <w:trPr>
          <w:trHeight w:val="330"/>
          <w:jc w:val="center"/>
        </w:trPr>
        <w:tc>
          <w:tcPr>
            <w:tcW w:w="2260" w:type="dxa"/>
            <w:tcBorders>
              <w:top w:val="nil"/>
              <w:left w:val="nil"/>
              <w:bottom w:val="nil"/>
              <w:right w:val="nil"/>
            </w:tcBorders>
            <w:hideMark/>
          </w:tcPr>
          <w:p w14:paraId="172D5573" w14:textId="5F001A95" w:rsidR="00B65EDC" w:rsidRPr="004421A9" w:rsidRDefault="00447EF1" w:rsidP="00CD4E21">
            <w:pPr>
              <w:rPr>
                <w:rFonts w:ascii="Arial Narrow" w:hAnsi="Arial Narrow" w:cs="Arial"/>
              </w:rPr>
            </w:pPr>
            <w:r w:rsidRPr="004421A9">
              <w:rPr>
                <w:rFonts w:ascii="Arial Narrow" w:hAnsi="Arial Narrow" w:cs="Arial"/>
              </w:rPr>
              <w:t>Gehobener Dienst</w:t>
            </w:r>
          </w:p>
        </w:tc>
        <w:tc>
          <w:tcPr>
            <w:tcW w:w="1480" w:type="dxa"/>
            <w:tcBorders>
              <w:top w:val="nil"/>
              <w:left w:val="nil"/>
              <w:bottom w:val="nil"/>
              <w:right w:val="nil"/>
            </w:tcBorders>
          </w:tcPr>
          <w:p w14:paraId="4133EB9A" w14:textId="77777777" w:rsidR="00B65EDC" w:rsidRPr="004421A9" w:rsidRDefault="00B65EDC" w:rsidP="00CD4E21">
            <w:pPr>
              <w:jc w:val="center"/>
              <w:rPr>
                <w:rFonts w:ascii="Arial Narrow" w:hAnsi="Arial Narrow" w:cs="Arial"/>
              </w:rPr>
            </w:pPr>
            <w:r w:rsidRPr="004421A9">
              <w:rPr>
                <w:rFonts w:ascii="Arial Narrow" w:hAnsi="Arial Narrow" w:cs="Arial"/>
              </w:rPr>
              <w:t>2</w:t>
            </w:r>
          </w:p>
        </w:tc>
        <w:tc>
          <w:tcPr>
            <w:tcW w:w="1440" w:type="dxa"/>
            <w:tcBorders>
              <w:top w:val="nil"/>
              <w:left w:val="nil"/>
              <w:bottom w:val="nil"/>
              <w:right w:val="nil"/>
            </w:tcBorders>
          </w:tcPr>
          <w:p w14:paraId="7FE25014" w14:textId="77777777" w:rsidR="00B65EDC" w:rsidRPr="004421A9" w:rsidRDefault="00B65EDC" w:rsidP="00CD4E21">
            <w:pPr>
              <w:jc w:val="center"/>
              <w:rPr>
                <w:rFonts w:ascii="Arial Narrow" w:hAnsi="Arial Narrow" w:cs="Arial"/>
              </w:rPr>
            </w:pPr>
            <w:r w:rsidRPr="004421A9">
              <w:rPr>
                <w:rFonts w:ascii="Arial Narrow" w:hAnsi="Arial Narrow" w:cs="Arial"/>
              </w:rPr>
              <w:t>7</w:t>
            </w:r>
          </w:p>
        </w:tc>
        <w:tc>
          <w:tcPr>
            <w:tcW w:w="1400" w:type="dxa"/>
            <w:tcBorders>
              <w:top w:val="nil"/>
              <w:left w:val="nil"/>
              <w:bottom w:val="nil"/>
              <w:right w:val="nil"/>
            </w:tcBorders>
          </w:tcPr>
          <w:p w14:paraId="28270701" w14:textId="77777777" w:rsidR="00B65EDC" w:rsidRPr="004421A9" w:rsidRDefault="00B65EDC" w:rsidP="00CD4E21">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tcPr>
          <w:p w14:paraId="7C446F07" w14:textId="77777777" w:rsidR="00B65EDC" w:rsidRPr="004421A9" w:rsidRDefault="00B65EDC" w:rsidP="00CD4E21">
            <w:pPr>
              <w:jc w:val="center"/>
              <w:rPr>
                <w:rFonts w:ascii="Arial Narrow" w:hAnsi="Arial Narrow" w:cs="Arial"/>
              </w:rPr>
            </w:pPr>
            <w:r w:rsidRPr="004421A9">
              <w:rPr>
                <w:rFonts w:ascii="Arial Narrow" w:hAnsi="Arial Narrow" w:cs="Arial"/>
              </w:rPr>
              <w:t>8</w:t>
            </w:r>
          </w:p>
        </w:tc>
      </w:tr>
      <w:tr w:rsidR="00B65EDC" w:rsidRPr="004421A9" w14:paraId="78E3CFCD" w14:textId="77777777" w:rsidTr="00CD4E21">
        <w:trPr>
          <w:trHeight w:val="330"/>
          <w:jc w:val="center"/>
        </w:trPr>
        <w:tc>
          <w:tcPr>
            <w:tcW w:w="2260" w:type="dxa"/>
            <w:tcBorders>
              <w:top w:val="nil"/>
              <w:left w:val="nil"/>
              <w:bottom w:val="nil"/>
              <w:right w:val="nil"/>
            </w:tcBorders>
            <w:hideMark/>
          </w:tcPr>
          <w:p w14:paraId="6ACBB5F6" w14:textId="1AB707F1" w:rsidR="00B65EDC" w:rsidRPr="004421A9" w:rsidRDefault="00B65EDC" w:rsidP="00CD4E21">
            <w:pPr>
              <w:rPr>
                <w:rFonts w:ascii="Arial Narrow" w:hAnsi="Arial Narrow" w:cs="Arial"/>
              </w:rPr>
            </w:pPr>
            <w:r w:rsidRPr="004421A9">
              <w:rPr>
                <w:rFonts w:ascii="Arial Narrow" w:hAnsi="Arial Narrow" w:cs="Arial"/>
              </w:rPr>
              <w:t xml:space="preserve">Allgemeiner </w:t>
            </w:r>
            <w:r w:rsidR="006D7D1E" w:rsidRPr="004421A9">
              <w:rPr>
                <w:rFonts w:ascii="Arial Narrow" w:hAnsi="Arial Narrow" w:cs="Arial"/>
              </w:rPr>
              <w:t>Dienst</w:t>
            </w:r>
          </w:p>
        </w:tc>
        <w:tc>
          <w:tcPr>
            <w:tcW w:w="1480" w:type="dxa"/>
            <w:tcBorders>
              <w:top w:val="nil"/>
              <w:left w:val="nil"/>
              <w:bottom w:val="nil"/>
              <w:right w:val="nil"/>
            </w:tcBorders>
          </w:tcPr>
          <w:p w14:paraId="2410871E" w14:textId="77777777" w:rsidR="00B65EDC" w:rsidRPr="004421A9" w:rsidRDefault="00B65EDC" w:rsidP="00CD4E21">
            <w:pPr>
              <w:jc w:val="center"/>
              <w:rPr>
                <w:rFonts w:ascii="Arial Narrow" w:hAnsi="Arial Narrow" w:cs="Arial"/>
              </w:rPr>
            </w:pPr>
            <w:r w:rsidRPr="004421A9">
              <w:rPr>
                <w:rFonts w:ascii="Arial Narrow" w:hAnsi="Arial Narrow" w:cs="Arial"/>
              </w:rPr>
              <w:t>5</w:t>
            </w:r>
          </w:p>
        </w:tc>
        <w:tc>
          <w:tcPr>
            <w:tcW w:w="1440" w:type="dxa"/>
            <w:tcBorders>
              <w:top w:val="nil"/>
              <w:left w:val="nil"/>
              <w:bottom w:val="nil"/>
              <w:right w:val="nil"/>
            </w:tcBorders>
          </w:tcPr>
          <w:p w14:paraId="291C6157" w14:textId="77777777" w:rsidR="00B65EDC" w:rsidRPr="004421A9" w:rsidRDefault="00B65EDC" w:rsidP="00CD4E21">
            <w:pPr>
              <w:jc w:val="center"/>
              <w:rPr>
                <w:rFonts w:ascii="Arial Narrow" w:hAnsi="Arial Narrow" w:cs="Arial"/>
              </w:rPr>
            </w:pPr>
            <w:r w:rsidRPr="004421A9">
              <w:rPr>
                <w:rFonts w:ascii="Arial Narrow" w:hAnsi="Arial Narrow" w:cs="Arial"/>
              </w:rPr>
              <w:t>4</w:t>
            </w:r>
          </w:p>
        </w:tc>
        <w:tc>
          <w:tcPr>
            <w:tcW w:w="1400" w:type="dxa"/>
            <w:tcBorders>
              <w:top w:val="nil"/>
              <w:left w:val="nil"/>
              <w:bottom w:val="nil"/>
              <w:right w:val="nil"/>
            </w:tcBorders>
          </w:tcPr>
          <w:p w14:paraId="40CF1F78" w14:textId="77777777" w:rsidR="00B65EDC" w:rsidRPr="004421A9" w:rsidRDefault="00B65EDC" w:rsidP="00CD4E21">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tcPr>
          <w:p w14:paraId="64F728C4" w14:textId="77777777" w:rsidR="00B65EDC" w:rsidRPr="004421A9" w:rsidRDefault="00B65EDC" w:rsidP="00CD4E21">
            <w:pPr>
              <w:jc w:val="center"/>
              <w:rPr>
                <w:rFonts w:ascii="Arial Narrow" w:hAnsi="Arial Narrow" w:cs="Arial"/>
              </w:rPr>
            </w:pPr>
            <w:r w:rsidRPr="004421A9">
              <w:rPr>
                <w:rFonts w:ascii="Arial Narrow" w:hAnsi="Arial Narrow" w:cs="Arial"/>
              </w:rPr>
              <w:t>3</w:t>
            </w:r>
          </w:p>
        </w:tc>
      </w:tr>
      <w:tr w:rsidR="00B65EDC" w:rsidRPr="004421A9" w14:paraId="54F15454" w14:textId="77777777" w:rsidTr="00CD4E21">
        <w:trPr>
          <w:trHeight w:val="330"/>
          <w:jc w:val="center"/>
        </w:trPr>
        <w:tc>
          <w:tcPr>
            <w:tcW w:w="2260" w:type="dxa"/>
            <w:tcBorders>
              <w:top w:val="single" w:sz="4" w:space="0" w:color="AAB8C4"/>
              <w:left w:val="nil"/>
              <w:bottom w:val="single" w:sz="8" w:space="0" w:color="AAB8C4"/>
              <w:right w:val="nil"/>
            </w:tcBorders>
            <w:vAlign w:val="center"/>
            <w:hideMark/>
          </w:tcPr>
          <w:p w14:paraId="56A7DB31" w14:textId="020219CD" w:rsidR="00B65EDC" w:rsidRPr="004421A9" w:rsidRDefault="007B0EF5" w:rsidP="00CD4E21">
            <w:pPr>
              <w:rPr>
                <w:rFonts w:ascii="Arial Narrow" w:hAnsi="Arial Narrow" w:cs="Arial"/>
                <w:b/>
                <w:bCs/>
              </w:rPr>
            </w:pPr>
            <w:r w:rsidRPr="004421A9">
              <w:rPr>
                <w:rFonts w:ascii="Arial Narrow" w:hAnsi="Arial Narrow" w:cs="Arial"/>
                <w:b/>
                <w:bCs/>
              </w:rPr>
              <w:t>Insgesamt</w:t>
            </w:r>
          </w:p>
        </w:tc>
        <w:tc>
          <w:tcPr>
            <w:tcW w:w="1480" w:type="dxa"/>
            <w:tcBorders>
              <w:top w:val="single" w:sz="4" w:space="0" w:color="AAB8C4"/>
              <w:left w:val="nil"/>
              <w:bottom w:val="single" w:sz="8" w:space="0" w:color="AAB8C4"/>
              <w:right w:val="nil"/>
            </w:tcBorders>
            <w:vAlign w:val="center"/>
          </w:tcPr>
          <w:p w14:paraId="0090BA0D" w14:textId="77777777" w:rsidR="00B65EDC" w:rsidRPr="004421A9" w:rsidRDefault="00B65EDC" w:rsidP="00CD4E21">
            <w:pPr>
              <w:jc w:val="center"/>
              <w:rPr>
                <w:rFonts w:ascii="Arial Narrow" w:hAnsi="Arial Narrow" w:cs="Arial"/>
                <w:b/>
                <w:bCs/>
              </w:rPr>
            </w:pPr>
            <w:r w:rsidRPr="004421A9">
              <w:rPr>
                <w:rFonts w:ascii="Arial Narrow" w:hAnsi="Arial Narrow" w:cs="Arial"/>
                <w:b/>
                <w:bCs/>
              </w:rPr>
              <w:t>11</w:t>
            </w:r>
          </w:p>
        </w:tc>
        <w:tc>
          <w:tcPr>
            <w:tcW w:w="1440" w:type="dxa"/>
            <w:tcBorders>
              <w:top w:val="single" w:sz="4" w:space="0" w:color="AAB8C4"/>
              <w:left w:val="nil"/>
              <w:bottom w:val="single" w:sz="8" w:space="0" w:color="AAB8C4"/>
              <w:right w:val="nil"/>
            </w:tcBorders>
            <w:vAlign w:val="center"/>
          </w:tcPr>
          <w:p w14:paraId="4B3E30A1" w14:textId="77777777" w:rsidR="00B65EDC" w:rsidRPr="004421A9" w:rsidRDefault="00B65EDC" w:rsidP="00CD4E21">
            <w:pPr>
              <w:jc w:val="center"/>
              <w:rPr>
                <w:rFonts w:ascii="Arial Narrow" w:hAnsi="Arial Narrow" w:cs="Arial"/>
                <w:b/>
                <w:bCs/>
              </w:rPr>
            </w:pPr>
            <w:r w:rsidRPr="004421A9">
              <w:rPr>
                <w:rFonts w:ascii="Arial Narrow" w:hAnsi="Arial Narrow" w:cs="Arial"/>
                <w:b/>
                <w:bCs/>
              </w:rPr>
              <w:t>15</w:t>
            </w:r>
          </w:p>
        </w:tc>
        <w:tc>
          <w:tcPr>
            <w:tcW w:w="1400" w:type="dxa"/>
            <w:tcBorders>
              <w:top w:val="single" w:sz="4" w:space="0" w:color="AAB8C4"/>
              <w:left w:val="nil"/>
              <w:bottom w:val="single" w:sz="8" w:space="0" w:color="AAB8C4"/>
              <w:right w:val="nil"/>
            </w:tcBorders>
            <w:vAlign w:val="center"/>
          </w:tcPr>
          <w:p w14:paraId="2BDC7B44" w14:textId="77777777" w:rsidR="00B65EDC" w:rsidRPr="004421A9" w:rsidRDefault="00B65EDC" w:rsidP="00CD4E21">
            <w:pPr>
              <w:jc w:val="center"/>
              <w:rPr>
                <w:rFonts w:ascii="Arial Narrow" w:hAnsi="Arial Narrow" w:cs="Arial"/>
              </w:rPr>
            </w:pPr>
            <w:r w:rsidRPr="004421A9">
              <w:rPr>
                <w:rFonts w:ascii="Arial Narrow" w:hAnsi="Arial Narrow" w:cs="Arial"/>
                <w:b/>
                <w:bCs/>
              </w:rPr>
              <w:t>0</w:t>
            </w:r>
          </w:p>
        </w:tc>
        <w:tc>
          <w:tcPr>
            <w:tcW w:w="1400" w:type="dxa"/>
            <w:tcBorders>
              <w:top w:val="single" w:sz="4" w:space="0" w:color="AAB8C4"/>
              <w:left w:val="nil"/>
              <w:bottom w:val="single" w:sz="8" w:space="0" w:color="AAB8C4"/>
              <w:right w:val="nil"/>
            </w:tcBorders>
            <w:vAlign w:val="center"/>
          </w:tcPr>
          <w:p w14:paraId="4471986D" w14:textId="77777777" w:rsidR="00B65EDC" w:rsidRPr="004421A9" w:rsidRDefault="00B65EDC" w:rsidP="00CD4E21">
            <w:pPr>
              <w:jc w:val="center"/>
              <w:rPr>
                <w:rFonts w:ascii="Arial Narrow" w:hAnsi="Arial Narrow" w:cs="Arial"/>
                <w:b/>
                <w:bCs/>
              </w:rPr>
            </w:pPr>
            <w:r w:rsidRPr="004421A9">
              <w:rPr>
                <w:rFonts w:ascii="Arial Narrow" w:hAnsi="Arial Narrow" w:cs="Arial"/>
                <w:b/>
                <w:bCs/>
              </w:rPr>
              <w:t>15</w:t>
            </w:r>
          </w:p>
        </w:tc>
      </w:tr>
    </w:tbl>
    <w:p w14:paraId="493D0656" w14:textId="77777777" w:rsidR="00B65EDC" w:rsidRPr="004421A9" w:rsidRDefault="00B65EDC" w:rsidP="00B65EDC">
      <w:pPr>
        <w:rPr>
          <w:spacing w:val="-2"/>
          <w:szCs w:val="24"/>
        </w:rPr>
      </w:pPr>
    </w:p>
    <w:p w14:paraId="4528F9B1" w14:textId="338309D1" w:rsidR="00B65EDC" w:rsidRPr="004421A9" w:rsidRDefault="00B65EDC" w:rsidP="00B65EDC">
      <w:pPr>
        <w:ind w:left="851" w:right="850"/>
        <w:rPr>
          <w:spacing w:val="-2"/>
          <w:sz w:val="16"/>
          <w:szCs w:val="24"/>
        </w:rPr>
      </w:pPr>
      <w:r w:rsidRPr="004421A9">
        <w:rPr>
          <w:spacing w:val="-2"/>
          <w:sz w:val="16"/>
          <w:szCs w:val="24"/>
        </w:rPr>
        <w:t xml:space="preserve">* </w:t>
      </w:r>
      <w:r w:rsidR="006918AF" w:rsidRPr="004421A9">
        <w:rPr>
          <w:spacing w:val="-2"/>
          <w:sz w:val="16"/>
          <w:szCs w:val="24"/>
        </w:rPr>
        <w:t>Der Posten des Generalsekretär</w:t>
      </w:r>
      <w:r w:rsidR="00006DF8" w:rsidRPr="004421A9">
        <w:rPr>
          <w:spacing w:val="-2"/>
          <w:sz w:val="16"/>
          <w:szCs w:val="24"/>
        </w:rPr>
        <w:t>s</w:t>
      </w:r>
      <w:r w:rsidR="00581261" w:rsidRPr="004421A9">
        <w:rPr>
          <w:rStyle w:val="FootnoteReference"/>
          <w:spacing w:val="-2"/>
          <w:sz w:val="16"/>
          <w:szCs w:val="24"/>
        </w:rPr>
        <w:footnoteReference w:id="3"/>
      </w:r>
      <w:r w:rsidR="00006DF8" w:rsidRPr="004421A9">
        <w:rPr>
          <w:spacing w:val="-2"/>
          <w:sz w:val="16"/>
          <w:szCs w:val="24"/>
        </w:rPr>
        <w:t xml:space="preserve"> </w:t>
      </w:r>
      <w:r w:rsidR="006918AF" w:rsidRPr="004421A9">
        <w:rPr>
          <w:spacing w:val="-2"/>
          <w:sz w:val="16"/>
          <w:szCs w:val="24"/>
        </w:rPr>
        <w:t>ist in dieser Anzahl enthalten, jedoch ohne Kosten, da der derzeitige Generaldirektor der WIPO ein Gehalt oder Zulagen für seine Funktion als Generalsekretär der UPOV abgelehnt hat</w:t>
      </w:r>
      <w:r w:rsidRPr="004421A9">
        <w:rPr>
          <w:spacing w:val="-2"/>
          <w:sz w:val="16"/>
          <w:szCs w:val="24"/>
        </w:rPr>
        <w:t>.</w:t>
      </w:r>
    </w:p>
    <w:p w14:paraId="4FFFDD15" w14:textId="77777777" w:rsidR="00B65EDC" w:rsidRPr="004421A9" w:rsidRDefault="00B65EDC" w:rsidP="00B65EDC">
      <w:pPr>
        <w:jc w:val="left"/>
      </w:pPr>
    </w:p>
    <w:p w14:paraId="25D14A0B" w14:textId="77777777" w:rsidR="00B65EDC" w:rsidRPr="004421A9" w:rsidRDefault="00B65EDC" w:rsidP="00B65EDC">
      <w:pPr>
        <w:jc w:val="left"/>
      </w:pPr>
    </w:p>
    <w:p w14:paraId="4ABF12EA" w14:textId="358CFCDA" w:rsidR="002103B7" w:rsidRPr="004421A9" w:rsidRDefault="00B65EDC" w:rsidP="00B65EDC">
      <w:r w:rsidRPr="004421A9">
        <w:fldChar w:fldCharType="begin"/>
      </w:r>
      <w:r w:rsidRPr="004421A9">
        <w:instrText xml:space="preserve"> AUTONUM  </w:instrText>
      </w:r>
      <w:r w:rsidRPr="004421A9">
        <w:fldChar w:fldCharType="end"/>
      </w:r>
      <w:r w:rsidRPr="004421A9">
        <w:tab/>
      </w:r>
      <w:r w:rsidR="002103B7" w:rsidRPr="004421A9">
        <w:rPr>
          <w:spacing w:val="-2"/>
        </w:rPr>
        <w:t xml:space="preserve">Die nachstehende Tabelle gibt einen Überblick über die </w:t>
      </w:r>
      <w:r w:rsidR="00D678EF" w:rsidRPr="004421A9">
        <w:rPr>
          <w:spacing w:val="-2"/>
        </w:rPr>
        <w:t xml:space="preserve">flexible Belegschaft, d. h. </w:t>
      </w:r>
      <w:r w:rsidR="002103B7" w:rsidRPr="004421A9">
        <w:rPr>
          <w:spacing w:val="-2"/>
        </w:rPr>
        <w:t>Bedienstete auf Zeit, Fremdpersonal, Junior Professional Officers, die in der Rechnungsperiode 2026-2027 genutzt werden können, vorbehaltlich der Verfügbarkeit von Ressourcen aus dem ordentlichen Haushalt, außeretatmäßigen Mitteln und der Bereitstellung von Personalressourcen durch Verbandsmitglieder.</w:t>
      </w:r>
    </w:p>
    <w:p w14:paraId="7EF5BACB" w14:textId="77777777" w:rsidR="00B65EDC" w:rsidRPr="004421A9" w:rsidRDefault="00B65EDC" w:rsidP="00B65EDC"/>
    <w:p w14:paraId="340BFA34" w14:textId="4BDE24F7" w:rsidR="00B65EDC" w:rsidRPr="004421A9" w:rsidRDefault="00B65EDC" w:rsidP="00B65EDC">
      <w:r w:rsidRPr="004421A9">
        <w:fldChar w:fldCharType="begin"/>
      </w:r>
      <w:r w:rsidRPr="004421A9">
        <w:instrText xml:space="preserve"> AUTONUM  </w:instrText>
      </w:r>
      <w:r w:rsidRPr="004421A9">
        <w:fldChar w:fldCharType="end"/>
      </w:r>
      <w:r w:rsidRPr="004421A9">
        <w:tab/>
      </w:r>
      <w:r w:rsidR="00353571" w:rsidRPr="004421A9">
        <w:t>Das vom Rat der UPOV am 29. Oktober 2021 angenommene „Programm für die Verwendung der chinesischen Sprache in der UPOV“ bezieht sich auf die Zusage der chinesischen Regierung, dass ein chinesischsprachiger Bediensteter im Rahmen des JPO-Programms für die UPOV in Genf arbeiten wird. Es wird davon ausgegangen, dass ein von China finanzierter JPO seine Arbeit im UPOV-Büro im Jahr 2025 aufnehmen wird und dass das JPO-Programm mit China in der Rechnungsperiode 2026-2027 fortgesetzt werden wird</w:t>
      </w:r>
      <w:r w:rsidRPr="004421A9">
        <w:t>.</w:t>
      </w:r>
    </w:p>
    <w:p w14:paraId="4A8A6B7D" w14:textId="77777777" w:rsidR="00B65EDC" w:rsidRPr="004421A9" w:rsidRDefault="00B65EDC" w:rsidP="00B65EDC"/>
    <w:p w14:paraId="3B4A8901" w14:textId="11B3DDDE" w:rsidR="00B65EDC" w:rsidRPr="004421A9" w:rsidRDefault="00B65EDC" w:rsidP="00B65EDC">
      <w:r w:rsidRPr="004421A9">
        <w:fldChar w:fldCharType="begin"/>
      </w:r>
      <w:r w:rsidRPr="004421A9">
        <w:instrText xml:space="preserve"> AUTONUM  </w:instrText>
      </w:r>
      <w:r w:rsidRPr="004421A9">
        <w:fldChar w:fldCharType="end"/>
      </w:r>
      <w:r w:rsidRPr="004421A9">
        <w:tab/>
      </w:r>
      <w:r w:rsidR="00012E42" w:rsidRPr="004421A9">
        <w:t>Ein neues FIT-Programm mit Japan soll im Jahr 2025 anlaufen. Das Programm wird einen von Japan finanzierten JPO umfassen, der die Aufgabe hat, Informationen über die Vorteile des Sortenschutzes und der UPOV-Mitgliedschaft im Einklang mit der Kommunikationsstrategie der UPOV zu sammeln und zu verbreiten. Es wird erwartet, dass das neue FIT-Programm mit Japan in der Rechnungsperiode 2026-2027 fortgesetzt wird</w:t>
      </w:r>
      <w:r w:rsidRPr="004421A9">
        <w:t>.</w:t>
      </w:r>
    </w:p>
    <w:p w14:paraId="3576C919" w14:textId="77777777" w:rsidR="00B65EDC" w:rsidRPr="004421A9" w:rsidRDefault="00B65EDC" w:rsidP="00B65EDC"/>
    <w:p w14:paraId="7F20812F" w14:textId="5782EE0B" w:rsidR="00CB0101" w:rsidRPr="004421A9" w:rsidRDefault="00B65EDC" w:rsidP="00F61200">
      <w:pPr>
        <w:keepNext/>
        <w:keepLines/>
      </w:pPr>
      <w:r w:rsidRPr="004421A9">
        <w:lastRenderedPageBreak/>
        <w:fldChar w:fldCharType="begin"/>
      </w:r>
      <w:r w:rsidRPr="004421A9">
        <w:instrText xml:space="preserve"> AUTONUM  </w:instrText>
      </w:r>
      <w:r w:rsidRPr="004421A9">
        <w:fldChar w:fldCharType="end"/>
      </w:r>
      <w:r w:rsidRPr="004421A9">
        <w:tab/>
      </w:r>
      <w:r w:rsidR="00CB0101" w:rsidRPr="004421A9">
        <w:t>Die Aufgaben, die in der Vergangenheit von einer Fremdarbeitskraft wahrgenommen wurden, sind nun in den regulären Posten eines Associate Services Support Officers umgewandelt worden. Um die Notwendigkeit der Anpassung an sich entwickelnde Bedürfnisse</w:t>
      </w:r>
      <w:r w:rsidR="00BD537C" w:rsidRPr="004421A9">
        <w:t xml:space="preserve"> mit einer </w:t>
      </w:r>
      <w:r w:rsidR="00A36EC6" w:rsidRPr="004421A9">
        <w:t>steigenden</w:t>
      </w:r>
      <w:r w:rsidR="00BD537C" w:rsidRPr="004421A9">
        <w:t xml:space="preserve"> Nachfrage nach UPOV-Dienstleistungen und -</w:t>
      </w:r>
      <w:r w:rsidR="00A36EC6" w:rsidRPr="004421A9">
        <w:t>Tätigkeiten</w:t>
      </w:r>
      <w:r w:rsidR="00CB0101" w:rsidRPr="004421A9">
        <w:t xml:space="preserve"> zu gewährleisten, wurde eine Fremdarbeitskraft für die Rechnungsperiode 2026-2027 veranschlagt.</w:t>
      </w:r>
    </w:p>
    <w:p w14:paraId="0BC64905" w14:textId="77777777" w:rsidR="00B65EDC" w:rsidRPr="004421A9" w:rsidRDefault="00B65EDC" w:rsidP="00B65EDC"/>
    <w:p w14:paraId="50EC0029" w14:textId="77777777" w:rsidR="00B65EDC" w:rsidRPr="004421A9" w:rsidRDefault="00B65EDC" w:rsidP="00B65EDC"/>
    <w:tbl>
      <w:tblPr>
        <w:tblW w:w="6580" w:type="dxa"/>
        <w:jc w:val="center"/>
        <w:tblLook w:val="04A0" w:firstRow="1" w:lastRow="0" w:firstColumn="1" w:lastColumn="0" w:noHBand="0" w:noVBand="1"/>
      </w:tblPr>
      <w:tblGrid>
        <w:gridCol w:w="2260"/>
        <w:gridCol w:w="1480"/>
        <w:gridCol w:w="1440"/>
        <w:gridCol w:w="1400"/>
      </w:tblGrid>
      <w:tr w:rsidR="00B65EDC" w:rsidRPr="004421A9" w14:paraId="1213579E" w14:textId="77777777" w:rsidTr="00CD4E21">
        <w:trPr>
          <w:trHeight w:val="520"/>
          <w:jc w:val="center"/>
        </w:trPr>
        <w:tc>
          <w:tcPr>
            <w:tcW w:w="2260" w:type="dxa"/>
            <w:vMerge w:val="restart"/>
            <w:tcBorders>
              <w:top w:val="nil"/>
              <w:left w:val="nil"/>
              <w:bottom w:val="nil"/>
              <w:right w:val="nil"/>
            </w:tcBorders>
            <w:shd w:val="clear" w:color="000000" w:fill="C7CFD8"/>
            <w:vAlign w:val="bottom"/>
            <w:hideMark/>
          </w:tcPr>
          <w:p w14:paraId="08CEF958" w14:textId="77777777" w:rsidR="00B65EDC" w:rsidRPr="004421A9" w:rsidRDefault="00B65EDC" w:rsidP="00CD4E21">
            <w:pPr>
              <w:jc w:val="left"/>
              <w:rPr>
                <w:rFonts w:ascii="Arial Narrow" w:hAnsi="Arial Narrow" w:cs="Arial"/>
              </w:rPr>
            </w:pPr>
          </w:p>
        </w:tc>
        <w:tc>
          <w:tcPr>
            <w:tcW w:w="1480" w:type="dxa"/>
            <w:tcBorders>
              <w:top w:val="nil"/>
              <w:left w:val="nil"/>
              <w:right w:val="nil"/>
            </w:tcBorders>
            <w:shd w:val="clear" w:color="000000" w:fill="C7CFD8"/>
            <w:vAlign w:val="center"/>
            <w:hideMark/>
          </w:tcPr>
          <w:p w14:paraId="55C8DF0F" w14:textId="77777777" w:rsidR="00A36EC6" w:rsidRPr="004421A9" w:rsidRDefault="00B65EDC" w:rsidP="00CD4E21">
            <w:pPr>
              <w:jc w:val="center"/>
              <w:rPr>
                <w:rFonts w:ascii="Arial Narrow" w:hAnsi="Arial Narrow" w:cs="Arial"/>
                <w:b/>
                <w:bCs/>
                <w:i/>
                <w:iCs/>
              </w:rPr>
            </w:pPr>
            <w:r w:rsidRPr="004421A9">
              <w:rPr>
                <w:rFonts w:ascii="Arial Narrow" w:hAnsi="Arial Narrow" w:cs="Arial"/>
                <w:b/>
                <w:bCs/>
                <w:i/>
                <w:iCs/>
              </w:rPr>
              <w:t xml:space="preserve">2022-2023 </w:t>
            </w:r>
          </w:p>
          <w:p w14:paraId="07404D49" w14:textId="5C58CD4D" w:rsidR="00B65EDC" w:rsidRPr="004421A9" w:rsidRDefault="00B65EDC" w:rsidP="00CD4E21">
            <w:pPr>
              <w:jc w:val="center"/>
              <w:rPr>
                <w:rFonts w:ascii="Arial Narrow" w:hAnsi="Arial Narrow" w:cs="Arial"/>
                <w:b/>
                <w:bCs/>
                <w:i/>
                <w:iCs/>
              </w:rPr>
            </w:pPr>
            <w:r w:rsidRPr="004421A9">
              <w:rPr>
                <w:rFonts w:ascii="Arial Narrow" w:hAnsi="Arial Narrow" w:cs="Arial"/>
                <w:b/>
                <w:bCs/>
                <w:i/>
                <w:iCs/>
              </w:rPr>
              <w:t>Ist</w:t>
            </w:r>
          </w:p>
        </w:tc>
        <w:tc>
          <w:tcPr>
            <w:tcW w:w="1440" w:type="dxa"/>
            <w:tcBorders>
              <w:top w:val="nil"/>
              <w:left w:val="nil"/>
              <w:right w:val="nil"/>
            </w:tcBorders>
            <w:shd w:val="clear" w:color="000000" w:fill="C7CFD8"/>
            <w:vAlign w:val="center"/>
            <w:hideMark/>
          </w:tcPr>
          <w:p w14:paraId="597E7AD0" w14:textId="77777777" w:rsidR="00B65EDC" w:rsidRPr="004421A9" w:rsidRDefault="00B65EDC" w:rsidP="00CD4E21">
            <w:pPr>
              <w:jc w:val="center"/>
              <w:rPr>
                <w:rFonts w:ascii="Arial Narrow" w:hAnsi="Arial Narrow" w:cs="Arial"/>
                <w:b/>
                <w:bCs/>
                <w:i/>
                <w:iCs/>
              </w:rPr>
            </w:pPr>
            <w:r w:rsidRPr="004421A9">
              <w:rPr>
                <w:rFonts w:ascii="Arial Narrow" w:hAnsi="Arial Narrow" w:cs="Arial"/>
                <w:b/>
                <w:bCs/>
                <w:i/>
                <w:iCs/>
              </w:rPr>
              <w:t>2024-2025</w:t>
            </w:r>
          </w:p>
          <w:p w14:paraId="48E1925B" w14:textId="7C886779" w:rsidR="008F0441" w:rsidRPr="004421A9" w:rsidRDefault="008F0441" w:rsidP="00CD4E21">
            <w:pPr>
              <w:jc w:val="center"/>
              <w:rPr>
                <w:rFonts w:ascii="Arial Narrow" w:hAnsi="Arial Narrow" w:cs="Arial"/>
                <w:b/>
                <w:bCs/>
                <w:i/>
                <w:iCs/>
              </w:rPr>
            </w:pPr>
            <w:r w:rsidRPr="004421A9">
              <w:rPr>
                <w:rFonts w:ascii="Arial Narrow" w:hAnsi="Arial Narrow" w:cs="Arial"/>
                <w:b/>
                <w:bCs/>
                <w:i/>
                <w:iCs/>
              </w:rPr>
              <w:t>Haushaltsplan</w:t>
            </w:r>
          </w:p>
        </w:tc>
        <w:tc>
          <w:tcPr>
            <w:tcW w:w="1400" w:type="dxa"/>
            <w:tcBorders>
              <w:top w:val="nil"/>
              <w:left w:val="nil"/>
              <w:right w:val="nil"/>
            </w:tcBorders>
            <w:shd w:val="clear" w:color="000000" w:fill="C7CFD8"/>
            <w:vAlign w:val="center"/>
            <w:hideMark/>
          </w:tcPr>
          <w:p w14:paraId="10B886AD" w14:textId="7F6221F6" w:rsidR="00B65EDC" w:rsidRPr="004421A9" w:rsidRDefault="00521C0D" w:rsidP="00CD4E21">
            <w:pPr>
              <w:jc w:val="center"/>
              <w:rPr>
                <w:rFonts w:ascii="Arial Narrow" w:hAnsi="Arial Narrow" w:cs="Arial"/>
                <w:b/>
                <w:bCs/>
                <w:i/>
                <w:iCs/>
              </w:rPr>
            </w:pPr>
            <w:r w:rsidRPr="004421A9">
              <w:rPr>
                <w:rFonts w:ascii="Arial Narrow" w:hAnsi="Arial Narrow" w:cs="Arial"/>
                <w:b/>
                <w:bCs/>
                <w:i/>
                <w:iCs/>
              </w:rPr>
              <w:t xml:space="preserve">2026-2027 </w:t>
            </w:r>
            <w:r w:rsidR="00A16B5E" w:rsidRPr="004421A9">
              <w:rPr>
                <w:rFonts w:ascii="Arial Narrow" w:hAnsi="Arial Narrow" w:cs="Arial"/>
                <w:b/>
                <w:bCs/>
                <w:i/>
                <w:iCs/>
              </w:rPr>
              <w:t>Veranschlagt</w:t>
            </w:r>
          </w:p>
        </w:tc>
      </w:tr>
      <w:tr w:rsidR="00B65EDC" w:rsidRPr="004421A9" w14:paraId="27B2D43F" w14:textId="77777777" w:rsidTr="00CD4E21">
        <w:trPr>
          <w:trHeight w:val="260"/>
          <w:jc w:val="center"/>
        </w:trPr>
        <w:tc>
          <w:tcPr>
            <w:tcW w:w="2260" w:type="dxa"/>
            <w:vMerge/>
            <w:tcBorders>
              <w:top w:val="nil"/>
              <w:left w:val="nil"/>
              <w:bottom w:val="nil"/>
              <w:right w:val="nil"/>
            </w:tcBorders>
            <w:vAlign w:val="center"/>
            <w:hideMark/>
          </w:tcPr>
          <w:p w14:paraId="0B1507CB" w14:textId="77777777" w:rsidR="00B65EDC" w:rsidRPr="004421A9" w:rsidRDefault="00B65EDC" w:rsidP="00CD4E21">
            <w:pPr>
              <w:jc w:val="left"/>
              <w:rPr>
                <w:rFonts w:ascii="Arial Narrow" w:hAnsi="Arial Narrow" w:cs="Arial"/>
              </w:rPr>
            </w:pPr>
          </w:p>
        </w:tc>
        <w:tc>
          <w:tcPr>
            <w:tcW w:w="1480" w:type="dxa"/>
            <w:tcBorders>
              <w:top w:val="nil"/>
              <w:left w:val="nil"/>
              <w:right w:val="nil"/>
            </w:tcBorders>
            <w:shd w:val="clear" w:color="000000" w:fill="C7CFD8"/>
            <w:vAlign w:val="center"/>
            <w:hideMark/>
          </w:tcPr>
          <w:p w14:paraId="40D89D7C" w14:textId="77777777" w:rsidR="00B65EDC" w:rsidRPr="004421A9" w:rsidRDefault="00B65EDC" w:rsidP="00CD4E21">
            <w:pPr>
              <w:jc w:val="center"/>
              <w:rPr>
                <w:rFonts w:ascii="Arial Narrow" w:hAnsi="Arial Narrow" w:cs="Arial"/>
                <w:b/>
                <w:bCs/>
                <w:i/>
                <w:iCs/>
              </w:rPr>
            </w:pPr>
            <w:r w:rsidRPr="004421A9">
              <w:rPr>
                <w:rFonts w:ascii="Arial Narrow" w:hAnsi="Arial Narrow" w:cs="Arial"/>
                <w:b/>
                <w:bCs/>
                <w:i/>
                <w:iCs/>
              </w:rPr>
              <w:t>A</w:t>
            </w:r>
          </w:p>
        </w:tc>
        <w:tc>
          <w:tcPr>
            <w:tcW w:w="1440" w:type="dxa"/>
            <w:tcBorders>
              <w:top w:val="nil"/>
              <w:left w:val="nil"/>
              <w:right w:val="nil"/>
            </w:tcBorders>
            <w:shd w:val="clear" w:color="000000" w:fill="C7CFD8"/>
            <w:vAlign w:val="center"/>
            <w:hideMark/>
          </w:tcPr>
          <w:p w14:paraId="511E745D" w14:textId="77777777" w:rsidR="00B65EDC" w:rsidRPr="004421A9" w:rsidRDefault="00B65EDC" w:rsidP="00CD4E21">
            <w:pPr>
              <w:jc w:val="center"/>
              <w:rPr>
                <w:rFonts w:ascii="Arial Narrow" w:hAnsi="Arial Narrow" w:cs="Arial"/>
                <w:b/>
                <w:bCs/>
                <w:i/>
                <w:iCs/>
              </w:rPr>
            </w:pPr>
            <w:r w:rsidRPr="004421A9">
              <w:rPr>
                <w:rFonts w:ascii="Arial Narrow" w:hAnsi="Arial Narrow" w:cs="Arial"/>
                <w:b/>
                <w:bCs/>
                <w:i/>
                <w:iCs/>
              </w:rPr>
              <w:t>B</w:t>
            </w:r>
          </w:p>
        </w:tc>
        <w:tc>
          <w:tcPr>
            <w:tcW w:w="1400" w:type="dxa"/>
            <w:tcBorders>
              <w:top w:val="nil"/>
              <w:left w:val="nil"/>
              <w:right w:val="nil"/>
            </w:tcBorders>
            <w:shd w:val="clear" w:color="000000" w:fill="C7CFD8"/>
            <w:vAlign w:val="center"/>
            <w:hideMark/>
          </w:tcPr>
          <w:p w14:paraId="1862F738" w14:textId="77777777" w:rsidR="00B65EDC" w:rsidRPr="004421A9" w:rsidRDefault="00B65EDC" w:rsidP="00CD4E21">
            <w:pPr>
              <w:jc w:val="center"/>
              <w:rPr>
                <w:rFonts w:ascii="Arial Narrow" w:hAnsi="Arial Narrow" w:cs="Arial"/>
                <w:b/>
                <w:bCs/>
                <w:i/>
                <w:iCs/>
              </w:rPr>
            </w:pPr>
            <w:r w:rsidRPr="004421A9">
              <w:rPr>
                <w:rFonts w:ascii="Arial Narrow" w:hAnsi="Arial Narrow" w:cs="Arial"/>
                <w:b/>
                <w:bCs/>
                <w:i/>
                <w:iCs/>
              </w:rPr>
              <w:t>C</w:t>
            </w:r>
          </w:p>
        </w:tc>
      </w:tr>
      <w:tr w:rsidR="00340D4A" w:rsidRPr="004421A9" w14:paraId="6D0E50A3" w14:textId="77777777" w:rsidTr="00CD4E21">
        <w:trPr>
          <w:trHeight w:val="260"/>
          <w:jc w:val="center"/>
        </w:trPr>
        <w:tc>
          <w:tcPr>
            <w:tcW w:w="2260" w:type="dxa"/>
            <w:tcBorders>
              <w:top w:val="nil"/>
              <w:left w:val="nil"/>
              <w:bottom w:val="nil"/>
              <w:right w:val="nil"/>
            </w:tcBorders>
            <w:vAlign w:val="center"/>
            <w:hideMark/>
          </w:tcPr>
          <w:p w14:paraId="12853182" w14:textId="4253A4AB" w:rsidR="00340D4A" w:rsidRPr="004421A9" w:rsidRDefault="00340D4A" w:rsidP="00340D4A">
            <w:pPr>
              <w:jc w:val="left"/>
              <w:rPr>
                <w:rFonts w:ascii="Arial Narrow" w:hAnsi="Arial Narrow" w:cs="Arial"/>
              </w:rPr>
            </w:pPr>
            <w:r w:rsidRPr="004421A9">
              <w:rPr>
                <w:rFonts w:ascii="Arial Narrow" w:hAnsi="Arial Narrow" w:cs="Arial"/>
              </w:rPr>
              <w:t>Bedienstete auf Zeit</w:t>
            </w:r>
          </w:p>
        </w:tc>
        <w:tc>
          <w:tcPr>
            <w:tcW w:w="1480" w:type="dxa"/>
            <w:tcBorders>
              <w:top w:val="nil"/>
              <w:left w:val="nil"/>
              <w:bottom w:val="nil"/>
              <w:right w:val="nil"/>
            </w:tcBorders>
            <w:vAlign w:val="center"/>
          </w:tcPr>
          <w:p w14:paraId="1AC8F9AF"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40" w:type="dxa"/>
            <w:tcBorders>
              <w:top w:val="nil"/>
              <w:left w:val="nil"/>
              <w:bottom w:val="nil"/>
              <w:right w:val="nil"/>
            </w:tcBorders>
            <w:vAlign w:val="center"/>
          </w:tcPr>
          <w:p w14:paraId="2B1F5D8E"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vAlign w:val="center"/>
          </w:tcPr>
          <w:p w14:paraId="6D54E627" w14:textId="77777777" w:rsidR="00340D4A" w:rsidRPr="004421A9" w:rsidRDefault="00340D4A" w:rsidP="00340D4A">
            <w:pPr>
              <w:jc w:val="center"/>
              <w:rPr>
                <w:rFonts w:ascii="Arial Narrow" w:hAnsi="Arial Narrow" w:cs="Arial"/>
              </w:rPr>
            </w:pPr>
            <w:r w:rsidRPr="004421A9">
              <w:rPr>
                <w:rFonts w:ascii="Arial Narrow" w:hAnsi="Arial Narrow" w:cs="Arial"/>
              </w:rPr>
              <w:t>2</w:t>
            </w:r>
          </w:p>
        </w:tc>
      </w:tr>
      <w:tr w:rsidR="00340D4A" w:rsidRPr="004421A9" w14:paraId="2085DBA9" w14:textId="77777777" w:rsidTr="00CD4E21">
        <w:trPr>
          <w:trHeight w:val="260"/>
          <w:jc w:val="center"/>
        </w:trPr>
        <w:tc>
          <w:tcPr>
            <w:tcW w:w="2260" w:type="dxa"/>
            <w:tcBorders>
              <w:top w:val="nil"/>
              <w:left w:val="nil"/>
              <w:bottom w:val="nil"/>
              <w:right w:val="nil"/>
            </w:tcBorders>
            <w:vAlign w:val="center"/>
            <w:hideMark/>
          </w:tcPr>
          <w:p w14:paraId="593881C3" w14:textId="5F26396C" w:rsidR="00340D4A" w:rsidRPr="004421A9" w:rsidRDefault="00340D4A" w:rsidP="00340D4A">
            <w:pPr>
              <w:jc w:val="left"/>
              <w:rPr>
                <w:rFonts w:ascii="Arial Narrow" w:hAnsi="Arial Narrow" w:cs="Arial"/>
              </w:rPr>
            </w:pPr>
            <w:r w:rsidRPr="004421A9">
              <w:rPr>
                <w:rFonts w:ascii="Arial Narrow" w:hAnsi="Arial Narrow" w:cs="Arial"/>
              </w:rPr>
              <w:t>Fremdpersonal</w:t>
            </w:r>
          </w:p>
        </w:tc>
        <w:tc>
          <w:tcPr>
            <w:tcW w:w="1480" w:type="dxa"/>
            <w:tcBorders>
              <w:top w:val="nil"/>
              <w:left w:val="nil"/>
              <w:bottom w:val="nil"/>
              <w:right w:val="nil"/>
            </w:tcBorders>
            <w:vAlign w:val="center"/>
          </w:tcPr>
          <w:p w14:paraId="67D6FC1D" w14:textId="77777777" w:rsidR="00340D4A" w:rsidRPr="004421A9" w:rsidRDefault="00340D4A" w:rsidP="00340D4A">
            <w:pPr>
              <w:jc w:val="center"/>
              <w:rPr>
                <w:rFonts w:ascii="Arial Narrow" w:hAnsi="Arial Narrow" w:cs="Arial"/>
              </w:rPr>
            </w:pPr>
            <w:r w:rsidRPr="004421A9">
              <w:rPr>
                <w:rFonts w:ascii="Arial Narrow" w:hAnsi="Arial Narrow" w:cs="Arial"/>
              </w:rPr>
              <w:t>3</w:t>
            </w:r>
          </w:p>
        </w:tc>
        <w:tc>
          <w:tcPr>
            <w:tcW w:w="1440" w:type="dxa"/>
            <w:tcBorders>
              <w:top w:val="nil"/>
              <w:left w:val="nil"/>
              <w:bottom w:val="nil"/>
              <w:right w:val="nil"/>
            </w:tcBorders>
            <w:vAlign w:val="center"/>
          </w:tcPr>
          <w:p w14:paraId="3D92E26A" w14:textId="77777777" w:rsidR="00340D4A" w:rsidRPr="004421A9" w:rsidRDefault="00340D4A" w:rsidP="00340D4A">
            <w:pPr>
              <w:jc w:val="center"/>
              <w:rPr>
                <w:rFonts w:ascii="Arial Narrow" w:hAnsi="Arial Narrow" w:cs="Arial"/>
              </w:rPr>
            </w:pPr>
            <w:r w:rsidRPr="004421A9">
              <w:rPr>
                <w:rFonts w:ascii="Arial Narrow" w:hAnsi="Arial Narrow" w:cs="Arial"/>
              </w:rPr>
              <w:t>2</w:t>
            </w:r>
          </w:p>
        </w:tc>
        <w:tc>
          <w:tcPr>
            <w:tcW w:w="1400" w:type="dxa"/>
            <w:tcBorders>
              <w:top w:val="nil"/>
              <w:left w:val="nil"/>
              <w:bottom w:val="nil"/>
              <w:right w:val="nil"/>
            </w:tcBorders>
            <w:vAlign w:val="center"/>
          </w:tcPr>
          <w:p w14:paraId="4704DC57"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r>
      <w:tr w:rsidR="00340D4A" w:rsidRPr="004421A9" w14:paraId="482D5371" w14:textId="77777777" w:rsidTr="00CD4E21">
        <w:trPr>
          <w:trHeight w:val="260"/>
          <w:jc w:val="center"/>
        </w:trPr>
        <w:tc>
          <w:tcPr>
            <w:tcW w:w="2260" w:type="dxa"/>
            <w:tcBorders>
              <w:top w:val="nil"/>
              <w:left w:val="nil"/>
              <w:bottom w:val="nil"/>
              <w:right w:val="nil"/>
            </w:tcBorders>
            <w:vAlign w:val="center"/>
            <w:hideMark/>
          </w:tcPr>
          <w:p w14:paraId="4A48A501" w14:textId="3CEC1851" w:rsidR="00340D4A" w:rsidRPr="004421A9" w:rsidRDefault="00340D4A" w:rsidP="00340D4A">
            <w:pPr>
              <w:jc w:val="left"/>
              <w:rPr>
                <w:rFonts w:ascii="Arial Narrow" w:hAnsi="Arial Narrow" w:cs="Arial"/>
              </w:rPr>
            </w:pPr>
            <w:r w:rsidRPr="004421A9">
              <w:rPr>
                <w:rFonts w:ascii="Arial Narrow" w:hAnsi="Arial Narrow" w:cs="Arial"/>
              </w:rPr>
              <w:t>Stipendiaten</w:t>
            </w:r>
          </w:p>
        </w:tc>
        <w:tc>
          <w:tcPr>
            <w:tcW w:w="1480" w:type="dxa"/>
            <w:tcBorders>
              <w:top w:val="nil"/>
              <w:left w:val="nil"/>
              <w:bottom w:val="nil"/>
              <w:right w:val="nil"/>
            </w:tcBorders>
            <w:vAlign w:val="center"/>
          </w:tcPr>
          <w:p w14:paraId="5FEF038F"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40" w:type="dxa"/>
            <w:tcBorders>
              <w:top w:val="nil"/>
              <w:left w:val="nil"/>
              <w:bottom w:val="nil"/>
              <w:right w:val="nil"/>
            </w:tcBorders>
            <w:vAlign w:val="center"/>
          </w:tcPr>
          <w:p w14:paraId="6F6869E0"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vAlign w:val="center"/>
          </w:tcPr>
          <w:p w14:paraId="13B2A9EB" w14:textId="77777777" w:rsidR="00340D4A" w:rsidRPr="004421A9" w:rsidRDefault="00340D4A" w:rsidP="00340D4A">
            <w:pPr>
              <w:jc w:val="center"/>
              <w:rPr>
                <w:rFonts w:ascii="Arial Narrow" w:hAnsi="Arial Narrow" w:cs="Arial"/>
              </w:rPr>
            </w:pPr>
            <w:r w:rsidRPr="004421A9">
              <w:rPr>
                <w:rFonts w:ascii="Arial Narrow" w:hAnsi="Arial Narrow" w:cs="Arial"/>
              </w:rPr>
              <w:t>0</w:t>
            </w:r>
          </w:p>
        </w:tc>
      </w:tr>
      <w:tr w:rsidR="00340D4A" w:rsidRPr="004421A9" w14:paraId="679CC868" w14:textId="77777777" w:rsidTr="00CD4E21">
        <w:trPr>
          <w:trHeight w:val="260"/>
          <w:jc w:val="center"/>
        </w:trPr>
        <w:tc>
          <w:tcPr>
            <w:tcW w:w="2260" w:type="dxa"/>
            <w:tcBorders>
              <w:top w:val="nil"/>
              <w:left w:val="nil"/>
              <w:bottom w:val="nil"/>
              <w:right w:val="nil"/>
            </w:tcBorders>
            <w:vAlign w:val="center"/>
            <w:hideMark/>
          </w:tcPr>
          <w:p w14:paraId="0DE7034D" w14:textId="354E122D" w:rsidR="00340D4A" w:rsidRPr="004421A9" w:rsidRDefault="00340D4A" w:rsidP="00340D4A">
            <w:pPr>
              <w:jc w:val="left"/>
              <w:rPr>
                <w:rFonts w:ascii="Arial Narrow" w:hAnsi="Arial Narrow" w:cs="Arial"/>
              </w:rPr>
            </w:pPr>
            <w:r w:rsidRPr="004421A9">
              <w:rPr>
                <w:rFonts w:ascii="Arial Narrow" w:hAnsi="Arial Narrow" w:cs="Arial"/>
              </w:rPr>
              <w:t>Junior Professional Officers</w:t>
            </w:r>
          </w:p>
        </w:tc>
        <w:tc>
          <w:tcPr>
            <w:tcW w:w="1480" w:type="dxa"/>
            <w:tcBorders>
              <w:top w:val="nil"/>
              <w:left w:val="nil"/>
              <w:bottom w:val="nil"/>
              <w:right w:val="nil"/>
            </w:tcBorders>
            <w:vAlign w:val="center"/>
          </w:tcPr>
          <w:p w14:paraId="72764E00" w14:textId="77777777" w:rsidR="00340D4A" w:rsidRPr="004421A9" w:rsidRDefault="00340D4A" w:rsidP="00340D4A">
            <w:pPr>
              <w:jc w:val="center"/>
              <w:rPr>
                <w:rFonts w:ascii="Arial Narrow" w:hAnsi="Arial Narrow" w:cs="Arial"/>
              </w:rPr>
            </w:pPr>
            <w:r w:rsidRPr="004421A9">
              <w:rPr>
                <w:rFonts w:ascii="Arial Narrow" w:hAnsi="Arial Narrow" w:cs="Arial"/>
              </w:rPr>
              <w:t>0</w:t>
            </w:r>
          </w:p>
        </w:tc>
        <w:tc>
          <w:tcPr>
            <w:tcW w:w="1440" w:type="dxa"/>
            <w:tcBorders>
              <w:top w:val="nil"/>
              <w:left w:val="nil"/>
              <w:bottom w:val="nil"/>
              <w:right w:val="nil"/>
            </w:tcBorders>
            <w:vAlign w:val="center"/>
          </w:tcPr>
          <w:p w14:paraId="3F9B5C92"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vAlign w:val="center"/>
          </w:tcPr>
          <w:p w14:paraId="463B2F92" w14:textId="77777777" w:rsidR="00340D4A" w:rsidRPr="004421A9" w:rsidRDefault="00340D4A" w:rsidP="00340D4A">
            <w:pPr>
              <w:jc w:val="center"/>
              <w:rPr>
                <w:rFonts w:ascii="Arial Narrow" w:hAnsi="Arial Narrow" w:cs="Arial"/>
              </w:rPr>
            </w:pPr>
            <w:r w:rsidRPr="004421A9">
              <w:rPr>
                <w:rFonts w:ascii="Arial Narrow" w:hAnsi="Arial Narrow" w:cs="Arial"/>
              </w:rPr>
              <w:t>2</w:t>
            </w:r>
          </w:p>
        </w:tc>
      </w:tr>
      <w:tr w:rsidR="00340D4A" w:rsidRPr="004421A9" w14:paraId="5B7CCD23" w14:textId="77777777" w:rsidTr="00CD4E21">
        <w:trPr>
          <w:trHeight w:val="260"/>
          <w:jc w:val="center"/>
        </w:trPr>
        <w:tc>
          <w:tcPr>
            <w:tcW w:w="2260" w:type="dxa"/>
            <w:tcBorders>
              <w:top w:val="nil"/>
              <w:left w:val="nil"/>
              <w:bottom w:val="nil"/>
              <w:right w:val="nil"/>
            </w:tcBorders>
            <w:vAlign w:val="center"/>
            <w:hideMark/>
          </w:tcPr>
          <w:p w14:paraId="04C12BDB" w14:textId="43A090E5" w:rsidR="00340D4A" w:rsidRPr="004421A9" w:rsidRDefault="00340D4A" w:rsidP="00340D4A">
            <w:pPr>
              <w:jc w:val="left"/>
              <w:rPr>
                <w:rFonts w:ascii="Arial Narrow" w:hAnsi="Arial Narrow" w:cs="Arial"/>
              </w:rPr>
            </w:pPr>
            <w:r w:rsidRPr="004421A9">
              <w:rPr>
                <w:rFonts w:ascii="Arial Narrow" w:hAnsi="Arial Narrow" w:cs="Arial"/>
              </w:rPr>
              <w:t>Praktikanten</w:t>
            </w:r>
          </w:p>
        </w:tc>
        <w:tc>
          <w:tcPr>
            <w:tcW w:w="1480" w:type="dxa"/>
            <w:tcBorders>
              <w:top w:val="nil"/>
              <w:left w:val="nil"/>
              <w:bottom w:val="nil"/>
              <w:right w:val="nil"/>
            </w:tcBorders>
            <w:vAlign w:val="center"/>
          </w:tcPr>
          <w:p w14:paraId="01BC1D85"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40" w:type="dxa"/>
            <w:tcBorders>
              <w:top w:val="nil"/>
              <w:left w:val="nil"/>
              <w:bottom w:val="nil"/>
              <w:right w:val="nil"/>
            </w:tcBorders>
            <w:vAlign w:val="center"/>
          </w:tcPr>
          <w:p w14:paraId="28C52A32"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vAlign w:val="center"/>
          </w:tcPr>
          <w:p w14:paraId="2EF08075" w14:textId="77777777" w:rsidR="00340D4A" w:rsidRPr="004421A9" w:rsidRDefault="00340D4A" w:rsidP="00340D4A">
            <w:pPr>
              <w:jc w:val="center"/>
              <w:rPr>
                <w:rFonts w:ascii="Arial Narrow" w:hAnsi="Arial Narrow" w:cs="Arial"/>
              </w:rPr>
            </w:pPr>
            <w:r w:rsidRPr="004421A9">
              <w:rPr>
                <w:rFonts w:ascii="Arial Narrow" w:hAnsi="Arial Narrow" w:cs="Arial"/>
              </w:rPr>
              <w:t>0</w:t>
            </w:r>
          </w:p>
        </w:tc>
      </w:tr>
    </w:tbl>
    <w:p w14:paraId="5DD6A03D" w14:textId="77777777" w:rsidR="00B65EDC" w:rsidRPr="004421A9" w:rsidRDefault="00B65EDC" w:rsidP="00B65EDC">
      <w:pPr>
        <w:rPr>
          <w:color w:val="000000" w:themeColor="text1"/>
        </w:rPr>
      </w:pPr>
    </w:p>
    <w:p w14:paraId="0DCE2CEA" w14:textId="77777777" w:rsidR="00B65EDC" w:rsidRPr="004421A9" w:rsidRDefault="00B65EDC" w:rsidP="00B65EDC">
      <w:pPr>
        <w:jc w:val="left"/>
        <w:rPr>
          <w:color w:val="26724C" w:themeColor="accent1" w:themeShade="BF"/>
          <w:sz w:val="28"/>
        </w:rPr>
      </w:pPr>
      <w:bookmarkStart w:id="446" w:name="_Toc61532295"/>
      <w:bookmarkStart w:id="447" w:name="_Toc61533690"/>
      <w:r w:rsidRPr="004421A9">
        <w:br w:type="page"/>
      </w:r>
    </w:p>
    <w:p w14:paraId="399DBDF0" w14:textId="77777777" w:rsidR="00B65EDC" w:rsidRPr="004421A9" w:rsidRDefault="00B65EDC" w:rsidP="00FC7FED">
      <w:pPr>
        <w:pStyle w:val="Heading1"/>
        <w:rPr>
          <w:lang w:val="de-DE"/>
        </w:rPr>
      </w:pPr>
      <w:bookmarkStart w:id="448" w:name="_Toc210041697"/>
      <w:bookmarkEnd w:id="446"/>
      <w:bookmarkEnd w:id="447"/>
      <w:r w:rsidRPr="004421A9">
        <w:rPr>
          <w:lang w:val="de-DE"/>
        </w:rPr>
        <w:lastRenderedPageBreak/>
        <w:t>Ziele und erwartete Ergebnisse</w:t>
      </w:r>
      <w:bookmarkEnd w:id="448"/>
    </w:p>
    <w:p w14:paraId="738C6B1D" w14:textId="77777777" w:rsidR="00B65EDC" w:rsidRPr="004421A9" w:rsidRDefault="00B65EDC" w:rsidP="00B65EDC">
      <w:pPr>
        <w:keepNext/>
      </w:pPr>
    </w:p>
    <w:p w14:paraId="6CF629F3" w14:textId="77777777" w:rsidR="00B65EDC" w:rsidRPr="004421A9" w:rsidRDefault="00B65EDC" w:rsidP="004448C7">
      <w:pPr>
        <w:pStyle w:val="Heading2"/>
        <w:rPr>
          <w:lang w:val="de-DE"/>
        </w:rPr>
      </w:pPr>
      <w:bookmarkStart w:id="449" w:name="_Toc61532296"/>
      <w:bookmarkStart w:id="450" w:name="_Toc61533691"/>
      <w:bookmarkStart w:id="451" w:name="_Toc210041698"/>
      <w:r w:rsidRPr="004421A9">
        <w:rPr>
          <w:lang w:val="de-DE"/>
        </w:rPr>
        <w:t>Einführung</w:t>
      </w:r>
      <w:bookmarkEnd w:id="449"/>
      <w:bookmarkEnd w:id="450"/>
      <w:bookmarkEnd w:id="451"/>
    </w:p>
    <w:p w14:paraId="3AB43734" w14:textId="77777777" w:rsidR="00B65EDC" w:rsidRPr="004421A9" w:rsidRDefault="00B65EDC" w:rsidP="00B65EDC"/>
    <w:p w14:paraId="31032FC2" w14:textId="13A25A50" w:rsidR="002B081E" w:rsidRPr="004421A9" w:rsidRDefault="008E3498" w:rsidP="002B081E">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B65EDC" w:rsidRPr="004421A9">
        <w:rPr>
          <w:color w:val="000000" w:themeColor="text1"/>
        </w:rPr>
        <w:tab/>
      </w:r>
      <w:r w:rsidR="002B081E" w:rsidRPr="004421A9">
        <w:rPr>
          <w:color w:val="000000" w:themeColor="text1"/>
          <w:spacing w:val="-2"/>
        </w:rPr>
        <w:t xml:space="preserve">Der Strategische Geschäftsplan (SBP) der UPOV für den Zeitraum </w:t>
      </w:r>
      <w:r w:rsidR="00E84EBB" w:rsidRPr="004421A9">
        <w:rPr>
          <w:color w:val="000000" w:themeColor="text1"/>
          <w:spacing w:val="-2"/>
        </w:rPr>
        <w:t>2026-2029</w:t>
      </w:r>
      <w:r w:rsidR="002B081E" w:rsidRPr="004421A9">
        <w:rPr>
          <w:color w:val="000000" w:themeColor="text1"/>
          <w:spacing w:val="-2"/>
        </w:rPr>
        <w:t xml:space="preserve"> bildet die Grundlage für den Entwurf eines Programms und Haushaltsplans für die Rechnungsperiode 2026-2027.</w:t>
      </w:r>
    </w:p>
    <w:p w14:paraId="624C00AA" w14:textId="77777777" w:rsidR="002B081E" w:rsidRPr="004421A9" w:rsidRDefault="002B081E" w:rsidP="002B081E">
      <w:pPr>
        <w:rPr>
          <w:color w:val="000000" w:themeColor="text1"/>
        </w:rPr>
      </w:pPr>
    </w:p>
    <w:p w14:paraId="61DCC932" w14:textId="71256BCE" w:rsidR="00B65EDC" w:rsidRPr="004421A9" w:rsidRDefault="00E735F8" w:rsidP="002B081E">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2B081E" w:rsidRPr="004421A9">
        <w:rPr>
          <w:color w:val="000000" w:themeColor="text1"/>
        </w:rPr>
        <w:tab/>
        <w:t>Das SBP-Strategiehaus stellt die Aufgabe, die strategischen Säulen und das Fundament der UPOV dar und bietet einen Rahmen, um auf die Notwendigkeit eines wirksamen Sortenschutzsystems zu reagieren, das die Entwicklung neuer Pflanzensorten zum Nutzen der Gesellschaft fördern wird</w:t>
      </w:r>
      <w:r w:rsidR="00B65EDC" w:rsidRPr="004421A9">
        <w:rPr>
          <w:color w:val="000000" w:themeColor="text1"/>
        </w:rPr>
        <w:t>.</w:t>
      </w:r>
    </w:p>
    <w:p w14:paraId="6E1F6BC3" w14:textId="77777777" w:rsidR="00B65EDC" w:rsidRPr="004421A9" w:rsidRDefault="00B65EDC" w:rsidP="00B65EDC">
      <w:pPr>
        <w:rPr>
          <w:color w:val="000000" w:themeColor="text1"/>
        </w:rPr>
      </w:pPr>
    </w:p>
    <w:tbl>
      <w:tblPr>
        <w:tblStyle w:val="TableGrid"/>
        <w:tblW w:w="0" w:type="auto"/>
        <w:tblLook w:val="04A0" w:firstRow="1" w:lastRow="0" w:firstColumn="1" w:lastColumn="0" w:noHBand="0" w:noVBand="1"/>
      </w:tblPr>
      <w:tblGrid>
        <w:gridCol w:w="9639"/>
      </w:tblGrid>
      <w:tr w:rsidR="00B65EDC" w:rsidRPr="004421A9" w14:paraId="390CCC32" w14:textId="77777777" w:rsidTr="00CD4E21">
        <w:tc>
          <w:tcPr>
            <w:tcW w:w="9639" w:type="dxa"/>
            <w:tcBorders>
              <w:top w:val="nil"/>
              <w:left w:val="nil"/>
              <w:bottom w:val="nil"/>
              <w:right w:val="nil"/>
            </w:tcBorders>
            <w:hideMark/>
          </w:tcPr>
          <w:p w14:paraId="4676078F" w14:textId="7A7EE6E3" w:rsidR="00B65EDC" w:rsidRPr="004421A9" w:rsidRDefault="001469B3" w:rsidP="00CD4E21">
            <w:pPr>
              <w:jc w:val="center"/>
              <w:rPr>
                <w:color w:val="000000" w:themeColor="text1"/>
              </w:rPr>
            </w:pPr>
            <w:r>
              <w:rPr>
                <w:noProof/>
              </w:rPr>
              <w:drawing>
                <wp:inline distT="0" distB="0" distL="0" distR="0" wp14:anchorId="716C942A" wp14:editId="3EE2560B">
                  <wp:extent cx="5605200" cy="3096000"/>
                  <wp:effectExtent l="0" t="0" r="0" b="9525"/>
                  <wp:docPr id="9419488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48860" name=""/>
                          <pic:cNvPicPr/>
                        </pic:nvPicPr>
                        <pic:blipFill rotWithShape="1">
                          <a:blip r:embed="rId10">
                            <a:extLst>
                              <a:ext uri="{96DAC541-7B7A-43D3-8B79-37D633B846F1}">
                                <asvg:svgBlip xmlns:asvg="http://schemas.microsoft.com/office/drawing/2016/SVG/main" r:embed="rId11"/>
                              </a:ext>
                            </a:extLst>
                          </a:blip>
                          <a:srcRect b="1832"/>
                          <a:stretch>
                            <a:fillRect/>
                          </a:stretch>
                        </pic:blipFill>
                        <pic:spPr bwMode="auto">
                          <a:xfrm>
                            <a:off x="0" y="0"/>
                            <a:ext cx="5605200" cy="3096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026C70" w14:textId="77777777" w:rsidR="00B65EDC" w:rsidRPr="004421A9" w:rsidRDefault="00B65EDC" w:rsidP="00B65EDC"/>
    <w:p w14:paraId="6706C918" w14:textId="266AFB3C" w:rsidR="00B65EDC" w:rsidRPr="004421A9" w:rsidRDefault="00243912" w:rsidP="00B65EDC">
      <w:pPr>
        <w:rPr>
          <w:bCs/>
        </w:rPr>
      </w:pPr>
      <w:r w:rsidRPr="004421A9">
        <w:rPr>
          <w:bCs/>
        </w:rPr>
        <w:fldChar w:fldCharType="begin"/>
      </w:r>
      <w:r w:rsidRPr="004421A9">
        <w:rPr>
          <w:bCs/>
        </w:rPr>
        <w:instrText xml:space="preserve"> AUTONUM  </w:instrText>
      </w:r>
      <w:r w:rsidRPr="004421A9">
        <w:rPr>
          <w:bCs/>
        </w:rPr>
        <w:fldChar w:fldCharType="end"/>
      </w:r>
      <w:r w:rsidR="00B65EDC" w:rsidRPr="004421A9">
        <w:rPr>
          <w:bCs/>
        </w:rPr>
        <w:tab/>
      </w:r>
      <w:r w:rsidR="00B061ED" w:rsidRPr="004421A9">
        <w:rPr>
          <w:bCs/>
        </w:rPr>
        <w:t>Die drei strategischen Säulen bilden die Grundlage für die Aufgabe der UPOV. Sie stellen die wesentlichen Bereiche der strategischen Ausrichtung der UPOV dar, die wiederum in die folgenden erwarteten Ergebnisse unterteilt werden</w:t>
      </w:r>
      <w:r w:rsidR="00B65EDC" w:rsidRPr="004421A9">
        <w:rPr>
          <w:bCs/>
        </w:rPr>
        <w:t>:</w:t>
      </w:r>
    </w:p>
    <w:p w14:paraId="0A5D97B5" w14:textId="77777777" w:rsidR="00B65EDC" w:rsidRPr="004421A9" w:rsidRDefault="00B65EDC" w:rsidP="00B65EDC">
      <w:pPr>
        <w:rPr>
          <w:bCs/>
        </w:rPr>
      </w:pPr>
    </w:p>
    <w:p w14:paraId="5527B061" w14:textId="10B664A1" w:rsidR="00B65EDC" w:rsidRPr="004421A9" w:rsidRDefault="00F57CA0" w:rsidP="00214125">
      <w:pPr>
        <w:jc w:val="center"/>
        <w:rPr>
          <w:bCs/>
        </w:rPr>
      </w:pPr>
      <w:r w:rsidRPr="00F57CA0">
        <w:rPr>
          <w:noProof/>
        </w:rPr>
        <w:drawing>
          <wp:inline distT="0" distB="0" distL="0" distR="0" wp14:anchorId="25CE5E32" wp14:editId="424BB166">
            <wp:extent cx="5473700" cy="3569634"/>
            <wp:effectExtent l="0" t="0" r="0" b="0"/>
            <wp:docPr id="1357257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1069" cy="3580961"/>
                    </a:xfrm>
                    <a:prstGeom prst="rect">
                      <a:avLst/>
                    </a:prstGeom>
                    <a:noFill/>
                    <a:ln>
                      <a:noFill/>
                    </a:ln>
                  </pic:spPr>
                </pic:pic>
              </a:graphicData>
            </a:graphic>
          </wp:inline>
        </w:drawing>
      </w:r>
    </w:p>
    <w:p w14:paraId="6EA65CBE" w14:textId="76E994C2" w:rsidR="00B65EDC" w:rsidRPr="004421A9" w:rsidRDefault="00361144" w:rsidP="00B65EDC">
      <w:pPr>
        <w:rPr>
          <w:bCs/>
        </w:rPr>
      </w:pPr>
      <w:r w:rsidRPr="004421A9">
        <w:rPr>
          <w:bCs/>
        </w:rPr>
        <w:lastRenderedPageBreak/>
        <w:fldChar w:fldCharType="begin"/>
      </w:r>
      <w:r w:rsidRPr="004421A9">
        <w:rPr>
          <w:bCs/>
        </w:rPr>
        <w:instrText xml:space="preserve"> AUTONUM  </w:instrText>
      </w:r>
      <w:r w:rsidRPr="004421A9">
        <w:rPr>
          <w:bCs/>
        </w:rPr>
        <w:fldChar w:fldCharType="end"/>
      </w:r>
      <w:r w:rsidR="00B65EDC" w:rsidRPr="004421A9">
        <w:rPr>
          <w:bCs/>
        </w:rPr>
        <w:tab/>
      </w:r>
      <w:r w:rsidR="008A4979" w:rsidRPr="004421A9">
        <w:rPr>
          <w:bCs/>
        </w:rPr>
        <w:t>In den folgenden Abschnitten werden die drei strategischen Säulen und das Fundament sowie die jeweiligen erwarteten Ergebnisse näher erläutert</w:t>
      </w:r>
      <w:r w:rsidR="00B65EDC" w:rsidRPr="004421A9">
        <w:rPr>
          <w:bCs/>
        </w:rPr>
        <w:t>.</w:t>
      </w:r>
      <w:r w:rsidR="00027E0A" w:rsidRPr="004421A9">
        <w:rPr>
          <w:bCs/>
        </w:rPr>
        <w:t xml:space="preserve"> </w:t>
      </w:r>
      <w:r w:rsidR="00FC5A90" w:rsidRPr="004421A9">
        <w:rPr>
          <w:bCs/>
        </w:rPr>
        <w:t xml:space="preserve">Die strategischen Risiken und Reaktionen im Zusammenhang mit den Säulen und </w:t>
      </w:r>
      <w:r w:rsidR="00C3653F" w:rsidRPr="004421A9">
        <w:rPr>
          <w:bCs/>
        </w:rPr>
        <w:t>dem Fundament</w:t>
      </w:r>
      <w:r w:rsidR="00FC5A90" w:rsidRPr="004421A9">
        <w:rPr>
          <w:bCs/>
        </w:rPr>
        <w:t xml:space="preserve"> der SBP sind in der SBP 2026-2029 zu finden.</w:t>
      </w:r>
    </w:p>
    <w:p w14:paraId="7B9E0265" w14:textId="77777777" w:rsidR="0052247A" w:rsidRPr="004421A9" w:rsidRDefault="0052247A" w:rsidP="00B65EDC">
      <w:pPr>
        <w:rPr>
          <w:bCs/>
        </w:rPr>
      </w:pPr>
    </w:p>
    <w:p w14:paraId="7F40C740" w14:textId="77777777" w:rsidR="00B65EDC" w:rsidRPr="004421A9" w:rsidRDefault="00B65EDC" w:rsidP="00B65EDC"/>
    <w:p w14:paraId="7328E78B" w14:textId="77777777" w:rsidR="00B65EDC" w:rsidRPr="004421A9" w:rsidRDefault="00B65EDC" w:rsidP="00B65EDC"/>
    <w:p w14:paraId="0347C519" w14:textId="5C29746F" w:rsidR="00B65EDC" w:rsidRPr="004421A9" w:rsidRDefault="00B65EDC" w:rsidP="004448C7">
      <w:pPr>
        <w:pStyle w:val="Heading2"/>
        <w:rPr>
          <w:lang w:val="de-DE"/>
        </w:rPr>
      </w:pPr>
      <w:bookmarkStart w:id="452" w:name="_Toc117798882"/>
      <w:bookmarkStart w:id="453" w:name="_Toc107239587"/>
      <w:bookmarkStart w:id="454" w:name="_Toc107239337"/>
      <w:bookmarkStart w:id="455" w:name="_Toc210041699"/>
      <w:r w:rsidRPr="004421A9">
        <w:rPr>
          <w:lang w:val="de-DE"/>
        </w:rPr>
        <w:t>Säule 1:</w:t>
      </w:r>
      <w:r w:rsidR="00877E3D" w:rsidRPr="004421A9">
        <w:rPr>
          <w:lang w:val="de-DE"/>
        </w:rPr>
        <w:t xml:space="preserve"> </w:t>
      </w:r>
      <w:bookmarkEnd w:id="452"/>
      <w:bookmarkEnd w:id="453"/>
      <w:bookmarkEnd w:id="454"/>
      <w:r w:rsidR="006700D3" w:rsidRPr="004421A9">
        <w:rPr>
          <w:lang w:val="de-DE"/>
        </w:rPr>
        <w:t>Interessengruppen zusammenbringen, um dazu beizutragen, das UPOV-System zu gestalten</w:t>
      </w:r>
      <w:bookmarkEnd w:id="455"/>
    </w:p>
    <w:p w14:paraId="7360FE76" w14:textId="77777777" w:rsidR="00B65EDC" w:rsidRPr="004421A9" w:rsidRDefault="00B65EDC" w:rsidP="00B65EDC">
      <w:pPr>
        <w:rPr>
          <w:b/>
          <w:bCs/>
          <w:sz w:val="22"/>
          <w:szCs w:val="22"/>
        </w:rPr>
      </w:pPr>
    </w:p>
    <w:p w14:paraId="6B0EDF6A" w14:textId="77777777" w:rsidR="00B65EDC" w:rsidRPr="004421A9" w:rsidRDefault="00B65EDC" w:rsidP="00B65EDC">
      <w:pPr>
        <w:pStyle w:val="Heading3"/>
        <w:rPr>
          <w:sz w:val="20"/>
          <w:lang w:val="de-DE"/>
        </w:rPr>
      </w:pPr>
      <w:bookmarkStart w:id="456" w:name="_Toc210041700"/>
      <w:r w:rsidRPr="004421A9">
        <w:rPr>
          <w:lang w:val="de-DE"/>
        </w:rPr>
        <w:t>Umsetzung der Strategie zur Erreichung der erwarteten Ergebnisse</w:t>
      </w:r>
      <w:bookmarkEnd w:id="456"/>
    </w:p>
    <w:p w14:paraId="349DE1AA" w14:textId="77777777" w:rsidR="00B65EDC" w:rsidRPr="004421A9" w:rsidRDefault="00B65EDC" w:rsidP="00B65EDC">
      <w:pPr>
        <w:rPr>
          <w:b/>
          <w:bCs/>
          <w:sz w:val="22"/>
          <w:szCs w:val="22"/>
        </w:rPr>
      </w:pPr>
    </w:p>
    <w:p w14:paraId="27E70FD9" w14:textId="47C5528B" w:rsidR="00B65EDC" w:rsidRPr="004421A9" w:rsidRDefault="00B65EDC" w:rsidP="00B65EDC">
      <w:pPr>
        <w:rPr>
          <w:bCs/>
        </w:rPr>
      </w:pPr>
      <w:r w:rsidRPr="004421A9">
        <w:rPr>
          <w:bCs/>
        </w:rPr>
        <w:fldChar w:fldCharType="begin"/>
      </w:r>
      <w:r w:rsidRPr="004421A9">
        <w:rPr>
          <w:bCs/>
        </w:rPr>
        <w:instrText xml:space="preserve"> AUTONUM  </w:instrText>
      </w:r>
      <w:r w:rsidRPr="004421A9">
        <w:rPr>
          <w:bCs/>
        </w:rPr>
        <w:fldChar w:fldCharType="end"/>
      </w:r>
      <w:r w:rsidRPr="004421A9">
        <w:rPr>
          <w:bCs/>
        </w:rPr>
        <w:tab/>
      </w:r>
      <w:r w:rsidR="00517EDE" w:rsidRPr="004421A9">
        <w:rPr>
          <w:bCs/>
        </w:rPr>
        <w:t>Diese strategische Säule konzentriert sich auf die Rolle der UPOV als Organisator, der Verbandsmitglieder zusammenbringt, um die Arbeit der UPOV zu überwachen und zu koordinieren und Interessenvertreter miteinzubeziehen, um so dazu beizutragen, die Zukunft des UPOV-Systems zu gestalten</w:t>
      </w:r>
      <w:r w:rsidRPr="004421A9">
        <w:rPr>
          <w:bCs/>
        </w:rPr>
        <w:t>.</w:t>
      </w:r>
    </w:p>
    <w:p w14:paraId="6657D08C" w14:textId="77777777" w:rsidR="00B65EDC" w:rsidRPr="004421A9" w:rsidRDefault="00B65EDC" w:rsidP="00B65EDC">
      <w:pPr>
        <w:rPr>
          <w:bCs/>
        </w:rPr>
      </w:pPr>
    </w:p>
    <w:p w14:paraId="51E86718" w14:textId="317C9827" w:rsidR="00B65EDC" w:rsidRPr="004421A9" w:rsidRDefault="00B65EDC" w:rsidP="00B65EDC">
      <w:pPr>
        <w:rPr>
          <w:bCs/>
        </w:rPr>
      </w:pPr>
      <w:r w:rsidRPr="004421A9">
        <w:rPr>
          <w:bCs/>
        </w:rPr>
        <w:fldChar w:fldCharType="begin"/>
      </w:r>
      <w:r w:rsidRPr="004421A9">
        <w:rPr>
          <w:bCs/>
        </w:rPr>
        <w:instrText xml:space="preserve"> AUTONUM  </w:instrText>
      </w:r>
      <w:r w:rsidRPr="004421A9">
        <w:rPr>
          <w:bCs/>
        </w:rPr>
        <w:fldChar w:fldCharType="end"/>
      </w:r>
      <w:r w:rsidRPr="004421A9">
        <w:rPr>
          <w:bCs/>
        </w:rPr>
        <w:tab/>
      </w:r>
      <w:bookmarkStart w:id="457" w:name="_Hlk190115212"/>
      <w:r w:rsidR="00BB10D3" w:rsidRPr="004421A9">
        <w:rPr>
          <w:bCs/>
        </w:rPr>
        <w:t xml:space="preserve">Im Oktober 2024 billigte der Beratende Ausschuss die Entwicklung des Horizon Scanning und die Integration der in Dokument CC/102/3 ermittelten Schlüsselstrategien in künftige Versionen des Strategischen Geschäftsplans. Vorschläge für eine </w:t>
      </w:r>
      <w:r w:rsidR="00BF7B0D" w:rsidRPr="004421A9">
        <w:rPr>
          <w:bCs/>
          <w:color w:val="000000" w:themeColor="text1"/>
        </w:rPr>
        <w:t>Ressourcenstrategie der UPOV</w:t>
      </w:r>
      <w:r w:rsidR="00BF7B0D" w:rsidRPr="004421A9">
        <w:rPr>
          <w:bCs/>
        </w:rPr>
        <w:t xml:space="preserve"> </w:t>
      </w:r>
      <w:r w:rsidR="001865A7">
        <w:rPr>
          <w:bCs/>
        </w:rPr>
        <w:t xml:space="preserve">(Dokument </w:t>
      </w:r>
      <w:r w:rsidR="00AC6D6D">
        <w:rPr>
          <w:bCs/>
        </w:rPr>
        <w:t xml:space="preserve">C/59/16) </w:t>
      </w:r>
      <w:r w:rsidR="00BB10D3" w:rsidRPr="004421A9">
        <w:rPr>
          <w:bCs/>
        </w:rPr>
        <w:t>zur Gewährleistung einer nachhaltigen UPOV und zur Erhöhung der Reichweite und des Einflusses der UPOV werden den UPOV-Mitgliedern im Oktober 2025 zur Prüfung vorgelegt</w:t>
      </w:r>
      <w:r w:rsidRPr="004421A9">
        <w:rPr>
          <w:bCs/>
        </w:rPr>
        <w:t>.</w:t>
      </w:r>
    </w:p>
    <w:bookmarkEnd w:id="457"/>
    <w:p w14:paraId="5BC7F48F" w14:textId="77777777" w:rsidR="00B65EDC" w:rsidRPr="004421A9" w:rsidRDefault="00B65EDC" w:rsidP="00B65EDC">
      <w:pPr>
        <w:rPr>
          <w:b/>
          <w:bCs/>
          <w:sz w:val="22"/>
          <w:szCs w:val="22"/>
        </w:rPr>
      </w:pPr>
    </w:p>
    <w:p w14:paraId="20FE00EC" w14:textId="3B1969BC" w:rsidR="00B65EDC" w:rsidRPr="004421A9" w:rsidRDefault="00B65EDC" w:rsidP="00B65EDC">
      <w:pPr>
        <w:pStyle w:val="Heading4"/>
        <w:rPr>
          <w:lang w:val="de-DE"/>
        </w:rPr>
      </w:pPr>
      <w:r w:rsidRPr="004421A9">
        <w:rPr>
          <w:lang w:val="de-DE"/>
        </w:rPr>
        <w:t>1.1</w:t>
      </w:r>
      <w:r w:rsidRPr="004421A9">
        <w:rPr>
          <w:lang w:val="de-DE"/>
        </w:rPr>
        <w:tab/>
      </w:r>
      <w:r w:rsidR="00445178" w:rsidRPr="004421A9">
        <w:rPr>
          <w:lang w:val="de-DE"/>
        </w:rPr>
        <w:t>Führung</w:t>
      </w:r>
      <w:r w:rsidRPr="004421A9">
        <w:rPr>
          <w:lang w:val="de-DE"/>
        </w:rPr>
        <w:t xml:space="preserve"> durch den Rat der UPOV und Arbeit der </w:t>
      </w:r>
      <w:r w:rsidR="00445178" w:rsidRPr="004421A9">
        <w:rPr>
          <w:lang w:val="de-DE"/>
        </w:rPr>
        <w:t>UPOV-</w:t>
      </w:r>
      <w:r w:rsidRPr="004421A9">
        <w:rPr>
          <w:lang w:val="de-DE"/>
        </w:rPr>
        <w:t>Ausschüsse und anderen Organe</w:t>
      </w:r>
      <w:r w:rsidR="00445178" w:rsidRPr="004421A9">
        <w:rPr>
          <w:lang w:val="de-DE"/>
        </w:rPr>
        <w:t>n</w:t>
      </w:r>
      <w:r w:rsidRPr="004421A9">
        <w:rPr>
          <w:lang w:val="de-DE"/>
        </w:rPr>
        <w:t xml:space="preserve"> </w:t>
      </w:r>
    </w:p>
    <w:p w14:paraId="4B761196" w14:textId="77777777" w:rsidR="00B65EDC" w:rsidRPr="004421A9" w:rsidRDefault="00B65EDC" w:rsidP="00B65EDC">
      <w:pPr>
        <w:pStyle w:val="ListParagraph"/>
        <w:ind w:left="570"/>
      </w:pPr>
    </w:p>
    <w:p w14:paraId="0B8D75A5" w14:textId="61C55592" w:rsidR="00B65EDC" w:rsidRPr="004421A9" w:rsidRDefault="00B65EDC" w:rsidP="00B65EDC">
      <w:r w:rsidRPr="004421A9">
        <w:fldChar w:fldCharType="begin"/>
      </w:r>
      <w:r w:rsidRPr="004421A9">
        <w:instrText xml:space="preserve"> AUTONUM  </w:instrText>
      </w:r>
      <w:r w:rsidRPr="004421A9">
        <w:fldChar w:fldCharType="end"/>
      </w:r>
      <w:r w:rsidRPr="004421A9">
        <w:tab/>
      </w:r>
      <w:r w:rsidR="00310962" w:rsidRPr="004421A9">
        <w:t>Der Rat, der sich aus Verbandsmitgliedern und Beobachtern zusammensetzt, wird weiterhin die Richtung der UPOV bestimmen und sich dabei vom Beratenden Ausschuss, dem Verwaltungs- und Rechtsausschuss (CAJ) und dem Technischen Ausschuss leiten lassen</w:t>
      </w:r>
      <w:r w:rsidRPr="004421A9">
        <w:t>.</w:t>
      </w:r>
    </w:p>
    <w:p w14:paraId="4CE6FFBA" w14:textId="77777777" w:rsidR="00B65EDC" w:rsidRPr="004421A9" w:rsidRDefault="00B65EDC" w:rsidP="00B65EDC"/>
    <w:p w14:paraId="1A757418" w14:textId="510620C4" w:rsidR="00150738" w:rsidRPr="004421A9" w:rsidRDefault="00B65EDC" w:rsidP="00B65EDC">
      <w:r w:rsidRPr="004421A9">
        <w:fldChar w:fldCharType="begin"/>
      </w:r>
      <w:r w:rsidRPr="004421A9">
        <w:instrText xml:space="preserve"> AUTONUM  </w:instrText>
      </w:r>
      <w:r w:rsidRPr="004421A9">
        <w:fldChar w:fldCharType="end"/>
      </w:r>
      <w:r w:rsidRPr="004421A9">
        <w:tab/>
        <w:t xml:space="preserve"> </w:t>
      </w:r>
      <w:r w:rsidR="00470448" w:rsidRPr="004421A9">
        <w:t>D</w:t>
      </w:r>
      <w:r w:rsidR="00150738" w:rsidRPr="004421A9">
        <w:t xml:space="preserve">er Einsatz virtueller Sitzungsinstrumente </w:t>
      </w:r>
      <w:r w:rsidR="00470448" w:rsidRPr="004421A9">
        <w:t xml:space="preserve">hat </w:t>
      </w:r>
      <w:r w:rsidR="00150738" w:rsidRPr="004421A9">
        <w:t xml:space="preserve">die Teilnahme an </w:t>
      </w:r>
      <w:r w:rsidR="00204B03" w:rsidRPr="004421A9">
        <w:t xml:space="preserve">den </w:t>
      </w:r>
      <w:r w:rsidR="00150738" w:rsidRPr="004421A9">
        <w:t>Tagungen</w:t>
      </w:r>
      <w:r w:rsidR="00204B03" w:rsidRPr="004421A9">
        <w:t xml:space="preserve"> der UPOV-Organe</w:t>
      </w:r>
      <w:r w:rsidR="00150738" w:rsidRPr="004421A9">
        <w:t xml:space="preserve"> erhöht. Die Anzahl von UPOV-Mitgliedern, die von 2020 bis 2024 an den Sitzungen der Technischen Arbeitsgruppen teilnahmen, stieg um 43 Prozent im Vergleich zum Zeitraum von 2015 bis 2019 vor der Einführung der virtuellen Teilnahme (2015 bis 2019 durchschnittlich 30 Mitglieder; 2020 bis 2024 durchschnittlich 43 Mitglieder). Die Gesamtanzahl an Teilnehmern stieg von 2020 bis 2024 um 86 Prozent im Vergleich zum Zeitraum von 2015 bis 2019 (von 277 auf 516 Teilnehmer).</w:t>
      </w:r>
    </w:p>
    <w:p w14:paraId="2F894AA1" w14:textId="77777777" w:rsidR="00B65EDC" w:rsidRPr="004421A9" w:rsidRDefault="00B65EDC" w:rsidP="00B65EDC"/>
    <w:bookmarkStart w:id="458" w:name="_Hlk190100681"/>
    <w:p w14:paraId="4100DA87" w14:textId="158ED72E" w:rsidR="00B65EDC" w:rsidRPr="004421A9" w:rsidRDefault="00B65EDC" w:rsidP="00B65EDC">
      <w:r w:rsidRPr="004421A9">
        <w:fldChar w:fldCharType="begin"/>
      </w:r>
      <w:r w:rsidRPr="004421A9">
        <w:instrText xml:space="preserve"> AUTONUM  </w:instrText>
      </w:r>
      <w:r w:rsidRPr="004421A9">
        <w:fldChar w:fldCharType="end"/>
      </w:r>
      <w:r w:rsidRPr="004421A9">
        <w:tab/>
      </w:r>
      <w:r w:rsidR="006C1A19" w:rsidRPr="004421A9">
        <w:t>Im Zuge der Weiterentwicklung der UPOV und im Interesse einer größtmöglichen Effizienz wird die Arbeit der Ausschüsse weiterhin ständig überprüft werden. Der Technische Ausschuss vereinbarte im Jahre 2023, die Arbeit der Technischen Arbeitsgruppen auf der Grundlage von Planerfüllungsindikatoren und regelmäßigen Erhebungen bei UPOV-Mitgliedern und Beobachterorganisationen regelmäßig zu überprüfen. In der Rechnungsperiode 2026-2027 wird dieser Prozess fortgesetzt, um die Möglichkeiten für eine effizientere Arbeit des Technischen Ausschusses zu bewerten, insbesondere im Hinblick auf eine verstärkte Zusammenarbeit als grundlegenden Vorteil der UPOV-Mitgliedschaft</w:t>
      </w:r>
      <w:r w:rsidRPr="004421A9">
        <w:t>.</w:t>
      </w:r>
      <w:r w:rsidR="00717B5C" w:rsidRPr="004421A9">
        <w:t xml:space="preserve"> </w:t>
      </w:r>
    </w:p>
    <w:p w14:paraId="58CC574A" w14:textId="77777777" w:rsidR="00B65EDC" w:rsidRPr="004421A9" w:rsidRDefault="00B65EDC" w:rsidP="00B65EDC"/>
    <w:bookmarkEnd w:id="458"/>
    <w:p w14:paraId="323DA174" w14:textId="52D757F4" w:rsidR="00B65EDC" w:rsidRPr="004421A9" w:rsidRDefault="00B65EDC" w:rsidP="00B65EDC">
      <w:pPr>
        <w:pStyle w:val="Heading4"/>
        <w:rPr>
          <w:lang w:val="de-DE"/>
        </w:rPr>
      </w:pPr>
      <w:r w:rsidRPr="004421A9">
        <w:rPr>
          <w:lang w:val="de-DE"/>
        </w:rPr>
        <w:t>1.2</w:t>
      </w:r>
      <w:r w:rsidRPr="004421A9">
        <w:rPr>
          <w:lang w:val="de-DE"/>
        </w:rPr>
        <w:tab/>
      </w:r>
      <w:r w:rsidR="00DD2E9E" w:rsidRPr="004421A9">
        <w:rPr>
          <w:lang w:val="de-DE"/>
        </w:rPr>
        <w:t>Ausarbeitung</w:t>
      </w:r>
      <w:r w:rsidRPr="004421A9">
        <w:rPr>
          <w:lang w:val="de-DE"/>
        </w:rPr>
        <w:t xml:space="preserve"> von Rechtsvorschriften zum Sortenschutz gemäß </w:t>
      </w:r>
      <w:r w:rsidR="00DD2E9E" w:rsidRPr="004421A9">
        <w:rPr>
          <w:lang w:val="de-DE"/>
        </w:rPr>
        <w:t>der Akte von 1991 des UPOV-</w:t>
      </w:r>
      <w:r w:rsidRPr="004421A9">
        <w:rPr>
          <w:lang w:val="de-DE"/>
        </w:rPr>
        <w:t>Übereinkommen</w:t>
      </w:r>
      <w:r w:rsidR="00DD2E9E" w:rsidRPr="004421A9">
        <w:rPr>
          <w:lang w:val="de-DE"/>
        </w:rPr>
        <w:t>s</w:t>
      </w:r>
    </w:p>
    <w:p w14:paraId="0167A461" w14:textId="77777777" w:rsidR="00B65EDC" w:rsidRPr="004421A9" w:rsidRDefault="00B65EDC" w:rsidP="00B65EDC">
      <w:pPr>
        <w:rPr>
          <w:bCs/>
        </w:rPr>
      </w:pPr>
    </w:p>
    <w:p w14:paraId="0019CA6D" w14:textId="285E20D1" w:rsidR="00B65EDC" w:rsidRPr="004421A9" w:rsidRDefault="00B65EDC" w:rsidP="00B65EDC">
      <w:pPr>
        <w:rPr>
          <w:bCs/>
        </w:rPr>
      </w:pPr>
      <w:r w:rsidRPr="004421A9">
        <w:rPr>
          <w:bCs/>
        </w:rPr>
        <w:fldChar w:fldCharType="begin"/>
      </w:r>
      <w:r w:rsidRPr="004421A9">
        <w:rPr>
          <w:bCs/>
        </w:rPr>
        <w:instrText xml:space="preserve"> AUTONUM  </w:instrText>
      </w:r>
      <w:r w:rsidRPr="004421A9">
        <w:rPr>
          <w:bCs/>
        </w:rPr>
        <w:fldChar w:fldCharType="end"/>
      </w:r>
      <w:r w:rsidRPr="004421A9">
        <w:rPr>
          <w:bCs/>
        </w:rPr>
        <w:tab/>
      </w:r>
      <w:r w:rsidR="00EB1E83" w:rsidRPr="004421A9">
        <w:rPr>
          <w:bCs/>
        </w:rPr>
        <w:t>Staaten oder zwischenstaatliche Organisationen, die Mitglied der UPOV zu werden wünschen, müssen vor der Hinterlegung ihrer Beitrittsurkunde eine positive Stellungnahme des Rates der UPOV über die Vereinbarkeit ihrer Rechtsvorschriften mit den Bestimmungen des UPOV-Übereinkommens erwirken. Ein wesentlicher Teil der Arbeit der UPOV besteht darin, Staaten/zwischenstaatlichen Organisationen, die ein Gesetz gemäß der Akte von 1991 des UPOV-Übereinkommens ausarbeiten wollen, Anleitung zu geben</w:t>
      </w:r>
      <w:r w:rsidRPr="004421A9">
        <w:rPr>
          <w:bCs/>
        </w:rPr>
        <w:t>.</w:t>
      </w:r>
      <w:r w:rsidR="00522168" w:rsidRPr="004421A9">
        <w:rPr>
          <w:bCs/>
        </w:rPr>
        <w:t xml:space="preserve"> </w:t>
      </w:r>
    </w:p>
    <w:p w14:paraId="78775904" w14:textId="77777777" w:rsidR="00B65EDC" w:rsidRPr="004421A9" w:rsidRDefault="00B65EDC" w:rsidP="00B65EDC">
      <w:pPr>
        <w:rPr>
          <w:bCs/>
        </w:rPr>
      </w:pPr>
    </w:p>
    <w:p w14:paraId="159ED43E" w14:textId="7FDE9063" w:rsidR="00B65EDC" w:rsidRPr="004421A9" w:rsidRDefault="00B65EDC" w:rsidP="00B65EDC">
      <w:pPr>
        <w:rPr>
          <w:bCs/>
        </w:rPr>
      </w:pPr>
      <w:r w:rsidRPr="004421A9">
        <w:rPr>
          <w:bCs/>
        </w:rPr>
        <w:fldChar w:fldCharType="begin"/>
      </w:r>
      <w:r w:rsidRPr="004421A9">
        <w:rPr>
          <w:bCs/>
        </w:rPr>
        <w:instrText xml:space="preserve"> AUTONUM  </w:instrText>
      </w:r>
      <w:r w:rsidRPr="004421A9">
        <w:rPr>
          <w:bCs/>
        </w:rPr>
        <w:fldChar w:fldCharType="end"/>
      </w:r>
      <w:r w:rsidRPr="004421A9">
        <w:rPr>
          <w:bCs/>
        </w:rPr>
        <w:tab/>
      </w:r>
      <w:r w:rsidR="00F42E36" w:rsidRPr="004421A9">
        <w:rPr>
          <w:bCs/>
        </w:rPr>
        <w:t xml:space="preserve">Für die Rechnungsperiode 2026-2027 wird erwartet, dass die Anzahl von Ersuchen von Staaten/zwischenstaatlichen Organisationen um Beratung in Gesetzgebungsfragen weiterhin hoch sein wird, hauptsächlich von Ländern </w:t>
      </w:r>
      <w:r w:rsidR="009604D1" w:rsidRPr="004421A9">
        <w:rPr>
          <w:bCs/>
        </w:rPr>
        <w:t xml:space="preserve">in </w:t>
      </w:r>
      <w:r w:rsidR="00F42E36" w:rsidRPr="004421A9">
        <w:rPr>
          <w:bCs/>
        </w:rPr>
        <w:t>Afrika, dem arabischen Raum, der Karibik und Südostasien. Die Erfahrung zeigt, dass die vom Verbandsbüro geleistete legislative Unterstützung von den Beitrittskandidaten geschätzt wird</w:t>
      </w:r>
      <w:r w:rsidR="005C5F36" w:rsidRPr="004421A9">
        <w:rPr>
          <w:bCs/>
        </w:rPr>
        <w:t xml:space="preserve"> </w:t>
      </w:r>
      <w:r w:rsidR="00D73D27" w:rsidRPr="004421A9">
        <w:rPr>
          <w:bCs/>
        </w:rPr>
        <w:t>insgesamt positive Auswirkungen hat</w:t>
      </w:r>
      <w:r w:rsidR="00F42E36" w:rsidRPr="004421A9">
        <w:rPr>
          <w:bCs/>
        </w:rPr>
        <w:t xml:space="preserve">. Die Erfahrung zeigt jedoch auch, </w:t>
      </w:r>
      <w:r w:rsidR="0035592C" w:rsidRPr="004421A9">
        <w:rPr>
          <w:bCs/>
        </w:rPr>
        <w:t>dass selbst wenn ein Beitrittskandidat eine Anleitung erhalten hat, dies</w:t>
      </w:r>
      <w:r w:rsidR="00F42E36" w:rsidRPr="004421A9">
        <w:rPr>
          <w:bCs/>
        </w:rPr>
        <w:t xml:space="preserve"> nicht immer zu den erforderlichen Gesetzesänderungen führt, um die wesentlichen Bestimmungen des UPOV-Übereinkommens einzuführen</w:t>
      </w:r>
      <w:r w:rsidR="00472EE5" w:rsidRPr="004421A9">
        <w:rPr>
          <w:bCs/>
        </w:rPr>
        <w:t xml:space="preserve"> und</w:t>
      </w:r>
      <w:r w:rsidR="00356DFC" w:rsidRPr="004421A9">
        <w:rPr>
          <w:rFonts w:asciiTheme="minorHAnsi" w:eastAsiaTheme="minorHAnsi" w:hAnsiTheme="minorHAnsi" w:cstheme="minorBidi"/>
          <w:bCs/>
          <w:kern w:val="2"/>
          <w:sz w:val="24"/>
          <w:szCs w:val="24"/>
          <w14:ligatures w14:val="standardContextual"/>
        </w:rPr>
        <w:t xml:space="preserve"> </w:t>
      </w:r>
      <w:r w:rsidR="00356DFC" w:rsidRPr="004421A9">
        <w:rPr>
          <w:bCs/>
        </w:rPr>
        <w:t>anschließend die Beitrittsurkunde zu hinterlegen, um UPOV-Mitglied zu werden.</w:t>
      </w:r>
      <w:r w:rsidR="00F42E36" w:rsidRPr="004421A9">
        <w:rPr>
          <w:bCs/>
        </w:rPr>
        <w:t xml:space="preserve"> Die politischen Ziele und die örtlichen Gegebenheiten müssen verstanden werden, um die Länder auf ihrem Weg zur UPOV-Mitgliedschaft zu unterstützen. Daher müssen die vom UPOV-Büro erteilte legislative Anleitung und/oder die vom Rat der UPOV in vielen Fällen erteilte </w:t>
      </w:r>
      <w:r w:rsidR="00F42E36" w:rsidRPr="004421A9">
        <w:rPr>
          <w:bCs/>
        </w:rPr>
        <w:lastRenderedPageBreak/>
        <w:t xml:space="preserve">positive Stellungnahme mit Tätigkeiten zur Kontaktaufnahme mit politischen Entscheidungsträgern und Interessenvertretern verbunden werden, die die Vorteile der UPOV-Mitgliedschaft </w:t>
      </w:r>
      <w:r w:rsidR="000A744E" w:rsidRPr="004421A9">
        <w:rPr>
          <w:bCs/>
        </w:rPr>
        <w:t xml:space="preserve">und den Beitrag zu den Entwicklungszielen der Länder </w:t>
      </w:r>
      <w:r w:rsidR="00F42E36" w:rsidRPr="004421A9">
        <w:rPr>
          <w:bCs/>
        </w:rPr>
        <w:t xml:space="preserve">aufzeigen. </w:t>
      </w:r>
      <w:r w:rsidR="00F42E36" w:rsidRPr="004421A9">
        <w:rPr>
          <w:bCs/>
          <w:lang w:val="en-US"/>
        </w:rPr>
        <w:t xml:space="preserve">Das „UPOV Executive Program on Plant Variety Protection for the Development of </w:t>
      </w:r>
      <w:proofErr w:type="gramStart"/>
      <w:r w:rsidR="00F42E36" w:rsidRPr="004421A9">
        <w:rPr>
          <w:bCs/>
          <w:lang w:val="en-US"/>
        </w:rPr>
        <w:t>Agriculture“,</w:t>
      </w:r>
      <w:proofErr w:type="gramEnd"/>
      <w:r w:rsidR="00F42E36" w:rsidRPr="004421A9">
        <w:rPr>
          <w:bCs/>
          <w:lang w:val="en-US"/>
        </w:rPr>
        <w:t xml:space="preserve"> das </w:t>
      </w:r>
      <w:proofErr w:type="spellStart"/>
      <w:r w:rsidR="00F42E36" w:rsidRPr="004421A9">
        <w:rPr>
          <w:bCs/>
          <w:lang w:val="en-US"/>
        </w:rPr>
        <w:t>vom</w:t>
      </w:r>
      <w:proofErr w:type="spellEnd"/>
      <w:r w:rsidR="00F42E36" w:rsidRPr="004421A9">
        <w:rPr>
          <w:bCs/>
          <w:lang w:val="en-US"/>
        </w:rPr>
        <w:t xml:space="preserve"> 3. bis 6. </w:t>
      </w:r>
      <w:r w:rsidR="00F42E36" w:rsidRPr="004421A9">
        <w:rPr>
          <w:bCs/>
        </w:rPr>
        <w:t xml:space="preserve">Dezember 2024 in Genf stattfand, bot politischen Entscheidungsträgern ein wichtiges Forum für ein Engagement in diesem Bereich. In den Jahren 2026-2027 wird das UPOV-Büro im Rahmen </w:t>
      </w:r>
      <w:r w:rsidR="00372D55" w:rsidRPr="004421A9">
        <w:rPr>
          <w:bCs/>
        </w:rPr>
        <w:t xml:space="preserve">von </w:t>
      </w:r>
      <w:r w:rsidR="00F42E36" w:rsidRPr="004421A9">
        <w:rPr>
          <w:bCs/>
        </w:rPr>
        <w:t>verfügbaren Mittel</w:t>
      </w:r>
      <w:r w:rsidR="00C23A20" w:rsidRPr="004421A9">
        <w:rPr>
          <w:bCs/>
        </w:rPr>
        <w:t>n</w:t>
      </w:r>
      <w:r w:rsidR="00F42E36" w:rsidRPr="004421A9">
        <w:rPr>
          <w:bCs/>
        </w:rPr>
        <w:t xml:space="preserve"> weiterhin zu den Tätigkeiten zur Öffentlichkeitsarbeit beitragen</w:t>
      </w:r>
      <w:r w:rsidRPr="004421A9">
        <w:rPr>
          <w:bCs/>
        </w:rPr>
        <w:t xml:space="preserve">. </w:t>
      </w:r>
    </w:p>
    <w:p w14:paraId="09411D94" w14:textId="77777777" w:rsidR="00B65EDC" w:rsidRDefault="00B65EDC" w:rsidP="00B65EDC">
      <w:pPr>
        <w:rPr>
          <w:bCs/>
        </w:rPr>
      </w:pPr>
      <w:bookmarkStart w:id="459" w:name="_Hlk190098373"/>
    </w:p>
    <w:p w14:paraId="22185C15" w14:textId="2077A5C9" w:rsidR="00B65EDC" w:rsidRPr="004421A9" w:rsidRDefault="00E65B32" w:rsidP="00B65EDC">
      <w:pPr>
        <w:rPr>
          <w:bCs/>
        </w:rPr>
      </w:pPr>
      <w:r w:rsidRPr="004421A9">
        <w:rPr>
          <w:bCs/>
        </w:rPr>
        <w:fldChar w:fldCharType="begin"/>
      </w:r>
      <w:r w:rsidRPr="004421A9">
        <w:rPr>
          <w:bCs/>
        </w:rPr>
        <w:instrText xml:space="preserve"> AUTONUM  </w:instrText>
      </w:r>
      <w:r w:rsidRPr="004421A9">
        <w:rPr>
          <w:bCs/>
        </w:rPr>
        <w:fldChar w:fldCharType="end"/>
      </w:r>
      <w:r w:rsidR="00B65EDC" w:rsidRPr="004421A9">
        <w:rPr>
          <w:bCs/>
        </w:rPr>
        <w:tab/>
      </w:r>
      <w:r w:rsidR="00E22B9F" w:rsidRPr="004421A9">
        <w:rPr>
          <w:bCs/>
        </w:rPr>
        <w:t xml:space="preserve">Die Anträge auf Sortenschutz in </w:t>
      </w:r>
      <w:r w:rsidR="00D217D1">
        <w:rPr>
          <w:bCs/>
        </w:rPr>
        <w:t xml:space="preserve">den </w:t>
      </w:r>
      <w:r w:rsidR="00E22B9F" w:rsidRPr="004421A9">
        <w:rPr>
          <w:bCs/>
        </w:rPr>
        <w:t>UPOV-Mitglied</w:t>
      </w:r>
      <w:r w:rsidR="003F55CE">
        <w:rPr>
          <w:bCs/>
        </w:rPr>
        <w:t>er</w:t>
      </w:r>
      <w:r w:rsidR="00D217D1">
        <w:rPr>
          <w:bCs/>
        </w:rPr>
        <w:t>n</w:t>
      </w:r>
      <w:r w:rsidR="00E22B9F" w:rsidRPr="004421A9">
        <w:rPr>
          <w:bCs/>
        </w:rPr>
        <w:t xml:space="preserve"> sind in den letzten acht Jahren um 80 Prozent gestiegen. </w:t>
      </w:r>
      <w:r w:rsidR="00635BE4" w:rsidRPr="004421A9">
        <w:rPr>
          <w:rFonts w:eastAsia="Aptos" w:cs="Arial"/>
          <w:kern w:val="2"/>
          <w14:ligatures w14:val="standardContextual"/>
        </w:rPr>
        <w:t>Im Jahr 2024 wurden in den UPOV-Mitglied</w:t>
      </w:r>
      <w:r w:rsidR="003F55CE">
        <w:rPr>
          <w:rFonts w:eastAsia="Aptos" w:cs="Arial"/>
          <w:kern w:val="2"/>
          <w14:ligatures w14:val="standardContextual"/>
        </w:rPr>
        <w:t>er</w:t>
      </w:r>
      <w:r w:rsidR="00635BE4" w:rsidRPr="004421A9">
        <w:rPr>
          <w:rFonts w:eastAsia="Aptos" w:cs="Arial"/>
          <w:kern w:val="2"/>
          <w14:ligatures w14:val="standardContextual"/>
        </w:rPr>
        <w:t xml:space="preserve">n etwa 29.250 </w:t>
      </w:r>
      <w:r w:rsidR="00635BE4" w:rsidRPr="004421A9">
        <w:rPr>
          <w:rFonts w:eastAsia="Aptos"/>
          <w:kern w:val="2"/>
          <w14:ligatures w14:val="standardContextual"/>
        </w:rPr>
        <w:t>Anträge</w:t>
      </w:r>
      <w:r w:rsidR="00635BE4" w:rsidRPr="004421A9">
        <w:rPr>
          <w:rFonts w:eastAsia="Aptos" w:cs="Arial"/>
          <w:kern w:val="2"/>
          <w14:ligatures w14:val="standardContextual"/>
        </w:rPr>
        <w:t xml:space="preserve"> auf Sortenschutz gestellt, was einem Anstieg von 0,6 </w:t>
      </w:r>
      <w:r w:rsidR="00635BE4" w:rsidRPr="004421A9">
        <w:rPr>
          <w:rFonts w:eastAsia="Aptos"/>
          <w:kern w:val="2"/>
          <w14:ligatures w14:val="standardContextual"/>
        </w:rPr>
        <w:t xml:space="preserve">Prozent </w:t>
      </w:r>
      <w:r w:rsidR="00635BE4" w:rsidRPr="004421A9">
        <w:rPr>
          <w:rFonts w:eastAsia="Aptos" w:cs="Arial"/>
          <w:kern w:val="2"/>
          <w14:ligatures w14:val="standardContextual"/>
        </w:rPr>
        <w:t xml:space="preserve">gegenüber 2023 entspricht und </w:t>
      </w:r>
      <w:r w:rsidR="00635BE4" w:rsidRPr="004421A9">
        <w:rPr>
          <w:rFonts w:eastAsia="Aptos"/>
          <w:kern w:val="2"/>
          <w14:ligatures w14:val="standardContextual"/>
        </w:rPr>
        <w:t xml:space="preserve">das </w:t>
      </w:r>
      <w:r w:rsidR="00635BE4" w:rsidRPr="004421A9">
        <w:rPr>
          <w:rFonts w:eastAsia="Aptos" w:cs="Arial"/>
          <w:kern w:val="2"/>
          <w14:ligatures w14:val="standardContextual"/>
        </w:rPr>
        <w:t xml:space="preserve">neunte Wachstumsjahr in Folge darstellt. Dieser moderate Anstieg spiegelt jedoch auch die langsamste </w:t>
      </w:r>
      <w:r w:rsidR="00635BE4" w:rsidRPr="004421A9">
        <w:rPr>
          <w:rFonts w:eastAsia="Aptos"/>
          <w:kern w:val="2"/>
          <w14:ligatures w14:val="standardContextual"/>
        </w:rPr>
        <w:t xml:space="preserve">Wachstumsrate </w:t>
      </w:r>
      <w:r w:rsidR="00635BE4" w:rsidRPr="004421A9">
        <w:rPr>
          <w:rFonts w:eastAsia="Aptos" w:cs="Arial"/>
          <w:kern w:val="2"/>
          <w14:ligatures w14:val="standardContextual"/>
        </w:rPr>
        <w:t xml:space="preserve">seit 2015 wider, was in erster Linie auf einen Rückgang </w:t>
      </w:r>
      <w:r w:rsidR="00635BE4" w:rsidRPr="004421A9">
        <w:rPr>
          <w:rFonts w:eastAsia="Aptos"/>
          <w:kern w:val="2"/>
          <w14:ligatures w14:val="standardContextual"/>
        </w:rPr>
        <w:t xml:space="preserve">der </w:t>
      </w:r>
      <w:r w:rsidR="004C281E">
        <w:rPr>
          <w:bCs/>
        </w:rPr>
        <w:t>Anmeldungen</w:t>
      </w:r>
      <w:r w:rsidR="00635BE4" w:rsidRPr="004421A9">
        <w:rPr>
          <w:rFonts w:eastAsia="Aptos"/>
          <w:kern w:val="2"/>
          <w14:ligatures w14:val="standardContextual"/>
        </w:rPr>
        <w:t xml:space="preserve"> </w:t>
      </w:r>
      <w:r w:rsidR="00635BE4" w:rsidRPr="004421A9">
        <w:rPr>
          <w:rFonts w:eastAsia="Aptos" w:cs="Arial"/>
          <w:kern w:val="2"/>
          <w14:ligatures w14:val="standardContextual"/>
        </w:rPr>
        <w:t xml:space="preserve">in </w:t>
      </w:r>
      <w:r w:rsidR="00635BE4" w:rsidRPr="004421A9">
        <w:rPr>
          <w:rFonts w:eastAsia="Aptos"/>
          <w:kern w:val="2"/>
          <w14:ligatures w14:val="standardContextual"/>
        </w:rPr>
        <w:t xml:space="preserve">China </w:t>
      </w:r>
      <w:r w:rsidR="00635BE4" w:rsidRPr="004421A9">
        <w:rPr>
          <w:rFonts w:eastAsia="Aptos" w:cs="Arial"/>
          <w:kern w:val="2"/>
          <w14:ligatures w14:val="standardContextual"/>
        </w:rPr>
        <w:t>zurückzuführen ist.</w:t>
      </w:r>
      <w:r w:rsidR="00635BE4" w:rsidRPr="004421A9">
        <w:rPr>
          <w:rFonts w:eastAsia="Aptos"/>
          <w:kern w:val="2"/>
          <w14:ligatures w14:val="standardContextual"/>
        </w:rPr>
        <w:t xml:space="preserve"> </w:t>
      </w:r>
      <w:r w:rsidR="00635BE4" w:rsidRPr="004421A9">
        <w:rPr>
          <w:bCs/>
        </w:rPr>
        <w:t xml:space="preserve">Derzeit sind über 200.000 Titel in Kraft. Das vorgeschlagene Ziel für 2026-2027 ist ein jährliches Wachstum von 1 Prozent bei der Gesamtzahl der Anträge und erteilten Titel aufgrund eines moderaten Anstiegs der </w:t>
      </w:r>
      <w:r w:rsidR="003D3648">
        <w:rPr>
          <w:bCs/>
        </w:rPr>
        <w:t>An</w:t>
      </w:r>
      <w:r w:rsidR="004C281E">
        <w:rPr>
          <w:bCs/>
        </w:rPr>
        <w:t>meldungen</w:t>
      </w:r>
      <w:r w:rsidR="00635BE4" w:rsidRPr="004421A9">
        <w:rPr>
          <w:bCs/>
        </w:rPr>
        <w:t xml:space="preserve"> in den meisten UPOV-Mitglied</w:t>
      </w:r>
      <w:r w:rsidR="003F55CE">
        <w:rPr>
          <w:bCs/>
        </w:rPr>
        <w:t>er</w:t>
      </w:r>
      <w:r w:rsidR="00635BE4" w:rsidRPr="004421A9">
        <w:rPr>
          <w:bCs/>
        </w:rPr>
        <w:t>n sowie ein Wachstum von 2 Prozent bei den erteilten Titeln unter Berücksichtigung der hohen Anzahl von An</w:t>
      </w:r>
      <w:r w:rsidR="00E22220" w:rsidRPr="004421A9">
        <w:rPr>
          <w:bCs/>
        </w:rPr>
        <w:t>meldungen</w:t>
      </w:r>
      <w:r w:rsidR="00635BE4" w:rsidRPr="004421A9">
        <w:rPr>
          <w:bCs/>
        </w:rPr>
        <w:t xml:space="preserve"> in den letzten Jahren.</w:t>
      </w:r>
    </w:p>
    <w:bookmarkEnd w:id="459"/>
    <w:p w14:paraId="1B9156A4" w14:textId="77777777" w:rsidR="00B65EDC" w:rsidRPr="004421A9" w:rsidRDefault="00B65EDC" w:rsidP="00B65EDC">
      <w:pPr>
        <w:rPr>
          <w:bCs/>
        </w:rPr>
      </w:pPr>
    </w:p>
    <w:p w14:paraId="31B59038" w14:textId="77777777" w:rsidR="00B65EDC" w:rsidRPr="004421A9" w:rsidRDefault="00B65EDC" w:rsidP="00B65EDC">
      <w:pPr>
        <w:rPr>
          <w:bCs/>
        </w:rPr>
      </w:pPr>
    </w:p>
    <w:p w14:paraId="1D6A887E" w14:textId="670FE9EC" w:rsidR="00B65EDC" w:rsidRPr="004421A9" w:rsidRDefault="00B65EDC" w:rsidP="00B65EDC">
      <w:pPr>
        <w:pStyle w:val="Heading3"/>
        <w:rPr>
          <w:lang w:val="de-DE"/>
        </w:rPr>
      </w:pPr>
      <w:bookmarkStart w:id="460" w:name="_Toc210041701"/>
      <w:r w:rsidRPr="004421A9">
        <w:rPr>
          <w:lang w:val="de-DE"/>
        </w:rPr>
        <w:t xml:space="preserve">Erwartete Ergebnisse und </w:t>
      </w:r>
      <w:r w:rsidR="00E22B9F" w:rsidRPr="004421A9">
        <w:rPr>
          <w:lang w:val="de-DE"/>
        </w:rPr>
        <w:t>Pla</w:t>
      </w:r>
      <w:r w:rsidR="00DF2105" w:rsidRPr="004421A9">
        <w:rPr>
          <w:lang w:val="de-DE"/>
        </w:rPr>
        <w:t>n</w:t>
      </w:r>
      <w:r w:rsidR="00E22B9F" w:rsidRPr="004421A9">
        <w:rPr>
          <w:lang w:val="de-DE"/>
        </w:rPr>
        <w:t>erfüll</w:t>
      </w:r>
      <w:r w:rsidRPr="004421A9">
        <w:rPr>
          <w:lang w:val="de-DE"/>
        </w:rPr>
        <w:t>ungsindikatoren</w:t>
      </w:r>
      <w:bookmarkEnd w:id="460"/>
      <w:r w:rsidRPr="004421A9">
        <w:rPr>
          <w:lang w:val="de-DE"/>
        </w:rPr>
        <w:t xml:space="preserve"> </w:t>
      </w:r>
    </w:p>
    <w:p w14:paraId="1B02FC94" w14:textId="77777777" w:rsidR="00B65EDC" w:rsidRPr="004421A9" w:rsidRDefault="00B65EDC" w:rsidP="00B65EDC">
      <w:pPr>
        <w:rPr>
          <w:bCs/>
        </w:rPr>
      </w:pPr>
    </w:p>
    <w:tbl>
      <w:tblPr>
        <w:tblStyle w:val="TableGrid"/>
        <w:tblW w:w="9634" w:type="dxa"/>
        <w:tblBorders>
          <w:top w:val="none" w:sz="0" w:space="0" w:color="auto"/>
          <w:left w:val="none" w:sz="0" w:space="0" w:color="auto"/>
          <w:bottom w:val="single" w:sz="4" w:space="0" w:color="F2F2F2" w:themeColor="background1" w:themeShade="F2"/>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4421A9" w14:paraId="39CB7F38" w14:textId="77777777" w:rsidTr="00CD4E21">
        <w:tc>
          <w:tcPr>
            <w:tcW w:w="426" w:type="dxa"/>
            <w:tcBorders>
              <w:bottom w:val="single" w:sz="4" w:space="0" w:color="D9D9D9" w:themeColor="background1" w:themeShade="D9"/>
            </w:tcBorders>
            <w:shd w:val="clear" w:color="auto" w:fill="E2E7EB" w:themeFill="accent3" w:themeFillTint="33"/>
          </w:tcPr>
          <w:p w14:paraId="5CA07316" w14:textId="77777777" w:rsidR="00B65EDC" w:rsidRPr="004421A9" w:rsidRDefault="00B65EDC" w:rsidP="00CD4E21">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26BEB1C" w14:textId="77777777" w:rsidR="00B65EDC" w:rsidRPr="004421A9" w:rsidRDefault="00B65EDC" w:rsidP="00CD4E21">
            <w:pPr>
              <w:jc w:val="left"/>
              <w:rPr>
                <w:b/>
                <w:bCs/>
                <w:sz w:val="16"/>
                <w:szCs w:val="16"/>
              </w:rPr>
            </w:pPr>
            <w:r w:rsidRPr="004421A9">
              <w:rPr>
                <w:b/>
                <w:bCs/>
                <w:sz w:val="16"/>
                <w:szCs w:val="16"/>
              </w:rPr>
              <w:t>Erwartete Ergebnisse</w:t>
            </w:r>
          </w:p>
        </w:tc>
        <w:tc>
          <w:tcPr>
            <w:tcW w:w="305" w:type="dxa"/>
            <w:tcBorders>
              <w:bottom w:val="single" w:sz="4" w:space="0" w:color="D9D9D9" w:themeColor="background1" w:themeShade="D9"/>
            </w:tcBorders>
            <w:shd w:val="clear" w:color="auto" w:fill="E2E7EB" w:themeFill="accent3" w:themeFillTint="33"/>
          </w:tcPr>
          <w:p w14:paraId="51275C06" w14:textId="77777777" w:rsidR="00B65EDC" w:rsidRPr="004421A9" w:rsidRDefault="00B65EDC" w:rsidP="00CD4E21">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6E023DA0" w14:textId="5A29CBF9" w:rsidR="00B65EDC" w:rsidRPr="004421A9" w:rsidRDefault="00E22B9F" w:rsidP="00CD4E21">
            <w:pPr>
              <w:rPr>
                <w:b/>
                <w:bCs/>
                <w:sz w:val="16"/>
                <w:szCs w:val="16"/>
              </w:rPr>
            </w:pPr>
            <w:r w:rsidRPr="004421A9">
              <w:rPr>
                <w:b/>
                <w:bCs/>
                <w:sz w:val="16"/>
                <w:szCs w:val="16"/>
              </w:rPr>
              <w:t>Planerfüll</w:t>
            </w:r>
            <w:r w:rsidR="00B65EDC" w:rsidRPr="004421A9">
              <w:rPr>
                <w:b/>
                <w:bCs/>
                <w:sz w:val="16"/>
                <w:szCs w:val="16"/>
              </w:rPr>
              <w:t>ungsindikatoren</w:t>
            </w:r>
          </w:p>
        </w:tc>
        <w:tc>
          <w:tcPr>
            <w:tcW w:w="1632" w:type="dxa"/>
            <w:tcBorders>
              <w:bottom w:val="single" w:sz="4" w:space="0" w:color="D9D9D9" w:themeColor="background1" w:themeShade="D9"/>
            </w:tcBorders>
            <w:shd w:val="clear" w:color="auto" w:fill="E2E7EB" w:themeFill="accent3" w:themeFillTint="33"/>
          </w:tcPr>
          <w:p w14:paraId="67030F18" w14:textId="756930C0" w:rsidR="00B65EDC" w:rsidRPr="004421A9" w:rsidRDefault="00E22B9F" w:rsidP="00CD4E21">
            <w:pPr>
              <w:jc w:val="center"/>
              <w:rPr>
                <w:b/>
                <w:bCs/>
                <w:sz w:val="16"/>
                <w:szCs w:val="16"/>
              </w:rPr>
            </w:pPr>
            <w:r w:rsidRPr="004421A9">
              <w:rPr>
                <w:b/>
                <w:bCs/>
                <w:sz w:val="16"/>
                <w:szCs w:val="16"/>
              </w:rPr>
              <w:t>Referenz</w:t>
            </w:r>
            <w:r w:rsidR="00B65EDC" w:rsidRPr="004421A9">
              <w:rPr>
                <w:b/>
                <w:bCs/>
                <w:sz w:val="16"/>
                <w:szCs w:val="16"/>
              </w:rPr>
              <w:t>werte</w:t>
            </w:r>
          </w:p>
        </w:tc>
        <w:tc>
          <w:tcPr>
            <w:tcW w:w="1559" w:type="dxa"/>
            <w:tcBorders>
              <w:bottom w:val="single" w:sz="4" w:space="0" w:color="D9D9D9" w:themeColor="background1" w:themeShade="D9"/>
            </w:tcBorders>
            <w:shd w:val="clear" w:color="auto" w:fill="E2E7EB" w:themeFill="accent3" w:themeFillTint="33"/>
          </w:tcPr>
          <w:p w14:paraId="7B67022D" w14:textId="77777777" w:rsidR="00B65EDC" w:rsidRPr="004421A9" w:rsidRDefault="00B65EDC" w:rsidP="00CD4E21">
            <w:pPr>
              <w:jc w:val="center"/>
              <w:rPr>
                <w:b/>
                <w:bCs/>
                <w:sz w:val="16"/>
                <w:szCs w:val="16"/>
              </w:rPr>
            </w:pPr>
            <w:r w:rsidRPr="004421A9">
              <w:rPr>
                <w:b/>
                <w:bCs/>
                <w:sz w:val="16"/>
                <w:szCs w:val="16"/>
              </w:rPr>
              <w:t>Ziele (2026/27)</w:t>
            </w:r>
          </w:p>
        </w:tc>
      </w:tr>
      <w:tr w:rsidR="00A26F6C" w:rsidRPr="004421A9" w14:paraId="59140254" w14:textId="77777777" w:rsidTr="00CD4E21">
        <w:tc>
          <w:tcPr>
            <w:tcW w:w="426" w:type="dxa"/>
            <w:tcBorders>
              <w:top w:val="single" w:sz="4" w:space="0" w:color="D9D9D9" w:themeColor="background1" w:themeShade="D9"/>
            </w:tcBorders>
          </w:tcPr>
          <w:p w14:paraId="4EDC5F62" w14:textId="77777777" w:rsidR="00A26F6C" w:rsidRPr="004421A9" w:rsidRDefault="00A26F6C" w:rsidP="00A26F6C">
            <w:pPr>
              <w:jc w:val="left"/>
              <w:rPr>
                <w:rFonts w:cs="Arial"/>
                <w:sz w:val="16"/>
                <w:szCs w:val="16"/>
              </w:rPr>
            </w:pPr>
            <w:r w:rsidRPr="004421A9">
              <w:rPr>
                <w:rFonts w:cs="Arial"/>
                <w:sz w:val="16"/>
                <w:szCs w:val="16"/>
              </w:rPr>
              <w:t>1.1</w:t>
            </w:r>
          </w:p>
        </w:tc>
        <w:tc>
          <w:tcPr>
            <w:tcW w:w="3255" w:type="dxa"/>
            <w:tcBorders>
              <w:top w:val="single" w:sz="4" w:space="0" w:color="D9D9D9" w:themeColor="background1" w:themeShade="D9"/>
            </w:tcBorders>
          </w:tcPr>
          <w:p w14:paraId="77441CD9" w14:textId="29C7A4A2" w:rsidR="00A26F6C" w:rsidRPr="004421A9" w:rsidRDefault="00A26F6C" w:rsidP="00A26F6C">
            <w:pPr>
              <w:jc w:val="left"/>
              <w:rPr>
                <w:rFonts w:cs="Arial"/>
                <w:sz w:val="16"/>
                <w:szCs w:val="16"/>
              </w:rPr>
            </w:pPr>
            <w:r w:rsidRPr="004421A9">
              <w:rPr>
                <w:rFonts w:cs="Arial"/>
                <w:sz w:val="16"/>
                <w:szCs w:val="16"/>
              </w:rPr>
              <w:t>Führung durch den Rat der UPOV und Arbeit der UPOV-Ausschüsse und anderen Organe</w:t>
            </w:r>
          </w:p>
        </w:tc>
        <w:tc>
          <w:tcPr>
            <w:tcW w:w="305" w:type="dxa"/>
            <w:tcBorders>
              <w:top w:val="single" w:sz="4" w:space="0" w:color="D9D9D9" w:themeColor="background1" w:themeShade="D9"/>
            </w:tcBorders>
          </w:tcPr>
          <w:p w14:paraId="0B13A067" w14:textId="77777777" w:rsidR="00A26F6C" w:rsidRPr="004421A9" w:rsidRDefault="00A26F6C" w:rsidP="00A26F6C">
            <w:pPr>
              <w:jc w:val="center"/>
              <w:rPr>
                <w:rFonts w:cs="Arial"/>
                <w:sz w:val="16"/>
                <w:szCs w:val="16"/>
              </w:rPr>
            </w:pPr>
            <w:r w:rsidRPr="004421A9">
              <w:rPr>
                <w:rFonts w:cs="Arial"/>
                <w:sz w:val="16"/>
                <w:szCs w:val="16"/>
              </w:rPr>
              <w:t>1</w:t>
            </w:r>
          </w:p>
        </w:tc>
        <w:tc>
          <w:tcPr>
            <w:tcW w:w="2457" w:type="dxa"/>
            <w:tcBorders>
              <w:top w:val="single" w:sz="4" w:space="0" w:color="D9D9D9" w:themeColor="background1" w:themeShade="D9"/>
            </w:tcBorders>
          </w:tcPr>
          <w:p w14:paraId="0AFD54BB" w14:textId="77777777" w:rsidR="00A26F6C" w:rsidRPr="004421A9" w:rsidRDefault="00A26F6C" w:rsidP="00A26F6C">
            <w:pPr>
              <w:jc w:val="left"/>
              <w:rPr>
                <w:rFonts w:cs="Arial"/>
                <w:sz w:val="16"/>
                <w:szCs w:val="16"/>
              </w:rPr>
            </w:pPr>
          </w:p>
        </w:tc>
        <w:tc>
          <w:tcPr>
            <w:tcW w:w="1632" w:type="dxa"/>
            <w:tcBorders>
              <w:top w:val="single" w:sz="4" w:space="0" w:color="D9D9D9" w:themeColor="background1" w:themeShade="D9"/>
            </w:tcBorders>
            <w:vAlign w:val="bottom"/>
          </w:tcPr>
          <w:p w14:paraId="33A83E16" w14:textId="77777777" w:rsidR="00A26F6C" w:rsidRPr="004421A9" w:rsidRDefault="00A26F6C" w:rsidP="00A26F6C">
            <w:pPr>
              <w:jc w:val="left"/>
              <w:rPr>
                <w:rFonts w:cs="Arial"/>
                <w:sz w:val="16"/>
                <w:szCs w:val="16"/>
              </w:rPr>
            </w:pPr>
          </w:p>
        </w:tc>
        <w:tc>
          <w:tcPr>
            <w:tcW w:w="1559" w:type="dxa"/>
            <w:tcBorders>
              <w:top w:val="single" w:sz="4" w:space="0" w:color="D9D9D9" w:themeColor="background1" w:themeShade="D9"/>
            </w:tcBorders>
            <w:vAlign w:val="bottom"/>
          </w:tcPr>
          <w:p w14:paraId="586295A7" w14:textId="77777777" w:rsidR="00A26F6C" w:rsidRPr="004421A9" w:rsidRDefault="00A26F6C" w:rsidP="00A26F6C">
            <w:pPr>
              <w:jc w:val="center"/>
              <w:rPr>
                <w:rFonts w:cs="Arial"/>
                <w:sz w:val="16"/>
                <w:szCs w:val="16"/>
              </w:rPr>
            </w:pPr>
          </w:p>
        </w:tc>
      </w:tr>
      <w:tr w:rsidR="00A26F6C" w:rsidRPr="004421A9" w14:paraId="2504296E" w14:textId="77777777" w:rsidTr="00CD4E21">
        <w:tc>
          <w:tcPr>
            <w:tcW w:w="426" w:type="dxa"/>
            <w:tcBorders>
              <w:top w:val="single" w:sz="4" w:space="0" w:color="D9D9D9" w:themeColor="background1" w:themeShade="D9"/>
            </w:tcBorders>
          </w:tcPr>
          <w:p w14:paraId="6FAA4879" w14:textId="77777777" w:rsidR="00A26F6C" w:rsidRPr="004421A9" w:rsidRDefault="00A26F6C" w:rsidP="00A26F6C">
            <w:pPr>
              <w:jc w:val="left"/>
              <w:rPr>
                <w:rFonts w:cs="Arial"/>
                <w:sz w:val="16"/>
                <w:szCs w:val="16"/>
              </w:rPr>
            </w:pPr>
          </w:p>
        </w:tc>
        <w:tc>
          <w:tcPr>
            <w:tcW w:w="3255" w:type="dxa"/>
            <w:tcBorders>
              <w:top w:val="single" w:sz="4" w:space="0" w:color="D9D9D9" w:themeColor="background1" w:themeShade="D9"/>
            </w:tcBorders>
          </w:tcPr>
          <w:p w14:paraId="72AB42BD" w14:textId="77777777" w:rsidR="00A26F6C" w:rsidRPr="004421A9" w:rsidRDefault="00A26F6C" w:rsidP="00A26F6C">
            <w:pPr>
              <w:jc w:val="left"/>
              <w:rPr>
                <w:rFonts w:cs="Arial"/>
                <w:sz w:val="16"/>
                <w:szCs w:val="16"/>
              </w:rPr>
            </w:pPr>
          </w:p>
        </w:tc>
        <w:tc>
          <w:tcPr>
            <w:tcW w:w="305" w:type="dxa"/>
            <w:tcBorders>
              <w:top w:val="single" w:sz="4" w:space="0" w:color="D9D9D9" w:themeColor="background1" w:themeShade="D9"/>
            </w:tcBorders>
          </w:tcPr>
          <w:p w14:paraId="2F2C455F" w14:textId="77777777" w:rsidR="00A26F6C" w:rsidRPr="004421A9" w:rsidRDefault="00A26F6C" w:rsidP="00A26F6C">
            <w:pPr>
              <w:jc w:val="center"/>
              <w:rPr>
                <w:rFonts w:cs="Arial"/>
                <w:sz w:val="16"/>
                <w:szCs w:val="16"/>
              </w:rPr>
            </w:pPr>
          </w:p>
        </w:tc>
        <w:tc>
          <w:tcPr>
            <w:tcW w:w="2457" w:type="dxa"/>
            <w:tcBorders>
              <w:top w:val="single" w:sz="4" w:space="0" w:color="D9D9D9" w:themeColor="background1" w:themeShade="D9"/>
            </w:tcBorders>
          </w:tcPr>
          <w:p w14:paraId="506E18F7" w14:textId="77777777" w:rsidR="00A26F6C" w:rsidRPr="004421A9" w:rsidRDefault="00A26F6C" w:rsidP="00A26F6C">
            <w:pPr>
              <w:jc w:val="left"/>
              <w:rPr>
                <w:rFonts w:cs="Arial"/>
                <w:sz w:val="16"/>
                <w:szCs w:val="16"/>
              </w:rPr>
            </w:pPr>
          </w:p>
        </w:tc>
        <w:tc>
          <w:tcPr>
            <w:tcW w:w="1632" w:type="dxa"/>
            <w:tcBorders>
              <w:top w:val="single" w:sz="4" w:space="0" w:color="D9D9D9" w:themeColor="background1" w:themeShade="D9"/>
            </w:tcBorders>
            <w:vAlign w:val="bottom"/>
          </w:tcPr>
          <w:p w14:paraId="2AC09233" w14:textId="77777777" w:rsidR="00A26F6C" w:rsidRPr="004421A9" w:rsidRDefault="00A26F6C" w:rsidP="00A26F6C">
            <w:pPr>
              <w:jc w:val="left"/>
              <w:rPr>
                <w:rFonts w:cs="Arial"/>
                <w:sz w:val="16"/>
                <w:szCs w:val="16"/>
              </w:rPr>
            </w:pPr>
          </w:p>
        </w:tc>
        <w:tc>
          <w:tcPr>
            <w:tcW w:w="1559" w:type="dxa"/>
            <w:tcBorders>
              <w:top w:val="single" w:sz="4" w:space="0" w:color="D9D9D9" w:themeColor="background1" w:themeShade="D9"/>
            </w:tcBorders>
            <w:vAlign w:val="bottom"/>
          </w:tcPr>
          <w:p w14:paraId="38B57988" w14:textId="77777777" w:rsidR="00A26F6C" w:rsidRPr="004421A9" w:rsidRDefault="00A26F6C" w:rsidP="00A26F6C">
            <w:pPr>
              <w:jc w:val="center"/>
              <w:rPr>
                <w:rFonts w:cs="Arial"/>
                <w:sz w:val="16"/>
                <w:szCs w:val="16"/>
              </w:rPr>
            </w:pPr>
          </w:p>
        </w:tc>
      </w:tr>
      <w:tr w:rsidR="009553B0" w:rsidRPr="004421A9" w14:paraId="36191B93" w14:textId="77777777" w:rsidTr="00CD4E21">
        <w:tc>
          <w:tcPr>
            <w:tcW w:w="426" w:type="dxa"/>
          </w:tcPr>
          <w:p w14:paraId="2BB61E54" w14:textId="77777777" w:rsidR="009553B0" w:rsidRPr="004421A9" w:rsidRDefault="009553B0" w:rsidP="009553B0">
            <w:pPr>
              <w:jc w:val="left"/>
              <w:rPr>
                <w:rFonts w:cs="Arial"/>
                <w:sz w:val="16"/>
                <w:szCs w:val="16"/>
              </w:rPr>
            </w:pPr>
          </w:p>
        </w:tc>
        <w:tc>
          <w:tcPr>
            <w:tcW w:w="3255" w:type="dxa"/>
          </w:tcPr>
          <w:p w14:paraId="04B64D4B" w14:textId="08713964" w:rsidR="009553B0" w:rsidRPr="004421A9" w:rsidRDefault="009553B0" w:rsidP="009553B0">
            <w:pPr>
              <w:jc w:val="left"/>
              <w:rPr>
                <w:rFonts w:cs="Arial"/>
                <w:sz w:val="16"/>
                <w:szCs w:val="16"/>
              </w:rPr>
            </w:pPr>
            <w:r w:rsidRPr="004421A9">
              <w:rPr>
                <w:rFonts w:cs="Arial"/>
                <w:sz w:val="16"/>
                <w:szCs w:val="16"/>
              </w:rPr>
              <w:t>Zunahme der Anzahl von unter dem UPOV-System entwickelten Sorten</w:t>
            </w:r>
          </w:p>
        </w:tc>
        <w:tc>
          <w:tcPr>
            <w:tcW w:w="305" w:type="dxa"/>
          </w:tcPr>
          <w:p w14:paraId="60BFE261" w14:textId="77777777" w:rsidR="009553B0" w:rsidRPr="004421A9" w:rsidRDefault="009553B0" w:rsidP="009553B0">
            <w:pPr>
              <w:jc w:val="center"/>
              <w:rPr>
                <w:rFonts w:cs="Arial"/>
                <w:sz w:val="16"/>
                <w:szCs w:val="16"/>
              </w:rPr>
            </w:pPr>
          </w:p>
        </w:tc>
        <w:tc>
          <w:tcPr>
            <w:tcW w:w="2457" w:type="dxa"/>
          </w:tcPr>
          <w:p w14:paraId="3C5C7C8E" w14:textId="6298DD1A" w:rsidR="009553B0" w:rsidRPr="004421A9" w:rsidRDefault="009553B0" w:rsidP="009553B0">
            <w:pPr>
              <w:ind w:left="284"/>
              <w:jc w:val="left"/>
              <w:rPr>
                <w:rFonts w:cs="Arial"/>
                <w:sz w:val="16"/>
                <w:szCs w:val="16"/>
              </w:rPr>
            </w:pPr>
            <w:r w:rsidRPr="004421A9">
              <w:rPr>
                <w:rFonts w:cs="Arial"/>
                <w:sz w:val="16"/>
                <w:szCs w:val="16"/>
              </w:rPr>
              <w:t>Anzahl von Anträgen in UPOV-Mitgliedern</w:t>
            </w:r>
          </w:p>
        </w:tc>
        <w:tc>
          <w:tcPr>
            <w:tcW w:w="1632" w:type="dxa"/>
            <w:vAlign w:val="center"/>
          </w:tcPr>
          <w:p w14:paraId="43231AD8" w14:textId="283C02A7" w:rsidR="009553B0" w:rsidRPr="004421A9" w:rsidRDefault="009553B0" w:rsidP="009553B0">
            <w:pPr>
              <w:ind w:right="221"/>
              <w:jc w:val="right"/>
              <w:rPr>
                <w:rFonts w:cs="Arial"/>
                <w:sz w:val="16"/>
                <w:szCs w:val="16"/>
              </w:rPr>
            </w:pPr>
            <w:r w:rsidRPr="004421A9">
              <w:rPr>
                <w:rFonts w:cs="Arial"/>
                <w:sz w:val="16"/>
                <w:szCs w:val="16"/>
              </w:rPr>
              <w:t>29</w:t>
            </w:r>
            <w:r w:rsidR="00391368">
              <w:rPr>
                <w:rFonts w:cs="Arial"/>
                <w:sz w:val="16"/>
                <w:szCs w:val="16"/>
              </w:rPr>
              <w:t>.</w:t>
            </w:r>
            <w:r w:rsidRPr="004421A9">
              <w:rPr>
                <w:rFonts w:cs="Arial"/>
                <w:sz w:val="16"/>
                <w:szCs w:val="16"/>
              </w:rPr>
              <w:t>250 (2024)</w:t>
            </w:r>
          </w:p>
        </w:tc>
        <w:tc>
          <w:tcPr>
            <w:tcW w:w="1559" w:type="dxa"/>
            <w:vAlign w:val="center"/>
          </w:tcPr>
          <w:p w14:paraId="06BDCE71" w14:textId="78784D61" w:rsidR="009553B0" w:rsidRPr="004421A9" w:rsidRDefault="009553B0" w:rsidP="009553B0">
            <w:pPr>
              <w:ind w:right="230"/>
              <w:jc w:val="right"/>
              <w:rPr>
                <w:rFonts w:cs="Arial"/>
                <w:sz w:val="16"/>
                <w:szCs w:val="16"/>
              </w:rPr>
            </w:pPr>
            <w:r w:rsidRPr="004421A9">
              <w:rPr>
                <w:rFonts w:cs="Arial"/>
                <w:sz w:val="16"/>
                <w:szCs w:val="16"/>
              </w:rPr>
              <w:t>29</w:t>
            </w:r>
            <w:r w:rsidR="00391368">
              <w:rPr>
                <w:rFonts w:cs="Arial"/>
                <w:sz w:val="16"/>
                <w:szCs w:val="16"/>
              </w:rPr>
              <w:t>.</w:t>
            </w:r>
            <w:r w:rsidRPr="004421A9">
              <w:rPr>
                <w:rFonts w:cs="Arial"/>
                <w:sz w:val="16"/>
                <w:szCs w:val="16"/>
              </w:rPr>
              <w:t>800 (2026)</w:t>
            </w:r>
          </w:p>
          <w:p w14:paraId="34C9A058" w14:textId="64DEB981" w:rsidR="009553B0" w:rsidRPr="004421A9" w:rsidRDefault="009553B0" w:rsidP="009553B0">
            <w:pPr>
              <w:ind w:right="230"/>
              <w:jc w:val="right"/>
              <w:rPr>
                <w:rFonts w:cs="Arial"/>
                <w:sz w:val="16"/>
                <w:szCs w:val="16"/>
              </w:rPr>
            </w:pPr>
            <w:r w:rsidRPr="004421A9">
              <w:rPr>
                <w:rFonts w:cs="Arial"/>
                <w:sz w:val="16"/>
                <w:szCs w:val="16"/>
              </w:rPr>
              <w:t>30</w:t>
            </w:r>
            <w:r w:rsidR="00391368">
              <w:rPr>
                <w:rFonts w:cs="Arial"/>
                <w:sz w:val="16"/>
                <w:szCs w:val="16"/>
              </w:rPr>
              <w:t>.</w:t>
            </w:r>
            <w:r w:rsidRPr="004421A9">
              <w:rPr>
                <w:rFonts w:cs="Arial"/>
                <w:sz w:val="16"/>
                <w:szCs w:val="16"/>
              </w:rPr>
              <w:t>100 (2027)</w:t>
            </w:r>
          </w:p>
        </w:tc>
      </w:tr>
      <w:tr w:rsidR="009553B0" w:rsidRPr="004421A9" w14:paraId="6D65FC5D" w14:textId="77777777" w:rsidTr="00CD4E21">
        <w:tc>
          <w:tcPr>
            <w:tcW w:w="426" w:type="dxa"/>
          </w:tcPr>
          <w:p w14:paraId="7C439471" w14:textId="77777777" w:rsidR="009553B0" w:rsidRPr="004421A9" w:rsidRDefault="009553B0" w:rsidP="009553B0">
            <w:pPr>
              <w:jc w:val="left"/>
              <w:rPr>
                <w:rFonts w:cs="Arial"/>
                <w:sz w:val="16"/>
                <w:szCs w:val="16"/>
              </w:rPr>
            </w:pPr>
          </w:p>
        </w:tc>
        <w:tc>
          <w:tcPr>
            <w:tcW w:w="3255" w:type="dxa"/>
          </w:tcPr>
          <w:p w14:paraId="47A29C2D" w14:textId="77777777" w:rsidR="009553B0" w:rsidRPr="004421A9" w:rsidRDefault="009553B0" w:rsidP="009553B0">
            <w:pPr>
              <w:jc w:val="left"/>
              <w:rPr>
                <w:rFonts w:cs="Arial"/>
                <w:sz w:val="16"/>
                <w:szCs w:val="16"/>
              </w:rPr>
            </w:pPr>
          </w:p>
        </w:tc>
        <w:tc>
          <w:tcPr>
            <w:tcW w:w="305" w:type="dxa"/>
            <w:tcBorders>
              <w:bottom w:val="nil"/>
            </w:tcBorders>
          </w:tcPr>
          <w:p w14:paraId="444E3E31" w14:textId="77777777" w:rsidR="009553B0" w:rsidRPr="004421A9" w:rsidRDefault="009553B0" w:rsidP="009553B0">
            <w:pPr>
              <w:jc w:val="center"/>
              <w:rPr>
                <w:rFonts w:cs="Arial"/>
                <w:sz w:val="16"/>
                <w:szCs w:val="16"/>
              </w:rPr>
            </w:pPr>
          </w:p>
        </w:tc>
        <w:tc>
          <w:tcPr>
            <w:tcW w:w="2457" w:type="dxa"/>
            <w:tcBorders>
              <w:bottom w:val="nil"/>
            </w:tcBorders>
          </w:tcPr>
          <w:p w14:paraId="08B4C176" w14:textId="161FD9E6" w:rsidR="009553B0" w:rsidRPr="004421A9" w:rsidRDefault="009553B0" w:rsidP="009553B0">
            <w:pPr>
              <w:ind w:left="284"/>
              <w:jc w:val="left"/>
              <w:rPr>
                <w:rFonts w:cs="Arial"/>
                <w:sz w:val="16"/>
                <w:szCs w:val="16"/>
              </w:rPr>
            </w:pPr>
            <w:r w:rsidRPr="004421A9">
              <w:rPr>
                <w:rFonts w:cs="Arial"/>
                <w:sz w:val="16"/>
                <w:szCs w:val="16"/>
              </w:rPr>
              <w:t>Anzahl von in UPOV-Mitgliedern erteilten Titeln</w:t>
            </w:r>
          </w:p>
        </w:tc>
        <w:tc>
          <w:tcPr>
            <w:tcW w:w="1632" w:type="dxa"/>
            <w:vAlign w:val="center"/>
          </w:tcPr>
          <w:p w14:paraId="196E6F50" w14:textId="65AD9BB9" w:rsidR="009553B0" w:rsidRPr="004421A9" w:rsidRDefault="009553B0" w:rsidP="009553B0">
            <w:pPr>
              <w:ind w:right="221"/>
              <w:jc w:val="right"/>
              <w:rPr>
                <w:rFonts w:cs="Arial"/>
                <w:sz w:val="16"/>
                <w:szCs w:val="16"/>
              </w:rPr>
            </w:pPr>
            <w:r w:rsidRPr="004421A9">
              <w:rPr>
                <w:rFonts w:cs="Arial"/>
                <w:sz w:val="16"/>
                <w:szCs w:val="16"/>
              </w:rPr>
              <w:t>17</w:t>
            </w:r>
            <w:r w:rsidR="00391368">
              <w:rPr>
                <w:rFonts w:cs="Arial"/>
                <w:sz w:val="16"/>
                <w:szCs w:val="16"/>
              </w:rPr>
              <w:t>.</w:t>
            </w:r>
            <w:r w:rsidRPr="004421A9">
              <w:rPr>
                <w:rFonts w:cs="Arial"/>
                <w:sz w:val="16"/>
                <w:szCs w:val="16"/>
              </w:rPr>
              <w:t>270 (2024)</w:t>
            </w:r>
          </w:p>
        </w:tc>
        <w:tc>
          <w:tcPr>
            <w:tcW w:w="1559" w:type="dxa"/>
            <w:vAlign w:val="center"/>
          </w:tcPr>
          <w:p w14:paraId="7B5A5BC2" w14:textId="2886280E" w:rsidR="009553B0" w:rsidRPr="004421A9" w:rsidRDefault="009553B0" w:rsidP="009553B0">
            <w:pPr>
              <w:ind w:right="230"/>
              <w:jc w:val="right"/>
              <w:rPr>
                <w:rFonts w:cs="Arial"/>
                <w:sz w:val="16"/>
                <w:szCs w:val="16"/>
              </w:rPr>
            </w:pPr>
            <w:r w:rsidRPr="004421A9">
              <w:rPr>
                <w:rFonts w:cs="Arial"/>
                <w:sz w:val="16"/>
                <w:szCs w:val="16"/>
              </w:rPr>
              <w:t>18</w:t>
            </w:r>
            <w:r w:rsidR="00391368">
              <w:rPr>
                <w:rFonts w:cs="Arial"/>
                <w:sz w:val="16"/>
                <w:szCs w:val="16"/>
              </w:rPr>
              <w:t>.</w:t>
            </w:r>
            <w:r w:rsidRPr="004421A9">
              <w:rPr>
                <w:rFonts w:cs="Arial"/>
                <w:sz w:val="16"/>
                <w:szCs w:val="16"/>
              </w:rPr>
              <w:t>000 (2026)</w:t>
            </w:r>
          </w:p>
          <w:p w14:paraId="3CB10051" w14:textId="576E410F" w:rsidR="009553B0" w:rsidRPr="004421A9" w:rsidRDefault="009553B0" w:rsidP="009553B0">
            <w:pPr>
              <w:ind w:right="230"/>
              <w:jc w:val="right"/>
              <w:rPr>
                <w:rFonts w:cs="Arial"/>
                <w:sz w:val="16"/>
                <w:szCs w:val="16"/>
              </w:rPr>
            </w:pPr>
            <w:r w:rsidRPr="004421A9">
              <w:rPr>
                <w:rFonts w:cs="Arial"/>
                <w:sz w:val="16"/>
                <w:szCs w:val="16"/>
              </w:rPr>
              <w:t>18</w:t>
            </w:r>
            <w:r w:rsidR="00391368">
              <w:rPr>
                <w:rFonts w:cs="Arial"/>
                <w:sz w:val="16"/>
                <w:szCs w:val="16"/>
              </w:rPr>
              <w:t>.</w:t>
            </w:r>
            <w:r w:rsidRPr="004421A9">
              <w:rPr>
                <w:rFonts w:cs="Arial"/>
                <w:sz w:val="16"/>
                <w:szCs w:val="16"/>
              </w:rPr>
              <w:t>300 (2027)</w:t>
            </w:r>
          </w:p>
        </w:tc>
      </w:tr>
      <w:tr w:rsidR="009553B0" w:rsidRPr="004421A9" w14:paraId="41B405DF" w14:textId="77777777" w:rsidTr="00CD4E21">
        <w:tc>
          <w:tcPr>
            <w:tcW w:w="426" w:type="dxa"/>
            <w:tcBorders>
              <w:bottom w:val="single" w:sz="4" w:space="0" w:color="D9D9D9" w:themeColor="background1" w:themeShade="D9"/>
            </w:tcBorders>
          </w:tcPr>
          <w:p w14:paraId="7C8F6CEC" w14:textId="77777777" w:rsidR="009553B0" w:rsidRPr="004421A9" w:rsidRDefault="009553B0" w:rsidP="009553B0">
            <w:pPr>
              <w:jc w:val="left"/>
              <w:rPr>
                <w:rFonts w:cs="Arial"/>
                <w:sz w:val="16"/>
                <w:szCs w:val="16"/>
              </w:rPr>
            </w:pPr>
          </w:p>
        </w:tc>
        <w:tc>
          <w:tcPr>
            <w:tcW w:w="3255" w:type="dxa"/>
            <w:tcBorders>
              <w:bottom w:val="single" w:sz="4" w:space="0" w:color="D9D9D9" w:themeColor="background1" w:themeShade="D9"/>
            </w:tcBorders>
          </w:tcPr>
          <w:p w14:paraId="2552A4BA" w14:textId="77777777" w:rsidR="009553B0" w:rsidRPr="004421A9" w:rsidRDefault="009553B0" w:rsidP="009553B0">
            <w:pPr>
              <w:jc w:val="left"/>
              <w:rPr>
                <w:rFonts w:cs="Arial"/>
                <w:sz w:val="16"/>
                <w:szCs w:val="16"/>
              </w:rPr>
            </w:pPr>
          </w:p>
        </w:tc>
        <w:tc>
          <w:tcPr>
            <w:tcW w:w="305" w:type="dxa"/>
            <w:tcBorders>
              <w:bottom w:val="single" w:sz="4" w:space="0" w:color="D9D9D9" w:themeColor="background1" w:themeShade="D9"/>
              <w:right w:val="nil"/>
            </w:tcBorders>
          </w:tcPr>
          <w:p w14:paraId="6E864B4F" w14:textId="77777777" w:rsidR="009553B0" w:rsidRPr="004421A9" w:rsidRDefault="009553B0" w:rsidP="009553B0">
            <w:pPr>
              <w:jc w:val="center"/>
              <w:rPr>
                <w:rFonts w:cs="Arial"/>
                <w:sz w:val="16"/>
                <w:szCs w:val="16"/>
              </w:rPr>
            </w:pPr>
          </w:p>
        </w:tc>
        <w:tc>
          <w:tcPr>
            <w:tcW w:w="2457" w:type="dxa"/>
            <w:tcBorders>
              <w:left w:val="nil"/>
              <w:bottom w:val="single" w:sz="4" w:space="0" w:color="D9D9D9" w:themeColor="background1" w:themeShade="D9"/>
            </w:tcBorders>
          </w:tcPr>
          <w:p w14:paraId="31040A70" w14:textId="4763E693" w:rsidR="009553B0" w:rsidRPr="004421A9" w:rsidRDefault="009553B0" w:rsidP="009553B0">
            <w:pPr>
              <w:ind w:left="284"/>
              <w:jc w:val="left"/>
              <w:rPr>
                <w:rFonts w:cs="Arial"/>
                <w:sz w:val="16"/>
                <w:szCs w:val="16"/>
              </w:rPr>
            </w:pPr>
            <w:r w:rsidRPr="004421A9">
              <w:rPr>
                <w:rFonts w:cs="Arial"/>
                <w:sz w:val="16"/>
                <w:szCs w:val="16"/>
              </w:rPr>
              <w:t>Anzahl von sich in UPOV-Mitgliedern in Kraft befindlichen Titel</w:t>
            </w:r>
          </w:p>
        </w:tc>
        <w:tc>
          <w:tcPr>
            <w:tcW w:w="1632" w:type="dxa"/>
            <w:tcBorders>
              <w:bottom w:val="single" w:sz="4" w:space="0" w:color="D9D9D9" w:themeColor="background1" w:themeShade="D9"/>
            </w:tcBorders>
            <w:vAlign w:val="center"/>
          </w:tcPr>
          <w:p w14:paraId="03114488" w14:textId="3B280067" w:rsidR="009553B0" w:rsidRPr="004421A9" w:rsidRDefault="009553B0" w:rsidP="009553B0">
            <w:pPr>
              <w:ind w:right="221"/>
              <w:jc w:val="right"/>
              <w:rPr>
                <w:rFonts w:cs="Arial"/>
                <w:sz w:val="16"/>
                <w:szCs w:val="16"/>
              </w:rPr>
            </w:pPr>
            <w:r w:rsidRPr="004421A9">
              <w:rPr>
                <w:rFonts w:cs="Arial"/>
                <w:sz w:val="16"/>
                <w:szCs w:val="16"/>
              </w:rPr>
              <w:t>203</w:t>
            </w:r>
            <w:r w:rsidR="00391368">
              <w:rPr>
                <w:rFonts w:cs="Arial"/>
                <w:sz w:val="16"/>
                <w:szCs w:val="16"/>
              </w:rPr>
              <w:t>.</w:t>
            </w:r>
            <w:r w:rsidRPr="004421A9">
              <w:rPr>
                <w:rFonts w:cs="Arial"/>
                <w:sz w:val="16"/>
                <w:szCs w:val="16"/>
              </w:rPr>
              <w:t>760 (2024)</w:t>
            </w:r>
          </w:p>
        </w:tc>
        <w:tc>
          <w:tcPr>
            <w:tcW w:w="1559" w:type="dxa"/>
            <w:tcBorders>
              <w:bottom w:val="single" w:sz="4" w:space="0" w:color="D9D9D9" w:themeColor="background1" w:themeShade="D9"/>
            </w:tcBorders>
            <w:vAlign w:val="center"/>
          </w:tcPr>
          <w:p w14:paraId="33BF2143" w14:textId="235306DD" w:rsidR="009553B0" w:rsidRPr="004421A9" w:rsidRDefault="009553B0" w:rsidP="009553B0">
            <w:pPr>
              <w:ind w:right="230"/>
              <w:jc w:val="right"/>
              <w:rPr>
                <w:rFonts w:cs="Arial"/>
                <w:sz w:val="16"/>
                <w:szCs w:val="16"/>
              </w:rPr>
            </w:pPr>
            <w:r w:rsidRPr="004421A9">
              <w:rPr>
                <w:rFonts w:cs="Arial"/>
                <w:sz w:val="16"/>
                <w:szCs w:val="16"/>
              </w:rPr>
              <w:t>224</w:t>
            </w:r>
            <w:r w:rsidR="00391368">
              <w:rPr>
                <w:rFonts w:cs="Arial"/>
                <w:sz w:val="16"/>
                <w:szCs w:val="16"/>
              </w:rPr>
              <w:t>.</w:t>
            </w:r>
            <w:r w:rsidRPr="004421A9">
              <w:rPr>
                <w:rFonts w:cs="Arial"/>
                <w:sz w:val="16"/>
                <w:szCs w:val="16"/>
              </w:rPr>
              <w:t>000 (2026)</w:t>
            </w:r>
          </w:p>
          <w:p w14:paraId="487EC0B7" w14:textId="4CA028E9" w:rsidR="009553B0" w:rsidRPr="004421A9" w:rsidRDefault="009553B0" w:rsidP="009553B0">
            <w:pPr>
              <w:ind w:right="230"/>
              <w:jc w:val="right"/>
              <w:rPr>
                <w:rFonts w:cs="Arial"/>
                <w:sz w:val="16"/>
                <w:szCs w:val="16"/>
              </w:rPr>
            </w:pPr>
            <w:r w:rsidRPr="004421A9">
              <w:rPr>
                <w:rFonts w:cs="Arial"/>
                <w:sz w:val="16"/>
                <w:szCs w:val="16"/>
              </w:rPr>
              <w:t>235</w:t>
            </w:r>
            <w:r w:rsidR="00391368">
              <w:rPr>
                <w:rFonts w:cs="Arial"/>
                <w:sz w:val="16"/>
                <w:szCs w:val="16"/>
              </w:rPr>
              <w:t>.</w:t>
            </w:r>
            <w:r w:rsidRPr="004421A9">
              <w:rPr>
                <w:rFonts w:cs="Arial"/>
                <w:sz w:val="16"/>
                <w:szCs w:val="16"/>
              </w:rPr>
              <w:t>000 (2027)</w:t>
            </w:r>
          </w:p>
        </w:tc>
      </w:tr>
      <w:tr w:rsidR="00DF2105" w:rsidRPr="004421A9" w14:paraId="6E2C6202" w14:textId="77777777" w:rsidTr="00CD4E21">
        <w:tc>
          <w:tcPr>
            <w:tcW w:w="426" w:type="dxa"/>
            <w:tcBorders>
              <w:top w:val="single" w:sz="4" w:space="0" w:color="D9D9D9" w:themeColor="background1" w:themeShade="D9"/>
            </w:tcBorders>
          </w:tcPr>
          <w:p w14:paraId="3252213E" w14:textId="77777777" w:rsidR="00DF2105" w:rsidRPr="004421A9" w:rsidRDefault="00DF2105" w:rsidP="00DF2105">
            <w:pPr>
              <w:jc w:val="left"/>
              <w:rPr>
                <w:rFonts w:cs="Arial"/>
                <w:sz w:val="16"/>
                <w:szCs w:val="16"/>
              </w:rPr>
            </w:pPr>
          </w:p>
        </w:tc>
        <w:tc>
          <w:tcPr>
            <w:tcW w:w="3255" w:type="dxa"/>
            <w:tcBorders>
              <w:top w:val="single" w:sz="4" w:space="0" w:color="D9D9D9" w:themeColor="background1" w:themeShade="D9"/>
            </w:tcBorders>
          </w:tcPr>
          <w:p w14:paraId="13D20A36" w14:textId="77777777" w:rsidR="00DF2105" w:rsidRPr="004421A9" w:rsidRDefault="00DF2105" w:rsidP="00DF2105">
            <w:pPr>
              <w:jc w:val="left"/>
              <w:rPr>
                <w:rFonts w:cs="Arial"/>
                <w:sz w:val="16"/>
                <w:szCs w:val="16"/>
              </w:rPr>
            </w:pPr>
          </w:p>
        </w:tc>
        <w:tc>
          <w:tcPr>
            <w:tcW w:w="305" w:type="dxa"/>
            <w:tcBorders>
              <w:top w:val="single" w:sz="4" w:space="0" w:color="D9D9D9" w:themeColor="background1" w:themeShade="D9"/>
            </w:tcBorders>
          </w:tcPr>
          <w:p w14:paraId="7BDE866A" w14:textId="77777777" w:rsidR="00DF2105" w:rsidRPr="004421A9" w:rsidRDefault="00DF2105" w:rsidP="00DF2105">
            <w:pPr>
              <w:jc w:val="center"/>
              <w:rPr>
                <w:rFonts w:cs="Arial"/>
                <w:sz w:val="16"/>
                <w:szCs w:val="16"/>
              </w:rPr>
            </w:pPr>
          </w:p>
        </w:tc>
        <w:tc>
          <w:tcPr>
            <w:tcW w:w="2457" w:type="dxa"/>
            <w:tcBorders>
              <w:top w:val="single" w:sz="4" w:space="0" w:color="D9D9D9" w:themeColor="background1" w:themeShade="D9"/>
            </w:tcBorders>
          </w:tcPr>
          <w:p w14:paraId="22D797AE" w14:textId="77777777" w:rsidR="00DF2105" w:rsidRPr="004421A9" w:rsidDel="001D1E86" w:rsidRDefault="00DF2105" w:rsidP="00DF2105">
            <w:pPr>
              <w:jc w:val="left"/>
              <w:rPr>
                <w:rFonts w:cs="Arial"/>
                <w:sz w:val="16"/>
                <w:szCs w:val="16"/>
              </w:rPr>
            </w:pPr>
          </w:p>
        </w:tc>
        <w:tc>
          <w:tcPr>
            <w:tcW w:w="1632" w:type="dxa"/>
            <w:tcBorders>
              <w:top w:val="single" w:sz="4" w:space="0" w:color="D9D9D9" w:themeColor="background1" w:themeShade="D9"/>
            </w:tcBorders>
            <w:vAlign w:val="bottom"/>
          </w:tcPr>
          <w:p w14:paraId="43E2BBC3" w14:textId="77777777" w:rsidR="00DF2105" w:rsidRPr="004421A9" w:rsidRDefault="00DF2105" w:rsidP="00DF2105">
            <w:pPr>
              <w:jc w:val="left"/>
              <w:rPr>
                <w:rFonts w:cs="Arial"/>
                <w:sz w:val="16"/>
                <w:szCs w:val="16"/>
              </w:rPr>
            </w:pPr>
          </w:p>
        </w:tc>
        <w:tc>
          <w:tcPr>
            <w:tcW w:w="1559" w:type="dxa"/>
            <w:tcBorders>
              <w:top w:val="single" w:sz="4" w:space="0" w:color="D9D9D9" w:themeColor="background1" w:themeShade="D9"/>
            </w:tcBorders>
            <w:vAlign w:val="bottom"/>
          </w:tcPr>
          <w:p w14:paraId="6C4A019A" w14:textId="77777777" w:rsidR="00DF2105" w:rsidRPr="004421A9" w:rsidRDefault="00DF2105" w:rsidP="00DF2105">
            <w:pPr>
              <w:jc w:val="center"/>
              <w:rPr>
                <w:rFonts w:cs="Arial"/>
                <w:sz w:val="16"/>
                <w:szCs w:val="16"/>
              </w:rPr>
            </w:pPr>
          </w:p>
        </w:tc>
      </w:tr>
      <w:tr w:rsidR="00DF2105" w:rsidRPr="004421A9" w14:paraId="4CA27FEF" w14:textId="77777777" w:rsidTr="00CD4E21">
        <w:tc>
          <w:tcPr>
            <w:tcW w:w="426" w:type="dxa"/>
            <w:tcBorders>
              <w:bottom w:val="single" w:sz="4" w:space="0" w:color="D9D9D9" w:themeColor="background1" w:themeShade="D9"/>
            </w:tcBorders>
          </w:tcPr>
          <w:p w14:paraId="37B8EAAD" w14:textId="21471F1C" w:rsidR="00DF2105" w:rsidRPr="004421A9" w:rsidRDefault="00DF2105" w:rsidP="00DF2105">
            <w:pPr>
              <w:jc w:val="left"/>
              <w:rPr>
                <w:rFonts w:cs="Arial"/>
                <w:sz w:val="16"/>
                <w:szCs w:val="16"/>
              </w:rPr>
            </w:pPr>
            <w:r w:rsidRPr="004421A9">
              <w:rPr>
                <w:rFonts w:cs="Arial"/>
                <w:sz w:val="16"/>
                <w:szCs w:val="16"/>
              </w:rPr>
              <w:t>1.2</w:t>
            </w:r>
          </w:p>
        </w:tc>
        <w:tc>
          <w:tcPr>
            <w:tcW w:w="3255" w:type="dxa"/>
            <w:tcBorders>
              <w:bottom w:val="single" w:sz="4" w:space="0" w:color="D9D9D9" w:themeColor="background1" w:themeShade="D9"/>
            </w:tcBorders>
          </w:tcPr>
          <w:p w14:paraId="4C0FC3BE" w14:textId="4E434F1D" w:rsidR="00DF2105" w:rsidRPr="004421A9" w:rsidRDefault="00DF2105" w:rsidP="00DF2105">
            <w:pPr>
              <w:jc w:val="left"/>
              <w:rPr>
                <w:rFonts w:cs="Arial"/>
                <w:strike/>
                <w:sz w:val="16"/>
                <w:szCs w:val="16"/>
              </w:rPr>
            </w:pPr>
            <w:r w:rsidRPr="004421A9">
              <w:rPr>
                <w:rFonts w:cs="Arial"/>
                <w:sz w:val="16"/>
                <w:szCs w:val="16"/>
              </w:rPr>
              <w:t>Ausarbeitung von Rechtsvorschriften zum Sortenschutz gemäß der Akte von 1991 des UPOV-Übereinkommens</w:t>
            </w:r>
          </w:p>
        </w:tc>
        <w:tc>
          <w:tcPr>
            <w:tcW w:w="305" w:type="dxa"/>
            <w:tcBorders>
              <w:bottom w:val="single" w:sz="4" w:space="0" w:color="D9D9D9" w:themeColor="background1" w:themeShade="D9"/>
            </w:tcBorders>
          </w:tcPr>
          <w:p w14:paraId="13D52226" w14:textId="77777777" w:rsidR="00DF2105" w:rsidRPr="004421A9" w:rsidRDefault="00DF2105" w:rsidP="00DF2105">
            <w:pPr>
              <w:jc w:val="center"/>
              <w:rPr>
                <w:rFonts w:cs="Arial"/>
                <w:sz w:val="16"/>
                <w:szCs w:val="16"/>
              </w:rPr>
            </w:pPr>
            <w:r w:rsidRPr="004421A9">
              <w:rPr>
                <w:rFonts w:cs="Arial"/>
                <w:sz w:val="16"/>
                <w:szCs w:val="16"/>
              </w:rPr>
              <w:t>2</w:t>
            </w:r>
          </w:p>
        </w:tc>
        <w:tc>
          <w:tcPr>
            <w:tcW w:w="2457" w:type="dxa"/>
            <w:tcBorders>
              <w:bottom w:val="single" w:sz="4" w:space="0" w:color="D9D9D9" w:themeColor="background1" w:themeShade="D9"/>
            </w:tcBorders>
          </w:tcPr>
          <w:p w14:paraId="728BC246" w14:textId="0CC72ACD" w:rsidR="00DF2105" w:rsidRPr="004421A9" w:rsidRDefault="00DF2105" w:rsidP="00DF2105">
            <w:pPr>
              <w:ind w:left="284"/>
              <w:jc w:val="left"/>
              <w:rPr>
                <w:rFonts w:cs="Arial"/>
                <w:sz w:val="16"/>
                <w:szCs w:val="16"/>
              </w:rPr>
            </w:pPr>
            <w:r w:rsidRPr="004421A9">
              <w:rPr>
                <w:rFonts w:cs="Arial"/>
                <w:sz w:val="16"/>
                <w:szCs w:val="16"/>
              </w:rPr>
              <w:t>Staaten und Organisationen, die Mitglieder des Verbandes werden</w:t>
            </w:r>
          </w:p>
        </w:tc>
        <w:tc>
          <w:tcPr>
            <w:tcW w:w="1632" w:type="dxa"/>
            <w:tcBorders>
              <w:bottom w:val="single" w:sz="4" w:space="0" w:color="D9D9D9" w:themeColor="background1" w:themeShade="D9"/>
            </w:tcBorders>
            <w:vAlign w:val="center"/>
          </w:tcPr>
          <w:p w14:paraId="76A8F9A7" w14:textId="77777777" w:rsidR="00DF2105" w:rsidRPr="004421A9" w:rsidRDefault="00DF2105" w:rsidP="00DF2105">
            <w:pPr>
              <w:jc w:val="center"/>
              <w:rPr>
                <w:rFonts w:cs="Arial"/>
                <w:sz w:val="16"/>
                <w:szCs w:val="16"/>
              </w:rPr>
            </w:pPr>
            <w:r w:rsidRPr="004421A9">
              <w:rPr>
                <w:rFonts w:cs="Arial"/>
                <w:sz w:val="16"/>
                <w:szCs w:val="16"/>
              </w:rPr>
              <w:t>1 pro Jahr (2024)</w:t>
            </w:r>
          </w:p>
        </w:tc>
        <w:tc>
          <w:tcPr>
            <w:tcW w:w="1559" w:type="dxa"/>
            <w:tcBorders>
              <w:bottom w:val="single" w:sz="4" w:space="0" w:color="D9D9D9" w:themeColor="background1" w:themeShade="D9"/>
            </w:tcBorders>
            <w:vAlign w:val="center"/>
          </w:tcPr>
          <w:p w14:paraId="4B7E702E" w14:textId="77777777" w:rsidR="00DF2105" w:rsidRPr="004421A9" w:rsidRDefault="00DF2105" w:rsidP="00DF2105">
            <w:pPr>
              <w:jc w:val="center"/>
              <w:rPr>
                <w:rFonts w:cs="Arial"/>
                <w:sz w:val="16"/>
                <w:szCs w:val="16"/>
              </w:rPr>
            </w:pPr>
            <w:r w:rsidRPr="004421A9">
              <w:rPr>
                <w:rFonts w:cs="Arial"/>
                <w:sz w:val="16"/>
                <w:szCs w:val="16"/>
              </w:rPr>
              <w:t>1 pro Jahr</w:t>
            </w:r>
          </w:p>
        </w:tc>
      </w:tr>
    </w:tbl>
    <w:p w14:paraId="1112CAE5" w14:textId="77777777" w:rsidR="00B65EDC" w:rsidRPr="004421A9" w:rsidRDefault="00B65EDC" w:rsidP="00B65EDC"/>
    <w:p w14:paraId="18FE6938" w14:textId="77777777" w:rsidR="00B65EDC" w:rsidRPr="004421A9" w:rsidRDefault="00B65EDC" w:rsidP="00B65EDC"/>
    <w:p w14:paraId="73173B65" w14:textId="77777777" w:rsidR="00B65EDC" w:rsidRPr="004421A9" w:rsidRDefault="00B65EDC" w:rsidP="00B65EDC"/>
    <w:p w14:paraId="5D4E786B" w14:textId="655F8117" w:rsidR="00B65EDC" w:rsidRPr="004421A9" w:rsidRDefault="00B65EDC" w:rsidP="004448C7">
      <w:pPr>
        <w:pStyle w:val="Heading2"/>
        <w:rPr>
          <w:lang w:val="de-DE"/>
        </w:rPr>
      </w:pPr>
      <w:bookmarkStart w:id="461" w:name="_Toc210041702"/>
      <w:r w:rsidRPr="004421A9">
        <w:rPr>
          <w:lang w:val="de-DE"/>
        </w:rPr>
        <w:t>Säule 2:</w:t>
      </w:r>
      <w:r w:rsidR="00877E3D" w:rsidRPr="004421A9">
        <w:rPr>
          <w:lang w:val="de-DE"/>
        </w:rPr>
        <w:t xml:space="preserve"> </w:t>
      </w:r>
      <w:r w:rsidRPr="004421A9">
        <w:rPr>
          <w:lang w:val="de-DE"/>
        </w:rPr>
        <w:t xml:space="preserve">Bereitstellung von </w:t>
      </w:r>
      <w:r w:rsidR="00C06061" w:rsidRPr="004421A9">
        <w:rPr>
          <w:lang w:val="de-DE"/>
        </w:rPr>
        <w:t>Anleitung</w:t>
      </w:r>
      <w:r w:rsidRPr="004421A9">
        <w:rPr>
          <w:lang w:val="de-DE"/>
        </w:rPr>
        <w:t xml:space="preserve"> und Unterstützung </w:t>
      </w:r>
      <w:r w:rsidR="00B56BB8" w:rsidRPr="004421A9">
        <w:rPr>
          <w:lang w:val="de-DE"/>
        </w:rPr>
        <w:t>und</w:t>
      </w:r>
      <w:r w:rsidRPr="004421A9">
        <w:rPr>
          <w:lang w:val="de-DE"/>
        </w:rPr>
        <w:t xml:space="preserve"> Erleichterung der Zusammenarbeit bei der Umsetzung des UPOV-Systems</w:t>
      </w:r>
      <w:bookmarkEnd w:id="461"/>
    </w:p>
    <w:p w14:paraId="266E7BE9" w14:textId="77777777" w:rsidR="00B65EDC" w:rsidRPr="004421A9" w:rsidRDefault="00B65EDC" w:rsidP="00B65EDC">
      <w:pPr>
        <w:keepNext/>
        <w:jc w:val="left"/>
        <w:rPr>
          <w:b/>
        </w:rPr>
      </w:pPr>
    </w:p>
    <w:p w14:paraId="779467B7" w14:textId="291BC64C" w:rsidR="00B65EDC" w:rsidRPr="004421A9" w:rsidRDefault="00B65EDC" w:rsidP="00B65EDC">
      <w:pPr>
        <w:pStyle w:val="Heading3"/>
        <w:rPr>
          <w:sz w:val="20"/>
          <w:lang w:val="de-DE"/>
        </w:rPr>
      </w:pPr>
      <w:bookmarkStart w:id="462" w:name="_Toc210041703"/>
      <w:r w:rsidRPr="004421A9">
        <w:rPr>
          <w:lang w:val="de-DE"/>
        </w:rPr>
        <w:t>Umsetzung</w:t>
      </w:r>
      <w:r w:rsidR="00B56BB8" w:rsidRPr="004421A9">
        <w:rPr>
          <w:lang w:val="de-DE"/>
        </w:rPr>
        <w:t xml:space="preserve"> der S</w:t>
      </w:r>
      <w:r w:rsidRPr="004421A9">
        <w:rPr>
          <w:lang w:val="de-DE"/>
        </w:rPr>
        <w:t>trategie zur Erreichung der erwarteten Ergebnisse</w:t>
      </w:r>
      <w:bookmarkEnd w:id="462"/>
    </w:p>
    <w:p w14:paraId="135BE207" w14:textId="77777777" w:rsidR="00B65EDC" w:rsidRPr="004421A9" w:rsidRDefault="00B65EDC" w:rsidP="00B65EDC">
      <w:pPr>
        <w:keepNext/>
        <w:rPr>
          <w:color w:val="000000" w:themeColor="text1"/>
        </w:rPr>
      </w:pPr>
    </w:p>
    <w:p w14:paraId="46FAD479" w14:textId="176EFAD5" w:rsidR="00B65EDC" w:rsidRPr="004421A9" w:rsidRDefault="00B65EDC" w:rsidP="00B65EDC">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Pr="004421A9">
        <w:rPr>
          <w:color w:val="000000" w:themeColor="text1"/>
        </w:rPr>
        <w:tab/>
      </w:r>
      <w:r w:rsidR="00797CC6" w:rsidRPr="004421A9">
        <w:rPr>
          <w:color w:val="000000" w:themeColor="text1"/>
        </w:rPr>
        <w:t>Diese strategische Säule umfasst die Arbeit der UPOV zur Erläuterung der Art und Weise, wie das UPOV-System die Entwicklung neuer Pflanzensorten fördert, welchen Nutzen neue Sorten für die Gesellschaft haben und welche Rolle das UPOV-System in Bezug auf die Landwirtschaft und die wirtschaftliche Entwicklung im ländlichen Raum spielt. Ein besonderes Ziel ist die Sensibilisierung von Staaten und zwischenstaatlichen Organisationen, die nicht Mitglied des Verbandes sind, für die Vorteile des Sortenschutzes nach dem UPOV-Übereinkommen und der UPOV-Mitgliedschaft. Diese strategische Säule umfasst auch die Bereitstellung von Anleitung und Informationen für die Anwendung des UPOV-Sortenschutzsystems sowie die Unterstützung der Zusammenarbeit zwischen Verbandsmitgliedern, einschließlich der Harmonisierungsarbeit</w:t>
      </w:r>
      <w:r w:rsidRPr="004421A9">
        <w:rPr>
          <w:color w:val="000000" w:themeColor="text1"/>
        </w:rPr>
        <w:t>.</w:t>
      </w:r>
    </w:p>
    <w:p w14:paraId="1FB60D10" w14:textId="77777777" w:rsidR="00B65EDC" w:rsidRPr="004421A9" w:rsidRDefault="00B65EDC" w:rsidP="00B65EDC">
      <w:pPr>
        <w:rPr>
          <w:color w:val="000000" w:themeColor="text1"/>
        </w:rPr>
      </w:pPr>
    </w:p>
    <w:p w14:paraId="261FCFE4" w14:textId="4890605E" w:rsidR="00B65EDC" w:rsidRPr="004421A9" w:rsidRDefault="00B65EDC" w:rsidP="00B65EDC">
      <w:pPr>
        <w:pStyle w:val="Heading4"/>
        <w:rPr>
          <w:color w:val="000000"/>
          <w:lang w:val="de-DE"/>
          <w14:textFill>
            <w14:solidFill>
              <w14:srgbClr w14:val="000000">
                <w14:lumMod w14:val="75000"/>
              </w14:srgbClr>
            </w14:solidFill>
          </w14:textFill>
        </w:rPr>
      </w:pPr>
      <w:bookmarkStart w:id="463" w:name="_Toc117798890"/>
      <w:bookmarkStart w:id="464" w:name="_Toc107239595"/>
      <w:bookmarkStart w:id="465" w:name="_Toc107239345"/>
      <w:r w:rsidRPr="004421A9">
        <w:rPr>
          <w:lang w:val="de-DE"/>
        </w:rPr>
        <w:t>2.1</w:t>
      </w:r>
      <w:r w:rsidRPr="004421A9">
        <w:rPr>
          <w:lang w:val="de-DE"/>
        </w:rPr>
        <w:tab/>
      </w:r>
      <w:r w:rsidR="00797CC6" w:rsidRPr="004421A9">
        <w:rPr>
          <w:lang w:val="de-DE"/>
        </w:rPr>
        <w:t>Verstärktes Bewusstsein</w:t>
      </w:r>
      <w:r w:rsidRPr="004421A9">
        <w:rPr>
          <w:lang w:val="de-DE"/>
        </w:rPr>
        <w:t xml:space="preserve"> für die Rolle des UPOV-Systems</w:t>
      </w:r>
      <w:bookmarkEnd w:id="463"/>
      <w:bookmarkEnd w:id="464"/>
      <w:bookmarkEnd w:id="465"/>
    </w:p>
    <w:p w14:paraId="2D7736B2" w14:textId="77777777" w:rsidR="00B65EDC" w:rsidRPr="004421A9" w:rsidRDefault="00B65EDC" w:rsidP="00B65EDC">
      <w:pPr>
        <w:pStyle w:val="Heading5"/>
        <w:rPr>
          <w:lang w:val="de-DE"/>
        </w:rPr>
      </w:pPr>
    </w:p>
    <w:p w14:paraId="3FDB1729" w14:textId="18E6B3E0" w:rsidR="001B3CBF" w:rsidRPr="004421A9" w:rsidRDefault="005C3AFB" w:rsidP="001B3CBF">
      <w:r w:rsidRPr="004421A9">
        <w:fldChar w:fldCharType="begin"/>
      </w:r>
      <w:r w:rsidRPr="004421A9">
        <w:instrText xml:space="preserve"> AUTONUM  </w:instrText>
      </w:r>
      <w:r w:rsidRPr="004421A9">
        <w:fldChar w:fldCharType="end"/>
      </w:r>
      <w:r w:rsidR="00B65EDC" w:rsidRPr="004421A9">
        <w:tab/>
      </w:r>
      <w:r w:rsidR="001B3CBF" w:rsidRPr="004421A9">
        <w:t xml:space="preserve">Im Rahmen der Kommunikationsstrategie der UPOV wird der Schwerpunkt auf der Entwicklung von Informationen über die Vorteile des Sortenschutzes und der UPOV-Mitgliedschaft liegen. Das Verbandsbüro </w:t>
      </w:r>
      <w:r w:rsidR="001B3CBF" w:rsidRPr="004421A9">
        <w:lastRenderedPageBreak/>
        <w:t>wird mit den Verbandsmitgliedern zusammenarbeiten, um anschauliche Beispiele, Fallstudien und Daten zu erarbeiten, welche die Vorteile des UPOV-Systems auf ansprechende Weise vermitteln, beispielsweise in Form von Videos, Studienreisen und Auswirkungsstudien.</w:t>
      </w:r>
    </w:p>
    <w:p w14:paraId="53146054" w14:textId="77777777" w:rsidR="001B3CBF" w:rsidRPr="004421A9" w:rsidRDefault="001B3CBF" w:rsidP="001B3CBF"/>
    <w:p w14:paraId="4FC04796" w14:textId="5B1A34F5" w:rsidR="001B3CBF" w:rsidRPr="004421A9" w:rsidRDefault="002E4D47" w:rsidP="001B3CBF">
      <w:r w:rsidRPr="004421A9">
        <w:fldChar w:fldCharType="begin"/>
      </w:r>
      <w:r w:rsidRPr="004421A9">
        <w:instrText xml:space="preserve"> AUTONUM  </w:instrText>
      </w:r>
      <w:r w:rsidRPr="004421A9">
        <w:fldChar w:fldCharType="end"/>
      </w:r>
      <w:r w:rsidR="001B3CBF" w:rsidRPr="004421A9">
        <w:tab/>
        <w:t xml:space="preserve">Die UPOV wird aktiv an Tagungen und Veranstaltungen einschlägiger Organisationen teilnehmen, und das Verbandsbüro wird sich um eine enge Zusammenarbeit mit den Sekretariaten anderer Organisationen bemühen, um das Bewusstsein und das Verständnis für die Aufgabe der UPOV zu verbessern. </w:t>
      </w:r>
    </w:p>
    <w:p w14:paraId="1E8733DD" w14:textId="77777777" w:rsidR="001B3CBF" w:rsidRPr="004421A9" w:rsidRDefault="001B3CBF" w:rsidP="001B3CBF"/>
    <w:p w14:paraId="43DD6E1E" w14:textId="5AD1CE18" w:rsidR="001B3CBF" w:rsidRPr="004421A9" w:rsidRDefault="00405C7E" w:rsidP="001B3CBF">
      <w:r w:rsidRPr="004421A9">
        <w:fldChar w:fldCharType="begin"/>
      </w:r>
      <w:r w:rsidRPr="004421A9">
        <w:instrText xml:space="preserve"> AUTONUM  </w:instrText>
      </w:r>
      <w:r w:rsidRPr="004421A9">
        <w:fldChar w:fldCharType="end"/>
      </w:r>
      <w:r w:rsidR="001B3CBF" w:rsidRPr="004421A9">
        <w:tab/>
        <w:t>Traditionelle Veranstaltungen und Tätigkeiten, wie Seminare und Arbeitstagungen, werden weiterhin eine zentrale Rolle bei der Öffentlichkeitsarbeit spielen. Es wird jedoch größeres Gewicht auf die Nutzung virtueller Tätigkeiten gelegt werden, um die Reichweite zu erhöhen, eine größere Wirkung zu erzielen, die Kosten zu senken und die Auswirkungen der Arbeit des Verbandsbüros auf die Umwelt zu verringern.</w:t>
      </w:r>
    </w:p>
    <w:p w14:paraId="20D63DA8" w14:textId="77777777" w:rsidR="001B3CBF" w:rsidRPr="004421A9" w:rsidRDefault="001B3CBF" w:rsidP="001B3CBF"/>
    <w:p w14:paraId="560817D1" w14:textId="725B96F1" w:rsidR="001B3CBF" w:rsidRPr="004421A9" w:rsidRDefault="00031CE1" w:rsidP="001B3CBF">
      <w:r w:rsidRPr="004421A9">
        <w:fldChar w:fldCharType="begin"/>
      </w:r>
      <w:r w:rsidRPr="004421A9">
        <w:instrText xml:space="preserve"> AUTONUM  </w:instrText>
      </w:r>
      <w:r w:rsidRPr="004421A9">
        <w:fldChar w:fldCharType="end"/>
      </w:r>
      <w:r w:rsidR="001B3CBF" w:rsidRPr="004421A9">
        <w:tab/>
        <w:t xml:space="preserve">Die UPOV-Website untermauert die Kommunikationsstrategie. Sie bietet eine Plattform für die Kommunikation mit einer Reihe von Zielgruppen, einschließlich des Zugangs zu Tagungsdokumenten, Anleitungen und Informationsmaterialien, Dienstleistungen, Schulung, Statistiken und FAQs. Das Projekt zur Neugestaltung der UPOV-Website wurde im Januar 2025 eingeleitet. In der Rechnungsperiode 2026-2027 wird die neue Website umgesetzt und weiter entwickelt werden, um einen einfachen Zugang zu Informationen zu ermöglichen, auch über Suchmaschinenabfragen. </w:t>
      </w:r>
    </w:p>
    <w:p w14:paraId="0F869933" w14:textId="77777777" w:rsidR="001B3CBF" w:rsidRPr="004421A9" w:rsidRDefault="001B3CBF" w:rsidP="001B3CBF"/>
    <w:p w14:paraId="39AFFF10" w14:textId="3351A6F4" w:rsidR="001B3CBF" w:rsidRPr="004421A9" w:rsidRDefault="006D3520" w:rsidP="001B3CBF">
      <w:r w:rsidRPr="004421A9">
        <w:fldChar w:fldCharType="begin"/>
      </w:r>
      <w:r w:rsidRPr="004421A9">
        <w:instrText xml:space="preserve"> AUTONUM  </w:instrText>
      </w:r>
      <w:r w:rsidRPr="004421A9">
        <w:fldChar w:fldCharType="end"/>
      </w:r>
      <w:r w:rsidR="001B3CBF" w:rsidRPr="004421A9">
        <w:tab/>
        <w:t xml:space="preserve">Soziale Medien werden eine immer wichtigere Rolle bei der Verbreitung von Informationen spielen. Sie sollten die Präsenz der UPOV in den Kommunikationskanälen erhöhen und das Bewusstsein für die globale Präsenz und den Einfluss der UPOV schärfen. Ihr strategischer Einsatz wird sich aufgrund der begrenzten Mittel der UPOV auf Maßnahmen zur Ausgewogenheit und Effizienz konzentrieren. </w:t>
      </w:r>
    </w:p>
    <w:p w14:paraId="2FD8D1DE" w14:textId="77777777" w:rsidR="001B3CBF" w:rsidRPr="004421A9" w:rsidRDefault="001B3CBF" w:rsidP="001B3CBF"/>
    <w:p w14:paraId="2BF80F4F" w14:textId="077972C3" w:rsidR="001B3CBF" w:rsidRPr="004421A9" w:rsidRDefault="006B7E6E" w:rsidP="001B3CBF">
      <w:r w:rsidRPr="004421A9">
        <w:fldChar w:fldCharType="begin"/>
      </w:r>
      <w:r w:rsidRPr="004421A9">
        <w:instrText xml:space="preserve"> AUTONUM  </w:instrText>
      </w:r>
      <w:r w:rsidRPr="004421A9">
        <w:fldChar w:fldCharType="end"/>
      </w:r>
      <w:r w:rsidR="001B3CBF" w:rsidRPr="004421A9">
        <w:tab/>
        <w:t xml:space="preserve">Die Betonung der Bedeutung der Sicherstellung des Zugangs aller Landwirte zu qualitativ hochwertigen Pflanzensorten, die ihren Bedürfnissen entsprechen und gegenüber </w:t>
      </w:r>
      <w:r w:rsidR="00872213" w:rsidRPr="004421A9">
        <w:t xml:space="preserve">der </w:t>
      </w:r>
      <w:r w:rsidR="001B3CBF" w:rsidRPr="004421A9">
        <w:t>Klimaveränderung widerstandsfähig sind, bei gleichzeitiger Hervorhebung der entscheidenden Rolle, die das UPOV-System in dieser Hinsicht spielt, wird ein wichtiger Schwerpunktbereich sein. Erfolgsgeschichten von Nutzern des UPOV-Systems werden entscheidend dazu beitragen, dessen Vorteile zu demonstrieren. Um diese Themen zu beleuchten, wird im Jahr 2026 ein Seminar organisiert werden.</w:t>
      </w:r>
    </w:p>
    <w:p w14:paraId="6670257C" w14:textId="77777777" w:rsidR="001B3CBF" w:rsidRPr="004421A9" w:rsidRDefault="001B3CBF" w:rsidP="001B3CBF"/>
    <w:p w14:paraId="775AF370" w14:textId="6757B5E5" w:rsidR="001B3CBF" w:rsidRPr="004421A9" w:rsidRDefault="0056767F" w:rsidP="001B3CBF">
      <w:r w:rsidRPr="004421A9">
        <w:fldChar w:fldCharType="begin"/>
      </w:r>
      <w:r w:rsidRPr="004421A9">
        <w:instrText xml:space="preserve"> AUTONUM  </w:instrText>
      </w:r>
      <w:r w:rsidRPr="004421A9">
        <w:fldChar w:fldCharType="end"/>
      </w:r>
      <w:r w:rsidR="001B3CBF" w:rsidRPr="004421A9">
        <w:tab/>
        <w:t>Im Zuge der angestrebten Verstärkung der Kommunikationsaktivitäten wurde ein befristeter Posten für einen Associate Communications Officer geschaffen. Dieser Posten soll zur Verwirklichung der in der Kommunikationsstrategie festgelegten Ziele beitragen.</w:t>
      </w:r>
    </w:p>
    <w:p w14:paraId="773A1761" w14:textId="77777777" w:rsidR="001B3CBF" w:rsidRPr="004421A9" w:rsidRDefault="001B3CBF" w:rsidP="001B3CBF"/>
    <w:p w14:paraId="0A9FE2A5" w14:textId="4AB5ED5F" w:rsidR="001B3CBF" w:rsidRPr="004421A9" w:rsidRDefault="00131F35" w:rsidP="001B3CBF">
      <w:r w:rsidRPr="004421A9">
        <w:fldChar w:fldCharType="begin"/>
      </w:r>
      <w:r w:rsidRPr="004421A9">
        <w:instrText xml:space="preserve"> AUTONUM  </w:instrText>
      </w:r>
      <w:r w:rsidRPr="004421A9">
        <w:fldChar w:fldCharType="end"/>
      </w:r>
      <w:r w:rsidR="001B3CBF" w:rsidRPr="004421A9">
        <w:tab/>
        <w:t>Ein neues FIT-Programm mit Japan soll 2025 beginnen und 2026-2027 fortgesetzt werden, um die Sammlung und Verbreitung von Informationen über die Auswirkungen des Sortenschutzes zu unterstützen.</w:t>
      </w:r>
    </w:p>
    <w:p w14:paraId="32C697E7" w14:textId="77777777" w:rsidR="001B3CBF" w:rsidRPr="004421A9" w:rsidRDefault="001B3CBF" w:rsidP="001B3CBF"/>
    <w:p w14:paraId="34719917" w14:textId="49753C42" w:rsidR="00B65EDC" w:rsidRPr="004421A9" w:rsidRDefault="007C7F49" w:rsidP="001B3CBF">
      <w:r w:rsidRPr="004421A9">
        <w:fldChar w:fldCharType="begin"/>
      </w:r>
      <w:r w:rsidRPr="004421A9">
        <w:instrText xml:space="preserve"> AUTONUM  </w:instrText>
      </w:r>
      <w:r w:rsidRPr="004421A9">
        <w:fldChar w:fldCharType="end"/>
      </w:r>
      <w:r w:rsidR="001B3CBF" w:rsidRPr="004421A9">
        <w:tab/>
        <w:t>Die Übersetzungspolitik der UPOV zielt darauf ab, maschinelle Übersetzungen zu nutzen, um die Verfügbarkeit der UPOV-Materialien in einer Reihe von Sprachen durch immer kostengünstigere Übersetzungen zu erhöhen. Die neue UPOV-Website wird die Zugänglichkeit der UPOV-Informationen in verschiedenen Sprachen verbessern</w:t>
      </w:r>
      <w:r w:rsidR="00B65EDC" w:rsidRPr="004421A9">
        <w:t>.</w:t>
      </w:r>
    </w:p>
    <w:p w14:paraId="050AE53F" w14:textId="77777777" w:rsidR="00B65EDC" w:rsidRPr="004421A9" w:rsidRDefault="00B65EDC" w:rsidP="00B65EDC">
      <w:pPr>
        <w:jc w:val="left"/>
        <w:rPr>
          <w:bCs/>
        </w:rPr>
      </w:pPr>
    </w:p>
    <w:p w14:paraId="0E09515B" w14:textId="5C9DBBA7" w:rsidR="00B65EDC" w:rsidRPr="004421A9" w:rsidRDefault="00B65EDC" w:rsidP="00B65EDC">
      <w:pPr>
        <w:pStyle w:val="Heading4"/>
        <w:rPr>
          <w:lang w:val="de-DE"/>
        </w:rPr>
      </w:pPr>
      <w:bookmarkStart w:id="466" w:name="_Toc117798891"/>
      <w:bookmarkStart w:id="467" w:name="_Toc107239596"/>
      <w:bookmarkStart w:id="468" w:name="_Toc107239346"/>
      <w:r w:rsidRPr="004421A9">
        <w:rPr>
          <w:lang w:val="de-DE"/>
        </w:rPr>
        <w:t>2.2</w:t>
      </w:r>
      <w:r w:rsidRPr="004421A9">
        <w:rPr>
          <w:lang w:val="de-DE"/>
        </w:rPr>
        <w:tab/>
      </w:r>
      <w:r w:rsidR="00140F7E" w:rsidRPr="004421A9">
        <w:rPr>
          <w:lang w:val="de-DE"/>
        </w:rPr>
        <w:t>Anleitung</w:t>
      </w:r>
      <w:r w:rsidRPr="004421A9">
        <w:rPr>
          <w:lang w:val="de-DE"/>
        </w:rPr>
        <w:t xml:space="preserve"> und Unterstützung </w:t>
      </w:r>
      <w:r w:rsidR="00140F7E" w:rsidRPr="004421A9">
        <w:rPr>
          <w:lang w:val="de-DE"/>
        </w:rPr>
        <w:t>beim</w:t>
      </w:r>
      <w:r w:rsidRPr="004421A9">
        <w:rPr>
          <w:lang w:val="de-DE"/>
        </w:rPr>
        <w:t xml:space="preserve"> UPOV-Übereinkommen und </w:t>
      </w:r>
      <w:r w:rsidR="00140F7E" w:rsidRPr="004421A9">
        <w:rPr>
          <w:lang w:val="de-DE"/>
        </w:rPr>
        <w:t>dessen</w:t>
      </w:r>
      <w:r w:rsidRPr="004421A9">
        <w:rPr>
          <w:lang w:val="de-DE"/>
        </w:rPr>
        <w:t xml:space="preserve"> Umsetzung</w:t>
      </w:r>
      <w:bookmarkEnd w:id="466"/>
      <w:bookmarkEnd w:id="467"/>
      <w:bookmarkEnd w:id="468"/>
    </w:p>
    <w:p w14:paraId="1682D961" w14:textId="77777777" w:rsidR="00B65EDC" w:rsidRPr="004421A9" w:rsidRDefault="00B65EDC" w:rsidP="00B65EDC">
      <w:pPr>
        <w:keepNext/>
      </w:pPr>
    </w:p>
    <w:p w14:paraId="34DA1ABE" w14:textId="25C11BE0" w:rsidR="00B65EDC" w:rsidRPr="004421A9" w:rsidRDefault="00140F7E" w:rsidP="00B65EDC">
      <w:pPr>
        <w:pStyle w:val="Heading5"/>
        <w:rPr>
          <w:lang w:val="de-DE"/>
        </w:rPr>
      </w:pPr>
      <w:bookmarkStart w:id="469" w:name="_Toc117798892"/>
      <w:bookmarkStart w:id="470" w:name="_Toc107239597"/>
      <w:bookmarkStart w:id="471" w:name="_Toc107239347"/>
      <w:r w:rsidRPr="004421A9">
        <w:rPr>
          <w:lang w:val="de-DE"/>
        </w:rPr>
        <w:t>Anleitung</w:t>
      </w:r>
      <w:r w:rsidR="00B65EDC" w:rsidRPr="004421A9">
        <w:rPr>
          <w:lang w:val="de-DE"/>
        </w:rPr>
        <w:t xml:space="preserve"> und Informationsmaterial</w:t>
      </w:r>
      <w:bookmarkEnd w:id="469"/>
      <w:bookmarkEnd w:id="470"/>
      <w:bookmarkEnd w:id="471"/>
    </w:p>
    <w:p w14:paraId="2E40CB92" w14:textId="77777777" w:rsidR="00B65EDC" w:rsidRPr="004421A9" w:rsidRDefault="00B65EDC" w:rsidP="00B65EDC">
      <w:pPr>
        <w:keepNext/>
      </w:pPr>
    </w:p>
    <w:p w14:paraId="1295CFBB" w14:textId="7529978A" w:rsidR="00846A3F" w:rsidRPr="004421A9" w:rsidRDefault="009E14B9" w:rsidP="00846A3F">
      <w:r w:rsidRPr="004421A9">
        <w:fldChar w:fldCharType="begin"/>
      </w:r>
      <w:r w:rsidRPr="004421A9">
        <w:instrText xml:space="preserve"> AUTONUM  </w:instrText>
      </w:r>
      <w:r w:rsidRPr="004421A9">
        <w:fldChar w:fldCharType="end"/>
      </w:r>
      <w:r w:rsidR="00B65EDC" w:rsidRPr="004421A9">
        <w:tab/>
      </w:r>
      <w:r w:rsidR="00846A3F" w:rsidRPr="004421A9">
        <w:t xml:space="preserve">Die UPOV wird weiterhin neues Anleitungsmaterial gemäß den Arbeitsprogrammen der betreffenden UPOV-Organe aktualisieren und ausarbeiten. </w:t>
      </w:r>
    </w:p>
    <w:p w14:paraId="184EEC56" w14:textId="77777777" w:rsidR="00846A3F" w:rsidRPr="004421A9" w:rsidRDefault="00846A3F" w:rsidP="00846A3F"/>
    <w:p w14:paraId="26CD69F3" w14:textId="44F26D94" w:rsidR="00846A3F" w:rsidRPr="004421A9" w:rsidRDefault="003D25D3" w:rsidP="00846A3F">
      <w:r w:rsidRPr="004421A9">
        <w:fldChar w:fldCharType="begin"/>
      </w:r>
      <w:r w:rsidRPr="004421A9">
        <w:instrText xml:space="preserve"> AUTONUM  </w:instrText>
      </w:r>
      <w:r w:rsidRPr="004421A9">
        <w:fldChar w:fldCharType="end"/>
      </w:r>
      <w:r w:rsidR="00846A3F" w:rsidRPr="004421A9">
        <w:tab/>
        <w:t xml:space="preserve">UPOV-Materialien und -Ressourcen werden in Englisch, Französisch, Deutsch und Spanisch zur Verfügung gestellt. Da die UPOV jedoch wächst und das Interesse an einer UPOV-Mitgliedschaft steigt, bringt es wesentliche Vorteile mit sich, UPOV-Materialien und -Ressourcen in mehr Sprachen bereitzustellen. Das Bereitstellen von Übersetzungen von Materialien sowie das Bereitstellen in </w:t>
      </w:r>
      <w:r w:rsidR="002E5F42" w:rsidRPr="004421A9">
        <w:t>verschiedenen</w:t>
      </w:r>
      <w:r w:rsidR="00846A3F" w:rsidRPr="004421A9">
        <w:t xml:space="preserve"> Sprachen haben substanzielle Auswirkungen auf die Ressourcen, und der Erfolg dieser Zielvorgabe wird </w:t>
      </w:r>
      <w:r w:rsidR="003F41A8" w:rsidRPr="004421A9">
        <w:t>mehrere</w:t>
      </w:r>
      <w:r w:rsidR="002E5F42" w:rsidRPr="004421A9">
        <w:t xml:space="preserve"> </w:t>
      </w:r>
      <w:r w:rsidR="00846A3F" w:rsidRPr="004421A9">
        <w:t xml:space="preserve">Maßnahmen erfordern, einschließlich der Zusammenarbeit mit interessierten Verbandsmitgliedern. Durch die raschen Fortschritte bei den maschinellen Übersetzungstechnologien entstehen jedoch neue Möglichkeiten, denen Priorität eingeräumt wird, um die Übersetzungskosten für UPOV-Dokumente in UPOV-Sprachen zu senken und UPOV-Materialien in mehr Sprachen zu erstellen. </w:t>
      </w:r>
    </w:p>
    <w:p w14:paraId="3166466D" w14:textId="77777777" w:rsidR="00846A3F" w:rsidRPr="004421A9" w:rsidRDefault="00846A3F" w:rsidP="00846A3F"/>
    <w:p w14:paraId="7AD975CA" w14:textId="15D7491A" w:rsidR="00B65EDC" w:rsidRPr="004421A9" w:rsidRDefault="00204FA5" w:rsidP="00846A3F">
      <w:r w:rsidRPr="004421A9">
        <w:fldChar w:fldCharType="begin"/>
      </w:r>
      <w:r w:rsidRPr="004421A9">
        <w:instrText xml:space="preserve"> AUTONUM  </w:instrText>
      </w:r>
      <w:r w:rsidRPr="004421A9">
        <w:fldChar w:fldCharType="end"/>
      </w:r>
      <w:r w:rsidR="00846A3F" w:rsidRPr="004421A9">
        <w:tab/>
        <w:t xml:space="preserve">Aufgrund der Erfahrungen in der Umsetzungsphase 2022-2023 der UPOV-Politik für die Verwendung von maschineller Übersetzung vereinbarten die UPOV-Mitglieder, maschinelle Übersetzung nicht nur weiterhin </w:t>
      </w:r>
      <w:r w:rsidR="00846A3F" w:rsidRPr="004421A9">
        <w:lastRenderedPageBreak/>
        <w:t xml:space="preserve">für </w:t>
      </w:r>
      <w:r w:rsidR="00546D27" w:rsidRPr="004421A9">
        <w:t>D</w:t>
      </w:r>
      <w:r w:rsidR="00846A3F" w:rsidRPr="004421A9">
        <w:t>okumente</w:t>
      </w:r>
      <w:r w:rsidR="00546D27" w:rsidRPr="004421A9">
        <w:t xml:space="preserve"> </w:t>
      </w:r>
      <w:r w:rsidR="00084946" w:rsidRPr="004421A9">
        <w:t>von UPOV-Tagungen</w:t>
      </w:r>
      <w:r w:rsidR="00846A3F" w:rsidRPr="004421A9">
        <w:t>, sondern auch für andere Informationen und Materialien, die keine hohe Genauigkeit erfordern (z. B. Protokolle von Seminaren), zu verwenden. Die Genauigkeit dieser Technologie entwickelt sich weiter und bietet gute Möglichkeiten, UPOV-Materialien und -Informationen in sehr kurzer Zeit in anderen Sprachen verfügbar zu machen. So wurden beispielsweise für die Oktobertagungen 2023 insgesamt 85 Dokumente übersetzt (vergleiche Bericht in Dokument CC/101/6 Corr.)</w:t>
      </w:r>
      <w:r w:rsidR="00B65EDC" w:rsidRPr="004421A9">
        <w:t>.</w:t>
      </w:r>
    </w:p>
    <w:p w14:paraId="0388CAB6" w14:textId="77777777" w:rsidR="00B65EDC" w:rsidRPr="004421A9" w:rsidRDefault="00B65EDC" w:rsidP="00B65EDC"/>
    <w:p w14:paraId="31D55334" w14:textId="5D4AA801" w:rsidR="00B65EDC" w:rsidRPr="004421A9" w:rsidRDefault="00DC63A0" w:rsidP="00B65EDC">
      <w:pPr>
        <w:jc w:val="center"/>
      </w:pPr>
      <w:r w:rsidRPr="004421A9">
        <w:rPr>
          <w:noProof/>
        </w:rPr>
        <w:drawing>
          <wp:inline distT="0" distB="0" distL="0" distR="0" wp14:anchorId="03E899FD" wp14:editId="517A5EB0">
            <wp:extent cx="2763527" cy="2034540"/>
            <wp:effectExtent l="0" t="0" r="0" b="3810"/>
            <wp:docPr id="2119245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873785" cy="2115713"/>
                    </a:xfrm>
                    <a:prstGeom prst="rect">
                      <a:avLst/>
                    </a:prstGeom>
                    <a:noFill/>
                  </pic:spPr>
                </pic:pic>
              </a:graphicData>
            </a:graphic>
          </wp:inline>
        </w:drawing>
      </w:r>
    </w:p>
    <w:p w14:paraId="0A925B78" w14:textId="77777777" w:rsidR="00B65EDC" w:rsidRPr="004421A9" w:rsidRDefault="00B65EDC" w:rsidP="00B65EDC">
      <w:pPr>
        <w:tabs>
          <w:tab w:val="left" w:pos="851"/>
        </w:tabs>
      </w:pPr>
    </w:p>
    <w:p w14:paraId="0DB87A76" w14:textId="77777777" w:rsidR="000066C5" w:rsidRPr="004421A9" w:rsidRDefault="00B65EDC" w:rsidP="000066C5">
      <w:pPr>
        <w:tabs>
          <w:tab w:val="left" w:pos="567"/>
        </w:tabs>
      </w:pPr>
      <w:r w:rsidRPr="004421A9">
        <w:fldChar w:fldCharType="begin"/>
      </w:r>
      <w:r w:rsidRPr="004421A9">
        <w:instrText xml:space="preserve"> AUTONUM  </w:instrText>
      </w:r>
      <w:r w:rsidRPr="004421A9">
        <w:fldChar w:fldCharType="end"/>
      </w:r>
      <w:r w:rsidRPr="004421A9">
        <w:tab/>
      </w:r>
      <w:r w:rsidR="000066C5" w:rsidRPr="004421A9">
        <w:t>Die Prüfungsrichtlinien sind wichtiges Anleitungsmaterial für die Sortenprüfung (DUS-Prüfung). Wenn die UPOV spezielle Prüfungsrichtlinien für eine bestimmte Art erstellt hat, stellen diese ein vereinbartes und harmonisiertes Vorgehen für die Prüfung neuer Sorten dar und bilden die Grundlage für die DUS-Prüfung. Die Prüfungsrichtlinien sind dazu bestimmt, von den einzelnen Behörden mit entsprechenden administrativen Änderungen als Grundlage für die DUS-Prüfung und die Harmonisierung der Sortenbeschreibungen verwendet zu werden.</w:t>
      </w:r>
    </w:p>
    <w:p w14:paraId="793EC619" w14:textId="77777777" w:rsidR="000066C5" w:rsidRPr="004421A9" w:rsidRDefault="000066C5" w:rsidP="000066C5">
      <w:pPr>
        <w:tabs>
          <w:tab w:val="left" w:pos="567"/>
        </w:tabs>
      </w:pPr>
    </w:p>
    <w:p w14:paraId="5BB81B33" w14:textId="7058DB1B" w:rsidR="00B65EDC" w:rsidRPr="004421A9" w:rsidRDefault="006D304D" w:rsidP="000066C5">
      <w:pPr>
        <w:tabs>
          <w:tab w:val="left" w:pos="567"/>
        </w:tabs>
      </w:pPr>
      <w:r w:rsidRPr="004421A9">
        <w:fldChar w:fldCharType="begin"/>
      </w:r>
      <w:r w:rsidRPr="004421A9">
        <w:instrText xml:space="preserve"> AUTONUM  </w:instrText>
      </w:r>
      <w:r w:rsidRPr="004421A9">
        <w:fldChar w:fldCharType="end"/>
      </w:r>
      <w:r w:rsidR="000066C5" w:rsidRPr="004421A9">
        <w:tab/>
      </w:r>
      <w:r w:rsidR="000066C5" w:rsidRPr="004421A9">
        <w:rPr>
          <w:spacing w:val="-2"/>
        </w:rPr>
        <w:t>Die UPOV hat eine Reihe von 339 Prüfungsrichtlinien entwickelt, die den Gattungen und Arten von 94</w:t>
      </w:r>
      <w:r w:rsidR="001A378D" w:rsidRPr="004421A9">
        <w:rPr>
          <w:spacing w:val="-2"/>
        </w:rPr>
        <w:t xml:space="preserve"> </w:t>
      </w:r>
      <w:r w:rsidR="000066C5" w:rsidRPr="004421A9">
        <w:rPr>
          <w:spacing w:val="-2"/>
        </w:rPr>
        <w:t>%</w:t>
      </w:r>
      <w:r w:rsidR="000066C5" w:rsidRPr="004421A9">
        <w:t xml:space="preserve"> der bei UPOV-Mitgliedern eingereichten Anträge entsprechen. Diese Abdeckung der UPOV-Prüfungsrichtlinien beruht auf den von den UPOV-Mitgliedern an die UPOV-Datenbank für Pflanzensorten (PLUTO-Datenbank) gemeldeten Daten über Pflanzensorten. In der Rechnungsperiode 2026-2027 wird die UPOV weiterhin den Raum für die internationale Harmonisierung der nationalen Prüfungsrichtlinien der UPOV-Mitglieder bereitstellen. Außerdem werden die Technischen Arbeitsgruppen weiterhin Gelegenheiten zum Kapazitätsaufbau für UPOV-Mitglieder bieten, um a) Verfahren zu harmonisieren, b) Informationen über Entwicklungen zu erteilen, c) neue Sachverständige in die Arbeit der UPOV zu integrieren, d) praktische Anleitung zu DUS-Prüfungsverfahren, einschließlich der Verwendung von Prüfungsrichtlinien, zu geben</w:t>
      </w:r>
      <w:r w:rsidR="00B65EDC" w:rsidRPr="004421A9">
        <w:t xml:space="preserve">. </w:t>
      </w:r>
    </w:p>
    <w:p w14:paraId="40F868CA" w14:textId="77777777" w:rsidR="00B65EDC" w:rsidRPr="004421A9" w:rsidRDefault="00B65EDC" w:rsidP="00B65EDC">
      <w:pPr>
        <w:tabs>
          <w:tab w:val="left" w:pos="851"/>
        </w:tabs>
      </w:pPr>
    </w:p>
    <w:p w14:paraId="14D8F17D" w14:textId="5E227A65" w:rsidR="00B65EDC" w:rsidRPr="004421A9" w:rsidRDefault="000066C5" w:rsidP="00B65EDC">
      <w:pPr>
        <w:pStyle w:val="Heading5"/>
        <w:rPr>
          <w:lang w:val="de-DE"/>
        </w:rPr>
      </w:pPr>
      <w:bookmarkStart w:id="472" w:name="_Toc117798893"/>
      <w:bookmarkStart w:id="473" w:name="_Toc107239598"/>
      <w:bookmarkStart w:id="474" w:name="_Toc107239348"/>
      <w:r w:rsidRPr="004421A9">
        <w:rPr>
          <w:lang w:val="de-DE"/>
        </w:rPr>
        <w:t>Schulung</w:t>
      </w:r>
      <w:r w:rsidR="00B65EDC" w:rsidRPr="004421A9">
        <w:rPr>
          <w:lang w:val="de-DE"/>
        </w:rPr>
        <w:t xml:space="preserve"> und Unterstützung</w:t>
      </w:r>
      <w:bookmarkEnd w:id="472"/>
      <w:bookmarkEnd w:id="473"/>
      <w:bookmarkEnd w:id="474"/>
    </w:p>
    <w:p w14:paraId="61B515A9" w14:textId="77777777" w:rsidR="00B65EDC" w:rsidRPr="004421A9" w:rsidRDefault="00B65EDC" w:rsidP="00B65EDC">
      <w:pPr>
        <w:tabs>
          <w:tab w:val="left" w:pos="851"/>
        </w:tabs>
        <w:rPr>
          <w:color w:val="000000" w:themeColor="text1"/>
        </w:rPr>
      </w:pPr>
    </w:p>
    <w:p w14:paraId="5B66B5D7" w14:textId="47C8B6B0" w:rsidR="00EA52BB" w:rsidRPr="004421A9" w:rsidRDefault="00284C96" w:rsidP="00EA52BB">
      <w:r w:rsidRPr="004421A9">
        <w:fldChar w:fldCharType="begin"/>
      </w:r>
      <w:r w:rsidRPr="004421A9">
        <w:instrText xml:space="preserve"> AUTONUM  </w:instrText>
      </w:r>
      <w:r w:rsidRPr="004421A9">
        <w:fldChar w:fldCharType="end"/>
      </w:r>
      <w:r w:rsidR="00B65EDC" w:rsidRPr="004421A9">
        <w:tab/>
      </w:r>
      <w:r w:rsidR="00EA52BB" w:rsidRPr="004421A9">
        <w:t>Die Schulungs- und Unterstützungsstrategie der UPOV bildet die Grundlage für die Schulungs- und Unterstützungstätigkeiten.</w:t>
      </w:r>
    </w:p>
    <w:p w14:paraId="0E5AD7E5" w14:textId="77777777" w:rsidR="00EA52BB" w:rsidRPr="004421A9" w:rsidRDefault="00EA52BB" w:rsidP="00EA52BB"/>
    <w:p w14:paraId="522444DC" w14:textId="750983EE" w:rsidR="00716041" w:rsidRPr="004421A9" w:rsidRDefault="007136B3" w:rsidP="00EA52BB">
      <w:r w:rsidRPr="004421A9">
        <w:fldChar w:fldCharType="begin"/>
      </w:r>
      <w:r w:rsidRPr="004421A9">
        <w:instrText xml:space="preserve"> AUTONUM  </w:instrText>
      </w:r>
      <w:r w:rsidRPr="004421A9">
        <w:fldChar w:fldCharType="end"/>
      </w:r>
      <w:r w:rsidR="00EA52BB" w:rsidRPr="004421A9">
        <w:tab/>
        <w:t>Die Befriedigung der Nachfrage nach Unterstützung bei der Einführung und Umsetzung des UPOV-Systems im Rahmen der verfügbaren Mittel stützt sich auf den Einsatz von Fernlehrgängen, die vom Verbandsbüro gesetzten Prioritäten bei der Unterstützung, die Unterstützung durch Verbandsmitglieder und Partnerschaften mit anderen Anbietern von Unterstützung. Diese thematische Säule wird über den ordentlichen Haushalt finanziert, doch ein erheblicher Teil der für die Unterstützung eingesetzten Mittel stammt aus außeretatmäßigen Mitteln und Sachleistungen. Um die verfügbaren Mittel auf die wirksamste Art und Weise zu verwenden, wird das Verbandsbüro seinen Tätigkeiten auch weiterhin Priorität einräumen und weiterhin Synergien mit den Verbandsmitgliedern und anderen Partnern für seine Tätigkeiten untersuchen</w:t>
      </w:r>
      <w:r w:rsidR="00B65EDC" w:rsidRPr="004421A9">
        <w:t>.</w:t>
      </w:r>
    </w:p>
    <w:p w14:paraId="66C4FB20" w14:textId="7DA5BD3D" w:rsidR="00716041" w:rsidRPr="004421A9" w:rsidRDefault="00716041">
      <w:pPr>
        <w:jc w:val="left"/>
      </w:pPr>
    </w:p>
    <w:p w14:paraId="49DE2BDD" w14:textId="22ED1CC8" w:rsidR="00B65EDC" w:rsidRPr="004421A9" w:rsidRDefault="001E7BB9" w:rsidP="00B65EDC">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B65EDC" w:rsidRPr="004421A9">
        <w:rPr>
          <w:color w:val="000000" w:themeColor="text1"/>
        </w:rPr>
        <w:tab/>
      </w:r>
      <w:r w:rsidR="00716041" w:rsidRPr="004421A9">
        <w:rPr>
          <w:color w:val="000000" w:themeColor="text1"/>
        </w:rPr>
        <w:t>Das Verbandsbüro wird bei der Bereitstellung von Unterstützung weiterhin folgende Prioritäten setzen</w:t>
      </w:r>
      <w:r w:rsidR="00B65EDC" w:rsidRPr="004421A9">
        <w:rPr>
          <w:color w:val="000000" w:themeColor="text1"/>
        </w:rPr>
        <w:t>:</w:t>
      </w:r>
    </w:p>
    <w:p w14:paraId="6B4596BF" w14:textId="77777777" w:rsidR="00B65EDC" w:rsidRPr="004421A9" w:rsidRDefault="00B65EDC" w:rsidP="00B65EDC">
      <w:pPr>
        <w:keepNext/>
        <w:rPr>
          <w:color w:val="000000" w:themeColor="text1"/>
        </w:rPr>
      </w:pPr>
    </w:p>
    <w:p w14:paraId="05619832" w14:textId="77777777" w:rsidR="00066627" w:rsidRPr="004421A9" w:rsidRDefault="00066627" w:rsidP="00066627">
      <w:pPr>
        <w:keepNext/>
        <w:spacing w:after="120"/>
        <w:ind w:left="567"/>
        <w:rPr>
          <w:color w:val="000000"/>
        </w:rPr>
      </w:pPr>
      <w:r w:rsidRPr="004421A9">
        <w:rPr>
          <w:color w:val="000000"/>
        </w:rPr>
        <w:t>i)</w:t>
      </w:r>
      <w:r w:rsidRPr="004421A9">
        <w:rPr>
          <w:color w:val="000000"/>
        </w:rPr>
        <w:tab/>
        <w:t>Unterstützung für bestehende Verbandsmitglieder;</w:t>
      </w:r>
    </w:p>
    <w:p w14:paraId="0C187183" w14:textId="77777777" w:rsidR="00066627" w:rsidRPr="004421A9" w:rsidRDefault="00066627" w:rsidP="00066627">
      <w:pPr>
        <w:spacing w:after="120"/>
        <w:ind w:left="1134" w:hanging="567"/>
        <w:rPr>
          <w:color w:val="000000"/>
        </w:rPr>
      </w:pPr>
      <w:r w:rsidRPr="004421A9">
        <w:rPr>
          <w:color w:val="000000"/>
        </w:rPr>
        <w:t>ii)</w:t>
      </w:r>
      <w:r w:rsidRPr="004421A9">
        <w:rPr>
          <w:color w:val="000000"/>
        </w:rPr>
        <w:tab/>
        <w:t>Unterstützung von Staaten und bestimmten Organisationen, die nicht Mitglieder des Verbandes sind, insbesondere der Regierungen der Entwicklungsländer und der Länder im Übergang zur Marktwirtschaft, bei der Ausarbeitung von Rechtsvorschriften, die der Akte von 1991 des UPOV-Übereinkommens entsprechen, und beim Beitritt zum UPOV-Übereinkommen; und</w:t>
      </w:r>
    </w:p>
    <w:p w14:paraId="4B7F7E15" w14:textId="20C75CAC" w:rsidR="00B65EDC" w:rsidRPr="004421A9" w:rsidRDefault="00066627" w:rsidP="00066627">
      <w:pPr>
        <w:tabs>
          <w:tab w:val="left" w:pos="567"/>
        </w:tabs>
        <w:ind w:left="1134" w:hanging="567"/>
        <w:rPr>
          <w:color w:val="000000" w:themeColor="text1"/>
        </w:rPr>
      </w:pPr>
      <w:r w:rsidRPr="004421A9">
        <w:rPr>
          <w:color w:val="000000"/>
        </w:rPr>
        <w:t>iii)</w:t>
      </w:r>
      <w:r w:rsidRPr="004421A9">
        <w:rPr>
          <w:color w:val="000000"/>
        </w:rPr>
        <w:tab/>
        <w:t>Unterstützung von Staaten und bestimmten Organisationen, die nicht Mitglieder des Verbandes sind, bei der Umsetzung von Rechtsvorschriften, die eine positive Entscheidung des Rates erhalten haben, gemäß ihrer Bindung bezüglich des Beitritts zum UPOV-Übereinkommen</w:t>
      </w:r>
      <w:r w:rsidR="00B65EDC" w:rsidRPr="004421A9">
        <w:rPr>
          <w:color w:val="000000" w:themeColor="text1"/>
        </w:rPr>
        <w:t>.</w:t>
      </w:r>
    </w:p>
    <w:p w14:paraId="2A7B24E2" w14:textId="71799EFB" w:rsidR="001D22EB" w:rsidRPr="004421A9" w:rsidRDefault="008C7B0A" w:rsidP="001D22EB">
      <w:pPr>
        <w:rPr>
          <w:bCs/>
        </w:rPr>
      </w:pPr>
      <w:r w:rsidRPr="004421A9">
        <w:rPr>
          <w:bCs/>
        </w:rPr>
        <w:lastRenderedPageBreak/>
        <w:fldChar w:fldCharType="begin"/>
      </w:r>
      <w:r w:rsidRPr="004421A9">
        <w:rPr>
          <w:bCs/>
        </w:rPr>
        <w:instrText xml:space="preserve"> AUTONUM  </w:instrText>
      </w:r>
      <w:r w:rsidRPr="004421A9">
        <w:rPr>
          <w:bCs/>
        </w:rPr>
        <w:fldChar w:fldCharType="end"/>
      </w:r>
      <w:r w:rsidR="00B65EDC" w:rsidRPr="004421A9">
        <w:rPr>
          <w:bCs/>
        </w:rPr>
        <w:tab/>
      </w:r>
      <w:bookmarkStart w:id="475" w:name="_Hlk188212864"/>
      <w:r w:rsidR="001D22EB" w:rsidRPr="004421A9">
        <w:rPr>
          <w:bCs/>
        </w:rPr>
        <w:t xml:space="preserve">Veranstaltungen und Tätigkeiten, wie Tagungen, Seminare, Arbeitstagungen und Schulungsveranstaltungen werden weiterhin eine zentrale Rolle bei der Unterstützung spielen. Es wird jedoch größeres Gewicht auf die Nutzung virtueller Tätigkeiten gelegt werden, um die Reichweite zu erhöhen, eine größere Wirkung zu erzielen, die Kosten zu senken und die Auswirkungen der Arbeit des Verbandsbüros auf die Umwelt zu verringern. </w:t>
      </w:r>
    </w:p>
    <w:p w14:paraId="5142A9FF" w14:textId="77777777" w:rsidR="001D22EB" w:rsidRPr="004421A9" w:rsidRDefault="001D22EB" w:rsidP="001D22EB">
      <w:pPr>
        <w:rPr>
          <w:bCs/>
        </w:rPr>
      </w:pPr>
    </w:p>
    <w:p w14:paraId="058088D0" w14:textId="3A04D0B4" w:rsidR="001D22EB" w:rsidRPr="004421A9" w:rsidRDefault="00B72D5F" w:rsidP="001D22EB">
      <w:pPr>
        <w:rPr>
          <w:bCs/>
        </w:rPr>
      </w:pPr>
      <w:r w:rsidRPr="004421A9">
        <w:fldChar w:fldCharType="begin"/>
      </w:r>
      <w:r w:rsidRPr="004421A9">
        <w:instrText xml:space="preserve"> AUTONUM  </w:instrText>
      </w:r>
      <w:r w:rsidRPr="004421A9">
        <w:fldChar w:fldCharType="end"/>
      </w:r>
      <w:r w:rsidR="001D22EB" w:rsidRPr="004421A9">
        <w:rPr>
          <w:bCs/>
        </w:rPr>
        <w:tab/>
        <w:t xml:space="preserve">Das UPOV e-PVP-System (vergleiche Abschnitt 3.1) soll die Arbeit der UPOV im Bereich von Schulung und Kapazitätsaufbau ergänzen, indem es den Verbandsmitgliedern praktische Unterstützung bei der Umsetzung des Sortenschutzsystems bietet. </w:t>
      </w:r>
    </w:p>
    <w:p w14:paraId="2F0D39A1" w14:textId="77777777" w:rsidR="001D22EB" w:rsidRPr="004421A9" w:rsidRDefault="001D22EB" w:rsidP="001D22EB">
      <w:pPr>
        <w:rPr>
          <w:bCs/>
        </w:rPr>
      </w:pPr>
    </w:p>
    <w:p w14:paraId="75916E40" w14:textId="5BC202CE" w:rsidR="00B65EDC" w:rsidRPr="004421A9" w:rsidRDefault="00342A2C" w:rsidP="001D22EB">
      <w:r w:rsidRPr="004421A9">
        <w:fldChar w:fldCharType="begin"/>
      </w:r>
      <w:r w:rsidRPr="004421A9">
        <w:instrText xml:space="preserve"> AUTONUM  </w:instrText>
      </w:r>
      <w:r w:rsidRPr="004421A9">
        <w:fldChar w:fldCharType="end"/>
      </w:r>
      <w:r w:rsidR="001D22EB" w:rsidRPr="004421A9">
        <w:rPr>
          <w:bCs/>
        </w:rPr>
        <w:tab/>
        <w:t>Im Oktober 2024 genehmigte der Rat die Nutzung von UPOV e-PVP durch Staaten und Organisationen, die das Verfahren für den Beitritt zur UPOV eingeleitet haben, wie folgt</w:t>
      </w:r>
      <w:r w:rsidR="00B65EDC" w:rsidRPr="004421A9">
        <w:t>:</w:t>
      </w:r>
    </w:p>
    <w:p w14:paraId="673F7E77" w14:textId="77777777" w:rsidR="00B65EDC" w:rsidRPr="004421A9" w:rsidRDefault="00B65EDC" w:rsidP="00B65EDC"/>
    <w:p w14:paraId="57283E0C" w14:textId="77777777" w:rsidR="00F66C57" w:rsidRPr="004421A9" w:rsidRDefault="00F66C57" w:rsidP="00F66C57">
      <w:pPr>
        <w:spacing w:after="120"/>
        <w:ind w:firstLine="567"/>
      </w:pPr>
      <w:r w:rsidRPr="004421A9">
        <w:t>a)</w:t>
      </w:r>
      <w:r w:rsidRPr="004421A9">
        <w:tab/>
        <w:t>um eine positive Stellungnahme des Rates zur Vereinbarkeit der Rechtsvorschriften mit dem UPOV-Übereinkommen zu erhalten;</w:t>
      </w:r>
    </w:p>
    <w:p w14:paraId="3DE13E55" w14:textId="5FDE3DE1" w:rsidR="00F66C57" w:rsidRPr="004421A9" w:rsidRDefault="00F66C57" w:rsidP="00F66C57">
      <w:pPr>
        <w:spacing w:after="120"/>
        <w:ind w:firstLine="567"/>
      </w:pPr>
      <w:r w:rsidRPr="004421A9">
        <w:t>b)</w:t>
      </w:r>
      <w:r w:rsidRPr="004421A9">
        <w:tab/>
        <w:t xml:space="preserve">die Verwendung von </w:t>
      </w:r>
      <w:r w:rsidR="00084946" w:rsidRPr="004421A9">
        <w:t xml:space="preserve">UPOV </w:t>
      </w:r>
      <w:r w:rsidRPr="004421A9">
        <w:t>e-PVP würde während eines Versuchszeitraums von drei Jahren zugelassen;</w:t>
      </w:r>
    </w:p>
    <w:p w14:paraId="62316034" w14:textId="24675875" w:rsidR="00B65EDC" w:rsidRPr="004421A9" w:rsidRDefault="00F66C57" w:rsidP="00F66C57">
      <w:pPr>
        <w:ind w:firstLine="567"/>
      </w:pPr>
      <w:r w:rsidRPr="004421A9">
        <w:t>c)</w:t>
      </w:r>
      <w:r w:rsidRPr="004421A9">
        <w:tab/>
        <w:t>andere Kriterien könnten festgelegt werden, um eine wirksame Nutzung der Ressourcen zu gewährleisten. Die Nutzung von UPOV e-PVP durch Staaten und Organisationen, die das Verfahren für den Beitritt zur UPOV eingeleitet haben, würde dem Beratenden Ausschuss regelmäßig in dem Informationsdokument „Situation bezüglich derjenigen Staaten und zwischenstaatlichen Organisationen, die das Verfahren für den Beitritt zum UPOV-Übereinkommen eingeleitet haben oder im Hinblick auf Unterstützung bei der Ausarbeitung von Rechtsvorschriften aufgrund des UPOV-Übereinkommens mit dem Verbandsbüro in Verbindung standen“ mitgeteilt werden.</w:t>
      </w:r>
    </w:p>
    <w:p w14:paraId="1B4484E2" w14:textId="77777777" w:rsidR="00B65EDC" w:rsidRPr="004421A9" w:rsidRDefault="00B65EDC" w:rsidP="00B65EDC"/>
    <w:p w14:paraId="41830F6B" w14:textId="77777777" w:rsidR="00743035" w:rsidRPr="004421A9" w:rsidRDefault="00B65EDC" w:rsidP="00743035">
      <w:r w:rsidRPr="004421A9">
        <w:fldChar w:fldCharType="begin"/>
      </w:r>
      <w:r w:rsidRPr="004421A9">
        <w:instrText xml:space="preserve"> AUTONUM  </w:instrText>
      </w:r>
      <w:r w:rsidRPr="004421A9">
        <w:fldChar w:fldCharType="end"/>
      </w:r>
      <w:r w:rsidRPr="004421A9">
        <w:tab/>
      </w:r>
      <w:r w:rsidR="00743035" w:rsidRPr="004421A9">
        <w:t>Um die verschiedenen von der UPOV und ihren Mitgliedern angebotenen Schulungsinitiativen besser nutzbar zu machen, führte die UPOV im April 2024 ein „Internationales Sortenschutzzertifikat“ (UPOV-Sortenschutzzertifikat) ein. Das UPOV-Sortenschutzzertifikat ist ein internationales, von der UPOV anerkanntes Zertifikat für den Sortenschutz. Inhaber des UPOV-Sortenschutzzertifikats weisen nach, dass sie ein bestimmtes Ausmaß an Schulung absolviert und/oder an Tätigkeiten betreffend das UPOV-Übereinkommen, den Betrieb eines Sortenschutzamtes und die Prüfung von Anträgen, einschließlich der DUS-Prüfung, teilgenommen haben. Im Jahr 2024 wurden fünfzig UPOV-Sortenschutzzertifikate ausgestellt.</w:t>
      </w:r>
    </w:p>
    <w:p w14:paraId="5BF35D7F" w14:textId="77777777" w:rsidR="00743035" w:rsidRPr="004421A9" w:rsidRDefault="00743035" w:rsidP="00743035"/>
    <w:p w14:paraId="2256BD56" w14:textId="7E038F68" w:rsidR="00743035" w:rsidRPr="004421A9" w:rsidRDefault="00743035" w:rsidP="00743035">
      <w:r w:rsidRPr="004421A9">
        <w:fldChar w:fldCharType="begin"/>
      </w:r>
      <w:r w:rsidRPr="004421A9">
        <w:instrText xml:space="preserve"> AUTONUM  </w:instrText>
      </w:r>
      <w:r w:rsidRPr="004421A9">
        <w:fldChar w:fldCharType="end"/>
      </w:r>
      <w:r w:rsidRPr="004421A9">
        <w:tab/>
        <w:t xml:space="preserve">Die Teilnahme am UPOV-Sortenschutzzertifikatsprogramm ist für die vorrangigen Kategorien des Rates kostenlos (vergleiche Absatz </w:t>
      </w:r>
      <w:r w:rsidR="007C159A" w:rsidRPr="004421A9">
        <w:t>7</w:t>
      </w:r>
      <w:r w:rsidR="00C61DB1">
        <w:t>4</w:t>
      </w:r>
      <w:r w:rsidRPr="004421A9">
        <w:t xml:space="preserve">). Im Jahre 2025 wird die Einschreibung von Lernenden aus dem Privatsektor und von Organisationen, die nicht unter die Prioritäten des Rates der UPOV fallen, gegen Zahlung einer Gebühr möglich sein. Das UPOV-Büro entwickelt derzeit die Verfahren für die Rechnungsstellung an diese Teilnehmer und die Abwicklung der für das UPOV-Sortenschutzzertifikatsprogramm eingegangenen Zahlungen. Der Umsetzungsplan sieht eine Gebühr von 500 Schweizer Franken für die Einschreibung dieser Teilnehmer vor. </w:t>
      </w:r>
    </w:p>
    <w:p w14:paraId="74AA4ACE" w14:textId="77777777" w:rsidR="00743035" w:rsidRPr="004421A9" w:rsidRDefault="00743035" w:rsidP="00743035"/>
    <w:p w14:paraId="4404B460" w14:textId="77777777" w:rsidR="00743035" w:rsidRPr="004421A9" w:rsidRDefault="00743035" w:rsidP="00743035">
      <w:r w:rsidRPr="004421A9">
        <w:fldChar w:fldCharType="begin"/>
      </w:r>
      <w:r w:rsidRPr="004421A9">
        <w:instrText xml:space="preserve"> AUTONUM  </w:instrText>
      </w:r>
      <w:r w:rsidRPr="004421A9">
        <w:fldChar w:fldCharType="end"/>
      </w:r>
      <w:r w:rsidRPr="004421A9">
        <w:tab/>
        <w:t xml:space="preserve">Das UPOV-Sortenschutzzertifikatsprogramm wird durch die Aufnahme neuer Lehrgänge und Tätigkeiten in die Liste der anerkannten Schulungen weiter ausgebaut werden. Dies wird die Anzahl der Möglichkeiten erhöhen, die erforderliche Anzahl von Punkten für das Erhalten des UPOV-Sortenschutzzertifikats zu sammeln. Es wird auch dazu beitragen, eine Informationssammlung über Schulungen bezüglich UPOV-Angelegenheiten und ein Netz von Sachverständigen zu diesem Thema aufzubauen. Die Liste der gebilligten Lehrgänge und Tätigkeiten ist auf der UPOV-Website zu finden unter: </w:t>
      </w:r>
      <w:hyperlink r:id="rId14" w:history="1">
        <w:r w:rsidRPr="004421A9">
          <w:rPr>
            <w:color w:val="0000FF"/>
            <w:u w:val="single"/>
          </w:rPr>
          <w:t>https://www.upov.int/resource/de/pvp_certificate.html</w:t>
        </w:r>
      </w:hyperlink>
    </w:p>
    <w:p w14:paraId="70AC6ED0" w14:textId="77777777" w:rsidR="00B65EDC" w:rsidRPr="004421A9" w:rsidRDefault="00B65EDC" w:rsidP="00B65EDC"/>
    <w:p w14:paraId="22241F98" w14:textId="0D2D5EB9" w:rsidR="00B65EDC" w:rsidRPr="004421A9" w:rsidRDefault="00B65EDC" w:rsidP="00B65EDC">
      <w:pPr>
        <w:pStyle w:val="Heading4"/>
        <w:rPr>
          <w:color w:val="000000"/>
          <w:lang w:val="de-DE"/>
          <w14:textFill>
            <w14:solidFill>
              <w14:srgbClr w14:val="000000">
                <w14:lumMod w14:val="75000"/>
              </w14:srgbClr>
            </w14:solidFill>
          </w14:textFill>
        </w:rPr>
      </w:pPr>
      <w:bookmarkStart w:id="476" w:name="_Toc117798894"/>
      <w:bookmarkStart w:id="477" w:name="_Toc107239599"/>
      <w:bookmarkStart w:id="478" w:name="_Toc107239349"/>
      <w:bookmarkEnd w:id="475"/>
      <w:r w:rsidRPr="004421A9">
        <w:rPr>
          <w:lang w:val="de-DE"/>
        </w:rPr>
        <w:t>2.3</w:t>
      </w:r>
      <w:r w:rsidRPr="004421A9">
        <w:rPr>
          <w:lang w:val="de-DE"/>
        </w:rPr>
        <w:tab/>
      </w:r>
      <w:r w:rsidR="00743035" w:rsidRPr="004421A9">
        <w:rPr>
          <w:lang w:val="de-DE"/>
        </w:rPr>
        <w:t>Verstärkte</w:t>
      </w:r>
      <w:r w:rsidRPr="004421A9">
        <w:rPr>
          <w:lang w:val="de-DE"/>
        </w:rPr>
        <w:t xml:space="preserve"> Harmonisierung und Zusammenarbeit bei Prüfung</w:t>
      </w:r>
      <w:bookmarkEnd w:id="476"/>
      <w:bookmarkEnd w:id="477"/>
      <w:bookmarkEnd w:id="478"/>
      <w:r w:rsidR="00743035" w:rsidRPr="004421A9">
        <w:rPr>
          <w:lang w:val="de-DE"/>
        </w:rPr>
        <w:t>en</w:t>
      </w:r>
    </w:p>
    <w:p w14:paraId="5EDCD1C6" w14:textId="77777777" w:rsidR="00B65EDC" w:rsidRPr="004421A9" w:rsidRDefault="00B65EDC" w:rsidP="00B65EDC">
      <w:pPr>
        <w:tabs>
          <w:tab w:val="left" w:pos="851"/>
        </w:tabs>
        <w:rPr>
          <w:color w:val="000000" w:themeColor="text1"/>
        </w:rPr>
      </w:pPr>
    </w:p>
    <w:p w14:paraId="48E8BA14" w14:textId="2C4BF050" w:rsidR="00CE61DD" w:rsidRPr="004421A9" w:rsidRDefault="007C1317" w:rsidP="00CE61DD">
      <w:pPr>
        <w:rPr>
          <w:bCs/>
          <w:color w:val="000000" w:themeColor="text1"/>
          <w:szCs w:val="24"/>
        </w:rPr>
      </w:pPr>
      <w:r w:rsidRPr="004421A9">
        <w:rPr>
          <w:bCs/>
          <w:color w:val="000000" w:themeColor="text1"/>
          <w:szCs w:val="24"/>
        </w:rPr>
        <w:fldChar w:fldCharType="begin"/>
      </w:r>
      <w:r w:rsidRPr="004421A9">
        <w:rPr>
          <w:bCs/>
          <w:color w:val="000000" w:themeColor="text1"/>
          <w:szCs w:val="24"/>
        </w:rPr>
        <w:instrText xml:space="preserve"> AUTONUM  </w:instrText>
      </w:r>
      <w:r w:rsidRPr="004421A9">
        <w:rPr>
          <w:bCs/>
          <w:color w:val="000000" w:themeColor="text1"/>
          <w:szCs w:val="24"/>
        </w:rPr>
        <w:fldChar w:fldCharType="end"/>
      </w:r>
      <w:r w:rsidR="00B65EDC" w:rsidRPr="004421A9">
        <w:rPr>
          <w:bCs/>
          <w:color w:val="000000" w:themeColor="text1"/>
          <w:szCs w:val="24"/>
        </w:rPr>
        <w:tab/>
      </w:r>
      <w:r w:rsidR="00CE61DD" w:rsidRPr="004421A9">
        <w:rPr>
          <w:bCs/>
          <w:color w:val="000000" w:themeColor="text1"/>
          <w:szCs w:val="24"/>
        </w:rPr>
        <w:t xml:space="preserve">Die Zusammenarbeit zwischen den Verbandsmitgliedern ist ein Hauptmerkmal des UPOV-Systems und bildet die Grundlage für ein wirksames System, das zu einer rascheren Verfügbarkeit neuer Sorten und niedrigeren Kosten für die Züchter führt. Um auf die Herausforderungen zu reagieren, vor denen Landwirtschaft und Gartenbau insbesondere im Zusammenhang mit dem Klimawandel und der Ernährungssicherheit stehen, wird einer verstärkten Zusammenarbeit, die die Verfügbarkeit neuer Pflanzensorten erhöht, Priorität eingeräumt werden. Daher werden die Arbeiten in den UPOV-Organen weiterhin Maßnahmen und Instrumente ermitteln, die die Zusammenarbeit auf freiwilliger Basis erleichtern können. </w:t>
      </w:r>
    </w:p>
    <w:p w14:paraId="23376B08" w14:textId="77777777" w:rsidR="00CE61DD" w:rsidRPr="004421A9" w:rsidRDefault="00CE61DD" w:rsidP="00CE61DD">
      <w:pPr>
        <w:rPr>
          <w:bCs/>
          <w:color w:val="000000" w:themeColor="text1"/>
          <w:szCs w:val="24"/>
        </w:rPr>
      </w:pPr>
    </w:p>
    <w:p w14:paraId="2011DC9D" w14:textId="6ACA51C8" w:rsidR="00CE61DD" w:rsidRPr="004421A9" w:rsidRDefault="008C6A71" w:rsidP="00391368">
      <w:pPr>
        <w:keepLines/>
        <w:rPr>
          <w:bCs/>
          <w:color w:val="000000" w:themeColor="text1"/>
          <w:szCs w:val="24"/>
        </w:rPr>
      </w:pPr>
      <w:r w:rsidRPr="004421A9">
        <w:rPr>
          <w:bCs/>
          <w:color w:val="000000" w:themeColor="text1"/>
          <w:szCs w:val="24"/>
        </w:rPr>
        <w:lastRenderedPageBreak/>
        <w:fldChar w:fldCharType="begin"/>
      </w:r>
      <w:r w:rsidRPr="004421A9">
        <w:rPr>
          <w:bCs/>
          <w:color w:val="000000" w:themeColor="text1"/>
          <w:szCs w:val="24"/>
        </w:rPr>
        <w:instrText xml:space="preserve"> AUTONUM  </w:instrText>
      </w:r>
      <w:r w:rsidRPr="004421A9">
        <w:rPr>
          <w:bCs/>
          <w:color w:val="000000" w:themeColor="text1"/>
          <w:szCs w:val="24"/>
        </w:rPr>
        <w:fldChar w:fldCharType="end"/>
      </w:r>
      <w:r w:rsidR="00CE61DD" w:rsidRPr="004421A9">
        <w:rPr>
          <w:bCs/>
          <w:color w:val="000000" w:themeColor="text1"/>
          <w:szCs w:val="24"/>
        </w:rPr>
        <w:tab/>
        <w:t>Der Technische Ausschuss vereinbarte eine Reihe von Maßnahmen zur Verbesserung der Unterstützung für die DUS-Prüfung, insbesondere im Hinblick auf eine verstärkte Zusammenarbeit als grundlegenden Vorteil der UPOV-Mitgliedschaft (vergleiche Abschnitt 1.1). In der Rechnungsperiode 2026-2027 wird der Technische Ausschuss die Umsetzung dieser Maßnahmen vorantreiben, wobei er sich insbesondere auf die Unterstützung der Verfasser von Prüfungsrichtlinien konzentrieren wird, und zwar durch: Schulung, Beratung und Informationen über die Zusammenarbeit bei der Erstellung nationaler Prüfungsrichtlinien, Verbesserung der Struktur der Prüfungsrichtlinien und Verbesserung des UPOV-Online-Instruments für die Erstellung von Prüfungsrichtlinien (d. h. TG-Mustervorlage). Diese Maßnahmen dürften die Ausarbeitung und Aktualisierung von Prüfungsrichtlinien und die Ausdehnung des Schutzes auf mehr Gattungen und Arten beschleunigen.</w:t>
      </w:r>
    </w:p>
    <w:p w14:paraId="68492A2E" w14:textId="77777777" w:rsidR="00CE61DD" w:rsidRPr="004421A9" w:rsidRDefault="00CE61DD" w:rsidP="00CE61DD">
      <w:pPr>
        <w:rPr>
          <w:bCs/>
          <w:color w:val="000000" w:themeColor="text1"/>
          <w:szCs w:val="24"/>
        </w:rPr>
      </w:pPr>
    </w:p>
    <w:p w14:paraId="59E41AEC" w14:textId="5AE8609B" w:rsidR="00CE61DD" w:rsidRPr="004421A9" w:rsidRDefault="00893A99" w:rsidP="00CE61DD">
      <w:pPr>
        <w:rPr>
          <w:bCs/>
          <w:color w:val="000000" w:themeColor="text1"/>
          <w:szCs w:val="24"/>
        </w:rPr>
      </w:pPr>
      <w:r w:rsidRPr="004421A9">
        <w:rPr>
          <w:bCs/>
          <w:color w:val="000000" w:themeColor="text1"/>
          <w:szCs w:val="24"/>
        </w:rPr>
        <w:fldChar w:fldCharType="begin"/>
      </w:r>
      <w:r w:rsidRPr="004421A9">
        <w:rPr>
          <w:bCs/>
          <w:color w:val="000000" w:themeColor="text1"/>
          <w:szCs w:val="24"/>
        </w:rPr>
        <w:instrText xml:space="preserve"> AUTONUM  </w:instrText>
      </w:r>
      <w:r w:rsidRPr="004421A9">
        <w:rPr>
          <w:bCs/>
          <w:color w:val="000000" w:themeColor="text1"/>
          <w:szCs w:val="24"/>
        </w:rPr>
        <w:fldChar w:fldCharType="end"/>
      </w:r>
      <w:r w:rsidR="00CE61DD" w:rsidRPr="004421A9">
        <w:rPr>
          <w:bCs/>
          <w:color w:val="000000" w:themeColor="text1"/>
          <w:szCs w:val="24"/>
        </w:rPr>
        <w:tab/>
        <w:t>Das UPOV-Sortenschutzzertifikatsprogramm soll die Zusammenarbeit zwischen Verbandsmitgliedern erleichtern, indem es einen Indikator für die von den Praktikern und Prüfern der Sortenschutzämter erworbenen Fähigkeiten liefert.</w:t>
      </w:r>
    </w:p>
    <w:p w14:paraId="1EE9C560" w14:textId="77777777" w:rsidR="00CE61DD" w:rsidRPr="004421A9" w:rsidRDefault="00CE61DD" w:rsidP="00CE61DD">
      <w:pPr>
        <w:rPr>
          <w:bCs/>
          <w:color w:val="000000" w:themeColor="text1"/>
          <w:szCs w:val="24"/>
        </w:rPr>
      </w:pPr>
    </w:p>
    <w:p w14:paraId="0945AE19" w14:textId="2A35D980" w:rsidR="00CE61DD" w:rsidRPr="004421A9" w:rsidRDefault="00F75CD1" w:rsidP="00CE61DD">
      <w:pPr>
        <w:rPr>
          <w:bCs/>
          <w:color w:val="000000" w:themeColor="text1"/>
          <w:szCs w:val="24"/>
        </w:rPr>
      </w:pPr>
      <w:r w:rsidRPr="004421A9">
        <w:rPr>
          <w:bCs/>
          <w:szCs w:val="24"/>
        </w:rPr>
        <w:fldChar w:fldCharType="begin"/>
      </w:r>
      <w:r w:rsidRPr="004421A9">
        <w:rPr>
          <w:bCs/>
          <w:szCs w:val="24"/>
        </w:rPr>
        <w:instrText xml:space="preserve"> AUTONUM  </w:instrText>
      </w:r>
      <w:r w:rsidRPr="004421A9">
        <w:rPr>
          <w:bCs/>
          <w:szCs w:val="24"/>
        </w:rPr>
        <w:fldChar w:fldCharType="end"/>
      </w:r>
      <w:r w:rsidR="00CE61DD" w:rsidRPr="004421A9">
        <w:rPr>
          <w:bCs/>
          <w:color w:val="000000" w:themeColor="text1"/>
          <w:szCs w:val="24"/>
        </w:rPr>
        <w:tab/>
        <w:t>Der Technische Ausschuss hat eine Reihe technischer, administrativer, politischer und rechtlicher Fragen ermittelt, die Hindernisse für eine weitere Zusammenarbeit bei der DUS-Prüfung darstellen könnten. Ein Hauptziel in der Rechnungsperiode 2026-2027 wird darin bestehen, diese potentiellen Hindernisse anzugehen, um die Zusammenarbeit zu verstärken und dadurch die Wirksamkeit der DUS-Prüfung zu erhöhen.</w:t>
      </w:r>
    </w:p>
    <w:p w14:paraId="5134ADBA" w14:textId="77777777" w:rsidR="00CE61DD" w:rsidRPr="004421A9" w:rsidRDefault="00CE61DD" w:rsidP="00CE61DD">
      <w:pPr>
        <w:rPr>
          <w:bCs/>
          <w:color w:val="000000" w:themeColor="text1"/>
          <w:szCs w:val="24"/>
        </w:rPr>
      </w:pPr>
    </w:p>
    <w:p w14:paraId="28C8B400" w14:textId="5A4CDF6F" w:rsidR="00B65EDC" w:rsidRPr="004421A9" w:rsidRDefault="00887E84" w:rsidP="00CE61DD">
      <w:pPr>
        <w:rPr>
          <w:bCs/>
          <w:szCs w:val="24"/>
        </w:rPr>
      </w:pPr>
      <w:r w:rsidRPr="004421A9">
        <w:rPr>
          <w:bCs/>
          <w:szCs w:val="24"/>
        </w:rPr>
        <w:fldChar w:fldCharType="begin"/>
      </w:r>
      <w:r w:rsidRPr="004421A9">
        <w:rPr>
          <w:bCs/>
          <w:szCs w:val="24"/>
        </w:rPr>
        <w:instrText xml:space="preserve"> AUTONUM  </w:instrText>
      </w:r>
      <w:r w:rsidRPr="004421A9">
        <w:rPr>
          <w:bCs/>
          <w:szCs w:val="24"/>
        </w:rPr>
        <w:fldChar w:fldCharType="end"/>
      </w:r>
      <w:r w:rsidR="00CE61DD" w:rsidRPr="004421A9">
        <w:rPr>
          <w:bCs/>
          <w:color w:val="000000" w:themeColor="text1"/>
          <w:szCs w:val="24"/>
        </w:rPr>
        <w:tab/>
        <w:t>Das UPOV-Übereinkommen bietet den UPOV-Mitgliedern die Flexibilität, darüber zu entscheiden, wie sie die DUS-Prüfungen entsprechend ihren Gegebenheiten auf die kostengünstigste Weise durchführen. Einige UPOV-Mitglieder haben die Erfahrung gemacht, dass die Zusammenarbeit mit Züchtern die Effizienz der Sortenprüfung erhöht. Im Jahr 2025 wird eine Reihe von Webinaren und ein Seminar abgehalten, um das Bewusstsein und das Verständnis dafür zu schaffen, wie DUS-Prüfungen in Zusammenarbeit mit Züchtern von einigen UPOV-Mitgliedern durchgeführt werden. Das Seminar wird im Oktober 2025 stattfinden. Im Anschluss an das Seminar werden in der Rechnungsperiode 2026-2027 Maßnahmen ergriffen werden, wie z. B. die Zusammenstellung von Präsentationen und Unterlagen, die für den Aufbau von Kapazitäten und die Sensibilisierung verwendet werden sollen</w:t>
      </w:r>
      <w:r w:rsidR="00B65EDC" w:rsidRPr="004421A9">
        <w:rPr>
          <w:bCs/>
          <w:szCs w:val="24"/>
        </w:rPr>
        <w:t>.</w:t>
      </w:r>
    </w:p>
    <w:p w14:paraId="36AE3C7E" w14:textId="77777777" w:rsidR="00B65EDC" w:rsidRPr="004421A9" w:rsidRDefault="00B65EDC" w:rsidP="00B65EDC">
      <w:pPr>
        <w:rPr>
          <w:bCs/>
          <w:szCs w:val="24"/>
        </w:rPr>
      </w:pPr>
    </w:p>
    <w:p w14:paraId="5553751B" w14:textId="77777777" w:rsidR="00B65EDC" w:rsidRPr="004421A9" w:rsidRDefault="00B65EDC" w:rsidP="00B65EDC">
      <w:pPr>
        <w:rPr>
          <w:bCs/>
          <w:szCs w:val="24"/>
        </w:rPr>
      </w:pPr>
    </w:p>
    <w:p w14:paraId="7DC063A6" w14:textId="337E841B" w:rsidR="00B65EDC" w:rsidRPr="004421A9" w:rsidRDefault="00B65EDC" w:rsidP="004448C7">
      <w:pPr>
        <w:pStyle w:val="Heading3"/>
        <w:rPr>
          <w:lang w:val="de-DE"/>
        </w:rPr>
      </w:pPr>
      <w:bookmarkStart w:id="479" w:name="_Toc210041704"/>
      <w:r w:rsidRPr="004421A9">
        <w:rPr>
          <w:lang w:val="de-DE"/>
        </w:rPr>
        <w:t xml:space="preserve">Erwartete Ergebnisse und </w:t>
      </w:r>
      <w:r w:rsidR="007C159A" w:rsidRPr="004421A9">
        <w:rPr>
          <w:lang w:val="de-DE"/>
        </w:rPr>
        <w:t>Planerfüll</w:t>
      </w:r>
      <w:r w:rsidRPr="004421A9">
        <w:rPr>
          <w:lang w:val="de-DE"/>
        </w:rPr>
        <w:t>ungsindikatoren</w:t>
      </w:r>
      <w:bookmarkEnd w:id="479"/>
      <w:r w:rsidRPr="004421A9">
        <w:rPr>
          <w:lang w:val="de-DE"/>
        </w:rPr>
        <w:t xml:space="preserve"> </w:t>
      </w:r>
    </w:p>
    <w:p w14:paraId="58BBC526" w14:textId="77777777" w:rsidR="00B65EDC" w:rsidRPr="004421A9" w:rsidRDefault="00B65EDC" w:rsidP="004448C7">
      <w:pPr>
        <w:keepNext/>
        <w:rPr>
          <w:bC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118"/>
        <w:gridCol w:w="305"/>
        <w:gridCol w:w="2457"/>
        <w:gridCol w:w="1495"/>
        <w:gridCol w:w="1838"/>
      </w:tblGrid>
      <w:tr w:rsidR="0045457C" w:rsidRPr="004421A9" w14:paraId="4F4F4B6C" w14:textId="77777777" w:rsidTr="00391368">
        <w:trPr>
          <w:tblHeader/>
        </w:trPr>
        <w:tc>
          <w:tcPr>
            <w:tcW w:w="426" w:type="dxa"/>
            <w:tcBorders>
              <w:bottom w:val="single" w:sz="4" w:space="0" w:color="D9D9D9" w:themeColor="background1" w:themeShade="D9"/>
            </w:tcBorders>
            <w:shd w:val="clear" w:color="auto" w:fill="E2E7EB" w:themeFill="accent3" w:themeFillTint="33"/>
          </w:tcPr>
          <w:p w14:paraId="368727BC" w14:textId="77777777" w:rsidR="0045457C" w:rsidRPr="004421A9" w:rsidRDefault="0045457C" w:rsidP="0045457C">
            <w:pPr>
              <w:jc w:val="left"/>
              <w:rPr>
                <w:b/>
                <w:bCs/>
                <w:sz w:val="16"/>
                <w:szCs w:val="16"/>
              </w:rPr>
            </w:pPr>
          </w:p>
        </w:tc>
        <w:tc>
          <w:tcPr>
            <w:tcW w:w="3118" w:type="dxa"/>
            <w:tcBorders>
              <w:bottom w:val="single" w:sz="4" w:space="0" w:color="D9D9D9" w:themeColor="background1" w:themeShade="D9"/>
            </w:tcBorders>
            <w:shd w:val="clear" w:color="auto" w:fill="E2E7EB" w:themeFill="accent3" w:themeFillTint="33"/>
          </w:tcPr>
          <w:p w14:paraId="7A0C2478" w14:textId="77777777" w:rsidR="0045457C" w:rsidRPr="004421A9" w:rsidRDefault="0045457C" w:rsidP="0045457C">
            <w:pPr>
              <w:jc w:val="left"/>
              <w:rPr>
                <w:b/>
                <w:bCs/>
                <w:sz w:val="16"/>
                <w:szCs w:val="16"/>
              </w:rPr>
            </w:pPr>
            <w:r w:rsidRPr="004421A9">
              <w:rPr>
                <w:b/>
                <w:bCs/>
                <w:sz w:val="16"/>
                <w:szCs w:val="16"/>
              </w:rPr>
              <w:t>Erwartete Ergebnisse</w:t>
            </w:r>
          </w:p>
        </w:tc>
        <w:tc>
          <w:tcPr>
            <w:tcW w:w="305" w:type="dxa"/>
            <w:tcBorders>
              <w:bottom w:val="single" w:sz="4" w:space="0" w:color="D9D9D9" w:themeColor="background1" w:themeShade="D9"/>
            </w:tcBorders>
            <w:shd w:val="clear" w:color="auto" w:fill="E2E7EB" w:themeFill="accent3" w:themeFillTint="33"/>
          </w:tcPr>
          <w:p w14:paraId="3EE0133E" w14:textId="77777777" w:rsidR="0045457C" w:rsidRPr="004421A9" w:rsidRDefault="0045457C" w:rsidP="0045457C">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354F10E8" w14:textId="3BC234DF" w:rsidR="0045457C" w:rsidRPr="004421A9" w:rsidRDefault="0045457C" w:rsidP="0045457C">
            <w:pPr>
              <w:rPr>
                <w:b/>
                <w:bCs/>
                <w:sz w:val="16"/>
                <w:szCs w:val="16"/>
              </w:rPr>
            </w:pPr>
            <w:r w:rsidRPr="004421A9">
              <w:rPr>
                <w:b/>
                <w:bCs/>
                <w:sz w:val="16"/>
                <w:szCs w:val="16"/>
              </w:rPr>
              <w:t>Planerfüllungsindikatoren</w:t>
            </w:r>
          </w:p>
        </w:tc>
        <w:tc>
          <w:tcPr>
            <w:tcW w:w="1495" w:type="dxa"/>
            <w:tcBorders>
              <w:bottom w:val="single" w:sz="4" w:space="0" w:color="D9D9D9" w:themeColor="background1" w:themeShade="D9"/>
            </w:tcBorders>
            <w:shd w:val="clear" w:color="auto" w:fill="E2E7EB" w:themeFill="accent3" w:themeFillTint="33"/>
          </w:tcPr>
          <w:p w14:paraId="354876E3" w14:textId="6DF94723" w:rsidR="0045457C" w:rsidRPr="004421A9" w:rsidRDefault="0045457C" w:rsidP="0045457C">
            <w:pPr>
              <w:jc w:val="center"/>
              <w:rPr>
                <w:b/>
                <w:bCs/>
                <w:sz w:val="16"/>
                <w:szCs w:val="16"/>
              </w:rPr>
            </w:pPr>
            <w:r w:rsidRPr="004421A9">
              <w:rPr>
                <w:b/>
                <w:bCs/>
                <w:sz w:val="16"/>
                <w:szCs w:val="16"/>
              </w:rPr>
              <w:t>Referenzwerte</w:t>
            </w:r>
          </w:p>
        </w:tc>
        <w:tc>
          <w:tcPr>
            <w:tcW w:w="1838" w:type="dxa"/>
            <w:tcBorders>
              <w:bottom w:val="single" w:sz="4" w:space="0" w:color="D9D9D9" w:themeColor="background1" w:themeShade="D9"/>
            </w:tcBorders>
            <w:shd w:val="clear" w:color="auto" w:fill="E2E7EB" w:themeFill="accent3" w:themeFillTint="33"/>
          </w:tcPr>
          <w:p w14:paraId="3805BDCE" w14:textId="77777777" w:rsidR="0045457C" w:rsidRPr="004421A9" w:rsidRDefault="0045457C" w:rsidP="0045457C">
            <w:pPr>
              <w:jc w:val="center"/>
              <w:rPr>
                <w:b/>
                <w:bCs/>
                <w:sz w:val="16"/>
                <w:szCs w:val="16"/>
              </w:rPr>
            </w:pPr>
            <w:r w:rsidRPr="004421A9">
              <w:rPr>
                <w:b/>
                <w:bCs/>
                <w:sz w:val="16"/>
                <w:szCs w:val="16"/>
              </w:rPr>
              <w:t>Ziele (2026/27)</w:t>
            </w:r>
          </w:p>
        </w:tc>
      </w:tr>
      <w:tr w:rsidR="00B54F8F" w:rsidRPr="004421A9" w14:paraId="50E7F56F" w14:textId="77777777" w:rsidTr="00391368">
        <w:tc>
          <w:tcPr>
            <w:tcW w:w="426" w:type="dxa"/>
            <w:tcBorders>
              <w:top w:val="single" w:sz="4" w:space="0" w:color="D9D9D9" w:themeColor="background1" w:themeShade="D9"/>
            </w:tcBorders>
          </w:tcPr>
          <w:p w14:paraId="300D41EE" w14:textId="77777777" w:rsidR="00B54F8F" w:rsidRPr="004421A9" w:rsidRDefault="00B54F8F" w:rsidP="00B54F8F">
            <w:pPr>
              <w:jc w:val="left"/>
              <w:rPr>
                <w:rFonts w:cs="Arial"/>
                <w:sz w:val="16"/>
                <w:szCs w:val="16"/>
              </w:rPr>
            </w:pPr>
            <w:r w:rsidRPr="004421A9">
              <w:rPr>
                <w:rFonts w:cs="Arial"/>
                <w:sz w:val="16"/>
                <w:szCs w:val="16"/>
              </w:rPr>
              <w:t>2.1</w:t>
            </w:r>
          </w:p>
        </w:tc>
        <w:tc>
          <w:tcPr>
            <w:tcW w:w="3118" w:type="dxa"/>
            <w:tcBorders>
              <w:top w:val="single" w:sz="4" w:space="0" w:color="D9D9D9" w:themeColor="background1" w:themeShade="D9"/>
            </w:tcBorders>
          </w:tcPr>
          <w:p w14:paraId="07A71D2F" w14:textId="36B27B9B" w:rsidR="00B54F8F" w:rsidRPr="004421A9" w:rsidRDefault="00B54F8F" w:rsidP="00B54F8F">
            <w:pPr>
              <w:jc w:val="left"/>
              <w:rPr>
                <w:rFonts w:cs="Arial"/>
                <w:sz w:val="16"/>
                <w:szCs w:val="16"/>
              </w:rPr>
            </w:pPr>
            <w:r w:rsidRPr="004421A9">
              <w:rPr>
                <w:rFonts w:cs="Arial"/>
                <w:sz w:val="16"/>
                <w:szCs w:val="16"/>
              </w:rPr>
              <w:t>Verstärktes Bewusstsein für die Rolle des UPOV-Systems</w:t>
            </w:r>
          </w:p>
        </w:tc>
        <w:tc>
          <w:tcPr>
            <w:tcW w:w="305" w:type="dxa"/>
            <w:tcBorders>
              <w:top w:val="single" w:sz="4" w:space="0" w:color="D9D9D9" w:themeColor="background1" w:themeShade="D9"/>
            </w:tcBorders>
          </w:tcPr>
          <w:p w14:paraId="31173FC2" w14:textId="5B12BB8D" w:rsidR="00B54F8F" w:rsidRPr="004421A9" w:rsidRDefault="00B54F8F" w:rsidP="00B54F8F">
            <w:pPr>
              <w:jc w:val="left"/>
              <w:rPr>
                <w:rFonts w:cs="Arial"/>
                <w:sz w:val="16"/>
                <w:szCs w:val="16"/>
              </w:rPr>
            </w:pPr>
            <w:r w:rsidRPr="004421A9">
              <w:rPr>
                <w:rFonts w:cs="Arial"/>
                <w:sz w:val="16"/>
                <w:szCs w:val="16"/>
              </w:rPr>
              <w:t>3</w:t>
            </w:r>
          </w:p>
        </w:tc>
        <w:tc>
          <w:tcPr>
            <w:tcW w:w="2457" w:type="dxa"/>
            <w:tcBorders>
              <w:top w:val="single" w:sz="4" w:space="0" w:color="D9D9D9" w:themeColor="background1" w:themeShade="D9"/>
            </w:tcBorders>
          </w:tcPr>
          <w:p w14:paraId="63F5CB58" w14:textId="5BE33FB1" w:rsidR="00B54F8F" w:rsidRPr="004421A9" w:rsidRDefault="00B54F8F" w:rsidP="00B54F8F">
            <w:pPr>
              <w:jc w:val="left"/>
              <w:rPr>
                <w:rFonts w:cs="Arial"/>
                <w:sz w:val="16"/>
                <w:szCs w:val="16"/>
              </w:rPr>
            </w:pPr>
            <w:r w:rsidRPr="004421A9">
              <w:rPr>
                <w:rFonts w:cs="Arial"/>
                <w:sz w:val="16"/>
                <w:szCs w:val="16"/>
              </w:rPr>
              <w:t>Ansichten von UPOV-Informationen</w:t>
            </w:r>
          </w:p>
        </w:tc>
        <w:tc>
          <w:tcPr>
            <w:tcW w:w="1495" w:type="dxa"/>
            <w:tcBorders>
              <w:top w:val="single" w:sz="4" w:space="0" w:color="D9D9D9" w:themeColor="background1" w:themeShade="D9"/>
            </w:tcBorders>
          </w:tcPr>
          <w:p w14:paraId="6786CEF3" w14:textId="77777777" w:rsidR="00B54F8F" w:rsidRPr="004421A9" w:rsidRDefault="00B54F8F" w:rsidP="00B54F8F">
            <w:pPr>
              <w:jc w:val="center"/>
              <w:rPr>
                <w:rFonts w:cs="Arial"/>
                <w:sz w:val="16"/>
                <w:szCs w:val="16"/>
              </w:rPr>
            </w:pPr>
          </w:p>
        </w:tc>
        <w:tc>
          <w:tcPr>
            <w:tcW w:w="1838" w:type="dxa"/>
            <w:tcBorders>
              <w:top w:val="single" w:sz="4" w:space="0" w:color="D9D9D9" w:themeColor="background1" w:themeShade="D9"/>
            </w:tcBorders>
          </w:tcPr>
          <w:p w14:paraId="39BE3444" w14:textId="77777777" w:rsidR="00B54F8F" w:rsidRPr="004421A9" w:rsidRDefault="00B54F8F" w:rsidP="00B54F8F">
            <w:pPr>
              <w:jc w:val="center"/>
              <w:rPr>
                <w:rFonts w:cs="Arial"/>
                <w:sz w:val="16"/>
                <w:szCs w:val="16"/>
              </w:rPr>
            </w:pPr>
          </w:p>
        </w:tc>
      </w:tr>
      <w:tr w:rsidR="00856C6C" w:rsidRPr="004421A9" w14:paraId="1859800D" w14:textId="77777777" w:rsidTr="00391368">
        <w:tc>
          <w:tcPr>
            <w:tcW w:w="426" w:type="dxa"/>
          </w:tcPr>
          <w:p w14:paraId="6DBF9044" w14:textId="77777777" w:rsidR="00856C6C" w:rsidRPr="004421A9" w:rsidRDefault="00856C6C" w:rsidP="00856C6C">
            <w:pPr>
              <w:jc w:val="left"/>
              <w:rPr>
                <w:rFonts w:cs="Arial"/>
                <w:sz w:val="16"/>
                <w:szCs w:val="16"/>
              </w:rPr>
            </w:pPr>
          </w:p>
        </w:tc>
        <w:tc>
          <w:tcPr>
            <w:tcW w:w="3118" w:type="dxa"/>
          </w:tcPr>
          <w:p w14:paraId="690E84F3" w14:textId="77777777" w:rsidR="00856C6C" w:rsidRPr="004421A9" w:rsidRDefault="00856C6C" w:rsidP="00856C6C">
            <w:pPr>
              <w:jc w:val="left"/>
              <w:rPr>
                <w:rFonts w:cs="Arial"/>
                <w:sz w:val="16"/>
                <w:szCs w:val="16"/>
              </w:rPr>
            </w:pPr>
          </w:p>
        </w:tc>
        <w:tc>
          <w:tcPr>
            <w:tcW w:w="305" w:type="dxa"/>
          </w:tcPr>
          <w:p w14:paraId="6D0F4F0B" w14:textId="77777777" w:rsidR="00856C6C" w:rsidRPr="004421A9" w:rsidRDefault="00856C6C" w:rsidP="00856C6C">
            <w:pPr>
              <w:jc w:val="left"/>
              <w:rPr>
                <w:rFonts w:cs="Arial"/>
                <w:sz w:val="16"/>
                <w:szCs w:val="16"/>
              </w:rPr>
            </w:pPr>
          </w:p>
        </w:tc>
        <w:tc>
          <w:tcPr>
            <w:tcW w:w="2457" w:type="dxa"/>
          </w:tcPr>
          <w:p w14:paraId="7F5840FE" w14:textId="3D64442E" w:rsidR="00856C6C" w:rsidRPr="004421A9" w:rsidRDefault="00856C6C" w:rsidP="00856C6C">
            <w:pPr>
              <w:ind w:left="284"/>
              <w:jc w:val="left"/>
              <w:rPr>
                <w:rFonts w:cs="Arial"/>
                <w:sz w:val="16"/>
                <w:szCs w:val="16"/>
              </w:rPr>
            </w:pPr>
            <w:r w:rsidRPr="004421A9">
              <w:rPr>
                <w:rFonts w:cs="Arial"/>
                <w:sz w:val="16"/>
                <w:szCs w:val="16"/>
              </w:rPr>
              <w:t>Besuche der UPOV-Website („Sitzungen“)</w:t>
            </w:r>
          </w:p>
        </w:tc>
        <w:tc>
          <w:tcPr>
            <w:tcW w:w="1495" w:type="dxa"/>
          </w:tcPr>
          <w:p w14:paraId="77C254F8" w14:textId="29830090" w:rsidR="00856C6C" w:rsidRPr="004421A9" w:rsidRDefault="00856C6C" w:rsidP="00856C6C">
            <w:pPr>
              <w:jc w:val="center"/>
              <w:rPr>
                <w:rFonts w:cs="Arial"/>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130</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631 (2024)</w:t>
            </w:r>
          </w:p>
        </w:tc>
        <w:tc>
          <w:tcPr>
            <w:tcW w:w="1838" w:type="dxa"/>
          </w:tcPr>
          <w:p w14:paraId="3A458AE8" w14:textId="71E65A52"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350</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(2026)</w:t>
            </w:r>
          </w:p>
          <w:p w14:paraId="7542A24E" w14:textId="443DEFA5" w:rsidR="00856C6C" w:rsidRPr="004421A9" w:rsidRDefault="00856C6C" w:rsidP="00856C6C">
            <w:pPr>
              <w:jc w:val="center"/>
              <w:rPr>
                <w:rFonts w:cs="Arial"/>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500</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(2027)</w:t>
            </w:r>
          </w:p>
        </w:tc>
      </w:tr>
      <w:tr w:rsidR="00856C6C" w:rsidRPr="004421A9" w14:paraId="50FC4D80" w14:textId="77777777" w:rsidTr="00391368">
        <w:tc>
          <w:tcPr>
            <w:tcW w:w="426" w:type="dxa"/>
          </w:tcPr>
          <w:p w14:paraId="3C9233FC" w14:textId="77777777" w:rsidR="00856C6C" w:rsidRPr="004421A9" w:rsidRDefault="00856C6C" w:rsidP="00856C6C">
            <w:pPr>
              <w:jc w:val="left"/>
              <w:rPr>
                <w:rFonts w:cs="Arial"/>
                <w:sz w:val="16"/>
                <w:szCs w:val="16"/>
              </w:rPr>
            </w:pPr>
          </w:p>
        </w:tc>
        <w:tc>
          <w:tcPr>
            <w:tcW w:w="3118" w:type="dxa"/>
          </w:tcPr>
          <w:p w14:paraId="4FE12C67" w14:textId="77777777" w:rsidR="00856C6C" w:rsidRPr="004421A9" w:rsidRDefault="00856C6C" w:rsidP="00856C6C">
            <w:pPr>
              <w:jc w:val="left"/>
              <w:rPr>
                <w:rFonts w:cs="Arial"/>
                <w:sz w:val="16"/>
                <w:szCs w:val="16"/>
              </w:rPr>
            </w:pPr>
          </w:p>
        </w:tc>
        <w:tc>
          <w:tcPr>
            <w:tcW w:w="305" w:type="dxa"/>
          </w:tcPr>
          <w:p w14:paraId="0C714DCD" w14:textId="77777777" w:rsidR="00856C6C" w:rsidRPr="004421A9" w:rsidRDefault="00856C6C" w:rsidP="00856C6C">
            <w:pPr>
              <w:jc w:val="left"/>
              <w:rPr>
                <w:rFonts w:cs="Arial"/>
                <w:sz w:val="16"/>
                <w:szCs w:val="16"/>
              </w:rPr>
            </w:pPr>
          </w:p>
        </w:tc>
        <w:tc>
          <w:tcPr>
            <w:tcW w:w="2457" w:type="dxa"/>
          </w:tcPr>
          <w:p w14:paraId="71C277E7" w14:textId="55A8DA4F" w:rsidR="00856C6C" w:rsidRPr="004421A9" w:rsidRDefault="00856C6C" w:rsidP="00856C6C">
            <w:pPr>
              <w:ind w:left="284"/>
              <w:jc w:val="left"/>
              <w:rPr>
                <w:rFonts w:cs="Arial"/>
                <w:sz w:val="16"/>
                <w:szCs w:val="16"/>
              </w:rPr>
            </w:pPr>
            <w:r w:rsidRPr="004421A9">
              <w:rPr>
                <w:rFonts w:cs="Arial"/>
                <w:sz w:val="16"/>
                <w:szCs w:val="16"/>
              </w:rPr>
              <w:t>Anzahl von einzelnen Besuchern der UPOV-Website</w:t>
            </w:r>
          </w:p>
        </w:tc>
        <w:tc>
          <w:tcPr>
            <w:tcW w:w="1495" w:type="dxa"/>
          </w:tcPr>
          <w:p w14:paraId="1B5462FB" w14:textId="56D11CCA"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147</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244</w:t>
            </w:r>
          </w:p>
          <w:p w14:paraId="37E0DD15" w14:textId="0F6602CA" w:rsidR="00856C6C" w:rsidRPr="004421A9" w:rsidRDefault="00856C6C" w:rsidP="00856C6C">
            <w:pPr>
              <w:jc w:val="center"/>
              <w:rPr>
                <w:rFonts w:cs="Arial"/>
                <w:sz w:val="16"/>
                <w:szCs w:val="16"/>
              </w:rPr>
            </w:pPr>
            <w:r w:rsidRPr="004421A9">
              <w:rPr>
                <w:rFonts w:asciiTheme="majorHAnsi" w:hAnsiTheme="majorHAnsi" w:cstheme="majorHAnsi"/>
                <w:sz w:val="16"/>
                <w:szCs w:val="16"/>
              </w:rPr>
              <w:t>(2024)</w:t>
            </w:r>
          </w:p>
        </w:tc>
        <w:tc>
          <w:tcPr>
            <w:tcW w:w="1838" w:type="dxa"/>
          </w:tcPr>
          <w:p w14:paraId="40C0C15C" w14:textId="2F4A5A82"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175</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(2026)</w:t>
            </w:r>
          </w:p>
          <w:p w14:paraId="11C1C056" w14:textId="259658B0" w:rsidR="00856C6C" w:rsidRPr="004421A9" w:rsidRDefault="00856C6C" w:rsidP="00856C6C">
            <w:pPr>
              <w:jc w:val="center"/>
              <w:rPr>
                <w:rFonts w:cs="Arial"/>
                <w:sz w:val="16"/>
                <w:szCs w:val="16"/>
              </w:rPr>
            </w:pPr>
            <w:r w:rsidRPr="004421A9">
              <w:rPr>
                <w:rFonts w:asciiTheme="majorHAnsi" w:hAnsiTheme="majorHAnsi" w:cstheme="majorHAnsi"/>
                <w:sz w:val="16"/>
                <w:szCs w:val="16"/>
              </w:rPr>
              <w:t>200</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(2027)</w:t>
            </w:r>
          </w:p>
        </w:tc>
      </w:tr>
      <w:tr w:rsidR="00856C6C" w:rsidRPr="004421A9" w14:paraId="2E1FABB3" w14:textId="77777777" w:rsidTr="00391368">
        <w:tc>
          <w:tcPr>
            <w:tcW w:w="426" w:type="dxa"/>
          </w:tcPr>
          <w:p w14:paraId="7A36126B" w14:textId="77777777" w:rsidR="00856C6C" w:rsidRPr="004421A9" w:rsidRDefault="00856C6C" w:rsidP="00856C6C">
            <w:pPr>
              <w:jc w:val="left"/>
              <w:rPr>
                <w:rFonts w:cs="Arial"/>
                <w:sz w:val="16"/>
                <w:szCs w:val="16"/>
              </w:rPr>
            </w:pPr>
          </w:p>
        </w:tc>
        <w:tc>
          <w:tcPr>
            <w:tcW w:w="3118" w:type="dxa"/>
          </w:tcPr>
          <w:p w14:paraId="076D9ACB" w14:textId="77777777" w:rsidR="00856C6C" w:rsidRPr="004421A9" w:rsidRDefault="00856C6C" w:rsidP="00856C6C">
            <w:pPr>
              <w:jc w:val="left"/>
              <w:rPr>
                <w:rFonts w:cs="Arial"/>
                <w:sz w:val="16"/>
                <w:szCs w:val="16"/>
              </w:rPr>
            </w:pPr>
          </w:p>
        </w:tc>
        <w:tc>
          <w:tcPr>
            <w:tcW w:w="305" w:type="dxa"/>
          </w:tcPr>
          <w:p w14:paraId="12D82468" w14:textId="77777777" w:rsidR="00856C6C" w:rsidRPr="004421A9" w:rsidRDefault="00856C6C" w:rsidP="00856C6C">
            <w:pPr>
              <w:jc w:val="left"/>
              <w:rPr>
                <w:rFonts w:cs="Arial"/>
                <w:sz w:val="16"/>
                <w:szCs w:val="16"/>
              </w:rPr>
            </w:pPr>
          </w:p>
        </w:tc>
        <w:tc>
          <w:tcPr>
            <w:tcW w:w="2457" w:type="dxa"/>
          </w:tcPr>
          <w:p w14:paraId="08F96846" w14:textId="2CD2E469" w:rsidR="00856C6C" w:rsidRPr="004421A9" w:rsidRDefault="00856C6C" w:rsidP="00856C6C">
            <w:pPr>
              <w:ind w:left="284"/>
              <w:jc w:val="left"/>
              <w:rPr>
                <w:rFonts w:cs="Arial"/>
                <w:sz w:val="16"/>
                <w:szCs w:val="16"/>
              </w:rPr>
            </w:pPr>
            <w:r w:rsidRPr="004421A9">
              <w:rPr>
                <w:rFonts w:cs="Arial"/>
                <w:sz w:val="16"/>
                <w:szCs w:val="16"/>
              </w:rPr>
              <w:t>Anzahl von Followern in sozialen Medien</w:t>
            </w:r>
          </w:p>
        </w:tc>
        <w:tc>
          <w:tcPr>
            <w:tcW w:w="1495" w:type="dxa"/>
          </w:tcPr>
          <w:p w14:paraId="63220BA3" w14:textId="491E0002" w:rsidR="00856C6C" w:rsidRPr="004421A9" w:rsidRDefault="00856C6C" w:rsidP="00856C6C">
            <w:pPr>
              <w:jc w:val="center"/>
              <w:rPr>
                <w:rFonts w:cs="Arial"/>
                <w:sz w:val="16"/>
                <w:szCs w:val="16"/>
              </w:rPr>
            </w:pPr>
            <w:r w:rsidRPr="004421A9">
              <w:rPr>
                <w:rFonts w:asciiTheme="majorHAnsi" w:hAnsiTheme="majorHAnsi" w:cstheme="majorHAnsi"/>
                <w:sz w:val="16"/>
                <w:szCs w:val="16"/>
              </w:rPr>
              <w:t>X: 2</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 xml:space="preserve">668 </w:t>
            </w:r>
            <w:r w:rsidRPr="004421A9">
              <w:rPr>
                <w:rFonts w:asciiTheme="majorHAnsi" w:hAnsiTheme="majorHAnsi" w:cstheme="majorHAnsi"/>
                <w:sz w:val="16"/>
                <w:szCs w:val="16"/>
              </w:rPr>
              <w:br/>
              <w:t xml:space="preserve">(2024); </w:t>
            </w:r>
            <w:r w:rsidRPr="004421A9">
              <w:rPr>
                <w:rFonts w:asciiTheme="majorHAnsi" w:hAnsiTheme="majorHAnsi" w:cstheme="majorHAnsi"/>
                <w:sz w:val="16"/>
                <w:szCs w:val="16"/>
              </w:rPr>
              <w:br/>
              <w:t>LinkedIn: 6</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831</w:t>
            </w:r>
            <w:r w:rsidRPr="004421A9">
              <w:rPr>
                <w:rFonts w:asciiTheme="majorHAnsi" w:hAnsiTheme="majorHAnsi" w:cstheme="majorHAnsi"/>
                <w:sz w:val="16"/>
                <w:szCs w:val="16"/>
              </w:rPr>
              <w:br/>
              <w:t>(2024)</w:t>
            </w:r>
          </w:p>
        </w:tc>
        <w:tc>
          <w:tcPr>
            <w:tcW w:w="1838" w:type="dxa"/>
          </w:tcPr>
          <w:p w14:paraId="5FEE1595" w14:textId="693C6275"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X: 3</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300 (2026);</w:t>
            </w:r>
            <w:r w:rsidRPr="004421A9">
              <w:rPr>
                <w:rFonts w:asciiTheme="majorHAnsi" w:hAnsiTheme="majorHAnsi" w:cstheme="majorHAnsi"/>
                <w:sz w:val="16"/>
                <w:szCs w:val="16"/>
              </w:rPr>
              <w:br/>
              <w:t>4</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(2027);</w:t>
            </w:r>
          </w:p>
          <w:p w14:paraId="628ADFF9" w14:textId="77777777" w:rsidR="00391368"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LinkedIn: 9</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 xml:space="preserve">000 (2026) </w:t>
            </w:r>
          </w:p>
          <w:p w14:paraId="2C254DA0" w14:textId="3A35D4DC" w:rsidR="00856C6C" w:rsidRPr="004421A9" w:rsidRDefault="00856C6C" w:rsidP="00856C6C">
            <w:pPr>
              <w:jc w:val="center"/>
              <w:rPr>
                <w:rFonts w:cs="Arial"/>
                <w:sz w:val="16"/>
                <w:szCs w:val="16"/>
              </w:rPr>
            </w:pPr>
            <w:r w:rsidRPr="004421A9">
              <w:rPr>
                <w:rFonts w:asciiTheme="majorHAnsi" w:hAnsiTheme="majorHAnsi" w:cstheme="majorHAnsi"/>
                <w:sz w:val="16"/>
                <w:szCs w:val="16"/>
              </w:rPr>
              <w:t>10,000</w:t>
            </w:r>
            <w:r w:rsidR="00391368">
              <w:rPr>
                <w:rFonts w:asciiTheme="majorHAnsi" w:hAnsiTheme="majorHAnsi" w:cstheme="majorHAnsi"/>
                <w:sz w:val="16"/>
                <w:szCs w:val="16"/>
              </w:rPr>
              <w:t xml:space="preserve"> </w:t>
            </w:r>
            <w:r w:rsidRPr="004421A9">
              <w:rPr>
                <w:rFonts w:asciiTheme="majorHAnsi" w:hAnsiTheme="majorHAnsi" w:cstheme="majorHAnsi"/>
                <w:sz w:val="16"/>
                <w:szCs w:val="16"/>
              </w:rPr>
              <w:t>(2027)</w:t>
            </w:r>
          </w:p>
        </w:tc>
      </w:tr>
      <w:tr w:rsidR="00856C6C" w:rsidRPr="004421A9" w14:paraId="4E1C4CCF" w14:textId="77777777" w:rsidTr="00391368">
        <w:tc>
          <w:tcPr>
            <w:tcW w:w="426" w:type="dxa"/>
            <w:tcBorders>
              <w:bottom w:val="single" w:sz="4" w:space="0" w:color="D9D9D9" w:themeColor="background1" w:themeShade="D9"/>
            </w:tcBorders>
          </w:tcPr>
          <w:p w14:paraId="100AAAD4" w14:textId="77777777" w:rsidR="00856C6C" w:rsidRPr="004421A9" w:rsidRDefault="00856C6C" w:rsidP="00856C6C">
            <w:pPr>
              <w:jc w:val="left"/>
              <w:rPr>
                <w:rFonts w:cs="Arial"/>
                <w:sz w:val="16"/>
                <w:szCs w:val="16"/>
              </w:rPr>
            </w:pPr>
          </w:p>
        </w:tc>
        <w:tc>
          <w:tcPr>
            <w:tcW w:w="3118" w:type="dxa"/>
            <w:tcBorders>
              <w:bottom w:val="single" w:sz="4" w:space="0" w:color="D9D9D9" w:themeColor="background1" w:themeShade="D9"/>
            </w:tcBorders>
          </w:tcPr>
          <w:p w14:paraId="04482E5B" w14:textId="77777777" w:rsidR="00856C6C" w:rsidRPr="004421A9" w:rsidRDefault="00856C6C" w:rsidP="00856C6C">
            <w:pPr>
              <w:jc w:val="left"/>
              <w:rPr>
                <w:rFonts w:cs="Arial"/>
                <w:sz w:val="16"/>
                <w:szCs w:val="16"/>
              </w:rPr>
            </w:pPr>
          </w:p>
        </w:tc>
        <w:tc>
          <w:tcPr>
            <w:tcW w:w="305" w:type="dxa"/>
            <w:tcBorders>
              <w:bottom w:val="single" w:sz="4" w:space="0" w:color="D9D9D9" w:themeColor="background1" w:themeShade="D9"/>
            </w:tcBorders>
          </w:tcPr>
          <w:p w14:paraId="60271A65" w14:textId="77777777" w:rsidR="00856C6C" w:rsidRPr="004421A9" w:rsidRDefault="00856C6C" w:rsidP="00856C6C">
            <w:pPr>
              <w:jc w:val="center"/>
              <w:rPr>
                <w:rFonts w:cs="Arial"/>
                <w:sz w:val="16"/>
                <w:szCs w:val="16"/>
              </w:rPr>
            </w:pPr>
          </w:p>
        </w:tc>
        <w:tc>
          <w:tcPr>
            <w:tcW w:w="2457" w:type="dxa"/>
            <w:tcBorders>
              <w:bottom w:val="single" w:sz="4" w:space="0" w:color="D9D9D9" w:themeColor="background1" w:themeShade="D9"/>
            </w:tcBorders>
          </w:tcPr>
          <w:p w14:paraId="572C7D84" w14:textId="3170C7AB" w:rsidR="00856C6C" w:rsidRPr="004421A9" w:rsidRDefault="00856C6C" w:rsidP="00856C6C">
            <w:pPr>
              <w:ind w:left="284"/>
              <w:jc w:val="left"/>
              <w:rPr>
                <w:rFonts w:cs="Arial"/>
                <w:sz w:val="16"/>
                <w:szCs w:val="16"/>
              </w:rPr>
            </w:pPr>
            <w:r w:rsidRPr="004421A9">
              <w:rPr>
                <w:rFonts w:cs="Arial"/>
                <w:sz w:val="16"/>
                <w:szCs w:val="16"/>
              </w:rPr>
              <w:t>Anzahl der Aufrufe von Videos auf der Seite „Vorteile“ der UPOV-Website</w:t>
            </w:r>
          </w:p>
        </w:tc>
        <w:tc>
          <w:tcPr>
            <w:tcW w:w="1495" w:type="dxa"/>
            <w:tcBorders>
              <w:bottom w:val="single" w:sz="4" w:space="0" w:color="D9D9D9" w:themeColor="background1" w:themeShade="D9"/>
            </w:tcBorders>
          </w:tcPr>
          <w:p w14:paraId="60D80F36" w14:textId="28FA9B34" w:rsidR="00856C6C" w:rsidRPr="004421A9" w:rsidRDefault="00856C6C" w:rsidP="00856C6C">
            <w:pPr>
              <w:jc w:val="center"/>
              <w:rPr>
                <w:rFonts w:cs="Arial"/>
                <w:sz w:val="16"/>
                <w:szCs w:val="16"/>
              </w:rPr>
            </w:pPr>
            <w:r w:rsidRPr="004421A9">
              <w:rPr>
                <w:rFonts w:asciiTheme="majorHAnsi" w:hAnsiTheme="majorHAnsi" w:cstheme="majorHAnsi"/>
                <w:sz w:val="16"/>
                <w:szCs w:val="16"/>
              </w:rPr>
              <w:t>3</w:t>
            </w:r>
            <w:r w:rsidR="001C530E">
              <w:rPr>
                <w:rFonts w:asciiTheme="majorHAnsi" w:hAnsiTheme="majorHAnsi" w:cstheme="majorHAnsi"/>
                <w:sz w:val="16"/>
                <w:szCs w:val="16"/>
              </w:rPr>
              <w:t>.</w:t>
            </w:r>
            <w:r w:rsidRPr="004421A9">
              <w:rPr>
                <w:rFonts w:asciiTheme="majorHAnsi" w:hAnsiTheme="majorHAnsi" w:cstheme="majorHAnsi"/>
                <w:sz w:val="16"/>
                <w:szCs w:val="16"/>
              </w:rPr>
              <w:t>921 (2024)</w:t>
            </w:r>
          </w:p>
        </w:tc>
        <w:tc>
          <w:tcPr>
            <w:tcW w:w="1838" w:type="dxa"/>
            <w:tcBorders>
              <w:bottom w:val="single" w:sz="4" w:space="0" w:color="D9D9D9" w:themeColor="background1" w:themeShade="D9"/>
            </w:tcBorders>
          </w:tcPr>
          <w:p w14:paraId="2A4D8DCA" w14:textId="40992282"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4</w:t>
            </w:r>
            <w:r w:rsidR="00792F24">
              <w:rPr>
                <w:rFonts w:asciiTheme="majorHAnsi" w:hAnsiTheme="majorHAnsi" w:cstheme="majorHAnsi"/>
                <w:sz w:val="16"/>
                <w:szCs w:val="16"/>
              </w:rPr>
              <w:t>.</w:t>
            </w:r>
            <w:r w:rsidRPr="004421A9">
              <w:rPr>
                <w:rFonts w:asciiTheme="majorHAnsi" w:hAnsiTheme="majorHAnsi" w:cstheme="majorHAnsi"/>
                <w:sz w:val="16"/>
                <w:szCs w:val="16"/>
              </w:rPr>
              <w:t>800 (2026)</w:t>
            </w:r>
          </w:p>
          <w:p w14:paraId="5BCC77C9" w14:textId="686B5DB5" w:rsidR="00856C6C" w:rsidRPr="004421A9" w:rsidRDefault="00856C6C" w:rsidP="00856C6C">
            <w:pPr>
              <w:jc w:val="center"/>
              <w:rPr>
                <w:rFonts w:cs="Arial"/>
                <w:sz w:val="16"/>
                <w:szCs w:val="16"/>
              </w:rPr>
            </w:pPr>
            <w:r w:rsidRPr="004421A9">
              <w:rPr>
                <w:rFonts w:asciiTheme="majorHAnsi" w:hAnsiTheme="majorHAnsi" w:cstheme="majorHAnsi"/>
                <w:sz w:val="16"/>
                <w:szCs w:val="16"/>
              </w:rPr>
              <w:t>5</w:t>
            </w:r>
            <w:r w:rsidR="00792F24">
              <w:rPr>
                <w:rFonts w:asciiTheme="majorHAnsi" w:hAnsiTheme="majorHAnsi" w:cstheme="majorHAnsi"/>
                <w:sz w:val="16"/>
                <w:szCs w:val="16"/>
              </w:rPr>
              <w:t>.</w:t>
            </w:r>
            <w:r w:rsidRPr="004421A9">
              <w:rPr>
                <w:rFonts w:asciiTheme="majorHAnsi" w:hAnsiTheme="majorHAnsi" w:cstheme="majorHAnsi"/>
                <w:sz w:val="16"/>
                <w:szCs w:val="16"/>
              </w:rPr>
              <w:t>500 (2027)</w:t>
            </w:r>
          </w:p>
        </w:tc>
      </w:tr>
      <w:tr w:rsidR="00856C6C" w:rsidRPr="004421A9" w14:paraId="46F1920C" w14:textId="77777777" w:rsidTr="00391368">
        <w:tc>
          <w:tcPr>
            <w:tcW w:w="426" w:type="dxa"/>
            <w:tcBorders>
              <w:top w:val="single" w:sz="4" w:space="0" w:color="D9D9D9" w:themeColor="background1" w:themeShade="D9"/>
            </w:tcBorders>
          </w:tcPr>
          <w:p w14:paraId="2EBB8588" w14:textId="299F083E" w:rsidR="00856C6C" w:rsidRPr="004421A9" w:rsidRDefault="00856C6C" w:rsidP="00856C6C">
            <w:pPr>
              <w:jc w:val="left"/>
              <w:rPr>
                <w:rFonts w:cs="Arial"/>
                <w:sz w:val="16"/>
                <w:szCs w:val="16"/>
              </w:rPr>
            </w:pPr>
            <w:r w:rsidRPr="004421A9">
              <w:rPr>
                <w:rFonts w:cs="Arial"/>
                <w:sz w:val="16"/>
                <w:szCs w:val="16"/>
              </w:rPr>
              <w:t>2.2</w:t>
            </w:r>
          </w:p>
        </w:tc>
        <w:tc>
          <w:tcPr>
            <w:tcW w:w="3118" w:type="dxa"/>
            <w:tcBorders>
              <w:top w:val="single" w:sz="4" w:space="0" w:color="D9D9D9" w:themeColor="background1" w:themeShade="D9"/>
            </w:tcBorders>
          </w:tcPr>
          <w:p w14:paraId="6AFE6E32" w14:textId="31A605DE" w:rsidR="00856C6C" w:rsidRPr="004421A9" w:rsidRDefault="00856C6C" w:rsidP="00856C6C">
            <w:pPr>
              <w:jc w:val="left"/>
              <w:rPr>
                <w:rFonts w:cs="Arial"/>
                <w:sz w:val="16"/>
                <w:szCs w:val="16"/>
              </w:rPr>
            </w:pPr>
            <w:r w:rsidRPr="004421A9">
              <w:rPr>
                <w:rFonts w:cs="Arial"/>
                <w:sz w:val="16"/>
                <w:szCs w:val="16"/>
              </w:rPr>
              <w:t>Anleitung und Unterstützung beim UPOV-Übereinkommen und dessen Umsetzung</w:t>
            </w:r>
          </w:p>
        </w:tc>
        <w:tc>
          <w:tcPr>
            <w:tcW w:w="305" w:type="dxa"/>
            <w:tcBorders>
              <w:top w:val="single" w:sz="4" w:space="0" w:color="D9D9D9" w:themeColor="background1" w:themeShade="D9"/>
            </w:tcBorders>
          </w:tcPr>
          <w:p w14:paraId="3DD6726B" w14:textId="3C84986F" w:rsidR="00856C6C" w:rsidRPr="004421A9" w:rsidRDefault="00856C6C" w:rsidP="00856C6C">
            <w:pPr>
              <w:jc w:val="center"/>
              <w:rPr>
                <w:rFonts w:cs="Arial"/>
                <w:sz w:val="16"/>
                <w:szCs w:val="16"/>
              </w:rPr>
            </w:pPr>
            <w:r w:rsidRPr="004421A9">
              <w:rPr>
                <w:rFonts w:cs="Arial"/>
                <w:sz w:val="16"/>
                <w:szCs w:val="16"/>
              </w:rPr>
              <w:t>4</w:t>
            </w:r>
          </w:p>
        </w:tc>
        <w:tc>
          <w:tcPr>
            <w:tcW w:w="2457" w:type="dxa"/>
            <w:tcBorders>
              <w:top w:val="single" w:sz="4" w:space="0" w:color="D9D9D9" w:themeColor="background1" w:themeShade="D9"/>
            </w:tcBorders>
          </w:tcPr>
          <w:p w14:paraId="66F04F41" w14:textId="136B2957" w:rsidR="00856C6C" w:rsidRPr="004421A9" w:rsidRDefault="00856C6C" w:rsidP="00856C6C">
            <w:pPr>
              <w:jc w:val="left"/>
              <w:rPr>
                <w:rFonts w:cs="Arial"/>
                <w:sz w:val="16"/>
                <w:szCs w:val="16"/>
              </w:rPr>
            </w:pPr>
            <w:r w:rsidRPr="004421A9">
              <w:rPr>
                <w:rFonts w:cs="Arial"/>
                <w:sz w:val="16"/>
                <w:szCs w:val="16"/>
              </w:rPr>
              <w:t>Anzahl von Staaten und Organisationen</w:t>
            </w:r>
            <w:r w:rsidR="00D7358F" w:rsidRPr="004421A9">
              <w:rPr>
                <w:rFonts w:cs="Arial"/>
                <w:sz w:val="16"/>
                <w:szCs w:val="16"/>
              </w:rPr>
              <w:t>,</w:t>
            </w:r>
            <w:r w:rsidRPr="004421A9">
              <w:rPr>
                <w:rFonts w:cs="Arial"/>
                <w:sz w:val="16"/>
                <w:szCs w:val="16"/>
              </w:rPr>
              <w:t xml:space="preserve"> die an Schulungs-/Unterstützungstätigkeiten der UPOV teilnehmen</w:t>
            </w:r>
          </w:p>
        </w:tc>
        <w:tc>
          <w:tcPr>
            <w:tcW w:w="1495" w:type="dxa"/>
            <w:tcBorders>
              <w:top w:val="single" w:sz="4" w:space="0" w:color="D9D9D9" w:themeColor="background1" w:themeShade="D9"/>
            </w:tcBorders>
            <w:shd w:val="clear" w:color="000000" w:fill="FFFFFF"/>
          </w:tcPr>
          <w:p w14:paraId="2C1D6F65" w14:textId="30693D20" w:rsidR="00856C6C" w:rsidRPr="004421A9" w:rsidRDefault="00856C6C" w:rsidP="00856C6C">
            <w:pPr>
              <w:jc w:val="center"/>
              <w:rPr>
                <w:rFonts w:cs="Arial"/>
                <w:sz w:val="16"/>
                <w:szCs w:val="16"/>
              </w:rPr>
            </w:pPr>
            <w:r w:rsidRPr="004421A9">
              <w:rPr>
                <w:rFonts w:asciiTheme="majorHAnsi" w:hAnsiTheme="majorHAnsi" w:cstheme="majorHAnsi"/>
                <w:bCs/>
                <w:sz w:val="16"/>
                <w:szCs w:val="16"/>
              </w:rPr>
              <w:t xml:space="preserve">128 </w:t>
            </w:r>
            <w:r w:rsidR="00377417" w:rsidRPr="004421A9">
              <w:rPr>
                <w:rFonts w:asciiTheme="majorHAnsi" w:hAnsiTheme="majorHAnsi" w:cstheme="majorHAnsi"/>
                <w:bCs/>
                <w:sz w:val="16"/>
                <w:szCs w:val="16"/>
              </w:rPr>
              <w:t>Staaten</w:t>
            </w:r>
            <w:r w:rsidRPr="004421A9">
              <w:rPr>
                <w:rFonts w:asciiTheme="majorHAnsi" w:hAnsiTheme="majorHAnsi" w:cstheme="majorHAnsi"/>
                <w:bCs/>
                <w:sz w:val="16"/>
                <w:szCs w:val="16"/>
              </w:rPr>
              <w:t xml:space="preserve">; </w:t>
            </w:r>
            <w:r w:rsidRPr="004421A9">
              <w:rPr>
                <w:rFonts w:asciiTheme="majorHAnsi" w:hAnsiTheme="majorHAnsi" w:cstheme="majorHAnsi"/>
                <w:bCs/>
                <w:sz w:val="16"/>
                <w:szCs w:val="16"/>
              </w:rPr>
              <w:br/>
              <w:t xml:space="preserve">31 </w:t>
            </w:r>
            <w:r w:rsidR="00246ABE">
              <w:rPr>
                <w:rFonts w:asciiTheme="majorHAnsi" w:hAnsiTheme="majorHAnsi" w:cstheme="majorHAnsi"/>
                <w:bCs/>
                <w:sz w:val="16"/>
                <w:szCs w:val="16"/>
              </w:rPr>
              <w:t>O</w:t>
            </w:r>
            <w:r w:rsidR="00377417" w:rsidRPr="004421A9">
              <w:rPr>
                <w:rFonts w:asciiTheme="majorHAnsi" w:hAnsiTheme="majorHAnsi" w:cstheme="majorHAnsi"/>
                <w:bCs/>
                <w:sz w:val="16"/>
                <w:szCs w:val="16"/>
              </w:rPr>
              <w:t>rganisationen</w:t>
            </w:r>
            <w:r w:rsidRPr="004421A9">
              <w:rPr>
                <w:rFonts w:asciiTheme="majorHAnsi" w:hAnsiTheme="majorHAnsi" w:cstheme="majorHAnsi"/>
                <w:bCs/>
                <w:sz w:val="16"/>
                <w:szCs w:val="16"/>
              </w:rPr>
              <w:t xml:space="preserve"> (2024)</w:t>
            </w:r>
          </w:p>
        </w:tc>
        <w:tc>
          <w:tcPr>
            <w:tcW w:w="1838" w:type="dxa"/>
            <w:tcBorders>
              <w:top w:val="single" w:sz="4" w:space="0" w:color="D9D9D9" w:themeColor="background1" w:themeShade="D9"/>
            </w:tcBorders>
            <w:shd w:val="clear" w:color="000000" w:fill="FFFFFF"/>
          </w:tcPr>
          <w:p w14:paraId="3037072A" w14:textId="07BFA696" w:rsidR="00856C6C" w:rsidRPr="004421A9" w:rsidRDefault="00377417" w:rsidP="00856C6C">
            <w:pPr>
              <w:jc w:val="center"/>
              <w:rPr>
                <w:rFonts w:asciiTheme="majorHAnsi" w:hAnsiTheme="majorHAnsi" w:cstheme="majorHAnsi"/>
                <w:sz w:val="16"/>
                <w:szCs w:val="16"/>
              </w:rPr>
            </w:pPr>
            <w:r w:rsidRPr="004421A9">
              <w:rPr>
                <w:rFonts w:asciiTheme="majorHAnsi" w:hAnsiTheme="majorHAnsi" w:cstheme="majorHAnsi"/>
                <w:sz w:val="16"/>
                <w:szCs w:val="16"/>
              </w:rPr>
              <w:t>Staaten</w:t>
            </w:r>
            <w:r w:rsidR="00856C6C" w:rsidRPr="004421A9">
              <w:rPr>
                <w:rFonts w:asciiTheme="majorHAnsi" w:hAnsiTheme="majorHAnsi" w:cstheme="majorHAnsi"/>
                <w:sz w:val="16"/>
                <w:szCs w:val="16"/>
              </w:rPr>
              <w:t xml:space="preserve">: 140 (2026); </w:t>
            </w:r>
            <w:r w:rsidR="00856C6C" w:rsidRPr="004421A9">
              <w:rPr>
                <w:rFonts w:asciiTheme="majorHAnsi" w:hAnsiTheme="majorHAnsi" w:cstheme="majorHAnsi"/>
                <w:sz w:val="16"/>
                <w:szCs w:val="16"/>
              </w:rPr>
              <w:br/>
              <w:t>150 (2027)</w:t>
            </w:r>
          </w:p>
          <w:p w14:paraId="4A1AA6A8" w14:textId="4314DD6B"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br/>
            </w:r>
            <w:r w:rsidR="00246ABE">
              <w:rPr>
                <w:rFonts w:asciiTheme="majorHAnsi" w:hAnsiTheme="majorHAnsi" w:cstheme="majorHAnsi"/>
                <w:sz w:val="16"/>
                <w:szCs w:val="16"/>
              </w:rPr>
              <w:t>O</w:t>
            </w:r>
            <w:r w:rsidR="00377417" w:rsidRPr="004421A9">
              <w:rPr>
                <w:rFonts w:asciiTheme="majorHAnsi" w:hAnsiTheme="majorHAnsi" w:cstheme="majorHAnsi"/>
                <w:sz w:val="16"/>
                <w:szCs w:val="16"/>
              </w:rPr>
              <w:t>rganisationen</w:t>
            </w:r>
            <w:r w:rsidRPr="004421A9">
              <w:rPr>
                <w:rFonts w:asciiTheme="majorHAnsi" w:hAnsiTheme="majorHAnsi" w:cstheme="majorHAnsi"/>
                <w:sz w:val="16"/>
                <w:szCs w:val="16"/>
              </w:rPr>
              <w:t>:</w:t>
            </w:r>
          </w:p>
          <w:p w14:paraId="7B78510C" w14:textId="77777777"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 xml:space="preserve">33 (2026) </w:t>
            </w:r>
          </w:p>
          <w:p w14:paraId="0047360F" w14:textId="51CA2747" w:rsidR="00856C6C" w:rsidRPr="004421A9" w:rsidRDefault="00856C6C" w:rsidP="00856C6C">
            <w:pPr>
              <w:jc w:val="center"/>
              <w:rPr>
                <w:rFonts w:cs="Arial"/>
                <w:sz w:val="16"/>
                <w:szCs w:val="16"/>
              </w:rPr>
            </w:pPr>
            <w:r w:rsidRPr="004421A9">
              <w:rPr>
                <w:rFonts w:asciiTheme="majorHAnsi" w:hAnsiTheme="majorHAnsi" w:cstheme="majorHAnsi"/>
                <w:sz w:val="16"/>
                <w:szCs w:val="16"/>
              </w:rPr>
              <w:t>35 (2027)</w:t>
            </w:r>
          </w:p>
        </w:tc>
      </w:tr>
      <w:tr w:rsidR="00856C6C" w:rsidRPr="004421A9" w14:paraId="559783BB" w14:textId="77777777" w:rsidTr="00391368">
        <w:tc>
          <w:tcPr>
            <w:tcW w:w="426" w:type="dxa"/>
          </w:tcPr>
          <w:p w14:paraId="3C7CC3D5" w14:textId="77777777" w:rsidR="00856C6C" w:rsidRPr="004421A9" w:rsidRDefault="00856C6C" w:rsidP="00856C6C">
            <w:pPr>
              <w:jc w:val="left"/>
              <w:rPr>
                <w:rFonts w:cs="Arial"/>
                <w:sz w:val="16"/>
                <w:szCs w:val="16"/>
              </w:rPr>
            </w:pPr>
          </w:p>
        </w:tc>
        <w:tc>
          <w:tcPr>
            <w:tcW w:w="3118" w:type="dxa"/>
          </w:tcPr>
          <w:p w14:paraId="197192B4" w14:textId="77777777" w:rsidR="00856C6C" w:rsidRPr="004421A9" w:rsidRDefault="00856C6C" w:rsidP="00856C6C">
            <w:pPr>
              <w:jc w:val="left"/>
              <w:rPr>
                <w:rFonts w:cs="Arial"/>
                <w:sz w:val="16"/>
                <w:szCs w:val="16"/>
              </w:rPr>
            </w:pPr>
          </w:p>
        </w:tc>
        <w:tc>
          <w:tcPr>
            <w:tcW w:w="305" w:type="dxa"/>
          </w:tcPr>
          <w:p w14:paraId="3515D271" w14:textId="26346314" w:rsidR="00856C6C" w:rsidRPr="004421A9" w:rsidRDefault="00856C6C" w:rsidP="00856C6C">
            <w:pPr>
              <w:jc w:val="center"/>
              <w:rPr>
                <w:rFonts w:cs="Arial"/>
                <w:sz w:val="16"/>
                <w:szCs w:val="16"/>
              </w:rPr>
            </w:pPr>
            <w:r w:rsidRPr="004421A9">
              <w:rPr>
                <w:rFonts w:cs="Arial"/>
                <w:sz w:val="16"/>
                <w:szCs w:val="16"/>
              </w:rPr>
              <w:t>5</w:t>
            </w:r>
          </w:p>
        </w:tc>
        <w:tc>
          <w:tcPr>
            <w:tcW w:w="2457" w:type="dxa"/>
          </w:tcPr>
          <w:p w14:paraId="213704BB" w14:textId="4B12B914" w:rsidR="00856C6C" w:rsidRPr="004421A9" w:rsidRDefault="00856C6C" w:rsidP="00856C6C">
            <w:pPr>
              <w:jc w:val="left"/>
              <w:rPr>
                <w:rFonts w:cs="Arial"/>
                <w:sz w:val="16"/>
                <w:szCs w:val="16"/>
              </w:rPr>
            </w:pPr>
            <w:r w:rsidRPr="004421A9">
              <w:rPr>
                <w:rFonts w:cs="Arial"/>
                <w:sz w:val="16"/>
                <w:szCs w:val="16"/>
              </w:rPr>
              <w:t>Anzahl an Teilnehmern</w:t>
            </w:r>
            <w:r w:rsidR="00D7358F" w:rsidRPr="004421A9">
              <w:rPr>
                <w:rFonts w:cs="Arial"/>
                <w:sz w:val="16"/>
                <w:szCs w:val="16"/>
              </w:rPr>
              <w:t>,</w:t>
            </w:r>
            <w:r w:rsidRPr="004421A9">
              <w:rPr>
                <w:rFonts w:cs="Arial"/>
                <w:sz w:val="16"/>
                <w:szCs w:val="16"/>
              </w:rPr>
              <w:t xml:space="preserve"> die Fernlehrgänge der UPOV erfolgreich abgeschlossen haben</w:t>
            </w:r>
          </w:p>
        </w:tc>
        <w:tc>
          <w:tcPr>
            <w:tcW w:w="1495" w:type="dxa"/>
            <w:shd w:val="clear" w:color="000000" w:fill="FFFFFF"/>
          </w:tcPr>
          <w:p w14:paraId="56BD3EF1" w14:textId="53A27157" w:rsidR="00856C6C" w:rsidRPr="004421A9" w:rsidRDefault="00856C6C" w:rsidP="00856C6C">
            <w:pPr>
              <w:jc w:val="center"/>
              <w:rPr>
                <w:rFonts w:cs="Arial"/>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027 (2024)</w:t>
            </w:r>
          </w:p>
        </w:tc>
        <w:tc>
          <w:tcPr>
            <w:tcW w:w="1838" w:type="dxa"/>
          </w:tcPr>
          <w:p w14:paraId="6F95476D" w14:textId="32EFAE6C"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100 (2026)</w:t>
            </w:r>
          </w:p>
          <w:p w14:paraId="3524888E" w14:textId="0663FB6A" w:rsidR="00856C6C" w:rsidRPr="004421A9" w:rsidRDefault="00856C6C" w:rsidP="00856C6C">
            <w:pPr>
              <w:jc w:val="center"/>
              <w:rPr>
                <w:rFonts w:cs="Arial"/>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200 (2027)</w:t>
            </w:r>
          </w:p>
        </w:tc>
      </w:tr>
      <w:tr w:rsidR="00856C6C" w:rsidRPr="004421A9" w14:paraId="059FC045" w14:textId="77777777" w:rsidTr="00391368">
        <w:trPr>
          <w:cantSplit/>
        </w:trPr>
        <w:tc>
          <w:tcPr>
            <w:tcW w:w="426" w:type="dxa"/>
          </w:tcPr>
          <w:p w14:paraId="30A57619" w14:textId="77777777" w:rsidR="00856C6C" w:rsidRPr="004421A9" w:rsidRDefault="00856C6C" w:rsidP="00856C6C">
            <w:pPr>
              <w:jc w:val="left"/>
              <w:rPr>
                <w:rFonts w:cs="Arial"/>
                <w:sz w:val="16"/>
                <w:szCs w:val="16"/>
              </w:rPr>
            </w:pPr>
          </w:p>
        </w:tc>
        <w:tc>
          <w:tcPr>
            <w:tcW w:w="3118" w:type="dxa"/>
          </w:tcPr>
          <w:p w14:paraId="56B07CC4" w14:textId="77777777" w:rsidR="00856C6C" w:rsidRPr="004421A9" w:rsidRDefault="00856C6C" w:rsidP="00856C6C">
            <w:pPr>
              <w:jc w:val="left"/>
              <w:rPr>
                <w:rFonts w:cs="Arial"/>
                <w:sz w:val="16"/>
                <w:szCs w:val="16"/>
              </w:rPr>
            </w:pPr>
          </w:p>
        </w:tc>
        <w:tc>
          <w:tcPr>
            <w:tcW w:w="305" w:type="dxa"/>
          </w:tcPr>
          <w:p w14:paraId="4BAF4352" w14:textId="3CF20FC7" w:rsidR="00856C6C" w:rsidRPr="004421A9" w:rsidRDefault="00856C6C" w:rsidP="00856C6C">
            <w:pPr>
              <w:jc w:val="center"/>
              <w:rPr>
                <w:rFonts w:cs="Arial"/>
                <w:sz w:val="16"/>
                <w:szCs w:val="16"/>
              </w:rPr>
            </w:pPr>
            <w:r w:rsidRPr="004421A9">
              <w:rPr>
                <w:rFonts w:cs="Arial"/>
                <w:sz w:val="16"/>
                <w:szCs w:val="16"/>
              </w:rPr>
              <w:t>6</w:t>
            </w:r>
          </w:p>
        </w:tc>
        <w:tc>
          <w:tcPr>
            <w:tcW w:w="2457" w:type="dxa"/>
          </w:tcPr>
          <w:p w14:paraId="1DB66BA5" w14:textId="4EF9181C" w:rsidR="00856C6C" w:rsidRPr="004421A9" w:rsidRDefault="00856C6C" w:rsidP="00856C6C">
            <w:pPr>
              <w:jc w:val="left"/>
              <w:rPr>
                <w:rFonts w:cs="Arial"/>
                <w:sz w:val="16"/>
                <w:szCs w:val="16"/>
              </w:rPr>
            </w:pPr>
            <w:r w:rsidRPr="004421A9">
              <w:rPr>
                <w:rFonts w:cs="Arial"/>
                <w:sz w:val="16"/>
                <w:szCs w:val="16"/>
              </w:rPr>
              <w:t>Anzahl an akademischen Einrichtungen</w:t>
            </w:r>
            <w:r w:rsidR="00D7358F" w:rsidRPr="004421A9">
              <w:rPr>
                <w:rFonts w:cs="Arial"/>
                <w:sz w:val="16"/>
                <w:szCs w:val="16"/>
              </w:rPr>
              <w:t>,</w:t>
            </w:r>
            <w:r w:rsidRPr="004421A9">
              <w:rPr>
                <w:rFonts w:cs="Arial"/>
                <w:sz w:val="16"/>
                <w:szCs w:val="16"/>
              </w:rPr>
              <w:t xml:space="preserve"> die Informationen über das UPOV-System in ihre Lehrveranstaltungen einbinden</w:t>
            </w:r>
          </w:p>
        </w:tc>
        <w:tc>
          <w:tcPr>
            <w:tcW w:w="1495" w:type="dxa"/>
          </w:tcPr>
          <w:p w14:paraId="27838E69" w14:textId="1AFA538B" w:rsidR="00856C6C" w:rsidRPr="00D4404C" w:rsidRDefault="00377417" w:rsidP="00856C6C">
            <w:pPr>
              <w:jc w:val="center"/>
              <w:rPr>
                <w:rFonts w:asciiTheme="majorHAnsi" w:hAnsiTheme="majorHAnsi" w:cstheme="majorBidi"/>
                <w:sz w:val="16"/>
                <w:szCs w:val="16"/>
              </w:rPr>
            </w:pPr>
            <w:r w:rsidRPr="00D4404C">
              <w:rPr>
                <w:rFonts w:asciiTheme="majorHAnsi" w:hAnsiTheme="majorHAnsi" w:cstheme="majorBidi"/>
                <w:sz w:val="16"/>
                <w:szCs w:val="16"/>
              </w:rPr>
              <w:t>Afrika</w:t>
            </w:r>
            <w:r w:rsidR="00856C6C" w:rsidRPr="00D4404C">
              <w:rPr>
                <w:rFonts w:asciiTheme="majorHAnsi" w:hAnsiTheme="majorHAnsi" w:cstheme="majorBidi"/>
                <w:sz w:val="16"/>
                <w:szCs w:val="16"/>
              </w:rPr>
              <w:t xml:space="preserve">: 1; </w:t>
            </w:r>
          </w:p>
          <w:p w14:paraId="7CFB0D42" w14:textId="4F1CFEA4" w:rsidR="00856C6C" w:rsidRPr="00D4404C" w:rsidRDefault="00377417" w:rsidP="00856C6C">
            <w:pPr>
              <w:jc w:val="center"/>
              <w:rPr>
                <w:rFonts w:asciiTheme="majorHAnsi" w:hAnsiTheme="majorHAnsi" w:cstheme="majorBidi"/>
                <w:sz w:val="16"/>
                <w:szCs w:val="16"/>
              </w:rPr>
            </w:pPr>
            <w:r w:rsidRPr="00D4404C">
              <w:rPr>
                <w:rFonts w:asciiTheme="majorHAnsi" w:hAnsiTheme="majorHAnsi" w:cstheme="majorBidi"/>
                <w:sz w:val="16"/>
                <w:szCs w:val="16"/>
              </w:rPr>
              <w:t>Amerikas</w:t>
            </w:r>
            <w:r w:rsidR="00856C6C" w:rsidRPr="00D4404C">
              <w:rPr>
                <w:rFonts w:asciiTheme="majorHAnsi" w:hAnsiTheme="majorHAnsi" w:cstheme="majorBidi"/>
                <w:sz w:val="16"/>
                <w:szCs w:val="16"/>
              </w:rPr>
              <w:t>: 0;</w:t>
            </w:r>
          </w:p>
          <w:p w14:paraId="7A4C5E06" w14:textId="7BE7853A" w:rsidR="00856C6C" w:rsidRPr="004421A9" w:rsidRDefault="00377417" w:rsidP="00856C6C">
            <w:pPr>
              <w:jc w:val="center"/>
              <w:rPr>
                <w:rFonts w:cs="Arial"/>
                <w:sz w:val="16"/>
                <w:szCs w:val="16"/>
              </w:rPr>
            </w:pPr>
            <w:r w:rsidRPr="00D4404C">
              <w:rPr>
                <w:rFonts w:asciiTheme="majorHAnsi" w:hAnsiTheme="majorHAnsi" w:cstheme="majorBidi"/>
                <w:sz w:val="16"/>
                <w:szCs w:val="16"/>
              </w:rPr>
              <w:t>Asien/Pazifik</w:t>
            </w:r>
            <w:r w:rsidR="00856C6C" w:rsidRPr="00D4404C">
              <w:rPr>
                <w:rFonts w:asciiTheme="majorHAnsi" w:hAnsiTheme="majorHAnsi" w:cstheme="majorBidi"/>
                <w:sz w:val="16"/>
                <w:szCs w:val="16"/>
              </w:rPr>
              <w:t>: 2; Europ</w:t>
            </w:r>
            <w:r w:rsidRPr="00D4404C">
              <w:rPr>
                <w:rFonts w:asciiTheme="majorHAnsi" w:hAnsiTheme="majorHAnsi" w:cstheme="majorBidi"/>
                <w:sz w:val="16"/>
                <w:szCs w:val="16"/>
              </w:rPr>
              <w:t>a</w:t>
            </w:r>
            <w:r w:rsidR="00856C6C" w:rsidRPr="00D4404C">
              <w:rPr>
                <w:rFonts w:asciiTheme="majorHAnsi" w:hAnsiTheme="majorHAnsi" w:cstheme="majorBidi"/>
                <w:sz w:val="16"/>
                <w:szCs w:val="16"/>
              </w:rPr>
              <w:t>: 7 (2024)</w:t>
            </w:r>
          </w:p>
        </w:tc>
        <w:tc>
          <w:tcPr>
            <w:tcW w:w="1838" w:type="dxa"/>
          </w:tcPr>
          <w:p w14:paraId="49ED8463" w14:textId="1A28D556" w:rsidR="00856C6C" w:rsidRPr="00D4404C" w:rsidRDefault="00377417" w:rsidP="00856C6C">
            <w:pPr>
              <w:jc w:val="center"/>
              <w:rPr>
                <w:rFonts w:asciiTheme="majorHAnsi" w:hAnsiTheme="majorHAnsi" w:cstheme="majorHAnsi"/>
                <w:sz w:val="16"/>
                <w:szCs w:val="16"/>
              </w:rPr>
            </w:pPr>
            <w:r w:rsidRPr="00D4404C">
              <w:rPr>
                <w:rFonts w:asciiTheme="majorHAnsi" w:hAnsiTheme="majorHAnsi" w:cstheme="majorHAnsi"/>
                <w:sz w:val="16"/>
                <w:szCs w:val="16"/>
              </w:rPr>
              <w:t>Afrika</w:t>
            </w:r>
            <w:r w:rsidR="00856C6C" w:rsidRPr="00D4404C">
              <w:rPr>
                <w:rFonts w:asciiTheme="majorHAnsi" w:hAnsiTheme="majorHAnsi" w:cstheme="majorHAnsi"/>
                <w:sz w:val="16"/>
                <w:szCs w:val="16"/>
              </w:rPr>
              <w:t xml:space="preserve">: 4; </w:t>
            </w:r>
            <w:r w:rsidR="00856C6C" w:rsidRPr="00D4404C">
              <w:rPr>
                <w:rFonts w:asciiTheme="majorHAnsi" w:hAnsiTheme="majorHAnsi" w:cstheme="majorHAnsi"/>
                <w:sz w:val="16"/>
                <w:szCs w:val="16"/>
              </w:rPr>
              <w:br/>
            </w:r>
            <w:r w:rsidRPr="00D4404C">
              <w:rPr>
                <w:rFonts w:asciiTheme="majorHAnsi" w:hAnsiTheme="majorHAnsi" w:cstheme="majorHAnsi"/>
                <w:sz w:val="16"/>
                <w:szCs w:val="16"/>
              </w:rPr>
              <w:t>Amerikas</w:t>
            </w:r>
            <w:r w:rsidR="00856C6C" w:rsidRPr="00D4404C">
              <w:rPr>
                <w:rFonts w:asciiTheme="majorHAnsi" w:hAnsiTheme="majorHAnsi" w:cstheme="majorHAnsi"/>
                <w:sz w:val="16"/>
                <w:szCs w:val="16"/>
              </w:rPr>
              <w:t xml:space="preserve">: 3; </w:t>
            </w:r>
            <w:r w:rsidRPr="00D4404C">
              <w:rPr>
                <w:rFonts w:asciiTheme="majorHAnsi" w:hAnsiTheme="majorHAnsi" w:cstheme="majorHAnsi"/>
                <w:sz w:val="16"/>
                <w:szCs w:val="16"/>
              </w:rPr>
              <w:t>Asien/Pazifik</w:t>
            </w:r>
            <w:r w:rsidR="00856C6C" w:rsidRPr="00D4404C">
              <w:rPr>
                <w:rFonts w:asciiTheme="majorHAnsi" w:hAnsiTheme="majorHAnsi" w:cstheme="majorHAnsi"/>
                <w:sz w:val="16"/>
                <w:szCs w:val="16"/>
              </w:rPr>
              <w:t>: 4; Europ</w:t>
            </w:r>
            <w:r w:rsidRPr="00D4404C">
              <w:rPr>
                <w:rFonts w:asciiTheme="majorHAnsi" w:hAnsiTheme="majorHAnsi" w:cstheme="majorHAnsi"/>
                <w:sz w:val="16"/>
                <w:szCs w:val="16"/>
              </w:rPr>
              <w:t>a</w:t>
            </w:r>
            <w:r w:rsidR="00856C6C" w:rsidRPr="00D4404C">
              <w:rPr>
                <w:rFonts w:asciiTheme="majorHAnsi" w:hAnsiTheme="majorHAnsi" w:cstheme="majorHAnsi"/>
                <w:sz w:val="16"/>
                <w:szCs w:val="16"/>
              </w:rPr>
              <w:t xml:space="preserve">: 7 </w:t>
            </w:r>
          </w:p>
          <w:p w14:paraId="5EBFF826" w14:textId="65410E2C" w:rsidR="00856C6C" w:rsidRPr="004421A9" w:rsidRDefault="00856C6C" w:rsidP="00856C6C">
            <w:pPr>
              <w:jc w:val="center"/>
              <w:rPr>
                <w:rFonts w:cs="Arial"/>
                <w:sz w:val="16"/>
                <w:szCs w:val="16"/>
              </w:rPr>
            </w:pPr>
            <w:r w:rsidRPr="004421A9">
              <w:rPr>
                <w:rFonts w:asciiTheme="majorHAnsi" w:hAnsiTheme="majorHAnsi" w:cstheme="majorHAnsi"/>
                <w:sz w:val="16"/>
                <w:szCs w:val="16"/>
              </w:rPr>
              <w:t>(</w:t>
            </w:r>
            <w:r w:rsidR="00377417" w:rsidRPr="004421A9">
              <w:rPr>
                <w:rFonts w:asciiTheme="majorHAnsi" w:hAnsiTheme="majorHAnsi" w:cstheme="majorHAnsi"/>
                <w:sz w:val="16"/>
                <w:szCs w:val="16"/>
              </w:rPr>
              <w:t>am Ende der Rechnungsperiode</w:t>
            </w:r>
            <w:r w:rsidRPr="004421A9">
              <w:rPr>
                <w:rFonts w:asciiTheme="majorHAnsi" w:hAnsiTheme="majorHAnsi" w:cstheme="majorHAnsi"/>
                <w:sz w:val="16"/>
                <w:szCs w:val="16"/>
              </w:rPr>
              <w:t>)</w:t>
            </w:r>
          </w:p>
        </w:tc>
      </w:tr>
      <w:tr w:rsidR="00856C6C" w:rsidRPr="004421A9" w14:paraId="5B052E0C" w14:textId="77777777" w:rsidTr="00391368">
        <w:tc>
          <w:tcPr>
            <w:tcW w:w="426" w:type="dxa"/>
          </w:tcPr>
          <w:p w14:paraId="5C9FD136" w14:textId="77777777" w:rsidR="00856C6C" w:rsidRPr="004421A9" w:rsidRDefault="00856C6C" w:rsidP="00856C6C">
            <w:pPr>
              <w:jc w:val="left"/>
              <w:rPr>
                <w:rFonts w:cs="Arial"/>
                <w:sz w:val="16"/>
                <w:szCs w:val="16"/>
              </w:rPr>
            </w:pPr>
          </w:p>
        </w:tc>
        <w:tc>
          <w:tcPr>
            <w:tcW w:w="3118" w:type="dxa"/>
          </w:tcPr>
          <w:p w14:paraId="7A29DCA8" w14:textId="77777777" w:rsidR="00856C6C" w:rsidRPr="004421A9" w:rsidRDefault="00856C6C" w:rsidP="00856C6C">
            <w:pPr>
              <w:jc w:val="left"/>
              <w:rPr>
                <w:rFonts w:cs="Arial"/>
                <w:sz w:val="16"/>
                <w:szCs w:val="16"/>
              </w:rPr>
            </w:pPr>
          </w:p>
        </w:tc>
        <w:tc>
          <w:tcPr>
            <w:tcW w:w="305" w:type="dxa"/>
          </w:tcPr>
          <w:p w14:paraId="33030348" w14:textId="02BD949D" w:rsidR="00856C6C" w:rsidRPr="004421A9" w:rsidRDefault="00856C6C" w:rsidP="00856C6C">
            <w:pPr>
              <w:jc w:val="center"/>
              <w:rPr>
                <w:rFonts w:cs="Arial"/>
                <w:sz w:val="16"/>
                <w:szCs w:val="16"/>
              </w:rPr>
            </w:pPr>
            <w:r w:rsidRPr="004421A9">
              <w:rPr>
                <w:rFonts w:cs="Arial"/>
                <w:sz w:val="16"/>
                <w:szCs w:val="16"/>
              </w:rPr>
              <w:t>7</w:t>
            </w:r>
          </w:p>
        </w:tc>
        <w:tc>
          <w:tcPr>
            <w:tcW w:w="2457" w:type="dxa"/>
          </w:tcPr>
          <w:p w14:paraId="15A1AA84" w14:textId="6175B417" w:rsidR="00856C6C" w:rsidRPr="004421A9" w:rsidRDefault="00856C6C" w:rsidP="00856C6C">
            <w:pPr>
              <w:jc w:val="left"/>
              <w:rPr>
                <w:rFonts w:cs="Arial"/>
                <w:sz w:val="16"/>
                <w:szCs w:val="16"/>
              </w:rPr>
            </w:pPr>
            <w:r w:rsidRPr="004421A9">
              <w:rPr>
                <w:rFonts w:cs="Arial"/>
                <w:sz w:val="16"/>
                <w:szCs w:val="16"/>
              </w:rPr>
              <w:t>Anzahl an Personen mit internationalem Sortenschutzzertifikat der UPOV</w:t>
            </w:r>
          </w:p>
        </w:tc>
        <w:tc>
          <w:tcPr>
            <w:tcW w:w="1495" w:type="dxa"/>
          </w:tcPr>
          <w:p w14:paraId="761736C2" w14:textId="7EC75486" w:rsidR="00856C6C" w:rsidRPr="004421A9" w:rsidRDefault="00856C6C" w:rsidP="00856C6C">
            <w:pPr>
              <w:jc w:val="center"/>
              <w:rPr>
                <w:rFonts w:cs="Arial"/>
                <w:sz w:val="16"/>
                <w:szCs w:val="16"/>
              </w:rPr>
            </w:pPr>
            <w:r w:rsidRPr="004421A9">
              <w:rPr>
                <w:rFonts w:asciiTheme="majorHAnsi" w:hAnsiTheme="majorHAnsi" w:cstheme="majorHAnsi"/>
                <w:sz w:val="16"/>
                <w:szCs w:val="16"/>
              </w:rPr>
              <w:t>50 (2024)</w:t>
            </w:r>
          </w:p>
        </w:tc>
        <w:tc>
          <w:tcPr>
            <w:tcW w:w="1838" w:type="dxa"/>
          </w:tcPr>
          <w:p w14:paraId="739CA224" w14:textId="52FE3B2D" w:rsidR="00856C6C" w:rsidRPr="004421A9" w:rsidRDefault="00856C6C" w:rsidP="00856C6C">
            <w:pPr>
              <w:jc w:val="center"/>
              <w:rPr>
                <w:rFonts w:cs="Arial"/>
                <w:sz w:val="16"/>
                <w:szCs w:val="16"/>
              </w:rPr>
            </w:pPr>
            <w:r w:rsidRPr="004421A9">
              <w:rPr>
                <w:rFonts w:asciiTheme="majorHAnsi" w:hAnsiTheme="majorHAnsi" w:cstheme="majorHAnsi"/>
                <w:sz w:val="16"/>
                <w:szCs w:val="16"/>
              </w:rPr>
              <w:t xml:space="preserve">250 </w:t>
            </w:r>
            <w:r w:rsidRPr="004421A9">
              <w:rPr>
                <w:rFonts w:asciiTheme="majorHAnsi" w:hAnsiTheme="majorHAnsi" w:cstheme="majorHAnsi"/>
                <w:sz w:val="16"/>
                <w:szCs w:val="16"/>
              </w:rPr>
              <w:br/>
              <w:t>(</w:t>
            </w:r>
            <w:r w:rsidR="00377417" w:rsidRPr="004421A9">
              <w:rPr>
                <w:rFonts w:asciiTheme="majorHAnsi" w:hAnsiTheme="majorHAnsi" w:cstheme="majorHAnsi"/>
                <w:sz w:val="16"/>
                <w:szCs w:val="16"/>
              </w:rPr>
              <w:t>am Ende der Rechnungsperiode</w:t>
            </w:r>
            <w:r w:rsidRPr="004421A9">
              <w:rPr>
                <w:rFonts w:asciiTheme="majorHAnsi" w:hAnsiTheme="majorHAnsi" w:cstheme="majorHAnsi"/>
                <w:sz w:val="16"/>
                <w:szCs w:val="16"/>
              </w:rPr>
              <w:t>)</w:t>
            </w:r>
          </w:p>
        </w:tc>
      </w:tr>
      <w:tr w:rsidR="00856C6C" w:rsidRPr="004421A9" w14:paraId="26E4FA28" w14:textId="77777777" w:rsidTr="00391368">
        <w:tc>
          <w:tcPr>
            <w:tcW w:w="426" w:type="dxa"/>
            <w:tcBorders>
              <w:bottom w:val="single" w:sz="4" w:space="0" w:color="D9D9D9" w:themeColor="background1" w:themeShade="D9"/>
            </w:tcBorders>
          </w:tcPr>
          <w:p w14:paraId="70C45CA5" w14:textId="77777777" w:rsidR="00856C6C" w:rsidRPr="004421A9" w:rsidRDefault="00856C6C" w:rsidP="00856C6C">
            <w:pPr>
              <w:jc w:val="left"/>
              <w:rPr>
                <w:rFonts w:cs="Arial"/>
                <w:sz w:val="16"/>
                <w:szCs w:val="16"/>
              </w:rPr>
            </w:pPr>
          </w:p>
        </w:tc>
        <w:tc>
          <w:tcPr>
            <w:tcW w:w="3118" w:type="dxa"/>
            <w:tcBorders>
              <w:bottom w:val="single" w:sz="4" w:space="0" w:color="D9D9D9" w:themeColor="background1" w:themeShade="D9"/>
            </w:tcBorders>
          </w:tcPr>
          <w:p w14:paraId="3823216D" w14:textId="77777777" w:rsidR="00856C6C" w:rsidRPr="004421A9" w:rsidRDefault="00856C6C" w:rsidP="00856C6C">
            <w:pPr>
              <w:jc w:val="left"/>
              <w:rPr>
                <w:rFonts w:cs="Arial"/>
                <w:sz w:val="16"/>
                <w:szCs w:val="16"/>
              </w:rPr>
            </w:pPr>
          </w:p>
        </w:tc>
        <w:tc>
          <w:tcPr>
            <w:tcW w:w="305" w:type="dxa"/>
            <w:tcBorders>
              <w:bottom w:val="single" w:sz="4" w:space="0" w:color="D9D9D9" w:themeColor="background1" w:themeShade="D9"/>
            </w:tcBorders>
          </w:tcPr>
          <w:p w14:paraId="36C61343" w14:textId="14428C92" w:rsidR="00856C6C" w:rsidRPr="004421A9" w:rsidRDefault="00856C6C" w:rsidP="00856C6C">
            <w:pPr>
              <w:jc w:val="center"/>
              <w:rPr>
                <w:rFonts w:cs="Arial"/>
                <w:sz w:val="16"/>
                <w:szCs w:val="16"/>
              </w:rPr>
            </w:pPr>
            <w:r w:rsidRPr="004421A9">
              <w:rPr>
                <w:rFonts w:cs="Arial"/>
                <w:sz w:val="16"/>
                <w:szCs w:val="16"/>
              </w:rPr>
              <w:t>8</w:t>
            </w:r>
          </w:p>
        </w:tc>
        <w:tc>
          <w:tcPr>
            <w:tcW w:w="2457" w:type="dxa"/>
            <w:tcBorders>
              <w:bottom w:val="single" w:sz="4" w:space="0" w:color="D9D9D9" w:themeColor="background1" w:themeShade="D9"/>
            </w:tcBorders>
          </w:tcPr>
          <w:p w14:paraId="67DDC1D0" w14:textId="162D4AAA" w:rsidR="00856C6C" w:rsidRPr="004421A9" w:rsidRDefault="00856C6C" w:rsidP="00856C6C">
            <w:pPr>
              <w:jc w:val="left"/>
              <w:rPr>
                <w:rFonts w:cs="Arial"/>
                <w:sz w:val="16"/>
                <w:szCs w:val="16"/>
              </w:rPr>
            </w:pPr>
            <w:r w:rsidRPr="004421A9">
              <w:rPr>
                <w:rFonts w:cs="Arial"/>
                <w:sz w:val="16"/>
                <w:szCs w:val="16"/>
              </w:rPr>
              <w:t>Anzahl an Absolventen des UPOV-Führungskräfte-programms</w:t>
            </w:r>
          </w:p>
        </w:tc>
        <w:tc>
          <w:tcPr>
            <w:tcW w:w="1495" w:type="dxa"/>
            <w:tcBorders>
              <w:bottom w:val="single" w:sz="4" w:space="0" w:color="D9D9D9" w:themeColor="background1" w:themeShade="D9"/>
            </w:tcBorders>
            <w:shd w:val="clear" w:color="000000" w:fill="FFFFFF"/>
          </w:tcPr>
          <w:p w14:paraId="4161258C" w14:textId="3CCE6671"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75</w:t>
            </w:r>
            <w:r w:rsidRPr="004421A9">
              <w:rPr>
                <w:rStyle w:val="FootnoteReference"/>
                <w:rFonts w:asciiTheme="majorHAnsi" w:hAnsiTheme="majorHAnsi" w:cstheme="majorHAnsi"/>
                <w:sz w:val="16"/>
                <w:szCs w:val="16"/>
              </w:rPr>
              <w:footnoteReference w:id="4"/>
            </w:r>
            <w:r w:rsidRPr="004421A9">
              <w:rPr>
                <w:rFonts w:asciiTheme="majorHAnsi" w:hAnsiTheme="majorHAnsi" w:cstheme="majorHAnsi"/>
                <w:sz w:val="16"/>
                <w:szCs w:val="16"/>
              </w:rPr>
              <w:t xml:space="preserve"> (2024)</w:t>
            </w:r>
          </w:p>
        </w:tc>
        <w:tc>
          <w:tcPr>
            <w:tcW w:w="1838" w:type="dxa"/>
            <w:tcBorders>
              <w:bottom w:val="single" w:sz="4" w:space="0" w:color="D9D9D9" w:themeColor="background1" w:themeShade="D9"/>
            </w:tcBorders>
            <w:shd w:val="clear" w:color="000000" w:fill="FFFFFF"/>
          </w:tcPr>
          <w:p w14:paraId="18AFA901" w14:textId="77777777"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50 (2026)</w:t>
            </w:r>
          </w:p>
          <w:p w14:paraId="46EA55A8" w14:textId="25F34AD4" w:rsidR="00856C6C" w:rsidRPr="004421A9" w:rsidRDefault="00856C6C" w:rsidP="00856C6C">
            <w:pPr>
              <w:jc w:val="center"/>
              <w:rPr>
                <w:rFonts w:cs="Arial"/>
                <w:sz w:val="16"/>
                <w:szCs w:val="16"/>
              </w:rPr>
            </w:pPr>
            <w:r w:rsidRPr="004421A9">
              <w:rPr>
                <w:rFonts w:asciiTheme="majorHAnsi" w:hAnsiTheme="majorHAnsi" w:cstheme="majorHAnsi"/>
                <w:sz w:val="16"/>
                <w:szCs w:val="16"/>
              </w:rPr>
              <w:t>50 (2027)</w:t>
            </w:r>
          </w:p>
        </w:tc>
      </w:tr>
      <w:tr w:rsidR="00856C6C" w:rsidRPr="004421A9" w14:paraId="5FB5D4EF" w14:textId="77777777" w:rsidTr="00391368">
        <w:tc>
          <w:tcPr>
            <w:tcW w:w="426" w:type="dxa"/>
            <w:tcBorders>
              <w:top w:val="single" w:sz="4" w:space="0" w:color="D9D9D9" w:themeColor="background1" w:themeShade="D9"/>
            </w:tcBorders>
          </w:tcPr>
          <w:p w14:paraId="395D8821" w14:textId="434BBBB4" w:rsidR="00856C6C" w:rsidRPr="004421A9" w:rsidRDefault="00856C6C" w:rsidP="00856C6C">
            <w:pPr>
              <w:jc w:val="left"/>
              <w:rPr>
                <w:rFonts w:cs="Arial"/>
                <w:sz w:val="16"/>
                <w:szCs w:val="16"/>
              </w:rPr>
            </w:pPr>
            <w:r w:rsidRPr="004421A9">
              <w:rPr>
                <w:rFonts w:cs="Arial"/>
                <w:sz w:val="16"/>
                <w:szCs w:val="16"/>
              </w:rPr>
              <w:t>2.3</w:t>
            </w:r>
          </w:p>
        </w:tc>
        <w:tc>
          <w:tcPr>
            <w:tcW w:w="3118" w:type="dxa"/>
            <w:tcBorders>
              <w:top w:val="single" w:sz="4" w:space="0" w:color="D9D9D9" w:themeColor="background1" w:themeShade="D9"/>
            </w:tcBorders>
          </w:tcPr>
          <w:p w14:paraId="543C2B49" w14:textId="5423A1D3" w:rsidR="00856C6C" w:rsidRPr="004421A9" w:rsidRDefault="00856C6C" w:rsidP="00856C6C">
            <w:pPr>
              <w:jc w:val="left"/>
              <w:rPr>
                <w:rFonts w:cs="Arial"/>
                <w:sz w:val="16"/>
                <w:szCs w:val="16"/>
              </w:rPr>
            </w:pPr>
            <w:r w:rsidRPr="004421A9">
              <w:rPr>
                <w:rFonts w:cs="Arial"/>
                <w:sz w:val="16"/>
                <w:szCs w:val="16"/>
              </w:rPr>
              <w:t>Verstärkte Harmonisierung und Zusammenarbeit bei Prüfungen</w:t>
            </w:r>
          </w:p>
        </w:tc>
        <w:tc>
          <w:tcPr>
            <w:tcW w:w="305" w:type="dxa"/>
            <w:tcBorders>
              <w:top w:val="single" w:sz="4" w:space="0" w:color="D9D9D9" w:themeColor="background1" w:themeShade="D9"/>
            </w:tcBorders>
          </w:tcPr>
          <w:p w14:paraId="23556C6F" w14:textId="30F30C8F" w:rsidR="00856C6C" w:rsidRPr="004421A9" w:rsidRDefault="00856C6C" w:rsidP="00856C6C">
            <w:pPr>
              <w:jc w:val="center"/>
              <w:rPr>
                <w:rFonts w:cs="Arial"/>
                <w:sz w:val="16"/>
                <w:szCs w:val="16"/>
              </w:rPr>
            </w:pPr>
            <w:r w:rsidRPr="004421A9">
              <w:rPr>
                <w:rFonts w:cs="Arial"/>
                <w:sz w:val="16"/>
                <w:szCs w:val="16"/>
              </w:rPr>
              <w:t>9</w:t>
            </w:r>
          </w:p>
        </w:tc>
        <w:tc>
          <w:tcPr>
            <w:tcW w:w="2457" w:type="dxa"/>
            <w:tcBorders>
              <w:top w:val="single" w:sz="4" w:space="0" w:color="D9D9D9" w:themeColor="background1" w:themeShade="D9"/>
            </w:tcBorders>
          </w:tcPr>
          <w:p w14:paraId="1F2D9ACB" w14:textId="5C35F7F4" w:rsidR="00856C6C" w:rsidRPr="004421A9" w:rsidRDefault="00856C6C" w:rsidP="00856C6C">
            <w:pPr>
              <w:jc w:val="left"/>
              <w:rPr>
                <w:rFonts w:cs="Arial"/>
                <w:sz w:val="16"/>
                <w:szCs w:val="16"/>
              </w:rPr>
            </w:pPr>
            <w:r w:rsidRPr="004421A9">
              <w:rPr>
                <w:rFonts w:cs="Arial"/>
                <w:sz w:val="16"/>
                <w:szCs w:val="16"/>
              </w:rPr>
              <w:t>Anwendung von UPOV-Prüfungsrichtlinien und Technischen Fragebögen</w:t>
            </w:r>
          </w:p>
        </w:tc>
        <w:tc>
          <w:tcPr>
            <w:tcW w:w="1495" w:type="dxa"/>
            <w:tcBorders>
              <w:top w:val="single" w:sz="4" w:space="0" w:color="D9D9D9" w:themeColor="background1" w:themeShade="D9"/>
            </w:tcBorders>
          </w:tcPr>
          <w:p w14:paraId="339827A0" w14:textId="77777777" w:rsidR="00856C6C" w:rsidRPr="004421A9" w:rsidRDefault="00856C6C" w:rsidP="00856C6C">
            <w:pPr>
              <w:ind w:right="284"/>
              <w:jc w:val="right"/>
              <w:rPr>
                <w:rFonts w:cs="Arial"/>
                <w:sz w:val="16"/>
                <w:szCs w:val="16"/>
              </w:rPr>
            </w:pPr>
          </w:p>
        </w:tc>
        <w:tc>
          <w:tcPr>
            <w:tcW w:w="1838" w:type="dxa"/>
            <w:tcBorders>
              <w:top w:val="single" w:sz="4" w:space="0" w:color="D9D9D9" w:themeColor="background1" w:themeShade="D9"/>
            </w:tcBorders>
          </w:tcPr>
          <w:p w14:paraId="6F3502B5" w14:textId="77777777" w:rsidR="00856C6C" w:rsidRPr="004421A9" w:rsidRDefault="00856C6C" w:rsidP="00856C6C">
            <w:pPr>
              <w:ind w:right="284"/>
              <w:jc w:val="right"/>
              <w:rPr>
                <w:rFonts w:cs="Arial"/>
                <w:sz w:val="16"/>
                <w:szCs w:val="16"/>
              </w:rPr>
            </w:pPr>
          </w:p>
        </w:tc>
      </w:tr>
      <w:tr w:rsidR="00856C6C" w:rsidRPr="004421A9" w14:paraId="648367CE" w14:textId="77777777" w:rsidTr="00391368">
        <w:tc>
          <w:tcPr>
            <w:tcW w:w="426" w:type="dxa"/>
          </w:tcPr>
          <w:p w14:paraId="5DB6C657" w14:textId="77777777" w:rsidR="00856C6C" w:rsidRPr="004421A9" w:rsidRDefault="00856C6C" w:rsidP="00856C6C">
            <w:pPr>
              <w:jc w:val="left"/>
              <w:rPr>
                <w:rFonts w:cs="Arial"/>
                <w:sz w:val="16"/>
                <w:szCs w:val="16"/>
              </w:rPr>
            </w:pPr>
          </w:p>
        </w:tc>
        <w:tc>
          <w:tcPr>
            <w:tcW w:w="3118" w:type="dxa"/>
          </w:tcPr>
          <w:p w14:paraId="47E3D890" w14:textId="77777777" w:rsidR="00856C6C" w:rsidRPr="004421A9" w:rsidRDefault="00856C6C" w:rsidP="00856C6C">
            <w:pPr>
              <w:jc w:val="left"/>
              <w:rPr>
                <w:rFonts w:cs="Arial"/>
                <w:sz w:val="16"/>
                <w:szCs w:val="16"/>
              </w:rPr>
            </w:pPr>
          </w:p>
        </w:tc>
        <w:tc>
          <w:tcPr>
            <w:tcW w:w="305" w:type="dxa"/>
          </w:tcPr>
          <w:p w14:paraId="0AF7E7CE" w14:textId="77777777" w:rsidR="00856C6C" w:rsidRPr="004421A9" w:rsidRDefault="00856C6C" w:rsidP="00856C6C">
            <w:pPr>
              <w:jc w:val="center"/>
              <w:rPr>
                <w:rFonts w:cs="Arial"/>
                <w:sz w:val="16"/>
                <w:szCs w:val="16"/>
              </w:rPr>
            </w:pPr>
          </w:p>
        </w:tc>
        <w:tc>
          <w:tcPr>
            <w:tcW w:w="2457" w:type="dxa"/>
          </w:tcPr>
          <w:p w14:paraId="638474FE" w14:textId="6B7E4500" w:rsidR="00856C6C" w:rsidRPr="004421A9" w:rsidRDefault="00856C6C" w:rsidP="00856C6C">
            <w:pPr>
              <w:ind w:left="284"/>
              <w:jc w:val="left"/>
              <w:rPr>
                <w:rFonts w:cs="Arial"/>
                <w:sz w:val="16"/>
                <w:szCs w:val="16"/>
              </w:rPr>
            </w:pPr>
            <w:r w:rsidRPr="004421A9">
              <w:rPr>
                <w:rFonts w:cs="Arial"/>
                <w:sz w:val="16"/>
                <w:szCs w:val="16"/>
              </w:rPr>
              <w:t>Anzahl von UPOV-Mitgliedern</w:t>
            </w:r>
            <w:r w:rsidR="00D7358F" w:rsidRPr="004421A9">
              <w:rPr>
                <w:rFonts w:cs="Arial"/>
                <w:sz w:val="16"/>
                <w:szCs w:val="16"/>
              </w:rPr>
              <w:t>,</w:t>
            </w:r>
            <w:r w:rsidRPr="004421A9">
              <w:rPr>
                <w:rFonts w:cs="Arial"/>
                <w:sz w:val="16"/>
                <w:szCs w:val="16"/>
              </w:rPr>
              <w:t xml:space="preserve"> die Technische Fragebögen der UPOV unverändert in </w:t>
            </w:r>
            <w:r w:rsidR="00FC2A35">
              <w:rPr>
                <w:rFonts w:cs="Arial"/>
                <w:sz w:val="16"/>
                <w:szCs w:val="16"/>
              </w:rPr>
              <w:t>UPOV PRISMA</w:t>
            </w:r>
            <w:r w:rsidRPr="004421A9">
              <w:rPr>
                <w:rFonts w:cs="Arial"/>
                <w:sz w:val="16"/>
                <w:szCs w:val="16"/>
              </w:rPr>
              <w:t xml:space="preserve"> verwenden</w:t>
            </w:r>
          </w:p>
        </w:tc>
        <w:tc>
          <w:tcPr>
            <w:tcW w:w="1495" w:type="dxa"/>
            <w:shd w:val="clear" w:color="000000" w:fill="FFFFFF"/>
          </w:tcPr>
          <w:p w14:paraId="6B892616" w14:textId="38A0CD30"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25 (2024)</w:t>
            </w:r>
          </w:p>
        </w:tc>
        <w:tc>
          <w:tcPr>
            <w:tcW w:w="1838" w:type="dxa"/>
          </w:tcPr>
          <w:p w14:paraId="0D19C3BB" w14:textId="77777777" w:rsidR="00856C6C" w:rsidRPr="004421A9" w:rsidRDefault="00856C6C" w:rsidP="00856C6C">
            <w:pPr>
              <w:ind w:right="284"/>
              <w:jc w:val="right"/>
              <w:rPr>
                <w:rFonts w:asciiTheme="majorHAnsi" w:hAnsiTheme="majorHAnsi" w:cstheme="majorHAnsi"/>
                <w:sz w:val="16"/>
                <w:szCs w:val="16"/>
              </w:rPr>
            </w:pPr>
            <w:r w:rsidRPr="004421A9">
              <w:rPr>
                <w:rFonts w:asciiTheme="majorHAnsi" w:hAnsiTheme="majorHAnsi" w:cstheme="majorHAnsi"/>
                <w:sz w:val="16"/>
                <w:szCs w:val="16"/>
              </w:rPr>
              <w:t>27 (2026)</w:t>
            </w:r>
          </w:p>
          <w:p w14:paraId="078716D4" w14:textId="3076A34B"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28 (2027)</w:t>
            </w:r>
          </w:p>
        </w:tc>
      </w:tr>
      <w:tr w:rsidR="00856C6C" w:rsidRPr="004421A9" w14:paraId="1F4962D1" w14:textId="77777777" w:rsidTr="00391368">
        <w:tc>
          <w:tcPr>
            <w:tcW w:w="426" w:type="dxa"/>
          </w:tcPr>
          <w:p w14:paraId="20322ACC" w14:textId="77777777" w:rsidR="00856C6C" w:rsidRPr="004421A9" w:rsidRDefault="00856C6C" w:rsidP="00856C6C">
            <w:pPr>
              <w:jc w:val="left"/>
              <w:rPr>
                <w:rFonts w:cs="Arial"/>
                <w:sz w:val="16"/>
                <w:szCs w:val="16"/>
              </w:rPr>
            </w:pPr>
          </w:p>
        </w:tc>
        <w:tc>
          <w:tcPr>
            <w:tcW w:w="3118" w:type="dxa"/>
          </w:tcPr>
          <w:p w14:paraId="3FA0893C" w14:textId="77777777" w:rsidR="00856C6C" w:rsidRPr="004421A9" w:rsidRDefault="00856C6C" w:rsidP="00856C6C">
            <w:pPr>
              <w:jc w:val="left"/>
              <w:rPr>
                <w:rFonts w:cs="Arial"/>
                <w:sz w:val="16"/>
                <w:szCs w:val="16"/>
              </w:rPr>
            </w:pPr>
          </w:p>
        </w:tc>
        <w:tc>
          <w:tcPr>
            <w:tcW w:w="305" w:type="dxa"/>
          </w:tcPr>
          <w:p w14:paraId="0CBD9453" w14:textId="77777777" w:rsidR="00856C6C" w:rsidRPr="004421A9" w:rsidRDefault="00856C6C" w:rsidP="00856C6C">
            <w:pPr>
              <w:jc w:val="center"/>
              <w:rPr>
                <w:rFonts w:cs="Arial"/>
                <w:sz w:val="16"/>
                <w:szCs w:val="16"/>
              </w:rPr>
            </w:pPr>
          </w:p>
        </w:tc>
        <w:tc>
          <w:tcPr>
            <w:tcW w:w="2457" w:type="dxa"/>
          </w:tcPr>
          <w:p w14:paraId="5FEFD93D" w14:textId="753F1C84" w:rsidR="00856C6C" w:rsidRPr="004421A9" w:rsidRDefault="00856C6C" w:rsidP="00856C6C">
            <w:pPr>
              <w:ind w:left="284"/>
              <w:jc w:val="left"/>
              <w:rPr>
                <w:rFonts w:cs="Arial"/>
                <w:sz w:val="16"/>
                <w:szCs w:val="16"/>
              </w:rPr>
            </w:pPr>
            <w:r w:rsidRPr="004421A9">
              <w:rPr>
                <w:rFonts w:cs="Arial"/>
                <w:sz w:val="16"/>
                <w:szCs w:val="16"/>
              </w:rPr>
              <w:t>Anzahl von UPOV-Mitgliedern</w:t>
            </w:r>
            <w:r w:rsidR="00D7358F" w:rsidRPr="004421A9">
              <w:rPr>
                <w:rFonts w:cs="Arial"/>
                <w:sz w:val="16"/>
                <w:szCs w:val="16"/>
              </w:rPr>
              <w:t>,</w:t>
            </w:r>
            <w:r w:rsidRPr="004421A9">
              <w:rPr>
                <w:rFonts w:cs="Arial"/>
                <w:sz w:val="16"/>
                <w:szCs w:val="16"/>
              </w:rPr>
              <w:t xml:space="preserve"> die die Merkmale im Technischen Fragebogen der UPOV unverändert in </w:t>
            </w:r>
            <w:r w:rsidR="00FC2A35">
              <w:rPr>
                <w:rFonts w:cs="Arial"/>
                <w:sz w:val="16"/>
                <w:szCs w:val="16"/>
              </w:rPr>
              <w:t>UPOV PRISMA</w:t>
            </w:r>
            <w:r w:rsidRPr="004421A9">
              <w:rPr>
                <w:rFonts w:cs="Arial"/>
                <w:sz w:val="16"/>
                <w:szCs w:val="16"/>
              </w:rPr>
              <w:t xml:space="preserve"> verwenden</w:t>
            </w:r>
          </w:p>
        </w:tc>
        <w:tc>
          <w:tcPr>
            <w:tcW w:w="1495" w:type="dxa"/>
            <w:shd w:val="clear" w:color="000000" w:fill="FFFFFF"/>
          </w:tcPr>
          <w:p w14:paraId="0F6DF5FE" w14:textId="4430B0C3"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8 (2024)</w:t>
            </w:r>
          </w:p>
        </w:tc>
        <w:tc>
          <w:tcPr>
            <w:tcW w:w="1838" w:type="dxa"/>
            <w:shd w:val="clear" w:color="000000" w:fill="FFFFFF"/>
          </w:tcPr>
          <w:p w14:paraId="052E7469" w14:textId="77777777" w:rsidR="00856C6C" w:rsidRPr="004421A9" w:rsidRDefault="00856C6C" w:rsidP="00856C6C">
            <w:pPr>
              <w:ind w:right="284"/>
              <w:jc w:val="right"/>
              <w:rPr>
                <w:rFonts w:asciiTheme="majorHAnsi" w:hAnsiTheme="majorHAnsi" w:cstheme="majorHAnsi"/>
                <w:sz w:val="16"/>
                <w:szCs w:val="16"/>
              </w:rPr>
            </w:pPr>
            <w:r w:rsidRPr="004421A9">
              <w:rPr>
                <w:rFonts w:asciiTheme="majorHAnsi" w:hAnsiTheme="majorHAnsi" w:cstheme="majorHAnsi"/>
                <w:sz w:val="16"/>
                <w:szCs w:val="16"/>
              </w:rPr>
              <w:t>9 (2026)</w:t>
            </w:r>
          </w:p>
          <w:p w14:paraId="0882DC48" w14:textId="62349EA2"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10 (2027)</w:t>
            </w:r>
          </w:p>
        </w:tc>
      </w:tr>
      <w:tr w:rsidR="00856C6C" w:rsidRPr="004421A9" w14:paraId="26FC5DD8" w14:textId="77777777" w:rsidTr="00391368">
        <w:tc>
          <w:tcPr>
            <w:tcW w:w="426" w:type="dxa"/>
          </w:tcPr>
          <w:p w14:paraId="5D60A94A" w14:textId="77777777" w:rsidR="00856C6C" w:rsidRPr="004421A9" w:rsidRDefault="00856C6C" w:rsidP="00856C6C">
            <w:pPr>
              <w:jc w:val="left"/>
              <w:rPr>
                <w:rFonts w:cs="Arial"/>
                <w:sz w:val="16"/>
                <w:szCs w:val="16"/>
              </w:rPr>
            </w:pPr>
          </w:p>
        </w:tc>
        <w:tc>
          <w:tcPr>
            <w:tcW w:w="3118" w:type="dxa"/>
          </w:tcPr>
          <w:p w14:paraId="604B7304" w14:textId="77777777" w:rsidR="00856C6C" w:rsidRPr="004421A9" w:rsidRDefault="00856C6C" w:rsidP="00856C6C">
            <w:pPr>
              <w:jc w:val="left"/>
              <w:rPr>
                <w:rFonts w:cs="Arial"/>
                <w:sz w:val="16"/>
                <w:szCs w:val="16"/>
              </w:rPr>
            </w:pPr>
          </w:p>
        </w:tc>
        <w:tc>
          <w:tcPr>
            <w:tcW w:w="305" w:type="dxa"/>
          </w:tcPr>
          <w:p w14:paraId="49885950" w14:textId="77777777" w:rsidR="00856C6C" w:rsidRPr="004421A9" w:rsidRDefault="00856C6C" w:rsidP="00856C6C">
            <w:pPr>
              <w:jc w:val="center"/>
              <w:rPr>
                <w:rFonts w:cs="Arial"/>
                <w:sz w:val="16"/>
                <w:szCs w:val="16"/>
              </w:rPr>
            </w:pPr>
          </w:p>
        </w:tc>
        <w:tc>
          <w:tcPr>
            <w:tcW w:w="2457" w:type="dxa"/>
          </w:tcPr>
          <w:p w14:paraId="0ED72B61" w14:textId="6E0B17E3" w:rsidR="00856C6C" w:rsidRPr="004421A9" w:rsidRDefault="00856C6C" w:rsidP="00856C6C">
            <w:pPr>
              <w:ind w:left="284"/>
              <w:jc w:val="left"/>
              <w:rPr>
                <w:rFonts w:cs="Arial"/>
                <w:sz w:val="16"/>
                <w:szCs w:val="16"/>
              </w:rPr>
            </w:pPr>
            <w:r w:rsidRPr="004421A9">
              <w:rPr>
                <w:rFonts w:cs="Arial"/>
                <w:sz w:val="16"/>
                <w:szCs w:val="16"/>
              </w:rPr>
              <w:t xml:space="preserve">% aller Sortenschutzanträge bei UPOV-Mitgliedern, die von Prüfungsrichtlinien der UPOV erfasst werden </w:t>
            </w:r>
          </w:p>
        </w:tc>
        <w:tc>
          <w:tcPr>
            <w:tcW w:w="1495" w:type="dxa"/>
            <w:shd w:val="clear" w:color="000000" w:fill="FFFFFF"/>
          </w:tcPr>
          <w:p w14:paraId="6FA7EF7E" w14:textId="5328A5A4" w:rsidR="00856C6C" w:rsidRPr="004421A9" w:rsidRDefault="00856C6C" w:rsidP="00856C6C">
            <w:pPr>
              <w:jc w:val="center"/>
              <w:rPr>
                <w:rFonts w:cs="Arial"/>
                <w:sz w:val="16"/>
                <w:szCs w:val="16"/>
              </w:rPr>
            </w:pPr>
            <w:r w:rsidRPr="004421A9">
              <w:rPr>
                <w:rFonts w:asciiTheme="majorHAnsi" w:hAnsiTheme="majorHAnsi" w:cstheme="majorHAnsi"/>
                <w:sz w:val="16"/>
                <w:szCs w:val="16"/>
              </w:rPr>
              <w:t>95%</w:t>
            </w:r>
          </w:p>
        </w:tc>
        <w:tc>
          <w:tcPr>
            <w:tcW w:w="1838" w:type="dxa"/>
          </w:tcPr>
          <w:p w14:paraId="189BAB03" w14:textId="6E6177BF" w:rsidR="00856C6C" w:rsidRPr="004421A9" w:rsidRDefault="00856C6C" w:rsidP="00856C6C">
            <w:pPr>
              <w:jc w:val="center"/>
              <w:rPr>
                <w:rFonts w:cs="Arial"/>
                <w:sz w:val="16"/>
                <w:szCs w:val="16"/>
              </w:rPr>
            </w:pPr>
            <w:r w:rsidRPr="004421A9">
              <w:rPr>
                <w:rFonts w:asciiTheme="majorHAnsi" w:hAnsiTheme="majorHAnsi" w:cstheme="majorHAnsi"/>
                <w:sz w:val="16"/>
                <w:szCs w:val="16"/>
              </w:rPr>
              <w:t>95%</w:t>
            </w:r>
          </w:p>
        </w:tc>
      </w:tr>
      <w:tr w:rsidR="00856C6C" w:rsidRPr="004421A9" w14:paraId="55B6E66D" w14:textId="77777777" w:rsidTr="00391368">
        <w:tc>
          <w:tcPr>
            <w:tcW w:w="426" w:type="dxa"/>
          </w:tcPr>
          <w:p w14:paraId="3AA8F372" w14:textId="77777777" w:rsidR="00856C6C" w:rsidRPr="004421A9" w:rsidRDefault="00856C6C" w:rsidP="00856C6C">
            <w:pPr>
              <w:jc w:val="left"/>
              <w:rPr>
                <w:rFonts w:cs="Arial"/>
                <w:sz w:val="16"/>
                <w:szCs w:val="16"/>
              </w:rPr>
            </w:pPr>
          </w:p>
        </w:tc>
        <w:tc>
          <w:tcPr>
            <w:tcW w:w="3118" w:type="dxa"/>
            <w:tcBorders>
              <w:bottom w:val="single" w:sz="4" w:space="0" w:color="D9D9D9" w:themeColor="background1" w:themeShade="D9"/>
            </w:tcBorders>
          </w:tcPr>
          <w:p w14:paraId="7E903D4B" w14:textId="77777777" w:rsidR="00856C6C" w:rsidRPr="004421A9" w:rsidRDefault="00856C6C" w:rsidP="00856C6C">
            <w:pPr>
              <w:jc w:val="left"/>
              <w:rPr>
                <w:rFonts w:cs="Arial"/>
                <w:sz w:val="16"/>
                <w:szCs w:val="16"/>
              </w:rPr>
            </w:pPr>
          </w:p>
        </w:tc>
        <w:tc>
          <w:tcPr>
            <w:tcW w:w="305" w:type="dxa"/>
            <w:tcBorders>
              <w:bottom w:val="single" w:sz="4" w:space="0" w:color="D9D9D9" w:themeColor="background1" w:themeShade="D9"/>
            </w:tcBorders>
          </w:tcPr>
          <w:p w14:paraId="7E8C6120" w14:textId="358E745A" w:rsidR="00856C6C" w:rsidRPr="004421A9" w:rsidRDefault="00856C6C" w:rsidP="00856C6C">
            <w:pPr>
              <w:jc w:val="center"/>
              <w:rPr>
                <w:rFonts w:cs="Arial"/>
                <w:sz w:val="16"/>
                <w:szCs w:val="16"/>
              </w:rPr>
            </w:pPr>
            <w:r w:rsidRPr="004421A9">
              <w:rPr>
                <w:rFonts w:cs="Arial"/>
                <w:sz w:val="16"/>
                <w:szCs w:val="16"/>
              </w:rPr>
              <w:t>10</w:t>
            </w:r>
          </w:p>
        </w:tc>
        <w:tc>
          <w:tcPr>
            <w:tcW w:w="2457" w:type="dxa"/>
            <w:tcBorders>
              <w:bottom w:val="single" w:sz="4" w:space="0" w:color="D9D9D9" w:themeColor="background1" w:themeShade="D9"/>
            </w:tcBorders>
          </w:tcPr>
          <w:p w14:paraId="6A7704A1" w14:textId="1F755CA5" w:rsidR="00856C6C" w:rsidRPr="004421A9" w:rsidRDefault="00856C6C" w:rsidP="00856C6C">
            <w:pPr>
              <w:ind w:left="284"/>
              <w:jc w:val="left"/>
              <w:rPr>
                <w:rFonts w:cs="Arial"/>
                <w:sz w:val="16"/>
                <w:szCs w:val="16"/>
              </w:rPr>
            </w:pPr>
            <w:r w:rsidRPr="004421A9">
              <w:rPr>
                <w:rFonts w:cs="Arial"/>
                <w:sz w:val="16"/>
                <w:szCs w:val="16"/>
              </w:rPr>
              <w:t>Anzahl von vom UPOV e-PVP-Modul für DUS-Austausch heruntergeladenen DUS-Berichten</w:t>
            </w:r>
          </w:p>
        </w:tc>
        <w:tc>
          <w:tcPr>
            <w:tcW w:w="1495" w:type="dxa"/>
            <w:tcBorders>
              <w:bottom w:val="single" w:sz="4" w:space="0" w:color="D9D9D9" w:themeColor="background1" w:themeShade="D9"/>
            </w:tcBorders>
          </w:tcPr>
          <w:p w14:paraId="72F98600" w14:textId="0D6BF98E" w:rsidR="00856C6C" w:rsidRPr="004421A9" w:rsidRDefault="00856C6C" w:rsidP="00856C6C">
            <w:pPr>
              <w:jc w:val="center"/>
              <w:rPr>
                <w:rFonts w:cs="Arial"/>
                <w:sz w:val="16"/>
                <w:szCs w:val="16"/>
              </w:rPr>
            </w:pPr>
            <w:r w:rsidRPr="004421A9">
              <w:rPr>
                <w:rFonts w:asciiTheme="majorHAnsi" w:hAnsiTheme="majorHAnsi" w:cstheme="majorHAnsi"/>
                <w:sz w:val="16"/>
                <w:szCs w:val="16"/>
              </w:rPr>
              <w:t>7 (2024)</w:t>
            </w:r>
          </w:p>
        </w:tc>
        <w:tc>
          <w:tcPr>
            <w:tcW w:w="1838" w:type="dxa"/>
            <w:tcBorders>
              <w:bottom w:val="single" w:sz="4" w:space="0" w:color="D9D9D9" w:themeColor="background1" w:themeShade="D9"/>
            </w:tcBorders>
          </w:tcPr>
          <w:p w14:paraId="6996B551" w14:textId="745A4AFE" w:rsidR="00856C6C" w:rsidRPr="004421A9" w:rsidRDefault="00856C6C" w:rsidP="00856C6C">
            <w:pPr>
              <w:jc w:val="center"/>
              <w:rPr>
                <w:rFonts w:cs="Arial"/>
                <w:sz w:val="16"/>
                <w:szCs w:val="16"/>
              </w:rPr>
            </w:pPr>
            <w:r w:rsidRPr="004421A9">
              <w:rPr>
                <w:rFonts w:asciiTheme="majorHAnsi" w:hAnsiTheme="majorHAnsi" w:cstheme="majorHAnsi"/>
                <w:sz w:val="16"/>
                <w:szCs w:val="16"/>
              </w:rPr>
              <w:t>400 (</w:t>
            </w:r>
            <w:r w:rsidR="00377417" w:rsidRPr="004421A9">
              <w:rPr>
                <w:rFonts w:asciiTheme="majorHAnsi" w:hAnsiTheme="majorHAnsi" w:cstheme="majorHAnsi"/>
                <w:sz w:val="16"/>
                <w:szCs w:val="16"/>
              </w:rPr>
              <w:t>in der Rechnungsperiode</w:t>
            </w:r>
            <w:r w:rsidRPr="004421A9">
              <w:rPr>
                <w:rFonts w:asciiTheme="majorHAnsi" w:hAnsiTheme="majorHAnsi" w:cstheme="majorHAnsi"/>
                <w:sz w:val="16"/>
                <w:szCs w:val="16"/>
              </w:rPr>
              <w:t>)</w:t>
            </w:r>
          </w:p>
        </w:tc>
      </w:tr>
    </w:tbl>
    <w:p w14:paraId="64B2C30E" w14:textId="77777777" w:rsidR="00B65EDC" w:rsidRDefault="00B65EDC" w:rsidP="00B65EDC"/>
    <w:p w14:paraId="3015F797" w14:textId="77777777" w:rsidR="00391368" w:rsidRDefault="00391368" w:rsidP="00B65EDC"/>
    <w:p w14:paraId="7BB84B3B" w14:textId="77777777" w:rsidR="00391368" w:rsidRPr="004421A9" w:rsidRDefault="00391368" w:rsidP="00B65EDC"/>
    <w:p w14:paraId="38F1D9A9" w14:textId="0938E098" w:rsidR="00B65EDC" w:rsidRPr="004421A9" w:rsidRDefault="00B65EDC" w:rsidP="004448C7">
      <w:pPr>
        <w:pStyle w:val="Heading2"/>
        <w:rPr>
          <w:lang w:val="de-DE"/>
        </w:rPr>
      </w:pPr>
      <w:bookmarkStart w:id="480" w:name="_Toc117798897"/>
      <w:bookmarkStart w:id="481" w:name="_Toc107239602"/>
      <w:bookmarkStart w:id="482" w:name="_Toc107239352"/>
      <w:bookmarkStart w:id="483" w:name="_Toc210041705"/>
      <w:r w:rsidRPr="004421A9">
        <w:rPr>
          <w:lang w:val="de-DE"/>
        </w:rPr>
        <w:t>Säule 3:</w:t>
      </w:r>
      <w:r w:rsidR="00877E3D" w:rsidRPr="004421A9">
        <w:rPr>
          <w:lang w:val="de-DE"/>
        </w:rPr>
        <w:t xml:space="preserve"> </w:t>
      </w:r>
      <w:r w:rsidRPr="004421A9">
        <w:rPr>
          <w:lang w:val="de-DE"/>
        </w:rPr>
        <w:t xml:space="preserve">Bereitstellung </w:t>
      </w:r>
      <w:r w:rsidR="00286FF2" w:rsidRPr="004421A9">
        <w:rPr>
          <w:lang w:val="de-DE"/>
        </w:rPr>
        <w:t xml:space="preserve">qualitativ </w:t>
      </w:r>
      <w:r w:rsidRPr="004421A9">
        <w:rPr>
          <w:lang w:val="de-DE"/>
        </w:rPr>
        <w:t>hoch</w:t>
      </w:r>
      <w:r w:rsidR="00DA3D10" w:rsidRPr="004421A9">
        <w:rPr>
          <w:lang w:val="de-DE"/>
        </w:rPr>
        <w:t>stehender</w:t>
      </w:r>
      <w:r w:rsidRPr="004421A9">
        <w:rPr>
          <w:lang w:val="de-DE"/>
        </w:rPr>
        <w:t xml:space="preserve"> Dienstleistungen für UPOV-Mitglieder und Nutzer des UPOV-Systems</w:t>
      </w:r>
      <w:bookmarkEnd w:id="480"/>
      <w:bookmarkEnd w:id="481"/>
      <w:bookmarkEnd w:id="482"/>
      <w:bookmarkEnd w:id="483"/>
      <w:r w:rsidRPr="004421A9">
        <w:rPr>
          <w:lang w:val="de-DE"/>
        </w:rPr>
        <w:t xml:space="preserve"> </w:t>
      </w:r>
    </w:p>
    <w:p w14:paraId="3137FF9D" w14:textId="77777777" w:rsidR="00B65EDC" w:rsidRPr="004421A9" w:rsidRDefault="00B65EDC" w:rsidP="00B65EDC">
      <w:pPr>
        <w:keepNext/>
        <w:rPr>
          <w:b/>
          <w:bCs/>
          <w:sz w:val="22"/>
          <w:szCs w:val="22"/>
        </w:rPr>
      </w:pPr>
    </w:p>
    <w:p w14:paraId="4C55EDFF" w14:textId="77777777" w:rsidR="00B65EDC" w:rsidRPr="004421A9" w:rsidRDefault="00B65EDC" w:rsidP="00B65EDC">
      <w:pPr>
        <w:pStyle w:val="Heading3"/>
        <w:rPr>
          <w:sz w:val="20"/>
          <w:lang w:val="de-DE"/>
        </w:rPr>
      </w:pPr>
      <w:bookmarkStart w:id="484" w:name="_Toc210041706"/>
      <w:r w:rsidRPr="004421A9">
        <w:rPr>
          <w:lang w:val="de-DE"/>
        </w:rPr>
        <w:t>Umsetzung der Strategie zur Erreichung der erwarteten Ergebnisse</w:t>
      </w:r>
      <w:bookmarkEnd w:id="484"/>
    </w:p>
    <w:p w14:paraId="17981FD0" w14:textId="77777777" w:rsidR="00B65EDC" w:rsidRPr="004421A9" w:rsidRDefault="00B65EDC" w:rsidP="00B65EDC">
      <w:pPr>
        <w:keepNext/>
        <w:rPr>
          <w:b/>
          <w:bCs/>
          <w:sz w:val="22"/>
          <w:szCs w:val="22"/>
        </w:rPr>
      </w:pPr>
    </w:p>
    <w:p w14:paraId="3B09D628" w14:textId="19B0315D" w:rsidR="00E05142" w:rsidRPr="004421A9" w:rsidRDefault="00E35B50" w:rsidP="00E05142">
      <w:pPr>
        <w:rPr>
          <w:bCs/>
        </w:rPr>
      </w:pPr>
      <w:r w:rsidRPr="004421A9">
        <w:rPr>
          <w:bCs/>
        </w:rPr>
        <w:fldChar w:fldCharType="begin"/>
      </w:r>
      <w:r w:rsidRPr="004421A9">
        <w:rPr>
          <w:bCs/>
        </w:rPr>
        <w:instrText xml:space="preserve"> AUTONUM  </w:instrText>
      </w:r>
      <w:r w:rsidRPr="004421A9">
        <w:rPr>
          <w:bCs/>
        </w:rPr>
        <w:fldChar w:fldCharType="end"/>
      </w:r>
      <w:r w:rsidR="00B65EDC" w:rsidRPr="004421A9">
        <w:rPr>
          <w:bCs/>
        </w:rPr>
        <w:tab/>
      </w:r>
      <w:r w:rsidR="00E05142" w:rsidRPr="004421A9">
        <w:rPr>
          <w:bCs/>
        </w:rPr>
        <w:t xml:space="preserve">In der Vergangenheit legte die UPOV in Anbetracht der begrenzten Ressourcen den Schwerpunkt auf die Erteilung von Anleitung, Informationen und Schulung anstelle der Entwicklung von Tools zur Unterstützung der Verbandsmitglieder bei der Umsetzung des UPOV-Systems. Der Mangel an praktischer Unterstützung hat zu einigen Unterschieden bei der Umsetzung (z. B. Antragsformblätter) geführt, die nicht auf grundsätzlichen Faktoren beruhen, sondern eher auf fehlende praktische Unterstützung zurückzuführen sind. Darüber hinaus verfügten einige Verbandsmitglieder über die Ressourcen, um sehr wirksame Systeme zu entwickeln (z. B. elektronische Systeme für die Einreichung von Anträgen), während andere Verbandsmitglieder ohne die erforderlichen Ressourcen nicht in der Lage waren, solche Systeme zu entwickeln. </w:t>
      </w:r>
    </w:p>
    <w:p w14:paraId="03699EFE" w14:textId="77777777" w:rsidR="00E05142" w:rsidRPr="004421A9" w:rsidRDefault="00E05142" w:rsidP="00E05142">
      <w:pPr>
        <w:rPr>
          <w:bCs/>
        </w:rPr>
      </w:pPr>
    </w:p>
    <w:p w14:paraId="06051D51" w14:textId="525E0C46" w:rsidR="00E05142" w:rsidRPr="004421A9" w:rsidRDefault="00701E2C" w:rsidP="00E05142">
      <w:pPr>
        <w:rPr>
          <w:bCs/>
        </w:rPr>
      </w:pPr>
      <w:r w:rsidRPr="004421A9">
        <w:fldChar w:fldCharType="begin"/>
      </w:r>
      <w:r w:rsidRPr="004421A9">
        <w:instrText xml:space="preserve"> AUTONUM  </w:instrText>
      </w:r>
      <w:r w:rsidRPr="004421A9">
        <w:fldChar w:fldCharType="end"/>
      </w:r>
      <w:r w:rsidR="00E05142" w:rsidRPr="004421A9">
        <w:rPr>
          <w:bCs/>
        </w:rPr>
        <w:tab/>
        <w:t xml:space="preserve">UPOV e-PVP wurde in Zusammenarbeit mit UPOV-Mitgliedern und Züchtern entwickelt (siehe unten). Ziel war es, ein qualitativ hochwertiges, maßgeschneidertes, digitalisiertes Sortenschutzsystem zu schaffen, das für Mitglieder, die ihre Verfahren digitalisieren und die es für effizienter halten, sich auf die UPOV-e-PVP-Module zu verlassen, als Mittel für die Entwicklung und Pflege ihrer eigenen Instrumente aufzuwenden, eine gute </w:t>
      </w:r>
      <w:r w:rsidR="00067EA4" w:rsidRPr="004421A9">
        <w:rPr>
          <w:bCs/>
        </w:rPr>
        <w:t xml:space="preserve">Möglichkeit </w:t>
      </w:r>
      <w:r w:rsidR="00E05142" w:rsidRPr="004421A9">
        <w:rPr>
          <w:bCs/>
        </w:rPr>
        <w:t xml:space="preserve">sein wird. UPOV e-PVP bietet die Möglichkeit, Verbandsmitgliedern und Interessenvertretern Dienstleistungen in einer Weise zu erbringen, die die Effizienz des globalen UPOV-Systems verbessert und eine „Angleichung“ der Kapazitäten innerhalb der UPOV bewirkt. Ein weiteres vom Rat der UPOV im </w:t>
      </w:r>
      <w:r w:rsidR="00E05142" w:rsidRPr="004421A9">
        <w:rPr>
          <w:bCs/>
        </w:rPr>
        <w:lastRenderedPageBreak/>
        <w:t xml:space="preserve">Strategischen Geschäftsplan 2023-2027 vereinbartes Ziel ist die </w:t>
      </w:r>
      <w:r w:rsidR="0008206E" w:rsidRPr="004421A9">
        <w:rPr>
          <w:bCs/>
        </w:rPr>
        <w:t>Sicherstellung der finanziellen Nachhaltigkeit</w:t>
      </w:r>
      <w:r w:rsidR="00E05142" w:rsidRPr="004421A9">
        <w:rPr>
          <w:bCs/>
        </w:rPr>
        <w:t xml:space="preserve"> der UPOV.</w:t>
      </w:r>
    </w:p>
    <w:p w14:paraId="0D4251E5" w14:textId="77777777" w:rsidR="00E05142" w:rsidRPr="004421A9" w:rsidRDefault="00E05142" w:rsidP="00E05142">
      <w:pPr>
        <w:rPr>
          <w:bCs/>
        </w:rPr>
      </w:pPr>
    </w:p>
    <w:p w14:paraId="444C6AC6" w14:textId="37931172" w:rsidR="00E05142" w:rsidRPr="004421A9" w:rsidRDefault="0003325D" w:rsidP="00E05142">
      <w:pPr>
        <w:rPr>
          <w:bCs/>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E05142" w:rsidRPr="004421A9">
        <w:rPr>
          <w:bCs/>
        </w:rPr>
        <w:tab/>
        <w:t xml:space="preserve">Die Einrichtung des Postens eines IT-Leiters und die Schaffung eines zeitlich befristeten Postens für einen IT-Beauftragten </w:t>
      </w:r>
      <w:r w:rsidR="0054657A" w:rsidRPr="004421A9">
        <w:rPr>
          <w:bCs/>
        </w:rPr>
        <w:t xml:space="preserve">zeigt </w:t>
      </w:r>
      <w:r w:rsidR="00E05142" w:rsidRPr="004421A9">
        <w:rPr>
          <w:bCs/>
        </w:rPr>
        <w:t xml:space="preserve">das Engagement, die Entwicklungen im Bereich der Digitalisierung voranzutreiben und gleichzeitig die Geschäftskontinuität sicherzustellen. Das Verbandsbüro wird dem Rat der UPOV eine </w:t>
      </w:r>
      <w:r w:rsidR="0054657A" w:rsidRPr="004421A9">
        <w:rPr>
          <w:bCs/>
        </w:rPr>
        <w:t xml:space="preserve">Digitale </w:t>
      </w:r>
      <w:r w:rsidR="00E05142" w:rsidRPr="004421A9">
        <w:rPr>
          <w:bCs/>
        </w:rPr>
        <w:t xml:space="preserve">Strategie vorlegen, die sich mit den Zielen und den benötigten Mittel befasst. </w:t>
      </w:r>
    </w:p>
    <w:p w14:paraId="42A90AB1" w14:textId="77777777" w:rsidR="00E05142" w:rsidRPr="004421A9" w:rsidRDefault="00E05142" w:rsidP="00E05142">
      <w:pPr>
        <w:rPr>
          <w:bCs/>
        </w:rPr>
      </w:pPr>
    </w:p>
    <w:p w14:paraId="359E6789" w14:textId="5876E60A" w:rsidR="00B65EDC" w:rsidRPr="004421A9" w:rsidRDefault="00F90D07" w:rsidP="00E05142">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E05142" w:rsidRPr="004421A9">
        <w:rPr>
          <w:bCs/>
        </w:rPr>
        <w:tab/>
        <w:t>Während die PLUTO-Datenbank von Mitgliedern und Interessengruppen intensiv genutzt wird, wird in der Rechnungsperiode 2026-2027 für den Premium-Dienst für zahlende Nutzer geworben werden</w:t>
      </w:r>
      <w:r w:rsidR="00B65EDC" w:rsidRPr="004421A9">
        <w:rPr>
          <w:color w:val="000000" w:themeColor="text1"/>
        </w:rPr>
        <w:t xml:space="preserve">. </w:t>
      </w:r>
    </w:p>
    <w:p w14:paraId="18F6D59A" w14:textId="77777777" w:rsidR="00B65EDC" w:rsidRPr="004421A9" w:rsidRDefault="00B65EDC" w:rsidP="00B65EDC"/>
    <w:p w14:paraId="506D3ED3" w14:textId="6DD80EAC" w:rsidR="00B65EDC" w:rsidRPr="004421A9" w:rsidRDefault="00B65EDC" w:rsidP="00B65EDC">
      <w:pPr>
        <w:pStyle w:val="Heading4"/>
        <w:rPr>
          <w:lang w:val="de-DE"/>
        </w:rPr>
      </w:pPr>
      <w:bookmarkStart w:id="485" w:name="_Toc117798900"/>
      <w:bookmarkStart w:id="486" w:name="_Toc107239605"/>
      <w:bookmarkStart w:id="487" w:name="_Toc107239355"/>
      <w:r w:rsidRPr="004421A9">
        <w:rPr>
          <w:lang w:val="de-DE"/>
        </w:rPr>
        <w:t>3.1</w:t>
      </w:r>
      <w:r w:rsidRPr="004421A9">
        <w:rPr>
          <w:lang w:val="de-DE"/>
        </w:rPr>
        <w:tab/>
        <w:t xml:space="preserve">Entwicklung </w:t>
      </w:r>
      <w:r w:rsidR="00E05142" w:rsidRPr="004421A9">
        <w:rPr>
          <w:lang w:val="de-DE"/>
        </w:rPr>
        <w:t>von</w:t>
      </w:r>
      <w:r w:rsidRPr="004421A9">
        <w:rPr>
          <w:lang w:val="de-DE"/>
        </w:rPr>
        <w:t xml:space="preserve"> UPOV</w:t>
      </w:r>
      <w:r w:rsidR="00E05142" w:rsidRPr="004421A9">
        <w:rPr>
          <w:lang w:val="de-DE"/>
        </w:rPr>
        <w:t xml:space="preserve"> </w:t>
      </w:r>
      <w:r w:rsidRPr="004421A9">
        <w:rPr>
          <w:lang w:val="de-DE"/>
        </w:rPr>
        <w:t>e-PVP-Dienste</w:t>
      </w:r>
      <w:bookmarkEnd w:id="485"/>
      <w:bookmarkEnd w:id="486"/>
      <w:bookmarkEnd w:id="487"/>
      <w:r w:rsidR="00E05142" w:rsidRPr="004421A9">
        <w:rPr>
          <w:lang w:val="de-DE"/>
        </w:rPr>
        <w:t>n</w:t>
      </w:r>
    </w:p>
    <w:p w14:paraId="0A10023E" w14:textId="77777777" w:rsidR="00B65EDC" w:rsidRPr="004421A9" w:rsidRDefault="00B65EDC" w:rsidP="00B65EDC">
      <w:pPr>
        <w:rPr>
          <w:snapToGrid w:val="0"/>
        </w:rPr>
      </w:pPr>
    </w:p>
    <w:p w14:paraId="2332B2FB" w14:textId="719B1BDD"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BD60B6" w:rsidRPr="004421A9">
        <w:t>UPOV e-PVP stellt eine kohärente und umfassende Unterstützung bei der Umsetzung des UPOV-Sortenschutzsystems bereit, wobei einige oder alle Komponenten von Verbandsmitgliedern verwendet werden können, je nach Wunsch bzw. Bedarf. UPOV e-PVP, das das folgende Paket kompatibler Instrumente umfasst, wird wie folgt weiterentwickelt werden</w:t>
      </w:r>
      <w:r w:rsidRPr="004421A9">
        <w:t>:</w:t>
      </w:r>
    </w:p>
    <w:p w14:paraId="6B091256" w14:textId="77777777" w:rsidR="00B65EDC" w:rsidRPr="004421A9" w:rsidRDefault="00B65EDC" w:rsidP="00B65EDC"/>
    <w:p w14:paraId="75E64B2F" w14:textId="50D6C40D" w:rsidR="000772B6" w:rsidRPr="004421A9" w:rsidRDefault="000772B6" w:rsidP="000772B6">
      <w:pPr>
        <w:pStyle w:val="ListParagraph"/>
        <w:numPr>
          <w:ilvl w:val="0"/>
          <w:numId w:val="3"/>
        </w:numPr>
        <w:spacing w:after="40"/>
        <w:rPr>
          <w:bCs/>
        </w:rPr>
      </w:pPr>
      <w:r w:rsidRPr="004421A9">
        <w:rPr>
          <w:bCs/>
        </w:rPr>
        <w:t xml:space="preserve">Das </w:t>
      </w:r>
      <w:r w:rsidR="00FC2A35">
        <w:rPr>
          <w:b/>
        </w:rPr>
        <w:t>UPOV PRISMA</w:t>
      </w:r>
      <w:r w:rsidRPr="004421A9">
        <w:rPr>
          <w:b/>
        </w:rPr>
        <w:t xml:space="preserve"> Online-Antragsinstrument</w:t>
      </w:r>
      <w:r w:rsidRPr="004421A9">
        <w:rPr>
          <w:bCs/>
        </w:rPr>
        <w:t xml:space="preserve">, das mit einer von den Nutzern zu entrichtenden Gebühr von 90 Schweizer Franken pro Einreichung eingeführt wurde. Die Rückmeldungen der Nutzer zu </w:t>
      </w:r>
      <w:r w:rsidR="00FC2A35">
        <w:rPr>
          <w:bCs/>
        </w:rPr>
        <w:t>UPOV PRISMA</w:t>
      </w:r>
      <w:r w:rsidRPr="004421A9">
        <w:rPr>
          <w:bCs/>
        </w:rPr>
        <w:t xml:space="preserve"> sind positiv und es wird erwartet, dass mehr UPOV-Mitglieder Anträge über </w:t>
      </w:r>
      <w:r w:rsidR="00FC2A35">
        <w:rPr>
          <w:bCs/>
        </w:rPr>
        <w:t>UPOV PRISMA</w:t>
      </w:r>
      <w:r w:rsidRPr="004421A9">
        <w:rPr>
          <w:bCs/>
        </w:rPr>
        <w:t xml:space="preserve"> annehmen. Das Verbandsbüro wird weiterhin mit UPOV-Mitgliedern und Nutzern in bilateralen Sitzungen und Nutzergruppensitzungen zusammenarbeiten, um sicherzustellen, dass die erbrachten Dienstleistungen die erwartete Qualität aufweisen und dass das Instrument von einer wachsenden Anzahl von Verbandsmitgliedern und für mehr Arten genutzt wird. </w:t>
      </w:r>
    </w:p>
    <w:p w14:paraId="1EDF35F9" w14:textId="77777777" w:rsidR="000772B6" w:rsidRPr="004421A9" w:rsidRDefault="000772B6" w:rsidP="000772B6">
      <w:pPr>
        <w:pStyle w:val="ListParagraph"/>
        <w:spacing w:after="40"/>
        <w:ind w:left="927"/>
        <w:rPr>
          <w:bCs/>
        </w:rPr>
      </w:pPr>
    </w:p>
    <w:p w14:paraId="74265A82" w14:textId="3934EF77" w:rsidR="000772B6" w:rsidRPr="004421A9" w:rsidRDefault="000772B6" w:rsidP="000772B6">
      <w:pPr>
        <w:pStyle w:val="ListParagraph"/>
        <w:numPr>
          <w:ilvl w:val="0"/>
          <w:numId w:val="3"/>
        </w:numPr>
        <w:spacing w:after="40"/>
        <w:rPr>
          <w:bCs/>
        </w:rPr>
      </w:pPr>
      <w:r w:rsidRPr="004421A9">
        <w:rPr>
          <w:bCs/>
        </w:rPr>
        <w:t xml:space="preserve">Das </w:t>
      </w:r>
      <w:r w:rsidRPr="004421A9">
        <w:rPr>
          <w:b/>
        </w:rPr>
        <w:t>UPOV e-PVP-Verwaltungsmodul</w:t>
      </w:r>
      <w:r w:rsidRPr="004421A9">
        <w:rPr>
          <w:bCs/>
        </w:rPr>
        <w:t xml:space="preserve"> soll den Verbandsmitgliedern für die Verwaltung und Veröffentlichung von Sortenschutzanträgen zur Verfügung gestellt werden, einschließlich der Kommunikation mit den Antragstellern und der Übermittlung von Daten an die PLUTO-Datenbank. Das Modul wird auch eine Funktion zur Erfassung und zum Vergleich von Sortenbeschreibungen enthalten. Eine Standardversion des UPOV e-PVP-Verwaltungsmoduls wird den Verbandsmitgliedern zur Verfügung gestellt und von der UPOV unterhalten werden, vorbehaltlich der Auswirkungen auf die Mittel des Verbandsbüros. Das betreffende Verbandsmitglied wird die Kosten für das Hosting des Moduls in der Cloud und möglicherweise bestimmte Kosten für die Einführung übernehmen müssen. Maßgeschneiderte Versionen des UPOV e-PVP-Verwaltungsmoduls, die den spezifischen Bedürfnissen der Verbandsmitglieder entsprechen, können mit der UPOV entwickelt werden, wenn die erforderlichen außeretatmäßigen Mittel bereitgestellt werden und vorbehaltlich der Auswirkungen auf die Mittel des Verbandsbüros.</w:t>
      </w:r>
      <w:r w:rsidR="0029149C" w:rsidRPr="004421A9">
        <w:rPr>
          <w:bCs/>
        </w:rPr>
        <w:t xml:space="preserve"> </w:t>
      </w:r>
      <w:r w:rsidRPr="004421A9">
        <w:rPr>
          <w:bCs/>
        </w:rPr>
        <w:t xml:space="preserve">Erste Erfahrungen mit der Verwendung des UPOV e-PVP-Verwaltungsmoduls zeigen, dass das Modul gut funktioniert, dass es jedoch wichtig ist, die erforderliche Zeit und die Mittel für die Umsetzung und Anpassung des Instruments bereitzustellen. </w:t>
      </w:r>
    </w:p>
    <w:p w14:paraId="7E6B313F" w14:textId="77777777" w:rsidR="000772B6" w:rsidRPr="004421A9" w:rsidRDefault="000772B6" w:rsidP="000772B6">
      <w:pPr>
        <w:pStyle w:val="ListParagraph"/>
        <w:spacing w:after="40"/>
        <w:ind w:left="927"/>
        <w:rPr>
          <w:bCs/>
        </w:rPr>
      </w:pPr>
    </w:p>
    <w:p w14:paraId="714D4009" w14:textId="77777777" w:rsidR="000772B6" w:rsidRPr="004421A9" w:rsidRDefault="000772B6" w:rsidP="000772B6">
      <w:pPr>
        <w:pStyle w:val="ListParagraph"/>
        <w:numPr>
          <w:ilvl w:val="0"/>
          <w:numId w:val="3"/>
        </w:numPr>
        <w:spacing w:after="40"/>
        <w:rPr>
          <w:bCs/>
        </w:rPr>
      </w:pPr>
      <w:r w:rsidRPr="004421A9">
        <w:rPr>
          <w:bCs/>
        </w:rPr>
        <w:t xml:space="preserve">Die </w:t>
      </w:r>
      <w:r w:rsidRPr="004421A9">
        <w:rPr>
          <w:b/>
        </w:rPr>
        <w:t>UPOV e-PVP-Plattform für den Austausch von DUS-Berichten</w:t>
      </w:r>
      <w:r w:rsidRPr="004421A9">
        <w:rPr>
          <w:bCs/>
        </w:rPr>
        <w:t xml:space="preserve"> bietet eine Plattform zum Austausch von DUS-Berichten. Sie wird weiterentwickelt werden, damit Verbandsmitglieder anderen Verbandsmitgliedern ihre dokumentierten DUS-Verfahren und Informationen über ihre Qualitätsmanagementsysteme zur Verfügung stellen können. Es wird erwartet, dass die Nutzung der UPOV-e-PVP-Plattform für den Austausch von DUS-Berichten in der Rechnungsperiode 2026-2027 erheblich zunehmen wird.</w:t>
      </w:r>
    </w:p>
    <w:p w14:paraId="3B9E86BE" w14:textId="77777777" w:rsidR="000772B6" w:rsidRPr="004421A9" w:rsidRDefault="000772B6" w:rsidP="000772B6">
      <w:pPr>
        <w:pStyle w:val="ListParagraph"/>
        <w:spacing w:after="40"/>
        <w:ind w:left="927"/>
        <w:rPr>
          <w:bCs/>
        </w:rPr>
      </w:pPr>
    </w:p>
    <w:p w14:paraId="4BA3E909" w14:textId="77777777" w:rsidR="000772B6" w:rsidRPr="004421A9" w:rsidRDefault="000772B6" w:rsidP="000772B6">
      <w:pPr>
        <w:pStyle w:val="ListParagraph"/>
        <w:numPr>
          <w:ilvl w:val="0"/>
          <w:numId w:val="3"/>
        </w:numPr>
        <w:spacing w:after="40"/>
        <w:rPr>
          <w:bCs/>
        </w:rPr>
      </w:pPr>
      <w:r w:rsidRPr="004421A9">
        <w:rPr>
          <w:bCs/>
        </w:rPr>
        <w:t xml:space="preserve">Die </w:t>
      </w:r>
      <w:r w:rsidRPr="004421A9">
        <w:rPr>
          <w:b/>
        </w:rPr>
        <w:t>PLUTO-Datenbank</w:t>
      </w:r>
      <w:r w:rsidRPr="004421A9">
        <w:rPr>
          <w:bCs/>
        </w:rPr>
        <w:t xml:space="preserve"> soll wie folgt verbessert werden durch: Erhöhen der Vollständigkeit der Dateneinreichungen, insbesondere durch Verwendung des UPOV e-PVP-Verwaltungsmoduls; Verbessern der Benutzerschnittstelle; und Bereitstellen zusätzlicher Benutzerfunktionen. Es wird eine Funktion entwickelt werden, die es UPOV-Mitgliedern ermöglicht, Informationen zu Sortenbeschreibungen über die PLUTO-Datenbank auszutauschen. Während die PLUTO-Datenbank von Mitgliedern und Interessenvertretern ausgiebig genutzt wird, wird in der Rechnungsperiode 2026-2027 daran gearbeitet werden, den Premium-Service für zahlende Nutzer zu fördern. </w:t>
      </w:r>
    </w:p>
    <w:p w14:paraId="6A2FD915" w14:textId="77777777" w:rsidR="000772B6" w:rsidRPr="004421A9" w:rsidRDefault="000772B6" w:rsidP="000772B6">
      <w:pPr>
        <w:pStyle w:val="ListParagraph"/>
        <w:spacing w:after="40"/>
        <w:ind w:left="927"/>
        <w:rPr>
          <w:bCs/>
        </w:rPr>
      </w:pPr>
    </w:p>
    <w:p w14:paraId="15945716" w14:textId="48A7DA2A" w:rsidR="00B65EDC" w:rsidRPr="004421A9" w:rsidRDefault="000772B6" w:rsidP="000772B6">
      <w:pPr>
        <w:pStyle w:val="ListParagraph"/>
        <w:numPr>
          <w:ilvl w:val="0"/>
          <w:numId w:val="3"/>
        </w:numPr>
        <w:spacing w:after="40"/>
      </w:pPr>
      <w:r w:rsidRPr="004421A9">
        <w:rPr>
          <w:bCs/>
        </w:rPr>
        <w:t xml:space="preserve">Die </w:t>
      </w:r>
      <w:r w:rsidRPr="004421A9">
        <w:rPr>
          <w:b/>
        </w:rPr>
        <w:t>UPOV e-PVP-Plattformen für die Zusammenarbeit von UPOV-Mitgliedern</w:t>
      </w:r>
      <w:r w:rsidRPr="004421A9">
        <w:rPr>
          <w:bCs/>
        </w:rPr>
        <w:t xml:space="preserve"> sollen auf Ersuchen von UPOV-Mitgliedern für die Zusammenarbeit bei der Verwaltung und Prüfung von Anträgen entwickelt und unterstützt werden, vorbehaltlich der Bereitstellung der erforderlichen </w:t>
      </w:r>
      <w:r w:rsidRPr="004421A9">
        <w:rPr>
          <w:bCs/>
        </w:rPr>
        <w:lastRenderedPageBreak/>
        <w:t>außeretatmäßigen Mittel und vorbehaltlich der Auswirkungen auf die Ressourcen des Verbandsbüros</w:t>
      </w:r>
      <w:r w:rsidR="00B65EDC" w:rsidRPr="004421A9">
        <w:t>.</w:t>
      </w:r>
    </w:p>
    <w:p w14:paraId="76DDAEFF" w14:textId="77777777" w:rsidR="00B65EDC" w:rsidRPr="004421A9" w:rsidRDefault="00B65EDC" w:rsidP="00B65EDC">
      <w:pPr>
        <w:pStyle w:val="ListParagraph"/>
      </w:pPr>
    </w:p>
    <w:p w14:paraId="318F5BD5" w14:textId="20C1648E" w:rsidR="00B65EDC" w:rsidRPr="004421A9" w:rsidRDefault="00B65EDC" w:rsidP="00B65EDC">
      <w:r w:rsidRPr="004421A9">
        <w:fldChar w:fldCharType="begin"/>
      </w:r>
      <w:r w:rsidRPr="004421A9">
        <w:instrText xml:space="preserve"> AUTONUM  </w:instrText>
      </w:r>
      <w:r w:rsidRPr="004421A9">
        <w:fldChar w:fldCharType="end"/>
      </w:r>
      <w:r w:rsidRPr="004421A9">
        <w:tab/>
      </w:r>
      <w:r w:rsidR="00AA2E88" w:rsidRPr="004421A9">
        <w:t xml:space="preserve">Für die Rechnungsperiode 2026-2027 wird außerdem Folgendes erwartet: mindestens ein weiteres UPOV-Mitglied wird </w:t>
      </w:r>
      <w:r w:rsidR="00FC2A35">
        <w:t>UPOV PRISMA</w:t>
      </w:r>
      <w:r w:rsidR="00AA2E88" w:rsidRPr="004421A9">
        <w:t xml:space="preserve"> für Antragsteller obligatorisch machen; weitere Entwicklungen der Maschine-zu-Maschine-Kommunikation (M2M); verstärkte Nutzung von </w:t>
      </w:r>
      <w:r w:rsidR="00FC2A35">
        <w:t>UPOV PRISMA</w:t>
      </w:r>
      <w:r w:rsidR="00AA2E88" w:rsidRPr="004421A9">
        <w:t xml:space="preserve"> für die Aufnahme in nationale Listen zusätzlich zur Einreichung von Anträgen auf Erteilung von Züchterrechten; und eine verstärkte Nutzung der Massen-Upload-Funktion</w:t>
      </w:r>
      <w:r w:rsidRPr="004421A9">
        <w:t>.</w:t>
      </w:r>
    </w:p>
    <w:p w14:paraId="63C2C322" w14:textId="77777777" w:rsidR="00B65EDC" w:rsidRPr="004421A9" w:rsidRDefault="00B65EDC" w:rsidP="00B65EDC">
      <w:pPr>
        <w:spacing w:after="40"/>
      </w:pPr>
    </w:p>
    <w:p w14:paraId="41C4D781" w14:textId="496B42DB" w:rsidR="00B65EDC" w:rsidRPr="004421A9" w:rsidRDefault="00B65EDC" w:rsidP="00B65EDC">
      <w:r w:rsidRPr="004421A9">
        <w:fldChar w:fldCharType="begin"/>
      </w:r>
      <w:r w:rsidRPr="004421A9">
        <w:instrText xml:space="preserve"> AUTONUM  </w:instrText>
      </w:r>
      <w:r w:rsidRPr="004421A9">
        <w:fldChar w:fldCharType="end"/>
      </w:r>
      <w:r w:rsidRPr="004421A9">
        <w:tab/>
      </w:r>
      <w:r w:rsidR="00E278AA" w:rsidRPr="004421A9">
        <w:t>Die nachstehende Abbildung gibt einen Überblick über die UPOV e-PVP-Komponenten</w:t>
      </w:r>
      <w:r w:rsidRPr="004421A9">
        <w:t>.</w:t>
      </w:r>
      <w:r w:rsidR="00717B5C" w:rsidRPr="004421A9">
        <w:t xml:space="preserve"> </w:t>
      </w:r>
    </w:p>
    <w:p w14:paraId="378C35C6" w14:textId="77777777" w:rsidR="00B65EDC" w:rsidRPr="004421A9" w:rsidRDefault="00B65EDC" w:rsidP="00B65EDC">
      <w:pPr>
        <w:tabs>
          <w:tab w:val="left" w:pos="851"/>
        </w:tabs>
      </w:pPr>
    </w:p>
    <w:p w14:paraId="18F7B277" w14:textId="3988C319" w:rsidR="00B65EDC" w:rsidRPr="004421A9" w:rsidRDefault="00356102" w:rsidP="00B65EDC">
      <w:pPr>
        <w:tabs>
          <w:tab w:val="left" w:pos="851"/>
        </w:tabs>
      </w:pPr>
      <w:r>
        <w:rPr>
          <w:noProof/>
        </w:rPr>
        <mc:AlternateContent>
          <mc:Choice Requires="wps">
            <w:drawing>
              <wp:anchor distT="0" distB="0" distL="114300" distR="114300" simplePos="0" relativeHeight="251659264" behindDoc="0" locked="0" layoutInCell="1" allowOverlap="1" wp14:anchorId="4EB15924" wp14:editId="0D593917">
                <wp:simplePos x="0" y="0"/>
                <wp:positionH relativeFrom="column">
                  <wp:posOffset>5474970</wp:posOffset>
                </wp:positionH>
                <wp:positionV relativeFrom="paragraph">
                  <wp:posOffset>3201670</wp:posOffset>
                </wp:positionV>
                <wp:extent cx="641985" cy="247015"/>
                <wp:effectExtent l="0" t="0" r="5715" b="635"/>
                <wp:wrapNone/>
                <wp:docPr id="899955756" name="Rectangle 1"/>
                <wp:cNvGraphicFramePr/>
                <a:graphic xmlns:a="http://schemas.openxmlformats.org/drawingml/2006/main">
                  <a:graphicData uri="http://schemas.microsoft.com/office/word/2010/wordprocessingShape">
                    <wps:wsp>
                      <wps:cNvSpPr/>
                      <wps:spPr>
                        <a:xfrm>
                          <a:off x="0" y="0"/>
                          <a:ext cx="641985" cy="2470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ADD72" id="Rectangle 1" o:spid="_x0000_s1026" style="position:absolute;margin-left:431.1pt;margin-top:252.1pt;width:50.55pt;height:1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" fillcolor="white [3212]" stroked="f" strokeweight="2pt"/>
            </w:pict>
          </mc:Fallback>
        </mc:AlternateContent>
      </w:r>
      <w:r w:rsidR="000F13D5">
        <w:rPr>
          <w:noProof/>
        </w:rPr>
        <w:drawing>
          <wp:inline distT="0" distB="0" distL="0" distR="0" wp14:anchorId="24F0D609" wp14:editId="38F1ECEF">
            <wp:extent cx="6120765" cy="3447415"/>
            <wp:effectExtent l="0" t="0" r="0" b="635"/>
            <wp:docPr id="7404939" name="Graphic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939" name="Graphic 1" descr="A diagram of a computer system&#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rcRect l="3202" r="3202"/>
                    <a:stretch>
                      <a:fillRect/>
                    </a:stretch>
                  </pic:blipFill>
                  <pic:spPr bwMode="auto">
                    <a:xfrm>
                      <a:off x="0" y="0"/>
                      <a:ext cx="6120765" cy="3447415"/>
                    </a:xfrm>
                    <a:prstGeom prst="rect">
                      <a:avLst/>
                    </a:prstGeom>
                    <a:ln>
                      <a:noFill/>
                    </a:ln>
                    <a:extLst>
                      <a:ext uri="{53640926-AAD7-44D8-BBD7-CCE9431645EC}">
                        <a14:shadowObscured xmlns:a14="http://schemas.microsoft.com/office/drawing/2010/main"/>
                      </a:ext>
                    </a:extLst>
                  </pic:spPr>
                </pic:pic>
              </a:graphicData>
            </a:graphic>
          </wp:inline>
        </w:drawing>
      </w:r>
    </w:p>
    <w:p w14:paraId="478FF62E" w14:textId="77777777" w:rsidR="00B65EDC" w:rsidRPr="004421A9" w:rsidRDefault="00B65EDC" w:rsidP="00B65EDC">
      <w:pPr>
        <w:jc w:val="left"/>
        <w:rPr>
          <w:b/>
          <w:color w:val="26724C" w:themeColor="accent1" w:themeShade="BF"/>
          <w:sz w:val="22"/>
        </w:rPr>
      </w:pPr>
      <w:r w:rsidRPr="004421A9">
        <w:br w:type="page"/>
      </w:r>
    </w:p>
    <w:p w14:paraId="78E41EA5" w14:textId="370340A0" w:rsidR="00B65EDC" w:rsidRPr="004421A9" w:rsidRDefault="00B65EDC" w:rsidP="00B65EDC">
      <w:pPr>
        <w:pStyle w:val="Heading3"/>
        <w:rPr>
          <w:lang w:val="de-DE"/>
        </w:rPr>
      </w:pPr>
      <w:bookmarkStart w:id="488" w:name="_Toc210041707"/>
      <w:r w:rsidRPr="004421A9">
        <w:rPr>
          <w:lang w:val="de-DE"/>
        </w:rPr>
        <w:lastRenderedPageBreak/>
        <w:t xml:space="preserve">Erwartete Ergebnisse und </w:t>
      </w:r>
      <w:r w:rsidR="00877E3D" w:rsidRPr="004421A9">
        <w:rPr>
          <w:lang w:val="de-DE"/>
        </w:rPr>
        <w:t>Planerfüllungsindikatoren</w:t>
      </w:r>
      <w:bookmarkEnd w:id="488"/>
    </w:p>
    <w:p w14:paraId="62789B46" w14:textId="77777777" w:rsidR="00B65EDC" w:rsidRPr="004421A9" w:rsidRDefault="00B65EDC" w:rsidP="00B65EDC"/>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FC665A" w:rsidRPr="004421A9" w14:paraId="0DF2339F" w14:textId="77777777" w:rsidTr="00CD4E21">
        <w:trPr>
          <w:tblHeader/>
        </w:trPr>
        <w:tc>
          <w:tcPr>
            <w:tcW w:w="426" w:type="dxa"/>
            <w:shd w:val="clear" w:color="auto" w:fill="E2E7EB" w:themeFill="accent3" w:themeFillTint="33"/>
          </w:tcPr>
          <w:p w14:paraId="47E9A5AB" w14:textId="77777777" w:rsidR="00FC665A" w:rsidRPr="004421A9" w:rsidRDefault="00FC665A" w:rsidP="00FC665A">
            <w:pPr>
              <w:jc w:val="left"/>
              <w:rPr>
                <w:b/>
                <w:bCs/>
                <w:sz w:val="16"/>
                <w:szCs w:val="16"/>
              </w:rPr>
            </w:pPr>
          </w:p>
        </w:tc>
        <w:tc>
          <w:tcPr>
            <w:tcW w:w="3255" w:type="dxa"/>
            <w:shd w:val="clear" w:color="auto" w:fill="E2E7EB" w:themeFill="accent3" w:themeFillTint="33"/>
          </w:tcPr>
          <w:p w14:paraId="698577C5" w14:textId="77777777" w:rsidR="00FC665A" w:rsidRPr="004421A9" w:rsidRDefault="00FC665A" w:rsidP="00FC665A">
            <w:pPr>
              <w:jc w:val="left"/>
              <w:rPr>
                <w:b/>
                <w:bCs/>
                <w:sz w:val="16"/>
                <w:szCs w:val="16"/>
              </w:rPr>
            </w:pPr>
            <w:r w:rsidRPr="004421A9">
              <w:rPr>
                <w:b/>
                <w:bCs/>
                <w:sz w:val="16"/>
                <w:szCs w:val="16"/>
              </w:rPr>
              <w:t>Erwartete Ergebnisse</w:t>
            </w:r>
          </w:p>
        </w:tc>
        <w:tc>
          <w:tcPr>
            <w:tcW w:w="305" w:type="dxa"/>
            <w:shd w:val="clear" w:color="auto" w:fill="E2E7EB" w:themeFill="accent3" w:themeFillTint="33"/>
          </w:tcPr>
          <w:p w14:paraId="4050BAED" w14:textId="77777777" w:rsidR="00FC665A" w:rsidRPr="004421A9" w:rsidRDefault="00FC665A" w:rsidP="00FC665A">
            <w:pPr>
              <w:jc w:val="center"/>
              <w:rPr>
                <w:b/>
                <w:bCs/>
                <w:sz w:val="16"/>
                <w:szCs w:val="16"/>
              </w:rPr>
            </w:pPr>
          </w:p>
        </w:tc>
        <w:tc>
          <w:tcPr>
            <w:tcW w:w="2457" w:type="dxa"/>
            <w:shd w:val="clear" w:color="auto" w:fill="E2E7EB" w:themeFill="accent3" w:themeFillTint="33"/>
          </w:tcPr>
          <w:p w14:paraId="741FE153" w14:textId="0812DDF9" w:rsidR="00FC665A" w:rsidRPr="004421A9" w:rsidRDefault="00FC665A" w:rsidP="00FC665A">
            <w:pPr>
              <w:rPr>
                <w:b/>
                <w:bCs/>
                <w:sz w:val="16"/>
                <w:szCs w:val="16"/>
              </w:rPr>
            </w:pPr>
            <w:r w:rsidRPr="004421A9">
              <w:rPr>
                <w:b/>
                <w:bCs/>
                <w:sz w:val="16"/>
                <w:szCs w:val="16"/>
              </w:rPr>
              <w:t>Planerfüllungsindikatoren</w:t>
            </w:r>
          </w:p>
        </w:tc>
        <w:tc>
          <w:tcPr>
            <w:tcW w:w="1632" w:type="dxa"/>
            <w:shd w:val="clear" w:color="auto" w:fill="E2E7EB" w:themeFill="accent3" w:themeFillTint="33"/>
          </w:tcPr>
          <w:p w14:paraId="06141515" w14:textId="0DF77352" w:rsidR="00FC665A" w:rsidRPr="004421A9" w:rsidRDefault="00FC665A" w:rsidP="00FC665A">
            <w:pPr>
              <w:jc w:val="center"/>
              <w:rPr>
                <w:b/>
                <w:bCs/>
                <w:sz w:val="16"/>
                <w:szCs w:val="16"/>
              </w:rPr>
            </w:pPr>
            <w:r w:rsidRPr="004421A9">
              <w:rPr>
                <w:b/>
                <w:bCs/>
                <w:sz w:val="16"/>
                <w:szCs w:val="16"/>
              </w:rPr>
              <w:t>Referenzwerte</w:t>
            </w:r>
          </w:p>
        </w:tc>
        <w:tc>
          <w:tcPr>
            <w:tcW w:w="1559" w:type="dxa"/>
            <w:shd w:val="clear" w:color="auto" w:fill="E2E7EB" w:themeFill="accent3" w:themeFillTint="33"/>
          </w:tcPr>
          <w:p w14:paraId="4B7977B5" w14:textId="77777777" w:rsidR="00FC665A" w:rsidRPr="004421A9" w:rsidRDefault="00FC665A" w:rsidP="00FC665A">
            <w:pPr>
              <w:jc w:val="center"/>
              <w:rPr>
                <w:b/>
                <w:bCs/>
                <w:sz w:val="16"/>
                <w:szCs w:val="16"/>
              </w:rPr>
            </w:pPr>
            <w:r w:rsidRPr="004421A9">
              <w:rPr>
                <w:b/>
                <w:bCs/>
                <w:sz w:val="16"/>
                <w:szCs w:val="16"/>
              </w:rPr>
              <w:t>Ziele (2026/27)</w:t>
            </w:r>
          </w:p>
        </w:tc>
      </w:tr>
      <w:tr w:rsidR="00DC7FBC" w:rsidRPr="004421A9" w14:paraId="113D9DE1" w14:textId="77777777" w:rsidTr="00CD4E21">
        <w:tc>
          <w:tcPr>
            <w:tcW w:w="426" w:type="dxa"/>
          </w:tcPr>
          <w:p w14:paraId="1FB31E93" w14:textId="77777777" w:rsidR="00DC7FBC" w:rsidRPr="004421A9" w:rsidRDefault="00DC7FBC" w:rsidP="00DC7FBC">
            <w:pPr>
              <w:jc w:val="left"/>
              <w:rPr>
                <w:rFonts w:cs="Arial"/>
                <w:sz w:val="16"/>
                <w:szCs w:val="16"/>
              </w:rPr>
            </w:pPr>
            <w:r w:rsidRPr="004421A9">
              <w:rPr>
                <w:rFonts w:cs="Arial"/>
                <w:sz w:val="16"/>
                <w:szCs w:val="16"/>
              </w:rPr>
              <w:t>3.1</w:t>
            </w:r>
          </w:p>
        </w:tc>
        <w:tc>
          <w:tcPr>
            <w:tcW w:w="3255" w:type="dxa"/>
          </w:tcPr>
          <w:p w14:paraId="35A8AFA4" w14:textId="42A8C8E4" w:rsidR="00DC7FBC" w:rsidRPr="004421A9" w:rsidRDefault="00DC7FBC" w:rsidP="00DC7FBC">
            <w:pPr>
              <w:jc w:val="left"/>
              <w:rPr>
                <w:rFonts w:cs="Arial"/>
                <w:sz w:val="16"/>
                <w:szCs w:val="16"/>
              </w:rPr>
            </w:pPr>
            <w:r w:rsidRPr="004421A9">
              <w:rPr>
                <w:rFonts w:cs="Arial"/>
                <w:sz w:val="16"/>
                <w:szCs w:val="16"/>
              </w:rPr>
              <w:t>Entwicklung von UPOV e-PVP-Diensten</w:t>
            </w:r>
          </w:p>
        </w:tc>
        <w:tc>
          <w:tcPr>
            <w:tcW w:w="305" w:type="dxa"/>
          </w:tcPr>
          <w:p w14:paraId="2366EFEF" w14:textId="27318771" w:rsidR="00DC7FBC" w:rsidRPr="004421A9" w:rsidRDefault="00DC7FBC" w:rsidP="00DC7FBC">
            <w:pPr>
              <w:jc w:val="left"/>
              <w:rPr>
                <w:rFonts w:cs="Arial"/>
                <w:sz w:val="16"/>
                <w:szCs w:val="16"/>
              </w:rPr>
            </w:pPr>
            <w:r w:rsidRPr="004421A9">
              <w:rPr>
                <w:rFonts w:cs="Arial"/>
                <w:sz w:val="16"/>
                <w:szCs w:val="16"/>
              </w:rPr>
              <w:t>11</w:t>
            </w:r>
          </w:p>
        </w:tc>
        <w:tc>
          <w:tcPr>
            <w:tcW w:w="2457" w:type="dxa"/>
          </w:tcPr>
          <w:p w14:paraId="3F0F76FF" w14:textId="6D8F04BD" w:rsidR="00DC7FBC" w:rsidRPr="004421A9" w:rsidRDefault="00DC7FBC" w:rsidP="00DC7FBC">
            <w:pPr>
              <w:jc w:val="left"/>
              <w:rPr>
                <w:rFonts w:cs="Arial"/>
                <w:sz w:val="16"/>
                <w:szCs w:val="16"/>
              </w:rPr>
            </w:pPr>
            <w:r w:rsidRPr="004421A9">
              <w:rPr>
                <w:rFonts w:cs="Arial"/>
                <w:sz w:val="16"/>
                <w:szCs w:val="16"/>
              </w:rPr>
              <w:t>Prozentsatz an Sortenschutzanträgen von UPOV-Mitgliedern, die innerhalb von 1 Jahr in die PLUTO-Datenbank aufgenommen werden</w:t>
            </w:r>
          </w:p>
        </w:tc>
        <w:tc>
          <w:tcPr>
            <w:tcW w:w="1632" w:type="dxa"/>
            <w:vAlign w:val="center"/>
          </w:tcPr>
          <w:p w14:paraId="4F54DFF0" w14:textId="3E8CC531" w:rsidR="00DC7FBC" w:rsidRPr="004421A9" w:rsidRDefault="00DC7FBC" w:rsidP="00DC7FBC">
            <w:pPr>
              <w:jc w:val="center"/>
              <w:rPr>
                <w:rFonts w:cs="Arial"/>
                <w:sz w:val="16"/>
                <w:szCs w:val="16"/>
              </w:rPr>
            </w:pPr>
            <w:r w:rsidRPr="004421A9">
              <w:rPr>
                <w:rFonts w:cs="Arial"/>
                <w:sz w:val="16"/>
                <w:szCs w:val="16"/>
              </w:rPr>
              <w:t>40% (2024)</w:t>
            </w:r>
          </w:p>
        </w:tc>
        <w:tc>
          <w:tcPr>
            <w:tcW w:w="1559" w:type="dxa"/>
            <w:vAlign w:val="center"/>
          </w:tcPr>
          <w:p w14:paraId="7423917B" w14:textId="77777777" w:rsidR="00DC7FBC" w:rsidRPr="004421A9" w:rsidRDefault="00DC7FBC" w:rsidP="00DC7FBC">
            <w:pPr>
              <w:jc w:val="center"/>
              <w:rPr>
                <w:rFonts w:cs="Arial"/>
                <w:sz w:val="16"/>
                <w:szCs w:val="16"/>
              </w:rPr>
            </w:pPr>
            <w:r w:rsidRPr="004421A9">
              <w:rPr>
                <w:rFonts w:cs="Arial"/>
                <w:sz w:val="16"/>
                <w:szCs w:val="16"/>
              </w:rPr>
              <w:t>50% (2026)</w:t>
            </w:r>
          </w:p>
          <w:p w14:paraId="061FE916" w14:textId="1391210F" w:rsidR="00DC7FBC" w:rsidRPr="004421A9" w:rsidRDefault="00DC7FBC" w:rsidP="00DC7FBC">
            <w:pPr>
              <w:jc w:val="center"/>
              <w:rPr>
                <w:rFonts w:cs="Arial"/>
                <w:sz w:val="16"/>
                <w:szCs w:val="16"/>
              </w:rPr>
            </w:pPr>
            <w:r w:rsidRPr="004421A9">
              <w:rPr>
                <w:rFonts w:cs="Arial"/>
                <w:sz w:val="16"/>
                <w:szCs w:val="16"/>
              </w:rPr>
              <w:t xml:space="preserve">60% (2027) </w:t>
            </w:r>
          </w:p>
        </w:tc>
      </w:tr>
      <w:tr w:rsidR="00DC7FBC" w:rsidRPr="004421A9" w14:paraId="705C4217" w14:textId="77777777" w:rsidTr="00CD4E21">
        <w:tc>
          <w:tcPr>
            <w:tcW w:w="426" w:type="dxa"/>
          </w:tcPr>
          <w:p w14:paraId="03DE6CA6" w14:textId="77777777" w:rsidR="00DC7FBC" w:rsidRPr="004421A9" w:rsidRDefault="00DC7FBC" w:rsidP="00DC7FBC">
            <w:pPr>
              <w:jc w:val="left"/>
              <w:rPr>
                <w:rFonts w:cs="Arial"/>
                <w:sz w:val="16"/>
                <w:szCs w:val="16"/>
              </w:rPr>
            </w:pPr>
          </w:p>
        </w:tc>
        <w:tc>
          <w:tcPr>
            <w:tcW w:w="3255" w:type="dxa"/>
          </w:tcPr>
          <w:p w14:paraId="06FAE0B8" w14:textId="77777777" w:rsidR="00DC7FBC" w:rsidRPr="004421A9" w:rsidRDefault="00DC7FBC" w:rsidP="00DC7FBC">
            <w:pPr>
              <w:jc w:val="left"/>
              <w:rPr>
                <w:rFonts w:cs="Arial"/>
                <w:sz w:val="16"/>
                <w:szCs w:val="16"/>
              </w:rPr>
            </w:pPr>
          </w:p>
        </w:tc>
        <w:tc>
          <w:tcPr>
            <w:tcW w:w="305" w:type="dxa"/>
          </w:tcPr>
          <w:p w14:paraId="618BA019" w14:textId="3EB11824" w:rsidR="00DC7FBC" w:rsidRPr="004421A9" w:rsidRDefault="00DC7FBC" w:rsidP="00DC7FBC">
            <w:pPr>
              <w:jc w:val="left"/>
              <w:rPr>
                <w:rFonts w:cs="Arial"/>
                <w:sz w:val="16"/>
                <w:szCs w:val="16"/>
              </w:rPr>
            </w:pPr>
            <w:r w:rsidRPr="004421A9">
              <w:rPr>
                <w:rFonts w:cs="Arial"/>
                <w:sz w:val="16"/>
                <w:szCs w:val="16"/>
              </w:rPr>
              <w:t>12</w:t>
            </w:r>
          </w:p>
        </w:tc>
        <w:tc>
          <w:tcPr>
            <w:tcW w:w="2457" w:type="dxa"/>
          </w:tcPr>
          <w:p w14:paraId="4489D432" w14:textId="05D1121F" w:rsidR="00DC7FBC" w:rsidRPr="004421A9" w:rsidRDefault="00DC7FBC" w:rsidP="00DC7FBC">
            <w:pPr>
              <w:jc w:val="left"/>
              <w:rPr>
                <w:rFonts w:cs="Arial"/>
                <w:sz w:val="16"/>
                <w:szCs w:val="16"/>
              </w:rPr>
            </w:pPr>
            <w:r w:rsidRPr="004421A9">
              <w:rPr>
                <w:rFonts w:cs="Arial"/>
                <w:sz w:val="16"/>
                <w:szCs w:val="16"/>
              </w:rPr>
              <w:t>Anzahl von PLUTO-Nutzern</w:t>
            </w:r>
          </w:p>
        </w:tc>
        <w:tc>
          <w:tcPr>
            <w:tcW w:w="1632" w:type="dxa"/>
            <w:vAlign w:val="center"/>
          </w:tcPr>
          <w:p w14:paraId="769E5854" w14:textId="4CFC82E1" w:rsidR="00DC7FBC" w:rsidRPr="004421A9" w:rsidRDefault="00DC7FBC" w:rsidP="00DC7FBC">
            <w:pPr>
              <w:jc w:val="center"/>
              <w:rPr>
                <w:rFonts w:cs="Arial"/>
                <w:sz w:val="16"/>
                <w:szCs w:val="16"/>
              </w:rPr>
            </w:pPr>
            <w:r w:rsidRPr="004421A9">
              <w:rPr>
                <w:rFonts w:cs="Arial"/>
                <w:sz w:val="16"/>
                <w:szCs w:val="16"/>
              </w:rPr>
              <w:t>5.500 (2024)</w:t>
            </w:r>
          </w:p>
        </w:tc>
        <w:tc>
          <w:tcPr>
            <w:tcW w:w="1559" w:type="dxa"/>
            <w:vAlign w:val="center"/>
          </w:tcPr>
          <w:p w14:paraId="7B3E747B" w14:textId="41FAB0FD" w:rsidR="00DC7FBC" w:rsidRPr="004421A9" w:rsidRDefault="00DC7FBC" w:rsidP="00DC7FBC">
            <w:pPr>
              <w:jc w:val="center"/>
              <w:rPr>
                <w:rFonts w:cs="Arial"/>
                <w:sz w:val="16"/>
                <w:szCs w:val="16"/>
              </w:rPr>
            </w:pPr>
            <w:r w:rsidRPr="004421A9">
              <w:rPr>
                <w:rFonts w:cs="Arial"/>
                <w:sz w:val="16"/>
                <w:szCs w:val="16"/>
              </w:rPr>
              <w:t>7.200 (2026)</w:t>
            </w:r>
          </w:p>
          <w:p w14:paraId="33AF8A60" w14:textId="36426A94" w:rsidR="00DC7FBC" w:rsidRPr="004421A9" w:rsidRDefault="00DC7FBC" w:rsidP="00DC7FBC">
            <w:pPr>
              <w:jc w:val="center"/>
              <w:rPr>
                <w:rFonts w:cs="Arial"/>
                <w:sz w:val="16"/>
                <w:szCs w:val="16"/>
              </w:rPr>
            </w:pPr>
            <w:r w:rsidRPr="004421A9">
              <w:rPr>
                <w:rFonts w:cs="Arial"/>
                <w:sz w:val="16"/>
                <w:szCs w:val="16"/>
              </w:rPr>
              <w:t>8.500 (2027)</w:t>
            </w:r>
          </w:p>
        </w:tc>
      </w:tr>
      <w:tr w:rsidR="00DC7FBC" w:rsidRPr="004421A9" w14:paraId="30BC4CF6" w14:textId="77777777" w:rsidTr="00CD4E21">
        <w:tc>
          <w:tcPr>
            <w:tcW w:w="426" w:type="dxa"/>
          </w:tcPr>
          <w:p w14:paraId="1E60558F" w14:textId="77777777" w:rsidR="00DC7FBC" w:rsidRPr="004421A9" w:rsidRDefault="00DC7FBC" w:rsidP="00DC7FBC">
            <w:pPr>
              <w:jc w:val="left"/>
              <w:rPr>
                <w:rFonts w:cs="Arial"/>
                <w:sz w:val="16"/>
                <w:szCs w:val="16"/>
              </w:rPr>
            </w:pPr>
          </w:p>
        </w:tc>
        <w:tc>
          <w:tcPr>
            <w:tcW w:w="3255" w:type="dxa"/>
          </w:tcPr>
          <w:p w14:paraId="70BF0352" w14:textId="77777777" w:rsidR="00DC7FBC" w:rsidRPr="004421A9" w:rsidRDefault="00DC7FBC" w:rsidP="00DC7FBC">
            <w:pPr>
              <w:jc w:val="left"/>
              <w:rPr>
                <w:rFonts w:cs="Arial"/>
                <w:sz w:val="16"/>
                <w:szCs w:val="16"/>
              </w:rPr>
            </w:pPr>
          </w:p>
        </w:tc>
        <w:tc>
          <w:tcPr>
            <w:tcW w:w="305" w:type="dxa"/>
          </w:tcPr>
          <w:p w14:paraId="6AEF5FB7" w14:textId="5F97E011" w:rsidR="00DC7FBC" w:rsidRPr="004421A9" w:rsidRDefault="00DC7FBC" w:rsidP="00DC7FBC">
            <w:pPr>
              <w:jc w:val="left"/>
              <w:rPr>
                <w:rFonts w:cs="Arial"/>
                <w:sz w:val="16"/>
                <w:szCs w:val="16"/>
              </w:rPr>
            </w:pPr>
            <w:r w:rsidRPr="004421A9">
              <w:rPr>
                <w:rFonts w:cs="Arial"/>
                <w:sz w:val="16"/>
                <w:szCs w:val="16"/>
              </w:rPr>
              <w:t>13</w:t>
            </w:r>
          </w:p>
        </w:tc>
        <w:tc>
          <w:tcPr>
            <w:tcW w:w="2457" w:type="dxa"/>
          </w:tcPr>
          <w:p w14:paraId="7C37E44A" w14:textId="1D0A0257" w:rsidR="00DC7FBC" w:rsidRPr="004421A9" w:rsidRDefault="00DC7FBC" w:rsidP="00DC7FBC">
            <w:pPr>
              <w:jc w:val="left"/>
              <w:rPr>
                <w:rFonts w:cs="Arial"/>
                <w:sz w:val="16"/>
                <w:szCs w:val="16"/>
              </w:rPr>
            </w:pPr>
            <w:r w:rsidRPr="004421A9">
              <w:rPr>
                <w:rFonts w:cs="Arial"/>
                <w:sz w:val="16"/>
                <w:szCs w:val="16"/>
              </w:rPr>
              <w:t xml:space="preserve">Anzahl von über </w:t>
            </w:r>
            <w:r w:rsidR="00FC2A35">
              <w:rPr>
                <w:rFonts w:cs="Arial"/>
                <w:sz w:val="16"/>
                <w:szCs w:val="16"/>
              </w:rPr>
              <w:t>UPOV PRISMA</w:t>
            </w:r>
            <w:r w:rsidRPr="004421A9">
              <w:rPr>
                <w:rFonts w:cs="Arial"/>
                <w:sz w:val="16"/>
                <w:szCs w:val="16"/>
              </w:rPr>
              <w:t xml:space="preserve"> eingereichten gebührengenerierenden Anträgen</w:t>
            </w:r>
          </w:p>
        </w:tc>
        <w:tc>
          <w:tcPr>
            <w:tcW w:w="1632" w:type="dxa"/>
            <w:vAlign w:val="center"/>
          </w:tcPr>
          <w:p w14:paraId="073DF1FB" w14:textId="62CD4B4A" w:rsidR="00DC7FBC" w:rsidRPr="004421A9" w:rsidRDefault="00DC7FBC" w:rsidP="00DC7FBC">
            <w:pPr>
              <w:jc w:val="center"/>
              <w:rPr>
                <w:rFonts w:cs="Arial"/>
                <w:sz w:val="16"/>
                <w:szCs w:val="16"/>
              </w:rPr>
            </w:pPr>
            <w:r w:rsidRPr="004421A9">
              <w:rPr>
                <w:rFonts w:cs="Arial"/>
                <w:sz w:val="16"/>
                <w:szCs w:val="16"/>
              </w:rPr>
              <w:t>1.491 (2024)</w:t>
            </w:r>
          </w:p>
        </w:tc>
        <w:tc>
          <w:tcPr>
            <w:tcW w:w="1559" w:type="dxa"/>
            <w:vAlign w:val="center"/>
          </w:tcPr>
          <w:p w14:paraId="3A132786" w14:textId="1A8ACC8D" w:rsidR="00DC7FBC" w:rsidRPr="004421A9" w:rsidRDefault="00DC7FBC" w:rsidP="00DC7FBC">
            <w:pPr>
              <w:jc w:val="center"/>
              <w:rPr>
                <w:rFonts w:cs="Arial"/>
                <w:sz w:val="16"/>
                <w:szCs w:val="16"/>
              </w:rPr>
            </w:pPr>
            <w:r w:rsidRPr="004421A9">
              <w:rPr>
                <w:rFonts w:asciiTheme="majorHAnsi" w:hAnsiTheme="majorHAnsi" w:cstheme="majorBidi"/>
                <w:sz w:val="16"/>
                <w:szCs w:val="16"/>
              </w:rPr>
              <w:t xml:space="preserve">1.648 </w:t>
            </w:r>
            <w:r w:rsidRPr="004421A9">
              <w:rPr>
                <w:rFonts w:cs="Arial"/>
                <w:sz w:val="16"/>
                <w:szCs w:val="16"/>
              </w:rPr>
              <w:t>(2026)</w:t>
            </w:r>
          </w:p>
          <w:p w14:paraId="6E78F0D7" w14:textId="02E9AD63" w:rsidR="00DC7FBC" w:rsidRPr="004421A9" w:rsidRDefault="00DC7FBC" w:rsidP="00DC7FBC">
            <w:pPr>
              <w:jc w:val="center"/>
              <w:rPr>
                <w:rFonts w:asciiTheme="majorHAnsi" w:hAnsiTheme="majorHAnsi" w:cstheme="majorHAnsi"/>
                <w:sz w:val="16"/>
                <w:szCs w:val="16"/>
              </w:rPr>
            </w:pPr>
            <w:r w:rsidRPr="004421A9">
              <w:rPr>
                <w:rFonts w:asciiTheme="majorHAnsi" w:hAnsiTheme="majorHAnsi" w:cstheme="majorBidi"/>
                <w:sz w:val="16"/>
                <w:szCs w:val="16"/>
              </w:rPr>
              <w:t>1.730(2027)</w:t>
            </w:r>
          </w:p>
        </w:tc>
      </w:tr>
      <w:tr w:rsidR="00DC7FBC" w:rsidRPr="004421A9" w14:paraId="3CE51043" w14:textId="77777777" w:rsidTr="00DB55FE">
        <w:tc>
          <w:tcPr>
            <w:tcW w:w="426" w:type="dxa"/>
          </w:tcPr>
          <w:p w14:paraId="42E13FBA" w14:textId="77777777" w:rsidR="00DC7FBC" w:rsidRPr="004421A9" w:rsidRDefault="00DC7FBC" w:rsidP="00DC7FBC">
            <w:pPr>
              <w:jc w:val="left"/>
              <w:rPr>
                <w:rFonts w:cs="Arial"/>
                <w:sz w:val="16"/>
                <w:szCs w:val="16"/>
              </w:rPr>
            </w:pPr>
          </w:p>
        </w:tc>
        <w:tc>
          <w:tcPr>
            <w:tcW w:w="3255" w:type="dxa"/>
          </w:tcPr>
          <w:p w14:paraId="56568B8D" w14:textId="77777777" w:rsidR="00DC7FBC" w:rsidRPr="004421A9" w:rsidRDefault="00DC7FBC" w:rsidP="00DC7FBC">
            <w:pPr>
              <w:jc w:val="left"/>
              <w:rPr>
                <w:rFonts w:cs="Arial"/>
                <w:sz w:val="16"/>
                <w:szCs w:val="16"/>
              </w:rPr>
            </w:pPr>
          </w:p>
        </w:tc>
        <w:tc>
          <w:tcPr>
            <w:tcW w:w="305" w:type="dxa"/>
          </w:tcPr>
          <w:p w14:paraId="513476EA" w14:textId="6E8FD215" w:rsidR="00DC7FBC" w:rsidRPr="004421A9" w:rsidRDefault="00DC7FBC" w:rsidP="00DC7FBC">
            <w:pPr>
              <w:jc w:val="left"/>
              <w:rPr>
                <w:rFonts w:cs="Arial"/>
                <w:sz w:val="16"/>
                <w:szCs w:val="16"/>
              </w:rPr>
            </w:pPr>
            <w:r w:rsidRPr="004421A9">
              <w:rPr>
                <w:rFonts w:cs="Arial"/>
                <w:sz w:val="16"/>
                <w:szCs w:val="16"/>
              </w:rPr>
              <w:t>14</w:t>
            </w:r>
          </w:p>
        </w:tc>
        <w:tc>
          <w:tcPr>
            <w:tcW w:w="2457" w:type="dxa"/>
            <w:tcBorders>
              <w:bottom w:val="single" w:sz="4" w:space="0" w:color="D9D9D9" w:themeColor="background1" w:themeShade="D9"/>
            </w:tcBorders>
          </w:tcPr>
          <w:p w14:paraId="64C2CEEA" w14:textId="7E3F29FD" w:rsidR="00DC7FBC" w:rsidRPr="004421A9" w:rsidRDefault="00DC7FBC" w:rsidP="00DC7FBC">
            <w:pPr>
              <w:jc w:val="left"/>
              <w:rPr>
                <w:rFonts w:cs="Arial"/>
                <w:sz w:val="16"/>
                <w:szCs w:val="16"/>
              </w:rPr>
            </w:pPr>
            <w:r w:rsidRPr="004421A9">
              <w:rPr>
                <w:rFonts w:cs="Arial"/>
                <w:sz w:val="16"/>
                <w:szCs w:val="16"/>
              </w:rPr>
              <w:t>Anzahl von UPOV-Mitgliedern, die das UPOV e-PVP-Verwaltungsmodul zur Verwaltung und Veröffentlichung von Sortenschutzanträgen nutzen</w:t>
            </w:r>
          </w:p>
        </w:tc>
        <w:tc>
          <w:tcPr>
            <w:tcW w:w="1632" w:type="dxa"/>
            <w:vAlign w:val="center"/>
          </w:tcPr>
          <w:p w14:paraId="2088D408" w14:textId="413E1FCB" w:rsidR="00DC7FBC" w:rsidRPr="004421A9" w:rsidRDefault="00DC7FBC" w:rsidP="00DC7FBC">
            <w:pPr>
              <w:jc w:val="center"/>
              <w:rPr>
                <w:rFonts w:cs="Arial"/>
                <w:sz w:val="16"/>
                <w:szCs w:val="16"/>
              </w:rPr>
            </w:pPr>
            <w:r w:rsidRPr="004421A9">
              <w:rPr>
                <w:rFonts w:cs="Arial"/>
                <w:sz w:val="16"/>
                <w:szCs w:val="16"/>
              </w:rPr>
              <w:t>1 (2024)</w:t>
            </w:r>
          </w:p>
        </w:tc>
        <w:tc>
          <w:tcPr>
            <w:tcW w:w="1559" w:type="dxa"/>
            <w:vAlign w:val="center"/>
          </w:tcPr>
          <w:p w14:paraId="1AF134A1" w14:textId="77777777" w:rsidR="00DC7FBC" w:rsidRPr="004421A9" w:rsidRDefault="00DC7FBC" w:rsidP="00DC7FBC">
            <w:pPr>
              <w:jc w:val="center"/>
              <w:rPr>
                <w:rFonts w:cs="Arial"/>
                <w:sz w:val="16"/>
                <w:szCs w:val="16"/>
              </w:rPr>
            </w:pPr>
            <w:r w:rsidRPr="004421A9">
              <w:rPr>
                <w:rFonts w:cs="Arial"/>
                <w:sz w:val="16"/>
                <w:szCs w:val="16"/>
              </w:rPr>
              <w:t xml:space="preserve">5 (2026) </w:t>
            </w:r>
          </w:p>
          <w:p w14:paraId="3C3AF566" w14:textId="327CB618" w:rsidR="00DC7FBC" w:rsidRPr="004421A9" w:rsidRDefault="00DC7FBC" w:rsidP="00DC7FBC">
            <w:pPr>
              <w:jc w:val="center"/>
              <w:rPr>
                <w:rFonts w:cs="Arial"/>
                <w:sz w:val="16"/>
                <w:szCs w:val="16"/>
              </w:rPr>
            </w:pPr>
            <w:r w:rsidRPr="004421A9">
              <w:rPr>
                <w:rFonts w:cs="Arial"/>
                <w:sz w:val="16"/>
                <w:szCs w:val="16"/>
              </w:rPr>
              <w:t>6 (2027)</w:t>
            </w:r>
          </w:p>
        </w:tc>
      </w:tr>
      <w:tr w:rsidR="00DC7FBC" w:rsidRPr="004421A9" w14:paraId="5A45B0B0" w14:textId="77777777" w:rsidTr="00CD4E21">
        <w:tc>
          <w:tcPr>
            <w:tcW w:w="426" w:type="dxa"/>
            <w:tcBorders>
              <w:bottom w:val="single" w:sz="4" w:space="0" w:color="D9D9D9" w:themeColor="background1" w:themeShade="D9"/>
            </w:tcBorders>
          </w:tcPr>
          <w:p w14:paraId="3AADBBBF" w14:textId="77777777" w:rsidR="00DC7FBC" w:rsidRPr="004421A9" w:rsidRDefault="00DC7FBC" w:rsidP="00DC7FBC">
            <w:pPr>
              <w:jc w:val="left"/>
              <w:rPr>
                <w:rFonts w:cs="Arial"/>
                <w:sz w:val="16"/>
                <w:szCs w:val="16"/>
              </w:rPr>
            </w:pPr>
          </w:p>
        </w:tc>
        <w:tc>
          <w:tcPr>
            <w:tcW w:w="3255" w:type="dxa"/>
            <w:tcBorders>
              <w:bottom w:val="single" w:sz="4" w:space="0" w:color="D9D9D9" w:themeColor="background1" w:themeShade="D9"/>
            </w:tcBorders>
          </w:tcPr>
          <w:p w14:paraId="36086D52" w14:textId="77777777" w:rsidR="00DC7FBC" w:rsidRPr="004421A9" w:rsidRDefault="00DC7FBC" w:rsidP="00DC7FBC">
            <w:pPr>
              <w:jc w:val="left"/>
              <w:rPr>
                <w:rFonts w:cs="Arial"/>
                <w:sz w:val="16"/>
                <w:szCs w:val="16"/>
              </w:rPr>
            </w:pPr>
          </w:p>
        </w:tc>
        <w:tc>
          <w:tcPr>
            <w:tcW w:w="305" w:type="dxa"/>
            <w:tcBorders>
              <w:bottom w:val="single" w:sz="4" w:space="0" w:color="D9D9D9" w:themeColor="background1" w:themeShade="D9"/>
            </w:tcBorders>
          </w:tcPr>
          <w:p w14:paraId="7C56C1F2" w14:textId="612B9419" w:rsidR="00DC7FBC" w:rsidRPr="004421A9" w:rsidRDefault="00DC7FBC" w:rsidP="00DC7FBC">
            <w:pPr>
              <w:jc w:val="left"/>
              <w:rPr>
                <w:rFonts w:cs="Arial"/>
                <w:sz w:val="16"/>
                <w:szCs w:val="16"/>
              </w:rPr>
            </w:pPr>
            <w:r w:rsidRPr="004421A9">
              <w:rPr>
                <w:rFonts w:cs="Arial"/>
                <w:sz w:val="16"/>
                <w:szCs w:val="16"/>
              </w:rPr>
              <w:t>15</w:t>
            </w:r>
          </w:p>
        </w:tc>
        <w:tc>
          <w:tcPr>
            <w:tcW w:w="2457" w:type="dxa"/>
            <w:tcBorders>
              <w:bottom w:val="single" w:sz="4" w:space="0" w:color="D9D9D9" w:themeColor="background1" w:themeShade="D9"/>
            </w:tcBorders>
          </w:tcPr>
          <w:p w14:paraId="5FDD5CFF" w14:textId="77777777" w:rsidR="00DC7FBC" w:rsidRPr="004421A9" w:rsidRDefault="00DC7FBC" w:rsidP="00DC7FBC">
            <w:pPr>
              <w:jc w:val="left"/>
              <w:rPr>
                <w:rFonts w:cs="Arial"/>
                <w:sz w:val="16"/>
                <w:szCs w:val="16"/>
              </w:rPr>
            </w:pPr>
            <w:r w:rsidRPr="004421A9">
              <w:rPr>
                <w:rFonts w:cs="Arial"/>
                <w:sz w:val="16"/>
                <w:szCs w:val="16"/>
              </w:rPr>
              <w:t>Anzahl von UPOV-Mitgliedern, die das UPOV-Austauschmodul zur Verwaltung des Austauschs von Berichten nutzen</w:t>
            </w:r>
          </w:p>
          <w:p w14:paraId="75D7E298" w14:textId="77777777" w:rsidR="00DC7FBC" w:rsidRPr="004421A9" w:rsidRDefault="00DC7FBC" w:rsidP="00DC7FBC">
            <w:pPr>
              <w:jc w:val="left"/>
              <w:rPr>
                <w:rFonts w:cs="Arial"/>
                <w:sz w:val="16"/>
                <w:szCs w:val="16"/>
              </w:rPr>
            </w:pPr>
          </w:p>
        </w:tc>
        <w:tc>
          <w:tcPr>
            <w:tcW w:w="1632" w:type="dxa"/>
            <w:tcBorders>
              <w:bottom w:val="single" w:sz="4" w:space="0" w:color="D9D9D9" w:themeColor="background1" w:themeShade="D9"/>
            </w:tcBorders>
            <w:vAlign w:val="center"/>
          </w:tcPr>
          <w:p w14:paraId="761CD102" w14:textId="5CFB018A" w:rsidR="00DC7FBC" w:rsidRPr="004421A9" w:rsidRDefault="00DC7FBC" w:rsidP="00DC7FBC">
            <w:pPr>
              <w:jc w:val="center"/>
              <w:rPr>
                <w:rFonts w:cs="Arial"/>
                <w:sz w:val="16"/>
                <w:szCs w:val="16"/>
              </w:rPr>
            </w:pPr>
            <w:r w:rsidRPr="004421A9">
              <w:rPr>
                <w:rFonts w:cs="Arial"/>
                <w:sz w:val="16"/>
                <w:szCs w:val="16"/>
              </w:rPr>
              <w:t>2 (2024)</w:t>
            </w:r>
          </w:p>
        </w:tc>
        <w:tc>
          <w:tcPr>
            <w:tcW w:w="1559" w:type="dxa"/>
            <w:tcBorders>
              <w:bottom w:val="single" w:sz="4" w:space="0" w:color="D9D9D9" w:themeColor="background1" w:themeShade="D9"/>
            </w:tcBorders>
            <w:vAlign w:val="center"/>
          </w:tcPr>
          <w:p w14:paraId="02D5D821" w14:textId="77777777" w:rsidR="00DC7FBC" w:rsidRPr="004421A9" w:rsidDel="000345DE" w:rsidRDefault="00DC7FBC" w:rsidP="00DC7FBC">
            <w:pPr>
              <w:jc w:val="center"/>
              <w:rPr>
                <w:rFonts w:cs="Arial"/>
                <w:sz w:val="16"/>
                <w:szCs w:val="16"/>
              </w:rPr>
            </w:pPr>
            <w:r w:rsidRPr="004421A9">
              <w:rPr>
                <w:rFonts w:cs="Arial"/>
                <w:sz w:val="16"/>
                <w:szCs w:val="16"/>
              </w:rPr>
              <w:t>16 (2026)</w:t>
            </w:r>
          </w:p>
          <w:p w14:paraId="4A8B3A3A" w14:textId="60D12003" w:rsidR="00DC7FBC" w:rsidRPr="004421A9" w:rsidDel="000345DE" w:rsidRDefault="00DC7FBC" w:rsidP="00DC7FBC">
            <w:pPr>
              <w:jc w:val="center"/>
              <w:rPr>
                <w:rFonts w:cs="Arial"/>
                <w:sz w:val="16"/>
                <w:szCs w:val="16"/>
              </w:rPr>
            </w:pPr>
            <w:r w:rsidRPr="004421A9">
              <w:rPr>
                <w:rFonts w:cs="Arial"/>
                <w:sz w:val="16"/>
                <w:szCs w:val="16"/>
              </w:rPr>
              <w:t>18 (2027)</w:t>
            </w:r>
          </w:p>
        </w:tc>
      </w:tr>
    </w:tbl>
    <w:p w14:paraId="3E98462D" w14:textId="77777777" w:rsidR="00B65EDC" w:rsidRPr="004421A9" w:rsidRDefault="00B65EDC" w:rsidP="00B65EDC"/>
    <w:p w14:paraId="72C8F7F3" w14:textId="77777777" w:rsidR="00B65EDC" w:rsidRPr="004421A9" w:rsidRDefault="00B65EDC" w:rsidP="00B65EDC">
      <w:bookmarkStart w:id="489" w:name="_Hlk188213642"/>
    </w:p>
    <w:p w14:paraId="22DD09AF" w14:textId="77777777" w:rsidR="00B65EDC" w:rsidRPr="004421A9" w:rsidRDefault="00B65EDC" w:rsidP="00B65EDC"/>
    <w:p w14:paraId="14C94157" w14:textId="1E114CA5" w:rsidR="00B65EDC" w:rsidRPr="004421A9" w:rsidRDefault="007374CC" w:rsidP="004448C7">
      <w:pPr>
        <w:pStyle w:val="Heading2"/>
        <w:rPr>
          <w:lang w:val="de-DE"/>
        </w:rPr>
      </w:pPr>
      <w:bookmarkStart w:id="490" w:name="_Toc117798901"/>
      <w:bookmarkStart w:id="491" w:name="_Toc107239606"/>
      <w:bookmarkStart w:id="492" w:name="_Toc107239356"/>
      <w:bookmarkStart w:id="493" w:name="_Toc210041708"/>
      <w:bookmarkEnd w:id="489"/>
      <w:r w:rsidRPr="004421A9">
        <w:rPr>
          <w:lang w:val="de-DE"/>
        </w:rPr>
        <w:t>Fundament: Unsere Mitarbeitenden befähigen, effizient, kooperativ und innovativ zu arbeiten, indem wir ihnen die richtigen Ressourcen, Schulungen und ein geeignetes Umfeld zur Verfügung stellen</w:t>
      </w:r>
      <w:bookmarkEnd w:id="490"/>
      <w:bookmarkEnd w:id="491"/>
      <w:bookmarkEnd w:id="492"/>
      <w:bookmarkEnd w:id="493"/>
    </w:p>
    <w:p w14:paraId="07DC5404" w14:textId="77777777" w:rsidR="00B65EDC" w:rsidRPr="004421A9" w:rsidRDefault="00B65EDC" w:rsidP="00B65EDC">
      <w:pPr>
        <w:keepNext/>
        <w:rPr>
          <w:b/>
          <w:bCs/>
          <w:sz w:val="22"/>
          <w:szCs w:val="22"/>
        </w:rPr>
      </w:pPr>
    </w:p>
    <w:p w14:paraId="2A8FD3C7" w14:textId="77777777" w:rsidR="00B65EDC" w:rsidRPr="004421A9" w:rsidRDefault="00B65EDC" w:rsidP="00B65EDC">
      <w:pPr>
        <w:pStyle w:val="Heading3"/>
        <w:rPr>
          <w:sz w:val="20"/>
          <w:lang w:val="de-DE"/>
        </w:rPr>
      </w:pPr>
      <w:bookmarkStart w:id="494" w:name="_Toc210041709"/>
      <w:r w:rsidRPr="004421A9">
        <w:rPr>
          <w:lang w:val="de-DE"/>
        </w:rPr>
        <w:t>Umsetzung der Strategie zur Erreichung der erwarteten Ergebnisse</w:t>
      </w:r>
      <w:bookmarkEnd w:id="494"/>
    </w:p>
    <w:p w14:paraId="6ABC4737" w14:textId="77777777" w:rsidR="00B65EDC" w:rsidRPr="004421A9" w:rsidRDefault="00B65EDC" w:rsidP="00B65EDC">
      <w:pPr>
        <w:pStyle w:val="Default"/>
        <w:keepNext/>
        <w:rPr>
          <w:b/>
          <w:bCs/>
          <w:sz w:val="22"/>
          <w:szCs w:val="22"/>
          <w:lang w:val="de-DE"/>
        </w:rPr>
      </w:pPr>
    </w:p>
    <w:p w14:paraId="54050596" w14:textId="3B893AEE" w:rsidR="00B65EDC" w:rsidRPr="004421A9" w:rsidRDefault="00B65EDC" w:rsidP="00B65EDC">
      <w:pPr>
        <w:pStyle w:val="Default"/>
        <w:jc w:val="both"/>
        <w:rPr>
          <w:bCs/>
          <w:sz w:val="20"/>
          <w:szCs w:val="20"/>
          <w:lang w:val="de-DE"/>
        </w:rPr>
      </w:pPr>
      <w:r w:rsidRPr="004421A9">
        <w:rPr>
          <w:bCs/>
          <w:sz w:val="20"/>
          <w:szCs w:val="20"/>
          <w:lang w:val="de-DE"/>
        </w:rPr>
        <w:fldChar w:fldCharType="begin"/>
      </w:r>
      <w:r w:rsidRPr="004421A9">
        <w:rPr>
          <w:bCs/>
          <w:sz w:val="20"/>
          <w:szCs w:val="20"/>
          <w:lang w:val="de-DE"/>
        </w:rPr>
        <w:instrText xml:space="preserve"> AUTONUM  </w:instrText>
      </w:r>
      <w:r w:rsidRPr="004421A9">
        <w:rPr>
          <w:bCs/>
          <w:sz w:val="20"/>
          <w:szCs w:val="20"/>
          <w:lang w:val="de-DE"/>
        </w:rPr>
        <w:fldChar w:fldCharType="end"/>
      </w:r>
      <w:r w:rsidRPr="004421A9">
        <w:rPr>
          <w:bCs/>
          <w:sz w:val="20"/>
          <w:szCs w:val="20"/>
          <w:lang w:val="de-DE"/>
        </w:rPr>
        <w:tab/>
      </w:r>
      <w:r w:rsidR="002C49DE" w:rsidRPr="004421A9">
        <w:rPr>
          <w:bCs/>
          <w:sz w:val="20"/>
          <w:szCs w:val="20"/>
          <w:lang w:val="de-DE"/>
        </w:rPr>
        <w:t>Der Übergang zum „neuen Normalzustand“ nach COVID-19 beinhaltete die Einführung von regelmäßiger Teilzeit-Telearbeit bis zu maximal zwei Tagen pro Woche. Die UPOV hat die vollständige Fernarbeit für bestimmte einzelne Vertragspartner genutzt und wird dies auch weiterhin tun, wenn dies angemessen ist und insbesondere, wenn es neue Möglichkeiten bietet, hochqualifiziertes Personal im Rahmen der verfügbaren Ressourcen zu beschäftigen</w:t>
      </w:r>
      <w:r w:rsidRPr="004421A9">
        <w:rPr>
          <w:bCs/>
          <w:sz w:val="20"/>
          <w:szCs w:val="20"/>
          <w:lang w:val="de-DE"/>
        </w:rPr>
        <w:t>.</w:t>
      </w:r>
      <w:r w:rsidR="00877E3D" w:rsidRPr="004421A9">
        <w:rPr>
          <w:bCs/>
          <w:sz w:val="20"/>
          <w:szCs w:val="20"/>
          <w:lang w:val="de-DE"/>
        </w:rPr>
        <w:t xml:space="preserve"> </w:t>
      </w:r>
    </w:p>
    <w:p w14:paraId="5FB427F4" w14:textId="77777777" w:rsidR="00B65EDC" w:rsidRPr="004421A9" w:rsidRDefault="00B65EDC" w:rsidP="00B65EDC">
      <w:pPr>
        <w:pStyle w:val="Default"/>
        <w:jc w:val="both"/>
        <w:rPr>
          <w:bCs/>
          <w:sz w:val="20"/>
          <w:szCs w:val="20"/>
          <w:lang w:val="de-DE"/>
        </w:rPr>
      </w:pPr>
    </w:p>
    <w:p w14:paraId="1D6D9B07" w14:textId="19EAE8C4" w:rsidR="00B65EDC" w:rsidRPr="004421A9" w:rsidRDefault="00B65EDC" w:rsidP="00B65EDC">
      <w:pPr>
        <w:pStyle w:val="Heading4"/>
        <w:rPr>
          <w:lang w:val="de-DE"/>
        </w:rPr>
      </w:pPr>
      <w:bookmarkStart w:id="495" w:name="_Toc117798904"/>
      <w:bookmarkStart w:id="496" w:name="_Toc107239609"/>
      <w:bookmarkStart w:id="497" w:name="_Toc107239359"/>
      <w:r w:rsidRPr="004421A9">
        <w:rPr>
          <w:lang w:val="de-DE"/>
        </w:rPr>
        <w:t>4.1</w:t>
      </w:r>
      <w:r w:rsidRPr="004421A9">
        <w:rPr>
          <w:lang w:val="de-DE"/>
        </w:rPr>
        <w:tab/>
      </w:r>
      <w:bookmarkEnd w:id="495"/>
      <w:bookmarkEnd w:id="496"/>
      <w:bookmarkEnd w:id="497"/>
      <w:r w:rsidR="00905C6E" w:rsidRPr="004421A9">
        <w:rPr>
          <w:lang w:val="de-DE"/>
        </w:rPr>
        <w:t>Sicherstellung der finanziellen Nachhaltigkeit</w:t>
      </w:r>
    </w:p>
    <w:p w14:paraId="10E117CA" w14:textId="77777777" w:rsidR="00B65EDC" w:rsidRPr="004421A9" w:rsidRDefault="00B65EDC" w:rsidP="00B65EDC">
      <w:pPr>
        <w:keepNext/>
      </w:pPr>
    </w:p>
    <w:p w14:paraId="265A555C" w14:textId="751203AF" w:rsidR="00B65EDC" w:rsidRPr="004421A9" w:rsidRDefault="004F55E4" w:rsidP="00B65EDC">
      <w:pPr>
        <w:pStyle w:val="ListParagraph"/>
        <w:ind w:left="0"/>
      </w:pPr>
      <w:r w:rsidRPr="004421A9">
        <w:fldChar w:fldCharType="begin"/>
      </w:r>
      <w:r w:rsidRPr="004421A9">
        <w:instrText xml:space="preserve"> AUTONUM  </w:instrText>
      </w:r>
      <w:r w:rsidRPr="004421A9">
        <w:fldChar w:fldCharType="end"/>
      </w:r>
      <w:r w:rsidR="00B65EDC" w:rsidRPr="004421A9">
        <w:tab/>
      </w:r>
      <w:r w:rsidR="00F9027C" w:rsidRPr="004421A9">
        <w:t xml:space="preserve">Die 2016 durchgeführte „Evaluierung des Internationalen Verbandes zum Schutz von Pflanzenzüchtungen (UPOV)“ („IOD-Evaluierung der UPOV“) der Abteilung für interne Revision und Aufsicht (IOD) der WIPO empfahl, dass der Verband prüfen sollte, einen Strategischen Geschäftsplan zu entwickeln, um sein Wertschöpfungsportfolio zu diversifizieren und die Nachhaltigkeit bestehender Verfahren und Dienste zu bewahren und zu verbessern. Der Fokus der Maßnahmen zur weiteren Diversifizierung des Wertschöpfungsportfolios der UPOV wird bei der Generierung von Einnahmen durch </w:t>
      </w:r>
      <w:r w:rsidR="00FC2A35">
        <w:t>UPOV PRISMA</w:t>
      </w:r>
      <w:r w:rsidR="00F9027C" w:rsidRPr="004421A9">
        <w:t xml:space="preserve"> und die PLUTO-Datenbank liegen</w:t>
      </w:r>
      <w:r w:rsidR="00B65EDC" w:rsidRPr="004421A9">
        <w:t>.</w:t>
      </w:r>
      <w:r w:rsidR="00522168" w:rsidRPr="004421A9">
        <w:t xml:space="preserve"> </w:t>
      </w:r>
    </w:p>
    <w:p w14:paraId="72896E01" w14:textId="77777777" w:rsidR="00B65EDC" w:rsidRPr="004421A9" w:rsidRDefault="00B65EDC" w:rsidP="00B65EDC">
      <w:pPr>
        <w:pStyle w:val="ListParagraph"/>
        <w:ind w:left="0"/>
      </w:pPr>
    </w:p>
    <w:p w14:paraId="0A1930D5" w14:textId="13130027" w:rsidR="00073CA1" w:rsidRPr="004421A9" w:rsidRDefault="00012B1F" w:rsidP="00073CA1">
      <w:r w:rsidRPr="004421A9">
        <w:fldChar w:fldCharType="begin"/>
      </w:r>
      <w:r w:rsidRPr="004421A9">
        <w:instrText xml:space="preserve"> AUTONUM  </w:instrText>
      </w:r>
      <w:r w:rsidRPr="004421A9">
        <w:fldChar w:fldCharType="end"/>
      </w:r>
      <w:r w:rsidR="00B65EDC" w:rsidRPr="004421A9">
        <w:tab/>
      </w:r>
      <w:r w:rsidR="00073CA1" w:rsidRPr="004421A9">
        <w:t xml:space="preserve">Im Oktober 2024 billigte der Beratende Ausschuss die Entwicklung des Abschnitts über Horizon Scanning und die Integration der in Dokument CC/102/3 ermittelten Schlüsselstrategien in die künftigen Fassungen des SBP. Ein Vorschlag für eine </w:t>
      </w:r>
      <w:r w:rsidR="00BF7B0D" w:rsidRPr="004421A9">
        <w:rPr>
          <w:bCs/>
          <w:color w:val="000000" w:themeColor="text1"/>
        </w:rPr>
        <w:t>Ressourcenstrategie der UPOV</w:t>
      </w:r>
      <w:r w:rsidR="00073CA1" w:rsidRPr="004421A9">
        <w:t xml:space="preserve"> </w:t>
      </w:r>
      <w:r w:rsidR="003D3293">
        <w:t xml:space="preserve">(Dokument C/59/16) </w:t>
      </w:r>
      <w:r w:rsidR="00073CA1" w:rsidRPr="004421A9">
        <w:t>zur Verbesserung der langfristigen finanziellen Nachhaltigkeit der UPOV und zur Erhöhung der Reichweite und des Einflusses der UPOV wird den UPOV-Mitgliedern im Oktober 2025 zur Prüfung vorgelegt. Diese Strategie steht unter anderem im Zusammenhang mit dem erwarteten Ergebnis 4.1 „</w:t>
      </w:r>
      <w:r w:rsidR="00D2742C" w:rsidRPr="004421A9">
        <w:t>Sicherstellung der finanziellen Nachhaltigkeit</w:t>
      </w:r>
      <w:r w:rsidR="00073CA1" w:rsidRPr="004421A9">
        <w:t>“ und wird prüfen, wie neue Geber, außeretatmäßige Mittel, Sponsoren, von UPOV-Mitgliedern finanzierte Personalressourcen (z. B. Junior Professional Officers) und die Entschließungen zu Dokument CC/102/4 „Entwicklung und Finanzierung von UPOV e-PVP“ gewonnen werden können.</w:t>
      </w:r>
    </w:p>
    <w:p w14:paraId="037310A8" w14:textId="77777777" w:rsidR="00073CA1" w:rsidRPr="004421A9" w:rsidRDefault="00073CA1" w:rsidP="00073CA1"/>
    <w:p w14:paraId="55E3FC8F" w14:textId="5937B315" w:rsidR="00B65EDC" w:rsidRPr="004421A9" w:rsidRDefault="00F306CB" w:rsidP="00073CA1">
      <w:r w:rsidRPr="004421A9">
        <w:lastRenderedPageBreak/>
        <w:fldChar w:fldCharType="begin"/>
      </w:r>
      <w:r w:rsidRPr="004421A9">
        <w:instrText xml:space="preserve"> AUTONUM  </w:instrText>
      </w:r>
      <w:r w:rsidRPr="004421A9">
        <w:fldChar w:fldCharType="end"/>
      </w:r>
      <w:r w:rsidR="00073CA1" w:rsidRPr="004421A9">
        <w:tab/>
        <w:t>Die Strategie wird sich auch mit der Haupteinnahmequelle der UPOV befassen, d. h. mit den Beiträgen der Mitglieder und zusätzlichen Möglichkeiten zur Bereitstellung finanzieller Unterstützung für die Umsetzung des Arbeitsprogramms der UPOV, um die langfristige finanzielle Nachhaltigkeit zu sichern</w:t>
      </w:r>
      <w:r w:rsidR="00B65EDC" w:rsidRPr="004421A9">
        <w:t xml:space="preserve">. </w:t>
      </w:r>
    </w:p>
    <w:p w14:paraId="265CCBB3" w14:textId="77777777" w:rsidR="00B65EDC" w:rsidRPr="004421A9" w:rsidRDefault="00B65EDC" w:rsidP="00B65EDC"/>
    <w:p w14:paraId="50FF4C05" w14:textId="4006C0C7" w:rsidR="00B65EDC" w:rsidRPr="004421A9" w:rsidRDefault="00B65EDC" w:rsidP="00B65EDC">
      <w:pPr>
        <w:pStyle w:val="Heading5"/>
        <w:rPr>
          <w:lang w:val="de-DE"/>
        </w:rPr>
      </w:pPr>
      <w:bookmarkStart w:id="498" w:name="_Toc117798905"/>
      <w:bookmarkStart w:id="499" w:name="_Toc107239610"/>
      <w:bookmarkStart w:id="500" w:name="_Toc107239360"/>
      <w:r w:rsidRPr="004421A9">
        <w:rPr>
          <w:lang w:val="de-DE"/>
        </w:rPr>
        <w:t>Gebührenpflichtige Dienst</w:t>
      </w:r>
      <w:bookmarkEnd w:id="498"/>
      <w:bookmarkEnd w:id="499"/>
      <w:bookmarkEnd w:id="500"/>
      <w:r w:rsidR="00073CA1" w:rsidRPr="004421A9">
        <w:rPr>
          <w:lang w:val="de-DE"/>
        </w:rPr>
        <w:t>e</w:t>
      </w:r>
    </w:p>
    <w:p w14:paraId="6D144C48" w14:textId="77777777" w:rsidR="00B65EDC" w:rsidRPr="004421A9" w:rsidRDefault="00B65EDC" w:rsidP="00B65EDC">
      <w:pPr>
        <w:pStyle w:val="ListParagraph"/>
        <w:ind w:left="0"/>
      </w:pPr>
    </w:p>
    <w:p w14:paraId="3EBF58A6" w14:textId="0F687481"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0E43E8" w:rsidRPr="004421A9">
        <w:t xml:space="preserve">Eine wesentliche Grundlage für die </w:t>
      </w:r>
      <w:r w:rsidR="0008206E" w:rsidRPr="004421A9">
        <w:t>Sicherstellung der finanziellen Nachhaltigkeit</w:t>
      </w:r>
      <w:r w:rsidR="000E43E8" w:rsidRPr="004421A9">
        <w:t xml:space="preserve"> besteht darin, Einnahmen aus Dienstleistungen zu generieren, die für die Nutzer des UPOV-Systems bereitgestellt werden, den Sortenschutzämtern jedoch kostenfreie Dienstleistungen zur Verfügung zu stellen. So wird der UPOV ermöglicht, qualitativ hochstehende Dienstleistungen für Antragsteller und Sortenschutzämter zu entwickeln und zu unterhalten. Ein weiterer bedeutender Vorteil dieses Ansatzes besteht darin, die UPOV mit den Nutzern des UPOV-Systems zu verbinden und die Dienstleistungsorientierung innerhalb der UPOV zu fördern</w:t>
      </w:r>
      <w:r w:rsidRPr="004421A9">
        <w:t>.</w:t>
      </w:r>
      <w:r w:rsidR="00522168" w:rsidRPr="004421A9">
        <w:t xml:space="preserve"> </w:t>
      </w:r>
    </w:p>
    <w:p w14:paraId="4DB8A0C3" w14:textId="77777777" w:rsidR="00B65EDC" w:rsidRPr="004421A9" w:rsidRDefault="00B65EDC" w:rsidP="00B65EDC">
      <w:pPr>
        <w:pStyle w:val="ListParagraph"/>
        <w:ind w:left="0"/>
      </w:pPr>
    </w:p>
    <w:p w14:paraId="3EFC251E" w14:textId="2AACB122"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FC2A35">
        <w:t>UPOV PRISMA</w:t>
      </w:r>
      <w:r w:rsidR="002D0403" w:rsidRPr="004421A9">
        <w:t xml:space="preserve"> und der gebührenpflichtige Premium-Dienst der PLUTO-Datenbank werden weiterhin eine wichtige Rolle bei der Steigerung der Einnahmen der UPOV spielen. Der Erfolg bei der Steigerung der Einnahmen aus diesen Diensten hängt von der Unterstützung durch die Verbandsmitglieder ab. Die Einnahmen aus </w:t>
      </w:r>
      <w:r w:rsidR="00FC2A35">
        <w:t>UPOV PRISMA</w:t>
      </w:r>
      <w:r w:rsidR="002D0403" w:rsidRPr="004421A9">
        <w:t xml:space="preserve"> werden insbesondere durch die Anzahl der Verbandsmitglieder bestimmt werden, die für alle Pflanzen/Arten an </w:t>
      </w:r>
      <w:r w:rsidR="00FC2A35">
        <w:t>UPOV PRISMA</w:t>
      </w:r>
      <w:r w:rsidR="002D0403" w:rsidRPr="004421A9">
        <w:t xml:space="preserve"> teilnehmen und ermöglichen, dass </w:t>
      </w:r>
      <w:r w:rsidR="00FC2A35">
        <w:t>UPOV PRISMA</w:t>
      </w:r>
      <w:r w:rsidR="002D0403" w:rsidRPr="004421A9">
        <w:t xml:space="preserve"> eine wirksame und nahtlose Schnittstelle mit ihren Antragsverfahren hat. Gleichermaßen wird die Attraktivität des Premium-Dienstes der PLUTO-Datenbank davon abhängen, inwiefern die Verbandsmitglieder regelmäßig vollständige und aktualisierte Daten einreichen. Daher wird es eine Priorität für das Verbandsbüro sein, mit den Verbandsmitgliedern in Verbindung zu treten, um Unterstützung bei der Durchführung des Sortenschutzes über UPOV e-PVP zu leisten und deren Teilnahme an </w:t>
      </w:r>
      <w:r w:rsidR="00FC2A35">
        <w:t>UPOV PRISMA</w:t>
      </w:r>
      <w:r w:rsidR="002D0403" w:rsidRPr="004421A9">
        <w:t xml:space="preserve"> und Beiträge zur PLUTO-Datenbank zu erleichtern</w:t>
      </w:r>
      <w:r w:rsidRPr="004421A9">
        <w:t>.</w:t>
      </w:r>
      <w:r w:rsidR="00877E3D" w:rsidRPr="004421A9">
        <w:t xml:space="preserve"> </w:t>
      </w:r>
    </w:p>
    <w:p w14:paraId="6A28C64A" w14:textId="77777777" w:rsidR="00B65EDC" w:rsidRPr="004421A9" w:rsidRDefault="00B65EDC" w:rsidP="00B65EDC">
      <w:pPr>
        <w:pStyle w:val="ListParagraph"/>
        <w:ind w:left="0"/>
      </w:pPr>
    </w:p>
    <w:p w14:paraId="394BEF48" w14:textId="29982086"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A83830" w:rsidRPr="004421A9">
        <w:t>Die Rückmeldungen der Nutzer der Fernlehrgänge sind positiv, und die UPOV wird weiter prüfen, wie diese Lehrgänge gefördert und für zahlende Nutzer attraktiver gemacht werden können</w:t>
      </w:r>
      <w:r w:rsidRPr="004421A9">
        <w:t xml:space="preserve">. </w:t>
      </w:r>
    </w:p>
    <w:p w14:paraId="3127744D" w14:textId="77777777" w:rsidR="00B65EDC" w:rsidRPr="004421A9" w:rsidRDefault="00B65EDC" w:rsidP="00B65EDC">
      <w:pPr>
        <w:pStyle w:val="ListParagraph"/>
        <w:ind w:left="0"/>
      </w:pPr>
    </w:p>
    <w:p w14:paraId="51A56AF7" w14:textId="6F6EF1A3"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DD02A4" w:rsidRPr="004421A9">
        <w:t>Im Jahre 2025 wird die Einschreibung von Lernenden aus dem Privatsektor und von Organisationen, die nicht unter die Prioritäten des Rates der UPOV fallen, für das UPOV-Sortenschutzzertifikatsprogramm ermöglicht, wobei eine Gebühr zu entrichten ist. Das UPOV-Büro entwickelt derzeit die Verfahren für die Rechnungsstellung an die Teilnehmer und die Abwicklung der für das UPOV-Sortenschutzzertifikatsprogramm eingegangenen Zahlungen. Der Umsetzungsplan sieht eine Gebühr von 500 Schweizer Franken für die Einschreibung dieser Teilnehmer vor</w:t>
      </w:r>
      <w:r w:rsidRPr="004421A9">
        <w:t>.</w:t>
      </w:r>
    </w:p>
    <w:p w14:paraId="52055A06" w14:textId="77777777" w:rsidR="00B65EDC" w:rsidRPr="004421A9" w:rsidRDefault="00B65EDC" w:rsidP="00B65EDC">
      <w:pPr>
        <w:pStyle w:val="ListParagraph"/>
        <w:ind w:left="0"/>
      </w:pPr>
    </w:p>
    <w:p w14:paraId="325B7F48" w14:textId="0231351C" w:rsidR="00B65EDC" w:rsidRPr="004421A9" w:rsidRDefault="00B65EDC" w:rsidP="00B65EDC">
      <w:pPr>
        <w:pStyle w:val="Heading5"/>
        <w:rPr>
          <w:lang w:val="de-DE"/>
        </w:rPr>
      </w:pPr>
      <w:bookmarkStart w:id="501" w:name="_Toc117798906"/>
      <w:bookmarkStart w:id="502" w:name="_Toc107239611"/>
      <w:bookmarkStart w:id="503" w:name="_Toc107239361"/>
      <w:bookmarkStart w:id="504" w:name="_Toc42703049"/>
      <w:r w:rsidRPr="004421A9">
        <w:rPr>
          <w:lang w:val="de-DE"/>
        </w:rPr>
        <w:t>Auße</w:t>
      </w:r>
      <w:r w:rsidR="00DD02A4" w:rsidRPr="004421A9">
        <w:rPr>
          <w:lang w:val="de-DE"/>
        </w:rPr>
        <w:t>retat</w:t>
      </w:r>
      <w:r w:rsidRPr="004421A9">
        <w:rPr>
          <w:lang w:val="de-DE"/>
        </w:rPr>
        <w:t>mäßige Mittel</w:t>
      </w:r>
      <w:bookmarkEnd w:id="501"/>
      <w:bookmarkEnd w:id="502"/>
      <w:bookmarkEnd w:id="503"/>
      <w:bookmarkEnd w:id="504"/>
    </w:p>
    <w:p w14:paraId="7B2EC498" w14:textId="77777777" w:rsidR="00B65EDC" w:rsidRPr="004421A9" w:rsidRDefault="00B65EDC" w:rsidP="00B65EDC"/>
    <w:p w14:paraId="4C38FA72" w14:textId="356DA23F"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B6128F" w:rsidRPr="004421A9">
        <w:t>Die UPOV hat in hohem Maße von außeretatmäßigen Mitteln profitiert, die von Verbandsmitgliedern bereitgestellt wurden, beispielsweise in Form von Treuhandgeldern. In Anerkennung der Kosten, die dem Verbandsbüro im Zusammenhang mit der Verwaltung solcher Treuhandgelder entstehen, ist eine Gebühr für Kosten für administrative Unterstützung enthalten, die als Einnahmen behandelt wird</w:t>
      </w:r>
      <w:r w:rsidRPr="004421A9">
        <w:t xml:space="preserve">. </w:t>
      </w:r>
    </w:p>
    <w:p w14:paraId="40ECD1BD" w14:textId="77777777" w:rsidR="00B65EDC" w:rsidRPr="004421A9" w:rsidRDefault="00B65EDC" w:rsidP="00B65EDC">
      <w:pPr>
        <w:pStyle w:val="ListParagraph"/>
        <w:ind w:left="0"/>
      </w:pPr>
    </w:p>
    <w:p w14:paraId="58370FD5" w14:textId="58393E08"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701F10" w:rsidRPr="004421A9">
        <w:t>Außeretatmäßige Mittel werden in Zukunft eine große Bedeutung haben. Es werden Anstrengungen unternommen, um zu gewährleisten, dass die bestehenden Mittel weiter bestehen und dass andere Verbandsmitglieder dazu angehalten werden, solche Mittel zu beschaffen</w:t>
      </w:r>
      <w:r w:rsidRPr="004421A9">
        <w:t>.</w:t>
      </w:r>
      <w:r w:rsidR="00522168" w:rsidRPr="004421A9">
        <w:t xml:space="preserve"> </w:t>
      </w:r>
    </w:p>
    <w:p w14:paraId="536745DB" w14:textId="77777777" w:rsidR="00B65EDC" w:rsidRPr="004421A9" w:rsidRDefault="00B65EDC" w:rsidP="00B65EDC"/>
    <w:p w14:paraId="3BEFB67B" w14:textId="0BD7CAD4" w:rsidR="00B65EDC" w:rsidRPr="004421A9" w:rsidRDefault="00B65EDC" w:rsidP="00B65EDC">
      <w:pPr>
        <w:pStyle w:val="ListParagraph"/>
        <w:ind w:left="0"/>
        <w:rPr>
          <w:rFonts w:cs="Arial"/>
          <w:sz w:val="19"/>
          <w:szCs w:val="19"/>
        </w:rPr>
      </w:pPr>
      <w:r w:rsidRPr="004421A9">
        <w:fldChar w:fldCharType="begin"/>
      </w:r>
      <w:r w:rsidRPr="004421A9">
        <w:instrText xml:space="preserve"> AUTONUM  </w:instrText>
      </w:r>
      <w:r w:rsidRPr="004421A9">
        <w:fldChar w:fldCharType="end"/>
      </w:r>
      <w:r w:rsidRPr="004421A9">
        <w:tab/>
      </w:r>
      <w:r w:rsidR="001B1B8F" w:rsidRPr="004421A9">
        <w:t>Darüber hinaus wird die UPOV mit Verbandsmitgliedern und Staaten und Organisationen, die das Verfahren für den Beitritt zur UPOV eingeleitet haben, zusammenarbeiten, um sie dabei zu unterstützen, Anträge für Mittel von Geberstellen einzuleiten und zu stellen</w:t>
      </w:r>
      <w:r w:rsidRPr="004421A9">
        <w:t xml:space="preserve">. </w:t>
      </w:r>
    </w:p>
    <w:p w14:paraId="763850F1" w14:textId="77777777" w:rsidR="00B65EDC" w:rsidRPr="004421A9" w:rsidRDefault="00B65EDC" w:rsidP="00B65EDC"/>
    <w:p w14:paraId="69861998" w14:textId="10E7A6EE"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8E63F3" w:rsidRPr="004421A9">
        <w:t>Die UPOV wird auch die Beschaffung außeretatmäßiger Mittel über einen Fonds mehrerer Geber für die nachhaltige Entwicklung der UPOV-Dienste (z. B. UPOV e-PVP) prüfen. Es ist von entscheidender Bedeutung, dass potentielle Nutzer der UPOV-Dienste sich der Vorteile der angebotenen Dienste bewusst sind. Die UPOV wird Mittel zur Förderung der UPOV-Dienste bereitstellen (z. B. Sitzungen mit Mitgliedern und Nutzern, verstärkte Nutzung von Kommunikationsmitteln)</w:t>
      </w:r>
      <w:r w:rsidRPr="004421A9">
        <w:t xml:space="preserve">. </w:t>
      </w:r>
    </w:p>
    <w:p w14:paraId="5890D9B9" w14:textId="77777777" w:rsidR="00B65EDC" w:rsidRPr="004421A9" w:rsidRDefault="00B65EDC" w:rsidP="00B65EDC">
      <w:pPr>
        <w:jc w:val="left"/>
      </w:pPr>
    </w:p>
    <w:p w14:paraId="47FD7190" w14:textId="63779E02" w:rsidR="00B65EDC" w:rsidRPr="004421A9" w:rsidRDefault="00B65EDC" w:rsidP="00B65EDC">
      <w:pPr>
        <w:pStyle w:val="Heading4"/>
        <w:rPr>
          <w:lang w:val="de-DE"/>
        </w:rPr>
      </w:pPr>
      <w:bookmarkStart w:id="505" w:name="_Toc117798907"/>
      <w:bookmarkStart w:id="506" w:name="_Toc107239612"/>
      <w:bookmarkStart w:id="507" w:name="_Toc107239362"/>
      <w:r w:rsidRPr="004421A9">
        <w:rPr>
          <w:lang w:val="de-DE"/>
        </w:rPr>
        <w:t>4.2</w:t>
      </w:r>
      <w:r w:rsidRPr="004421A9">
        <w:rPr>
          <w:lang w:val="de-DE"/>
        </w:rPr>
        <w:tab/>
        <w:t xml:space="preserve">Ein Sekretariat, das </w:t>
      </w:r>
      <w:r w:rsidR="009C6E45" w:rsidRPr="004421A9">
        <w:rPr>
          <w:lang w:val="de-DE"/>
        </w:rPr>
        <w:t>über die</w:t>
      </w:r>
      <w:r w:rsidRPr="004421A9">
        <w:rPr>
          <w:lang w:val="de-DE"/>
        </w:rPr>
        <w:t xml:space="preserve"> erforderlichen Befugnisse</w:t>
      </w:r>
      <w:r w:rsidR="009C6E45" w:rsidRPr="004421A9">
        <w:rPr>
          <w:lang w:val="de-DE"/>
        </w:rPr>
        <w:t xml:space="preserve"> und die richtigen</w:t>
      </w:r>
      <w:r w:rsidRPr="004421A9">
        <w:rPr>
          <w:lang w:val="de-DE"/>
        </w:rPr>
        <w:t xml:space="preserve"> Ressourcen und Schulungen </w:t>
      </w:r>
      <w:r w:rsidR="009C6E45" w:rsidRPr="004421A9">
        <w:rPr>
          <w:lang w:val="de-DE"/>
        </w:rPr>
        <w:t>verfügt</w:t>
      </w:r>
      <w:r w:rsidRPr="004421A9">
        <w:rPr>
          <w:lang w:val="de-DE"/>
        </w:rPr>
        <w:t xml:space="preserve">, um </w:t>
      </w:r>
      <w:r w:rsidR="009C6E45" w:rsidRPr="004421A9">
        <w:rPr>
          <w:lang w:val="de-DE"/>
        </w:rPr>
        <w:t>effizient</w:t>
      </w:r>
      <w:r w:rsidRPr="004421A9">
        <w:rPr>
          <w:lang w:val="de-DE"/>
        </w:rPr>
        <w:t xml:space="preserve">, kooperativ und innovativ </w:t>
      </w:r>
      <w:r w:rsidR="009C6E45" w:rsidRPr="004421A9">
        <w:rPr>
          <w:lang w:val="de-DE"/>
        </w:rPr>
        <w:t xml:space="preserve">zu </w:t>
      </w:r>
      <w:r w:rsidRPr="004421A9">
        <w:rPr>
          <w:lang w:val="de-DE"/>
        </w:rPr>
        <w:t>arbeiten</w:t>
      </w:r>
      <w:bookmarkEnd w:id="505"/>
      <w:bookmarkEnd w:id="506"/>
      <w:bookmarkEnd w:id="507"/>
    </w:p>
    <w:p w14:paraId="60FA759B" w14:textId="77777777" w:rsidR="00B65EDC" w:rsidRPr="004421A9" w:rsidRDefault="00B65EDC" w:rsidP="00B65EDC">
      <w:bookmarkStart w:id="508" w:name="_Toc42703050"/>
    </w:p>
    <w:bookmarkEnd w:id="508"/>
    <w:p w14:paraId="677328D6" w14:textId="7304FA16" w:rsidR="00147B3A" w:rsidRPr="004421A9" w:rsidRDefault="00944DB6" w:rsidP="00147B3A">
      <w:pPr>
        <w:tabs>
          <w:tab w:val="left" w:pos="567"/>
        </w:tabs>
        <w:rPr>
          <w:spacing w:val="-2"/>
        </w:rPr>
      </w:pPr>
      <w:r w:rsidRPr="004421A9">
        <w:rPr>
          <w:spacing w:val="-2"/>
        </w:rPr>
        <w:fldChar w:fldCharType="begin"/>
      </w:r>
      <w:r w:rsidRPr="004421A9">
        <w:rPr>
          <w:spacing w:val="-2"/>
        </w:rPr>
        <w:instrText xml:space="preserve"> AUTONUM  </w:instrText>
      </w:r>
      <w:r w:rsidRPr="004421A9">
        <w:rPr>
          <w:spacing w:val="-2"/>
        </w:rPr>
        <w:fldChar w:fldCharType="end"/>
      </w:r>
      <w:r w:rsidR="00B65EDC" w:rsidRPr="004421A9">
        <w:rPr>
          <w:spacing w:val="-2"/>
        </w:rPr>
        <w:tab/>
      </w:r>
      <w:r w:rsidR="00147B3A" w:rsidRPr="004421A9">
        <w:rPr>
          <w:spacing w:val="-2"/>
        </w:rPr>
        <w:t xml:space="preserve">Die Anzahl von UPOV-Mitgliedern und Staaten, die vom UPOV-Übereinkommen abgedeckt sind, ist weiter gestiegen, und in den letzten Jahren hat auch die Anzahl von Staaten und Organisationen zugenommen, die um Beratung über Rechtsvorschriften und Sensibilisierungsmaßnahmen ersuchen. </w:t>
      </w:r>
      <w:r w:rsidR="004440DC" w:rsidRPr="004421A9">
        <w:rPr>
          <w:spacing w:val="-2"/>
        </w:rPr>
        <w:t>Es gab auch eine</w:t>
      </w:r>
      <w:r w:rsidR="00147B3A" w:rsidRPr="004421A9">
        <w:rPr>
          <w:spacing w:val="-2"/>
        </w:rPr>
        <w:t xml:space="preserve"> Erweiterung des Dienstleistungsportfolios des Verbandsbüros, insbesondere UPOV e-PVP und neuer </w:t>
      </w:r>
      <w:r w:rsidR="00147B3A" w:rsidRPr="004421A9">
        <w:rPr>
          <w:spacing w:val="-2"/>
        </w:rPr>
        <w:lastRenderedPageBreak/>
        <w:t xml:space="preserve">Schulungsmöglichkeiten im Rahmen des UPOV-Sortenschutzzertifikats. Diese Zunahme der Arbeit der UPOV mit einer begrenzten Anzahl von Personalressourcen erfordert Priorisierung, Flexibilität und eine ständige Bewertung der Auswirkungen, bevor einschlägige Tätigkeiten aufgenommen werden. </w:t>
      </w:r>
    </w:p>
    <w:p w14:paraId="47F28D3E" w14:textId="77777777" w:rsidR="00147B3A" w:rsidRPr="004421A9" w:rsidRDefault="00147B3A" w:rsidP="00147B3A">
      <w:pPr>
        <w:tabs>
          <w:tab w:val="left" w:pos="567"/>
        </w:tabs>
        <w:rPr>
          <w:spacing w:val="-2"/>
        </w:rPr>
      </w:pPr>
    </w:p>
    <w:p w14:paraId="3F21708B" w14:textId="764041A5" w:rsidR="00147B3A" w:rsidRPr="004421A9" w:rsidRDefault="00FE460D" w:rsidP="00147B3A">
      <w:pPr>
        <w:tabs>
          <w:tab w:val="left" w:pos="567"/>
        </w:tabs>
        <w:rPr>
          <w:spacing w:val="-2"/>
        </w:rPr>
      </w:pPr>
      <w:r w:rsidRPr="004421A9">
        <w:rPr>
          <w:spacing w:val="-2"/>
        </w:rPr>
        <w:fldChar w:fldCharType="begin"/>
      </w:r>
      <w:r w:rsidRPr="004421A9">
        <w:rPr>
          <w:spacing w:val="-2"/>
        </w:rPr>
        <w:instrText xml:space="preserve"> AUTONUM  </w:instrText>
      </w:r>
      <w:r w:rsidRPr="004421A9">
        <w:rPr>
          <w:spacing w:val="-2"/>
        </w:rPr>
        <w:fldChar w:fldCharType="end"/>
      </w:r>
      <w:r w:rsidR="00147B3A" w:rsidRPr="004421A9">
        <w:rPr>
          <w:spacing w:val="-2"/>
        </w:rPr>
        <w:tab/>
        <w:t>Die Arbeitsweise der UPOV wird sich weiter entwickeln, wobei eine ständige Verpflichtung zur kontinuierlichen Verbesserung besteht. Um sicherzustellen, dass das UPOV-Team über die erforderlichen Fähigkeiten verfügt, um sich an Veränderungen anzupassen und sich kontinuierlich zu verbessern, wird der Schwerpunkt auf der Entwicklung systematischer und kohärenter Personalentwicklungs- und Schulungsprogramme liegen. Dieser Entwicklungsansatz wird teambildende Maßnahmen zur Verbesserung der „Art und Weise, wie wir zusammenarbeiten“, umfassen, um den UPOV-Mitgliedern und Interessengruppen bessere Dienstleistungen zu bieten und wirksame Kooperationen einzugehen.</w:t>
      </w:r>
    </w:p>
    <w:p w14:paraId="00E7695B" w14:textId="77777777" w:rsidR="00147B3A" w:rsidRPr="004421A9" w:rsidRDefault="00147B3A" w:rsidP="00147B3A">
      <w:pPr>
        <w:tabs>
          <w:tab w:val="left" w:pos="567"/>
        </w:tabs>
        <w:rPr>
          <w:spacing w:val="-2"/>
        </w:rPr>
      </w:pPr>
    </w:p>
    <w:p w14:paraId="48C167E7" w14:textId="3DF42E22" w:rsidR="00147B3A" w:rsidRPr="004421A9" w:rsidRDefault="00A14DB2" w:rsidP="00147B3A">
      <w:pPr>
        <w:tabs>
          <w:tab w:val="left" w:pos="567"/>
        </w:tabs>
        <w:rPr>
          <w:spacing w:val="-2"/>
        </w:rPr>
      </w:pPr>
      <w:r w:rsidRPr="004421A9">
        <w:fldChar w:fldCharType="begin"/>
      </w:r>
      <w:r w:rsidRPr="004421A9">
        <w:instrText xml:space="preserve"> AUTONUM  </w:instrText>
      </w:r>
      <w:r w:rsidRPr="004421A9">
        <w:fldChar w:fldCharType="end"/>
      </w:r>
      <w:r w:rsidR="00147B3A" w:rsidRPr="004421A9">
        <w:rPr>
          <w:spacing w:val="-2"/>
        </w:rPr>
        <w:tab/>
        <w:t xml:space="preserve">In der Rechnungsperiode 2026-2027 wird sich die UPOV gemäß dem Strategischen Geschäftsplan der UPOV auf vorrangige Bereiche konzentrieren. Die vorgeschlagenen Ausgaben konzentrieren sich auf diese vorrangigen Bereiche und halten gleichzeitig die Personalkosten in Grenzen. Kommunikation und Digitalisierung werden </w:t>
      </w:r>
      <w:r w:rsidR="00BD63DA" w:rsidRPr="004421A9">
        <w:rPr>
          <w:spacing w:val="-2"/>
        </w:rPr>
        <w:t xml:space="preserve">beim Erzielen der </w:t>
      </w:r>
      <w:r w:rsidR="00147B3A" w:rsidRPr="004421A9">
        <w:rPr>
          <w:spacing w:val="-2"/>
        </w:rPr>
        <w:t xml:space="preserve">erwarteten Ergebnisse </w:t>
      </w:r>
      <w:r w:rsidR="00BD63DA" w:rsidRPr="004421A9">
        <w:rPr>
          <w:spacing w:val="-2"/>
        </w:rPr>
        <w:t>eine zentrale Rolle spielen</w:t>
      </w:r>
      <w:r w:rsidR="00147B3A" w:rsidRPr="004421A9">
        <w:rPr>
          <w:spacing w:val="-2"/>
        </w:rPr>
        <w:t>. Bis zusätzliche Mittel gesichert werden können, wird es eine sorgfältige Bewertung neuer Initiativen und einen verstärkten Einsatz von virtuellen/hybriden Sitzungsinstrumenten und eine Online-Teilnahme an von Dritten organisierten Veranstaltungen geben, was zu einer Verringerung der Reisezeit und der Reisekosten führen wird.</w:t>
      </w:r>
    </w:p>
    <w:p w14:paraId="3EBBEA54" w14:textId="77777777" w:rsidR="00147B3A" w:rsidRPr="004421A9" w:rsidRDefault="00147B3A" w:rsidP="00147B3A">
      <w:pPr>
        <w:tabs>
          <w:tab w:val="left" w:pos="567"/>
        </w:tabs>
        <w:rPr>
          <w:spacing w:val="-2"/>
        </w:rPr>
      </w:pPr>
    </w:p>
    <w:p w14:paraId="73D2736D" w14:textId="2550FFF2" w:rsidR="00781A10" w:rsidRPr="004421A9" w:rsidRDefault="00DB09D1" w:rsidP="00781A10">
      <w:pPr>
        <w:keepLines/>
        <w:rPr>
          <w:spacing w:val="-2"/>
        </w:rPr>
      </w:pPr>
      <w:r w:rsidRPr="004421A9">
        <w:rPr>
          <w:spacing w:val="-2"/>
        </w:rPr>
        <w:fldChar w:fldCharType="begin"/>
      </w:r>
      <w:r w:rsidRPr="004421A9">
        <w:rPr>
          <w:spacing w:val="-2"/>
        </w:rPr>
        <w:instrText xml:space="preserve"> AUTONUM  </w:instrText>
      </w:r>
      <w:r w:rsidRPr="004421A9">
        <w:rPr>
          <w:spacing w:val="-2"/>
        </w:rPr>
        <w:fldChar w:fldCharType="end"/>
      </w:r>
      <w:r w:rsidR="00147B3A" w:rsidRPr="004421A9">
        <w:rPr>
          <w:spacing w:val="-2"/>
        </w:rPr>
        <w:tab/>
        <w:t>Um ein nachhaltige</w:t>
      </w:r>
      <w:r w:rsidR="00ED4200" w:rsidRPr="004421A9">
        <w:rPr>
          <w:spacing w:val="-2"/>
        </w:rPr>
        <w:t>s</w:t>
      </w:r>
      <w:r w:rsidR="00147B3A" w:rsidRPr="004421A9">
        <w:rPr>
          <w:spacing w:val="-2"/>
        </w:rPr>
        <w:t xml:space="preserve"> UPOV-Büro zu gewährleisten, billigte der Beratende Ausschuss im Oktober 2024 die Entwicklung einer </w:t>
      </w:r>
      <w:r w:rsidR="00781A10" w:rsidRPr="004421A9">
        <w:t xml:space="preserve">Ressourcenstrategie </w:t>
      </w:r>
      <w:r w:rsidR="00A21BBB">
        <w:t xml:space="preserve">der UPOV </w:t>
      </w:r>
      <w:r w:rsidR="00781A10" w:rsidRPr="004421A9">
        <w:t>(Dokument C/59/16)</w:t>
      </w:r>
      <w:r w:rsidR="00781A10" w:rsidRPr="004421A9">
        <w:rPr>
          <w:spacing w:val="-2"/>
        </w:rPr>
        <w:t>. Da die Personalverwaltung unter das WIPO</w:t>
      </w:r>
      <w:r w:rsidR="00FC2A35">
        <w:rPr>
          <w:spacing w:val="-2"/>
        </w:rPr>
        <w:t>/</w:t>
      </w:r>
      <w:r w:rsidR="00781A10" w:rsidRPr="004421A9">
        <w:rPr>
          <w:spacing w:val="-2"/>
        </w:rPr>
        <w:t xml:space="preserve">UPOV-Abkommen fällt, kann sie von bestehenden Initiativen profitieren, die bereits in der Personalstrategie der WIPO (2022-2026) enthalten sind, insbesondere in Bezug auf Agilität, digitale und kulturelle Transformation und strategische Personalplanung, um Talente durch datengestützte Planung und eine verstärkte Fokussierung auf das Talentmanagement durch die Identifizierung </w:t>
      </w:r>
      <w:r w:rsidR="0015328F">
        <w:rPr>
          <w:spacing w:val="-2"/>
        </w:rPr>
        <w:t>wichtiger</w:t>
      </w:r>
      <w:r w:rsidR="00781A10" w:rsidRPr="004421A9">
        <w:rPr>
          <w:spacing w:val="-2"/>
        </w:rPr>
        <w:t xml:space="preserve"> Rollen und die Abgleichung bestehender Fähigkeiten mit zukünftigen Anforderungen an die organisatorischen Ziele anzupassen. Die UPOV sollte den bestehenden Rahmen durch spezifische Umsetzungsstrategien ergänzen, die auf die besonderen Talentbedürfnisse und den spezifischen Kontext der UPOV zugeschnitten sind:</w:t>
      </w:r>
    </w:p>
    <w:p w14:paraId="6BA31E85" w14:textId="77777777" w:rsidR="00781A10" w:rsidRPr="004421A9" w:rsidRDefault="00781A10" w:rsidP="00781A10">
      <w:pPr>
        <w:keepLines/>
        <w:rPr>
          <w:spacing w:val="-2"/>
        </w:rPr>
      </w:pPr>
    </w:p>
    <w:p w14:paraId="6BD6D351" w14:textId="77777777" w:rsidR="00781A10" w:rsidRPr="004421A9" w:rsidRDefault="00781A10" w:rsidP="00781A10">
      <w:pPr>
        <w:pStyle w:val="ListParagraph"/>
        <w:keepLines/>
        <w:numPr>
          <w:ilvl w:val="1"/>
          <w:numId w:val="3"/>
        </w:numPr>
        <w:ind w:left="1134" w:hanging="567"/>
        <w:rPr>
          <w:spacing w:val="-2"/>
        </w:rPr>
      </w:pPr>
      <w:r w:rsidRPr="004421A9">
        <w:rPr>
          <w:spacing w:val="-2"/>
        </w:rPr>
        <w:t>Entwicklung von Expertenprofilen mit juristischen, technischen, kommunikativen und digitalen Kompetenzen;</w:t>
      </w:r>
    </w:p>
    <w:p w14:paraId="2B75C622" w14:textId="37AFB828" w:rsidR="00781A10" w:rsidRPr="004421A9" w:rsidRDefault="00781A10" w:rsidP="00781A10">
      <w:pPr>
        <w:pStyle w:val="ListParagraph"/>
        <w:keepLines/>
        <w:numPr>
          <w:ilvl w:val="1"/>
          <w:numId w:val="3"/>
        </w:numPr>
        <w:ind w:left="1134" w:hanging="567"/>
        <w:rPr>
          <w:spacing w:val="-2"/>
        </w:rPr>
      </w:pPr>
      <w:r w:rsidRPr="004421A9">
        <w:rPr>
          <w:spacing w:val="-2"/>
        </w:rPr>
        <w:t xml:space="preserve">Sicherstellung der Geschäftskontinuität durch Priorisierung von Mitarbeiterpositionen für </w:t>
      </w:r>
      <w:r w:rsidR="002E747E">
        <w:rPr>
          <w:spacing w:val="-2"/>
        </w:rPr>
        <w:t>wichtige</w:t>
      </w:r>
      <w:r w:rsidRPr="004421A9">
        <w:rPr>
          <w:spacing w:val="-2"/>
        </w:rPr>
        <w:t xml:space="preserve"> Kompetenzen, um das institutionelle Wissen in wesentlichen Bereichen zu erhalten und gleichzeitig die Agilität zu fördern, um auf sich ändernde Anforderungen reagieren zu können; und</w:t>
      </w:r>
    </w:p>
    <w:p w14:paraId="517D913C" w14:textId="429F4948" w:rsidR="001E7C64" w:rsidRDefault="00E557DE" w:rsidP="00781A10">
      <w:pPr>
        <w:pStyle w:val="ListParagraph"/>
        <w:keepLines/>
        <w:numPr>
          <w:ilvl w:val="1"/>
          <w:numId w:val="3"/>
        </w:numPr>
        <w:ind w:left="1134" w:hanging="567"/>
        <w:rPr>
          <w:spacing w:val="-2"/>
        </w:rPr>
      </w:pPr>
      <w:r w:rsidRPr="004421A9">
        <w:rPr>
          <w:spacing w:val="-2"/>
        </w:rPr>
        <w:t xml:space="preserve">Priorisierung von Flexibilität, funktionsübergreifenden Kompetenzen und Vielseitigkeit. Die UPOV muss sich auch auf verschiedene Beschaffungsmodelle sowie strategische Partnerschaften stützen, um der gestiegenen Nachfrage nach Dienstleistungen gerecht zu </w:t>
      </w:r>
      <w:r w:rsidR="009D4DBA">
        <w:rPr>
          <w:spacing w:val="-2"/>
        </w:rPr>
        <w:t>werden.</w:t>
      </w:r>
    </w:p>
    <w:p w14:paraId="5615979B" w14:textId="77777777" w:rsidR="009D4DBA" w:rsidRPr="00FC2A35" w:rsidRDefault="009D4DBA" w:rsidP="00FC2A35"/>
    <w:p w14:paraId="2EEC1D9A" w14:textId="77777777" w:rsidR="00B65EDC" w:rsidRPr="001C530E" w:rsidRDefault="00B65EDC" w:rsidP="00B65EDC">
      <w:pPr>
        <w:tabs>
          <w:tab w:val="left" w:pos="567"/>
        </w:tabs>
        <w:rPr>
          <w:spacing w:val="-2"/>
        </w:rPr>
      </w:pPr>
    </w:p>
    <w:p w14:paraId="333858D0" w14:textId="394CD24D" w:rsidR="00B65EDC" w:rsidRPr="004421A9" w:rsidRDefault="00B65EDC" w:rsidP="00B65EDC">
      <w:pPr>
        <w:pStyle w:val="Heading3"/>
        <w:rPr>
          <w:lang w:val="de-DE"/>
        </w:rPr>
      </w:pPr>
      <w:bookmarkStart w:id="509" w:name="_Toc210041710"/>
      <w:r w:rsidRPr="004421A9">
        <w:rPr>
          <w:lang w:val="de-DE"/>
        </w:rPr>
        <w:t xml:space="preserve">Erwartete Ergebnisse und </w:t>
      </w:r>
      <w:r w:rsidR="00750508" w:rsidRPr="004421A9">
        <w:rPr>
          <w:lang w:val="de-DE"/>
        </w:rPr>
        <w:t>Planerfüll</w:t>
      </w:r>
      <w:r w:rsidRPr="004421A9">
        <w:rPr>
          <w:lang w:val="de-DE"/>
        </w:rPr>
        <w:t>ungsindikatoren</w:t>
      </w:r>
      <w:bookmarkEnd w:id="509"/>
    </w:p>
    <w:p w14:paraId="13B4026D" w14:textId="77777777" w:rsidR="00B65EDC" w:rsidRPr="004421A9" w:rsidRDefault="00B65EDC" w:rsidP="00B65EDC">
      <w:pPr>
        <w:keepNext/>
        <w:rPr>
          <w:bC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7"/>
        <w:gridCol w:w="3251"/>
        <w:gridCol w:w="305"/>
        <w:gridCol w:w="2456"/>
        <w:gridCol w:w="1631"/>
        <w:gridCol w:w="1564"/>
      </w:tblGrid>
      <w:tr w:rsidR="00601B62" w:rsidRPr="004421A9" w14:paraId="5A8101B4" w14:textId="77777777" w:rsidTr="00CD4E21">
        <w:trPr>
          <w:tblHeader/>
        </w:trPr>
        <w:tc>
          <w:tcPr>
            <w:tcW w:w="426" w:type="dxa"/>
            <w:tcBorders>
              <w:bottom w:val="single" w:sz="4" w:space="0" w:color="D9D9D9" w:themeColor="background1" w:themeShade="D9"/>
            </w:tcBorders>
            <w:shd w:val="clear" w:color="auto" w:fill="E2E7EB" w:themeFill="accent3" w:themeFillTint="33"/>
          </w:tcPr>
          <w:p w14:paraId="7BCDC16C" w14:textId="77777777" w:rsidR="00601B62" w:rsidRPr="004421A9" w:rsidRDefault="00601B62" w:rsidP="00601B62">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F82446C" w14:textId="77777777" w:rsidR="00601B62" w:rsidRPr="004421A9" w:rsidRDefault="00601B62" w:rsidP="00601B62">
            <w:pPr>
              <w:jc w:val="left"/>
              <w:rPr>
                <w:b/>
                <w:bCs/>
                <w:sz w:val="16"/>
                <w:szCs w:val="16"/>
              </w:rPr>
            </w:pPr>
            <w:r w:rsidRPr="004421A9">
              <w:rPr>
                <w:b/>
                <w:bCs/>
                <w:sz w:val="16"/>
                <w:szCs w:val="16"/>
              </w:rPr>
              <w:t>Erwartete Ergebnisse</w:t>
            </w:r>
          </w:p>
        </w:tc>
        <w:tc>
          <w:tcPr>
            <w:tcW w:w="305" w:type="dxa"/>
            <w:tcBorders>
              <w:bottom w:val="single" w:sz="4" w:space="0" w:color="D9D9D9" w:themeColor="background1" w:themeShade="D9"/>
            </w:tcBorders>
            <w:shd w:val="clear" w:color="auto" w:fill="E2E7EB" w:themeFill="accent3" w:themeFillTint="33"/>
          </w:tcPr>
          <w:p w14:paraId="6387A432" w14:textId="77777777" w:rsidR="00601B62" w:rsidRPr="004421A9" w:rsidRDefault="00601B62" w:rsidP="00601B62">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65B2FE82" w14:textId="280A47C2" w:rsidR="00601B62" w:rsidRPr="004421A9" w:rsidRDefault="00601B62" w:rsidP="00601B62">
            <w:pPr>
              <w:rPr>
                <w:b/>
                <w:bCs/>
                <w:sz w:val="16"/>
                <w:szCs w:val="16"/>
              </w:rPr>
            </w:pPr>
            <w:r w:rsidRPr="004421A9">
              <w:rPr>
                <w:b/>
                <w:bCs/>
                <w:sz w:val="16"/>
                <w:szCs w:val="16"/>
              </w:rPr>
              <w:t>Planerfüllungsindikatoren</w:t>
            </w:r>
          </w:p>
        </w:tc>
        <w:tc>
          <w:tcPr>
            <w:tcW w:w="1632" w:type="dxa"/>
            <w:tcBorders>
              <w:bottom w:val="single" w:sz="4" w:space="0" w:color="D9D9D9" w:themeColor="background1" w:themeShade="D9"/>
            </w:tcBorders>
            <w:shd w:val="clear" w:color="auto" w:fill="E2E7EB" w:themeFill="accent3" w:themeFillTint="33"/>
          </w:tcPr>
          <w:p w14:paraId="1EDAB418" w14:textId="30CA3C41" w:rsidR="00601B62" w:rsidRPr="004421A9" w:rsidRDefault="00601B62" w:rsidP="00601B62">
            <w:pPr>
              <w:jc w:val="center"/>
              <w:rPr>
                <w:b/>
                <w:bCs/>
                <w:sz w:val="16"/>
                <w:szCs w:val="16"/>
              </w:rPr>
            </w:pPr>
            <w:r w:rsidRPr="004421A9">
              <w:rPr>
                <w:b/>
                <w:bCs/>
                <w:sz w:val="16"/>
                <w:szCs w:val="16"/>
              </w:rPr>
              <w:t>Referenzwerte</w:t>
            </w:r>
          </w:p>
        </w:tc>
        <w:tc>
          <w:tcPr>
            <w:tcW w:w="1559" w:type="dxa"/>
            <w:tcBorders>
              <w:bottom w:val="single" w:sz="4" w:space="0" w:color="D9D9D9" w:themeColor="background1" w:themeShade="D9"/>
            </w:tcBorders>
            <w:shd w:val="clear" w:color="auto" w:fill="E2E7EB" w:themeFill="accent3" w:themeFillTint="33"/>
          </w:tcPr>
          <w:p w14:paraId="473BC1A7" w14:textId="77777777" w:rsidR="00601B62" w:rsidRPr="004421A9" w:rsidRDefault="00601B62" w:rsidP="00601B62">
            <w:pPr>
              <w:jc w:val="center"/>
              <w:rPr>
                <w:b/>
                <w:bCs/>
                <w:sz w:val="16"/>
                <w:szCs w:val="16"/>
              </w:rPr>
            </w:pPr>
            <w:r w:rsidRPr="004421A9">
              <w:rPr>
                <w:b/>
                <w:bCs/>
                <w:sz w:val="16"/>
                <w:szCs w:val="16"/>
              </w:rPr>
              <w:t>Ziele (2026/27)</w:t>
            </w:r>
          </w:p>
        </w:tc>
      </w:tr>
      <w:tr w:rsidR="003842B4" w:rsidRPr="004421A9" w14:paraId="1333AA82" w14:textId="77777777" w:rsidTr="00CD4E21">
        <w:tc>
          <w:tcPr>
            <w:tcW w:w="426" w:type="dxa"/>
            <w:tcBorders>
              <w:top w:val="single" w:sz="4" w:space="0" w:color="D9D9D9" w:themeColor="background1" w:themeShade="D9"/>
              <w:bottom w:val="single" w:sz="4" w:space="0" w:color="D9D9D9" w:themeColor="background1" w:themeShade="D9"/>
            </w:tcBorders>
          </w:tcPr>
          <w:p w14:paraId="222B2EA9" w14:textId="77777777" w:rsidR="003842B4" w:rsidRPr="004421A9" w:rsidRDefault="003842B4" w:rsidP="003842B4">
            <w:pPr>
              <w:jc w:val="left"/>
              <w:rPr>
                <w:rFonts w:cs="Arial"/>
                <w:sz w:val="16"/>
                <w:szCs w:val="16"/>
              </w:rPr>
            </w:pPr>
            <w:r w:rsidRPr="004421A9">
              <w:rPr>
                <w:rFonts w:cs="Arial"/>
                <w:sz w:val="16"/>
                <w:szCs w:val="16"/>
              </w:rPr>
              <w:t>4.1</w:t>
            </w:r>
          </w:p>
        </w:tc>
        <w:tc>
          <w:tcPr>
            <w:tcW w:w="3255" w:type="dxa"/>
            <w:tcBorders>
              <w:top w:val="single" w:sz="4" w:space="0" w:color="D9D9D9" w:themeColor="background1" w:themeShade="D9"/>
              <w:bottom w:val="single" w:sz="4" w:space="0" w:color="D9D9D9" w:themeColor="background1" w:themeShade="D9"/>
            </w:tcBorders>
          </w:tcPr>
          <w:p w14:paraId="6DA9BBD2" w14:textId="7A6E4D72" w:rsidR="003842B4" w:rsidRPr="004421A9" w:rsidRDefault="0008206E" w:rsidP="003842B4">
            <w:pPr>
              <w:jc w:val="left"/>
              <w:rPr>
                <w:rFonts w:cs="Arial"/>
                <w:sz w:val="16"/>
                <w:szCs w:val="16"/>
              </w:rPr>
            </w:pPr>
            <w:r w:rsidRPr="004421A9">
              <w:rPr>
                <w:rFonts w:cs="Arial"/>
                <w:sz w:val="16"/>
                <w:szCs w:val="16"/>
              </w:rPr>
              <w:t>Sicherstellung der finanziellen Nachhaltigkeit</w:t>
            </w:r>
          </w:p>
        </w:tc>
        <w:tc>
          <w:tcPr>
            <w:tcW w:w="305" w:type="dxa"/>
            <w:tcBorders>
              <w:top w:val="single" w:sz="4" w:space="0" w:color="D9D9D9" w:themeColor="background1" w:themeShade="D9"/>
              <w:bottom w:val="single" w:sz="4" w:space="0" w:color="D9D9D9" w:themeColor="background1" w:themeShade="D9"/>
            </w:tcBorders>
          </w:tcPr>
          <w:p w14:paraId="23974A7F" w14:textId="77777777" w:rsidR="003842B4" w:rsidRPr="004421A9" w:rsidRDefault="003842B4" w:rsidP="003842B4">
            <w:pPr>
              <w:jc w:val="left"/>
              <w:rPr>
                <w:rFonts w:cs="Arial"/>
                <w:sz w:val="16"/>
                <w:szCs w:val="16"/>
              </w:rPr>
            </w:pPr>
            <w:r w:rsidRPr="004421A9">
              <w:rPr>
                <w:rFonts w:cs="Arial"/>
                <w:sz w:val="16"/>
                <w:szCs w:val="16"/>
              </w:rPr>
              <w:t>16</w:t>
            </w:r>
          </w:p>
        </w:tc>
        <w:tc>
          <w:tcPr>
            <w:tcW w:w="2457" w:type="dxa"/>
            <w:tcBorders>
              <w:top w:val="single" w:sz="4" w:space="0" w:color="D9D9D9" w:themeColor="background1" w:themeShade="D9"/>
              <w:bottom w:val="single" w:sz="4" w:space="0" w:color="D9D9D9" w:themeColor="background1" w:themeShade="D9"/>
            </w:tcBorders>
          </w:tcPr>
          <w:p w14:paraId="7E11B07E" w14:textId="704472F8" w:rsidR="003842B4" w:rsidRPr="004421A9" w:rsidRDefault="003842B4" w:rsidP="003842B4">
            <w:pPr>
              <w:jc w:val="left"/>
              <w:rPr>
                <w:rFonts w:cs="Arial"/>
                <w:sz w:val="16"/>
                <w:szCs w:val="16"/>
              </w:rPr>
            </w:pPr>
            <w:r w:rsidRPr="004421A9">
              <w:rPr>
                <w:rFonts w:cs="Arial"/>
                <w:sz w:val="16"/>
                <w:szCs w:val="16"/>
              </w:rPr>
              <w:t>Einnahmen aus anderen Quellen als den Beiträgen der UPOV-Mitglieder.</w:t>
            </w:r>
          </w:p>
        </w:tc>
        <w:tc>
          <w:tcPr>
            <w:tcW w:w="1632" w:type="dxa"/>
            <w:tcBorders>
              <w:top w:val="single" w:sz="4" w:space="0" w:color="D9D9D9" w:themeColor="background1" w:themeShade="D9"/>
              <w:bottom w:val="single" w:sz="4" w:space="0" w:color="D9D9D9" w:themeColor="background1" w:themeShade="D9"/>
            </w:tcBorders>
            <w:vAlign w:val="center"/>
          </w:tcPr>
          <w:p w14:paraId="07ACC11F" w14:textId="209F7772" w:rsidR="003842B4" w:rsidRPr="004421A9" w:rsidRDefault="00A66130" w:rsidP="003842B4">
            <w:pPr>
              <w:jc w:val="center"/>
              <w:rPr>
                <w:rFonts w:cs="Arial"/>
                <w:sz w:val="16"/>
                <w:szCs w:val="16"/>
              </w:rPr>
            </w:pPr>
            <w:r w:rsidRPr="004421A9">
              <w:rPr>
                <w:rFonts w:cs="Arial"/>
                <w:sz w:val="16"/>
                <w:szCs w:val="16"/>
              </w:rPr>
              <w:t>5,9</w:t>
            </w:r>
            <w:r w:rsidR="0059238B" w:rsidRPr="004421A9">
              <w:rPr>
                <w:rFonts w:cs="Arial"/>
                <w:sz w:val="16"/>
                <w:szCs w:val="16"/>
              </w:rPr>
              <w:t xml:space="preserve"> </w:t>
            </w:r>
            <w:r w:rsidR="003842B4" w:rsidRPr="004421A9">
              <w:rPr>
                <w:rFonts w:cs="Arial"/>
                <w:sz w:val="16"/>
                <w:szCs w:val="16"/>
              </w:rPr>
              <w:t>% (2024)</w:t>
            </w:r>
          </w:p>
        </w:tc>
        <w:tc>
          <w:tcPr>
            <w:tcW w:w="1559" w:type="dxa"/>
            <w:tcBorders>
              <w:top w:val="single" w:sz="4" w:space="0" w:color="D9D9D9" w:themeColor="background1" w:themeShade="D9"/>
              <w:bottom w:val="single" w:sz="4" w:space="0" w:color="D9D9D9" w:themeColor="background1" w:themeShade="D9"/>
            </w:tcBorders>
            <w:vAlign w:val="center"/>
          </w:tcPr>
          <w:p w14:paraId="097972BE" w14:textId="1D8A002D" w:rsidR="003842B4" w:rsidRPr="004421A9" w:rsidRDefault="00F31E68" w:rsidP="003842B4">
            <w:pPr>
              <w:jc w:val="center"/>
              <w:rPr>
                <w:rFonts w:cs="Arial"/>
                <w:sz w:val="16"/>
                <w:szCs w:val="16"/>
              </w:rPr>
            </w:pPr>
            <w:r w:rsidRPr="004421A9">
              <w:rPr>
                <w:sz w:val="16"/>
              </w:rPr>
              <w:t>6</w:t>
            </w:r>
            <w:r w:rsidR="002E7056" w:rsidRPr="004421A9">
              <w:rPr>
                <w:sz w:val="16"/>
              </w:rPr>
              <w:t>,</w:t>
            </w:r>
            <w:r w:rsidRPr="004421A9">
              <w:rPr>
                <w:sz w:val="16"/>
              </w:rPr>
              <w:t>3</w:t>
            </w:r>
            <w:r w:rsidR="002E7056" w:rsidRPr="004421A9">
              <w:rPr>
                <w:sz w:val="16"/>
              </w:rPr>
              <w:t xml:space="preserve"> </w:t>
            </w:r>
            <w:r w:rsidRPr="004421A9">
              <w:rPr>
                <w:rFonts w:cs="Arial"/>
                <w:sz w:val="16"/>
                <w:szCs w:val="16"/>
              </w:rPr>
              <w:t>%</w:t>
            </w:r>
            <w:r w:rsidR="002B2D6A" w:rsidRPr="004421A9">
              <w:rPr>
                <w:rFonts w:cs="Arial"/>
                <w:sz w:val="16"/>
                <w:szCs w:val="16"/>
              </w:rPr>
              <w:t xml:space="preserve"> (Rechnungsperiode)</w:t>
            </w:r>
          </w:p>
        </w:tc>
      </w:tr>
      <w:tr w:rsidR="00B078AF" w:rsidRPr="004421A9" w14:paraId="3E833428" w14:textId="77777777" w:rsidTr="00CD4E21">
        <w:tc>
          <w:tcPr>
            <w:tcW w:w="426" w:type="dxa"/>
            <w:tcBorders>
              <w:top w:val="single" w:sz="4" w:space="0" w:color="D9D9D9" w:themeColor="background1" w:themeShade="D9"/>
              <w:bottom w:val="single" w:sz="4" w:space="0" w:color="D9D9D9" w:themeColor="background1" w:themeShade="D9"/>
            </w:tcBorders>
          </w:tcPr>
          <w:p w14:paraId="4020FBA4" w14:textId="7B3FCF86" w:rsidR="00B078AF" w:rsidRPr="004421A9" w:rsidRDefault="00B078AF" w:rsidP="00B078AF">
            <w:pPr>
              <w:jc w:val="left"/>
              <w:rPr>
                <w:rFonts w:cs="Arial"/>
                <w:sz w:val="16"/>
                <w:szCs w:val="16"/>
              </w:rPr>
            </w:pPr>
            <w:r w:rsidRPr="004421A9">
              <w:rPr>
                <w:rFonts w:cs="Arial"/>
                <w:sz w:val="16"/>
                <w:szCs w:val="16"/>
              </w:rPr>
              <w:t>4.2</w:t>
            </w:r>
          </w:p>
        </w:tc>
        <w:tc>
          <w:tcPr>
            <w:tcW w:w="3255" w:type="dxa"/>
            <w:tcBorders>
              <w:top w:val="single" w:sz="4" w:space="0" w:color="D9D9D9" w:themeColor="background1" w:themeShade="D9"/>
              <w:bottom w:val="single" w:sz="4" w:space="0" w:color="D9D9D9" w:themeColor="background1" w:themeShade="D9"/>
            </w:tcBorders>
          </w:tcPr>
          <w:p w14:paraId="4C62A82E" w14:textId="220A232E" w:rsidR="00B078AF" w:rsidRPr="004421A9" w:rsidRDefault="00B078AF" w:rsidP="00B078AF">
            <w:pPr>
              <w:jc w:val="left"/>
              <w:rPr>
                <w:rFonts w:cs="Arial"/>
                <w:sz w:val="16"/>
                <w:szCs w:val="16"/>
              </w:rPr>
            </w:pPr>
            <w:r w:rsidRPr="004421A9">
              <w:rPr>
                <w:rFonts w:cs="Arial"/>
                <w:sz w:val="16"/>
                <w:szCs w:val="16"/>
              </w:rPr>
              <w:t>Ein Sekretariat, das über die erforderlichen Befugnisse und die richtigen Ressourcen und Schulungen verfügt, um effizient, kooperativ und innovativ zu arbeiten</w:t>
            </w:r>
          </w:p>
        </w:tc>
        <w:tc>
          <w:tcPr>
            <w:tcW w:w="305" w:type="dxa"/>
            <w:tcBorders>
              <w:top w:val="single" w:sz="4" w:space="0" w:color="D9D9D9" w:themeColor="background1" w:themeShade="D9"/>
              <w:bottom w:val="single" w:sz="4" w:space="0" w:color="D9D9D9" w:themeColor="background1" w:themeShade="D9"/>
            </w:tcBorders>
            <w:vAlign w:val="center"/>
          </w:tcPr>
          <w:p w14:paraId="7FDAD23C" w14:textId="77777777" w:rsidR="00B078AF" w:rsidRPr="004421A9" w:rsidRDefault="00B078AF" w:rsidP="00B078AF">
            <w:pPr>
              <w:jc w:val="left"/>
              <w:rPr>
                <w:rFonts w:cs="Arial"/>
                <w:sz w:val="16"/>
                <w:szCs w:val="16"/>
              </w:rPr>
            </w:pPr>
            <w:r w:rsidRPr="004421A9">
              <w:rPr>
                <w:rFonts w:cs="Arial"/>
                <w:sz w:val="16"/>
                <w:szCs w:val="16"/>
              </w:rPr>
              <w:t>17</w:t>
            </w:r>
          </w:p>
        </w:tc>
        <w:tc>
          <w:tcPr>
            <w:tcW w:w="2457" w:type="dxa"/>
            <w:tcBorders>
              <w:top w:val="single" w:sz="4" w:space="0" w:color="D9D9D9" w:themeColor="background1" w:themeShade="D9"/>
              <w:bottom w:val="single" w:sz="4" w:space="0" w:color="D9D9D9" w:themeColor="background1" w:themeShade="D9"/>
            </w:tcBorders>
            <w:vAlign w:val="center"/>
          </w:tcPr>
          <w:p w14:paraId="08C04CB9" w14:textId="26338A4C" w:rsidR="00B078AF" w:rsidRPr="004421A9" w:rsidRDefault="00B078AF" w:rsidP="00B078AF">
            <w:pPr>
              <w:jc w:val="left"/>
              <w:rPr>
                <w:rFonts w:cs="Arial"/>
                <w:sz w:val="16"/>
                <w:szCs w:val="16"/>
              </w:rPr>
            </w:pPr>
            <w:r w:rsidRPr="004421A9">
              <w:rPr>
                <w:rFonts w:cs="Arial"/>
                <w:sz w:val="16"/>
                <w:szCs w:val="16"/>
              </w:rPr>
              <w:t>Grad der Zufriedenheit des Personals</w:t>
            </w:r>
          </w:p>
        </w:tc>
        <w:tc>
          <w:tcPr>
            <w:tcW w:w="1632" w:type="dxa"/>
            <w:tcBorders>
              <w:top w:val="single" w:sz="4" w:space="0" w:color="D9D9D9" w:themeColor="background1" w:themeShade="D9"/>
              <w:bottom w:val="single" w:sz="4" w:space="0" w:color="D9D9D9" w:themeColor="background1" w:themeShade="D9"/>
            </w:tcBorders>
            <w:vAlign w:val="center"/>
          </w:tcPr>
          <w:p w14:paraId="544C11AC" w14:textId="51619D8E" w:rsidR="00B078AF" w:rsidRPr="004421A9" w:rsidRDefault="00B078AF" w:rsidP="00B078AF">
            <w:pPr>
              <w:jc w:val="center"/>
              <w:rPr>
                <w:rFonts w:cs="Arial"/>
                <w:sz w:val="16"/>
                <w:szCs w:val="16"/>
              </w:rPr>
            </w:pPr>
            <w:r w:rsidRPr="004421A9">
              <w:rPr>
                <w:rFonts w:cs="Arial"/>
                <w:sz w:val="16"/>
                <w:szCs w:val="16"/>
              </w:rPr>
              <w:t>84</w:t>
            </w:r>
            <w:r w:rsidR="0059238B" w:rsidRPr="004421A9">
              <w:rPr>
                <w:rFonts w:cs="Arial"/>
                <w:sz w:val="16"/>
                <w:szCs w:val="16"/>
              </w:rPr>
              <w:t xml:space="preserve"> </w:t>
            </w:r>
            <w:r w:rsidRPr="004421A9">
              <w:rPr>
                <w:rFonts w:cs="Arial"/>
                <w:sz w:val="16"/>
                <w:szCs w:val="16"/>
              </w:rPr>
              <w:t>% (2024)</w:t>
            </w:r>
          </w:p>
        </w:tc>
        <w:tc>
          <w:tcPr>
            <w:tcW w:w="1559" w:type="dxa"/>
            <w:tcBorders>
              <w:top w:val="single" w:sz="4" w:space="0" w:color="D9D9D9" w:themeColor="background1" w:themeShade="D9"/>
              <w:bottom w:val="single" w:sz="4" w:space="0" w:color="D9D9D9" w:themeColor="background1" w:themeShade="D9"/>
            </w:tcBorders>
            <w:vAlign w:val="center"/>
          </w:tcPr>
          <w:p w14:paraId="054EE3BB" w14:textId="72A1EBF5" w:rsidR="00B078AF" w:rsidRPr="004421A9" w:rsidRDefault="00B078AF" w:rsidP="00B078AF">
            <w:pPr>
              <w:jc w:val="center"/>
              <w:rPr>
                <w:rFonts w:cs="Arial"/>
                <w:sz w:val="16"/>
                <w:szCs w:val="16"/>
              </w:rPr>
            </w:pPr>
            <w:r w:rsidRPr="004421A9">
              <w:rPr>
                <w:rFonts w:cs="Arial"/>
                <w:sz w:val="16"/>
                <w:szCs w:val="16"/>
              </w:rPr>
              <w:t>8</w:t>
            </w:r>
            <w:r w:rsidR="002B2D6A" w:rsidRPr="004421A9">
              <w:rPr>
                <w:rFonts w:cs="Arial"/>
                <w:sz w:val="16"/>
                <w:szCs w:val="16"/>
              </w:rPr>
              <w:t>5</w:t>
            </w:r>
            <w:r w:rsidR="002E7056" w:rsidRPr="004421A9">
              <w:rPr>
                <w:rFonts w:cs="Arial"/>
                <w:sz w:val="16"/>
                <w:szCs w:val="16"/>
              </w:rPr>
              <w:t xml:space="preserve"> </w:t>
            </w:r>
            <w:r w:rsidRPr="004421A9">
              <w:rPr>
                <w:rFonts w:cs="Arial"/>
                <w:sz w:val="16"/>
                <w:szCs w:val="16"/>
              </w:rPr>
              <w:t>%</w:t>
            </w:r>
            <w:r w:rsidR="002B2D6A" w:rsidRPr="004421A9">
              <w:rPr>
                <w:rFonts w:cs="Arial"/>
                <w:sz w:val="16"/>
                <w:szCs w:val="16"/>
              </w:rPr>
              <w:t xml:space="preserve"> zufrieden oder sehr zufrieden</w:t>
            </w:r>
          </w:p>
        </w:tc>
      </w:tr>
    </w:tbl>
    <w:p w14:paraId="4A74B75A" w14:textId="77777777" w:rsidR="00B65EDC" w:rsidRPr="004421A9" w:rsidRDefault="00B65EDC" w:rsidP="00B65EDC"/>
    <w:p w14:paraId="101B508F" w14:textId="77777777" w:rsidR="00A92CBC" w:rsidRPr="004421A9" w:rsidRDefault="00A92CBC" w:rsidP="00B65EDC"/>
    <w:p w14:paraId="4BA79BA7" w14:textId="77777777" w:rsidR="00661A16" w:rsidRDefault="00661A16">
      <w:pPr>
        <w:jc w:val="left"/>
        <w:rPr>
          <w:rFonts w:cs="Arial"/>
          <w:b/>
          <w:bCs/>
          <w:color w:val="26724C" w:themeColor="accent1" w:themeShade="BF"/>
        </w:rPr>
      </w:pPr>
      <w:bookmarkStart w:id="510" w:name="_Hlk190118185"/>
      <w:r>
        <w:rPr>
          <w:rFonts w:cs="Arial"/>
          <w:b/>
          <w:bCs/>
          <w:color w:val="26724C" w:themeColor="accent1" w:themeShade="BF"/>
        </w:rPr>
        <w:br w:type="page"/>
      </w:r>
    </w:p>
    <w:p w14:paraId="0401DFCB" w14:textId="748273F6" w:rsidR="00B65EDC" w:rsidRPr="004421A9" w:rsidRDefault="00B65EDC" w:rsidP="00FF6ED3">
      <w:pPr>
        <w:keepNext/>
        <w:jc w:val="center"/>
        <w:rPr>
          <w:rFonts w:cs="Arial"/>
          <w:b/>
          <w:bCs/>
          <w:color w:val="26724C" w:themeColor="accent1" w:themeShade="BF"/>
        </w:rPr>
      </w:pPr>
      <w:r w:rsidRPr="004421A9">
        <w:rPr>
          <w:rFonts w:cs="Arial"/>
          <w:b/>
          <w:bCs/>
          <w:color w:val="26724C" w:themeColor="accent1" w:themeShade="BF"/>
        </w:rPr>
        <w:lastRenderedPageBreak/>
        <w:t>Tabelle 6:</w:t>
      </w:r>
      <w:r w:rsidR="00877E3D" w:rsidRPr="004421A9">
        <w:rPr>
          <w:rFonts w:cs="Arial"/>
          <w:b/>
          <w:bCs/>
          <w:color w:val="26724C" w:themeColor="accent1" w:themeShade="BF"/>
        </w:rPr>
        <w:t xml:space="preserve"> </w:t>
      </w:r>
      <w:r w:rsidR="00D62B25" w:rsidRPr="004421A9">
        <w:rPr>
          <w:rFonts w:cs="Arial"/>
          <w:b/>
          <w:bCs/>
          <w:color w:val="26724C" w:themeColor="accent1" w:themeShade="BF"/>
        </w:rPr>
        <w:t>Haushaltsplan</w:t>
      </w:r>
      <w:r w:rsidR="00521C0D" w:rsidRPr="004421A9">
        <w:rPr>
          <w:rFonts w:cs="Arial"/>
          <w:b/>
          <w:bCs/>
          <w:color w:val="26724C" w:themeColor="accent1" w:themeShade="BF"/>
        </w:rPr>
        <w:t xml:space="preserve"> 2026–2027 </w:t>
      </w:r>
      <w:r w:rsidRPr="004421A9">
        <w:rPr>
          <w:rFonts w:cs="Arial"/>
          <w:b/>
          <w:bCs/>
          <w:color w:val="26724C" w:themeColor="accent1" w:themeShade="BF"/>
        </w:rPr>
        <w:t>nach erwarteten Ergebnissen</w:t>
      </w:r>
    </w:p>
    <w:bookmarkEnd w:id="510"/>
    <w:p w14:paraId="56F32405" w14:textId="1E786802" w:rsidR="00B65EDC" w:rsidRPr="004421A9" w:rsidRDefault="00B65EDC" w:rsidP="00FF6ED3">
      <w:pPr>
        <w:keepNext/>
        <w:jc w:val="center"/>
        <w:rPr>
          <w:rFonts w:cs="Arial"/>
          <w:i/>
          <w:iCs/>
          <w:sz w:val="18"/>
          <w:szCs w:val="18"/>
        </w:rPr>
      </w:pPr>
      <w:r w:rsidRPr="004421A9">
        <w:rPr>
          <w:rFonts w:cs="Arial"/>
          <w:i/>
          <w:iCs/>
          <w:sz w:val="18"/>
          <w:szCs w:val="18"/>
        </w:rPr>
        <w:t>(</w:t>
      </w:r>
      <w:r w:rsidR="008166F5" w:rsidRPr="004421A9">
        <w:rPr>
          <w:rFonts w:cs="Arial"/>
          <w:i/>
          <w:iCs/>
          <w:sz w:val="18"/>
          <w:szCs w:val="18"/>
        </w:rPr>
        <w:t>in tausend Schweizer Franken</w:t>
      </w:r>
      <w:r w:rsidRPr="004421A9">
        <w:rPr>
          <w:rFonts w:cs="Arial"/>
          <w:i/>
          <w:iCs/>
          <w:sz w:val="18"/>
          <w:szCs w:val="18"/>
        </w:rPr>
        <w:t>)</w:t>
      </w:r>
    </w:p>
    <w:p w14:paraId="48B9B346" w14:textId="77777777" w:rsidR="00B65EDC" w:rsidRPr="004421A9" w:rsidRDefault="00B65EDC" w:rsidP="00FF6ED3">
      <w:pPr>
        <w:keepNext/>
        <w:jc w:val="center"/>
      </w:pPr>
    </w:p>
    <w:tbl>
      <w:tblPr>
        <w:tblW w:w="8212" w:type="dxa"/>
        <w:jc w:val="center"/>
        <w:tblCellMar>
          <w:top w:w="28" w:type="dxa"/>
          <w:bottom w:w="28" w:type="dxa"/>
        </w:tblCellMar>
        <w:tblLook w:val="04A0" w:firstRow="1" w:lastRow="0" w:firstColumn="1" w:lastColumn="0" w:noHBand="0" w:noVBand="1"/>
      </w:tblPr>
      <w:tblGrid>
        <w:gridCol w:w="1494"/>
        <w:gridCol w:w="5154"/>
        <w:gridCol w:w="1564"/>
      </w:tblGrid>
      <w:tr w:rsidR="00B65EDC" w:rsidRPr="004421A9" w14:paraId="4A4C5F17" w14:textId="77777777" w:rsidTr="00A66130">
        <w:trPr>
          <w:trHeight w:val="270"/>
          <w:jc w:val="center"/>
        </w:trPr>
        <w:tc>
          <w:tcPr>
            <w:tcW w:w="6648" w:type="dxa"/>
            <w:gridSpan w:val="2"/>
            <w:vMerge w:val="restart"/>
            <w:tcBorders>
              <w:top w:val="nil"/>
              <w:left w:val="nil"/>
              <w:bottom w:val="nil"/>
              <w:right w:val="nil"/>
            </w:tcBorders>
            <w:shd w:val="clear" w:color="000000" w:fill="C7CFD8"/>
            <w:vAlign w:val="center"/>
          </w:tcPr>
          <w:p w14:paraId="171F6E02" w14:textId="77777777" w:rsidR="00B65EDC" w:rsidRPr="004421A9" w:rsidRDefault="00B65EDC" w:rsidP="00FF6ED3">
            <w:pPr>
              <w:keepNext/>
              <w:jc w:val="center"/>
              <w:rPr>
                <w:rFonts w:cs="Arial"/>
                <w:b/>
                <w:bCs/>
                <w:sz w:val="16"/>
                <w:szCs w:val="16"/>
              </w:rPr>
            </w:pPr>
          </w:p>
        </w:tc>
        <w:tc>
          <w:tcPr>
            <w:tcW w:w="1564" w:type="dxa"/>
            <w:vMerge w:val="restart"/>
            <w:tcBorders>
              <w:top w:val="nil"/>
              <w:left w:val="nil"/>
              <w:bottom w:val="nil"/>
              <w:right w:val="nil"/>
            </w:tcBorders>
            <w:shd w:val="clear" w:color="000000" w:fill="C7CFD8"/>
            <w:vAlign w:val="center"/>
            <w:hideMark/>
          </w:tcPr>
          <w:p w14:paraId="2BCBF395" w14:textId="5BF9768D" w:rsidR="00B65EDC" w:rsidRPr="004421A9" w:rsidRDefault="00521C0D" w:rsidP="00FF6ED3">
            <w:pPr>
              <w:keepNext/>
              <w:jc w:val="center"/>
              <w:rPr>
                <w:rFonts w:cs="Arial"/>
                <w:b/>
                <w:bCs/>
                <w:sz w:val="16"/>
                <w:szCs w:val="16"/>
              </w:rPr>
            </w:pPr>
            <w:r w:rsidRPr="004421A9">
              <w:rPr>
                <w:rFonts w:cs="Arial"/>
                <w:b/>
                <w:bCs/>
                <w:sz w:val="16"/>
                <w:szCs w:val="16"/>
              </w:rPr>
              <w:t xml:space="preserve">2026–2027 </w:t>
            </w:r>
            <w:r w:rsidR="009D5544" w:rsidRPr="004421A9">
              <w:rPr>
                <w:rFonts w:cs="Arial"/>
                <w:b/>
                <w:bCs/>
                <w:sz w:val="16"/>
                <w:szCs w:val="16"/>
              </w:rPr>
              <w:t>Veranschlagt</w:t>
            </w:r>
          </w:p>
        </w:tc>
      </w:tr>
      <w:tr w:rsidR="00B65EDC" w:rsidRPr="004421A9" w14:paraId="4A69C950" w14:textId="77777777" w:rsidTr="00A66130">
        <w:trPr>
          <w:trHeight w:val="240"/>
          <w:jc w:val="center"/>
        </w:trPr>
        <w:tc>
          <w:tcPr>
            <w:tcW w:w="6648" w:type="dxa"/>
            <w:gridSpan w:val="2"/>
            <w:vMerge/>
            <w:tcBorders>
              <w:top w:val="nil"/>
              <w:left w:val="nil"/>
              <w:bottom w:val="nil"/>
              <w:right w:val="nil"/>
            </w:tcBorders>
            <w:vAlign w:val="center"/>
            <w:hideMark/>
          </w:tcPr>
          <w:p w14:paraId="6EE8C587" w14:textId="77777777" w:rsidR="00B65EDC" w:rsidRPr="004421A9" w:rsidRDefault="00B65EDC" w:rsidP="00FF6ED3">
            <w:pPr>
              <w:keepNext/>
              <w:jc w:val="left"/>
              <w:rPr>
                <w:rFonts w:cs="Arial"/>
                <w:b/>
                <w:bCs/>
                <w:sz w:val="16"/>
                <w:szCs w:val="16"/>
              </w:rPr>
            </w:pPr>
          </w:p>
        </w:tc>
        <w:tc>
          <w:tcPr>
            <w:tcW w:w="1564" w:type="dxa"/>
            <w:vMerge/>
            <w:tcBorders>
              <w:top w:val="nil"/>
              <w:left w:val="nil"/>
              <w:bottom w:val="nil"/>
              <w:right w:val="nil"/>
            </w:tcBorders>
            <w:vAlign w:val="center"/>
            <w:hideMark/>
          </w:tcPr>
          <w:p w14:paraId="72EEB384" w14:textId="77777777" w:rsidR="00B65EDC" w:rsidRPr="004421A9" w:rsidRDefault="00B65EDC" w:rsidP="00FF6ED3">
            <w:pPr>
              <w:keepNext/>
              <w:jc w:val="left"/>
              <w:rPr>
                <w:rFonts w:cs="Arial"/>
                <w:b/>
                <w:bCs/>
                <w:sz w:val="16"/>
                <w:szCs w:val="16"/>
              </w:rPr>
            </w:pPr>
          </w:p>
        </w:tc>
      </w:tr>
      <w:tr w:rsidR="00B65EDC" w:rsidRPr="004421A9" w14:paraId="7F138174" w14:textId="77777777" w:rsidTr="00A66130">
        <w:trPr>
          <w:trHeight w:val="61"/>
          <w:jc w:val="center"/>
        </w:trPr>
        <w:tc>
          <w:tcPr>
            <w:tcW w:w="6648" w:type="dxa"/>
            <w:gridSpan w:val="2"/>
            <w:tcBorders>
              <w:top w:val="nil"/>
              <w:left w:val="nil"/>
              <w:bottom w:val="nil"/>
              <w:right w:val="nil"/>
            </w:tcBorders>
            <w:vAlign w:val="bottom"/>
            <w:hideMark/>
          </w:tcPr>
          <w:p w14:paraId="575CCD5D" w14:textId="77777777" w:rsidR="00B65EDC" w:rsidRPr="004421A9" w:rsidRDefault="00B65EDC" w:rsidP="00FF6ED3">
            <w:pPr>
              <w:keepNext/>
              <w:jc w:val="center"/>
              <w:rPr>
                <w:rFonts w:cs="Arial"/>
                <w:b/>
                <w:bCs/>
                <w:sz w:val="8"/>
                <w:szCs w:val="16"/>
              </w:rPr>
            </w:pPr>
          </w:p>
        </w:tc>
        <w:tc>
          <w:tcPr>
            <w:tcW w:w="1564" w:type="dxa"/>
            <w:tcBorders>
              <w:top w:val="nil"/>
              <w:left w:val="nil"/>
              <w:bottom w:val="nil"/>
              <w:right w:val="nil"/>
            </w:tcBorders>
            <w:vAlign w:val="bottom"/>
            <w:hideMark/>
          </w:tcPr>
          <w:p w14:paraId="1E3F57AE" w14:textId="77777777" w:rsidR="00B65EDC" w:rsidRPr="004421A9" w:rsidRDefault="00B65EDC" w:rsidP="00FF6ED3">
            <w:pPr>
              <w:keepNext/>
              <w:jc w:val="left"/>
              <w:rPr>
                <w:rFonts w:cs="Arial"/>
                <w:sz w:val="16"/>
                <w:szCs w:val="16"/>
              </w:rPr>
            </w:pPr>
          </w:p>
        </w:tc>
      </w:tr>
      <w:tr w:rsidR="00A66130" w:rsidRPr="004421A9" w14:paraId="106667A0" w14:textId="77777777" w:rsidTr="00A66130">
        <w:trPr>
          <w:jc w:val="center"/>
        </w:trPr>
        <w:tc>
          <w:tcPr>
            <w:tcW w:w="1494" w:type="dxa"/>
            <w:tcBorders>
              <w:top w:val="nil"/>
              <w:left w:val="nil"/>
              <w:bottom w:val="nil"/>
              <w:right w:val="nil"/>
            </w:tcBorders>
            <w:hideMark/>
          </w:tcPr>
          <w:p w14:paraId="2A5A37C7" w14:textId="440FEB2D" w:rsidR="00A66130" w:rsidRPr="004421A9" w:rsidRDefault="00A66130" w:rsidP="00A66130">
            <w:pPr>
              <w:jc w:val="center"/>
              <w:rPr>
                <w:rFonts w:cs="Arial"/>
                <w:sz w:val="16"/>
                <w:szCs w:val="16"/>
              </w:rPr>
            </w:pPr>
            <w:r w:rsidRPr="004421A9">
              <w:rPr>
                <w:rFonts w:cs="Arial"/>
                <w:sz w:val="16"/>
                <w:szCs w:val="16"/>
              </w:rPr>
              <w:t>1.1</w:t>
            </w:r>
          </w:p>
        </w:tc>
        <w:tc>
          <w:tcPr>
            <w:tcW w:w="5154" w:type="dxa"/>
            <w:tcBorders>
              <w:top w:val="nil"/>
              <w:left w:val="nil"/>
              <w:bottom w:val="nil"/>
              <w:right w:val="nil"/>
            </w:tcBorders>
            <w:hideMark/>
          </w:tcPr>
          <w:p w14:paraId="621A91DA" w14:textId="5F1FC55A" w:rsidR="00A66130" w:rsidRPr="004421A9" w:rsidRDefault="00A66130" w:rsidP="00A66130">
            <w:pPr>
              <w:jc w:val="left"/>
              <w:rPr>
                <w:rFonts w:cs="Arial"/>
                <w:sz w:val="16"/>
                <w:szCs w:val="16"/>
              </w:rPr>
            </w:pPr>
            <w:r w:rsidRPr="004421A9">
              <w:rPr>
                <w:rFonts w:cs="Arial"/>
                <w:sz w:val="16"/>
                <w:szCs w:val="16"/>
              </w:rPr>
              <w:t>Führung durch den Rat der UPOV und Arbeit der UPOV-Ausschüsse und anderen Organe</w:t>
            </w:r>
          </w:p>
        </w:tc>
        <w:tc>
          <w:tcPr>
            <w:tcW w:w="1564" w:type="dxa"/>
            <w:tcBorders>
              <w:top w:val="nil"/>
              <w:left w:val="nil"/>
              <w:bottom w:val="nil"/>
              <w:right w:val="nil"/>
            </w:tcBorders>
            <w:hideMark/>
          </w:tcPr>
          <w:p w14:paraId="305A39C1" w14:textId="1AE5EB15" w:rsidR="00A66130" w:rsidRPr="004421A9" w:rsidRDefault="00A66130" w:rsidP="00A66130">
            <w:pPr>
              <w:ind w:right="302"/>
              <w:jc w:val="right"/>
              <w:rPr>
                <w:rFonts w:cs="Arial"/>
                <w:sz w:val="16"/>
                <w:szCs w:val="16"/>
              </w:rPr>
            </w:pPr>
            <w:r w:rsidRPr="004421A9">
              <w:rPr>
                <w:rFonts w:cs="Arial"/>
                <w:sz w:val="16"/>
                <w:szCs w:val="16"/>
              </w:rPr>
              <w:t>722</w:t>
            </w:r>
          </w:p>
        </w:tc>
      </w:tr>
      <w:tr w:rsidR="00A66130" w:rsidRPr="004421A9" w14:paraId="49DDCEB3" w14:textId="77777777" w:rsidTr="00A66130">
        <w:trPr>
          <w:jc w:val="center"/>
        </w:trPr>
        <w:tc>
          <w:tcPr>
            <w:tcW w:w="1494" w:type="dxa"/>
            <w:tcBorders>
              <w:top w:val="nil"/>
              <w:left w:val="nil"/>
              <w:bottom w:val="nil"/>
              <w:right w:val="nil"/>
            </w:tcBorders>
            <w:hideMark/>
          </w:tcPr>
          <w:p w14:paraId="43A215AE" w14:textId="7BDF042E" w:rsidR="00A66130" w:rsidRPr="004421A9" w:rsidRDefault="00A66130" w:rsidP="00A66130">
            <w:pPr>
              <w:jc w:val="center"/>
              <w:rPr>
                <w:rFonts w:cs="Arial"/>
                <w:sz w:val="16"/>
                <w:szCs w:val="16"/>
              </w:rPr>
            </w:pPr>
            <w:r w:rsidRPr="004421A9">
              <w:rPr>
                <w:rFonts w:cs="Arial"/>
                <w:sz w:val="16"/>
                <w:szCs w:val="16"/>
              </w:rPr>
              <w:t>1.2</w:t>
            </w:r>
          </w:p>
        </w:tc>
        <w:tc>
          <w:tcPr>
            <w:tcW w:w="5154" w:type="dxa"/>
            <w:tcBorders>
              <w:top w:val="nil"/>
              <w:left w:val="nil"/>
              <w:bottom w:val="nil"/>
              <w:right w:val="nil"/>
            </w:tcBorders>
            <w:hideMark/>
          </w:tcPr>
          <w:p w14:paraId="3C2682A9" w14:textId="480269C2" w:rsidR="00A66130" w:rsidRPr="004421A9" w:rsidRDefault="00A66130" w:rsidP="00A66130">
            <w:pPr>
              <w:jc w:val="left"/>
              <w:rPr>
                <w:rFonts w:cs="Arial"/>
                <w:sz w:val="16"/>
                <w:szCs w:val="16"/>
              </w:rPr>
            </w:pPr>
            <w:r w:rsidRPr="004421A9">
              <w:rPr>
                <w:rFonts w:cs="Arial"/>
                <w:sz w:val="16"/>
                <w:szCs w:val="16"/>
              </w:rPr>
              <w:t>Ausarbeitung von Rechtsvorschriften zum Sortenschutz gemäß der Akte von 1991 des UPOV-Übereinkommens</w:t>
            </w:r>
          </w:p>
        </w:tc>
        <w:tc>
          <w:tcPr>
            <w:tcW w:w="1564" w:type="dxa"/>
            <w:tcBorders>
              <w:top w:val="nil"/>
              <w:left w:val="nil"/>
              <w:bottom w:val="nil"/>
              <w:right w:val="nil"/>
            </w:tcBorders>
            <w:hideMark/>
          </w:tcPr>
          <w:p w14:paraId="2C6F6E0E" w14:textId="29F0DC89" w:rsidR="00A66130" w:rsidRPr="004421A9" w:rsidRDefault="00A66130" w:rsidP="00A66130">
            <w:pPr>
              <w:ind w:right="302"/>
              <w:jc w:val="right"/>
              <w:rPr>
                <w:rFonts w:cs="Arial"/>
                <w:sz w:val="16"/>
                <w:szCs w:val="16"/>
              </w:rPr>
            </w:pPr>
            <w:r w:rsidRPr="004421A9">
              <w:rPr>
                <w:rFonts w:cs="Arial"/>
                <w:sz w:val="16"/>
                <w:szCs w:val="16"/>
              </w:rPr>
              <w:t>32</w:t>
            </w:r>
            <w:r w:rsidR="00EB7BF2" w:rsidRPr="004421A9">
              <w:rPr>
                <w:rFonts w:cs="Arial"/>
                <w:sz w:val="16"/>
                <w:szCs w:val="16"/>
              </w:rPr>
              <w:t>5</w:t>
            </w:r>
          </w:p>
        </w:tc>
      </w:tr>
      <w:tr w:rsidR="00A66130" w:rsidRPr="004421A9" w14:paraId="73706009" w14:textId="77777777" w:rsidTr="00A66130">
        <w:trPr>
          <w:jc w:val="center"/>
        </w:trPr>
        <w:tc>
          <w:tcPr>
            <w:tcW w:w="1494" w:type="dxa"/>
            <w:tcBorders>
              <w:top w:val="nil"/>
              <w:left w:val="nil"/>
              <w:bottom w:val="nil"/>
              <w:right w:val="nil"/>
            </w:tcBorders>
            <w:hideMark/>
          </w:tcPr>
          <w:p w14:paraId="5D4F8B08" w14:textId="58A5DA8A" w:rsidR="00A66130" w:rsidRPr="004421A9" w:rsidRDefault="00A66130" w:rsidP="00A66130">
            <w:pPr>
              <w:jc w:val="center"/>
              <w:rPr>
                <w:rFonts w:cs="Arial"/>
                <w:sz w:val="16"/>
                <w:szCs w:val="16"/>
              </w:rPr>
            </w:pPr>
            <w:r w:rsidRPr="004421A9">
              <w:rPr>
                <w:rFonts w:cs="Arial"/>
                <w:sz w:val="16"/>
                <w:szCs w:val="16"/>
              </w:rPr>
              <w:t>2.1</w:t>
            </w:r>
          </w:p>
        </w:tc>
        <w:tc>
          <w:tcPr>
            <w:tcW w:w="5154" w:type="dxa"/>
            <w:tcBorders>
              <w:top w:val="nil"/>
              <w:left w:val="nil"/>
              <w:bottom w:val="nil"/>
              <w:right w:val="nil"/>
            </w:tcBorders>
            <w:hideMark/>
          </w:tcPr>
          <w:p w14:paraId="4F95A239" w14:textId="2440A3DD" w:rsidR="00A66130" w:rsidRPr="004421A9" w:rsidRDefault="00A66130" w:rsidP="00A66130">
            <w:pPr>
              <w:jc w:val="left"/>
              <w:rPr>
                <w:rFonts w:cs="Arial"/>
                <w:sz w:val="16"/>
                <w:szCs w:val="16"/>
              </w:rPr>
            </w:pPr>
            <w:r w:rsidRPr="004421A9">
              <w:rPr>
                <w:rFonts w:cs="Arial"/>
                <w:sz w:val="16"/>
                <w:szCs w:val="16"/>
              </w:rPr>
              <w:t>Verstärktes Bewusstsein für die Rolle des UPOV-Systems</w:t>
            </w:r>
          </w:p>
        </w:tc>
        <w:tc>
          <w:tcPr>
            <w:tcW w:w="1564" w:type="dxa"/>
            <w:tcBorders>
              <w:top w:val="nil"/>
              <w:left w:val="nil"/>
              <w:bottom w:val="nil"/>
              <w:right w:val="nil"/>
            </w:tcBorders>
            <w:hideMark/>
          </w:tcPr>
          <w:p w14:paraId="3A7D4943" w14:textId="255F20DC" w:rsidR="00A66130" w:rsidRPr="004421A9" w:rsidRDefault="00A66130" w:rsidP="00A66130">
            <w:pPr>
              <w:ind w:right="302"/>
              <w:jc w:val="right"/>
              <w:rPr>
                <w:rFonts w:cs="Arial"/>
                <w:sz w:val="16"/>
                <w:szCs w:val="16"/>
              </w:rPr>
            </w:pPr>
            <w:r w:rsidRPr="004421A9">
              <w:rPr>
                <w:rFonts w:cs="Arial"/>
                <w:sz w:val="16"/>
                <w:szCs w:val="16"/>
              </w:rPr>
              <w:t>55</w:t>
            </w:r>
            <w:r w:rsidR="007573FB" w:rsidRPr="004421A9">
              <w:rPr>
                <w:rFonts w:cs="Arial"/>
                <w:sz w:val="16"/>
                <w:szCs w:val="16"/>
              </w:rPr>
              <w:t>5</w:t>
            </w:r>
          </w:p>
        </w:tc>
      </w:tr>
      <w:tr w:rsidR="00A66130" w:rsidRPr="004421A9" w14:paraId="7D850C3B" w14:textId="77777777" w:rsidTr="00A66130">
        <w:trPr>
          <w:jc w:val="center"/>
        </w:trPr>
        <w:tc>
          <w:tcPr>
            <w:tcW w:w="1494" w:type="dxa"/>
            <w:tcBorders>
              <w:top w:val="nil"/>
              <w:left w:val="nil"/>
              <w:bottom w:val="nil"/>
              <w:right w:val="nil"/>
            </w:tcBorders>
            <w:hideMark/>
          </w:tcPr>
          <w:p w14:paraId="39212B29" w14:textId="13D4F38D" w:rsidR="00A66130" w:rsidRPr="004421A9" w:rsidRDefault="00A66130" w:rsidP="00A66130">
            <w:pPr>
              <w:jc w:val="center"/>
              <w:rPr>
                <w:rFonts w:cs="Arial"/>
                <w:sz w:val="16"/>
                <w:szCs w:val="16"/>
              </w:rPr>
            </w:pPr>
            <w:r w:rsidRPr="004421A9">
              <w:rPr>
                <w:rFonts w:cs="Arial"/>
                <w:sz w:val="16"/>
                <w:szCs w:val="16"/>
              </w:rPr>
              <w:t>2.2</w:t>
            </w:r>
          </w:p>
        </w:tc>
        <w:tc>
          <w:tcPr>
            <w:tcW w:w="5154" w:type="dxa"/>
            <w:tcBorders>
              <w:top w:val="nil"/>
              <w:left w:val="nil"/>
              <w:bottom w:val="nil"/>
              <w:right w:val="nil"/>
            </w:tcBorders>
            <w:hideMark/>
          </w:tcPr>
          <w:p w14:paraId="4881A154" w14:textId="11A33DCA" w:rsidR="00A66130" w:rsidRPr="004421A9" w:rsidRDefault="00A66130" w:rsidP="00A66130">
            <w:pPr>
              <w:jc w:val="left"/>
              <w:rPr>
                <w:rFonts w:cs="Arial"/>
                <w:sz w:val="16"/>
                <w:szCs w:val="16"/>
              </w:rPr>
            </w:pPr>
            <w:r w:rsidRPr="004421A9">
              <w:rPr>
                <w:rFonts w:cs="Arial"/>
                <w:sz w:val="16"/>
                <w:szCs w:val="16"/>
              </w:rPr>
              <w:t>Anleitung und Unterstützung beim UPOV-Übereinkommen und dessen Umsetzung</w:t>
            </w:r>
          </w:p>
        </w:tc>
        <w:tc>
          <w:tcPr>
            <w:tcW w:w="1564" w:type="dxa"/>
            <w:tcBorders>
              <w:top w:val="nil"/>
              <w:left w:val="nil"/>
              <w:bottom w:val="nil"/>
              <w:right w:val="nil"/>
            </w:tcBorders>
            <w:hideMark/>
          </w:tcPr>
          <w:p w14:paraId="301700C3" w14:textId="3918924B" w:rsidR="00A66130" w:rsidRPr="004421A9" w:rsidRDefault="00A66130" w:rsidP="00A66130">
            <w:pPr>
              <w:ind w:right="302"/>
              <w:jc w:val="right"/>
              <w:rPr>
                <w:rFonts w:cs="Arial"/>
                <w:sz w:val="16"/>
                <w:szCs w:val="16"/>
              </w:rPr>
            </w:pPr>
            <w:r w:rsidRPr="004421A9">
              <w:rPr>
                <w:rFonts w:cs="Arial"/>
                <w:sz w:val="16"/>
                <w:szCs w:val="16"/>
              </w:rPr>
              <w:t>1.910</w:t>
            </w:r>
          </w:p>
        </w:tc>
      </w:tr>
      <w:tr w:rsidR="00A66130" w:rsidRPr="004421A9" w14:paraId="673716F6" w14:textId="77777777" w:rsidTr="00A66130">
        <w:trPr>
          <w:jc w:val="center"/>
        </w:trPr>
        <w:tc>
          <w:tcPr>
            <w:tcW w:w="1494" w:type="dxa"/>
            <w:tcBorders>
              <w:top w:val="nil"/>
              <w:left w:val="nil"/>
              <w:bottom w:val="nil"/>
              <w:right w:val="nil"/>
            </w:tcBorders>
            <w:hideMark/>
          </w:tcPr>
          <w:p w14:paraId="74333A00" w14:textId="3CEA2E48" w:rsidR="00A66130" w:rsidRPr="004421A9" w:rsidRDefault="00A66130" w:rsidP="00A66130">
            <w:pPr>
              <w:jc w:val="center"/>
              <w:rPr>
                <w:rFonts w:cs="Arial"/>
                <w:sz w:val="16"/>
                <w:szCs w:val="16"/>
              </w:rPr>
            </w:pPr>
            <w:r w:rsidRPr="004421A9">
              <w:rPr>
                <w:rFonts w:cs="Arial"/>
                <w:sz w:val="16"/>
                <w:szCs w:val="16"/>
              </w:rPr>
              <w:t>2.3</w:t>
            </w:r>
          </w:p>
        </w:tc>
        <w:tc>
          <w:tcPr>
            <w:tcW w:w="5154" w:type="dxa"/>
            <w:tcBorders>
              <w:top w:val="nil"/>
              <w:left w:val="nil"/>
              <w:bottom w:val="nil"/>
              <w:right w:val="nil"/>
            </w:tcBorders>
            <w:hideMark/>
          </w:tcPr>
          <w:p w14:paraId="6C451AE4" w14:textId="7D9EAB03" w:rsidR="00A66130" w:rsidRPr="004421A9" w:rsidRDefault="00A66130" w:rsidP="00A66130">
            <w:pPr>
              <w:jc w:val="left"/>
              <w:rPr>
                <w:rFonts w:cs="Arial"/>
                <w:sz w:val="16"/>
                <w:szCs w:val="16"/>
              </w:rPr>
            </w:pPr>
            <w:r w:rsidRPr="004421A9">
              <w:rPr>
                <w:rFonts w:cs="Arial"/>
                <w:sz w:val="16"/>
                <w:szCs w:val="16"/>
              </w:rPr>
              <w:t>Verstärkte Harmonisierung und Zusammenarbeit bei Prüfungen</w:t>
            </w:r>
          </w:p>
        </w:tc>
        <w:tc>
          <w:tcPr>
            <w:tcW w:w="1564" w:type="dxa"/>
            <w:tcBorders>
              <w:top w:val="nil"/>
              <w:left w:val="nil"/>
              <w:bottom w:val="nil"/>
              <w:right w:val="nil"/>
            </w:tcBorders>
            <w:hideMark/>
          </w:tcPr>
          <w:p w14:paraId="322597A3" w14:textId="7BE623FA" w:rsidR="00A66130" w:rsidRPr="004421A9" w:rsidRDefault="00A66130" w:rsidP="00A66130">
            <w:pPr>
              <w:ind w:right="302"/>
              <w:jc w:val="right"/>
              <w:rPr>
                <w:rFonts w:cs="Arial"/>
                <w:sz w:val="16"/>
                <w:szCs w:val="16"/>
              </w:rPr>
            </w:pPr>
            <w:r w:rsidRPr="004421A9">
              <w:rPr>
                <w:rFonts w:cs="Arial"/>
                <w:sz w:val="16"/>
                <w:szCs w:val="16"/>
              </w:rPr>
              <w:t>1.209</w:t>
            </w:r>
          </w:p>
        </w:tc>
      </w:tr>
      <w:tr w:rsidR="00A66130" w:rsidRPr="004421A9" w14:paraId="56CE3B84" w14:textId="77777777" w:rsidTr="00A66130">
        <w:trPr>
          <w:jc w:val="center"/>
        </w:trPr>
        <w:tc>
          <w:tcPr>
            <w:tcW w:w="1494" w:type="dxa"/>
            <w:tcBorders>
              <w:top w:val="nil"/>
              <w:left w:val="nil"/>
              <w:bottom w:val="nil"/>
              <w:right w:val="nil"/>
            </w:tcBorders>
            <w:hideMark/>
          </w:tcPr>
          <w:p w14:paraId="4778D7E6" w14:textId="4B080029" w:rsidR="00A66130" w:rsidRPr="004421A9" w:rsidRDefault="00A66130" w:rsidP="00A66130">
            <w:pPr>
              <w:jc w:val="center"/>
              <w:rPr>
                <w:rFonts w:cs="Arial"/>
                <w:sz w:val="16"/>
                <w:szCs w:val="16"/>
              </w:rPr>
            </w:pPr>
            <w:r w:rsidRPr="004421A9">
              <w:rPr>
                <w:rFonts w:cs="Arial"/>
                <w:sz w:val="16"/>
                <w:szCs w:val="16"/>
              </w:rPr>
              <w:t>3.1</w:t>
            </w:r>
          </w:p>
        </w:tc>
        <w:tc>
          <w:tcPr>
            <w:tcW w:w="5154" w:type="dxa"/>
            <w:tcBorders>
              <w:top w:val="nil"/>
              <w:left w:val="nil"/>
              <w:bottom w:val="nil"/>
              <w:right w:val="nil"/>
            </w:tcBorders>
            <w:hideMark/>
          </w:tcPr>
          <w:p w14:paraId="01FF680D" w14:textId="172D3FE4" w:rsidR="00A66130" w:rsidRPr="004421A9" w:rsidRDefault="00A66130" w:rsidP="00A66130">
            <w:pPr>
              <w:jc w:val="left"/>
              <w:rPr>
                <w:rFonts w:cs="Arial"/>
                <w:sz w:val="16"/>
                <w:szCs w:val="16"/>
              </w:rPr>
            </w:pPr>
            <w:r w:rsidRPr="004421A9">
              <w:rPr>
                <w:rFonts w:cs="Arial"/>
                <w:sz w:val="16"/>
                <w:szCs w:val="16"/>
              </w:rPr>
              <w:t>Entwicklung von UPOV e-PVP-Diensten</w:t>
            </w:r>
          </w:p>
        </w:tc>
        <w:tc>
          <w:tcPr>
            <w:tcW w:w="1564" w:type="dxa"/>
            <w:tcBorders>
              <w:top w:val="nil"/>
              <w:left w:val="nil"/>
              <w:bottom w:val="nil"/>
              <w:right w:val="nil"/>
            </w:tcBorders>
            <w:hideMark/>
          </w:tcPr>
          <w:p w14:paraId="3E4777DD" w14:textId="174E2A3B" w:rsidR="00A66130" w:rsidRPr="004421A9" w:rsidRDefault="00A66130" w:rsidP="00A66130">
            <w:pPr>
              <w:ind w:right="302"/>
              <w:jc w:val="right"/>
              <w:rPr>
                <w:rFonts w:cs="Arial"/>
                <w:sz w:val="16"/>
                <w:szCs w:val="16"/>
              </w:rPr>
            </w:pPr>
            <w:r w:rsidRPr="004421A9">
              <w:rPr>
                <w:rFonts w:cs="Arial"/>
                <w:sz w:val="16"/>
                <w:szCs w:val="16"/>
              </w:rPr>
              <w:t>1.083</w:t>
            </w:r>
          </w:p>
        </w:tc>
      </w:tr>
      <w:tr w:rsidR="00A66130" w:rsidRPr="004421A9" w14:paraId="44205366" w14:textId="77777777" w:rsidTr="00A66130">
        <w:trPr>
          <w:jc w:val="center"/>
        </w:trPr>
        <w:tc>
          <w:tcPr>
            <w:tcW w:w="1494" w:type="dxa"/>
            <w:tcBorders>
              <w:top w:val="nil"/>
              <w:left w:val="nil"/>
              <w:bottom w:val="nil"/>
              <w:right w:val="nil"/>
            </w:tcBorders>
            <w:hideMark/>
          </w:tcPr>
          <w:p w14:paraId="40CE2CD1" w14:textId="0B367DD9" w:rsidR="00A66130" w:rsidRPr="004421A9" w:rsidRDefault="00A66130" w:rsidP="00A66130">
            <w:pPr>
              <w:jc w:val="center"/>
              <w:rPr>
                <w:rFonts w:cs="Arial"/>
                <w:sz w:val="16"/>
                <w:szCs w:val="16"/>
              </w:rPr>
            </w:pPr>
            <w:r w:rsidRPr="004421A9">
              <w:rPr>
                <w:rFonts w:cs="Arial"/>
                <w:sz w:val="16"/>
                <w:szCs w:val="16"/>
              </w:rPr>
              <w:t>4.1</w:t>
            </w:r>
          </w:p>
        </w:tc>
        <w:tc>
          <w:tcPr>
            <w:tcW w:w="5154" w:type="dxa"/>
            <w:tcBorders>
              <w:top w:val="nil"/>
              <w:left w:val="nil"/>
              <w:bottom w:val="nil"/>
              <w:right w:val="nil"/>
            </w:tcBorders>
            <w:hideMark/>
          </w:tcPr>
          <w:p w14:paraId="409A1D0D" w14:textId="6DA0E0C8" w:rsidR="00A66130" w:rsidRPr="004421A9" w:rsidRDefault="0008206E" w:rsidP="00A66130">
            <w:pPr>
              <w:jc w:val="left"/>
              <w:rPr>
                <w:rFonts w:cs="Arial"/>
                <w:sz w:val="16"/>
                <w:szCs w:val="16"/>
              </w:rPr>
            </w:pPr>
            <w:r w:rsidRPr="004421A9">
              <w:rPr>
                <w:rFonts w:cs="Arial"/>
                <w:sz w:val="16"/>
                <w:szCs w:val="16"/>
              </w:rPr>
              <w:t>Sicherstellung der finanziellen Nachhaltigkeit</w:t>
            </w:r>
          </w:p>
        </w:tc>
        <w:tc>
          <w:tcPr>
            <w:tcW w:w="1564" w:type="dxa"/>
            <w:tcBorders>
              <w:top w:val="nil"/>
              <w:left w:val="nil"/>
              <w:bottom w:val="nil"/>
              <w:right w:val="nil"/>
            </w:tcBorders>
            <w:hideMark/>
          </w:tcPr>
          <w:p w14:paraId="73594E5E" w14:textId="2A5FE535" w:rsidR="00A66130" w:rsidRPr="004421A9" w:rsidRDefault="00A66130" w:rsidP="00A66130">
            <w:pPr>
              <w:ind w:right="302"/>
              <w:jc w:val="right"/>
              <w:rPr>
                <w:rFonts w:cs="Arial"/>
                <w:sz w:val="16"/>
                <w:szCs w:val="16"/>
              </w:rPr>
            </w:pPr>
            <w:r w:rsidRPr="004421A9">
              <w:rPr>
                <w:rFonts w:cs="Arial"/>
                <w:sz w:val="16"/>
                <w:szCs w:val="16"/>
              </w:rPr>
              <w:t>42</w:t>
            </w:r>
            <w:r w:rsidR="00D0359E" w:rsidRPr="004421A9">
              <w:rPr>
                <w:rFonts w:cs="Arial"/>
                <w:sz w:val="16"/>
                <w:szCs w:val="16"/>
              </w:rPr>
              <w:t>2</w:t>
            </w:r>
          </w:p>
        </w:tc>
      </w:tr>
      <w:tr w:rsidR="00A66130" w:rsidRPr="004421A9" w14:paraId="5A0574C7" w14:textId="77777777" w:rsidTr="00A66130">
        <w:trPr>
          <w:jc w:val="center"/>
        </w:trPr>
        <w:tc>
          <w:tcPr>
            <w:tcW w:w="1494" w:type="dxa"/>
            <w:tcBorders>
              <w:top w:val="nil"/>
              <w:left w:val="nil"/>
              <w:bottom w:val="nil"/>
              <w:right w:val="nil"/>
            </w:tcBorders>
            <w:hideMark/>
          </w:tcPr>
          <w:p w14:paraId="272C5596" w14:textId="27388C60" w:rsidR="00A66130" w:rsidRPr="004421A9" w:rsidRDefault="00A66130" w:rsidP="00A66130">
            <w:pPr>
              <w:jc w:val="center"/>
              <w:rPr>
                <w:rFonts w:cs="Arial"/>
                <w:sz w:val="16"/>
                <w:szCs w:val="16"/>
              </w:rPr>
            </w:pPr>
            <w:r w:rsidRPr="004421A9">
              <w:rPr>
                <w:rFonts w:cs="Arial"/>
                <w:sz w:val="16"/>
                <w:szCs w:val="16"/>
              </w:rPr>
              <w:t>4.2</w:t>
            </w:r>
          </w:p>
        </w:tc>
        <w:tc>
          <w:tcPr>
            <w:tcW w:w="5154" w:type="dxa"/>
            <w:tcBorders>
              <w:top w:val="nil"/>
              <w:left w:val="nil"/>
              <w:bottom w:val="nil"/>
              <w:right w:val="nil"/>
            </w:tcBorders>
            <w:hideMark/>
          </w:tcPr>
          <w:p w14:paraId="6ADC13B0" w14:textId="7B8C2F1C" w:rsidR="00A66130" w:rsidRPr="004421A9" w:rsidRDefault="00A66130" w:rsidP="00A66130">
            <w:pPr>
              <w:jc w:val="left"/>
              <w:rPr>
                <w:rFonts w:cs="Arial"/>
                <w:sz w:val="16"/>
                <w:szCs w:val="16"/>
              </w:rPr>
            </w:pPr>
            <w:r w:rsidRPr="004421A9">
              <w:rPr>
                <w:rFonts w:cs="Arial"/>
                <w:sz w:val="16"/>
                <w:szCs w:val="16"/>
              </w:rPr>
              <w:t>Ein Sekretariat, das über die erforderlichen Befugnisse und die richtigen Ressourcen und Schulungen verfügt, um effizient, kooperativ und innovativ zu arbeiten</w:t>
            </w:r>
          </w:p>
        </w:tc>
        <w:tc>
          <w:tcPr>
            <w:tcW w:w="1564" w:type="dxa"/>
            <w:tcBorders>
              <w:top w:val="nil"/>
              <w:left w:val="nil"/>
              <w:bottom w:val="nil"/>
              <w:right w:val="nil"/>
            </w:tcBorders>
            <w:hideMark/>
          </w:tcPr>
          <w:p w14:paraId="17EC299F" w14:textId="6109296F" w:rsidR="00A66130" w:rsidRPr="004421A9" w:rsidRDefault="00A66130" w:rsidP="00A66130">
            <w:pPr>
              <w:ind w:right="302"/>
              <w:jc w:val="right"/>
              <w:rPr>
                <w:rFonts w:cs="Arial"/>
                <w:sz w:val="16"/>
                <w:szCs w:val="16"/>
              </w:rPr>
            </w:pPr>
            <w:r w:rsidRPr="004421A9">
              <w:rPr>
                <w:rFonts w:cs="Arial"/>
                <w:sz w:val="16"/>
                <w:szCs w:val="16"/>
              </w:rPr>
              <w:t>1.390</w:t>
            </w:r>
          </w:p>
        </w:tc>
      </w:tr>
      <w:tr w:rsidR="00B65EDC" w:rsidRPr="004421A9" w14:paraId="1F0E1F91" w14:textId="77777777" w:rsidTr="00A66130">
        <w:trPr>
          <w:trHeight w:val="61"/>
          <w:jc w:val="center"/>
        </w:trPr>
        <w:tc>
          <w:tcPr>
            <w:tcW w:w="1494" w:type="dxa"/>
            <w:tcBorders>
              <w:top w:val="nil"/>
              <w:left w:val="nil"/>
              <w:bottom w:val="nil"/>
              <w:right w:val="nil"/>
            </w:tcBorders>
            <w:vAlign w:val="bottom"/>
            <w:hideMark/>
          </w:tcPr>
          <w:p w14:paraId="1E5DE317" w14:textId="77777777" w:rsidR="00B65EDC" w:rsidRPr="004421A9" w:rsidRDefault="00B65EDC" w:rsidP="00CD4E21">
            <w:pPr>
              <w:jc w:val="right"/>
              <w:rPr>
                <w:rFonts w:cs="Arial"/>
                <w:sz w:val="16"/>
                <w:szCs w:val="16"/>
              </w:rPr>
            </w:pPr>
          </w:p>
        </w:tc>
        <w:tc>
          <w:tcPr>
            <w:tcW w:w="5154" w:type="dxa"/>
            <w:tcBorders>
              <w:top w:val="nil"/>
              <w:left w:val="nil"/>
              <w:bottom w:val="nil"/>
              <w:right w:val="nil"/>
            </w:tcBorders>
            <w:vAlign w:val="bottom"/>
            <w:hideMark/>
          </w:tcPr>
          <w:p w14:paraId="12DDB94F" w14:textId="77777777" w:rsidR="00B65EDC" w:rsidRPr="004421A9" w:rsidRDefault="00B65EDC" w:rsidP="00CD4E21">
            <w:pPr>
              <w:jc w:val="left"/>
              <w:rPr>
                <w:rFonts w:cs="Arial"/>
                <w:sz w:val="16"/>
                <w:szCs w:val="16"/>
              </w:rPr>
            </w:pPr>
          </w:p>
        </w:tc>
        <w:tc>
          <w:tcPr>
            <w:tcW w:w="1564" w:type="dxa"/>
            <w:tcBorders>
              <w:top w:val="nil"/>
              <w:left w:val="nil"/>
              <w:bottom w:val="nil"/>
              <w:right w:val="nil"/>
            </w:tcBorders>
            <w:vAlign w:val="bottom"/>
            <w:hideMark/>
          </w:tcPr>
          <w:p w14:paraId="5F1AB7E8" w14:textId="77777777" w:rsidR="00B65EDC" w:rsidRPr="004421A9" w:rsidRDefault="00B65EDC" w:rsidP="00CD4E21">
            <w:pPr>
              <w:ind w:right="302"/>
              <w:jc w:val="right"/>
              <w:rPr>
                <w:rFonts w:cs="Arial"/>
                <w:sz w:val="16"/>
                <w:szCs w:val="16"/>
              </w:rPr>
            </w:pPr>
          </w:p>
        </w:tc>
      </w:tr>
      <w:tr w:rsidR="00B65EDC" w:rsidRPr="004421A9" w14:paraId="7C5D839B" w14:textId="77777777" w:rsidTr="00A66130">
        <w:trPr>
          <w:trHeight w:val="345"/>
          <w:jc w:val="center"/>
        </w:trPr>
        <w:tc>
          <w:tcPr>
            <w:tcW w:w="1494" w:type="dxa"/>
            <w:tcBorders>
              <w:top w:val="single" w:sz="4" w:space="0" w:color="AAB8C4"/>
              <w:left w:val="nil"/>
              <w:bottom w:val="single" w:sz="8" w:space="0" w:color="AAB8C4"/>
              <w:right w:val="nil"/>
            </w:tcBorders>
            <w:vAlign w:val="center"/>
            <w:hideMark/>
          </w:tcPr>
          <w:p w14:paraId="7BDDC0CF" w14:textId="76C0A521" w:rsidR="00B65EDC" w:rsidRPr="004421A9" w:rsidRDefault="00807027" w:rsidP="00CD4E21">
            <w:pPr>
              <w:ind w:firstLineChars="200" w:firstLine="321"/>
              <w:jc w:val="left"/>
              <w:rPr>
                <w:rFonts w:cs="Arial"/>
                <w:b/>
                <w:bCs/>
                <w:sz w:val="16"/>
                <w:szCs w:val="16"/>
              </w:rPr>
            </w:pPr>
            <w:r w:rsidRPr="004421A9">
              <w:rPr>
                <w:rFonts w:cs="Arial"/>
                <w:b/>
                <w:bCs/>
                <w:sz w:val="16"/>
                <w:szCs w:val="16"/>
              </w:rPr>
              <w:t>INS</w:t>
            </w:r>
            <w:r w:rsidR="00B65EDC" w:rsidRPr="004421A9">
              <w:rPr>
                <w:rFonts w:cs="Arial"/>
                <w:b/>
                <w:bCs/>
                <w:sz w:val="16"/>
                <w:szCs w:val="16"/>
              </w:rPr>
              <w:t>GESAMT</w:t>
            </w:r>
          </w:p>
        </w:tc>
        <w:tc>
          <w:tcPr>
            <w:tcW w:w="5154" w:type="dxa"/>
            <w:tcBorders>
              <w:top w:val="single" w:sz="4" w:space="0" w:color="AAB8C4"/>
              <w:left w:val="nil"/>
              <w:bottom w:val="single" w:sz="8" w:space="0" w:color="AAB8C4"/>
              <w:right w:val="nil"/>
            </w:tcBorders>
            <w:vAlign w:val="center"/>
            <w:hideMark/>
          </w:tcPr>
          <w:p w14:paraId="053ABBD1" w14:textId="77777777" w:rsidR="00B65EDC" w:rsidRPr="004421A9" w:rsidRDefault="00B65EDC" w:rsidP="00CD4E21">
            <w:pPr>
              <w:jc w:val="left"/>
              <w:rPr>
                <w:rFonts w:cs="Arial"/>
                <w:b/>
                <w:bCs/>
                <w:sz w:val="16"/>
                <w:szCs w:val="16"/>
              </w:rPr>
            </w:pPr>
          </w:p>
        </w:tc>
        <w:tc>
          <w:tcPr>
            <w:tcW w:w="1564" w:type="dxa"/>
            <w:tcBorders>
              <w:top w:val="single" w:sz="4" w:space="0" w:color="C9C9C9"/>
              <w:left w:val="nil"/>
              <w:bottom w:val="single" w:sz="8" w:space="0" w:color="C9C9C9"/>
              <w:right w:val="nil"/>
            </w:tcBorders>
            <w:vAlign w:val="center"/>
            <w:hideMark/>
          </w:tcPr>
          <w:p w14:paraId="3943E2B8" w14:textId="77777777" w:rsidR="00B65EDC" w:rsidRPr="004421A9" w:rsidRDefault="00B65EDC" w:rsidP="00CD4E21">
            <w:pPr>
              <w:ind w:right="302"/>
              <w:jc w:val="right"/>
              <w:rPr>
                <w:rFonts w:cs="Arial"/>
                <w:b/>
                <w:bCs/>
                <w:sz w:val="16"/>
                <w:szCs w:val="16"/>
              </w:rPr>
            </w:pPr>
            <w:r w:rsidRPr="004421A9">
              <w:rPr>
                <w:rFonts w:cs="Arial"/>
                <w:b/>
                <w:bCs/>
                <w:sz w:val="16"/>
                <w:szCs w:val="16"/>
              </w:rPr>
              <w:t>7.616</w:t>
            </w:r>
          </w:p>
        </w:tc>
      </w:tr>
    </w:tbl>
    <w:p w14:paraId="2A8EDE8D" w14:textId="77777777" w:rsidR="00B65EDC" w:rsidRPr="004421A9" w:rsidRDefault="00B65EDC" w:rsidP="00B65EDC">
      <w:pPr>
        <w:jc w:val="center"/>
        <w:rPr>
          <w:caps/>
          <w:color w:val="26724C" w:themeColor="accent1" w:themeShade="BF"/>
          <w:sz w:val="32"/>
          <w:szCs w:val="24"/>
        </w:rPr>
      </w:pPr>
    </w:p>
    <w:p w14:paraId="45FC89D5" w14:textId="77777777" w:rsidR="00B65EDC" w:rsidRPr="004421A9" w:rsidRDefault="00B65EDC" w:rsidP="00B65EDC">
      <w:pPr>
        <w:jc w:val="left"/>
        <w:rPr>
          <w:caps/>
          <w:color w:val="26724C" w:themeColor="accent1" w:themeShade="BF"/>
          <w:sz w:val="32"/>
          <w:szCs w:val="24"/>
        </w:rPr>
      </w:pPr>
      <w:r w:rsidRPr="004421A9">
        <w:br w:type="page"/>
      </w:r>
    </w:p>
    <w:p w14:paraId="04409C94" w14:textId="16E18FD9" w:rsidR="00B65EDC" w:rsidRPr="004421A9" w:rsidRDefault="00B65EDC" w:rsidP="00FC7FED">
      <w:pPr>
        <w:pStyle w:val="Heading1"/>
        <w:rPr>
          <w:lang w:val="de-DE"/>
        </w:rPr>
      </w:pPr>
      <w:bookmarkStart w:id="511" w:name="_Toc210041711"/>
      <w:r w:rsidRPr="004421A9">
        <w:rPr>
          <w:lang w:val="de-DE"/>
        </w:rPr>
        <w:lastRenderedPageBreak/>
        <w:t>Finanz</w:t>
      </w:r>
      <w:r w:rsidR="005E48E3" w:rsidRPr="004421A9">
        <w:rPr>
          <w:lang w:val="de-DE"/>
        </w:rPr>
        <w:t>indikator</w:t>
      </w:r>
      <w:r w:rsidRPr="004421A9">
        <w:rPr>
          <w:lang w:val="de-DE"/>
        </w:rPr>
        <w:t>en 2020–2029</w:t>
      </w:r>
      <w:bookmarkEnd w:id="511"/>
    </w:p>
    <w:p w14:paraId="3DC39855" w14:textId="77777777" w:rsidR="00B65EDC" w:rsidRPr="004421A9" w:rsidRDefault="00B65EDC" w:rsidP="00B65EDC"/>
    <w:p w14:paraId="3666DAD4" w14:textId="3CEF794D" w:rsidR="00AA54F4" w:rsidRPr="004421A9" w:rsidRDefault="00B65EDC" w:rsidP="00AA54F4">
      <w:pPr>
        <w:tabs>
          <w:tab w:val="left" w:pos="567"/>
        </w:tabs>
      </w:pPr>
      <w:r w:rsidRPr="004421A9">
        <w:rPr>
          <w:spacing w:val="-2"/>
        </w:rPr>
        <w:fldChar w:fldCharType="begin"/>
      </w:r>
      <w:r w:rsidRPr="004421A9">
        <w:rPr>
          <w:spacing w:val="-2"/>
        </w:rPr>
        <w:instrText xml:space="preserve"> AUTONUM  </w:instrText>
      </w:r>
      <w:r w:rsidRPr="004421A9">
        <w:rPr>
          <w:spacing w:val="-2"/>
        </w:rPr>
        <w:fldChar w:fldCharType="end"/>
      </w:r>
      <w:r w:rsidRPr="004421A9">
        <w:rPr>
          <w:spacing w:val="-2"/>
        </w:rPr>
        <w:tab/>
      </w:r>
      <w:r w:rsidR="00AA54F4" w:rsidRPr="004421A9">
        <w:t>Das Programm und der Haushaltsplan für die Rechnungsperiode 2026-2027 umfasst eine Darstellung der Finanzindikatoren über einen Zeitraum von zehn Jahren, einschließlich zweier Jahre über die neue Rechnungsperiode hinaus, sowie Informationen aus der jüngsten Vergangenheit. Die Darstellung der Finanzindikatoren soll den vorgeschlagenen Haushaltsplan für die Rechnungsperiode 2026-2027 in einen Kontext stellen durch Angabe von Trends und Beurteilung der künftigen finanziellen Nachhaltigkeit. Diese Auskünfte werden erteilt, um den Verbandsmitgliedern die Überprüfung und Entscheidungen bezüglich des vorgeschlagenen Programms und Haushaltsplans zu erleichtern, und sollten nicht als spezifisches finanzielles Engagement oder eine Billigung der Finanzen über das Jahr 2025 hinaus ausgelegt werden.</w:t>
      </w:r>
    </w:p>
    <w:p w14:paraId="22E5B775" w14:textId="77777777" w:rsidR="00AA54F4" w:rsidRPr="004421A9" w:rsidRDefault="00AA54F4" w:rsidP="00AA54F4">
      <w:pPr>
        <w:tabs>
          <w:tab w:val="left" w:pos="567"/>
        </w:tabs>
      </w:pPr>
    </w:p>
    <w:p w14:paraId="0B8FCBD3" w14:textId="61BBBF12" w:rsidR="00B65EDC" w:rsidRPr="004421A9" w:rsidRDefault="00AA54F4" w:rsidP="00AA54F4">
      <w:pPr>
        <w:tabs>
          <w:tab w:val="left" w:pos="567"/>
        </w:tabs>
      </w:pPr>
      <w:r w:rsidRPr="004421A9">
        <w:t>110.</w:t>
      </w:r>
      <w:r w:rsidRPr="004421A9">
        <w:tab/>
        <w:t>Die voraussichtliche Entwicklung des ordentlichen Haushalts in Bezug auf Einnahmen, Ausgaben und Höhe des Reserve- und des Betriebsmittelfonds ist in Tabelle 7 und Abbildung 1 dargestellt</w:t>
      </w:r>
      <w:r w:rsidR="00B65EDC" w:rsidRPr="004421A9">
        <w:t>.</w:t>
      </w:r>
    </w:p>
    <w:p w14:paraId="268B12EE" w14:textId="77777777" w:rsidR="00B65EDC" w:rsidRPr="004421A9" w:rsidRDefault="00B65EDC" w:rsidP="00B65EDC">
      <w:pPr>
        <w:rPr>
          <w:spacing w:val="-2"/>
          <w:szCs w:val="24"/>
        </w:rPr>
      </w:pPr>
    </w:p>
    <w:p w14:paraId="4061ED8E" w14:textId="77777777" w:rsidR="00B65EDC" w:rsidRPr="004421A9" w:rsidRDefault="00B65EDC" w:rsidP="00B65EDC">
      <w:pPr>
        <w:rPr>
          <w:spacing w:val="-2"/>
          <w:szCs w:val="24"/>
        </w:rPr>
      </w:pPr>
    </w:p>
    <w:p w14:paraId="07E34A2A" w14:textId="463083C9" w:rsidR="00B65EDC" w:rsidRPr="004421A9" w:rsidRDefault="00B65EDC" w:rsidP="00B65EDC">
      <w:pPr>
        <w:jc w:val="center"/>
        <w:rPr>
          <w:rFonts w:cs="Arial"/>
          <w:i/>
          <w:iCs/>
          <w:sz w:val="18"/>
          <w:szCs w:val="18"/>
        </w:rPr>
      </w:pPr>
      <w:r w:rsidRPr="004421A9">
        <w:rPr>
          <w:rFonts w:cs="Arial"/>
          <w:b/>
          <w:bCs/>
          <w:color w:val="26724C" w:themeColor="accent1" w:themeShade="BF"/>
        </w:rPr>
        <w:t>Tabelle 7: Einnahmen, Ausgaben und Reserven für 2020–2029</w:t>
      </w:r>
      <w:r w:rsidRPr="004421A9">
        <w:rPr>
          <w:rFonts w:cs="Arial"/>
          <w:b/>
          <w:bCs/>
        </w:rPr>
        <w:br/>
      </w:r>
      <w:r w:rsidRPr="004421A9">
        <w:rPr>
          <w:rFonts w:cs="Arial"/>
          <w:i/>
          <w:iCs/>
          <w:sz w:val="18"/>
          <w:szCs w:val="18"/>
        </w:rPr>
        <w:t>(</w:t>
      </w:r>
      <w:r w:rsidR="008166F5" w:rsidRPr="004421A9">
        <w:rPr>
          <w:rFonts w:cs="Arial"/>
          <w:i/>
          <w:iCs/>
          <w:sz w:val="18"/>
          <w:szCs w:val="18"/>
        </w:rPr>
        <w:t>in tausend Schweizer Franken</w:t>
      </w:r>
      <w:r w:rsidRPr="004421A9">
        <w:rPr>
          <w:rFonts w:cs="Arial"/>
          <w:i/>
          <w:iCs/>
          <w:sz w:val="18"/>
          <w:szCs w:val="18"/>
        </w:rPr>
        <w:t>)</w:t>
      </w:r>
    </w:p>
    <w:p w14:paraId="35A0DE1D" w14:textId="77777777" w:rsidR="00B65EDC" w:rsidRPr="004421A9" w:rsidRDefault="00B65EDC" w:rsidP="00B65EDC">
      <w:pPr>
        <w:jc w:val="center"/>
        <w:rPr>
          <w:spacing w:val="-2"/>
          <w:sz w:val="18"/>
          <w:szCs w:val="18"/>
        </w:rPr>
      </w:pPr>
    </w:p>
    <w:tbl>
      <w:tblPr>
        <w:tblW w:w="8126" w:type="dxa"/>
        <w:jc w:val="center"/>
        <w:tblLook w:val="04A0" w:firstRow="1" w:lastRow="0" w:firstColumn="1" w:lastColumn="0" w:noHBand="0" w:noVBand="1"/>
      </w:tblPr>
      <w:tblGrid>
        <w:gridCol w:w="2396"/>
        <w:gridCol w:w="1004"/>
        <w:gridCol w:w="1038"/>
        <w:gridCol w:w="1225"/>
        <w:gridCol w:w="1216"/>
        <w:gridCol w:w="1256"/>
      </w:tblGrid>
      <w:tr w:rsidR="00B65EDC" w:rsidRPr="004421A9" w14:paraId="2CE5FB76" w14:textId="77777777" w:rsidTr="00CD4E21">
        <w:trPr>
          <w:trHeight w:val="260"/>
          <w:jc w:val="center"/>
        </w:trPr>
        <w:tc>
          <w:tcPr>
            <w:tcW w:w="2396" w:type="dxa"/>
            <w:tcBorders>
              <w:top w:val="nil"/>
              <w:left w:val="nil"/>
              <w:right w:val="nil"/>
            </w:tcBorders>
            <w:shd w:val="clear" w:color="000000" w:fill="FFFFFF"/>
            <w:noWrap/>
            <w:vAlign w:val="bottom"/>
            <w:hideMark/>
          </w:tcPr>
          <w:p w14:paraId="7775C27E" w14:textId="77777777" w:rsidR="00B65EDC" w:rsidRPr="004421A9" w:rsidRDefault="00B65EDC" w:rsidP="00CD4E21">
            <w:pPr>
              <w:jc w:val="left"/>
              <w:rPr>
                <w:rFonts w:cs="Arial"/>
                <w:i/>
                <w:iCs/>
              </w:rPr>
            </w:pPr>
            <w:r w:rsidRPr="004421A9">
              <w:rPr>
                <w:rFonts w:cs="Arial"/>
                <w:i/>
                <w:iCs/>
              </w:rPr>
              <w:t xml:space="preserve">Haushaltsgrundlage </w:t>
            </w:r>
          </w:p>
        </w:tc>
        <w:tc>
          <w:tcPr>
            <w:tcW w:w="1004" w:type="dxa"/>
            <w:tcBorders>
              <w:top w:val="nil"/>
              <w:left w:val="nil"/>
              <w:right w:val="nil"/>
            </w:tcBorders>
            <w:shd w:val="clear" w:color="000000" w:fill="FFFFFF"/>
            <w:noWrap/>
            <w:vAlign w:val="bottom"/>
            <w:hideMark/>
          </w:tcPr>
          <w:p w14:paraId="7BB3524F" w14:textId="77777777" w:rsidR="00B65EDC" w:rsidRPr="004421A9" w:rsidRDefault="00B65EDC" w:rsidP="00CD4E21">
            <w:pPr>
              <w:jc w:val="left"/>
              <w:rPr>
                <w:rFonts w:cs="Arial"/>
              </w:rPr>
            </w:pPr>
          </w:p>
        </w:tc>
        <w:tc>
          <w:tcPr>
            <w:tcW w:w="1038" w:type="dxa"/>
            <w:tcBorders>
              <w:top w:val="nil"/>
              <w:left w:val="nil"/>
              <w:right w:val="nil"/>
            </w:tcBorders>
            <w:shd w:val="clear" w:color="000000" w:fill="FFFFFF"/>
            <w:noWrap/>
            <w:vAlign w:val="bottom"/>
            <w:hideMark/>
          </w:tcPr>
          <w:p w14:paraId="29698854" w14:textId="77777777" w:rsidR="00B65EDC" w:rsidRPr="004421A9" w:rsidRDefault="00B65EDC" w:rsidP="00CD4E21">
            <w:pPr>
              <w:jc w:val="left"/>
              <w:rPr>
                <w:rFonts w:cs="Arial"/>
              </w:rPr>
            </w:pPr>
          </w:p>
        </w:tc>
        <w:tc>
          <w:tcPr>
            <w:tcW w:w="1216" w:type="dxa"/>
            <w:tcBorders>
              <w:top w:val="nil"/>
              <w:left w:val="nil"/>
              <w:right w:val="nil"/>
            </w:tcBorders>
            <w:shd w:val="clear" w:color="000000" w:fill="FFFFFF"/>
            <w:noWrap/>
            <w:vAlign w:val="bottom"/>
            <w:hideMark/>
          </w:tcPr>
          <w:p w14:paraId="509FBA15" w14:textId="77777777" w:rsidR="00B65EDC" w:rsidRPr="004421A9" w:rsidRDefault="00B65EDC" w:rsidP="00CD4E21">
            <w:pPr>
              <w:jc w:val="left"/>
              <w:rPr>
                <w:rFonts w:cs="Arial"/>
              </w:rPr>
            </w:pPr>
          </w:p>
        </w:tc>
        <w:tc>
          <w:tcPr>
            <w:tcW w:w="1216" w:type="dxa"/>
            <w:tcBorders>
              <w:top w:val="nil"/>
              <w:left w:val="nil"/>
              <w:right w:val="nil"/>
            </w:tcBorders>
            <w:shd w:val="clear" w:color="000000" w:fill="FFFFFF"/>
            <w:noWrap/>
            <w:vAlign w:val="bottom"/>
            <w:hideMark/>
          </w:tcPr>
          <w:p w14:paraId="1AB2A0FB" w14:textId="77777777" w:rsidR="00B65EDC" w:rsidRPr="004421A9" w:rsidRDefault="00B65EDC" w:rsidP="00CD4E21">
            <w:pPr>
              <w:jc w:val="left"/>
              <w:rPr>
                <w:rFonts w:cs="Arial"/>
              </w:rPr>
            </w:pPr>
          </w:p>
        </w:tc>
        <w:tc>
          <w:tcPr>
            <w:tcW w:w="1256" w:type="dxa"/>
            <w:tcBorders>
              <w:top w:val="nil"/>
              <w:left w:val="nil"/>
              <w:right w:val="nil"/>
            </w:tcBorders>
            <w:noWrap/>
            <w:vAlign w:val="bottom"/>
            <w:hideMark/>
          </w:tcPr>
          <w:p w14:paraId="51D67F7F" w14:textId="77777777" w:rsidR="00B65EDC" w:rsidRPr="004421A9" w:rsidRDefault="00B65EDC" w:rsidP="00CD4E21">
            <w:pPr>
              <w:jc w:val="left"/>
              <w:rPr>
                <w:rFonts w:cs="Arial"/>
              </w:rPr>
            </w:pPr>
          </w:p>
        </w:tc>
      </w:tr>
      <w:tr w:rsidR="00B65EDC" w:rsidRPr="004421A9" w14:paraId="30EB510B" w14:textId="77777777" w:rsidTr="00CD4E21">
        <w:trPr>
          <w:trHeight w:val="330"/>
          <w:jc w:val="center"/>
        </w:trPr>
        <w:tc>
          <w:tcPr>
            <w:tcW w:w="2396" w:type="dxa"/>
            <w:tcBorders>
              <w:top w:val="nil"/>
              <w:left w:val="nil"/>
              <w:right w:val="nil"/>
            </w:tcBorders>
            <w:shd w:val="clear" w:color="000000" w:fill="C7CFD8"/>
            <w:vAlign w:val="center"/>
            <w:hideMark/>
          </w:tcPr>
          <w:p w14:paraId="0DECACEB" w14:textId="77777777" w:rsidR="00B65EDC" w:rsidRPr="004421A9" w:rsidRDefault="00B65EDC" w:rsidP="00CD4E21">
            <w:pPr>
              <w:jc w:val="center"/>
              <w:rPr>
                <w:rFonts w:cs="Arial"/>
                <w:i/>
                <w:iCs/>
                <w:color w:val="000000"/>
              </w:rPr>
            </w:pPr>
          </w:p>
        </w:tc>
        <w:tc>
          <w:tcPr>
            <w:tcW w:w="2042" w:type="dxa"/>
            <w:gridSpan w:val="2"/>
            <w:tcBorders>
              <w:top w:val="nil"/>
              <w:left w:val="nil"/>
              <w:right w:val="nil"/>
            </w:tcBorders>
            <w:shd w:val="clear" w:color="000000" w:fill="C7CFD8"/>
            <w:vAlign w:val="center"/>
            <w:hideMark/>
          </w:tcPr>
          <w:p w14:paraId="4BB27F0C" w14:textId="273A8CAB" w:rsidR="00B65EDC" w:rsidRPr="004421A9" w:rsidRDefault="00AA54F4" w:rsidP="00CD4E21">
            <w:pPr>
              <w:jc w:val="center"/>
              <w:rPr>
                <w:rFonts w:ascii="Arial Narrow" w:hAnsi="Arial Narrow" w:cs="Arial"/>
                <w:b/>
                <w:bCs/>
                <w:sz w:val="18"/>
                <w:szCs w:val="18"/>
              </w:rPr>
            </w:pPr>
            <w:r w:rsidRPr="004421A9">
              <w:rPr>
                <w:rFonts w:ascii="Arial Narrow" w:hAnsi="Arial Narrow" w:cs="Arial"/>
                <w:b/>
                <w:bCs/>
                <w:sz w:val="18"/>
                <w:szCs w:val="18"/>
              </w:rPr>
              <w:t>Ist</w:t>
            </w:r>
            <w:r w:rsidR="00B65EDC" w:rsidRPr="004421A9">
              <w:rPr>
                <w:rFonts w:ascii="Arial Narrow" w:hAnsi="Arial Narrow" w:cs="Arial"/>
                <w:b/>
                <w:bCs/>
                <w:sz w:val="18"/>
                <w:szCs w:val="18"/>
              </w:rPr>
              <w:t xml:space="preserve"> </w:t>
            </w:r>
          </w:p>
        </w:tc>
        <w:tc>
          <w:tcPr>
            <w:tcW w:w="1216" w:type="dxa"/>
            <w:tcBorders>
              <w:top w:val="nil"/>
              <w:left w:val="nil"/>
              <w:right w:val="nil"/>
            </w:tcBorders>
            <w:shd w:val="clear" w:color="000000" w:fill="C7CFD8"/>
            <w:vAlign w:val="center"/>
            <w:hideMark/>
          </w:tcPr>
          <w:p w14:paraId="19C0DABC" w14:textId="5ABB3BD8" w:rsidR="00B65EDC" w:rsidRPr="004421A9" w:rsidRDefault="004755FF" w:rsidP="00CD4E21">
            <w:pPr>
              <w:jc w:val="center"/>
              <w:rPr>
                <w:rFonts w:ascii="Arial Narrow" w:hAnsi="Arial Narrow" w:cs="Arial"/>
                <w:b/>
                <w:bCs/>
                <w:sz w:val="18"/>
                <w:szCs w:val="18"/>
              </w:rPr>
            </w:pPr>
            <w:r w:rsidRPr="004421A9">
              <w:rPr>
                <w:rFonts w:ascii="Arial Narrow" w:hAnsi="Arial Narrow" w:cs="Arial"/>
                <w:b/>
                <w:bCs/>
                <w:sz w:val="18"/>
                <w:szCs w:val="18"/>
              </w:rPr>
              <w:t>Haushaltsplan</w:t>
            </w:r>
          </w:p>
        </w:tc>
        <w:tc>
          <w:tcPr>
            <w:tcW w:w="1216" w:type="dxa"/>
            <w:tcBorders>
              <w:top w:val="nil"/>
              <w:left w:val="nil"/>
              <w:right w:val="nil"/>
            </w:tcBorders>
            <w:shd w:val="clear" w:color="000000" w:fill="C7CFD8"/>
            <w:vAlign w:val="center"/>
            <w:hideMark/>
          </w:tcPr>
          <w:p w14:paraId="16941CF1" w14:textId="179824B9" w:rsidR="00B65EDC" w:rsidRPr="004421A9" w:rsidRDefault="008768C9" w:rsidP="00CD4E21">
            <w:pPr>
              <w:jc w:val="center"/>
              <w:rPr>
                <w:rFonts w:ascii="Arial Narrow" w:hAnsi="Arial Narrow" w:cs="Arial"/>
                <w:b/>
                <w:bCs/>
                <w:sz w:val="18"/>
                <w:szCs w:val="18"/>
              </w:rPr>
            </w:pPr>
            <w:r w:rsidRPr="004421A9">
              <w:rPr>
                <w:rFonts w:ascii="Arial Narrow" w:hAnsi="Arial Narrow" w:cs="Arial"/>
                <w:b/>
                <w:bCs/>
                <w:sz w:val="18"/>
                <w:szCs w:val="18"/>
              </w:rPr>
              <w:t>Veranschlagt</w:t>
            </w:r>
          </w:p>
        </w:tc>
        <w:tc>
          <w:tcPr>
            <w:tcW w:w="1256" w:type="dxa"/>
            <w:tcBorders>
              <w:top w:val="nil"/>
              <w:left w:val="nil"/>
              <w:right w:val="nil"/>
            </w:tcBorders>
            <w:shd w:val="clear" w:color="000000" w:fill="C7CFD8"/>
            <w:vAlign w:val="center"/>
            <w:hideMark/>
          </w:tcPr>
          <w:p w14:paraId="4B26F755"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Geschätzt </w:t>
            </w:r>
          </w:p>
        </w:tc>
      </w:tr>
      <w:tr w:rsidR="00B65EDC" w:rsidRPr="004421A9" w14:paraId="087568FA" w14:textId="77777777" w:rsidTr="00CD4E21">
        <w:trPr>
          <w:trHeight w:val="330"/>
          <w:jc w:val="center"/>
        </w:trPr>
        <w:tc>
          <w:tcPr>
            <w:tcW w:w="2396" w:type="dxa"/>
            <w:tcBorders>
              <w:top w:val="nil"/>
              <w:left w:val="nil"/>
              <w:bottom w:val="single" w:sz="4" w:space="0" w:color="D9D9D9" w:themeColor="background1" w:themeShade="D9"/>
              <w:right w:val="nil"/>
            </w:tcBorders>
            <w:shd w:val="clear" w:color="000000" w:fill="C7CFD8"/>
            <w:vAlign w:val="center"/>
            <w:hideMark/>
          </w:tcPr>
          <w:p w14:paraId="4E90F2AE" w14:textId="77777777" w:rsidR="00B65EDC" w:rsidRPr="004421A9" w:rsidRDefault="00B65EDC" w:rsidP="00CD4E21">
            <w:pPr>
              <w:jc w:val="right"/>
              <w:rPr>
                <w:rFonts w:cs="Arial"/>
                <w:i/>
                <w:iCs/>
                <w:color w:val="000000"/>
              </w:rPr>
            </w:pPr>
          </w:p>
        </w:tc>
        <w:tc>
          <w:tcPr>
            <w:tcW w:w="1004" w:type="dxa"/>
            <w:tcBorders>
              <w:top w:val="nil"/>
              <w:left w:val="nil"/>
              <w:bottom w:val="single" w:sz="4" w:space="0" w:color="D9D9D9" w:themeColor="background1" w:themeShade="D9"/>
              <w:right w:val="nil"/>
            </w:tcBorders>
            <w:shd w:val="clear" w:color="000000" w:fill="C7CFD8"/>
            <w:vAlign w:val="center"/>
            <w:hideMark/>
          </w:tcPr>
          <w:p w14:paraId="29BAD55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2020–2021</w:t>
            </w:r>
          </w:p>
        </w:tc>
        <w:tc>
          <w:tcPr>
            <w:tcW w:w="1038" w:type="dxa"/>
            <w:tcBorders>
              <w:top w:val="nil"/>
              <w:left w:val="nil"/>
              <w:bottom w:val="single" w:sz="4" w:space="0" w:color="D9D9D9" w:themeColor="background1" w:themeShade="D9"/>
              <w:right w:val="nil"/>
            </w:tcBorders>
            <w:shd w:val="clear" w:color="000000" w:fill="C7CFD8"/>
            <w:vAlign w:val="center"/>
            <w:hideMark/>
          </w:tcPr>
          <w:p w14:paraId="7F96C25E"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2022</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55AB7B98"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2024–2025 </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2EB16257" w14:textId="3079FD68"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2026–2027 </w:t>
            </w:r>
          </w:p>
        </w:tc>
        <w:tc>
          <w:tcPr>
            <w:tcW w:w="1256" w:type="dxa"/>
            <w:tcBorders>
              <w:top w:val="nil"/>
              <w:left w:val="nil"/>
              <w:bottom w:val="single" w:sz="4" w:space="0" w:color="D9D9D9" w:themeColor="background1" w:themeShade="D9"/>
              <w:right w:val="nil"/>
            </w:tcBorders>
            <w:shd w:val="clear" w:color="000000" w:fill="C7CFD8"/>
            <w:noWrap/>
            <w:vAlign w:val="center"/>
            <w:hideMark/>
          </w:tcPr>
          <w:p w14:paraId="66168190"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2028–2029</w:t>
            </w:r>
          </w:p>
        </w:tc>
      </w:tr>
      <w:tr w:rsidR="00B65EDC" w:rsidRPr="004421A9" w14:paraId="429F3800" w14:textId="77777777" w:rsidTr="00CD4E21">
        <w:trPr>
          <w:trHeight w:val="420"/>
          <w:jc w:val="center"/>
        </w:trPr>
        <w:tc>
          <w:tcPr>
            <w:tcW w:w="2396" w:type="dxa"/>
            <w:tcBorders>
              <w:top w:val="single" w:sz="4" w:space="0" w:color="D9D9D9" w:themeColor="background1" w:themeShade="D9"/>
              <w:left w:val="nil"/>
            </w:tcBorders>
            <w:shd w:val="clear" w:color="000000" w:fill="FFFFFF"/>
            <w:vAlign w:val="center"/>
            <w:hideMark/>
          </w:tcPr>
          <w:p w14:paraId="1B48F55F" w14:textId="77777777" w:rsidR="00B65EDC" w:rsidRPr="004421A9" w:rsidRDefault="00B65EDC" w:rsidP="00CD4E21">
            <w:pPr>
              <w:jc w:val="left"/>
              <w:rPr>
                <w:rFonts w:ascii="Arial Narrow" w:hAnsi="Arial Narrow" w:cs="Arial"/>
                <w:color w:val="000000"/>
              </w:rPr>
            </w:pPr>
            <w:r w:rsidRPr="004421A9">
              <w:rPr>
                <w:rFonts w:ascii="Arial Narrow" w:hAnsi="Arial Narrow" w:cs="Arial"/>
                <w:color w:val="000000"/>
              </w:rPr>
              <w:t>Einnahmen</w:t>
            </w:r>
          </w:p>
        </w:tc>
        <w:tc>
          <w:tcPr>
            <w:tcW w:w="1004" w:type="dxa"/>
            <w:tcBorders>
              <w:top w:val="nil"/>
              <w:left w:val="nil"/>
              <w:bottom w:val="nil"/>
              <w:right w:val="nil"/>
            </w:tcBorders>
            <w:shd w:val="clear" w:color="000000" w:fill="FFFFFF"/>
            <w:vAlign w:val="center"/>
            <w:hideMark/>
          </w:tcPr>
          <w:p w14:paraId="58F9F9FA"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7.404</w:t>
            </w:r>
          </w:p>
        </w:tc>
        <w:tc>
          <w:tcPr>
            <w:tcW w:w="1038" w:type="dxa"/>
            <w:tcBorders>
              <w:top w:val="nil"/>
              <w:left w:val="nil"/>
              <w:bottom w:val="nil"/>
              <w:right w:val="nil"/>
            </w:tcBorders>
            <w:shd w:val="clear" w:color="000000" w:fill="FFFFFF"/>
            <w:vAlign w:val="center"/>
            <w:hideMark/>
          </w:tcPr>
          <w:p w14:paraId="08F7DC11"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7.572</w:t>
            </w:r>
          </w:p>
        </w:tc>
        <w:tc>
          <w:tcPr>
            <w:tcW w:w="1216" w:type="dxa"/>
            <w:tcBorders>
              <w:top w:val="nil"/>
              <w:left w:val="nil"/>
              <w:bottom w:val="nil"/>
              <w:right w:val="nil"/>
            </w:tcBorders>
            <w:shd w:val="clear" w:color="000000" w:fill="FFFFFF"/>
            <w:vAlign w:val="center"/>
            <w:hideMark/>
          </w:tcPr>
          <w:p w14:paraId="27C22F66"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7.901</w:t>
            </w:r>
          </w:p>
        </w:tc>
        <w:tc>
          <w:tcPr>
            <w:tcW w:w="1216" w:type="dxa"/>
            <w:tcBorders>
              <w:top w:val="nil"/>
              <w:left w:val="nil"/>
              <w:bottom w:val="nil"/>
              <w:right w:val="nil"/>
            </w:tcBorders>
            <w:shd w:val="clear" w:color="000000" w:fill="FFFFFF"/>
            <w:vAlign w:val="center"/>
            <w:hideMark/>
          </w:tcPr>
          <w:p w14:paraId="5FA130DF"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7.616 </w:t>
            </w:r>
          </w:p>
        </w:tc>
        <w:tc>
          <w:tcPr>
            <w:tcW w:w="1256" w:type="dxa"/>
            <w:tcBorders>
              <w:top w:val="nil"/>
              <w:left w:val="nil"/>
              <w:bottom w:val="nil"/>
              <w:right w:val="nil"/>
            </w:tcBorders>
            <w:shd w:val="clear" w:color="000000" w:fill="FFFFFF"/>
            <w:vAlign w:val="center"/>
            <w:hideMark/>
          </w:tcPr>
          <w:p w14:paraId="45DCCC87"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7.641 </w:t>
            </w:r>
          </w:p>
        </w:tc>
      </w:tr>
      <w:tr w:rsidR="00B65EDC" w:rsidRPr="004421A9" w14:paraId="723269EA" w14:textId="77777777" w:rsidTr="00CD4E21">
        <w:trPr>
          <w:trHeight w:val="420"/>
          <w:jc w:val="center"/>
        </w:trPr>
        <w:tc>
          <w:tcPr>
            <w:tcW w:w="2396" w:type="dxa"/>
            <w:tcBorders>
              <w:top w:val="nil"/>
              <w:left w:val="nil"/>
              <w:bottom w:val="single" w:sz="4" w:space="0" w:color="D9D9D9" w:themeColor="background1" w:themeShade="D9"/>
            </w:tcBorders>
            <w:shd w:val="clear" w:color="000000" w:fill="FFFFFF"/>
            <w:vAlign w:val="center"/>
            <w:hideMark/>
          </w:tcPr>
          <w:p w14:paraId="7134337C" w14:textId="77777777" w:rsidR="00B65EDC" w:rsidRPr="004421A9" w:rsidRDefault="00B65EDC" w:rsidP="00CD4E21">
            <w:pPr>
              <w:jc w:val="left"/>
              <w:rPr>
                <w:rFonts w:ascii="Arial Narrow" w:hAnsi="Arial Narrow" w:cs="Arial"/>
                <w:color w:val="000000"/>
              </w:rPr>
            </w:pPr>
            <w:r w:rsidRPr="004421A9">
              <w:rPr>
                <w:rFonts w:ascii="Arial Narrow" w:hAnsi="Arial Narrow" w:cs="Arial"/>
                <w:color w:val="000000"/>
              </w:rPr>
              <w:t>Ausgaben</w:t>
            </w:r>
          </w:p>
        </w:tc>
        <w:tc>
          <w:tcPr>
            <w:tcW w:w="1004" w:type="dxa"/>
            <w:tcBorders>
              <w:top w:val="nil"/>
              <w:left w:val="nil"/>
              <w:bottom w:val="nil"/>
              <w:right w:val="nil"/>
            </w:tcBorders>
            <w:shd w:val="clear" w:color="000000" w:fill="FFFFFF"/>
            <w:vAlign w:val="center"/>
            <w:hideMark/>
          </w:tcPr>
          <w:p w14:paraId="7AA813EE"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7.071</w:t>
            </w:r>
          </w:p>
        </w:tc>
        <w:tc>
          <w:tcPr>
            <w:tcW w:w="1038" w:type="dxa"/>
            <w:tcBorders>
              <w:top w:val="nil"/>
              <w:left w:val="nil"/>
              <w:bottom w:val="nil"/>
              <w:right w:val="nil"/>
            </w:tcBorders>
            <w:shd w:val="clear" w:color="000000" w:fill="FFFFFF"/>
            <w:vAlign w:val="center"/>
            <w:hideMark/>
          </w:tcPr>
          <w:p w14:paraId="1D118348"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7.382</w:t>
            </w:r>
          </w:p>
        </w:tc>
        <w:tc>
          <w:tcPr>
            <w:tcW w:w="1216" w:type="dxa"/>
            <w:tcBorders>
              <w:top w:val="nil"/>
              <w:left w:val="nil"/>
              <w:bottom w:val="nil"/>
              <w:right w:val="nil"/>
            </w:tcBorders>
            <w:shd w:val="clear" w:color="000000" w:fill="FFFFFF"/>
            <w:vAlign w:val="center"/>
            <w:hideMark/>
          </w:tcPr>
          <w:p w14:paraId="43E61156"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7.901</w:t>
            </w:r>
          </w:p>
        </w:tc>
        <w:tc>
          <w:tcPr>
            <w:tcW w:w="1216" w:type="dxa"/>
            <w:tcBorders>
              <w:top w:val="nil"/>
              <w:left w:val="nil"/>
              <w:bottom w:val="nil"/>
              <w:right w:val="nil"/>
            </w:tcBorders>
            <w:shd w:val="clear" w:color="000000" w:fill="FFFFFF"/>
            <w:vAlign w:val="center"/>
            <w:hideMark/>
          </w:tcPr>
          <w:p w14:paraId="6C33E236"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7.616 </w:t>
            </w:r>
          </w:p>
        </w:tc>
        <w:tc>
          <w:tcPr>
            <w:tcW w:w="1256" w:type="dxa"/>
            <w:tcBorders>
              <w:top w:val="nil"/>
              <w:left w:val="nil"/>
              <w:bottom w:val="nil"/>
              <w:right w:val="nil"/>
            </w:tcBorders>
            <w:shd w:val="clear" w:color="000000" w:fill="FFFFFF"/>
            <w:vAlign w:val="center"/>
            <w:hideMark/>
          </w:tcPr>
          <w:p w14:paraId="1D7A26E2"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7.641 </w:t>
            </w:r>
          </w:p>
        </w:tc>
      </w:tr>
      <w:tr w:rsidR="00B65EDC" w:rsidRPr="004421A9" w14:paraId="3803E7EF" w14:textId="77777777" w:rsidTr="00CD4E21">
        <w:trPr>
          <w:trHeight w:val="375"/>
          <w:jc w:val="center"/>
        </w:trPr>
        <w:tc>
          <w:tcPr>
            <w:tcW w:w="2396" w:type="dxa"/>
            <w:tcBorders>
              <w:top w:val="single" w:sz="4" w:space="0" w:color="D9D9D9" w:themeColor="background1" w:themeShade="D9"/>
              <w:left w:val="nil"/>
              <w:bottom w:val="single" w:sz="4" w:space="0" w:color="D9D9D9" w:themeColor="background1" w:themeShade="D9"/>
            </w:tcBorders>
            <w:shd w:val="clear" w:color="000000" w:fill="FFFFFF"/>
            <w:vAlign w:val="center"/>
            <w:hideMark/>
          </w:tcPr>
          <w:p w14:paraId="13163098" w14:textId="77777777" w:rsidR="00B65EDC" w:rsidRPr="004421A9" w:rsidRDefault="00B65EDC" w:rsidP="00CD4E21">
            <w:pPr>
              <w:ind w:firstLineChars="100" w:firstLine="200"/>
              <w:jc w:val="left"/>
              <w:rPr>
                <w:rFonts w:ascii="Arial Narrow" w:hAnsi="Arial Narrow" w:cs="Arial"/>
                <w:i/>
                <w:iCs/>
                <w:color w:val="000000"/>
              </w:rPr>
            </w:pPr>
            <w:r w:rsidRPr="004421A9">
              <w:rPr>
                <w:rFonts w:ascii="Arial Narrow" w:hAnsi="Arial Narrow" w:cs="Arial"/>
                <w:i/>
                <w:iCs/>
                <w:color w:val="000000"/>
              </w:rPr>
              <w:t>Differenz</w:t>
            </w:r>
          </w:p>
        </w:tc>
        <w:tc>
          <w:tcPr>
            <w:tcW w:w="1004" w:type="dxa"/>
            <w:tcBorders>
              <w:top w:val="single" w:sz="4" w:space="0" w:color="AAB8C4"/>
              <w:left w:val="nil"/>
              <w:bottom w:val="single" w:sz="8" w:space="0" w:color="AAB8C4"/>
              <w:right w:val="nil"/>
            </w:tcBorders>
            <w:shd w:val="clear" w:color="000000" w:fill="FFFFFF"/>
            <w:vAlign w:val="center"/>
            <w:hideMark/>
          </w:tcPr>
          <w:p w14:paraId="5552F0FD"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334</w:t>
            </w:r>
          </w:p>
        </w:tc>
        <w:tc>
          <w:tcPr>
            <w:tcW w:w="1038" w:type="dxa"/>
            <w:tcBorders>
              <w:top w:val="single" w:sz="4" w:space="0" w:color="AAB8C4"/>
              <w:left w:val="nil"/>
              <w:bottom w:val="single" w:sz="8" w:space="0" w:color="AAB8C4"/>
              <w:right w:val="nil"/>
            </w:tcBorders>
            <w:shd w:val="clear" w:color="000000" w:fill="FFFFFF"/>
            <w:vAlign w:val="center"/>
            <w:hideMark/>
          </w:tcPr>
          <w:p w14:paraId="69F3F578"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190</w:t>
            </w:r>
          </w:p>
        </w:tc>
        <w:tc>
          <w:tcPr>
            <w:tcW w:w="1216" w:type="dxa"/>
            <w:tcBorders>
              <w:top w:val="single" w:sz="4" w:space="0" w:color="AAB8C4"/>
              <w:left w:val="nil"/>
              <w:bottom w:val="single" w:sz="8" w:space="0" w:color="AAB8C4"/>
              <w:right w:val="nil"/>
            </w:tcBorders>
            <w:shd w:val="clear" w:color="000000" w:fill="FFFFFF"/>
            <w:vAlign w:val="center"/>
            <w:hideMark/>
          </w:tcPr>
          <w:p w14:paraId="4F1CFB72"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216" w:type="dxa"/>
            <w:tcBorders>
              <w:top w:val="single" w:sz="4" w:space="0" w:color="AAB8C4"/>
              <w:left w:val="nil"/>
              <w:bottom w:val="single" w:sz="8" w:space="0" w:color="AAB8C4"/>
              <w:right w:val="nil"/>
            </w:tcBorders>
            <w:shd w:val="clear" w:color="000000" w:fill="FFFFFF"/>
            <w:vAlign w:val="center"/>
            <w:hideMark/>
          </w:tcPr>
          <w:p w14:paraId="25E7321C"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256" w:type="dxa"/>
            <w:tcBorders>
              <w:top w:val="single" w:sz="4" w:space="0" w:color="AAB8C4"/>
              <w:left w:val="nil"/>
              <w:bottom w:val="single" w:sz="8" w:space="0" w:color="AAB8C4"/>
              <w:right w:val="nil"/>
            </w:tcBorders>
            <w:shd w:val="clear" w:color="000000" w:fill="FFFFFF"/>
            <w:vAlign w:val="center"/>
            <w:hideMark/>
          </w:tcPr>
          <w:p w14:paraId="317A3304"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r>
    </w:tbl>
    <w:p w14:paraId="08E5A09B" w14:textId="77777777" w:rsidR="00B65EDC" w:rsidRPr="004421A9" w:rsidRDefault="00B65EDC" w:rsidP="00B65EDC"/>
    <w:p w14:paraId="6C4F198C" w14:textId="77777777" w:rsidR="00B65EDC" w:rsidRPr="004421A9" w:rsidRDefault="00B65EDC" w:rsidP="00B65EDC"/>
    <w:p w14:paraId="3193F563" w14:textId="6DA41D40" w:rsidR="00B65EDC" w:rsidRPr="004421A9" w:rsidRDefault="00B65EDC" w:rsidP="00B65EDC">
      <w:pPr>
        <w:keepNext/>
        <w:jc w:val="center"/>
        <w:rPr>
          <w:i/>
          <w:color w:val="26724C" w:themeColor="accent1" w:themeShade="BF"/>
          <w:sz w:val="18"/>
        </w:rPr>
      </w:pPr>
      <w:r w:rsidRPr="004421A9">
        <w:rPr>
          <w:i/>
          <w:color w:val="26724C" w:themeColor="accent1" w:themeShade="BF"/>
          <w:sz w:val="18"/>
        </w:rPr>
        <w:t>Abbildung 1.</w:t>
      </w:r>
      <w:r w:rsidR="00877E3D" w:rsidRPr="004421A9">
        <w:rPr>
          <w:i/>
          <w:color w:val="26724C" w:themeColor="accent1" w:themeShade="BF"/>
          <w:sz w:val="18"/>
        </w:rPr>
        <w:t xml:space="preserve"> </w:t>
      </w:r>
      <w:r w:rsidRPr="004421A9">
        <w:rPr>
          <w:i/>
          <w:color w:val="26724C" w:themeColor="accent1" w:themeShade="BF"/>
          <w:sz w:val="18"/>
        </w:rPr>
        <w:t xml:space="preserve">Entwicklung </w:t>
      </w:r>
      <w:r w:rsidR="008768C9" w:rsidRPr="004421A9">
        <w:rPr>
          <w:i/>
          <w:color w:val="26724C" w:themeColor="accent1" w:themeShade="BF"/>
          <w:sz w:val="18"/>
        </w:rPr>
        <w:t>von</w:t>
      </w:r>
      <w:r w:rsidRPr="004421A9">
        <w:rPr>
          <w:i/>
          <w:color w:val="26724C" w:themeColor="accent1" w:themeShade="BF"/>
          <w:sz w:val="18"/>
        </w:rPr>
        <w:t xml:space="preserve"> Einnahmen, Ausgaben und Reserven für 2020–2029</w:t>
      </w:r>
    </w:p>
    <w:p w14:paraId="60B97937" w14:textId="77777777" w:rsidR="00BF105E" w:rsidRPr="004421A9" w:rsidRDefault="00BF105E" w:rsidP="00B65EDC">
      <w:pPr>
        <w:keepNext/>
        <w:jc w:val="center"/>
        <w:rPr>
          <w:i/>
          <w:color w:val="26724C" w:themeColor="accent1" w:themeShade="BF"/>
          <w:sz w:val="18"/>
        </w:rPr>
      </w:pPr>
    </w:p>
    <w:p w14:paraId="1439B59A" w14:textId="77777777" w:rsidR="00B65EDC" w:rsidRPr="004421A9" w:rsidRDefault="00B65EDC" w:rsidP="00B65EDC">
      <w:pPr>
        <w:keepNext/>
        <w:jc w:val="center"/>
        <w:rPr>
          <w:i/>
          <w:color w:val="26724C" w:themeColor="accent1" w:themeShade="BF"/>
          <w:sz w:val="18"/>
        </w:rPr>
      </w:pPr>
    </w:p>
    <w:p w14:paraId="04F8983C" w14:textId="09130893" w:rsidR="00B65EDC" w:rsidRPr="004421A9" w:rsidRDefault="00BF105E" w:rsidP="00B65EDC">
      <w:pPr>
        <w:jc w:val="center"/>
      </w:pPr>
      <w:r w:rsidRPr="004421A9">
        <w:rPr>
          <w:noProof/>
        </w:rPr>
        <w:drawing>
          <wp:inline distT="0" distB="0" distL="0" distR="0" wp14:anchorId="3A3CB2D7" wp14:editId="45A5A7DD">
            <wp:extent cx="5744105" cy="2861495"/>
            <wp:effectExtent l="0" t="0" r="0" b="0"/>
            <wp:docPr id="732156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56152"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t="972" b="972"/>
                    <a:stretch>
                      <a:fillRect/>
                    </a:stretch>
                  </pic:blipFill>
                  <pic:spPr bwMode="auto">
                    <a:xfrm>
                      <a:off x="0" y="0"/>
                      <a:ext cx="5744105" cy="2861495"/>
                    </a:xfrm>
                    <a:prstGeom prst="rect">
                      <a:avLst/>
                    </a:prstGeom>
                    <a:noFill/>
                    <a:ln>
                      <a:noFill/>
                    </a:ln>
                    <a:extLst>
                      <a:ext uri="{53640926-AAD7-44D8-BBD7-CCE9431645EC}">
                        <a14:shadowObscured xmlns:a14="http://schemas.microsoft.com/office/drawing/2010/main"/>
                      </a:ext>
                    </a:extLst>
                  </pic:spPr>
                </pic:pic>
              </a:graphicData>
            </a:graphic>
          </wp:inline>
        </w:drawing>
      </w:r>
    </w:p>
    <w:p w14:paraId="4FF4ED9E" w14:textId="77777777" w:rsidR="00B65EDC" w:rsidRPr="004421A9" w:rsidRDefault="00B65EDC" w:rsidP="00B65EDC">
      <w:pPr>
        <w:jc w:val="left"/>
      </w:pPr>
    </w:p>
    <w:p w14:paraId="024CAC9B" w14:textId="77777777" w:rsidR="00B65EDC" w:rsidRPr="004421A9" w:rsidRDefault="00B65EDC" w:rsidP="00B65EDC">
      <w:pPr>
        <w:jc w:val="left"/>
      </w:pPr>
    </w:p>
    <w:p w14:paraId="5286607E" w14:textId="77777777" w:rsidR="00B65EDC" w:rsidRPr="004421A9" w:rsidRDefault="00B65EDC" w:rsidP="00B65EDC">
      <w:pPr>
        <w:ind w:left="567" w:hanging="567"/>
      </w:pPr>
    </w:p>
    <w:p w14:paraId="0830A5BC" w14:textId="77777777" w:rsidR="00B65EDC" w:rsidRPr="004421A9" w:rsidRDefault="00B65EDC" w:rsidP="00B65EDC">
      <w:pPr>
        <w:ind w:left="567" w:hanging="567"/>
        <w:jc w:val="right"/>
      </w:pPr>
      <w:r w:rsidRPr="004421A9">
        <w:t>[Anhänge folgen]</w:t>
      </w:r>
    </w:p>
    <w:p w14:paraId="4D52CD40" w14:textId="77777777" w:rsidR="00B65EDC" w:rsidRPr="004421A9" w:rsidRDefault="00B65EDC" w:rsidP="00B65EDC">
      <w:pPr>
        <w:ind w:left="567" w:hanging="567"/>
        <w:jc w:val="right"/>
        <w:sectPr w:rsidR="00B65EDC" w:rsidRPr="004421A9" w:rsidSect="00834A1F">
          <w:headerReference w:type="even" r:id="rId17"/>
          <w:footerReference w:type="even" r:id="rId18"/>
          <w:footerReference w:type="default" r:id="rId19"/>
          <w:headerReference w:type="first" r:id="rId20"/>
          <w:footerReference w:type="first" r:id="rId21"/>
          <w:pgSz w:w="11907" w:h="16840" w:code="9"/>
          <w:pgMar w:top="510" w:right="1134" w:bottom="851" w:left="1134" w:header="510" w:footer="680" w:gutter="0"/>
          <w:pgNumType w:start="1"/>
          <w:cols w:space="720"/>
          <w:titlePg/>
          <w:docGrid w:linePitch="272"/>
        </w:sectPr>
      </w:pPr>
    </w:p>
    <w:p w14:paraId="7C98F3AD" w14:textId="77777777" w:rsidR="00B65EDC" w:rsidRPr="004421A9" w:rsidRDefault="00B65EDC" w:rsidP="00FC7FED">
      <w:pPr>
        <w:pStyle w:val="Heading1"/>
        <w:rPr>
          <w:lang w:val="de-DE"/>
        </w:rPr>
      </w:pPr>
      <w:bookmarkStart w:id="512" w:name="_Toc210041712"/>
      <w:r w:rsidRPr="004421A9">
        <w:rPr>
          <w:lang w:val="de-DE"/>
        </w:rPr>
        <w:lastRenderedPageBreak/>
        <w:t>Anhänge</w:t>
      </w:r>
      <w:bookmarkEnd w:id="512"/>
    </w:p>
    <w:p w14:paraId="12C9357A" w14:textId="77777777" w:rsidR="00B65EDC" w:rsidRPr="004421A9" w:rsidRDefault="00B65EDC" w:rsidP="00B65EDC">
      <w:pPr>
        <w:rPr>
          <w:sz w:val="32"/>
        </w:rPr>
      </w:pPr>
    </w:p>
    <w:p w14:paraId="4C154616" w14:textId="03245A24" w:rsidR="00B65EDC" w:rsidRPr="004421A9" w:rsidRDefault="00B65EDC" w:rsidP="004448C7">
      <w:pPr>
        <w:pStyle w:val="Heading9"/>
        <w:rPr>
          <w:lang w:val="de-DE"/>
        </w:rPr>
      </w:pPr>
      <w:bookmarkStart w:id="513" w:name="_Toc63091108"/>
      <w:bookmarkStart w:id="514" w:name="_Toc63091305"/>
      <w:bookmarkStart w:id="515" w:name="_Toc63091835"/>
      <w:bookmarkStart w:id="516" w:name="_Toc63091109"/>
      <w:bookmarkStart w:id="517" w:name="_Toc63091306"/>
      <w:bookmarkStart w:id="518" w:name="_Toc63091836"/>
      <w:bookmarkStart w:id="519" w:name="_Toc210041713"/>
      <w:bookmarkEnd w:id="513"/>
      <w:bookmarkEnd w:id="514"/>
      <w:bookmarkEnd w:id="515"/>
      <w:bookmarkEnd w:id="516"/>
      <w:bookmarkEnd w:id="517"/>
      <w:bookmarkEnd w:id="518"/>
      <w:r w:rsidRPr="004421A9">
        <w:rPr>
          <w:lang w:val="de-DE"/>
        </w:rPr>
        <w:t>Anhang I</w:t>
      </w:r>
      <w:r w:rsidRPr="004421A9">
        <w:rPr>
          <w:lang w:val="de-DE"/>
        </w:rPr>
        <w:tab/>
        <w:t xml:space="preserve">Stand in Bezug auf </w:t>
      </w:r>
      <w:r w:rsidR="00C50F18" w:rsidRPr="004421A9">
        <w:rPr>
          <w:lang w:val="de-DE"/>
        </w:rPr>
        <w:t>den</w:t>
      </w:r>
      <w:r w:rsidRPr="004421A9">
        <w:rPr>
          <w:lang w:val="de-DE"/>
        </w:rPr>
        <w:t xml:space="preserve"> Internationale</w:t>
      </w:r>
      <w:r w:rsidR="00C50F18" w:rsidRPr="004421A9">
        <w:rPr>
          <w:lang w:val="de-DE"/>
        </w:rPr>
        <w:t>n</w:t>
      </w:r>
      <w:r w:rsidRPr="004421A9">
        <w:rPr>
          <w:lang w:val="de-DE"/>
        </w:rPr>
        <w:t xml:space="preserve"> </w:t>
      </w:r>
      <w:r w:rsidR="00C50F18" w:rsidRPr="004421A9">
        <w:rPr>
          <w:lang w:val="de-DE"/>
        </w:rPr>
        <w:t>Verband</w:t>
      </w:r>
      <w:r w:rsidRPr="004421A9">
        <w:rPr>
          <w:lang w:val="de-DE"/>
        </w:rPr>
        <w:t xml:space="preserve"> zum Schutz von Pflanzenneuzüchtungen (UPOV) zum</w:t>
      </w:r>
      <w:r w:rsidR="00766E51" w:rsidRPr="004421A9">
        <w:rPr>
          <w:lang w:val="de-DE"/>
        </w:rPr>
        <w:t xml:space="preserve"> </w:t>
      </w:r>
      <w:r w:rsidR="0073511D" w:rsidRPr="004421A9">
        <w:rPr>
          <w:lang w:val="de-DE"/>
        </w:rPr>
        <w:br/>
        <w:t>1</w:t>
      </w:r>
      <w:r w:rsidR="0075513F" w:rsidRPr="004421A9">
        <w:rPr>
          <w:lang w:val="de-DE"/>
        </w:rPr>
        <w:t>6</w:t>
      </w:r>
      <w:r w:rsidR="0073511D" w:rsidRPr="004421A9">
        <w:rPr>
          <w:lang w:val="de-DE"/>
        </w:rPr>
        <w:t xml:space="preserve">. </w:t>
      </w:r>
      <w:r w:rsidR="0075513F" w:rsidRPr="004421A9">
        <w:rPr>
          <w:lang w:val="de-DE"/>
        </w:rPr>
        <w:t>September</w:t>
      </w:r>
      <w:r w:rsidR="0073511D" w:rsidRPr="004421A9">
        <w:rPr>
          <w:lang w:val="de-DE"/>
        </w:rPr>
        <w:t xml:space="preserve"> </w:t>
      </w:r>
      <w:r w:rsidRPr="004421A9">
        <w:rPr>
          <w:lang w:val="de-DE"/>
        </w:rPr>
        <w:t>2025</w:t>
      </w:r>
      <w:bookmarkEnd w:id="519"/>
    </w:p>
    <w:p w14:paraId="672E9FBE" w14:textId="77777777" w:rsidR="00B65EDC" w:rsidRPr="004421A9" w:rsidRDefault="00B65EDC" w:rsidP="00B65EDC">
      <w:pPr>
        <w:ind w:left="2268" w:hanging="1984"/>
        <w:jc w:val="center"/>
        <w:rPr>
          <w:b/>
        </w:rPr>
      </w:pPr>
    </w:p>
    <w:p w14:paraId="02B32F7E" w14:textId="77777777" w:rsidR="00B65EDC" w:rsidRPr="004421A9" w:rsidRDefault="00B65EDC" w:rsidP="00B65EDC">
      <w:pPr>
        <w:rPr>
          <w:rFonts w:cs="Arial"/>
          <w:i/>
          <w:sz w:val="16"/>
          <w:szCs w:val="24"/>
        </w:rPr>
      </w:pPr>
    </w:p>
    <w:p w14:paraId="2F31A4BB" w14:textId="77777777" w:rsidR="00B65EDC" w:rsidRPr="004421A9" w:rsidRDefault="00B65EDC" w:rsidP="00B65EDC">
      <w:pPr>
        <w:ind w:left="284" w:hanging="284"/>
        <w:jc w:val="left"/>
        <w:rPr>
          <w:rFonts w:cs="Arial"/>
          <w:b/>
          <w:color w:val="26724C" w:themeColor="accent1" w:themeShade="BF"/>
          <w:sz w:val="18"/>
        </w:rPr>
      </w:pPr>
      <w:r w:rsidRPr="004421A9">
        <w:rPr>
          <w:rFonts w:cs="Arial"/>
          <w:b/>
          <w:color w:val="26724C" w:themeColor="accent1" w:themeShade="BF"/>
          <w:sz w:val="18"/>
        </w:rPr>
        <w:t>A.</w:t>
      </w:r>
      <w:r w:rsidRPr="004421A9">
        <w:rPr>
          <w:rFonts w:cs="Arial"/>
          <w:b/>
          <w:color w:val="26724C" w:themeColor="accent1" w:themeShade="BF"/>
          <w:sz w:val="18"/>
        </w:rPr>
        <w:tab/>
        <w:t>Mitglieder der UPOV</w:t>
      </w:r>
    </w:p>
    <w:p w14:paraId="1E895701" w14:textId="77777777" w:rsidR="00B65EDC" w:rsidRPr="004421A9" w:rsidRDefault="00B65EDC" w:rsidP="00B65EDC">
      <w:pPr>
        <w:pStyle w:val="BodyText"/>
        <w:rPr>
          <w:rFonts w:cs="Arial"/>
          <w:sz w:val="16"/>
          <w:szCs w:val="16"/>
        </w:rPr>
      </w:pPr>
    </w:p>
    <w:p w14:paraId="15DB8D45" w14:textId="77777777" w:rsidR="00B65EDC" w:rsidRPr="004421A9" w:rsidRDefault="00B65EDC" w:rsidP="00B65EDC">
      <w:pPr>
        <w:spacing w:before="40"/>
        <w:rPr>
          <w:rFonts w:cs="Arial"/>
          <w:sz w:val="16"/>
          <w:szCs w:val="16"/>
        </w:rPr>
        <w:sectPr w:rsidR="00B65EDC" w:rsidRPr="004421A9" w:rsidSect="00B65EDC">
          <w:headerReference w:type="even" r:id="rId22"/>
          <w:headerReference w:type="default" r:id="rId23"/>
          <w:footerReference w:type="even" r:id="rId24"/>
          <w:footerReference w:type="default" r:id="rId25"/>
          <w:headerReference w:type="first" r:id="rId26"/>
          <w:footerReference w:type="first" r:id="rId27"/>
          <w:pgSz w:w="11907" w:h="16840" w:code="9"/>
          <w:pgMar w:top="510" w:right="1134" w:bottom="851" w:left="1134" w:header="510" w:footer="624" w:gutter="0"/>
          <w:cols w:space="720"/>
          <w:docGrid w:linePitch="272"/>
        </w:sectPr>
      </w:pPr>
    </w:p>
    <w:p w14:paraId="20339584"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 xml:space="preserve">Afrikanische Organisation </w:t>
      </w:r>
      <w:r w:rsidRPr="004421A9">
        <w:rPr>
          <w:rFonts w:cs="Arial"/>
          <w:sz w:val="16"/>
          <w:szCs w:val="16"/>
        </w:rPr>
        <w:br/>
        <w:t>für geistiges Eigentum</w:t>
      </w:r>
      <w:r w:rsidRPr="004421A9">
        <w:rPr>
          <w:rFonts w:cs="Arial"/>
          <w:sz w:val="16"/>
          <w:szCs w:val="16"/>
          <w:vertAlign w:val="superscript"/>
        </w:rPr>
        <w:t>2, 4</w:t>
      </w:r>
    </w:p>
    <w:p w14:paraId="75FBBC5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Ägypten</w:t>
      </w:r>
      <w:r w:rsidRPr="004421A9">
        <w:rPr>
          <w:rFonts w:cs="Arial"/>
          <w:sz w:val="16"/>
          <w:szCs w:val="16"/>
          <w:vertAlign w:val="superscript"/>
        </w:rPr>
        <w:t>2</w:t>
      </w:r>
    </w:p>
    <w:p w14:paraId="5575828A"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Albanien</w:t>
      </w:r>
      <w:r w:rsidRPr="004421A9">
        <w:rPr>
          <w:rFonts w:cs="Arial"/>
          <w:sz w:val="16"/>
          <w:szCs w:val="16"/>
          <w:vertAlign w:val="superscript"/>
        </w:rPr>
        <w:t>2</w:t>
      </w:r>
    </w:p>
    <w:p w14:paraId="181DCAA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Argentinien</w:t>
      </w:r>
      <w:r w:rsidRPr="004421A9">
        <w:rPr>
          <w:rFonts w:cs="Arial"/>
          <w:sz w:val="16"/>
          <w:szCs w:val="16"/>
          <w:vertAlign w:val="superscript"/>
        </w:rPr>
        <w:t>1</w:t>
      </w:r>
    </w:p>
    <w:p w14:paraId="49F4B020"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Armenien</w:t>
      </w:r>
      <w:r w:rsidRPr="004421A9">
        <w:rPr>
          <w:rFonts w:cs="Arial"/>
          <w:sz w:val="16"/>
          <w:szCs w:val="16"/>
          <w:vertAlign w:val="superscript"/>
        </w:rPr>
        <w:t>2</w:t>
      </w:r>
    </w:p>
    <w:p w14:paraId="4B15A9B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Aserbaidschan</w:t>
      </w:r>
      <w:r w:rsidRPr="004421A9">
        <w:rPr>
          <w:rFonts w:cs="Arial"/>
          <w:sz w:val="16"/>
          <w:szCs w:val="16"/>
          <w:vertAlign w:val="superscript"/>
        </w:rPr>
        <w:t>2</w:t>
      </w:r>
    </w:p>
    <w:p w14:paraId="191BE4F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Australien</w:t>
      </w:r>
      <w:r w:rsidRPr="004421A9">
        <w:rPr>
          <w:rFonts w:cs="Arial"/>
          <w:sz w:val="16"/>
          <w:szCs w:val="16"/>
          <w:vertAlign w:val="superscript"/>
        </w:rPr>
        <w:t>2</w:t>
      </w:r>
    </w:p>
    <w:p w14:paraId="5E2C70C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Belarus</w:t>
      </w:r>
      <w:r w:rsidRPr="004421A9">
        <w:rPr>
          <w:rFonts w:cs="Arial"/>
          <w:sz w:val="16"/>
          <w:szCs w:val="16"/>
          <w:vertAlign w:val="superscript"/>
        </w:rPr>
        <w:t>2</w:t>
      </w:r>
    </w:p>
    <w:p w14:paraId="69EFB5A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Belgien</w:t>
      </w:r>
      <w:r w:rsidRPr="004421A9">
        <w:rPr>
          <w:rFonts w:cs="Arial"/>
          <w:sz w:val="16"/>
          <w:szCs w:val="16"/>
          <w:vertAlign w:val="superscript"/>
        </w:rPr>
        <w:t>2</w:t>
      </w:r>
    </w:p>
    <w:p w14:paraId="2C195B7B"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 xml:space="preserve">Bolivien </w:t>
      </w:r>
      <w:r w:rsidRPr="004421A9">
        <w:rPr>
          <w:rFonts w:cs="Arial"/>
          <w:sz w:val="16"/>
          <w:szCs w:val="16"/>
        </w:rPr>
        <w:br/>
        <w:t>(Plurinationaler Staat)</w:t>
      </w:r>
      <w:r w:rsidRPr="004421A9">
        <w:rPr>
          <w:rFonts w:cs="Arial"/>
          <w:sz w:val="16"/>
          <w:szCs w:val="16"/>
          <w:vertAlign w:val="superscript"/>
        </w:rPr>
        <w:t>1</w:t>
      </w:r>
    </w:p>
    <w:p w14:paraId="63D748E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Bosnien und Herzegowina</w:t>
      </w:r>
      <w:r w:rsidRPr="004421A9">
        <w:rPr>
          <w:rFonts w:cs="Arial"/>
          <w:sz w:val="16"/>
          <w:szCs w:val="16"/>
          <w:vertAlign w:val="superscript"/>
        </w:rPr>
        <w:t>2</w:t>
      </w:r>
    </w:p>
    <w:p w14:paraId="5514FA9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Brasilien</w:t>
      </w:r>
      <w:r w:rsidRPr="004421A9">
        <w:rPr>
          <w:rFonts w:cs="Arial"/>
          <w:sz w:val="16"/>
          <w:szCs w:val="16"/>
          <w:vertAlign w:val="superscript"/>
        </w:rPr>
        <w:t>1</w:t>
      </w:r>
    </w:p>
    <w:p w14:paraId="20DD8A6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Bulgarien</w:t>
      </w:r>
      <w:r w:rsidRPr="004421A9">
        <w:rPr>
          <w:rFonts w:cs="Arial"/>
          <w:sz w:val="16"/>
          <w:szCs w:val="16"/>
          <w:vertAlign w:val="superscript"/>
        </w:rPr>
        <w:t>2</w:t>
      </w:r>
    </w:p>
    <w:p w14:paraId="6E1389A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Chile</w:t>
      </w:r>
      <w:r w:rsidRPr="004421A9">
        <w:rPr>
          <w:rFonts w:cs="Arial"/>
          <w:sz w:val="16"/>
          <w:szCs w:val="16"/>
          <w:vertAlign w:val="superscript"/>
        </w:rPr>
        <w:t>1</w:t>
      </w:r>
    </w:p>
    <w:p w14:paraId="7E95A023"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China</w:t>
      </w:r>
      <w:r w:rsidRPr="004421A9">
        <w:rPr>
          <w:rFonts w:cs="Arial"/>
          <w:sz w:val="16"/>
          <w:szCs w:val="16"/>
          <w:vertAlign w:val="superscript"/>
        </w:rPr>
        <w:t>1</w:t>
      </w:r>
    </w:p>
    <w:p w14:paraId="4D2D6D4E"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Costa Rica</w:t>
      </w:r>
      <w:r w:rsidRPr="004421A9">
        <w:rPr>
          <w:rFonts w:cs="Arial"/>
          <w:sz w:val="16"/>
          <w:szCs w:val="16"/>
          <w:vertAlign w:val="superscript"/>
        </w:rPr>
        <w:t>2</w:t>
      </w:r>
    </w:p>
    <w:p w14:paraId="62C71649"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Dänemark</w:t>
      </w:r>
      <w:r w:rsidRPr="004421A9">
        <w:rPr>
          <w:rFonts w:cs="Arial"/>
          <w:sz w:val="16"/>
          <w:szCs w:val="16"/>
          <w:vertAlign w:val="superscript"/>
        </w:rPr>
        <w:t>2</w:t>
      </w:r>
    </w:p>
    <w:p w14:paraId="0AAEDD44"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Deutschland</w:t>
      </w:r>
      <w:r w:rsidRPr="004421A9">
        <w:rPr>
          <w:rFonts w:cs="Arial"/>
          <w:sz w:val="16"/>
          <w:szCs w:val="16"/>
          <w:vertAlign w:val="superscript"/>
        </w:rPr>
        <w:t>2</w:t>
      </w:r>
    </w:p>
    <w:p w14:paraId="716B3F0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Dominikanische Republik</w:t>
      </w:r>
      <w:r w:rsidRPr="004421A9">
        <w:rPr>
          <w:rFonts w:cs="Arial"/>
          <w:sz w:val="16"/>
          <w:szCs w:val="16"/>
          <w:vertAlign w:val="superscript"/>
        </w:rPr>
        <w:t>2</w:t>
      </w:r>
    </w:p>
    <w:p w14:paraId="3A5D309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Ecuador</w:t>
      </w:r>
      <w:r w:rsidRPr="004421A9">
        <w:rPr>
          <w:rFonts w:cs="Arial"/>
          <w:sz w:val="16"/>
          <w:szCs w:val="16"/>
          <w:vertAlign w:val="superscript"/>
        </w:rPr>
        <w:t>1</w:t>
      </w:r>
    </w:p>
    <w:p w14:paraId="241E6DF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Estland</w:t>
      </w:r>
      <w:r w:rsidRPr="004421A9">
        <w:rPr>
          <w:rFonts w:cs="Arial"/>
          <w:sz w:val="16"/>
          <w:szCs w:val="16"/>
          <w:vertAlign w:val="superscript"/>
        </w:rPr>
        <w:t>2</w:t>
      </w:r>
    </w:p>
    <w:p w14:paraId="3E6D9DC2"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Europäische Union</w:t>
      </w:r>
      <w:r w:rsidRPr="004421A9">
        <w:rPr>
          <w:rFonts w:cs="Arial"/>
          <w:sz w:val="16"/>
          <w:szCs w:val="16"/>
          <w:vertAlign w:val="superscript"/>
        </w:rPr>
        <w:t>2, 3</w:t>
      </w:r>
    </w:p>
    <w:p w14:paraId="0E49ED14"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Finnland</w:t>
      </w:r>
      <w:r w:rsidRPr="004421A9">
        <w:rPr>
          <w:rFonts w:cs="Arial"/>
          <w:sz w:val="16"/>
          <w:szCs w:val="16"/>
          <w:vertAlign w:val="superscript"/>
        </w:rPr>
        <w:t>2</w:t>
      </w:r>
    </w:p>
    <w:p w14:paraId="4518C453"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Frankreich</w:t>
      </w:r>
      <w:r w:rsidRPr="004421A9">
        <w:rPr>
          <w:rFonts w:cs="Arial"/>
          <w:sz w:val="16"/>
          <w:szCs w:val="16"/>
          <w:vertAlign w:val="superscript"/>
        </w:rPr>
        <w:t>2</w:t>
      </w:r>
    </w:p>
    <w:p w14:paraId="6230767F"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Georgien</w:t>
      </w:r>
      <w:r w:rsidRPr="004421A9">
        <w:rPr>
          <w:rFonts w:cs="Arial"/>
          <w:sz w:val="16"/>
          <w:szCs w:val="16"/>
          <w:vertAlign w:val="superscript"/>
        </w:rPr>
        <w:t>2</w:t>
      </w:r>
    </w:p>
    <w:p w14:paraId="783ED7E0"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Ghana</w:t>
      </w:r>
      <w:r w:rsidRPr="004421A9">
        <w:rPr>
          <w:rFonts w:cs="Arial"/>
          <w:sz w:val="16"/>
          <w:szCs w:val="16"/>
          <w:vertAlign w:val="superscript"/>
        </w:rPr>
        <w:t>2</w:t>
      </w:r>
    </w:p>
    <w:p w14:paraId="1DECA23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Irland</w:t>
      </w:r>
      <w:r w:rsidRPr="004421A9">
        <w:rPr>
          <w:rFonts w:cs="Arial"/>
          <w:sz w:val="16"/>
          <w:szCs w:val="16"/>
          <w:vertAlign w:val="superscript"/>
        </w:rPr>
        <w:t>2</w:t>
      </w:r>
    </w:p>
    <w:p w14:paraId="1A18CD5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Island</w:t>
      </w:r>
      <w:r w:rsidRPr="004421A9">
        <w:rPr>
          <w:rFonts w:cs="Arial"/>
          <w:sz w:val="16"/>
          <w:szCs w:val="16"/>
          <w:vertAlign w:val="superscript"/>
        </w:rPr>
        <w:t>2</w:t>
      </w:r>
    </w:p>
    <w:p w14:paraId="448B1C0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Israel</w:t>
      </w:r>
      <w:r w:rsidRPr="004421A9">
        <w:rPr>
          <w:rFonts w:cs="Arial"/>
          <w:sz w:val="16"/>
          <w:szCs w:val="16"/>
          <w:vertAlign w:val="superscript"/>
        </w:rPr>
        <w:t>2</w:t>
      </w:r>
    </w:p>
    <w:p w14:paraId="27BF686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Italien</w:t>
      </w:r>
      <w:r w:rsidRPr="004421A9">
        <w:rPr>
          <w:rFonts w:cs="Arial"/>
          <w:sz w:val="16"/>
          <w:szCs w:val="16"/>
          <w:vertAlign w:val="superscript"/>
        </w:rPr>
        <w:t>1</w:t>
      </w:r>
    </w:p>
    <w:p w14:paraId="7514F6CE"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Japan</w:t>
      </w:r>
      <w:r w:rsidRPr="004421A9">
        <w:rPr>
          <w:rFonts w:cs="Arial"/>
          <w:sz w:val="16"/>
          <w:szCs w:val="16"/>
          <w:vertAlign w:val="superscript"/>
        </w:rPr>
        <w:t>2</w:t>
      </w:r>
    </w:p>
    <w:p w14:paraId="404D304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Jordanien</w:t>
      </w:r>
      <w:r w:rsidRPr="004421A9">
        <w:rPr>
          <w:rFonts w:cs="Arial"/>
          <w:sz w:val="16"/>
          <w:szCs w:val="16"/>
          <w:vertAlign w:val="superscript"/>
        </w:rPr>
        <w:t>2</w:t>
      </w:r>
    </w:p>
    <w:p w14:paraId="6C42D05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Kanada</w:t>
      </w:r>
      <w:r w:rsidRPr="004421A9">
        <w:rPr>
          <w:rFonts w:cs="Arial"/>
          <w:sz w:val="16"/>
          <w:szCs w:val="16"/>
          <w:vertAlign w:val="superscript"/>
        </w:rPr>
        <w:t>2</w:t>
      </w:r>
    </w:p>
    <w:p w14:paraId="5A406A2F"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Kenia</w:t>
      </w:r>
      <w:r w:rsidRPr="004421A9">
        <w:rPr>
          <w:rFonts w:cs="Arial"/>
          <w:sz w:val="16"/>
          <w:szCs w:val="16"/>
          <w:vertAlign w:val="superscript"/>
        </w:rPr>
        <w:t>2</w:t>
      </w:r>
    </w:p>
    <w:p w14:paraId="7436643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Kirgisistan</w:t>
      </w:r>
      <w:r w:rsidRPr="004421A9">
        <w:rPr>
          <w:rFonts w:cs="Arial"/>
          <w:sz w:val="16"/>
          <w:szCs w:val="16"/>
          <w:vertAlign w:val="superscript"/>
        </w:rPr>
        <w:t>2</w:t>
      </w:r>
    </w:p>
    <w:p w14:paraId="65AF7555"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Kolumbien</w:t>
      </w:r>
      <w:r w:rsidRPr="004421A9">
        <w:rPr>
          <w:rFonts w:cs="Arial"/>
          <w:sz w:val="16"/>
          <w:szCs w:val="16"/>
          <w:vertAlign w:val="superscript"/>
        </w:rPr>
        <w:t>1</w:t>
      </w:r>
    </w:p>
    <w:p w14:paraId="1735388A"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Kroatien</w:t>
      </w:r>
      <w:r w:rsidRPr="004421A9">
        <w:rPr>
          <w:rFonts w:cs="Arial"/>
          <w:sz w:val="16"/>
          <w:szCs w:val="16"/>
          <w:vertAlign w:val="superscript"/>
        </w:rPr>
        <w:t>2</w:t>
      </w:r>
    </w:p>
    <w:p w14:paraId="6FC6C6DE"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Lettland</w:t>
      </w:r>
      <w:r w:rsidRPr="004421A9">
        <w:rPr>
          <w:rFonts w:cs="Arial"/>
          <w:sz w:val="16"/>
          <w:szCs w:val="16"/>
          <w:vertAlign w:val="superscript"/>
        </w:rPr>
        <w:t>2</w:t>
      </w:r>
    </w:p>
    <w:p w14:paraId="37C83074"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Litauen</w:t>
      </w:r>
      <w:r w:rsidRPr="004421A9">
        <w:rPr>
          <w:rFonts w:cs="Arial"/>
          <w:sz w:val="16"/>
          <w:szCs w:val="16"/>
          <w:vertAlign w:val="superscript"/>
        </w:rPr>
        <w:t>2</w:t>
      </w:r>
    </w:p>
    <w:p w14:paraId="15F7AB15"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Marokko</w:t>
      </w:r>
      <w:r w:rsidRPr="004421A9">
        <w:rPr>
          <w:rFonts w:cs="Arial"/>
          <w:sz w:val="16"/>
          <w:szCs w:val="16"/>
          <w:vertAlign w:val="superscript"/>
        </w:rPr>
        <w:t>2</w:t>
      </w:r>
    </w:p>
    <w:p w14:paraId="596B0F6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Mexiko</w:t>
      </w:r>
      <w:r w:rsidRPr="004421A9">
        <w:rPr>
          <w:rFonts w:cs="Arial"/>
          <w:sz w:val="16"/>
          <w:szCs w:val="16"/>
          <w:vertAlign w:val="superscript"/>
        </w:rPr>
        <w:t>1</w:t>
      </w:r>
    </w:p>
    <w:p w14:paraId="7B3AED4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Montenegro</w:t>
      </w:r>
      <w:r w:rsidRPr="004421A9">
        <w:rPr>
          <w:rFonts w:cs="Arial"/>
          <w:sz w:val="16"/>
          <w:szCs w:val="16"/>
          <w:vertAlign w:val="superscript"/>
        </w:rPr>
        <w:t>2</w:t>
      </w:r>
    </w:p>
    <w:p w14:paraId="1EACED1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Neuseeland</w:t>
      </w:r>
      <w:r w:rsidRPr="004421A9">
        <w:rPr>
          <w:rFonts w:cs="Arial"/>
          <w:sz w:val="16"/>
          <w:szCs w:val="16"/>
          <w:vertAlign w:val="superscript"/>
        </w:rPr>
        <w:t>1</w:t>
      </w:r>
    </w:p>
    <w:p w14:paraId="6B0F9B2F"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Nicaragua</w:t>
      </w:r>
      <w:r w:rsidRPr="004421A9">
        <w:rPr>
          <w:rFonts w:cs="Arial"/>
          <w:sz w:val="16"/>
          <w:szCs w:val="16"/>
          <w:vertAlign w:val="superscript"/>
        </w:rPr>
        <w:t>1</w:t>
      </w:r>
    </w:p>
    <w:p w14:paraId="50C15D7F" w14:textId="77777777" w:rsidR="00604CD6" w:rsidRPr="004421A9" w:rsidRDefault="00604CD6" w:rsidP="00604CD6">
      <w:pPr>
        <w:spacing w:before="20"/>
        <w:ind w:left="113" w:hanging="113"/>
        <w:jc w:val="left"/>
        <w:rPr>
          <w:rFonts w:cs="Arial (Überschriften)"/>
          <w:spacing w:val="-2"/>
          <w:sz w:val="16"/>
          <w:szCs w:val="16"/>
        </w:rPr>
      </w:pPr>
      <w:r w:rsidRPr="004421A9">
        <w:rPr>
          <w:rFonts w:cs="Arial (Überschriften)"/>
          <w:spacing w:val="-2"/>
          <w:sz w:val="16"/>
          <w:szCs w:val="16"/>
        </w:rPr>
        <w:t>Niederlande (Königreich)</w:t>
      </w:r>
      <w:r w:rsidRPr="004421A9">
        <w:rPr>
          <w:rFonts w:cs="Arial (Überschriften)"/>
          <w:spacing w:val="-2"/>
          <w:sz w:val="16"/>
          <w:szCs w:val="16"/>
          <w:vertAlign w:val="superscript"/>
        </w:rPr>
        <w:t>2</w:t>
      </w:r>
    </w:p>
    <w:p w14:paraId="43D91DC7" w14:textId="338A2E1D" w:rsidR="00965C13" w:rsidRPr="004421A9" w:rsidRDefault="00965C13" w:rsidP="00604CD6">
      <w:pPr>
        <w:spacing w:before="20"/>
        <w:ind w:left="113" w:hanging="113"/>
        <w:jc w:val="left"/>
        <w:rPr>
          <w:rFonts w:cs="Arial"/>
          <w:sz w:val="16"/>
          <w:szCs w:val="16"/>
        </w:rPr>
      </w:pPr>
      <w:r w:rsidRPr="004421A9">
        <w:rPr>
          <w:rFonts w:cs="Arial"/>
          <w:sz w:val="16"/>
          <w:szCs w:val="16"/>
        </w:rPr>
        <w:t>Nigeria</w:t>
      </w:r>
      <w:r w:rsidR="000E57DE" w:rsidRPr="004421A9">
        <w:rPr>
          <w:rFonts w:cs="Arial"/>
          <w:sz w:val="16"/>
          <w:szCs w:val="16"/>
          <w:vertAlign w:val="superscript"/>
        </w:rPr>
        <w:t>2</w:t>
      </w:r>
    </w:p>
    <w:p w14:paraId="252CC1E8" w14:textId="748C4251" w:rsidR="00604CD6" w:rsidRPr="004421A9" w:rsidRDefault="00604CD6" w:rsidP="00604CD6">
      <w:pPr>
        <w:spacing w:before="20"/>
        <w:ind w:left="113" w:hanging="113"/>
        <w:jc w:val="left"/>
        <w:rPr>
          <w:rFonts w:cs="Arial"/>
          <w:sz w:val="16"/>
          <w:szCs w:val="16"/>
        </w:rPr>
      </w:pPr>
      <w:r w:rsidRPr="004421A9">
        <w:rPr>
          <w:rFonts w:cs="Arial"/>
          <w:sz w:val="16"/>
          <w:szCs w:val="16"/>
        </w:rPr>
        <w:t>Nordmazedonien</w:t>
      </w:r>
      <w:r w:rsidRPr="004421A9">
        <w:rPr>
          <w:rFonts w:cs="Arial"/>
          <w:sz w:val="16"/>
          <w:szCs w:val="16"/>
          <w:vertAlign w:val="superscript"/>
        </w:rPr>
        <w:t>2</w:t>
      </w:r>
    </w:p>
    <w:p w14:paraId="4117A2E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Norwegen</w:t>
      </w:r>
      <w:r w:rsidRPr="004421A9">
        <w:rPr>
          <w:rFonts w:cs="Arial"/>
          <w:sz w:val="16"/>
          <w:szCs w:val="16"/>
          <w:vertAlign w:val="superscript"/>
        </w:rPr>
        <w:t>1</w:t>
      </w:r>
    </w:p>
    <w:p w14:paraId="42D1EFB5"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Oman</w:t>
      </w:r>
      <w:r w:rsidRPr="004421A9">
        <w:rPr>
          <w:rFonts w:cs="Arial"/>
          <w:sz w:val="16"/>
          <w:szCs w:val="16"/>
          <w:vertAlign w:val="superscript"/>
        </w:rPr>
        <w:t>2</w:t>
      </w:r>
    </w:p>
    <w:p w14:paraId="0AE5C08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Österreich</w:t>
      </w:r>
      <w:r w:rsidRPr="004421A9">
        <w:rPr>
          <w:rFonts w:cs="Arial"/>
          <w:sz w:val="16"/>
          <w:szCs w:val="16"/>
          <w:vertAlign w:val="superscript"/>
        </w:rPr>
        <w:t>2</w:t>
      </w:r>
    </w:p>
    <w:p w14:paraId="2B17E9B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Panama</w:t>
      </w:r>
      <w:r w:rsidRPr="004421A9">
        <w:rPr>
          <w:rFonts w:cs="Arial"/>
          <w:sz w:val="16"/>
          <w:szCs w:val="16"/>
          <w:vertAlign w:val="superscript"/>
        </w:rPr>
        <w:t>2</w:t>
      </w:r>
    </w:p>
    <w:p w14:paraId="4F6DCFD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Paraguay</w:t>
      </w:r>
      <w:r w:rsidRPr="004421A9">
        <w:rPr>
          <w:rFonts w:cs="Arial"/>
          <w:sz w:val="16"/>
          <w:szCs w:val="16"/>
          <w:vertAlign w:val="superscript"/>
        </w:rPr>
        <w:t>1</w:t>
      </w:r>
    </w:p>
    <w:p w14:paraId="42CA89EC"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Peru</w:t>
      </w:r>
      <w:r w:rsidRPr="004421A9">
        <w:rPr>
          <w:rFonts w:cs="Arial"/>
          <w:sz w:val="16"/>
          <w:szCs w:val="16"/>
          <w:vertAlign w:val="superscript"/>
        </w:rPr>
        <w:t>2</w:t>
      </w:r>
    </w:p>
    <w:p w14:paraId="6F1A0C61"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Polen</w:t>
      </w:r>
      <w:r w:rsidRPr="004421A9">
        <w:rPr>
          <w:rFonts w:cs="Arial"/>
          <w:sz w:val="16"/>
          <w:szCs w:val="16"/>
          <w:vertAlign w:val="superscript"/>
        </w:rPr>
        <w:t>2</w:t>
      </w:r>
    </w:p>
    <w:p w14:paraId="5559E9C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Portugal</w:t>
      </w:r>
      <w:r w:rsidRPr="004421A9">
        <w:rPr>
          <w:rFonts w:cs="Arial"/>
          <w:sz w:val="16"/>
          <w:szCs w:val="16"/>
          <w:vertAlign w:val="superscript"/>
        </w:rPr>
        <w:t>1</w:t>
      </w:r>
    </w:p>
    <w:p w14:paraId="756AAA4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Republik Korea</w:t>
      </w:r>
      <w:r w:rsidRPr="004421A9">
        <w:rPr>
          <w:rFonts w:cs="Arial"/>
          <w:sz w:val="16"/>
          <w:szCs w:val="16"/>
          <w:vertAlign w:val="superscript"/>
        </w:rPr>
        <w:t>2</w:t>
      </w:r>
    </w:p>
    <w:p w14:paraId="1813FD21"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Republik Moldau</w:t>
      </w:r>
      <w:r w:rsidRPr="004421A9">
        <w:rPr>
          <w:rFonts w:cs="Arial"/>
          <w:sz w:val="16"/>
          <w:szCs w:val="16"/>
          <w:vertAlign w:val="superscript"/>
        </w:rPr>
        <w:t>2</w:t>
      </w:r>
    </w:p>
    <w:p w14:paraId="51E29475"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Rumänien</w:t>
      </w:r>
      <w:r w:rsidRPr="004421A9">
        <w:rPr>
          <w:rFonts w:cs="Arial"/>
          <w:sz w:val="16"/>
          <w:szCs w:val="16"/>
          <w:vertAlign w:val="superscript"/>
        </w:rPr>
        <w:t>2</w:t>
      </w:r>
    </w:p>
    <w:p w14:paraId="7C66328E"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Russische Föderation</w:t>
      </w:r>
      <w:r w:rsidRPr="004421A9">
        <w:rPr>
          <w:rFonts w:cs="Arial"/>
          <w:sz w:val="16"/>
          <w:szCs w:val="16"/>
          <w:vertAlign w:val="superscript"/>
        </w:rPr>
        <w:t>2</w:t>
      </w:r>
    </w:p>
    <w:p w14:paraId="77AE5A8F"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Schweden</w:t>
      </w:r>
      <w:r w:rsidRPr="004421A9">
        <w:rPr>
          <w:rFonts w:cs="Arial"/>
          <w:sz w:val="16"/>
          <w:szCs w:val="16"/>
          <w:vertAlign w:val="superscript"/>
        </w:rPr>
        <w:t>2</w:t>
      </w:r>
    </w:p>
    <w:p w14:paraId="76D50C3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Schweiz</w:t>
      </w:r>
      <w:r w:rsidRPr="004421A9">
        <w:rPr>
          <w:rFonts w:cs="Arial"/>
          <w:sz w:val="16"/>
          <w:szCs w:val="16"/>
          <w:vertAlign w:val="superscript"/>
        </w:rPr>
        <w:t>2</w:t>
      </w:r>
    </w:p>
    <w:p w14:paraId="6642AC50"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Serbien</w:t>
      </w:r>
      <w:r w:rsidRPr="004421A9">
        <w:rPr>
          <w:rFonts w:cs="Arial"/>
          <w:sz w:val="16"/>
          <w:szCs w:val="16"/>
          <w:vertAlign w:val="superscript"/>
        </w:rPr>
        <w:t>2</w:t>
      </w:r>
    </w:p>
    <w:p w14:paraId="26D96F8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Singapur</w:t>
      </w:r>
      <w:r w:rsidRPr="004421A9">
        <w:rPr>
          <w:rFonts w:cs="Arial"/>
          <w:sz w:val="16"/>
          <w:szCs w:val="16"/>
          <w:vertAlign w:val="superscript"/>
        </w:rPr>
        <w:t>2</w:t>
      </w:r>
    </w:p>
    <w:p w14:paraId="7E98482F"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Slowakei</w:t>
      </w:r>
      <w:r w:rsidRPr="004421A9">
        <w:rPr>
          <w:rFonts w:cs="Arial"/>
          <w:sz w:val="16"/>
          <w:szCs w:val="16"/>
          <w:vertAlign w:val="superscript"/>
        </w:rPr>
        <w:t>2</w:t>
      </w:r>
    </w:p>
    <w:p w14:paraId="3316317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Slowenien</w:t>
      </w:r>
      <w:r w:rsidRPr="004421A9">
        <w:rPr>
          <w:rFonts w:cs="Arial"/>
          <w:sz w:val="16"/>
          <w:szCs w:val="16"/>
          <w:vertAlign w:val="superscript"/>
        </w:rPr>
        <w:t>2</w:t>
      </w:r>
    </w:p>
    <w:p w14:paraId="7574FFA4"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Spanien</w:t>
      </w:r>
      <w:r w:rsidRPr="004421A9">
        <w:rPr>
          <w:rFonts w:cs="Arial"/>
          <w:sz w:val="16"/>
          <w:szCs w:val="16"/>
          <w:vertAlign w:val="superscript"/>
        </w:rPr>
        <w:t>2</w:t>
      </w:r>
    </w:p>
    <w:p w14:paraId="24802D1E"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St. Vincent und die Grenadinen</w:t>
      </w:r>
      <w:r w:rsidRPr="004421A9">
        <w:rPr>
          <w:rFonts w:cs="Arial"/>
          <w:sz w:val="16"/>
          <w:szCs w:val="16"/>
          <w:vertAlign w:val="superscript"/>
        </w:rPr>
        <w:t>2</w:t>
      </w:r>
    </w:p>
    <w:p w14:paraId="644F990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Südafrika</w:t>
      </w:r>
      <w:r w:rsidRPr="004421A9">
        <w:rPr>
          <w:rFonts w:cs="Arial"/>
          <w:sz w:val="16"/>
          <w:szCs w:val="16"/>
          <w:vertAlign w:val="superscript"/>
        </w:rPr>
        <w:t>1</w:t>
      </w:r>
    </w:p>
    <w:p w14:paraId="5CADDC0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Trinidad und Tobago</w:t>
      </w:r>
      <w:r w:rsidRPr="004421A9">
        <w:rPr>
          <w:rFonts w:cs="Arial"/>
          <w:sz w:val="16"/>
          <w:szCs w:val="16"/>
          <w:vertAlign w:val="superscript"/>
        </w:rPr>
        <w:t>1</w:t>
      </w:r>
    </w:p>
    <w:p w14:paraId="14DE235A"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Tschechische Republik</w:t>
      </w:r>
      <w:r w:rsidRPr="004421A9">
        <w:rPr>
          <w:rFonts w:cs="Arial"/>
          <w:sz w:val="16"/>
          <w:szCs w:val="16"/>
          <w:vertAlign w:val="superscript"/>
        </w:rPr>
        <w:t>2</w:t>
      </w:r>
    </w:p>
    <w:p w14:paraId="28FEF961"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Tunesien</w:t>
      </w:r>
      <w:r w:rsidRPr="004421A9">
        <w:rPr>
          <w:rFonts w:cs="Arial"/>
          <w:sz w:val="16"/>
          <w:szCs w:val="16"/>
          <w:vertAlign w:val="superscript"/>
        </w:rPr>
        <w:t>2</w:t>
      </w:r>
    </w:p>
    <w:p w14:paraId="58B1D53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Türkiye</w:t>
      </w:r>
      <w:r w:rsidRPr="004421A9">
        <w:rPr>
          <w:rFonts w:cs="Arial"/>
          <w:sz w:val="16"/>
          <w:szCs w:val="16"/>
          <w:vertAlign w:val="superscript"/>
        </w:rPr>
        <w:t>2</w:t>
      </w:r>
    </w:p>
    <w:p w14:paraId="394E0DDA"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Ukraine</w:t>
      </w:r>
      <w:r w:rsidRPr="004421A9">
        <w:rPr>
          <w:rFonts w:cs="Arial"/>
          <w:sz w:val="16"/>
          <w:szCs w:val="16"/>
          <w:vertAlign w:val="superscript"/>
        </w:rPr>
        <w:t>2</w:t>
      </w:r>
    </w:p>
    <w:p w14:paraId="027640BC"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Ungarn</w:t>
      </w:r>
      <w:r w:rsidRPr="004421A9">
        <w:rPr>
          <w:rFonts w:cs="Arial"/>
          <w:sz w:val="16"/>
          <w:szCs w:val="16"/>
          <w:vertAlign w:val="superscript"/>
        </w:rPr>
        <w:t>2</w:t>
      </w:r>
    </w:p>
    <w:p w14:paraId="0D9E2C4A"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Uruguay</w:t>
      </w:r>
      <w:r w:rsidRPr="004421A9">
        <w:rPr>
          <w:rFonts w:cs="Arial"/>
          <w:sz w:val="16"/>
          <w:szCs w:val="16"/>
          <w:vertAlign w:val="superscript"/>
        </w:rPr>
        <w:t>1</w:t>
      </w:r>
    </w:p>
    <w:p w14:paraId="0815CB03"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Usbekistan</w:t>
      </w:r>
      <w:r w:rsidRPr="004421A9">
        <w:rPr>
          <w:rFonts w:cs="Arial"/>
          <w:sz w:val="16"/>
          <w:szCs w:val="16"/>
          <w:vertAlign w:val="superscript"/>
        </w:rPr>
        <w:t>2</w:t>
      </w:r>
    </w:p>
    <w:p w14:paraId="4719D814"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Vereinigte Republik Tansania</w:t>
      </w:r>
      <w:r w:rsidRPr="004421A9">
        <w:rPr>
          <w:rFonts w:cs="Arial"/>
          <w:sz w:val="16"/>
          <w:szCs w:val="16"/>
          <w:vertAlign w:val="superscript"/>
        </w:rPr>
        <w:t>2</w:t>
      </w:r>
    </w:p>
    <w:p w14:paraId="458354A0"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Vereinigte Staaten von Amerika</w:t>
      </w:r>
      <w:r w:rsidRPr="004421A9">
        <w:rPr>
          <w:rFonts w:cs="Arial"/>
          <w:sz w:val="16"/>
          <w:szCs w:val="16"/>
          <w:vertAlign w:val="superscript"/>
        </w:rPr>
        <w:t>2</w:t>
      </w:r>
    </w:p>
    <w:p w14:paraId="5A52646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Vereinigtes Königreich</w:t>
      </w:r>
      <w:r w:rsidRPr="004421A9">
        <w:rPr>
          <w:rFonts w:cs="Arial"/>
          <w:sz w:val="16"/>
          <w:szCs w:val="16"/>
          <w:vertAlign w:val="superscript"/>
        </w:rPr>
        <w:t>2</w:t>
      </w:r>
    </w:p>
    <w:p w14:paraId="577F7207" w14:textId="25E29AF0" w:rsidR="00B65EDC" w:rsidRPr="004421A9" w:rsidRDefault="00604CD6" w:rsidP="00604CD6">
      <w:pPr>
        <w:spacing w:before="20"/>
        <w:ind w:left="113" w:hanging="113"/>
        <w:jc w:val="left"/>
        <w:rPr>
          <w:rFonts w:cs="Arial"/>
          <w:sz w:val="16"/>
          <w:szCs w:val="16"/>
          <w:vertAlign w:val="superscript"/>
        </w:rPr>
      </w:pPr>
      <w:r w:rsidRPr="004421A9">
        <w:rPr>
          <w:rFonts w:cs="Arial"/>
          <w:sz w:val="16"/>
          <w:szCs w:val="16"/>
        </w:rPr>
        <w:t>Vietnam</w:t>
      </w:r>
      <w:r w:rsidRPr="004421A9">
        <w:rPr>
          <w:rFonts w:cs="Arial"/>
          <w:sz w:val="16"/>
          <w:szCs w:val="16"/>
          <w:vertAlign w:val="superscript"/>
        </w:rPr>
        <w:t>2</w:t>
      </w:r>
    </w:p>
    <w:p w14:paraId="4F4668BC" w14:textId="77777777" w:rsidR="00B65EDC" w:rsidRPr="004421A9" w:rsidRDefault="00B65EDC" w:rsidP="00B65EDC">
      <w:pPr>
        <w:spacing w:before="20"/>
        <w:jc w:val="left"/>
        <w:rPr>
          <w:rFonts w:cs="Arial"/>
          <w:sz w:val="16"/>
          <w:szCs w:val="16"/>
        </w:rPr>
      </w:pPr>
    </w:p>
    <w:p w14:paraId="5B2CC73E" w14:textId="77777777" w:rsidR="00B65EDC" w:rsidRPr="004421A9" w:rsidRDefault="00B65EDC" w:rsidP="00B65EDC">
      <w:pPr>
        <w:spacing w:before="20"/>
        <w:ind w:left="113" w:hanging="113"/>
        <w:jc w:val="left"/>
        <w:rPr>
          <w:rFonts w:cs="Arial"/>
          <w:sz w:val="16"/>
          <w:szCs w:val="16"/>
        </w:rPr>
      </w:pPr>
    </w:p>
    <w:p w14:paraId="5FE47248" w14:textId="16B7618C" w:rsidR="00B65EDC" w:rsidRPr="004421A9" w:rsidRDefault="00B65EDC" w:rsidP="00B65EDC">
      <w:pPr>
        <w:spacing w:before="40"/>
        <w:rPr>
          <w:rFonts w:cs="Arial"/>
          <w:sz w:val="16"/>
          <w:szCs w:val="16"/>
        </w:rPr>
      </w:pPr>
      <w:r w:rsidRPr="004421A9">
        <w:rPr>
          <w:rFonts w:cs="Arial"/>
          <w:sz w:val="16"/>
          <w:szCs w:val="16"/>
        </w:rPr>
        <w:t>(Insgesamt</w:t>
      </w:r>
      <w:r w:rsidR="0073511D" w:rsidRPr="004421A9">
        <w:rPr>
          <w:rFonts w:cs="Arial"/>
          <w:sz w:val="16"/>
          <w:szCs w:val="16"/>
        </w:rPr>
        <w:t xml:space="preserve"> 80</w:t>
      </w:r>
      <w:r w:rsidRPr="004421A9">
        <w:rPr>
          <w:rFonts w:cs="Arial"/>
          <w:sz w:val="16"/>
          <w:szCs w:val="16"/>
        </w:rPr>
        <w:t>)</w:t>
      </w:r>
    </w:p>
    <w:p w14:paraId="5A012F69" w14:textId="77777777" w:rsidR="00B65EDC" w:rsidRPr="004421A9" w:rsidRDefault="00B65EDC" w:rsidP="00B65EDC">
      <w:pPr>
        <w:spacing w:before="40"/>
        <w:jc w:val="left"/>
        <w:rPr>
          <w:rFonts w:cs="Arial"/>
          <w:sz w:val="16"/>
          <w:szCs w:val="16"/>
        </w:rPr>
        <w:sectPr w:rsidR="00B65EDC" w:rsidRPr="004421A9" w:rsidSect="00B65EDC">
          <w:headerReference w:type="even" r:id="rId28"/>
          <w:footerReference w:type="even" r:id="rId29"/>
          <w:footerReference w:type="default" r:id="rId30"/>
          <w:headerReference w:type="first" r:id="rId31"/>
          <w:footerReference w:type="first" r:id="rId32"/>
          <w:type w:val="continuous"/>
          <w:pgSz w:w="11907" w:h="16840" w:code="9"/>
          <w:pgMar w:top="340" w:right="567" w:bottom="567" w:left="993" w:header="510" w:footer="284" w:gutter="0"/>
          <w:cols w:num="5" w:space="58" w:equalWidth="0">
            <w:col w:w="2438" w:space="0"/>
            <w:col w:w="1801" w:space="0"/>
            <w:col w:w="2083" w:space="58"/>
            <w:col w:w="1701" w:space="84"/>
            <w:col w:w="2182"/>
          </w:cols>
          <w:docGrid w:linePitch="272"/>
        </w:sectPr>
      </w:pPr>
    </w:p>
    <w:p w14:paraId="7A84C7A0" w14:textId="77777777" w:rsidR="00B65EDC" w:rsidRPr="004421A9" w:rsidRDefault="00B65EDC" w:rsidP="00B65EDC">
      <w:pPr>
        <w:spacing w:before="40"/>
        <w:jc w:val="left"/>
        <w:rPr>
          <w:rFonts w:cs="Arial"/>
          <w:sz w:val="16"/>
          <w:szCs w:val="16"/>
        </w:rPr>
      </w:pPr>
    </w:p>
    <w:p w14:paraId="52EB4853" w14:textId="77777777" w:rsidR="00B65EDC" w:rsidRPr="004421A9" w:rsidRDefault="00B65EDC" w:rsidP="00B65EDC">
      <w:pPr>
        <w:spacing w:before="40"/>
        <w:rPr>
          <w:rFonts w:cs="Arial"/>
          <w:sz w:val="16"/>
          <w:szCs w:val="16"/>
        </w:rPr>
        <w:sectPr w:rsidR="00B65EDC" w:rsidRPr="004421A9" w:rsidSect="00B65EDC">
          <w:type w:val="continuous"/>
          <w:pgSz w:w="11907" w:h="16840" w:code="9"/>
          <w:pgMar w:top="340" w:right="851" w:bottom="567" w:left="993" w:header="510" w:footer="284" w:gutter="0"/>
          <w:cols w:num="5" w:space="0" w:equalWidth="0">
            <w:col w:w="2478" w:space="0"/>
            <w:col w:w="1814" w:space="0"/>
            <w:col w:w="1701" w:space="0"/>
            <w:col w:w="1778" w:space="0"/>
            <w:col w:w="2292"/>
          </w:cols>
          <w:docGrid w:linePitch="272"/>
        </w:sectPr>
      </w:pPr>
    </w:p>
    <w:p w14:paraId="27427417" w14:textId="77777777" w:rsidR="00B65EDC" w:rsidRPr="004421A9" w:rsidRDefault="00B65EDC" w:rsidP="00B65EDC">
      <w:pPr>
        <w:tabs>
          <w:tab w:val="left" w:pos="1418"/>
        </w:tabs>
        <w:spacing w:before="40" w:after="120"/>
        <w:jc w:val="left"/>
        <w:rPr>
          <w:sz w:val="16"/>
          <w:u w:val="single"/>
        </w:rPr>
      </w:pPr>
      <w:r w:rsidRPr="004421A9">
        <w:rPr>
          <w:sz w:val="16"/>
          <w:u w:val="single"/>
        </w:rPr>
        <w:tab/>
      </w:r>
    </w:p>
    <w:p w14:paraId="7B15FA22" w14:textId="77777777" w:rsidR="003033C3" w:rsidRPr="004421A9" w:rsidRDefault="00B65EDC" w:rsidP="003033C3">
      <w:pPr>
        <w:tabs>
          <w:tab w:val="left" w:pos="284"/>
        </w:tabs>
        <w:spacing w:after="60"/>
        <w:ind w:left="84"/>
        <w:rPr>
          <w:rFonts w:cs="Arial"/>
          <w:sz w:val="14"/>
          <w:szCs w:val="16"/>
        </w:rPr>
      </w:pPr>
      <w:r w:rsidRPr="004421A9">
        <w:rPr>
          <w:rFonts w:cs="Arial"/>
          <w:sz w:val="14"/>
          <w:szCs w:val="16"/>
          <w:vertAlign w:val="superscript"/>
        </w:rPr>
        <w:t>1</w:t>
      </w:r>
      <w:r w:rsidRPr="004421A9">
        <w:rPr>
          <w:rFonts w:cs="Arial"/>
          <w:sz w:val="14"/>
          <w:szCs w:val="16"/>
        </w:rPr>
        <w:tab/>
      </w:r>
      <w:r w:rsidR="003033C3" w:rsidRPr="004421A9">
        <w:rPr>
          <w:rFonts w:cs="Arial"/>
          <w:sz w:val="14"/>
          <w:szCs w:val="16"/>
        </w:rPr>
        <w:t>Die Akte von 1978 ist die neueste Akte, an die 17 Staaten gebunden sind.</w:t>
      </w:r>
    </w:p>
    <w:p w14:paraId="1529DDF8" w14:textId="77777777" w:rsidR="003033C3" w:rsidRPr="004421A9" w:rsidRDefault="003033C3" w:rsidP="003033C3">
      <w:pPr>
        <w:tabs>
          <w:tab w:val="left" w:pos="284"/>
        </w:tabs>
        <w:spacing w:after="60"/>
        <w:ind w:left="84"/>
        <w:rPr>
          <w:rFonts w:cs="Arial"/>
          <w:sz w:val="14"/>
          <w:szCs w:val="16"/>
        </w:rPr>
      </w:pPr>
      <w:r w:rsidRPr="004421A9">
        <w:rPr>
          <w:rFonts w:cs="Arial"/>
          <w:sz w:val="14"/>
          <w:szCs w:val="16"/>
          <w:vertAlign w:val="superscript"/>
        </w:rPr>
        <w:t>2</w:t>
      </w:r>
      <w:r w:rsidRPr="004421A9">
        <w:rPr>
          <w:rFonts w:cs="Arial"/>
          <w:sz w:val="14"/>
          <w:szCs w:val="16"/>
        </w:rPr>
        <w:tab/>
        <w:t>Die Akte von 1991 ist die neueste Akte, an die 60 Staaten und 2 Organisationen gebunden sind.</w:t>
      </w:r>
    </w:p>
    <w:p w14:paraId="02353110" w14:textId="77777777" w:rsidR="003033C3" w:rsidRPr="004421A9" w:rsidRDefault="003033C3" w:rsidP="003033C3">
      <w:pPr>
        <w:tabs>
          <w:tab w:val="left" w:pos="284"/>
        </w:tabs>
        <w:spacing w:after="60"/>
        <w:ind w:left="284" w:hanging="200"/>
        <w:rPr>
          <w:rFonts w:cs="Arial"/>
          <w:sz w:val="14"/>
          <w:szCs w:val="16"/>
        </w:rPr>
      </w:pPr>
      <w:r w:rsidRPr="004421A9">
        <w:rPr>
          <w:rFonts w:cs="Arial"/>
          <w:sz w:val="14"/>
          <w:szCs w:val="16"/>
          <w:vertAlign w:val="superscript"/>
        </w:rPr>
        <w:t>3</w:t>
      </w:r>
      <w:r w:rsidRPr="004421A9">
        <w:rPr>
          <w:rFonts w:cs="Arial"/>
          <w:sz w:val="14"/>
          <w:szCs w:val="16"/>
        </w:rPr>
        <w:tab/>
        <w:t xml:space="preserve">Betreibt ein Züchterrechtssystem, das das </w:t>
      </w:r>
      <w:r w:rsidRPr="004421A9">
        <w:rPr>
          <w:sz w:val="14"/>
          <w:szCs w:val="16"/>
        </w:rPr>
        <w:t xml:space="preserve">Hoheitsgebiet </w:t>
      </w:r>
      <w:r w:rsidRPr="004421A9">
        <w:rPr>
          <w:rFonts w:cs="Arial"/>
          <w:sz w:val="14"/>
          <w:szCs w:val="16"/>
        </w:rPr>
        <w:t xml:space="preserve">ihrer 27 Mitgliedstaaten erfasst </w:t>
      </w:r>
      <w:r w:rsidRPr="004421A9">
        <w:rPr>
          <w:rFonts w:cs="Arial"/>
          <w:i/>
          <w:sz w:val="14"/>
          <w:szCs w:val="16"/>
        </w:rPr>
        <w:t>(Belgien, Bulgarien, Dänemark, Deutschland, Estland, Finnland, Frankreich, Griechenland, Irland, Italien, Kroatien, Lettland, Litauen, Luxemburg, Malta, Niederlande (Königreich), Österreich, Polen, Portugal, Rumänien, Schweden, Slowakei, Slowenien, Spanien, Tschechische Republik, Ungarn und Zypern)</w:t>
      </w:r>
      <w:r w:rsidRPr="004421A9">
        <w:rPr>
          <w:rFonts w:cs="Arial"/>
          <w:sz w:val="14"/>
          <w:szCs w:val="16"/>
        </w:rPr>
        <w:t>.</w:t>
      </w:r>
    </w:p>
    <w:p w14:paraId="31C81F66" w14:textId="4DA7EE9B" w:rsidR="00B65EDC" w:rsidRPr="004421A9" w:rsidRDefault="003033C3" w:rsidP="003033C3">
      <w:pPr>
        <w:tabs>
          <w:tab w:val="left" w:pos="284"/>
        </w:tabs>
        <w:spacing w:after="60"/>
        <w:ind w:left="284" w:hanging="200"/>
        <w:rPr>
          <w:rFonts w:cs="Arial"/>
          <w:i/>
          <w:sz w:val="14"/>
          <w:szCs w:val="16"/>
        </w:rPr>
      </w:pPr>
      <w:r w:rsidRPr="004421A9">
        <w:rPr>
          <w:rFonts w:cs="Arial"/>
          <w:sz w:val="14"/>
          <w:szCs w:val="16"/>
          <w:vertAlign w:val="superscript"/>
        </w:rPr>
        <w:t>4</w:t>
      </w:r>
      <w:r w:rsidRPr="004421A9">
        <w:rPr>
          <w:rFonts w:cs="Arial"/>
          <w:sz w:val="14"/>
          <w:szCs w:val="16"/>
        </w:rPr>
        <w:tab/>
        <w:t xml:space="preserve">Betreibt ein Züchterrechtssystem, das das Hoheitsgebiet ihrer 17 Mitgliedstaaten erstreckt </w:t>
      </w:r>
      <w:r w:rsidRPr="004421A9">
        <w:rPr>
          <w:rFonts w:cs="Arial"/>
          <w:i/>
          <w:sz w:val="14"/>
          <w:szCs w:val="16"/>
        </w:rPr>
        <w:t>(Äquatorialguinea, Benin, Burkina Faso, Côte d'Ivoire, Gabun, Guinea, Guinea-Bissau, Kamerun, Komoren, Kongo, Mali, Mauretanien, Niger, Senegal, Togo, Tschad, Zentralafrikanische Republik</w:t>
      </w:r>
      <w:r w:rsidR="00B65EDC" w:rsidRPr="004421A9">
        <w:rPr>
          <w:rFonts w:cs="Arial"/>
          <w:i/>
          <w:sz w:val="14"/>
          <w:szCs w:val="16"/>
        </w:rPr>
        <w:t>.</w:t>
      </w:r>
    </w:p>
    <w:p w14:paraId="15298E61" w14:textId="77777777" w:rsidR="00B65EDC" w:rsidRPr="004421A9" w:rsidRDefault="00B65EDC" w:rsidP="00B65EDC">
      <w:pPr>
        <w:pStyle w:val="BodyText3"/>
        <w:tabs>
          <w:tab w:val="left" w:pos="284"/>
        </w:tabs>
        <w:spacing w:after="0" w:line="360" w:lineRule="auto"/>
        <w:jc w:val="both"/>
        <w:rPr>
          <w:rFonts w:ascii="Arial" w:hAnsi="Arial" w:cs="Arial"/>
          <w:sz w:val="18"/>
          <w:szCs w:val="20"/>
        </w:rPr>
      </w:pPr>
    </w:p>
    <w:p w14:paraId="7647D316" w14:textId="77777777" w:rsidR="00B65EDC" w:rsidRPr="004421A9" w:rsidRDefault="00B65EDC" w:rsidP="00B65EDC">
      <w:pPr>
        <w:ind w:left="284" w:hanging="284"/>
        <w:jc w:val="left"/>
        <w:rPr>
          <w:rFonts w:cs="Arial"/>
          <w:b/>
          <w:color w:val="26724C" w:themeColor="accent1" w:themeShade="BF"/>
          <w:spacing w:val="-2"/>
          <w:sz w:val="18"/>
          <w:szCs w:val="16"/>
        </w:rPr>
      </w:pPr>
      <w:r w:rsidRPr="004421A9">
        <w:rPr>
          <w:rFonts w:cs="Arial"/>
          <w:b/>
          <w:color w:val="26724C" w:themeColor="accent1" w:themeShade="BF"/>
          <w:spacing w:val="-2"/>
          <w:sz w:val="18"/>
          <w:szCs w:val="16"/>
        </w:rPr>
        <w:t>B.</w:t>
      </w:r>
      <w:r w:rsidRPr="004421A9">
        <w:rPr>
          <w:rFonts w:cs="Arial"/>
          <w:b/>
          <w:color w:val="26724C" w:themeColor="accent1" w:themeShade="BF"/>
          <w:spacing w:val="-2"/>
          <w:sz w:val="18"/>
          <w:szCs w:val="16"/>
        </w:rPr>
        <w:tab/>
      </w:r>
      <w:r w:rsidRPr="004421A9">
        <w:rPr>
          <w:rFonts w:cs="Arial"/>
          <w:b/>
          <w:color w:val="26724C" w:themeColor="accent1" w:themeShade="BF"/>
          <w:sz w:val="18"/>
        </w:rPr>
        <w:t xml:space="preserve">Staaten </w:t>
      </w:r>
      <w:r w:rsidRPr="004421A9">
        <w:rPr>
          <w:rFonts w:cs="Arial"/>
          <w:b/>
          <w:color w:val="26724C" w:themeColor="accent1" w:themeShade="BF"/>
          <w:spacing w:val="-2"/>
          <w:sz w:val="18"/>
          <w:szCs w:val="16"/>
        </w:rPr>
        <w:t>und zwischenstaatliche Organisationen, die das Verfahren zum Beitritt zum UPOV-Übereinkommen eingeleitet haben</w:t>
      </w:r>
    </w:p>
    <w:p w14:paraId="3C79E782" w14:textId="77777777" w:rsidR="00B65EDC" w:rsidRPr="004421A9" w:rsidRDefault="00B65EDC" w:rsidP="00B65EDC">
      <w:pPr>
        <w:tabs>
          <w:tab w:val="left" w:pos="284"/>
        </w:tabs>
        <w:ind w:left="284"/>
        <w:rPr>
          <w:rFonts w:cs="Arial"/>
          <w:sz w:val="16"/>
          <w:szCs w:val="16"/>
        </w:rPr>
      </w:pPr>
    </w:p>
    <w:p w14:paraId="2BB32B16" w14:textId="2EF68CEE" w:rsidR="00B65EDC" w:rsidRPr="004421A9" w:rsidRDefault="00B65EDC" w:rsidP="00B65EDC">
      <w:pPr>
        <w:keepNext/>
        <w:rPr>
          <w:rFonts w:cs="Arial"/>
          <w:i/>
          <w:sz w:val="16"/>
          <w:szCs w:val="16"/>
        </w:rPr>
      </w:pPr>
      <w:r w:rsidRPr="004421A9">
        <w:rPr>
          <w:rFonts w:cs="Arial"/>
          <w:i/>
          <w:sz w:val="16"/>
          <w:szCs w:val="16"/>
        </w:rPr>
        <w:t>Staaten (</w:t>
      </w:r>
      <w:r w:rsidR="000E57DE" w:rsidRPr="004421A9">
        <w:rPr>
          <w:rFonts w:cs="Arial"/>
          <w:i/>
          <w:sz w:val="16"/>
          <w:szCs w:val="16"/>
        </w:rPr>
        <w:t>18</w:t>
      </w:r>
      <w:r w:rsidRPr="004421A9">
        <w:rPr>
          <w:rFonts w:cs="Arial"/>
          <w:i/>
          <w:sz w:val="16"/>
          <w:szCs w:val="16"/>
        </w:rPr>
        <w:t>):</w:t>
      </w:r>
    </w:p>
    <w:p w14:paraId="1388C210" w14:textId="77777777" w:rsidR="00B65EDC" w:rsidRPr="004421A9" w:rsidRDefault="00B65EDC" w:rsidP="00B65EDC">
      <w:pPr>
        <w:keepNext/>
        <w:rPr>
          <w:rFonts w:cs="Arial"/>
          <w:sz w:val="10"/>
          <w:szCs w:val="16"/>
        </w:rPr>
      </w:pPr>
    </w:p>
    <w:p w14:paraId="008995D7" w14:textId="4E0D4F28" w:rsidR="00B65EDC" w:rsidRPr="004421A9" w:rsidRDefault="00436849" w:rsidP="00B65EDC">
      <w:pPr>
        <w:rPr>
          <w:rFonts w:cs="Arial"/>
          <w:spacing w:val="-2"/>
          <w:sz w:val="16"/>
          <w:szCs w:val="16"/>
        </w:rPr>
      </w:pPr>
      <w:r w:rsidRPr="004421A9">
        <w:rPr>
          <w:rFonts w:cs="Arial"/>
          <w:spacing w:val="-2"/>
          <w:sz w:val="16"/>
          <w:szCs w:val="16"/>
        </w:rPr>
        <w:t>Afghanistan, Brunei Darussalam, Demokratische Volksrepublik Laos, Guatemala, Honduras, Indien, Iran (Islamische Republik), Jamaika, Kasachstan, Malaysia, Mauritius, Mongolei, Myanmar, Philippinen, Simbabwe, Tadschikistan, Vereinigte Arabische Emirate, Venezuela (Bolivarische Republik)</w:t>
      </w:r>
    </w:p>
    <w:p w14:paraId="39460B29" w14:textId="77777777" w:rsidR="00B65EDC" w:rsidRPr="004421A9" w:rsidRDefault="00B65EDC" w:rsidP="00B65EDC">
      <w:pPr>
        <w:rPr>
          <w:rFonts w:cs="Arial"/>
          <w:sz w:val="16"/>
          <w:szCs w:val="16"/>
        </w:rPr>
      </w:pPr>
    </w:p>
    <w:p w14:paraId="4F26E442" w14:textId="77777777" w:rsidR="00B65EDC" w:rsidRPr="004421A9" w:rsidRDefault="00B65EDC" w:rsidP="00B65EDC">
      <w:pPr>
        <w:rPr>
          <w:rFonts w:cs="Arial"/>
          <w:i/>
          <w:spacing w:val="-2"/>
          <w:sz w:val="16"/>
          <w:szCs w:val="16"/>
        </w:rPr>
      </w:pPr>
      <w:r w:rsidRPr="004421A9">
        <w:rPr>
          <w:rFonts w:cs="Arial"/>
          <w:i/>
          <w:spacing w:val="-2"/>
          <w:sz w:val="16"/>
          <w:szCs w:val="16"/>
        </w:rPr>
        <w:t>Organisation (1):</w:t>
      </w:r>
    </w:p>
    <w:p w14:paraId="220F9E68" w14:textId="77777777" w:rsidR="00B65EDC" w:rsidRPr="004421A9" w:rsidRDefault="00B65EDC" w:rsidP="00B65EDC">
      <w:pPr>
        <w:rPr>
          <w:rFonts w:cs="Arial"/>
          <w:spacing w:val="-2"/>
          <w:sz w:val="10"/>
          <w:szCs w:val="16"/>
        </w:rPr>
      </w:pPr>
    </w:p>
    <w:p w14:paraId="359491CB" w14:textId="77777777" w:rsidR="00E47E7C" w:rsidRPr="004421A9" w:rsidRDefault="00E47E7C" w:rsidP="00E47E7C">
      <w:pPr>
        <w:rPr>
          <w:rFonts w:cs="Arial"/>
          <w:sz w:val="16"/>
          <w:szCs w:val="24"/>
        </w:rPr>
      </w:pPr>
      <w:r w:rsidRPr="004421A9">
        <w:rPr>
          <w:rFonts w:cs="Arial"/>
          <w:sz w:val="16"/>
          <w:szCs w:val="24"/>
        </w:rPr>
        <w:t xml:space="preserve">Afrikanische Regionalorganisation für geistiges Eigentum (ARIPO) </w:t>
      </w:r>
    </w:p>
    <w:p w14:paraId="50D9D49A" w14:textId="1FA9F908" w:rsidR="00B65EDC" w:rsidRPr="004421A9" w:rsidRDefault="00E47E7C" w:rsidP="00E47E7C">
      <w:pPr>
        <w:rPr>
          <w:rFonts w:cs="Arial"/>
          <w:sz w:val="16"/>
          <w:szCs w:val="16"/>
        </w:rPr>
      </w:pPr>
      <w:r w:rsidRPr="004421A9">
        <w:rPr>
          <w:rFonts w:cs="Arial"/>
          <w:sz w:val="16"/>
          <w:szCs w:val="24"/>
        </w:rPr>
        <w:t>(Mitgliedsstaaten der ARIPO (22): Botsuana, Eswatini, Gambia, Ghana, Kap Verde, Kenia, Lesotho, Liberia, Malawi, Mauritius, Mosambik, Namibia, Ruanda, Sambia, São Tomé und Príncipe, Seychellen, Sierra Leone, Simbabwe, Somalia, Sudan, Uganda, Vereinigte Republik Tansania)</w:t>
      </w:r>
      <w:r w:rsidR="00B65EDC" w:rsidRPr="004421A9">
        <w:rPr>
          <w:rFonts w:cs="Arial"/>
          <w:i/>
          <w:sz w:val="16"/>
          <w:szCs w:val="24"/>
        </w:rPr>
        <w:t xml:space="preserve"> </w:t>
      </w:r>
    </w:p>
    <w:p w14:paraId="4FBDFEBF" w14:textId="77777777" w:rsidR="00B65EDC" w:rsidRPr="004421A9" w:rsidRDefault="00B65EDC" w:rsidP="00B65EDC">
      <w:pPr>
        <w:rPr>
          <w:rFonts w:cs="Arial"/>
          <w:sz w:val="16"/>
          <w:szCs w:val="16"/>
        </w:rPr>
      </w:pPr>
    </w:p>
    <w:p w14:paraId="46E2C751" w14:textId="77777777" w:rsidR="00B65EDC" w:rsidRPr="004421A9" w:rsidRDefault="00B65EDC" w:rsidP="00B65EDC">
      <w:pPr>
        <w:rPr>
          <w:rFonts w:cs="Arial"/>
          <w:sz w:val="16"/>
          <w:szCs w:val="16"/>
        </w:rPr>
      </w:pPr>
    </w:p>
    <w:p w14:paraId="050557C7" w14:textId="28E8DABF" w:rsidR="00B65EDC" w:rsidRPr="004421A9" w:rsidRDefault="00B65EDC" w:rsidP="00B65EDC">
      <w:pPr>
        <w:ind w:left="284" w:hanging="284"/>
        <w:jc w:val="left"/>
        <w:rPr>
          <w:rFonts w:cs="Arial"/>
          <w:b/>
          <w:color w:val="26724C" w:themeColor="accent1" w:themeShade="BF"/>
          <w:sz w:val="18"/>
          <w:szCs w:val="24"/>
        </w:rPr>
      </w:pPr>
      <w:r w:rsidRPr="004421A9">
        <w:rPr>
          <w:rFonts w:cs="Arial"/>
          <w:b/>
          <w:color w:val="26724C" w:themeColor="accent1" w:themeShade="BF"/>
          <w:sz w:val="18"/>
          <w:szCs w:val="24"/>
        </w:rPr>
        <w:t>C.</w:t>
      </w:r>
      <w:r w:rsidRPr="004421A9">
        <w:rPr>
          <w:rFonts w:cs="Arial"/>
          <w:b/>
          <w:color w:val="26724C" w:themeColor="accent1" w:themeShade="BF"/>
          <w:sz w:val="18"/>
          <w:szCs w:val="24"/>
        </w:rPr>
        <w:tab/>
      </w:r>
      <w:r w:rsidR="009E5C32" w:rsidRPr="004421A9">
        <w:rPr>
          <w:rFonts w:cs="Arial"/>
          <w:b/>
          <w:color w:val="26724C" w:themeColor="accent1" w:themeShade="BF"/>
          <w:sz w:val="18"/>
        </w:rPr>
        <w:t>Staaten und zwischenstaatliche Organisationen, die im Hinblick auf Unterstützung bei der Ausarbeitung von Rechtsvorschriften aufgrund des UPOV-Übereinkommens mit dem Verbandsbüro in Verbindung standen</w:t>
      </w:r>
    </w:p>
    <w:p w14:paraId="39052F9B" w14:textId="77777777" w:rsidR="00B65EDC" w:rsidRPr="004421A9" w:rsidRDefault="00B65EDC" w:rsidP="00B65EDC">
      <w:pPr>
        <w:jc w:val="center"/>
        <w:rPr>
          <w:rFonts w:cs="Arial"/>
          <w:b/>
          <w:sz w:val="18"/>
          <w:szCs w:val="24"/>
        </w:rPr>
      </w:pPr>
    </w:p>
    <w:p w14:paraId="17001DA2" w14:textId="77777777" w:rsidR="00B65EDC" w:rsidRPr="004421A9" w:rsidRDefault="00B65EDC" w:rsidP="00B65EDC">
      <w:pPr>
        <w:keepNext/>
        <w:rPr>
          <w:rFonts w:cs="Arial"/>
          <w:i/>
          <w:sz w:val="16"/>
          <w:szCs w:val="24"/>
        </w:rPr>
      </w:pPr>
      <w:r w:rsidRPr="004421A9">
        <w:rPr>
          <w:rFonts w:cs="Arial"/>
          <w:i/>
          <w:sz w:val="16"/>
          <w:szCs w:val="24"/>
        </w:rPr>
        <w:t>Staaten (28):</w:t>
      </w:r>
    </w:p>
    <w:p w14:paraId="7A7D9EE6" w14:textId="77777777" w:rsidR="00B65EDC" w:rsidRPr="004421A9" w:rsidRDefault="00B65EDC" w:rsidP="00B65EDC">
      <w:pPr>
        <w:keepNext/>
        <w:rPr>
          <w:rFonts w:cs="Arial"/>
          <w:sz w:val="10"/>
          <w:szCs w:val="24"/>
        </w:rPr>
      </w:pPr>
    </w:p>
    <w:p w14:paraId="34CBFDA8" w14:textId="77777777" w:rsidR="009C6672" w:rsidRPr="004421A9" w:rsidRDefault="009C6672" w:rsidP="009C6672">
      <w:pPr>
        <w:rPr>
          <w:rFonts w:cs="Arial"/>
          <w:spacing w:val="-2"/>
          <w:sz w:val="16"/>
          <w:szCs w:val="16"/>
        </w:rPr>
      </w:pPr>
      <w:r w:rsidRPr="004421A9">
        <w:rPr>
          <w:rFonts w:cs="Arial"/>
          <w:spacing w:val="-2"/>
          <w:sz w:val="16"/>
          <w:szCs w:val="16"/>
        </w:rPr>
        <w:t>Algerien, Antigua und Barbuda, Bahrain, Barbados, El Salvador, Gambia, Indonesien, Irak, Kambodscha, Kap Verde, Kuba, Libyen, Liechtenstein, Malawi, Mosambik, Namibia, Pakistan, Ruanda, Saudi-Arabien, Sambia, Sudan, Suriname, Thailand, Timor-Leste, Tonga, Turkmenistan, Zypern</w:t>
      </w:r>
    </w:p>
    <w:p w14:paraId="10CEDD71" w14:textId="77777777" w:rsidR="009C6672" w:rsidRPr="004421A9" w:rsidRDefault="009C6672" w:rsidP="009C6672">
      <w:pPr>
        <w:rPr>
          <w:rFonts w:cs="Arial"/>
          <w:sz w:val="16"/>
          <w:szCs w:val="24"/>
        </w:rPr>
      </w:pPr>
    </w:p>
    <w:p w14:paraId="6B11EF7F" w14:textId="77777777" w:rsidR="009C6672" w:rsidRPr="004421A9" w:rsidRDefault="009C6672" w:rsidP="009C6672">
      <w:pPr>
        <w:keepNext/>
        <w:rPr>
          <w:rFonts w:cs="Arial"/>
          <w:i/>
          <w:sz w:val="16"/>
          <w:szCs w:val="24"/>
        </w:rPr>
      </w:pPr>
      <w:r w:rsidRPr="004421A9">
        <w:rPr>
          <w:rFonts w:cs="Arial"/>
          <w:i/>
          <w:sz w:val="16"/>
          <w:szCs w:val="24"/>
        </w:rPr>
        <w:t>Organisation (1):</w:t>
      </w:r>
    </w:p>
    <w:p w14:paraId="2A1DC4DD" w14:textId="77777777" w:rsidR="009C6672" w:rsidRPr="004421A9" w:rsidRDefault="009C6672" w:rsidP="009C6672">
      <w:pPr>
        <w:keepNext/>
        <w:rPr>
          <w:rFonts w:cs="Arial"/>
          <w:sz w:val="10"/>
          <w:szCs w:val="24"/>
        </w:rPr>
      </w:pPr>
    </w:p>
    <w:p w14:paraId="53161126" w14:textId="77777777" w:rsidR="009C6672" w:rsidRPr="004421A9" w:rsidRDefault="009C6672" w:rsidP="009C6672">
      <w:pPr>
        <w:rPr>
          <w:rFonts w:cs="Arial"/>
          <w:sz w:val="16"/>
          <w:szCs w:val="24"/>
        </w:rPr>
      </w:pPr>
      <w:r w:rsidRPr="004421A9">
        <w:rPr>
          <w:rFonts w:cs="Arial"/>
          <w:sz w:val="16"/>
          <w:szCs w:val="24"/>
        </w:rPr>
        <w:t xml:space="preserve">Entwicklungsgemeinschaft des Südlichen Afrika (SADC) </w:t>
      </w:r>
    </w:p>
    <w:p w14:paraId="42830307" w14:textId="109CC7DB" w:rsidR="00B65EDC" w:rsidRPr="004421A9" w:rsidRDefault="009C6672" w:rsidP="009C6672">
      <w:pPr>
        <w:rPr>
          <w:rFonts w:cs="Arial"/>
          <w:i/>
          <w:sz w:val="16"/>
          <w:szCs w:val="24"/>
        </w:rPr>
      </w:pPr>
      <w:r w:rsidRPr="004421A9">
        <w:rPr>
          <w:rFonts w:cs="Arial"/>
          <w:i/>
          <w:sz w:val="16"/>
          <w:szCs w:val="24"/>
        </w:rPr>
        <w:t>(Mitgliedsstaaten der SADC (15): Angola, Botsuana, Demokratische Republik Kongo, Eswatini, Lesotho, Madagaskar, Malawi, Mauritius, Mosambik, Namibia, Sambia,</w:t>
      </w:r>
      <w:r w:rsidRPr="004421A9">
        <w:rPr>
          <w:rFonts w:cs="Arial"/>
          <w:i/>
          <w:iCs/>
          <w:sz w:val="16"/>
          <w:szCs w:val="24"/>
        </w:rPr>
        <w:t xml:space="preserve"> </w:t>
      </w:r>
      <w:r w:rsidRPr="004421A9">
        <w:rPr>
          <w:rFonts w:cs="Arial"/>
          <w:i/>
          <w:iCs/>
          <w:spacing w:val="-2"/>
          <w:sz w:val="16"/>
          <w:szCs w:val="16"/>
        </w:rPr>
        <w:t>Seychellen</w:t>
      </w:r>
      <w:r w:rsidRPr="004421A9">
        <w:rPr>
          <w:rFonts w:cs="Arial"/>
          <w:i/>
          <w:sz w:val="16"/>
          <w:szCs w:val="24"/>
        </w:rPr>
        <w:t>, Simbabwe, Südafrika, Vereinigte Republik Tansania)</w:t>
      </w:r>
    </w:p>
    <w:p w14:paraId="3717F8D0" w14:textId="15741709" w:rsidR="00B65EDC" w:rsidRPr="004421A9" w:rsidRDefault="00B65EDC" w:rsidP="00661A16">
      <w:pPr>
        <w:pStyle w:val="Endofdocument"/>
        <w:spacing w:before="120"/>
        <w:jc w:val="right"/>
        <w:rPr>
          <w:rFonts w:ascii="Arial" w:hAnsi="Arial" w:cs="Arial"/>
          <w:snapToGrid w:val="0"/>
          <w:color w:val="000000"/>
          <w:sz w:val="20"/>
        </w:rPr>
      </w:pPr>
      <w:r w:rsidRPr="004421A9">
        <w:rPr>
          <w:rFonts w:ascii="Arial" w:hAnsi="Arial" w:cs="Arial"/>
          <w:snapToGrid w:val="0"/>
          <w:color w:val="000000"/>
          <w:sz w:val="20"/>
        </w:rPr>
        <w:t>[Anhang II folgt]</w:t>
      </w:r>
    </w:p>
    <w:p w14:paraId="2DB1122A" w14:textId="77777777" w:rsidR="00B65EDC" w:rsidRPr="004421A9" w:rsidRDefault="00B65EDC" w:rsidP="00B65EDC">
      <w:pPr>
        <w:pStyle w:val="Endofdocument"/>
        <w:jc w:val="both"/>
        <w:rPr>
          <w:rFonts w:ascii="Arial" w:hAnsi="Arial" w:cs="Arial"/>
          <w:snapToGrid w:val="0"/>
          <w:color w:val="000000"/>
          <w:sz w:val="20"/>
        </w:rPr>
        <w:sectPr w:rsidR="00B65EDC" w:rsidRPr="004421A9" w:rsidSect="00661A16">
          <w:headerReference w:type="even" r:id="rId33"/>
          <w:footerReference w:type="even" r:id="rId34"/>
          <w:footerReference w:type="default" r:id="rId35"/>
          <w:headerReference w:type="first" r:id="rId36"/>
          <w:footerReference w:type="first" r:id="rId37"/>
          <w:type w:val="continuous"/>
          <w:pgSz w:w="11907" w:h="16840" w:code="9"/>
          <w:pgMar w:top="510" w:right="1134" w:bottom="567" w:left="1134" w:header="510" w:footer="523" w:gutter="0"/>
          <w:cols w:space="720"/>
        </w:sectPr>
      </w:pPr>
    </w:p>
    <w:p w14:paraId="7D129D7C" w14:textId="24A2CE87" w:rsidR="00B65EDC" w:rsidRPr="004421A9" w:rsidRDefault="00B65EDC" w:rsidP="004448C7">
      <w:pPr>
        <w:pStyle w:val="Heading9"/>
        <w:rPr>
          <w:lang w:val="de-DE"/>
        </w:rPr>
      </w:pPr>
      <w:bookmarkStart w:id="520" w:name="_Toc210041714"/>
      <w:r w:rsidRPr="004421A9">
        <w:rPr>
          <w:lang w:val="de-DE"/>
        </w:rPr>
        <w:lastRenderedPageBreak/>
        <w:t>Anhang II</w:t>
      </w:r>
      <w:r w:rsidRPr="004421A9">
        <w:rPr>
          <w:lang w:val="de-DE"/>
        </w:rPr>
        <w:tab/>
        <w:t xml:space="preserve">Beiträge der </w:t>
      </w:r>
      <w:r w:rsidR="00AB13E2" w:rsidRPr="004421A9">
        <w:rPr>
          <w:lang w:val="de-DE"/>
        </w:rPr>
        <w:t>Verbandsm</w:t>
      </w:r>
      <w:r w:rsidRPr="004421A9">
        <w:rPr>
          <w:lang w:val="de-DE"/>
        </w:rPr>
        <w:t>itglieder</w:t>
      </w:r>
      <w:bookmarkEnd w:id="520"/>
      <w:r w:rsidRPr="004421A9">
        <w:rPr>
          <w:lang w:val="de-DE"/>
        </w:rPr>
        <w:t xml:space="preserve"> </w:t>
      </w:r>
    </w:p>
    <w:p w14:paraId="4E30A225" w14:textId="77777777" w:rsidR="00B65EDC" w:rsidRPr="004421A9" w:rsidRDefault="00B65EDC" w:rsidP="00B65EDC">
      <w:pPr>
        <w:jc w:val="center"/>
        <w:rPr>
          <w:i/>
          <w:sz w:val="18"/>
          <w:szCs w:val="18"/>
        </w:rPr>
      </w:pPr>
    </w:p>
    <w:p w14:paraId="3AC94846" w14:textId="77777777" w:rsidR="00B65EDC" w:rsidRPr="004421A9" w:rsidRDefault="00B65EDC" w:rsidP="00B65EDC">
      <w:pPr>
        <w:spacing w:after="120"/>
        <w:jc w:val="center"/>
        <w:rPr>
          <w:i/>
          <w:caps/>
          <w:sz w:val="18"/>
          <w:szCs w:val="18"/>
        </w:rPr>
      </w:pPr>
      <w:r w:rsidRPr="004421A9">
        <w:rPr>
          <w:i/>
          <w:sz w:val="18"/>
          <w:szCs w:val="18"/>
        </w:rPr>
        <w:t>(in Schweizer Franken)</w:t>
      </w:r>
    </w:p>
    <w:tbl>
      <w:tblPr>
        <w:tblW w:w="9781" w:type="dxa"/>
        <w:tblLook w:val="04A0" w:firstRow="1" w:lastRow="0" w:firstColumn="1" w:lastColumn="0" w:noHBand="0" w:noVBand="1"/>
      </w:tblPr>
      <w:tblGrid>
        <w:gridCol w:w="1586"/>
        <w:gridCol w:w="1586"/>
        <w:gridCol w:w="2491"/>
        <w:gridCol w:w="946"/>
        <w:gridCol w:w="1586"/>
        <w:gridCol w:w="1586"/>
      </w:tblGrid>
      <w:tr w:rsidR="00D55248" w:rsidRPr="004421A9" w14:paraId="225864D4" w14:textId="77777777" w:rsidTr="00D55248">
        <w:trPr>
          <w:trHeight w:val="472"/>
          <w:tblHeader/>
        </w:trPr>
        <w:tc>
          <w:tcPr>
            <w:tcW w:w="1586" w:type="dxa"/>
            <w:tcBorders>
              <w:top w:val="nil"/>
              <w:left w:val="nil"/>
              <w:bottom w:val="nil"/>
              <w:right w:val="nil"/>
            </w:tcBorders>
            <w:shd w:val="clear" w:color="000000" w:fill="C7CFD8"/>
            <w:vAlign w:val="center"/>
            <w:hideMark/>
          </w:tcPr>
          <w:p w14:paraId="56E66F4F" w14:textId="0D93AFDF"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2024</w:t>
            </w:r>
          </w:p>
        </w:tc>
        <w:tc>
          <w:tcPr>
            <w:tcW w:w="1586" w:type="dxa"/>
            <w:tcBorders>
              <w:top w:val="nil"/>
              <w:left w:val="nil"/>
              <w:bottom w:val="nil"/>
              <w:right w:val="nil"/>
            </w:tcBorders>
            <w:shd w:val="clear" w:color="000000" w:fill="C7CFD8"/>
            <w:vAlign w:val="center"/>
            <w:hideMark/>
          </w:tcPr>
          <w:p w14:paraId="61490748" w14:textId="17DA5ECC"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2025</w:t>
            </w:r>
          </w:p>
        </w:tc>
        <w:tc>
          <w:tcPr>
            <w:tcW w:w="2491" w:type="dxa"/>
            <w:vMerge w:val="restart"/>
            <w:tcBorders>
              <w:top w:val="nil"/>
              <w:left w:val="nil"/>
              <w:bottom w:val="single" w:sz="8" w:space="0" w:color="BFBFBF"/>
              <w:right w:val="nil"/>
            </w:tcBorders>
            <w:shd w:val="clear" w:color="000000" w:fill="C7CFD8"/>
            <w:vAlign w:val="center"/>
            <w:hideMark/>
          </w:tcPr>
          <w:p w14:paraId="49A95057" w14:textId="7BD055B1"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Mitglieder</w:t>
            </w:r>
          </w:p>
        </w:tc>
        <w:tc>
          <w:tcPr>
            <w:tcW w:w="946" w:type="dxa"/>
            <w:tcBorders>
              <w:top w:val="nil"/>
              <w:left w:val="nil"/>
              <w:bottom w:val="nil"/>
              <w:right w:val="nil"/>
            </w:tcBorders>
            <w:shd w:val="clear" w:color="000000" w:fill="C7CFD8"/>
            <w:vAlign w:val="center"/>
            <w:hideMark/>
          </w:tcPr>
          <w:p w14:paraId="7F7BE4C1" w14:textId="47998744"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Anzahl</w:t>
            </w:r>
          </w:p>
        </w:tc>
        <w:tc>
          <w:tcPr>
            <w:tcW w:w="1586" w:type="dxa"/>
            <w:tcBorders>
              <w:top w:val="nil"/>
              <w:left w:val="nil"/>
              <w:bottom w:val="nil"/>
              <w:right w:val="nil"/>
            </w:tcBorders>
            <w:shd w:val="clear" w:color="000000" w:fill="C7CFD8"/>
            <w:vAlign w:val="center"/>
            <w:hideMark/>
          </w:tcPr>
          <w:p w14:paraId="4F03C76F" w14:textId="24C29A3D"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2026</w:t>
            </w:r>
          </w:p>
        </w:tc>
        <w:tc>
          <w:tcPr>
            <w:tcW w:w="1586" w:type="dxa"/>
            <w:tcBorders>
              <w:top w:val="nil"/>
              <w:left w:val="nil"/>
              <w:bottom w:val="nil"/>
              <w:right w:val="nil"/>
            </w:tcBorders>
            <w:shd w:val="clear" w:color="000000" w:fill="C7CFD8"/>
            <w:vAlign w:val="center"/>
            <w:hideMark/>
          </w:tcPr>
          <w:p w14:paraId="5F06C8F6" w14:textId="1ED73FC0"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2027</w:t>
            </w:r>
          </w:p>
        </w:tc>
      </w:tr>
      <w:tr w:rsidR="00D55248" w:rsidRPr="004421A9" w14:paraId="773BBB3A" w14:textId="77777777" w:rsidTr="00D55248">
        <w:trPr>
          <w:trHeight w:val="462"/>
          <w:tblHeader/>
        </w:trPr>
        <w:tc>
          <w:tcPr>
            <w:tcW w:w="1586" w:type="dxa"/>
            <w:tcBorders>
              <w:top w:val="nil"/>
              <w:left w:val="nil"/>
              <w:bottom w:val="single" w:sz="8" w:space="0" w:color="BFBFBF"/>
              <w:right w:val="nil"/>
            </w:tcBorders>
            <w:shd w:val="clear" w:color="000000" w:fill="C7CFD8"/>
            <w:hideMark/>
          </w:tcPr>
          <w:p w14:paraId="3420DC3A" w14:textId="45CA8A46"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In Rechnung gestellt</w:t>
            </w:r>
          </w:p>
        </w:tc>
        <w:tc>
          <w:tcPr>
            <w:tcW w:w="1586" w:type="dxa"/>
            <w:tcBorders>
              <w:top w:val="nil"/>
              <w:left w:val="nil"/>
              <w:bottom w:val="single" w:sz="8" w:space="0" w:color="BFBFBF"/>
              <w:right w:val="nil"/>
            </w:tcBorders>
            <w:shd w:val="clear" w:color="000000" w:fill="C7CFD8"/>
            <w:hideMark/>
          </w:tcPr>
          <w:p w14:paraId="6BAD7449" w14:textId="31A3B1EA"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In Rechnung gestellt</w:t>
            </w:r>
          </w:p>
        </w:tc>
        <w:tc>
          <w:tcPr>
            <w:tcW w:w="2491" w:type="dxa"/>
            <w:vMerge/>
            <w:tcBorders>
              <w:top w:val="nil"/>
              <w:left w:val="nil"/>
              <w:bottom w:val="single" w:sz="8" w:space="0" w:color="BFBFBF"/>
              <w:right w:val="nil"/>
            </w:tcBorders>
            <w:vAlign w:val="center"/>
            <w:hideMark/>
          </w:tcPr>
          <w:p w14:paraId="7852FED7" w14:textId="77777777" w:rsidR="00D55248" w:rsidRPr="004421A9" w:rsidRDefault="00D55248" w:rsidP="00D55248">
            <w:pPr>
              <w:jc w:val="left"/>
              <w:rPr>
                <w:rFonts w:ascii="Arial Narrow" w:hAnsi="Arial Narrow" w:cs="Arial"/>
                <w:b/>
                <w:bCs/>
                <w:color w:val="000000"/>
                <w:sz w:val="18"/>
                <w:szCs w:val="18"/>
              </w:rPr>
            </w:pPr>
          </w:p>
        </w:tc>
        <w:tc>
          <w:tcPr>
            <w:tcW w:w="946" w:type="dxa"/>
            <w:tcBorders>
              <w:top w:val="nil"/>
              <w:left w:val="nil"/>
              <w:bottom w:val="single" w:sz="8" w:space="0" w:color="BFBFBF"/>
              <w:right w:val="nil"/>
            </w:tcBorders>
            <w:shd w:val="clear" w:color="000000" w:fill="C7CFD8"/>
            <w:hideMark/>
          </w:tcPr>
          <w:p w14:paraId="230774B8" w14:textId="790EA250"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Einheiten</w:t>
            </w:r>
          </w:p>
        </w:tc>
        <w:tc>
          <w:tcPr>
            <w:tcW w:w="1586" w:type="dxa"/>
            <w:tcBorders>
              <w:top w:val="nil"/>
              <w:left w:val="nil"/>
              <w:bottom w:val="single" w:sz="8" w:space="0" w:color="BFBFBF"/>
              <w:right w:val="nil"/>
            </w:tcBorders>
            <w:shd w:val="clear" w:color="000000" w:fill="C7CFD8"/>
            <w:vAlign w:val="center"/>
            <w:hideMark/>
          </w:tcPr>
          <w:p w14:paraId="70157EFF" w14:textId="608B208D"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Für Rechnungsstellung geschätzt</w:t>
            </w:r>
          </w:p>
        </w:tc>
        <w:tc>
          <w:tcPr>
            <w:tcW w:w="1586" w:type="dxa"/>
            <w:tcBorders>
              <w:top w:val="nil"/>
              <w:left w:val="nil"/>
              <w:bottom w:val="single" w:sz="8" w:space="0" w:color="BFBFBF"/>
              <w:right w:val="nil"/>
            </w:tcBorders>
            <w:shd w:val="clear" w:color="000000" w:fill="C7CFD8"/>
            <w:vAlign w:val="center"/>
            <w:hideMark/>
          </w:tcPr>
          <w:p w14:paraId="03B5F9C5" w14:textId="69D274F3"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Für Rechnungsstellung geschätzt</w:t>
            </w:r>
          </w:p>
        </w:tc>
      </w:tr>
      <w:tr w:rsidR="00D55248" w:rsidRPr="004421A9" w14:paraId="009E41AB" w14:textId="77777777" w:rsidTr="00D55248">
        <w:trPr>
          <w:trHeight w:val="162"/>
        </w:trPr>
        <w:tc>
          <w:tcPr>
            <w:tcW w:w="1586" w:type="dxa"/>
            <w:tcBorders>
              <w:top w:val="nil"/>
              <w:left w:val="nil"/>
              <w:bottom w:val="nil"/>
              <w:right w:val="nil"/>
            </w:tcBorders>
            <w:vAlign w:val="center"/>
            <w:hideMark/>
          </w:tcPr>
          <w:p w14:paraId="498A96E8" w14:textId="77777777" w:rsidR="00D55248" w:rsidRPr="004421A9" w:rsidRDefault="00D55248" w:rsidP="00D55248">
            <w:pPr>
              <w:jc w:val="center"/>
              <w:rPr>
                <w:rFonts w:ascii="Arial Narrow" w:hAnsi="Arial Narrow" w:cs="Arial"/>
                <w:b/>
                <w:bCs/>
                <w:color w:val="000000"/>
                <w:sz w:val="18"/>
                <w:szCs w:val="18"/>
              </w:rPr>
            </w:pPr>
          </w:p>
        </w:tc>
        <w:tc>
          <w:tcPr>
            <w:tcW w:w="1586" w:type="dxa"/>
            <w:tcBorders>
              <w:top w:val="nil"/>
              <w:left w:val="nil"/>
              <w:bottom w:val="nil"/>
              <w:right w:val="nil"/>
            </w:tcBorders>
            <w:vAlign w:val="center"/>
            <w:hideMark/>
          </w:tcPr>
          <w:p w14:paraId="64CC1F6A" w14:textId="77777777" w:rsidR="00D55248" w:rsidRPr="004421A9" w:rsidRDefault="00D55248" w:rsidP="00D55248">
            <w:pPr>
              <w:jc w:val="right"/>
              <w:rPr>
                <w:rFonts w:ascii="Times New Roman" w:hAnsi="Times New Roman"/>
              </w:rPr>
            </w:pPr>
          </w:p>
        </w:tc>
        <w:tc>
          <w:tcPr>
            <w:tcW w:w="2491" w:type="dxa"/>
            <w:tcBorders>
              <w:top w:val="nil"/>
              <w:left w:val="nil"/>
              <w:bottom w:val="nil"/>
              <w:right w:val="nil"/>
            </w:tcBorders>
            <w:vAlign w:val="center"/>
            <w:hideMark/>
          </w:tcPr>
          <w:p w14:paraId="05DE1D3F" w14:textId="77777777" w:rsidR="00D55248" w:rsidRPr="004421A9" w:rsidRDefault="00D55248" w:rsidP="00D55248">
            <w:pPr>
              <w:jc w:val="right"/>
              <w:rPr>
                <w:rFonts w:ascii="Times New Roman" w:hAnsi="Times New Roman"/>
              </w:rPr>
            </w:pPr>
          </w:p>
        </w:tc>
        <w:tc>
          <w:tcPr>
            <w:tcW w:w="946" w:type="dxa"/>
            <w:tcBorders>
              <w:top w:val="nil"/>
              <w:left w:val="nil"/>
              <w:bottom w:val="nil"/>
              <w:right w:val="nil"/>
            </w:tcBorders>
            <w:vAlign w:val="center"/>
            <w:hideMark/>
          </w:tcPr>
          <w:p w14:paraId="3514B767" w14:textId="77777777" w:rsidR="00D55248" w:rsidRPr="004421A9" w:rsidRDefault="00D55248" w:rsidP="00D55248">
            <w:pPr>
              <w:rPr>
                <w:rFonts w:ascii="Times New Roman" w:hAnsi="Times New Roman"/>
              </w:rPr>
            </w:pPr>
          </w:p>
        </w:tc>
        <w:tc>
          <w:tcPr>
            <w:tcW w:w="1586" w:type="dxa"/>
            <w:tcBorders>
              <w:top w:val="nil"/>
              <w:left w:val="nil"/>
              <w:bottom w:val="nil"/>
              <w:right w:val="nil"/>
            </w:tcBorders>
            <w:vAlign w:val="center"/>
            <w:hideMark/>
          </w:tcPr>
          <w:p w14:paraId="76CCC920" w14:textId="77777777" w:rsidR="00D55248" w:rsidRPr="004421A9" w:rsidRDefault="00D55248" w:rsidP="00D55248">
            <w:pPr>
              <w:jc w:val="left"/>
              <w:rPr>
                <w:rFonts w:ascii="Times New Roman" w:hAnsi="Times New Roman"/>
              </w:rPr>
            </w:pPr>
          </w:p>
        </w:tc>
        <w:tc>
          <w:tcPr>
            <w:tcW w:w="1586" w:type="dxa"/>
            <w:tcBorders>
              <w:top w:val="nil"/>
              <w:left w:val="nil"/>
              <w:bottom w:val="nil"/>
              <w:right w:val="nil"/>
            </w:tcBorders>
            <w:vAlign w:val="center"/>
            <w:hideMark/>
          </w:tcPr>
          <w:p w14:paraId="294CC13E" w14:textId="77777777" w:rsidR="00D55248" w:rsidRPr="004421A9" w:rsidRDefault="00D55248" w:rsidP="00D55248">
            <w:pPr>
              <w:jc w:val="right"/>
              <w:rPr>
                <w:rFonts w:ascii="Times New Roman" w:hAnsi="Times New Roman"/>
              </w:rPr>
            </w:pPr>
          </w:p>
        </w:tc>
      </w:tr>
      <w:tr w:rsidR="000139E2" w:rsidRPr="004421A9" w14:paraId="7642F862" w14:textId="77777777" w:rsidTr="00D55248">
        <w:trPr>
          <w:trHeight w:val="256"/>
        </w:trPr>
        <w:tc>
          <w:tcPr>
            <w:tcW w:w="1586" w:type="dxa"/>
            <w:tcBorders>
              <w:top w:val="nil"/>
              <w:left w:val="nil"/>
              <w:bottom w:val="nil"/>
              <w:right w:val="nil"/>
            </w:tcBorders>
            <w:vAlign w:val="center"/>
          </w:tcPr>
          <w:p w14:paraId="5249DDF0" w14:textId="726E5A4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6D42F74" w14:textId="7CA1CA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52D76B1" w14:textId="07EF3CA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Afrikanische Organisation für geistiges Eigentum (OAPI)</w:t>
            </w:r>
          </w:p>
        </w:tc>
        <w:tc>
          <w:tcPr>
            <w:tcW w:w="946" w:type="dxa"/>
            <w:tcBorders>
              <w:top w:val="nil"/>
              <w:left w:val="nil"/>
              <w:bottom w:val="nil"/>
              <w:right w:val="nil"/>
            </w:tcBorders>
            <w:vAlign w:val="center"/>
          </w:tcPr>
          <w:p w14:paraId="7C2F4062" w14:textId="421A551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BC5F8DF" w14:textId="0DA721C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4E953DC" w14:textId="01A62B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A4ED2F2" w14:textId="77777777" w:rsidTr="00D55248">
        <w:trPr>
          <w:trHeight w:val="256"/>
        </w:trPr>
        <w:tc>
          <w:tcPr>
            <w:tcW w:w="1586" w:type="dxa"/>
            <w:tcBorders>
              <w:top w:val="nil"/>
              <w:left w:val="nil"/>
              <w:bottom w:val="nil"/>
              <w:right w:val="nil"/>
            </w:tcBorders>
            <w:vAlign w:val="center"/>
          </w:tcPr>
          <w:p w14:paraId="023FC32A" w14:textId="76CBC81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32EC399" w14:textId="44392CA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412BE45" w14:textId="5E46EC4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Ägypten</w:t>
            </w:r>
          </w:p>
        </w:tc>
        <w:tc>
          <w:tcPr>
            <w:tcW w:w="946" w:type="dxa"/>
            <w:tcBorders>
              <w:top w:val="nil"/>
              <w:left w:val="nil"/>
              <w:bottom w:val="nil"/>
              <w:right w:val="nil"/>
            </w:tcBorders>
            <w:vAlign w:val="center"/>
          </w:tcPr>
          <w:p w14:paraId="2E1A26F2" w14:textId="67CD2F0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C54EF80" w14:textId="6783DB9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174D652" w14:textId="676CF5E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69CF63B9" w14:textId="77777777" w:rsidTr="00D55248">
        <w:trPr>
          <w:trHeight w:val="256"/>
        </w:trPr>
        <w:tc>
          <w:tcPr>
            <w:tcW w:w="1586" w:type="dxa"/>
            <w:tcBorders>
              <w:top w:val="nil"/>
              <w:left w:val="nil"/>
              <w:bottom w:val="nil"/>
              <w:right w:val="nil"/>
            </w:tcBorders>
            <w:vAlign w:val="center"/>
          </w:tcPr>
          <w:p w14:paraId="5CFF4882" w14:textId="75D04F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88D7EB7" w14:textId="3860290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77430400" w14:textId="782B6E8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Albanien</w:t>
            </w:r>
          </w:p>
        </w:tc>
        <w:tc>
          <w:tcPr>
            <w:tcW w:w="946" w:type="dxa"/>
            <w:tcBorders>
              <w:top w:val="nil"/>
              <w:left w:val="nil"/>
              <w:bottom w:val="nil"/>
              <w:right w:val="nil"/>
            </w:tcBorders>
            <w:vAlign w:val="center"/>
          </w:tcPr>
          <w:p w14:paraId="60FD65D0" w14:textId="6079783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437D977" w14:textId="14C76C4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D9EA291" w14:textId="5F4E4D9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383DB54F" w14:textId="77777777" w:rsidTr="00D55248">
        <w:trPr>
          <w:trHeight w:val="256"/>
        </w:trPr>
        <w:tc>
          <w:tcPr>
            <w:tcW w:w="1586" w:type="dxa"/>
            <w:tcBorders>
              <w:top w:val="nil"/>
              <w:left w:val="nil"/>
              <w:bottom w:val="nil"/>
              <w:right w:val="nil"/>
            </w:tcBorders>
            <w:vAlign w:val="center"/>
          </w:tcPr>
          <w:p w14:paraId="5431A23F" w14:textId="5C7866B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0F2A3643" w14:textId="1B2E449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tcPr>
          <w:p w14:paraId="617066FA" w14:textId="6F92A63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Argentinien</w:t>
            </w:r>
          </w:p>
        </w:tc>
        <w:tc>
          <w:tcPr>
            <w:tcW w:w="946" w:type="dxa"/>
            <w:tcBorders>
              <w:top w:val="nil"/>
              <w:left w:val="nil"/>
              <w:bottom w:val="nil"/>
              <w:right w:val="nil"/>
            </w:tcBorders>
            <w:vAlign w:val="center"/>
          </w:tcPr>
          <w:p w14:paraId="302B7F54" w14:textId="34DEE4B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0FC092AF" w14:textId="3034780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69C7FCE4" w14:textId="0D6C5BB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1015FFB4" w14:textId="77777777" w:rsidTr="00D55248">
        <w:trPr>
          <w:trHeight w:val="256"/>
        </w:trPr>
        <w:tc>
          <w:tcPr>
            <w:tcW w:w="1586" w:type="dxa"/>
            <w:tcBorders>
              <w:top w:val="nil"/>
              <w:left w:val="nil"/>
              <w:bottom w:val="nil"/>
              <w:right w:val="nil"/>
            </w:tcBorders>
            <w:vAlign w:val="center"/>
          </w:tcPr>
          <w:p w14:paraId="3261628E" w14:textId="327A38A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w:t>
            </w:r>
          </w:p>
        </w:tc>
        <w:tc>
          <w:tcPr>
            <w:tcW w:w="1586" w:type="dxa"/>
            <w:tcBorders>
              <w:top w:val="nil"/>
              <w:left w:val="nil"/>
              <w:bottom w:val="nil"/>
              <w:right w:val="nil"/>
            </w:tcBorders>
            <w:vAlign w:val="center"/>
          </w:tcPr>
          <w:p w14:paraId="5D0EA6AB" w14:textId="4067573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61CDA18" w14:textId="07007DB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Armenien</w:t>
            </w:r>
            <w:r w:rsidRPr="004421A9">
              <w:rPr>
                <w:rFonts w:ascii="Arial Narrow" w:hAnsi="Arial Narrow" w:cs="Arial"/>
                <w:color w:val="000000"/>
                <w:sz w:val="18"/>
                <w:szCs w:val="18"/>
                <w:vertAlign w:val="superscript"/>
              </w:rPr>
              <w:t>1</w:t>
            </w:r>
          </w:p>
        </w:tc>
        <w:tc>
          <w:tcPr>
            <w:tcW w:w="946" w:type="dxa"/>
            <w:tcBorders>
              <w:top w:val="nil"/>
              <w:left w:val="nil"/>
              <w:bottom w:val="nil"/>
              <w:right w:val="nil"/>
            </w:tcBorders>
            <w:vAlign w:val="center"/>
          </w:tcPr>
          <w:p w14:paraId="6BE79ABD" w14:textId="1319FF5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2F284490" w14:textId="2E0E5FE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6DB248D" w14:textId="4F5E0FF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A2430AF" w14:textId="77777777" w:rsidTr="00D55248">
        <w:trPr>
          <w:trHeight w:val="256"/>
        </w:trPr>
        <w:tc>
          <w:tcPr>
            <w:tcW w:w="1586" w:type="dxa"/>
            <w:tcBorders>
              <w:top w:val="nil"/>
              <w:left w:val="nil"/>
              <w:bottom w:val="nil"/>
              <w:right w:val="nil"/>
            </w:tcBorders>
            <w:vAlign w:val="center"/>
          </w:tcPr>
          <w:p w14:paraId="36FF64FF" w14:textId="60E4C50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ED264D9" w14:textId="542A638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6873CD58" w14:textId="301ECD3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Aserbaidschan</w:t>
            </w:r>
          </w:p>
        </w:tc>
        <w:tc>
          <w:tcPr>
            <w:tcW w:w="946" w:type="dxa"/>
            <w:tcBorders>
              <w:top w:val="nil"/>
              <w:left w:val="nil"/>
              <w:bottom w:val="nil"/>
              <w:right w:val="nil"/>
            </w:tcBorders>
            <w:vAlign w:val="center"/>
          </w:tcPr>
          <w:p w14:paraId="3D999431" w14:textId="20BB68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7D6F2DE" w14:textId="2A29BA1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C300B0A" w14:textId="6412EED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A9B5B12" w14:textId="77777777" w:rsidTr="00D55248">
        <w:trPr>
          <w:trHeight w:val="256"/>
        </w:trPr>
        <w:tc>
          <w:tcPr>
            <w:tcW w:w="1586" w:type="dxa"/>
            <w:tcBorders>
              <w:top w:val="nil"/>
              <w:left w:val="nil"/>
              <w:bottom w:val="nil"/>
              <w:right w:val="nil"/>
            </w:tcBorders>
            <w:vAlign w:val="center"/>
          </w:tcPr>
          <w:p w14:paraId="596C904D" w14:textId="459E4F2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34E8B503" w14:textId="246F2A5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5E75022A" w14:textId="412A71B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Australien</w:t>
            </w:r>
          </w:p>
        </w:tc>
        <w:tc>
          <w:tcPr>
            <w:tcW w:w="946" w:type="dxa"/>
            <w:tcBorders>
              <w:top w:val="nil"/>
              <w:left w:val="nil"/>
              <w:bottom w:val="nil"/>
              <w:right w:val="nil"/>
            </w:tcBorders>
            <w:vAlign w:val="center"/>
          </w:tcPr>
          <w:p w14:paraId="49E0E970" w14:textId="50D8D5F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546841E8" w14:textId="3943DAB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3EB5416A" w14:textId="05DAF51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152981F1" w14:textId="77777777" w:rsidTr="00D55248">
        <w:trPr>
          <w:trHeight w:val="256"/>
        </w:trPr>
        <w:tc>
          <w:tcPr>
            <w:tcW w:w="1586" w:type="dxa"/>
            <w:tcBorders>
              <w:top w:val="nil"/>
              <w:left w:val="nil"/>
              <w:bottom w:val="nil"/>
              <w:right w:val="nil"/>
            </w:tcBorders>
            <w:vAlign w:val="center"/>
          </w:tcPr>
          <w:p w14:paraId="45019A08" w14:textId="04A9688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97EEC3C" w14:textId="569635E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539B701" w14:textId="01F5117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Belarus</w:t>
            </w:r>
          </w:p>
        </w:tc>
        <w:tc>
          <w:tcPr>
            <w:tcW w:w="946" w:type="dxa"/>
            <w:tcBorders>
              <w:top w:val="nil"/>
              <w:left w:val="nil"/>
              <w:bottom w:val="nil"/>
              <w:right w:val="nil"/>
            </w:tcBorders>
            <w:vAlign w:val="center"/>
          </w:tcPr>
          <w:p w14:paraId="522E68D8" w14:textId="0201F30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9790B3F" w14:textId="6792ED6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3B1557E" w14:textId="4CC37C5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602D808" w14:textId="77777777" w:rsidTr="00D55248">
        <w:trPr>
          <w:trHeight w:val="256"/>
        </w:trPr>
        <w:tc>
          <w:tcPr>
            <w:tcW w:w="1586" w:type="dxa"/>
            <w:tcBorders>
              <w:top w:val="nil"/>
              <w:left w:val="nil"/>
              <w:bottom w:val="nil"/>
              <w:right w:val="nil"/>
            </w:tcBorders>
            <w:vAlign w:val="center"/>
          </w:tcPr>
          <w:p w14:paraId="746AB2BE" w14:textId="08A4797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3C582C11" w14:textId="095DCAD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2491" w:type="dxa"/>
            <w:tcBorders>
              <w:top w:val="nil"/>
              <w:left w:val="nil"/>
              <w:bottom w:val="nil"/>
              <w:right w:val="nil"/>
            </w:tcBorders>
            <w:vAlign w:val="center"/>
            <w:hideMark/>
          </w:tcPr>
          <w:p w14:paraId="1D9F6A8F" w14:textId="0554287C"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Belgien </w:t>
            </w:r>
          </w:p>
        </w:tc>
        <w:tc>
          <w:tcPr>
            <w:tcW w:w="946" w:type="dxa"/>
            <w:tcBorders>
              <w:top w:val="nil"/>
              <w:left w:val="nil"/>
              <w:bottom w:val="nil"/>
              <w:right w:val="nil"/>
            </w:tcBorders>
            <w:vAlign w:val="center"/>
          </w:tcPr>
          <w:p w14:paraId="07C7B663" w14:textId="4165066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1,50</w:t>
            </w:r>
          </w:p>
        </w:tc>
        <w:tc>
          <w:tcPr>
            <w:tcW w:w="1586" w:type="dxa"/>
            <w:tcBorders>
              <w:top w:val="nil"/>
              <w:left w:val="nil"/>
              <w:bottom w:val="nil"/>
              <w:right w:val="nil"/>
            </w:tcBorders>
            <w:vAlign w:val="center"/>
          </w:tcPr>
          <w:p w14:paraId="13AC9D8E" w14:textId="79BA251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6024FCCB" w14:textId="5FD800B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r>
      <w:tr w:rsidR="000139E2" w:rsidRPr="004421A9" w14:paraId="45BB203F" w14:textId="77777777" w:rsidTr="00D55248">
        <w:trPr>
          <w:trHeight w:val="256"/>
        </w:trPr>
        <w:tc>
          <w:tcPr>
            <w:tcW w:w="1586" w:type="dxa"/>
            <w:tcBorders>
              <w:top w:val="nil"/>
              <w:left w:val="nil"/>
              <w:bottom w:val="nil"/>
              <w:right w:val="nil"/>
            </w:tcBorders>
            <w:vAlign w:val="center"/>
          </w:tcPr>
          <w:p w14:paraId="36266E0B" w14:textId="4A4129B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B586C3E" w14:textId="54A8D2B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A3D74F9" w14:textId="4DA4287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Bolivien (Plurinationaler Staat)</w:t>
            </w:r>
          </w:p>
        </w:tc>
        <w:tc>
          <w:tcPr>
            <w:tcW w:w="946" w:type="dxa"/>
            <w:tcBorders>
              <w:top w:val="nil"/>
              <w:left w:val="nil"/>
              <w:bottom w:val="nil"/>
              <w:right w:val="nil"/>
            </w:tcBorders>
            <w:vAlign w:val="center"/>
          </w:tcPr>
          <w:p w14:paraId="72BD1E0A" w14:textId="5A568EF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C365E91" w14:textId="3683E7D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CD6C11C" w14:textId="26A3F22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2486FA7" w14:textId="77777777" w:rsidTr="00D55248">
        <w:trPr>
          <w:trHeight w:val="256"/>
        </w:trPr>
        <w:tc>
          <w:tcPr>
            <w:tcW w:w="1586" w:type="dxa"/>
            <w:tcBorders>
              <w:top w:val="nil"/>
              <w:left w:val="nil"/>
              <w:bottom w:val="nil"/>
              <w:right w:val="nil"/>
            </w:tcBorders>
            <w:vAlign w:val="center"/>
          </w:tcPr>
          <w:p w14:paraId="36D0D8E5" w14:textId="42E3F9A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51D9207" w14:textId="16B8A7A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5A77B8EF" w14:textId="4C936B3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Bosnien und Herzegowina </w:t>
            </w:r>
          </w:p>
        </w:tc>
        <w:tc>
          <w:tcPr>
            <w:tcW w:w="946" w:type="dxa"/>
            <w:tcBorders>
              <w:top w:val="nil"/>
              <w:left w:val="nil"/>
              <w:bottom w:val="nil"/>
              <w:right w:val="nil"/>
            </w:tcBorders>
            <w:vAlign w:val="center"/>
          </w:tcPr>
          <w:p w14:paraId="3DFE90FA" w14:textId="71258B5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6A0C8CBA" w14:textId="013E97B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E7FA777" w14:textId="3032F5B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844AF2D" w14:textId="77777777" w:rsidTr="00D55248">
        <w:trPr>
          <w:trHeight w:val="256"/>
        </w:trPr>
        <w:tc>
          <w:tcPr>
            <w:tcW w:w="1586" w:type="dxa"/>
            <w:tcBorders>
              <w:top w:val="nil"/>
              <w:left w:val="nil"/>
              <w:bottom w:val="nil"/>
              <w:right w:val="nil"/>
            </w:tcBorders>
            <w:vAlign w:val="center"/>
          </w:tcPr>
          <w:p w14:paraId="2FF0110B" w14:textId="1CD23D0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13.410</w:t>
            </w:r>
          </w:p>
        </w:tc>
        <w:tc>
          <w:tcPr>
            <w:tcW w:w="1586" w:type="dxa"/>
            <w:tcBorders>
              <w:top w:val="nil"/>
              <w:left w:val="nil"/>
              <w:bottom w:val="nil"/>
              <w:right w:val="nil"/>
            </w:tcBorders>
            <w:vAlign w:val="center"/>
          </w:tcPr>
          <w:p w14:paraId="27CA8F64" w14:textId="5C8EDB7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13.410</w:t>
            </w:r>
          </w:p>
        </w:tc>
        <w:tc>
          <w:tcPr>
            <w:tcW w:w="2491" w:type="dxa"/>
            <w:tcBorders>
              <w:top w:val="nil"/>
              <w:left w:val="nil"/>
              <w:bottom w:val="nil"/>
              <w:right w:val="nil"/>
            </w:tcBorders>
            <w:vAlign w:val="center"/>
            <w:hideMark/>
          </w:tcPr>
          <w:p w14:paraId="20EBC93F" w14:textId="6BA03F7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Brasilien</w:t>
            </w:r>
          </w:p>
        </w:tc>
        <w:tc>
          <w:tcPr>
            <w:tcW w:w="946" w:type="dxa"/>
            <w:tcBorders>
              <w:top w:val="nil"/>
              <w:left w:val="nil"/>
              <w:bottom w:val="nil"/>
              <w:right w:val="nil"/>
            </w:tcBorders>
            <w:vAlign w:val="center"/>
          </w:tcPr>
          <w:p w14:paraId="1094282B" w14:textId="36D058D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0,25</w:t>
            </w:r>
          </w:p>
        </w:tc>
        <w:tc>
          <w:tcPr>
            <w:tcW w:w="1586" w:type="dxa"/>
            <w:tcBorders>
              <w:top w:val="nil"/>
              <w:left w:val="nil"/>
              <w:bottom w:val="nil"/>
              <w:right w:val="nil"/>
            </w:tcBorders>
            <w:vAlign w:val="center"/>
          </w:tcPr>
          <w:p w14:paraId="1ED5A887" w14:textId="31E7A97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13.410</w:t>
            </w:r>
          </w:p>
        </w:tc>
        <w:tc>
          <w:tcPr>
            <w:tcW w:w="1586" w:type="dxa"/>
            <w:tcBorders>
              <w:top w:val="nil"/>
              <w:left w:val="nil"/>
              <w:bottom w:val="nil"/>
              <w:right w:val="nil"/>
            </w:tcBorders>
            <w:vAlign w:val="center"/>
          </w:tcPr>
          <w:p w14:paraId="05AF11A6" w14:textId="2F508A6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13.410</w:t>
            </w:r>
          </w:p>
        </w:tc>
      </w:tr>
      <w:tr w:rsidR="000139E2" w:rsidRPr="004421A9" w14:paraId="70EFA79E" w14:textId="77777777" w:rsidTr="00D55248">
        <w:trPr>
          <w:trHeight w:val="256"/>
        </w:trPr>
        <w:tc>
          <w:tcPr>
            <w:tcW w:w="1586" w:type="dxa"/>
            <w:tcBorders>
              <w:top w:val="nil"/>
              <w:left w:val="nil"/>
              <w:bottom w:val="nil"/>
              <w:right w:val="nil"/>
            </w:tcBorders>
            <w:vAlign w:val="center"/>
          </w:tcPr>
          <w:p w14:paraId="6E0108B8" w14:textId="1563327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8B85D9A" w14:textId="7EB85B0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3EBA002" w14:textId="0BED649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Bulgarien</w:t>
            </w:r>
          </w:p>
        </w:tc>
        <w:tc>
          <w:tcPr>
            <w:tcW w:w="946" w:type="dxa"/>
            <w:tcBorders>
              <w:top w:val="nil"/>
              <w:left w:val="nil"/>
              <w:bottom w:val="nil"/>
              <w:right w:val="nil"/>
            </w:tcBorders>
            <w:vAlign w:val="center"/>
          </w:tcPr>
          <w:p w14:paraId="51663601" w14:textId="5B49434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932B6ED" w14:textId="3527483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9A097E3" w14:textId="0342BAE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B228EC5" w14:textId="77777777" w:rsidTr="00D55248">
        <w:trPr>
          <w:trHeight w:val="256"/>
        </w:trPr>
        <w:tc>
          <w:tcPr>
            <w:tcW w:w="1586" w:type="dxa"/>
            <w:tcBorders>
              <w:top w:val="nil"/>
              <w:left w:val="nil"/>
              <w:bottom w:val="nil"/>
              <w:right w:val="nil"/>
            </w:tcBorders>
            <w:vAlign w:val="center"/>
          </w:tcPr>
          <w:p w14:paraId="34FE5588" w14:textId="727F52B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C240312" w14:textId="1116F3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C969A03" w14:textId="0687041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Chile</w:t>
            </w:r>
          </w:p>
        </w:tc>
        <w:tc>
          <w:tcPr>
            <w:tcW w:w="946" w:type="dxa"/>
            <w:tcBorders>
              <w:top w:val="nil"/>
              <w:left w:val="nil"/>
              <w:bottom w:val="nil"/>
              <w:right w:val="nil"/>
            </w:tcBorders>
            <w:vAlign w:val="center"/>
          </w:tcPr>
          <w:p w14:paraId="289F4214" w14:textId="0900B51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0B6BCB5" w14:textId="7E5A1E9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D720B25" w14:textId="05322D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EFD7FC6" w14:textId="77777777" w:rsidTr="00D55248">
        <w:trPr>
          <w:trHeight w:val="256"/>
        </w:trPr>
        <w:tc>
          <w:tcPr>
            <w:tcW w:w="1586" w:type="dxa"/>
            <w:tcBorders>
              <w:top w:val="nil"/>
              <w:left w:val="nil"/>
              <w:bottom w:val="nil"/>
              <w:right w:val="nil"/>
            </w:tcBorders>
            <w:vAlign w:val="center"/>
          </w:tcPr>
          <w:p w14:paraId="17CBD20B" w14:textId="25A643F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0145A580" w14:textId="5CD4079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67EAC723" w14:textId="4F554CE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China</w:t>
            </w:r>
          </w:p>
        </w:tc>
        <w:tc>
          <w:tcPr>
            <w:tcW w:w="946" w:type="dxa"/>
            <w:tcBorders>
              <w:top w:val="nil"/>
              <w:left w:val="nil"/>
              <w:bottom w:val="nil"/>
              <w:right w:val="nil"/>
            </w:tcBorders>
            <w:vAlign w:val="center"/>
          </w:tcPr>
          <w:p w14:paraId="34E666EE" w14:textId="23571ED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060775E8" w14:textId="0214CDF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6742F6A8" w14:textId="403251B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33A2144C" w14:textId="77777777" w:rsidTr="00D55248">
        <w:trPr>
          <w:trHeight w:val="256"/>
        </w:trPr>
        <w:tc>
          <w:tcPr>
            <w:tcW w:w="1586" w:type="dxa"/>
            <w:tcBorders>
              <w:top w:val="nil"/>
              <w:left w:val="nil"/>
              <w:bottom w:val="nil"/>
              <w:right w:val="nil"/>
            </w:tcBorders>
            <w:vAlign w:val="center"/>
          </w:tcPr>
          <w:p w14:paraId="2E1B8242" w14:textId="14CB741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060E1B6" w14:textId="4A3A6F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FBFE4C0" w14:textId="2024F88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Costa Rica</w:t>
            </w:r>
          </w:p>
        </w:tc>
        <w:tc>
          <w:tcPr>
            <w:tcW w:w="946" w:type="dxa"/>
            <w:tcBorders>
              <w:top w:val="nil"/>
              <w:left w:val="nil"/>
              <w:bottom w:val="nil"/>
              <w:right w:val="nil"/>
            </w:tcBorders>
            <w:vAlign w:val="center"/>
          </w:tcPr>
          <w:p w14:paraId="0FB7674E" w14:textId="15B6313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A02CEBE" w14:textId="3877C1E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8C1F35E" w14:textId="25FCD41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49EB27F" w14:textId="77777777" w:rsidTr="00D55248">
        <w:trPr>
          <w:trHeight w:val="256"/>
        </w:trPr>
        <w:tc>
          <w:tcPr>
            <w:tcW w:w="1586" w:type="dxa"/>
            <w:tcBorders>
              <w:top w:val="nil"/>
              <w:left w:val="nil"/>
              <w:bottom w:val="nil"/>
              <w:right w:val="nil"/>
            </w:tcBorders>
            <w:vAlign w:val="center"/>
          </w:tcPr>
          <w:p w14:paraId="6BF17575" w14:textId="682218C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2933FF25" w14:textId="4D8AB1E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4ACFE8CF" w14:textId="3EA371B5"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Dänemark</w:t>
            </w:r>
          </w:p>
        </w:tc>
        <w:tc>
          <w:tcPr>
            <w:tcW w:w="946" w:type="dxa"/>
            <w:tcBorders>
              <w:top w:val="nil"/>
              <w:left w:val="nil"/>
              <w:bottom w:val="nil"/>
              <w:right w:val="nil"/>
            </w:tcBorders>
            <w:vAlign w:val="center"/>
          </w:tcPr>
          <w:p w14:paraId="25233A26" w14:textId="0F7C859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537A7B53" w14:textId="181D3E9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1CDA0FD9" w14:textId="0CBE4CC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66FEFA51" w14:textId="77777777" w:rsidTr="00D55248">
        <w:trPr>
          <w:trHeight w:val="256"/>
        </w:trPr>
        <w:tc>
          <w:tcPr>
            <w:tcW w:w="1586" w:type="dxa"/>
            <w:tcBorders>
              <w:top w:val="nil"/>
              <w:left w:val="nil"/>
              <w:bottom w:val="nil"/>
              <w:right w:val="nil"/>
            </w:tcBorders>
            <w:vAlign w:val="center"/>
          </w:tcPr>
          <w:p w14:paraId="0732BAF6" w14:textId="11FC611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403B168E" w14:textId="443FC9A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35DD1F5A" w14:textId="362D3C7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Deutschland</w:t>
            </w:r>
          </w:p>
        </w:tc>
        <w:tc>
          <w:tcPr>
            <w:tcW w:w="946" w:type="dxa"/>
            <w:tcBorders>
              <w:top w:val="nil"/>
              <w:left w:val="nil"/>
              <w:bottom w:val="nil"/>
              <w:right w:val="nil"/>
            </w:tcBorders>
            <w:vAlign w:val="center"/>
          </w:tcPr>
          <w:p w14:paraId="7F088A65" w14:textId="5E20A50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05B24892" w14:textId="73DC731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2396B087" w14:textId="747B798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4ABB13C9" w14:textId="77777777" w:rsidTr="00D55248">
        <w:trPr>
          <w:trHeight w:val="256"/>
        </w:trPr>
        <w:tc>
          <w:tcPr>
            <w:tcW w:w="1586" w:type="dxa"/>
            <w:tcBorders>
              <w:top w:val="nil"/>
              <w:left w:val="nil"/>
              <w:bottom w:val="nil"/>
              <w:right w:val="nil"/>
            </w:tcBorders>
            <w:vAlign w:val="center"/>
          </w:tcPr>
          <w:p w14:paraId="5ED5D602" w14:textId="7289967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C7FE9BC" w14:textId="6166594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6236B76C" w14:textId="0B42083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Dominikanische Republik</w:t>
            </w:r>
          </w:p>
        </w:tc>
        <w:tc>
          <w:tcPr>
            <w:tcW w:w="946" w:type="dxa"/>
            <w:tcBorders>
              <w:top w:val="nil"/>
              <w:left w:val="nil"/>
              <w:bottom w:val="nil"/>
              <w:right w:val="nil"/>
            </w:tcBorders>
            <w:vAlign w:val="center"/>
          </w:tcPr>
          <w:p w14:paraId="68279A2D" w14:textId="1EBB729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252986C" w14:textId="54ACFF9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5AE4C8A" w14:textId="0F1E44D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3AA1071" w14:textId="77777777" w:rsidTr="00D55248">
        <w:trPr>
          <w:trHeight w:val="256"/>
        </w:trPr>
        <w:tc>
          <w:tcPr>
            <w:tcW w:w="1586" w:type="dxa"/>
            <w:tcBorders>
              <w:top w:val="nil"/>
              <w:left w:val="nil"/>
              <w:bottom w:val="nil"/>
              <w:right w:val="nil"/>
            </w:tcBorders>
            <w:vAlign w:val="center"/>
          </w:tcPr>
          <w:p w14:paraId="05F2F511" w14:textId="28E0A9E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4B047FE" w14:textId="26F92CC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9C6CBAB" w14:textId="4A07DFD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Ecuador</w:t>
            </w:r>
          </w:p>
        </w:tc>
        <w:tc>
          <w:tcPr>
            <w:tcW w:w="946" w:type="dxa"/>
            <w:tcBorders>
              <w:top w:val="nil"/>
              <w:left w:val="nil"/>
              <w:bottom w:val="nil"/>
              <w:right w:val="nil"/>
            </w:tcBorders>
            <w:vAlign w:val="center"/>
          </w:tcPr>
          <w:p w14:paraId="2A802448" w14:textId="0E9C422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0FCAABC" w14:textId="2851A62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82EBA33" w14:textId="68337B2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68D49CDE" w14:textId="77777777" w:rsidTr="00D55248">
        <w:trPr>
          <w:trHeight w:val="256"/>
        </w:trPr>
        <w:tc>
          <w:tcPr>
            <w:tcW w:w="1586" w:type="dxa"/>
            <w:tcBorders>
              <w:top w:val="nil"/>
              <w:left w:val="nil"/>
              <w:bottom w:val="nil"/>
              <w:right w:val="nil"/>
            </w:tcBorders>
            <w:vAlign w:val="center"/>
          </w:tcPr>
          <w:p w14:paraId="6E4597B0" w14:textId="6E4AED2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ED93691" w14:textId="6CFDEEF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6E0F4DC9" w14:textId="6941CCC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Estland</w:t>
            </w:r>
          </w:p>
        </w:tc>
        <w:tc>
          <w:tcPr>
            <w:tcW w:w="946" w:type="dxa"/>
            <w:tcBorders>
              <w:top w:val="nil"/>
              <w:left w:val="nil"/>
              <w:bottom w:val="nil"/>
              <w:right w:val="nil"/>
            </w:tcBorders>
            <w:vAlign w:val="center"/>
          </w:tcPr>
          <w:p w14:paraId="5C2814A0" w14:textId="49998E2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8AC1AAA" w14:textId="66FFA52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D87ABBF" w14:textId="06AC56F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16FBB29" w14:textId="77777777" w:rsidTr="00D55248">
        <w:trPr>
          <w:trHeight w:val="256"/>
        </w:trPr>
        <w:tc>
          <w:tcPr>
            <w:tcW w:w="1586" w:type="dxa"/>
            <w:tcBorders>
              <w:top w:val="nil"/>
              <w:left w:val="nil"/>
              <w:bottom w:val="nil"/>
              <w:right w:val="nil"/>
            </w:tcBorders>
            <w:vAlign w:val="center"/>
          </w:tcPr>
          <w:p w14:paraId="3F92F2B9" w14:textId="63A7CBA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037689A3" w14:textId="15E08BD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758AF14D" w14:textId="3E6D9E2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Europäische Union</w:t>
            </w:r>
          </w:p>
        </w:tc>
        <w:tc>
          <w:tcPr>
            <w:tcW w:w="946" w:type="dxa"/>
            <w:tcBorders>
              <w:top w:val="nil"/>
              <w:left w:val="nil"/>
              <w:bottom w:val="nil"/>
              <w:right w:val="nil"/>
            </w:tcBorders>
            <w:vAlign w:val="center"/>
          </w:tcPr>
          <w:p w14:paraId="6E5814ED" w14:textId="07D5FA9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4427AEF9" w14:textId="7EDA8AD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41706F6F" w14:textId="36FB792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51FD1796" w14:textId="77777777" w:rsidTr="00D55248">
        <w:trPr>
          <w:trHeight w:val="256"/>
        </w:trPr>
        <w:tc>
          <w:tcPr>
            <w:tcW w:w="1586" w:type="dxa"/>
            <w:tcBorders>
              <w:top w:val="nil"/>
              <w:left w:val="nil"/>
              <w:bottom w:val="nil"/>
              <w:right w:val="nil"/>
            </w:tcBorders>
            <w:vAlign w:val="center"/>
          </w:tcPr>
          <w:p w14:paraId="066BD277" w14:textId="2DC90AF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7175C60A" w14:textId="5FAF6FE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4E3B7148" w14:textId="03C520F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Finnland</w:t>
            </w:r>
          </w:p>
        </w:tc>
        <w:tc>
          <w:tcPr>
            <w:tcW w:w="946" w:type="dxa"/>
            <w:tcBorders>
              <w:top w:val="nil"/>
              <w:left w:val="nil"/>
              <w:bottom w:val="nil"/>
              <w:right w:val="nil"/>
            </w:tcBorders>
            <w:vAlign w:val="center"/>
          </w:tcPr>
          <w:p w14:paraId="5975B68A" w14:textId="38EE5DD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13E8AEBE" w14:textId="6723F5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608463FF" w14:textId="55890F2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7A2AAAE1" w14:textId="77777777" w:rsidTr="00D55248">
        <w:trPr>
          <w:trHeight w:val="256"/>
        </w:trPr>
        <w:tc>
          <w:tcPr>
            <w:tcW w:w="1586" w:type="dxa"/>
            <w:tcBorders>
              <w:top w:val="nil"/>
              <w:left w:val="nil"/>
              <w:bottom w:val="nil"/>
              <w:right w:val="nil"/>
            </w:tcBorders>
            <w:vAlign w:val="center"/>
          </w:tcPr>
          <w:p w14:paraId="757EA92F" w14:textId="69E6D7B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172D6C29" w14:textId="1E5B182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449B0C94" w14:textId="1225D7A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Frankreich</w:t>
            </w:r>
          </w:p>
        </w:tc>
        <w:tc>
          <w:tcPr>
            <w:tcW w:w="946" w:type="dxa"/>
            <w:tcBorders>
              <w:top w:val="nil"/>
              <w:left w:val="nil"/>
              <w:bottom w:val="nil"/>
              <w:right w:val="nil"/>
            </w:tcBorders>
            <w:vAlign w:val="center"/>
          </w:tcPr>
          <w:p w14:paraId="0B3E5FA3" w14:textId="25924F2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72E7A9D5" w14:textId="0840907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3C6B445E" w14:textId="2622469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15F95EE7" w14:textId="77777777" w:rsidTr="00D55248">
        <w:trPr>
          <w:trHeight w:val="256"/>
        </w:trPr>
        <w:tc>
          <w:tcPr>
            <w:tcW w:w="1586" w:type="dxa"/>
            <w:tcBorders>
              <w:top w:val="nil"/>
              <w:left w:val="nil"/>
              <w:bottom w:val="nil"/>
              <w:right w:val="nil"/>
            </w:tcBorders>
            <w:vAlign w:val="center"/>
          </w:tcPr>
          <w:p w14:paraId="51EA66AF" w14:textId="314562C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872259C" w14:textId="64FFEA7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3E19A9F0" w14:textId="5AA29A6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Georgien</w:t>
            </w:r>
          </w:p>
        </w:tc>
        <w:tc>
          <w:tcPr>
            <w:tcW w:w="946" w:type="dxa"/>
            <w:tcBorders>
              <w:top w:val="nil"/>
              <w:left w:val="nil"/>
              <w:bottom w:val="nil"/>
              <w:right w:val="nil"/>
            </w:tcBorders>
            <w:vAlign w:val="center"/>
          </w:tcPr>
          <w:p w14:paraId="799934F9" w14:textId="1CDB96E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5923E07" w14:textId="580DEB0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66258E6" w14:textId="14D3A94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CAEF4DE" w14:textId="77777777" w:rsidTr="00D55248">
        <w:trPr>
          <w:trHeight w:val="256"/>
        </w:trPr>
        <w:tc>
          <w:tcPr>
            <w:tcW w:w="1586" w:type="dxa"/>
            <w:tcBorders>
              <w:top w:val="nil"/>
              <w:left w:val="nil"/>
              <w:bottom w:val="nil"/>
              <w:right w:val="nil"/>
            </w:tcBorders>
            <w:vAlign w:val="center"/>
          </w:tcPr>
          <w:p w14:paraId="1ABA7440" w14:textId="2572240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E0A74CB" w14:textId="177E4F7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722F7CC4" w14:textId="3433028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Ghana</w:t>
            </w:r>
          </w:p>
        </w:tc>
        <w:tc>
          <w:tcPr>
            <w:tcW w:w="946" w:type="dxa"/>
            <w:tcBorders>
              <w:top w:val="nil"/>
              <w:left w:val="nil"/>
              <w:bottom w:val="nil"/>
              <w:right w:val="nil"/>
            </w:tcBorders>
            <w:vAlign w:val="center"/>
          </w:tcPr>
          <w:p w14:paraId="22D25022" w14:textId="5D336A1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958F599" w14:textId="0909A30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4D2F933" w14:textId="4C4C0E4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B9DA893" w14:textId="77777777" w:rsidTr="00D55248">
        <w:trPr>
          <w:trHeight w:val="256"/>
        </w:trPr>
        <w:tc>
          <w:tcPr>
            <w:tcW w:w="1586" w:type="dxa"/>
            <w:tcBorders>
              <w:top w:val="nil"/>
              <w:left w:val="nil"/>
              <w:bottom w:val="nil"/>
              <w:right w:val="nil"/>
            </w:tcBorders>
            <w:vAlign w:val="center"/>
          </w:tcPr>
          <w:p w14:paraId="2EF4AC3C" w14:textId="0EDB93D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7B804D7D" w14:textId="3A49A7F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0429B07F" w14:textId="008E86E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Irland</w:t>
            </w:r>
          </w:p>
        </w:tc>
        <w:tc>
          <w:tcPr>
            <w:tcW w:w="946" w:type="dxa"/>
            <w:tcBorders>
              <w:top w:val="nil"/>
              <w:left w:val="nil"/>
              <w:bottom w:val="nil"/>
              <w:right w:val="nil"/>
            </w:tcBorders>
            <w:vAlign w:val="center"/>
          </w:tcPr>
          <w:p w14:paraId="4E64A3D2" w14:textId="1B76BB7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05ED8529" w14:textId="3D354FB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041A2F85" w14:textId="4F1B872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152E6FFB" w14:textId="77777777" w:rsidTr="00D55248">
        <w:trPr>
          <w:trHeight w:val="256"/>
        </w:trPr>
        <w:tc>
          <w:tcPr>
            <w:tcW w:w="1586" w:type="dxa"/>
            <w:tcBorders>
              <w:top w:val="nil"/>
              <w:left w:val="nil"/>
              <w:bottom w:val="nil"/>
              <w:right w:val="nil"/>
            </w:tcBorders>
            <w:vAlign w:val="center"/>
          </w:tcPr>
          <w:p w14:paraId="6A59167F" w14:textId="5B41B8C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6C0F328" w14:textId="652CCF2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633D2A62" w14:textId="5988919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Island</w:t>
            </w:r>
          </w:p>
        </w:tc>
        <w:tc>
          <w:tcPr>
            <w:tcW w:w="946" w:type="dxa"/>
            <w:tcBorders>
              <w:top w:val="nil"/>
              <w:left w:val="nil"/>
              <w:bottom w:val="nil"/>
              <w:right w:val="nil"/>
            </w:tcBorders>
            <w:vAlign w:val="center"/>
          </w:tcPr>
          <w:p w14:paraId="3C8FDE53" w14:textId="123B5AF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650DF21" w14:textId="116BAD7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78CF20C" w14:textId="578099B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56D49A8" w14:textId="77777777" w:rsidTr="00D55248">
        <w:trPr>
          <w:trHeight w:val="256"/>
        </w:trPr>
        <w:tc>
          <w:tcPr>
            <w:tcW w:w="1586" w:type="dxa"/>
            <w:tcBorders>
              <w:top w:val="nil"/>
              <w:left w:val="nil"/>
              <w:bottom w:val="nil"/>
              <w:right w:val="nil"/>
            </w:tcBorders>
            <w:vAlign w:val="center"/>
          </w:tcPr>
          <w:p w14:paraId="318ABDCF" w14:textId="4DD840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32A08EEF" w14:textId="6AED7F7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54982D68" w14:textId="7660AEA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Israel</w:t>
            </w:r>
          </w:p>
        </w:tc>
        <w:tc>
          <w:tcPr>
            <w:tcW w:w="946" w:type="dxa"/>
            <w:tcBorders>
              <w:top w:val="nil"/>
              <w:left w:val="nil"/>
              <w:bottom w:val="nil"/>
              <w:right w:val="nil"/>
            </w:tcBorders>
            <w:vAlign w:val="center"/>
          </w:tcPr>
          <w:p w14:paraId="6D12CCAA" w14:textId="67E42BA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05428674" w14:textId="50CB8D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642CCACF" w14:textId="63D4B4B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56901B2A" w14:textId="77777777" w:rsidTr="00D55248">
        <w:trPr>
          <w:trHeight w:val="256"/>
        </w:trPr>
        <w:tc>
          <w:tcPr>
            <w:tcW w:w="1586" w:type="dxa"/>
            <w:tcBorders>
              <w:top w:val="nil"/>
              <w:left w:val="nil"/>
              <w:bottom w:val="nil"/>
              <w:right w:val="nil"/>
            </w:tcBorders>
            <w:vAlign w:val="center"/>
          </w:tcPr>
          <w:p w14:paraId="6CAF7F6E" w14:textId="3064940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23B89127" w14:textId="08E1926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7AA5581C" w14:textId="6BEF4DC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Italien</w:t>
            </w:r>
          </w:p>
        </w:tc>
        <w:tc>
          <w:tcPr>
            <w:tcW w:w="946" w:type="dxa"/>
            <w:tcBorders>
              <w:top w:val="nil"/>
              <w:left w:val="nil"/>
              <w:bottom w:val="nil"/>
              <w:right w:val="nil"/>
            </w:tcBorders>
            <w:vAlign w:val="center"/>
          </w:tcPr>
          <w:p w14:paraId="34322D4C" w14:textId="2C5E208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040091A8" w14:textId="169D46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24E093BA" w14:textId="1B2AAAC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739ACBC5" w14:textId="77777777" w:rsidTr="00D55248">
        <w:trPr>
          <w:trHeight w:val="256"/>
        </w:trPr>
        <w:tc>
          <w:tcPr>
            <w:tcW w:w="1586" w:type="dxa"/>
            <w:tcBorders>
              <w:top w:val="nil"/>
              <w:left w:val="nil"/>
              <w:bottom w:val="nil"/>
              <w:right w:val="nil"/>
            </w:tcBorders>
            <w:vAlign w:val="center"/>
          </w:tcPr>
          <w:p w14:paraId="716EF6DE" w14:textId="7C88989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49018FF8" w14:textId="32A9801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5BFCF788" w14:textId="608298F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Japan</w:t>
            </w:r>
          </w:p>
        </w:tc>
        <w:tc>
          <w:tcPr>
            <w:tcW w:w="946" w:type="dxa"/>
            <w:tcBorders>
              <w:top w:val="nil"/>
              <w:left w:val="nil"/>
              <w:bottom w:val="nil"/>
              <w:right w:val="nil"/>
            </w:tcBorders>
            <w:vAlign w:val="center"/>
          </w:tcPr>
          <w:p w14:paraId="12B0FF77" w14:textId="5F80B9B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2B4530A7" w14:textId="25DAE84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186847E5" w14:textId="5DB1460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25D66152" w14:textId="77777777" w:rsidTr="00D55248">
        <w:trPr>
          <w:trHeight w:val="256"/>
        </w:trPr>
        <w:tc>
          <w:tcPr>
            <w:tcW w:w="1586" w:type="dxa"/>
            <w:tcBorders>
              <w:top w:val="nil"/>
              <w:left w:val="nil"/>
              <w:bottom w:val="nil"/>
              <w:right w:val="nil"/>
            </w:tcBorders>
            <w:vAlign w:val="center"/>
          </w:tcPr>
          <w:p w14:paraId="14882B85" w14:textId="306B1D3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6FA56F9" w14:textId="7226D25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CE75724" w14:textId="2E01EEE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Jordanien</w:t>
            </w:r>
          </w:p>
        </w:tc>
        <w:tc>
          <w:tcPr>
            <w:tcW w:w="946" w:type="dxa"/>
            <w:tcBorders>
              <w:top w:val="nil"/>
              <w:left w:val="nil"/>
              <w:bottom w:val="nil"/>
              <w:right w:val="nil"/>
            </w:tcBorders>
            <w:vAlign w:val="center"/>
          </w:tcPr>
          <w:p w14:paraId="2206BAE6" w14:textId="1C81426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73CD395" w14:textId="407C21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38DE6A6" w14:textId="50E5E5D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3EF453A" w14:textId="77777777" w:rsidTr="00D55248">
        <w:trPr>
          <w:trHeight w:val="256"/>
        </w:trPr>
        <w:tc>
          <w:tcPr>
            <w:tcW w:w="1586" w:type="dxa"/>
            <w:tcBorders>
              <w:top w:val="nil"/>
              <w:left w:val="nil"/>
              <w:bottom w:val="nil"/>
              <w:right w:val="nil"/>
            </w:tcBorders>
            <w:vAlign w:val="center"/>
          </w:tcPr>
          <w:p w14:paraId="2C6059BC" w14:textId="66E1856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075F5E10" w14:textId="25F7845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70A83A57" w14:textId="6ECF41D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Kanada</w:t>
            </w:r>
          </w:p>
        </w:tc>
        <w:tc>
          <w:tcPr>
            <w:tcW w:w="946" w:type="dxa"/>
            <w:tcBorders>
              <w:top w:val="nil"/>
              <w:left w:val="nil"/>
              <w:bottom w:val="nil"/>
              <w:right w:val="nil"/>
            </w:tcBorders>
            <w:vAlign w:val="center"/>
          </w:tcPr>
          <w:p w14:paraId="00D31418" w14:textId="619C36F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3CB69331" w14:textId="1098A7C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43399AAA" w14:textId="29875CB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293CB958" w14:textId="77777777" w:rsidTr="00D55248">
        <w:trPr>
          <w:trHeight w:val="256"/>
        </w:trPr>
        <w:tc>
          <w:tcPr>
            <w:tcW w:w="1586" w:type="dxa"/>
            <w:tcBorders>
              <w:top w:val="nil"/>
              <w:left w:val="nil"/>
              <w:bottom w:val="nil"/>
              <w:right w:val="nil"/>
            </w:tcBorders>
            <w:vAlign w:val="center"/>
          </w:tcPr>
          <w:p w14:paraId="5D3F70E6" w14:textId="37F7A09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5DB158C" w14:textId="7C46B02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0D68E94" w14:textId="75B26935"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Kenia</w:t>
            </w:r>
          </w:p>
        </w:tc>
        <w:tc>
          <w:tcPr>
            <w:tcW w:w="946" w:type="dxa"/>
            <w:tcBorders>
              <w:top w:val="nil"/>
              <w:left w:val="nil"/>
              <w:bottom w:val="nil"/>
              <w:right w:val="nil"/>
            </w:tcBorders>
            <w:vAlign w:val="center"/>
          </w:tcPr>
          <w:p w14:paraId="62287AC3" w14:textId="03338E0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5FA711E" w14:textId="0B2E21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3D2636A" w14:textId="5C43F86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59A9648E" w14:textId="77777777" w:rsidTr="00D55248">
        <w:trPr>
          <w:trHeight w:val="256"/>
        </w:trPr>
        <w:tc>
          <w:tcPr>
            <w:tcW w:w="1586" w:type="dxa"/>
            <w:tcBorders>
              <w:top w:val="nil"/>
              <w:left w:val="nil"/>
              <w:bottom w:val="nil"/>
              <w:right w:val="nil"/>
            </w:tcBorders>
            <w:vAlign w:val="center"/>
          </w:tcPr>
          <w:p w14:paraId="199F24A9" w14:textId="76A2263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94E2A02" w14:textId="79DD03C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6AE5490" w14:textId="19B04BE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Kirgisistan</w:t>
            </w:r>
          </w:p>
        </w:tc>
        <w:tc>
          <w:tcPr>
            <w:tcW w:w="946" w:type="dxa"/>
            <w:tcBorders>
              <w:top w:val="nil"/>
              <w:left w:val="nil"/>
              <w:bottom w:val="nil"/>
              <w:right w:val="nil"/>
            </w:tcBorders>
            <w:vAlign w:val="center"/>
          </w:tcPr>
          <w:p w14:paraId="38EED6E1" w14:textId="717A136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DB642EA" w14:textId="3FB43E8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431E84C" w14:textId="29CE3F0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1A51398" w14:textId="77777777" w:rsidTr="00D55248">
        <w:trPr>
          <w:trHeight w:val="256"/>
        </w:trPr>
        <w:tc>
          <w:tcPr>
            <w:tcW w:w="1586" w:type="dxa"/>
            <w:tcBorders>
              <w:top w:val="nil"/>
              <w:left w:val="nil"/>
              <w:bottom w:val="nil"/>
              <w:right w:val="nil"/>
            </w:tcBorders>
            <w:vAlign w:val="center"/>
          </w:tcPr>
          <w:p w14:paraId="52837739" w14:textId="2104E6F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881A52B" w14:textId="7464702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0AA25D5" w14:textId="4F6588C5"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Kolumbien</w:t>
            </w:r>
          </w:p>
        </w:tc>
        <w:tc>
          <w:tcPr>
            <w:tcW w:w="946" w:type="dxa"/>
            <w:tcBorders>
              <w:top w:val="nil"/>
              <w:left w:val="nil"/>
              <w:bottom w:val="nil"/>
              <w:right w:val="nil"/>
            </w:tcBorders>
            <w:vAlign w:val="center"/>
          </w:tcPr>
          <w:p w14:paraId="5A7A3398" w14:textId="0608A5F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D1A388B" w14:textId="34DB120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1F7FCAC" w14:textId="156F796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57758497" w14:textId="77777777" w:rsidTr="00D55248">
        <w:trPr>
          <w:trHeight w:val="256"/>
        </w:trPr>
        <w:tc>
          <w:tcPr>
            <w:tcW w:w="1586" w:type="dxa"/>
            <w:tcBorders>
              <w:top w:val="nil"/>
              <w:left w:val="nil"/>
              <w:bottom w:val="nil"/>
              <w:right w:val="nil"/>
            </w:tcBorders>
            <w:vAlign w:val="center"/>
          </w:tcPr>
          <w:p w14:paraId="64EDA880" w14:textId="1F36A1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C662120" w14:textId="7406B68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5118E4F" w14:textId="4A8576C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Kroatien</w:t>
            </w:r>
          </w:p>
        </w:tc>
        <w:tc>
          <w:tcPr>
            <w:tcW w:w="946" w:type="dxa"/>
            <w:tcBorders>
              <w:top w:val="nil"/>
              <w:left w:val="nil"/>
              <w:bottom w:val="nil"/>
              <w:right w:val="nil"/>
            </w:tcBorders>
            <w:vAlign w:val="center"/>
          </w:tcPr>
          <w:p w14:paraId="4D8D43B1" w14:textId="3EDA57F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F6AB2B8" w14:textId="548CAF2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B571960" w14:textId="31C84D4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2048183" w14:textId="77777777" w:rsidTr="00D55248">
        <w:trPr>
          <w:trHeight w:val="256"/>
        </w:trPr>
        <w:tc>
          <w:tcPr>
            <w:tcW w:w="1586" w:type="dxa"/>
            <w:tcBorders>
              <w:top w:val="nil"/>
              <w:left w:val="nil"/>
              <w:bottom w:val="nil"/>
              <w:right w:val="nil"/>
            </w:tcBorders>
            <w:vAlign w:val="center"/>
          </w:tcPr>
          <w:p w14:paraId="526C737D" w14:textId="50D618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5976C10" w14:textId="73DBA31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3D1959A2" w14:textId="75CFA5F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Lettland</w:t>
            </w:r>
          </w:p>
        </w:tc>
        <w:tc>
          <w:tcPr>
            <w:tcW w:w="946" w:type="dxa"/>
            <w:tcBorders>
              <w:top w:val="nil"/>
              <w:left w:val="nil"/>
              <w:bottom w:val="nil"/>
              <w:right w:val="nil"/>
            </w:tcBorders>
            <w:vAlign w:val="center"/>
          </w:tcPr>
          <w:p w14:paraId="1090820F" w14:textId="586F4CD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2DA23A3" w14:textId="2AB4D8C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595E1CE" w14:textId="0E29586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3CAF172" w14:textId="77777777" w:rsidTr="00D55248">
        <w:trPr>
          <w:trHeight w:val="256"/>
        </w:trPr>
        <w:tc>
          <w:tcPr>
            <w:tcW w:w="1586" w:type="dxa"/>
            <w:tcBorders>
              <w:top w:val="nil"/>
              <w:left w:val="nil"/>
              <w:bottom w:val="nil"/>
              <w:right w:val="nil"/>
            </w:tcBorders>
            <w:vAlign w:val="center"/>
          </w:tcPr>
          <w:p w14:paraId="31E96B16" w14:textId="1C02019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2BE056E" w14:textId="767BAB0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EE33004" w14:textId="7731AAB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Litauen</w:t>
            </w:r>
          </w:p>
        </w:tc>
        <w:tc>
          <w:tcPr>
            <w:tcW w:w="946" w:type="dxa"/>
            <w:tcBorders>
              <w:top w:val="nil"/>
              <w:left w:val="nil"/>
              <w:bottom w:val="nil"/>
              <w:right w:val="nil"/>
            </w:tcBorders>
            <w:vAlign w:val="center"/>
          </w:tcPr>
          <w:p w14:paraId="5CB5E83C" w14:textId="319562B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99B3D62" w14:textId="5DB92A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38EAE8B" w14:textId="056C97C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F28EAE8" w14:textId="77777777" w:rsidTr="00D55248">
        <w:trPr>
          <w:trHeight w:val="256"/>
        </w:trPr>
        <w:tc>
          <w:tcPr>
            <w:tcW w:w="1586" w:type="dxa"/>
            <w:tcBorders>
              <w:top w:val="nil"/>
              <w:left w:val="nil"/>
              <w:bottom w:val="nil"/>
              <w:right w:val="nil"/>
            </w:tcBorders>
            <w:vAlign w:val="center"/>
          </w:tcPr>
          <w:p w14:paraId="4B9D9248" w14:textId="5605CB3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701B556" w14:textId="03E6019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79694A3" w14:textId="35D6C84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Marokko</w:t>
            </w:r>
          </w:p>
        </w:tc>
        <w:tc>
          <w:tcPr>
            <w:tcW w:w="946" w:type="dxa"/>
            <w:tcBorders>
              <w:top w:val="nil"/>
              <w:left w:val="nil"/>
              <w:bottom w:val="nil"/>
              <w:right w:val="nil"/>
            </w:tcBorders>
            <w:vAlign w:val="center"/>
          </w:tcPr>
          <w:p w14:paraId="06D0F661" w14:textId="28FB00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9888D74" w14:textId="713D166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6A7670B" w14:textId="334DF13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D396ACB" w14:textId="77777777" w:rsidTr="00D55248">
        <w:trPr>
          <w:trHeight w:val="256"/>
        </w:trPr>
        <w:tc>
          <w:tcPr>
            <w:tcW w:w="1586" w:type="dxa"/>
            <w:tcBorders>
              <w:top w:val="nil"/>
              <w:left w:val="nil"/>
              <w:bottom w:val="nil"/>
              <w:right w:val="nil"/>
            </w:tcBorders>
            <w:vAlign w:val="center"/>
          </w:tcPr>
          <w:p w14:paraId="5FC8C548" w14:textId="50FB3FF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1586" w:type="dxa"/>
            <w:tcBorders>
              <w:top w:val="nil"/>
              <w:left w:val="nil"/>
              <w:bottom w:val="nil"/>
              <w:right w:val="nil"/>
            </w:tcBorders>
            <w:vAlign w:val="center"/>
          </w:tcPr>
          <w:p w14:paraId="344556DD" w14:textId="5EE7E64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2491" w:type="dxa"/>
            <w:tcBorders>
              <w:top w:val="nil"/>
              <w:left w:val="nil"/>
              <w:bottom w:val="nil"/>
              <w:right w:val="nil"/>
            </w:tcBorders>
            <w:vAlign w:val="center"/>
            <w:hideMark/>
          </w:tcPr>
          <w:p w14:paraId="632231DA" w14:textId="69CE6E5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Mexiko</w:t>
            </w:r>
          </w:p>
        </w:tc>
        <w:tc>
          <w:tcPr>
            <w:tcW w:w="946" w:type="dxa"/>
            <w:tcBorders>
              <w:top w:val="nil"/>
              <w:left w:val="nil"/>
              <w:bottom w:val="nil"/>
              <w:right w:val="nil"/>
            </w:tcBorders>
            <w:vAlign w:val="center"/>
          </w:tcPr>
          <w:p w14:paraId="31DF62AB" w14:textId="6FF38E0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0,75</w:t>
            </w:r>
          </w:p>
        </w:tc>
        <w:tc>
          <w:tcPr>
            <w:tcW w:w="1586" w:type="dxa"/>
            <w:tcBorders>
              <w:top w:val="nil"/>
              <w:left w:val="nil"/>
              <w:bottom w:val="nil"/>
              <w:right w:val="nil"/>
            </w:tcBorders>
            <w:vAlign w:val="center"/>
          </w:tcPr>
          <w:p w14:paraId="61D9183B" w14:textId="0A2ADD9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1586" w:type="dxa"/>
            <w:tcBorders>
              <w:top w:val="nil"/>
              <w:left w:val="nil"/>
              <w:bottom w:val="nil"/>
              <w:right w:val="nil"/>
            </w:tcBorders>
            <w:vAlign w:val="center"/>
          </w:tcPr>
          <w:p w14:paraId="60836EAA" w14:textId="4768F41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r>
      <w:tr w:rsidR="000139E2" w:rsidRPr="004421A9" w14:paraId="6EF9AAE4" w14:textId="77777777" w:rsidTr="00D55248">
        <w:trPr>
          <w:trHeight w:val="256"/>
        </w:trPr>
        <w:tc>
          <w:tcPr>
            <w:tcW w:w="1586" w:type="dxa"/>
            <w:tcBorders>
              <w:top w:val="nil"/>
              <w:left w:val="nil"/>
              <w:bottom w:val="nil"/>
              <w:right w:val="nil"/>
            </w:tcBorders>
            <w:vAlign w:val="center"/>
          </w:tcPr>
          <w:p w14:paraId="0EC2AAF7" w14:textId="6A84B68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D258891" w14:textId="716F626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3F4FD6B" w14:textId="442F2D7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Montenegro</w:t>
            </w:r>
          </w:p>
        </w:tc>
        <w:tc>
          <w:tcPr>
            <w:tcW w:w="946" w:type="dxa"/>
            <w:tcBorders>
              <w:top w:val="nil"/>
              <w:left w:val="nil"/>
              <w:bottom w:val="nil"/>
              <w:right w:val="nil"/>
            </w:tcBorders>
            <w:vAlign w:val="center"/>
          </w:tcPr>
          <w:p w14:paraId="68AAA412" w14:textId="1BFE393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5653B33" w14:textId="4570C02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79D0C9C" w14:textId="2A2E7BD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E710B6C" w14:textId="77777777" w:rsidTr="00D55248">
        <w:trPr>
          <w:trHeight w:val="256"/>
        </w:trPr>
        <w:tc>
          <w:tcPr>
            <w:tcW w:w="1586" w:type="dxa"/>
            <w:tcBorders>
              <w:top w:val="nil"/>
              <w:left w:val="nil"/>
              <w:bottom w:val="nil"/>
              <w:right w:val="nil"/>
            </w:tcBorders>
            <w:vAlign w:val="center"/>
          </w:tcPr>
          <w:p w14:paraId="7B1DCE15" w14:textId="4FAB8A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4177F324" w14:textId="30A2747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31B77B21" w14:textId="1DFB7F0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Neuseeland</w:t>
            </w:r>
          </w:p>
        </w:tc>
        <w:tc>
          <w:tcPr>
            <w:tcW w:w="946" w:type="dxa"/>
            <w:tcBorders>
              <w:top w:val="nil"/>
              <w:left w:val="nil"/>
              <w:bottom w:val="nil"/>
              <w:right w:val="nil"/>
            </w:tcBorders>
            <w:vAlign w:val="center"/>
          </w:tcPr>
          <w:p w14:paraId="66FB6CAA" w14:textId="7AE6FF5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5684A121" w14:textId="1F5B47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392653FE" w14:textId="7702479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469D9B85" w14:textId="77777777" w:rsidTr="00D55248">
        <w:trPr>
          <w:trHeight w:val="256"/>
        </w:trPr>
        <w:tc>
          <w:tcPr>
            <w:tcW w:w="1586" w:type="dxa"/>
            <w:tcBorders>
              <w:top w:val="nil"/>
              <w:left w:val="nil"/>
              <w:bottom w:val="nil"/>
              <w:right w:val="nil"/>
            </w:tcBorders>
            <w:vAlign w:val="center"/>
          </w:tcPr>
          <w:p w14:paraId="21CFE10A" w14:textId="35ED824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EF8F5F4" w14:textId="3D8B84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700069C1" w14:textId="3F3C10E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Nicaragua</w:t>
            </w:r>
          </w:p>
        </w:tc>
        <w:tc>
          <w:tcPr>
            <w:tcW w:w="946" w:type="dxa"/>
            <w:tcBorders>
              <w:top w:val="nil"/>
              <w:left w:val="nil"/>
              <w:bottom w:val="nil"/>
              <w:right w:val="nil"/>
            </w:tcBorders>
            <w:vAlign w:val="center"/>
          </w:tcPr>
          <w:p w14:paraId="5AE60254" w14:textId="58DBB3C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4F43C0A" w14:textId="34CED57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8B01835" w14:textId="7B55DC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3A468B4F" w14:textId="77777777" w:rsidTr="00D55248">
        <w:trPr>
          <w:trHeight w:val="256"/>
        </w:trPr>
        <w:tc>
          <w:tcPr>
            <w:tcW w:w="1586" w:type="dxa"/>
            <w:tcBorders>
              <w:top w:val="nil"/>
              <w:left w:val="nil"/>
              <w:bottom w:val="nil"/>
              <w:right w:val="nil"/>
            </w:tcBorders>
            <w:vAlign w:val="center"/>
          </w:tcPr>
          <w:p w14:paraId="2764173B" w14:textId="3C5E796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160.923</w:t>
            </w:r>
          </w:p>
        </w:tc>
        <w:tc>
          <w:tcPr>
            <w:tcW w:w="1586" w:type="dxa"/>
            <w:tcBorders>
              <w:top w:val="nil"/>
              <w:left w:val="nil"/>
              <w:bottom w:val="nil"/>
              <w:right w:val="nil"/>
            </w:tcBorders>
            <w:vAlign w:val="center"/>
          </w:tcPr>
          <w:p w14:paraId="45DC0B13" w14:textId="1847270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160.923</w:t>
            </w:r>
          </w:p>
        </w:tc>
        <w:tc>
          <w:tcPr>
            <w:tcW w:w="2491" w:type="dxa"/>
            <w:tcBorders>
              <w:top w:val="nil"/>
              <w:left w:val="nil"/>
              <w:bottom w:val="nil"/>
              <w:right w:val="nil"/>
            </w:tcBorders>
            <w:vAlign w:val="center"/>
            <w:hideMark/>
          </w:tcPr>
          <w:p w14:paraId="25A1AD2C" w14:textId="1A7F856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Niederlande (Königreich) </w:t>
            </w:r>
          </w:p>
        </w:tc>
        <w:tc>
          <w:tcPr>
            <w:tcW w:w="946" w:type="dxa"/>
            <w:tcBorders>
              <w:top w:val="nil"/>
              <w:left w:val="nil"/>
              <w:bottom w:val="nil"/>
              <w:right w:val="nil"/>
            </w:tcBorders>
            <w:vAlign w:val="center"/>
          </w:tcPr>
          <w:p w14:paraId="467D3F96" w14:textId="68554EE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3,00</w:t>
            </w:r>
          </w:p>
        </w:tc>
        <w:tc>
          <w:tcPr>
            <w:tcW w:w="1586" w:type="dxa"/>
            <w:tcBorders>
              <w:top w:val="nil"/>
              <w:left w:val="nil"/>
              <w:bottom w:val="nil"/>
              <w:right w:val="nil"/>
            </w:tcBorders>
            <w:vAlign w:val="center"/>
          </w:tcPr>
          <w:p w14:paraId="4DFD25B9" w14:textId="1897E2B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160.923</w:t>
            </w:r>
          </w:p>
        </w:tc>
        <w:tc>
          <w:tcPr>
            <w:tcW w:w="1586" w:type="dxa"/>
            <w:tcBorders>
              <w:top w:val="nil"/>
              <w:left w:val="nil"/>
              <w:bottom w:val="nil"/>
              <w:right w:val="nil"/>
            </w:tcBorders>
            <w:vAlign w:val="center"/>
          </w:tcPr>
          <w:p w14:paraId="039D07F2" w14:textId="1236434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160.923</w:t>
            </w:r>
          </w:p>
        </w:tc>
      </w:tr>
      <w:tr w:rsidR="00990CC5" w:rsidRPr="004421A9" w14:paraId="4E06C581" w14:textId="77777777" w:rsidTr="00D55248">
        <w:trPr>
          <w:trHeight w:val="256"/>
        </w:trPr>
        <w:tc>
          <w:tcPr>
            <w:tcW w:w="1586" w:type="dxa"/>
            <w:tcBorders>
              <w:top w:val="nil"/>
              <w:left w:val="nil"/>
              <w:bottom w:val="nil"/>
              <w:right w:val="nil"/>
            </w:tcBorders>
            <w:vAlign w:val="center"/>
          </w:tcPr>
          <w:p w14:paraId="76DBD93A" w14:textId="083F6AFB"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0</w:t>
            </w:r>
          </w:p>
        </w:tc>
        <w:tc>
          <w:tcPr>
            <w:tcW w:w="1586" w:type="dxa"/>
            <w:tcBorders>
              <w:top w:val="nil"/>
              <w:left w:val="nil"/>
              <w:bottom w:val="nil"/>
              <w:right w:val="nil"/>
            </w:tcBorders>
            <w:vAlign w:val="center"/>
          </w:tcPr>
          <w:p w14:paraId="6B2972B7" w14:textId="5AD387EC"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0</w:t>
            </w:r>
          </w:p>
        </w:tc>
        <w:tc>
          <w:tcPr>
            <w:tcW w:w="2491" w:type="dxa"/>
            <w:tcBorders>
              <w:top w:val="nil"/>
              <w:left w:val="nil"/>
              <w:bottom w:val="nil"/>
              <w:right w:val="nil"/>
            </w:tcBorders>
            <w:vAlign w:val="center"/>
          </w:tcPr>
          <w:p w14:paraId="3022BEDB" w14:textId="1EC91073" w:rsidR="00990CC5" w:rsidRPr="004421A9" w:rsidRDefault="00990CC5" w:rsidP="000139E2">
            <w:pPr>
              <w:jc w:val="left"/>
              <w:rPr>
                <w:rFonts w:ascii="Arial Narrow" w:hAnsi="Arial Narrow" w:cs="Arial"/>
                <w:color w:val="000000"/>
                <w:sz w:val="18"/>
                <w:szCs w:val="18"/>
              </w:rPr>
            </w:pPr>
            <w:r w:rsidRPr="004421A9">
              <w:rPr>
                <w:rFonts w:ascii="Arial Narrow" w:hAnsi="Arial Narrow" w:cs="Arial"/>
                <w:color w:val="000000"/>
                <w:sz w:val="18"/>
                <w:szCs w:val="18"/>
              </w:rPr>
              <w:t>Nigeria</w:t>
            </w:r>
            <w:r w:rsidRPr="004421A9">
              <w:rPr>
                <w:rFonts w:cs="Arial"/>
                <w:sz w:val="16"/>
                <w:szCs w:val="16"/>
                <w:vertAlign w:val="superscript"/>
              </w:rPr>
              <w:t>2</w:t>
            </w:r>
          </w:p>
        </w:tc>
        <w:tc>
          <w:tcPr>
            <w:tcW w:w="946" w:type="dxa"/>
            <w:tcBorders>
              <w:top w:val="nil"/>
              <w:left w:val="nil"/>
              <w:bottom w:val="nil"/>
              <w:right w:val="nil"/>
            </w:tcBorders>
            <w:vAlign w:val="center"/>
          </w:tcPr>
          <w:p w14:paraId="4000B272" w14:textId="711B9D9E"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5CAA5EA" w14:textId="40C3E589"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A4BEE6D" w14:textId="430881F3"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E3F1D74" w14:textId="77777777" w:rsidTr="00D55248">
        <w:trPr>
          <w:trHeight w:val="256"/>
        </w:trPr>
        <w:tc>
          <w:tcPr>
            <w:tcW w:w="1586" w:type="dxa"/>
            <w:tcBorders>
              <w:top w:val="nil"/>
              <w:left w:val="nil"/>
              <w:bottom w:val="nil"/>
              <w:right w:val="nil"/>
            </w:tcBorders>
            <w:vAlign w:val="center"/>
          </w:tcPr>
          <w:p w14:paraId="3F5B189C" w14:textId="6AE84DF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lastRenderedPageBreak/>
              <w:t>10.728</w:t>
            </w:r>
          </w:p>
        </w:tc>
        <w:tc>
          <w:tcPr>
            <w:tcW w:w="1586" w:type="dxa"/>
            <w:tcBorders>
              <w:top w:val="nil"/>
              <w:left w:val="nil"/>
              <w:bottom w:val="nil"/>
              <w:right w:val="nil"/>
            </w:tcBorders>
            <w:vAlign w:val="center"/>
          </w:tcPr>
          <w:p w14:paraId="24CBFA61" w14:textId="244E83C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0512FAF" w14:textId="72A18E64"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Nord-Mazedonien</w:t>
            </w:r>
          </w:p>
        </w:tc>
        <w:tc>
          <w:tcPr>
            <w:tcW w:w="946" w:type="dxa"/>
            <w:tcBorders>
              <w:top w:val="nil"/>
              <w:left w:val="nil"/>
              <w:bottom w:val="nil"/>
              <w:right w:val="nil"/>
            </w:tcBorders>
            <w:vAlign w:val="center"/>
          </w:tcPr>
          <w:p w14:paraId="059F1B41" w14:textId="51EF995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3E53573" w14:textId="346C75F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B405664" w14:textId="4ADE3A8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13A6237" w14:textId="77777777" w:rsidTr="00D55248">
        <w:trPr>
          <w:trHeight w:val="256"/>
        </w:trPr>
        <w:tc>
          <w:tcPr>
            <w:tcW w:w="1586" w:type="dxa"/>
            <w:tcBorders>
              <w:top w:val="nil"/>
              <w:left w:val="nil"/>
              <w:bottom w:val="nil"/>
              <w:right w:val="nil"/>
            </w:tcBorders>
            <w:vAlign w:val="center"/>
          </w:tcPr>
          <w:p w14:paraId="5659F741" w14:textId="1A9BF9A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546F6C3A" w14:textId="1635AA2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5197D153" w14:textId="13CCDFC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Norwegen</w:t>
            </w:r>
          </w:p>
        </w:tc>
        <w:tc>
          <w:tcPr>
            <w:tcW w:w="946" w:type="dxa"/>
            <w:tcBorders>
              <w:top w:val="nil"/>
              <w:left w:val="nil"/>
              <w:bottom w:val="nil"/>
              <w:right w:val="nil"/>
            </w:tcBorders>
            <w:vAlign w:val="center"/>
          </w:tcPr>
          <w:p w14:paraId="48463857" w14:textId="743DDD3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48EC3D9E" w14:textId="0EB5207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2A04B256" w14:textId="3FA806F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220F3521" w14:textId="77777777" w:rsidTr="00D55248">
        <w:trPr>
          <w:trHeight w:val="256"/>
        </w:trPr>
        <w:tc>
          <w:tcPr>
            <w:tcW w:w="1586" w:type="dxa"/>
            <w:tcBorders>
              <w:top w:val="nil"/>
              <w:left w:val="nil"/>
              <w:bottom w:val="nil"/>
              <w:right w:val="nil"/>
            </w:tcBorders>
            <w:vAlign w:val="center"/>
          </w:tcPr>
          <w:p w14:paraId="07D68AB6" w14:textId="7AA151C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4C941A78" w14:textId="1C1D86B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68C849D4" w14:textId="5D491B0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Oman</w:t>
            </w:r>
          </w:p>
        </w:tc>
        <w:tc>
          <w:tcPr>
            <w:tcW w:w="946" w:type="dxa"/>
            <w:tcBorders>
              <w:top w:val="nil"/>
              <w:left w:val="nil"/>
              <w:bottom w:val="nil"/>
              <w:right w:val="nil"/>
            </w:tcBorders>
            <w:vAlign w:val="center"/>
          </w:tcPr>
          <w:p w14:paraId="66C53ADB" w14:textId="4950F53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376FD287" w14:textId="238E5BC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57EC5F41" w14:textId="5C95945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7E239D8B" w14:textId="77777777" w:rsidTr="00D55248">
        <w:trPr>
          <w:trHeight w:val="256"/>
        </w:trPr>
        <w:tc>
          <w:tcPr>
            <w:tcW w:w="1586" w:type="dxa"/>
            <w:tcBorders>
              <w:top w:val="nil"/>
              <w:left w:val="nil"/>
              <w:bottom w:val="nil"/>
              <w:right w:val="nil"/>
            </w:tcBorders>
            <w:vAlign w:val="center"/>
          </w:tcPr>
          <w:p w14:paraId="3C75F7C6" w14:textId="430F96D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1586" w:type="dxa"/>
            <w:tcBorders>
              <w:top w:val="nil"/>
              <w:left w:val="nil"/>
              <w:bottom w:val="nil"/>
              <w:right w:val="nil"/>
            </w:tcBorders>
            <w:vAlign w:val="center"/>
          </w:tcPr>
          <w:p w14:paraId="14AF3708" w14:textId="60AC3A0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2491" w:type="dxa"/>
            <w:tcBorders>
              <w:top w:val="nil"/>
              <w:left w:val="nil"/>
              <w:bottom w:val="nil"/>
              <w:right w:val="nil"/>
            </w:tcBorders>
            <w:vAlign w:val="center"/>
          </w:tcPr>
          <w:p w14:paraId="20DEE80E" w14:textId="305AAC4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Österreich </w:t>
            </w:r>
          </w:p>
        </w:tc>
        <w:tc>
          <w:tcPr>
            <w:tcW w:w="946" w:type="dxa"/>
            <w:tcBorders>
              <w:top w:val="nil"/>
              <w:left w:val="nil"/>
              <w:bottom w:val="nil"/>
              <w:right w:val="nil"/>
            </w:tcBorders>
            <w:vAlign w:val="center"/>
          </w:tcPr>
          <w:p w14:paraId="227912C4" w14:textId="07466DB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0,75</w:t>
            </w:r>
          </w:p>
        </w:tc>
        <w:tc>
          <w:tcPr>
            <w:tcW w:w="1586" w:type="dxa"/>
            <w:tcBorders>
              <w:top w:val="nil"/>
              <w:left w:val="nil"/>
              <w:bottom w:val="nil"/>
              <w:right w:val="nil"/>
            </w:tcBorders>
            <w:vAlign w:val="center"/>
          </w:tcPr>
          <w:p w14:paraId="19D1AD17" w14:textId="5C417F4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1586" w:type="dxa"/>
            <w:tcBorders>
              <w:top w:val="nil"/>
              <w:left w:val="nil"/>
              <w:bottom w:val="nil"/>
              <w:right w:val="nil"/>
            </w:tcBorders>
            <w:vAlign w:val="center"/>
          </w:tcPr>
          <w:p w14:paraId="1BEA1490" w14:textId="639FFF0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r>
      <w:tr w:rsidR="000139E2" w:rsidRPr="004421A9" w14:paraId="367FF511" w14:textId="77777777" w:rsidTr="00D55248">
        <w:trPr>
          <w:trHeight w:val="256"/>
        </w:trPr>
        <w:tc>
          <w:tcPr>
            <w:tcW w:w="1586" w:type="dxa"/>
            <w:tcBorders>
              <w:top w:val="nil"/>
              <w:left w:val="nil"/>
              <w:bottom w:val="nil"/>
              <w:right w:val="nil"/>
            </w:tcBorders>
            <w:vAlign w:val="center"/>
          </w:tcPr>
          <w:p w14:paraId="375FD768" w14:textId="40BCF32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2D778A2" w14:textId="522916E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F3BE679" w14:textId="4EAE1EC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Panama</w:t>
            </w:r>
          </w:p>
        </w:tc>
        <w:tc>
          <w:tcPr>
            <w:tcW w:w="946" w:type="dxa"/>
            <w:tcBorders>
              <w:top w:val="nil"/>
              <w:left w:val="nil"/>
              <w:bottom w:val="nil"/>
              <w:right w:val="nil"/>
            </w:tcBorders>
            <w:vAlign w:val="center"/>
          </w:tcPr>
          <w:p w14:paraId="4805811B" w14:textId="1E1F86B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636B7C9" w14:textId="3B4D9EB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C355EBA" w14:textId="2B802A7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A911EF3" w14:textId="77777777" w:rsidTr="00D55248">
        <w:trPr>
          <w:trHeight w:val="256"/>
        </w:trPr>
        <w:tc>
          <w:tcPr>
            <w:tcW w:w="1586" w:type="dxa"/>
            <w:tcBorders>
              <w:top w:val="nil"/>
              <w:left w:val="nil"/>
              <w:bottom w:val="nil"/>
              <w:right w:val="nil"/>
            </w:tcBorders>
            <w:vAlign w:val="center"/>
          </w:tcPr>
          <w:p w14:paraId="65E94B70" w14:textId="420B870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20005B8" w14:textId="1385EAF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5E82B41" w14:textId="46C1F58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Paraguay</w:t>
            </w:r>
          </w:p>
        </w:tc>
        <w:tc>
          <w:tcPr>
            <w:tcW w:w="946" w:type="dxa"/>
            <w:tcBorders>
              <w:top w:val="nil"/>
              <w:left w:val="nil"/>
              <w:bottom w:val="nil"/>
              <w:right w:val="nil"/>
            </w:tcBorders>
            <w:vAlign w:val="center"/>
          </w:tcPr>
          <w:p w14:paraId="06D01410" w14:textId="42285F8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79E6D2C" w14:textId="59BC438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3CF1624" w14:textId="3DAC0FF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604C37AE" w14:textId="77777777" w:rsidTr="00D55248">
        <w:trPr>
          <w:trHeight w:val="256"/>
        </w:trPr>
        <w:tc>
          <w:tcPr>
            <w:tcW w:w="1586" w:type="dxa"/>
            <w:tcBorders>
              <w:top w:val="nil"/>
              <w:left w:val="nil"/>
              <w:bottom w:val="nil"/>
              <w:right w:val="nil"/>
            </w:tcBorders>
            <w:vAlign w:val="center"/>
          </w:tcPr>
          <w:p w14:paraId="7C5D08C5" w14:textId="26B4D81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8266C20" w14:textId="5DF657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50EB329" w14:textId="718BB0D4"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Peru</w:t>
            </w:r>
          </w:p>
        </w:tc>
        <w:tc>
          <w:tcPr>
            <w:tcW w:w="946" w:type="dxa"/>
            <w:tcBorders>
              <w:top w:val="nil"/>
              <w:left w:val="nil"/>
              <w:bottom w:val="nil"/>
              <w:right w:val="nil"/>
            </w:tcBorders>
            <w:vAlign w:val="center"/>
          </w:tcPr>
          <w:p w14:paraId="6FFBF3D3" w14:textId="3667E03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2FC5CDE1" w14:textId="01F9474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277FDB0" w14:textId="1BFB4B7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F82C639" w14:textId="77777777" w:rsidTr="00D55248">
        <w:trPr>
          <w:trHeight w:val="256"/>
        </w:trPr>
        <w:tc>
          <w:tcPr>
            <w:tcW w:w="1586" w:type="dxa"/>
            <w:tcBorders>
              <w:top w:val="nil"/>
              <w:left w:val="nil"/>
              <w:bottom w:val="nil"/>
              <w:right w:val="nil"/>
            </w:tcBorders>
            <w:vAlign w:val="center"/>
          </w:tcPr>
          <w:p w14:paraId="6700F9E1" w14:textId="20EBD5C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2B7F2D9E" w14:textId="1065898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4905CA0F" w14:textId="596A9B3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Polen</w:t>
            </w:r>
          </w:p>
        </w:tc>
        <w:tc>
          <w:tcPr>
            <w:tcW w:w="946" w:type="dxa"/>
            <w:tcBorders>
              <w:top w:val="nil"/>
              <w:left w:val="nil"/>
              <w:bottom w:val="nil"/>
              <w:right w:val="nil"/>
            </w:tcBorders>
            <w:vAlign w:val="center"/>
          </w:tcPr>
          <w:p w14:paraId="7E257C1C" w14:textId="052D9CD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7F173621" w14:textId="39DB505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388488D9" w14:textId="6505D8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5A9B7FFA" w14:textId="77777777" w:rsidTr="00D55248">
        <w:trPr>
          <w:trHeight w:val="256"/>
        </w:trPr>
        <w:tc>
          <w:tcPr>
            <w:tcW w:w="1586" w:type="dxa"/>
            <w:tcBorders>
              <w:top w:val="nil"/>
              <w:left w:val="nil"/>
              <w:bottom w:val="nil"/>
              <w:right w:val="nil"/>
            </w:tcBorders>
            <w:vAlign w:val="center"/>
          </w:tcPr>
          <w:p w14:paraId="66FB46EE" w14:textId="28079BC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0DD0A93" w14:textId="1C29CEF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AEB9BBE" w14:textId="2AD538B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Portugal</w:t>
            </w:r>
          </w:p>
        </w:tc>
        <w:tc>
          <w:tcPr>
            <w:tcW w:w="946" w:type="dxa"/>
            <w:tcBorders>
              <w:top w:val="nil"/>
              <w:left w:val="nil"/>
              <w:bottom w:val="nil"/>
              <w:right w:val="nil"/>
            </w:tcBorders>
            <w:vAlign w:val="center"/>
          </w:tcPr>
          <w:p w14:paraId="4BC2A8E8" w14:textId="547B64B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5D6A0CE" w14:textId="016318F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5E3AE1E" w14:textId="7B7C818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A2F240F" w14:textId="77777777" w:rsidTr="00D55248">
        <w:trPr>
          <w:trHeight w:val="256"/>
        </w:trPr>
        <w:tc>
          <w:tcPr>
            <w:tcW w:w="1586" w:type="dxa"/>
            <w:tcBorders>
              <w:top w:val="nil"/>
              <w:left w:val="nil"/>
              <w:bottom w:val="nil"/>
              <w:right w:val="nil"/>
            </w:tcBorders>
            <w:vAlign w:val="center"/>
          </w:tcPr>
          <w:p w14:paraId="1A8973D0" w14:textId="7C37F32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262CABCF" w14:textId="526631E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2491" w:type="dxa"/>
            <w:tcBorders>
              <w:top w:val="nil"/>
              <w:left w:val="nil"/>
              <w:bottom w:val="nil"/>
              <w:right w:val="nil"/>
            </w:tcBorders>
            <w:vAlign w:val="center"/>
            <w:hideMark/>
          </w:tcPr>
          <w:p w14:paraId="1AC7F559" w14:textId="1B5E5E8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Republik Korea</w:t>
            </w:r>
          </w:p>
        </w:tc>
        <w:tc>
          <w:tcPr>
            <w:tcW w:w="946" w:type="dxa"/>
            <w:tcBorders>
              <w:top w:val="nil"/>
              <w:left w:val="nil"/>
              <w:bottom w:val="nil"/>
              <w:right w:val="nil"/>
            </w:tcBorders>
            <w:vAlign w:val="center"/>
          </w:tcPr>
          <w:p w14:paraId="041C264F" w14:textId="10AD018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1,50</w:t>
            </w:r>
          </w:p>
        </w:tc>
        <w:tc>
          <w:tcPr>
            <w:tcW w:w="1586" w:type="dxa"/>
            <w:tcBorders>
              <w:top w:val="nil"/>
              <w:left w:val="nil"/>
              <w:bottom w:val="nil"/>
              <w:right w:val="nil"/>
            </w:tcBorders>
            <w:vAlign w:val="center"/>
          </w:tcPr>
          <w:p w14:paraId="46F66969" w14:textId="6A00DED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7636AA46" w14:textId="47B9ED6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r>
      <w:tr w:rsidR="000139E2" w:rsidRPr="004421A9" w14:paraId="4C8D8F16" w14:textId="77777777" w:rsidTr="00D55248">
        <w:trPr>
          <w:trHeight w:val="256"/>
        </w:trPr>
        <w:tc>
          <w:tcPr>
            <w:tcW w:w="1586" w:type="dxa"/>
            <w:tcBorders>
              <w:top w:val="nil"/>
              <w:left w:val="nil"/>
              <w:bottom w:val="nil"/>
              <w:right w:val="nil"/>
            </w:tcBorders>
            <w:vAlign w:val="center"/>
          </w:tcPr>
          <w:p w14:paraId="6D872B30" w14:textId="0C83CE0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590C52C" w14:textId="6674173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DE92930" w14:textId="060CF91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Republik Moldau</w:t>
            </w:r>
          </w:p>
        </w:tc>
        <w:tc>
          <w:tcPr>
            <w:tcW w:w="946" w:type="dxa"/>
            <w:tcBorders>
              <w:top w:val="nil"/>
              <w:left w:val="nil"/>
              <w:bottom w:val="nil"/>
              <w:right w:val="nil"/>
            </w:tcBorders>
            <w:vAlign w:val="center"/>
          </w:tcPr>
          <w:p w14:paraId="04DDE830" w14:textId="7A5FDDE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021336E" w14:textId="3437CB2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4BEF36E" w14:textId="06F8675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520B32F6" w14:textId="77777777" w:rsidTr="00D55248">
        <w:trPr>
          <w:trHeight w:val="256"/>
        </w:trPr>
        <w:tc>
          <w:tcPr>
            <w:tcW w:w="1586" w:type="dxa"/>
            <w:tcBorders>
              <w:top w:val="nil"/>
              <w:left w:val="nil"/>
              <w:bottom w:val="nil"/>
              <w:right w:val="nil"/>
            </w:tcBorders>
            <w:vAlign w:val="center"/>
          </w:tcPr>
          <w:p w14:paraId="6DB72DCF" w14:textId="7544A79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76550D7" w14:textId="1C4F619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74DB1EA5" w14:textId="7221F64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Rumänien</w:t>
            </w:r>
          </w:p>
        </w:tc>
        <w:tc>
          <w:tcPr>
            <w:tcW w:w="946" w:type="dxa"/>
            <w:tcBorders>
              <w:top w:val="nil"/>
              <w:left w:val="nil"/>
              <w:bottom w:val="nil"/>
              <w:right w:val="nil"/>
            </w:tcBorders>
            <w:vAlign w:val="center"/>
          </w:tcPr>
          <w:p w14:paraId="15339847" w14:textId="390DC90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765AAD7" w14:textId="6E1C90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257EC26" w14:textId="58123B2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50D8F40E" w14:textId="77777777" w:rsidTr="00D55248">
        <w:trPr>
          <w:trHeight w:val="256"/>
        </w:trPr>
        <w:tc>
          <w:tcPr>
            <w:tcW w:w="1586" w:type="dxa"/>
            <w:tcBorders>
              <w:top w:val="nil"/>
              <w:left w:val="nil"/>
              <w:bottom w:val="nil"/>
              <w:right w:val="nil"/>
            </w:tcBorders>
            <w:vAlign w:val="center"/>
          </w:tcPr>
          <w:p w14:paraId="12AEFA4F" w14:textId="6FC02B6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DC5749A" w14:textId="7CC84B0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7B1711DB" w14:textId="78879C1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Russische Föderation </w:t>
            </w:r>
          </w:p>
        </w:tc>
        <w:tc>
          <w:tcPr>
            <w:tcW w:w="946" w:type="dxa"/>
            <w:tcBorders>
              <w:top w:val="nil"/>
              <w:left w:val="nil"/>
              <w:bottom w:val="nil"/>
              <w:right w:val="nil"/>
            </w:tcBorders>
            <w:vAlign w:val="center"/>
          </w:tcPr>
          <w:p w14:paraId="3F14FD90" w14:textId="106C09D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235052A8" w14:textId="219E5E7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B7FCC99" w14:textId="522F60D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03811E33" w14:textId="77777777" w:rsidTr="00D55248">
        <w:trPr>
          <w:trHeight w:val="256"/>
        </w:trPr>
        <w:tc>
          <w:tcPr>
            <w:tcW w:w="1586" w:type="dxa"/>
            <w:tcBorders>
              <w:top w:val="nil"/>
              <w:left w:val="nil"/>
              <w:bottom w:val="nil"/>
              <w:right w:val="nil"/>
            </w:tcBorders>
            <w:vAlign w:val="center"/>
          </w:tcPr>
          <w:p w14:paraId="2E179B33" w14:textId="62A63F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5AA9AC66" w14:textId="2CF16B5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2491" w:type="dxa"/>
            <w:tcBorders>
              <w:top w:val="nil"/>
              <w:left w:val="nil"/>
              <w:bottom w:val="nil"/>
              <w:right w:val="nil"/>
            </w:tcBorders>
            <w:vAlign w:val="center"/>
            <w:hideMark/>
          </w:tcPr>
          <w:p w14:paraId="3A4799B9" w14:textId="4254B8B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Schweden</w:t>
            </w:r>
            <w:r w:rsidR="00990CC5" w:rsidRPr="004421A9">
              <w:rPr>
                <w:rFonts w:cs="Arial"/>
                <w:sz w:val="16"/>
                <w:szCs w:val="16"/>
                <w:vertAlign w:val="superscript"/>
              </w:rPr>
              <w:t>3</w:t>
            </w:r>
          </w:p>
        </w:tc>
        <w:tc>
          <w:tcPr>
            <w:tcW w:w="946" w:type="dxa"/>
            <w:tcBorders>
              <w:top w:val="nil"/>
              <w:left w:val="nil"/>
              <w:bottom w:val="nil"/>
              <w:right w:val="nil"/>
            </w:tcBorders>
            <w:vAlign w:val="center"/>
          </w:tcPr>
          <w:p w14:paraId="67E131C9" w14:textId="5503F42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453FD538" w14:textId="5C0CC80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3CE3A015" w14:textId="580668B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74334E8E" w14:textId="77777777" w:rsidTr="00D55248">
        <w:trPr>
          <w:trHeight w:val="256"/>
        </w:trPr>
        <w:tc>
          <w:tcPr>
            <w:tcW w:w="1586" w:type="dxa"/>
            <w:tcBorders>
              <w:top w:val="nil"/>
              <w:left w:val="nil"/>
              <w:bottom w:val="nil"/>
              <w:right w:val="nil"/>
            </w:tcBorders>
            <w:vAlign w:val="center"/>
          </w:tcPr>
          <w:p w14:paraId="0B703278" w14:textId="719288D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6A4CD1F3" w14:textId="60481BA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2491" w:type="dxa"/>
            <w:tcBorders>
              <w:top w:val="nil"/>
              <w:left w:val="nil"/>
              <w:bottom w:val="nil"/>
              <w:right w:val="nil"/>
            </w:tcBorders>
            <w:vAlign w:val="center"/>
            <w:hideMark/>
          </w:tcPr>
          <w:p w14:paraId="201F4580" w14:textId="3F50A6C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Schweiz</w:t>
            </w:r>
          </w:p>
        </w:tc>
        <w:tc>
          <w:tcPr>
            <w:tcW w:w="946" w:type="dxa"/>
            <w:tcBorders>
              <w:top w:val="nil"/>
              <w:left w:val="nil"/>
              <w:bottom w:val="nil"/>
              <w:right w:val="nil"/>
            </w:tcBorders>
            <w:vAlign w:val="center"/>
          </w:tcPr>
          <w:p w14:paraId="6AB9FA64" w14:textId="1732533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1,50</w:t>
            </w:r>
          </w:p>
        </w:tc>
        <w:tc>
          <w:tcPr>
            <w:tcW w:w="1586" w:type="dxa"/>
            <w:tcBorders>
              <w:top w:val="nil"/>
              <w:left w:val="nil"/>
              <w:bottom w:val="nil"/>
              <w:right w:val="nil"/>
            </w:tcBorders>
            <w:vAlign w:val="center"/>
          </w:tcPr>
          <w:p w14:paraId="7BC7C5B0" w14:textId="71964EC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39F7D857" w14:textId="4FC1024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r>
      <w:tr w:rsidR="000139E2" w:rsidRPr="004421A9" w14:paraId="5F440A2A" w14:textId="77777777" w:rsidTr="00D55248">
        <w:trPr>
          <w:trHeight w:val="256"/>
        </w:trPr>
        <w:tc>
          <w:tcPr>
            <w:tcW w:w="1586" w:type="dxa"/>
            <w:tcBorders>
              <w:top w:val="nil"/>
              <w:left w:val="nil"/>
              <w:bottom w:val="nil"/>
              <w:right w:val="nil"/>
            </w:tcBorders>
            <w:vAlign w:val="center"/>
          </w:tcPr>
          <w:p w14:paraId="6F598C54" w14:textId="6C480CB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9695E56" w14:textId="7E0FB49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3A54F1C5" w14:textId="0BCBE0B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Serbien</w:t>
            </w:r>
          </w:p>
        </w:tc>
        <w:tc>
          <w:tcPr>
            <w:tcW w:w="946" w:type="dxa"/>
            <w:tcBorders>
              <w:top w:val="nil"/>
              <w:left w:val="nil"/>
              <w:bottom w:val="nil"/>
              <w:right w:val="nil"/>
            </w:tcBorders>
            <w:vAlign w:val="center"/>
          </w:tcPr>
          <w:p w14:paraId="67CBD4F3" w14:textId="3746DFE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1B56BEF" w14:textId="4D21DDE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7FA7AC0" w14:textId="006EB7F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3BAE6BA" w14:textId="77777777" w:rsidTr="00D55248">
        <w:trPr>
          <w:trHeight w:val="256"/>
        </w:trPr>
        <w:tc>
          <w:tcPr>
            <w:tcW w:w="1586" w:type="dxa"/>
            <w:tcBorders>
              <w:top w:val="nil"/>
              <w:left w:val="nil"/>
              <w:bottom w:val="nil"/>
              <w:right w:val="nil"/>
            </w:tcBorders>
            <w:vAlign w:val="center"/>
          </w:tcPr>
          <w:p w14:paraId="5046D52F" w14:textId="0FB516D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86D4371" w14:textId="7DFC0CA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2C117F3" w14:textId="04E0CE3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Singapur</w:t>
            </w:r>
          </w:p>
        </w:tc>
        <w:tc>
          <w:tcPr>
            <w:tcW w:w="946" w:type="dxa"/>
            <w:tcBorders>
              <w:top w:val="nil"/>
              <w:left w:val="nil"/>
              <w:bottom w:val="nil"/>
              <w:right w:val="nil"/>
            </w:tcBorders>
            <w:vAlign w:val="center"/>
          </w:tcPr>
          <w:p w14:paraId="64C08D35" w14:textId="6D116A8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9F6127B" w14:textId="4F6CE8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02FC590" w14:textId="633769D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CE0F515" w14:textId="77777777" w:rsidTr="00D55248">
        <w:trPr>
          <w:trHeight w:val="256"/>
        </w:trPr>
        <w:tc>
          <w:tcPr>
            <w:tcW w:w="1586" w:type="dxa"/>
            <w:tcBorders>
              <w:top w:val="nil"/>
              <w:left w:val="nil"/>
              <w:bottom w:val="nil"/>
              <w:right w:val="nil"/>
            </w:tcBorders>
            <w:vAlign w:val="center"/>
          </w:tcPr>
          <w:p w14:paraId="74323700" w14:textId="3BAD4A7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4574E386" w14:textId="09F34B4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30497481" w14:textId="23E7B5A5"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Slowakei</w:t>
            </w:r>
          </w:p>
        </w:tc>
        <w:tc>
          <w:tcPr>
            <w:tcW w:w="946" w:type="dxa"/>
            <w:tcBorders>
              <w:top w:val="nil"/>
              <w:left w:val="nil"/>
              <w:bottom w:val="nil"/>
              <w:right w:val="nil"/>
            </w:tcBorders>
            <w:vAlign w:val="center"/>
          </w:tcPr>
          <w:p w14:paraId="0D075720" w14:textId="545FFA4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6DA62D6E" w14:textId="2FD89E9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1B29C7C1" w14:textId="777C817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77DA9619" w14:textId="77777777" w:rsidTr="00D55248">
        <w:trPr>
          <w:trHeight w:val="256"/>
        </w:trPr>
        <w:tc>
          <w:tcPr>
            <w:tcW w:w="1586" w:type="dxa"/>
            <w:tcBorders>
              <w:top w:val="nil"/>
              <w:left w:val="nil"/>
              <w:bottom w:val="nil"/>
              <w:right w:val="nil"/>
            </w:tcBorders>
            <w:vAlign w:val="center"/>
          </w:tcPr>
          <w:p w14:paraId="4D26E26C" w14:textId="0977AE2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7C92120" w14:textId="3C0BB6C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A08A4F0" w14:textId="482D889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Slowenien</w:t>
            </w:r>
          </w:p>
        </w:tc>
        <w:tc>
          <w:tcPr>
            <w:tcW w:w="946" w:type="dxa"/>
            <w:tcBorders>
              <w:top w:val="nil"/>
              <w:left w:val="nil"/>
              <w:bottom w:val="nil"/>
              <w:right w:val="nil"/>
            </w:tcBorders>
            <w:vAlign w:val="center"/>
          </w:tcPr>
          <w:p w14:paraId="28AC5CA3" w14:textId="1E8DCDE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76A9DB2" w14:textId="1887438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030B69D" w14:textId="6796AC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3F4585D5" w14:textId="77777777" w:rsidTr="00D55248">
        <w:trPr>
          <w:trHeight w:val="256"/>
        </w:trPr>
        <w:tc>
          <w:tcPr>
            <w:tcW w:w="1586" w:type="dxa"/>
            <w:tcBorders>
              <w:top w:val="nil"/>
              <w:left w:val="nil"/>
              <w:bottom w:val="nil"/>
              <w:right w:val="nil"/>
            </w:tcBorders>
            <w:vAlign w:val="center"/>
          </w:tcPr>
          <w:p w14:paraId="17BD40F5" w14:textId="41DAEB7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271C4DB" w14:textId="37E7D79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7199D4D4" w14:textId="35BDFEB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Spanien</w:t>
            </w:r>
          </w:p>
        </w:tc>
        <w:tc>
          <w:tcPr>
            <w:tcW w:w="946" w:type="dxa"/>
            <w:tcBorders>
              <w:top w:val="nil"/>
              <w:left w:val="nil"/>
              <w:bottom w:val="nil"/>
              <w:right w:val="nil"/>
            </w:tcBorders>
            <w:vAlign w:val="center"/>
          </w:tcPr>
          <w:p w14:paraId="3586CFF6" w14:textId="19562B2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0FE4EF74" w14:textId="6E491F3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CC2FBDF" w14:textId="4A5A9BB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2F1511D6" w14:textId="77777777" w:rsidTr="00D55248">
        <w:trPr>
          <w:trHeight w:val="256"/>
        </w:trPr>
        <w:tc>
          <w:tcPr>
            <w:tcW w:w="1586" w:type="dxa"/>
            <w:tcBorders>
              <w:top w:val="nil"/>
              <w:left w:val="nil"/>
              <w:bottom w:val="nil"/>
              <w:right w:val="nil"/>
            </w:tcBorders>
            <w:vAlign w:val="center"/>
          </w:tcPr>
          <w:p w14:paraId="692C24D4" w14:textId="4E40CE4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D8DBACC" w14:textId="73EF6F6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143FF86" w14:textId="3D8D0D9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St. Vincent und die Grenadinen</w:t>
            </w:r>
          </w:p>
        </w:tc>
        <w:tc>
          <w:tcPr>
            <w:tcW w:w="946" w:type="dxa"/>
            <w:tcBorders>
              <w:top w:val="nil"/>
              <w:left w:val="nil"/>
              <w:bottom w:val="nil"/>
              <w:right w:val="nil"/>
            </w:tcBorders>
            <w:vAlign w:val="center"/>
          </w:tcPr>
          <w:p w14:paraId="48AE823C" w14:textId="3C82F1D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69C7075E" w14:textId="4E4AAC0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3729D9B" w14:textId="6A28DAF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D6E2C02" w14:textId="77777777" w:rsidTr="00D55248">
        <w:trPr>
          <w:trHeight w:val="256"/>
        </w:trPr>
        <w:tc>
          <w:tcPr>
            <w:tcW w:w="1586" w:type="dxa"/>
            <w:tcBorders>
              <w:top w:val="nil"/>
              <w:left w:val="nil"/>
              <w:bottom w:val="nil"/>
              <w:right w:val="nil"/>
            </w:tcBorders>
            <w:vAlign w:val="center"/>
          </w:tcPr>
          <w:p w14:paraId="565A0001" w14:textId="0256F5D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55BF0838" w14:textId="7A32F9A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1CAB2EBA" w14:textId="76B477A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Südafrika</w:t>
            </w:r>
          </w:p>
        </w:tc>
        <w:tc>
          <w:tcPr>
            <w:tcW w:w="946" w:type="dxa"/>
            <w:tcBorders>
              <w:top w:val="nil"/>
              <w:left w:val="nil"/>
              <w:bottom w:val="nil"/>
              <w:right w:val="nil"/>
            </w:tcBorders>
            <w:vAlign w:val="center"/>
          </w:tcPr>
          <w:p w14:paraId="6E2C5C00" w14:textId="55BC763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36D26250" w14:textId="6F59326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401269B5" w14:textId="6546C2E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5F62610E" w14:textId="77777777" w:rsidTr="00D55248">
        <w:trPr>
          <w:trHeight w:val="256"/>
        </w:trPr>
        <w:tc>
          <w:tcPr>
            <w:tcW w:w="1586" w:type="dxa"/>
            <w:tcBorders>
              <w:top w:val="nil"/>
              <w:left w:val="nil"/>
              <w:bottom w:val="nil"/>
              <w:right w:val="nil"/>
            </w:tcBorders>
            <w:vAlign w:val="center"/>
          </w:tcPr>
          <w:p w14:paraId="269B07BE" w14:textId="2C3BA2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484D4A6" w14:textId="0AC1776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6DEA8DE" w14:textId="3171492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Trinidad und Tobago</w:t>
            </w:r>
          </w:p>
        </w:tc>
        <w:tc>
          <w:tcPr>
            <w:tcW w:w="946" w:type="dxa"/>
            <w:tcBorders>
              <w:top w:val="nil"/>
              <w:left w:val="nil"/>
              <w:bottom w:val="nil"/>
              <w:right w:val="nil"/>
            </w:tcBorders>
            <w:vAlign w:val="center"/>
          </w:tcPr>
          <w:p w14:paraId="770107D7" w14:textId="1BD18D5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D96AFF9" w14:textId="7DA68B0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8E9E0D1" w14:textId="68E0BB9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3B401A51" w14:textId="77777777" w:rsidTr="00D55248">
        <w:trPr>
          <w:trHeight w:val="256"/>
        </w:trPr>
        <w:tc>
          <w:tcPr>
            <w:tcW w:w="1586" w:type="dxa"/>
            <w:tcBorders>
              <w:top w:val="nil"/>
              <w:left w:val="nil"/>
              <w:bottom w:val="nil"/>
              <w:right w:val="nil"/>
            </w:tcBorders>
            <w:vAlign w:val="center"/>
          </w:tcPr>
          <w:p w14:paraId="5C323997" w14:textId="6E83CB5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0DD83817" w14:textId="5C5B506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3AEC82DA" w14:textId="30D3128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Tschechische Republik </w:t>
            </w:r>
          </w:p>
        </w:tc>
        <w:tc>
          <w:tcPr>
            <w:tcW w:w="946" w:type="dxa"/>
            <w:tcBorders>
              <w:top w:val="nil"/>
              <w:left w:val="nil"/>
              <w:bottom w:val="nil"/>
              <w:right w:val="nil"/>
            </w:tcBorders>
            <w:vAlign w:val="center"/>
          </w:tcPr>
          <w:p w14:paraId="1E64BD63" w14:textId="7A9ACE5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19C250CA" w14:textId="7AE473D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4EA21658" w14:textId="3900BAB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733C6A56" w14:textId="77777777" w:rsidTr="00D55248">
        <w:trPr>
          <w:trHeight w:val="256"/>
        </w:trPr>
        <w:tc>
          <w:tcPr>
            <w:tcW w:w="1586" w:type="dxa"/>
            <w:tcBorders>
              <w:top w:val="nil"/>
              <w:left w:val="nil"/>
              <w:bottom w:val="nil"/>
              <w:right w:val="nil"/>
            </w:tcBorders>
            <w:vAlign w:val="center"/>
          </w:tcPr>
          <w:p w14:paraId="253E61EE" w14:textId="67B3F97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53FAC65" w14:textId="3C6B95E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56C57CBA" w14:textId="097AE1F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Tunesien</w:t>
            </w:r>
          </w:p>
        </w:tc>
        <w:tc>
          <w:tcPr>
            <w:tcW w:w="946" w:type="dxa"/>
            <w:tcBorders>
              <w:top w:val="nil"/>
              <w:left w:val="nil"/>
              <w:bottom w:val="nil"/>
              <w:right w:val="nil"/>
            </w:tcBorders>
            <w:vAlign w:val="center"/>
          </w:tcPr>
          <w:p w14:paraId="714EC3D5" w14:textId="085E99E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5BBC187" w14:textId="0CF8B72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EFC61B0" w14:textId="6B19D0D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6D05B12" w14:textId="77777777" w:rsidTr="00D55248">
        <w:trPr>
          <w:trHeight w:val="256"/>
        </w:trPr>
        <w:tc>
          <w:tcPr>
            <w:tcW w:w="1586" w:type="dxa"/>
            <w:tcBorders>
              <w:top w:val="nil"/>
              <w:left w:val="nil"/>
              <w:bottom w:val="nil"/>
              <w:right w:val="nil"/>
            </w:tcBorders>
            <w:vAlign w:val="center"/>
          </w:tcPr>
          <w:p w14:paraId="6FC8576E" w14:textId="0728CAC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73CF1044" w14:textId="21510FF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69B003E6" w14:textId="06FEC16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Türkiye</w:t>
            </w:r>
          </w:p>
        </w:tc>
        <w:tc>
          <w:tcPr>
            <w:tcW w:w="946" w:type="dxa"/>
            <w:tcBorders>
              <w:top w:val="nil"/>
              <w:left w:val="nil"/>
              <w:bottom w:val="nil"/>
              <w:right w:val="nil"/>
            </w:tcBorders>
            <w:vAlign w:val="center"/>
          </w:tcPr>
          <w:p w14:paraId="209290DB" w14:textId="2C0875A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31CBF687" w14:textId="3A73F5D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78BD7221" w14:textId="723456E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110FBA95" w14:textId="77777777" w:rsidTr="00D55248">
        <w:trPr>
          <w:trHeight w:val="256"/>
        </w:trPr>
        <w:tc>
          <w:tcPr>
            <w:tcW w:w="1586" w:type="dxa"/>
            <w:tcBorders>
              <w:top w:val="nil"/>
              <w:left w:val="nil"/>
              <w:bottom w:val="nil"/>
              <w:right w:val="nil"/>
            </w:tcBorders>
            <w:vAlign w:val="center"/>
          </w:tcPr>
          <w:p w14:paraId="52427769" w14:textId="3331939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AEBE7FC" w14:textId="5C70C4F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72F9D84" w14:textId="073D258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Ukraine</w:t>
            </w:r>
          </w:p>
        </w:tc>
        <w:tc>
          <w:tcPr>
            <w:tcW w:w="946" w:type="dxa"/>
            <w:tcBorders>
              <w:top w:val="nil"/>
              <w:left w:val="nil"/>
              <w:bottom w:val="nil"/>
              <w:right w:val="nil"/>
            </w:tcBorders>
            <w:vAlign w:val="center"/>
          </w:tcPr>
          <w:p w14:paraId="68BAAB2A" w14:textId="5D6A096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C455EC5" w14:textId="6BEBA88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C5196B6" w14:textId="7C6578A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941963A" w14:textId="77777777" w:rsidTr="00D55248">
        <w:trPr>
          <w:trHeight w:val="256"/>
        </w:trPr>
        <w:tc>
          <w:tcPr>
            <w:tcW w:w="1586" w:type="dxa"/>
            <w:tcBorders>
              <w:top w:val="nil"/>
              <w:left w:val="nil"/>
              <w:bottom w:val="nil"/>
              <w:right w:val="nil"/>
            </w:tcBorders>
            <w:vAlign w:val="center"/>
          </w:tcPr>
          <w:p w14:paraId="2375A05A" w14:textId="20DF25C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72955557" w14:textId="1330558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65F7D0BB" w14:textId="0B687F0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Ungarn</w:t>
            </w:r>
          </w:p>
        </w:tc>
        <w:tc>
          <w:tcPr>
            <w:tcW w:w="946" w:type="dxa"/>
            <w:tcBorders>
              <w:top w:val="nil"/>
              <w:left w:val="nil"/>
              <w:bottom w:val="nil"/>
              <w:right w:val="nil"/>
            </w:tcBorders>
            <w:vAlign w:val="center"/>
          </w:tcPr>
          <w:p w14:paraId="6F0F85F3" w14:textId="04E884C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4192AA52" w14:textId="66705D6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329CED1F" w14:textId="7D99A16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31893578" w14:textId="77777777" w:rsidTr="00D55248">
        <w:trPr>
          <w:trHeight w:val="256"/>
        </w:trPr>
        <w:tc>
          <w:tcPr>
            <w:tcW w:w="1586" w:type="dxa"/>
            <w:tcBorders>
              <w:top w:val="nil"/>
              <w:left w:val="nil"/>
              <w:bottom w:val="nil"/>
              <w:right w:val="nil"/>
            </w:tcBorders>
            <w:vAlign w:val="center"/>
          </w:tcPr>
          <w:p w14:paraId="742D1259" w14:textId="5B06E11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025D407" w14:textId="5BEA819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643AF0A" w14:textId="2F19C6F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Uruguay</w:t>
            </w:r>
          </w:p>
        </w:tc>
        <w:tc>
          <w:tcPr>
            <w:tcW w:w="946" w:type="dxa"/>
            <w:tcBorders>
              <w:top w:val="nil"/>
              <w:left w:val="nil"/>
              <w:bottom w:val="nil"/>
              <w:right w:val="nil"/>
            </w:tcBorders>
            <w:vAlign w:val="center"/>
          </w:tcPr>
          <w:p w14:paraId="2D9EE9B4" w14:textId="3640CB4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47862CD" w14:textId="0122F0D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9732617" w14:textId="0F60CC3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52F78E4" w14:textId="77777777" w:rsidTr="00D55248">
        <w:trPr>
          <w:trHeight w:val="256"/>
        </w:trPr>
        <w:tc>
          <w:tcPr>
            <w:tcW w:w="1586" w:type="dxa"/>
            <w:tcBorders>
              <w:top w:val="nil"/>
              <w:left w:val="nil"/>
              <w:bottom w:val="nil"/>
              <w:right w:val="nil"/>
            </w:tcBorders>
            <w:vAlign w:val="center"/>
          </w:tcPr>
          <w:p w14:paraId="77D512C2" w14:textId="47F007B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43D9855" w14:textId="560C65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A09D876" w14:textId="1815B63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Usbekistan</w:t>
            </w:r>
          </w:p>
        </w:tc>
        <w:tc>
          <w:tcPr>
            <w:tcW w:w="946" w:type="dxa"/>
            <w:tcBorders>
              <w:top w:val="nil"/>
              <w:left w:val="nil"/>
              <w:bottom w:val="nil"/>
              <w:right w:val="nil"/>
            </w:tcBorders>
            <w:vAlign w:val="center"/>
          </w:tcPr>
          <w:p w14:paraId="36C1E9B4" w14:textId="332F7BE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82F7921" w14:textId="17519A9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046BF8D" w14:textId="1E2FBB0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4C5A731" w14:textId="77777777" w:rsidTr="00D55248">
        <w:trPr>
          <w:trHeight w:val="256"/>
        </w:trPr>
        <w:tc>
          <w:tcPr>
            <w:tcW w:w="1586" w:type="dxa"/>
            <w:tcBorders>
              <w:top w:val="nil"/>
              <w:left w:val="nil"/>
              <w:bottom w:val="nil"/>
              <w:right w:val="nil"/>
            </w:tcBorders>
            <w:vAlign w:val="center"/>
          </w:tcPr>
          <w:p w14:paraId="593D6F2F" w14:textId="7AD99CF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4DF4C4C" w14:textId="5531E34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57EBA81" w14:textId="7D01F87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Vereinigte Republik Tansania</w:t>
            </w:r>
          </w:p>
        </w:tc>
        <w:tc>
          <w:tcPr>
            <w:tcW w:w="946" w:type="dxa"/>
            <w:tcBorders>
              <w:top w:val="nil"/>
              <w:left w:val="nil"/>
              <w:bottom w:val="nil"/>
              <w:right w:val="nil"/>
            </w:tcBorders>
            <w:vAlign w:val="center"/>
          </w:tcPr>
          <w:p w14:paraId="09C5B7DD" w14:textId="336EB2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12B5A54" w14:textId="5F584E9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734EF1A" w14:textId="030812A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32F2A8F" w14:textId="77777777" w:rsidTr="00D55248">
        <w:trPr>
          <w:trHeight w:val="256"/>
        </w:trPr>
        <w:tc>
          <w:tcPr>
            <w:tcW w:w="1586" w:type="dxa"/>
            <w:tcBorders>
              <w:top w:val="nil"/>
              <w:left w:val="nil"/>
              <w:bottom w:val="nil"/>
              <w:right w:val="nil"/>
            </w:tcBorders>
            <w:vAlign w:val="center"/>
          </w:tcPr>
          <w:p w14:paraId="6DABD3A5" w14:textId="4F437ED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73E360C4" w14:textId="3DF4A6C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75043AE8" w14:textId="4EFD52B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Vereinigte Staaten von Amerika</w:t>
            </w:r>
          </w:p>
        </w:tc>
        <w:tc>
          <w:tcPr>
            <w:tcW w:w="946" w:type="dxa"/>
            <w:tcBorders>
              <w:top w:val="nil"/>
              <w:left w:val="nil"/>
              <w:bottom w:val="nil"/>
              <w:right w:val="nil"/>
            </w:tcBorders>
            <w:vAlign w:val="center"/>
          </w:tcPr>
          <w:p w14:paraId="3E54D24A" w14:textId="4C1274E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57142C09" w14:textId="1A95E86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3BEA363A" w14:textId="5B3729F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03474BD5" w14:textId="77777777" w:rsidTr="00D55248">
        <w:trPr>
          <w:trHeight w:val="256"/>
        </w:trPr>
        <w:tc>
          <w:tcPr>
            <w:tcW w:w="1586" w:type="dxa"/>
            <w:tcBorders>
              <w:top w:val="nil"/>
              <w:left w:val="nil"/>
              <w:bottom w:val="nil"/>
              <w:right w:val="nil"/>
            </w:tcBorders>
            <w:vAlign w:val="center"/>
          </w:tcPr>
          <w:p w14:paraId="63808178" w14:textId="5AC603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3F3CA69" w14:textId="10C51D8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4AA8F49D" w14:textId="10550C04"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Vereinigtes Königreich</w:t>
            </w:r>
          </w:p>
        </w:tc>
        <w:tc>
          <w:tcPr>
            <w:tcW w:w="946" w:type="dxa"/>
            <w:tcBorders>
              <w:top w:val="nil"/>
              <w:left w:val="nil"/>
              <w:bottom w:val="nil"/>
              <w:right w:val="nil"/>
            </w:tcBorders>
            <w:vAlign w:val="center"/>
          </w:tcPr>
          <w:p w14:paraId="4EBCF60A" w14:textId="788808C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4237B0A7" w14:textId="683B310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6D80DA65" w14:textId="12E2229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302599D4" w14:textId="77777777" w:rsidTr="00D55248">
        <w:trPr>
          <w:trHeight w:val="256"/>
        </w:trPr>
        <w:tc>
          <w:tcPr>
            <w:tcW w:w="1586" w:type="dxa"/>
            <w:tcBorders>
              <w:top w:val="nil"/>
              <w:left w:val="nil"/>
              <w:bottom w:val="nil"/>
              <w:right w:val="nil"/>
            </w:tcBorders>
            <w:vAlign w:val="center"/>
          </w:tcPr>
          <w:p w14:paraId="6134D6A9" w14:textId="6DCE011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31BF8A6" w14:textId="45761FE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tcPr>
          <w:p w14:paraId="231ECE53" w14:textId="0A207E2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Vietnam</w:t>
            </w:r>
          </w:p>
        </w:tc>
        <w:tc>
          <w:tcPr>
            <w:tcW w:w="946" w:type="dxa"/>
            <w:tcBorders>
              <w:top w:val="nil"/>
              <w:left w:val="nil"/>
              <w:bottom w:val="nil"/>
              <w:right w:val="nil"/>
            </w:tcBorders>
            <w:vAlign w:val="center"/>
          </w:tcPr>
          <w:p w14:paraId="6FDE0DB5" w14:textId="01F8E11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4C0C480" w14:textId="2D1FE46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23F4421" w14:textId="63DDFA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4867323" w14:textId="77777777" w:rsidTr="00D55248">
        <w:trPr>
          <w:trHeight w:val="275"/>
        </w:trPr>
        <w:tc>
          <w:tcPr>
            <w:tcW w:w="1586" w:type="dxa"/>
            <w:tcBorders>
              <w:top w:val="nil"/>
              <w:left w:val="nil"/>
              <w:bottom w:val="single" w:sz="8" w:space="0" w:color="BFBFBF"/>
              <w:right w:val="nil"/>
            </w:tcBorders>
            <w:vAlign w:val="center"/>
            <w:hideMark/>
          </w:tcPr>
          <w:p w14:paraId="7C1A8498"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3.569.798</w:t>
            </w:r>
          </w:p>
        </w:tc>
        <w:tc>
          <w:tcPr>
            <w:tcW w:w="1586" w:type="dxa"/>
            <w:tcBorders>
              <w:top w:val="nil"/>
              <w:left w:val="nil"/>
              <w:bottom w:val="single" w:sz="8" w:space="0" w:color="BFBFBF"/>
              <w:right w:val="nil"/>
            </w:tcBorders>
            <w:vAlign w:val="center"/>
            <w:hideMark/>
          </w:tcPr>
          <w:p w14:paraId="205DC850"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3.580.526</w:t>
            </w:r>
          </w:p>
        </w:tc>
        <w:tc>
          <w:tcPr>
            <w:tcW w:w="2491" w:type="dxa"/>
            <w:tcBorders>
              <w:top w:val="nil"/>
              <w:left w:val="nil"/>
              <w:bottom w:val="single" w:sz="8" w:space="0" w:color="BFBFBF"/>
              <w:right w:val="nil"/>
            </w:tcBorders>
            <w:vAlign w:val="center"/>
            <w:hideMark/>
          </w:tcPr>
          <w:p w14:paraId="48DA59BD" w14:textId="77777777" w:rsidR="000139E2" w:rsidRPr="004421A9" w:rsidRDefault="000139E2" w:rsidP="000139E2">
            <w:pPr>
              <w:jc w:val="left"/>
              <w:rPr>
                <w:rFonts w:ascii="Arial Narrow" w:hAnsi="Arial Narrow" w:cs="Arial"/>
                <w:b/>
                <w:bCs/>
                <w:color w:val="000000"/>
                <w:sz w:val="18"/>
                <w:szCs w:val="18"/>
              </w:rPr>
            </w:pPr>
          </w:p>
        </w:tc>
        <w:tc>
          <w:tcPr>
            <w:tcW w:w="946" w:type="dxa"/>
            <w:tcBorders>
              <w:top w:val="nil"/>
              <w:left w:val="nil"/>
              <w:bottom w:val="single" w:sz="8" w:space="0" w:color="BFBFBF"/>
              <w:right w:val="nil"/>
            </w:tcBorders>
            <w:vAlign w:val="center"/>
            <w:hideMark/>
          </w:tcPr>
          <w:p w14:paraId="7BB175BB"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66,45</w:t>
            </w:r>
          </w:p>
        </w:tc>
        <w:tc>
          <w:tcPr>
            <w:tcW w:w="1586" w:type="dxa"/>
            <w:tcBorders>
              <w:top w:val="nil"/>
              <w:left w:val="nil"/>
              <w:bottom w:val="single" w:sz="8" w:space="0" w:color="BFBFBF"/>
              <w:right w:val="nil"/>
            </w:tcBorders>
            <w:vAlign w:val="center"/>
            <w:hideMark/>
          </w:tcPr>
          <w:p w14:paraId="61FE9179"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3.564.433</w:t>
            </w:r>
          </w:p>
        </w:tc>
        <w:tc>
          <w:tcPr>
            <w:tcW w:w="1586" w:type="dxa"/>
            <w:tcBorders>
              <w:top w:val="nil"/>
              <w:left w:val="nil"/>
              <w:bottom w:val="single" w:sz="8" w:space="0" w:color="BFBFBF"/>
              <w:right w:val="nil"/>
            </w:tcBorders>
            <w:vAlign w:val="center"/>
            <w:hideMark/>
          </w:tcPr>
          <w:p w14:paraId="7E1FC99C"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3.564.433</w:t>
            </w:r>
          </w:p>
        </w:tc>
      </w:tr>
    </w:tbl>
    <w:p w14:paraId="54FBDD28" w14:textId="77777777" w:rsidR="00B65EDC" w:rsidRPr="004421A9" w:rsidRDefault="00B65EDC" w:rsidP="00B65EDC"/>
    <w:p w14:paraId="5555417B" w14:textId="3ED383B8" w:rsidR="00990CC5" w:rsidRPr="004421A9" w:rsidRDefault="00990CC5" w:rsidP="00990CC5">
      <w:pPr>
        <w:ind w:left="284" w:hanging="284"/>
        <w:rPr>
          <w:rFonts w:ascii="Arial Narrow" w:hAnsi="Arial Narrow"/>
          <w:sz w:val="18"/>
          <w:szCs w:val="18"/>
        </w:rPr>
      </w:pPr>
      <w:r w:rsidRPr="004421A9">
        <w:rPr>
          <w:rFonts w:ascii="Arial Narrow" w:hAnsi="Arial Narrow"/>
          <w:sz w:val="18"/>
          <w:szCs w:val="18"/>
          <w:vertAlign w:val="superscript"/>
        </w:rPr>
        <w:t>1</w:t>
      </w:r>
      <w:r w:rsidRPr="004421A9">
        <w:rPr>
          <w:rFonts w:ascii="Arial Narrow" w:hAnsi="Arial Narrow"/>
          <w:sz w:val="18"/>
          <w:szCs w:val="18"/>
        </w:rPr>
        <w:tab/>
        <w:t>Armenien: neues Mitglied seit 2. März 2024</w:t>
      </w:r>
    </w:p>
    <w:p w14:paraId="42BDF050" w14:textId="30FA2C5A" w:rsidR="00990CC5" w:rsidRPr="004421A9" w:rsidRDefault="00990CC5" w:rsidP="00990CC5">
      <w:pPr>
        <w:ind w:left="284" w:hanging="284"/>
        <w:rPr>
          <w:rFonts w:ascii="Arial Narrow" w:hAnsi="Arial Narrow"/>
          <w:sz w:val="18"/>
          <w:szCs w:val="18"/>
        </w:rPr>
      </w:pPr>
      <w:r w:rsidRPr="004421A9">
        <w:rPr>
          <w:rFonts w:ascii="Arial Narrow" w:hAnsi="Arial Narrow"/>
          <w:sz w:val="18"/>
          <w:szCs w:val="18"/>
          <w:vertAlign w:val="superscript"/>
        </w:rPr>
        <w:t>2)</w:t>
      </w:r>
      <w:r w:rsidRPr="004421A9">
        <w:rPr>
          <w:rFonts w:ascii="Arial Narrow" w:hAnsi="Arial Narrow"/>
          <w:sz w:val="18"/>
          <w:szCs w:val="18"/>
        </w:rPr>
        <w:tab/>
        <w:t>Schweden hat die Anzahl von Beitragseinheiten ab Januar 2026 verringert</w:t>
      </w:r>
    </w:p>
    <w:p w14:paraId="0BB904BB" w14:textId="77777777" w:rsidR="00990CC5" w:rsidRPr="004421A9" w:rsidRDefault="00990CC5" w:rsidP="00990CC5">
      <w:pPr>
        <w:ind w:left="284" w:hanging="284"/>
        <w:rPr>
          <w:rFonts w:ascii="Arial Narrow" w:hAnsi="Arial Narrow"/>
          <w:sz w:val="18"/>
          <w:szCs w:val="18"/>
        </w:rPr>
      </w:pPr>
      <w:r w:rsidRPr="004421A9">
        <w:rPr>
          <w:rFonts w:ascii="Arial Narrow" w:hAnsi="Arial Narrow"/>
          <w:sz w:val="18"/>
          <w:szCs w:val="18"/>
          <w:vertAlign w:val="superscript"/>
        </w:rPr>
        <w:t>3)</w:t>
      </w:r>
      <w:r w:rsidRPr="004421A9">
        <w:rPr>
          <w:rFonts w:ascii="Arial Narrow" w:hAnsi="Arial Narrow"/>
          <w:sz w:val="18"/>
          <w:szCs w:val="18"/>
        </w:rPr>
        <w:tab/>
        <w:t>Nigeria: neues Mitglied ab 27. März 2025.</w:t>
      </w:r>
    </w:p>
    <w:p w14:paraId="0D8D07D3" w14:textId="77777777" w:rsidR="00B65EDC" w:rsidRPr="004421A9" w:rsidRDefault="00B65EDC" w:rsidP="00B65EDC"/>
    <w:p w14:paraId="7671D675" w14:textId="77777777" w:rsidR="00B65EDC" w:rsidRPr="004421A9" w:rsidRDefault="00B65EDC" w:rsidP="00B65EDC"/>
    <w:p w14:paraId="083D382D" w14:textId="77777777" w:rsidR="00B65EDC" w:rsidRPr="004421A9" w:rsidRDefault="00B65EDC" w:rsidP="00B65EDC"/>
    <w:p w14:paraId="2FA0B897" w14:textId="77777777" w:rsidR="00B65EDC" w:rsidRPr="004421A9" w:rsidRDefault="00B65EDC" w:rsidP="00B65EDC">
      <w:pPr>
        <w:pStyle w:val="Endofdocument"/>
        <w:tabs>
          <w:tab w:val="decimal" w:pos="9071"/>
        </w:tabs>
        <w:ind w:right="-1"/>
        <w:jc w:val="right"/>
      </w:pPr>
      <w:r w:rsidRPr="004421A9">
        <w:rPr>
          <w:rFonts w:ascii="Arial" w:hAnsi="Arial" w:cs="Arial"/>
          <w:snapToGrid w:val="0"/>
          <w:sz w:val="20"/>
        </w:rPr>
        <w:t>[Anhang III folgt]</w:t>
      </w:r>
    </w:p>
    <w:p w14:paraId="43D65312" w14:textId="77777777" w:rsidR="00B65EDC" w:rsidRPr="004421A9" w:rsidRDefault="00B65EDC" w:rsidP="00B65EDC">
      <w:pPr>
        <w:rPr>
          <w:rFonts w:cs="Arial"/>
          <w:b/>
          <w:color w:val="0000FF"/>
        </w:rPr>
        <w:sectPr w:rsidR="00B65EDC" w:rsidRPr="004421A9" w:rsidSect="00B65EDC">
          <w:headerReference w:type="even" r:id="rId38"/>
          <w:headerReference w:type="default" r:id="rId39"/>
          <w:footerReference w:type="even" r:id="rId40"/>
          <w:footerReference w:type="default" r:id="rId41"/>
          <w:headerReference w:type="first" r:id="rId42"/>
          <w:footerReference w:type="first" r:id="rId43"/>
          <w:pgSz w:w="11907" w:h="16840" w:code="9"/>
          <w:pgMar w:top="510" w:right="1134" w:bottom="1134" w:left="1134" w:header="510" w:footer="624" w:gutter="0"/>
          <w:cols w:space="720"/>
          <w:docGrid w:linePitch="272"/>
        </w:sectPr>
      </w:pPr>
    </w:p>
    <w:p w14:paraId="103DA7B1" w14:textId="6F6B82FD" w:rsidR="00B65EDC" w:rsidRPr="004421A9" w:rsidRDefault="00B65EDC" w:rsidP="004448C7">
      <w:pPr>
        <w:pStyle w:val="Heading9"/>
        <w:rPr>
          <w:lang w:val="de-DE"/>
        </w:rPr>
      </w:pPr>
      <w:bookmarkStart w:id="521" w:name="_Toc210041715"/>
      <w:r w:rsidRPr="004421A9">
        <w:rPr>
          <w:lang w:val="de-DE"/>
        </w:rPr>
        <w:lastRenderedPageBreak/>
        <w:t>Anhang III</w:t>
      </w:r>
      <w:r w:rsidRPr="004421A9">
        <w:rPr>
          <w:lang w:val="de-DE"/>
        </w:rPr>
        <w:tab/>
      </w:r>
      <w:r w:rsidR="00D20B4F" w:rsidRPr="004421A9">
        <w:rPr>
          <w:lang w:val="de-DE"/>
        </w:rPr>
        <w:t>Definition von Einnahmequellen und Kostenkategorien</w:t>
      </w:r>
      <w:bookmarkEnd w:id="521"/>
    </w:p>
    <w:p w14:paraId="2856F616" w14:textId="77777777" w:rsidR="00B65EDC" w:rsidRPr="004421A9" w:rsidRDefault="00B65EDC" w:rsidP="00B65EDC"/>
    <w:p w14:paraId="2B2B7A18" w14:textId="20A48DE6" w:rsidR="00B65EDC" w:rsidRPr="004421A9" w:rsidRDefault="00B65EDC" w:rsidP="00B65EDC">
      <w:pPr>
        <w:rPr>
          <w:color w:val="26724C" w:themeColor="accent1" w:themeShade="BF"/>
          <w:sz w:val="28"/>
        </w:rPr>
      </w:pPr>
      <w:r w:rsidRPr="004421A9">
        <w:rPr>
          <w:color w:val="26724C" w:themeColor="accent1" w:themeShade="BF"/>
          <w:sz w:val="28"/>
          <w:szCs w:val="24"/>
        </w:rPr>
        <w:t>Ein</w:t>
      </w:r>
      <w:r w:rsidR="00D20B4F" w:rsidRPr="004421A9">
        <w:rPr>
          <w:color w:val="26724C" w:themeColor="accent1" w:themeShade="BF"/>
          <w:sz w:val="28"/>
          <w:szCs w:val="24"/>
        </w:rPr>
        <w:t>nahme</w:t>
      </w:r>
      <w:r w:rsidRPr="004421A9">
        <w:rPr>
          <w:color w:val="26724C" w:themeColor="accent1" w:themeShade="BF"/>
          <w:sz w:val="28"/>
          <w:szCs w:val="24"/>
        </w:rPr>
        <w:t>quellen</w:t>
      </w:r>
    </w:p>
    <w:p w14:paraId="3DF7A4DD" w14:textId="77777777" w:rsidR="00B65EDC" w:rsidRPr="004421A9" w:rsidRDefault="00B65EDC" w:rsidP="00B65EDC"/>
    <w:p w14:paraId="08A4A26B" w14:textId="77777777" w:rsidR="00CD185E" w:rsidRPr="004421A9" w:rsidRDefault="00CD185E" w:rsidP="00CD185E">
      <w:pPr>
        <w:keepNext/>
        <w:spacing w:after="40"/>
      </w:pPr>
      <w:r w:rsidRPr="004421A9">
        <w:t>Beiträge: Beiträge der Verbandsmitglieder nach dem UPOV-Übereinkommen (Artikel 29 der Akte von 1991 und Artikel 26 der Akte von 1978).</w:t>
      </w:r>
    </w:p>
    <w:p w14:paraId="2EF7A329" w14:textId="77777777" w:rsidR="00CD185E" w:rsidRPr="004421A9" w:rsidRDefault="00CD185E" w:rsidP="00CD185E">
      <w:pPr>
        <w:keepNext/>
        <w:spacing w:after="40"/>
      </w:pPr>
    </w:p>
    <w:p w14:paraId="6D3B2FE3" w14:textId="77777777" w:rsidR="00CD185E" w:rsidRPr="004421A9" w:rsidRDefault="00CD185E" w:rsidP="00CD185E">
      <w:pPr>
        <w:keepNext/>
        <w:spacing w:after="40"/>
      </w:pPr>
      <w:r w:rsidRPr="004421A9">
        <w:t>Gebühren aus IT-Instrumenten und Dienstleistungen der UPOV: Gebühren für Datenbanken, IT-Instrumente und Dienstleistungen der UPOV.</w:t>
      </w:r>
    </w:p>
    <w:p w14:paraId="12A9090F" w14:textId="77777777" w:rsidR="00CD185E" w:rsidRPr="004421A9" w:rsidRDefault="00CD185E" w:rsidP="00CD185E">
      <w:pPr>
        <w:keepNext/>
        <w:spacing w:after="40"/>
      </w:pPr>
    </w:p>
    <w:p w14:paraId="774F63F7" w14:textId="79CD4602" w:rsidR="00B65EDC" w:rsidRPr="004421A9" w:rsidRDefault="00CD185E" w:rsidP="00CD185E">
      <w:pPr>
        <w:keepNext/>
        <w:spacing w:after="40"/>
      </w:pPr>
      <w:r w:rsidRPr="004421A9">
        <w:t>Sonstige Einnahmen: Buchhaltungsberichtigungen (Gutschriften) aus früheren Jahren, Währungsanpassungen, Unterstützungsgebühren bezüglich außeretatmäßiger Tätigkeiten, die von der UPOV durchgeführt und aus Treuhandgeldern finanziert werden, und Gebühren aus Fernlehrgangsprogrammen</w:t>
      </w:r>
      <w:r w:rsidR="00B65EDC" w:rsidRPr="004421A9">
        <w:rPr>
          <w:rFonts w:cs="Arial"/>
          <w:snapToGrid w:val="0"/>
          <w:color w:val="000000"/>
        </w:rPr>
        <w:t>.</w:t>
      </w:r>
    </w:p>
    <w:p w14:paraId="3BBAE8E0" w14:textId="77777777" w:rsidR="00B65EDC" w:rsidRPr="004421A9" w:rsidRDefault="00B65EDC" w:rsidP="00B65EDC">
      <w:pPr>
        <w:rPr>
          <w:sz w:val="24"/>
        </w:rPr>
      </w:pPr>
    </w:p>
    <w:p w14:paraId="0C84B3D1" w14:textId="77777777" w:rsidR="00B65EDC" w:rsidRPr="004421A9" w:rsidRDefault="00B65EDC" w:rsidP="00B65EDC">
      <w:pPr>
        <w:rPr>
          <w:sz w:val="24"/>
        </w:rPr>
      </w:pPr>
    </w:p>
    <w:p w14:paraId="59F3159E" w14:textId="77777777" w:rsidR="00B65EDC" w:rsidRPr="004421A9" w:rsidRDefault="00B65EDC" w:rsidP="00B65EDC">
      <w:pPr>
        <w:rPr>
          <w:color w:val="26724C" w:themeColor="accent1" w:themeShade="BF"/>
          <w:sz w:val="28"/>
          <w:szCs w:val="24"/>
        </w:rPr>
      </w:pPr>
      <w:r w:rsidRPr="004421A9">
        <w:rPr>
          <w:color w:val="26724C" w:themeColor="accent1" w:themeShade="BF"/>
          <w:sz w:val="28"/>
          <w:szCs w:val="24"/>
        </w:rPr>
        <w:t>Kostenkategorien</w:t>
      </w:r>
    </w:p>
    <w:p w14:paraId="5D912D2E" w14:textId="77777777" w:rsidR="00B65EDC" w:rsidRPr="004421A9" w:rsidRDefault="00B65EDC" w:rsidP="00B65EDC"/>
    <w:p w14:paraId="257F354C" w14:textId="3CC69651" w:rsidR="00B65EDC" w:rsidRPr="004421A9" w:rsidRDefault="00B65EDC" w:rsidP="00B65EDC">
      <w:pPr>
        <w:rPr>
          <w:b/>
          <w:color w:val="26724C" w:themeColor="accent1" w:themeShade="BF"/>
        </w:rPr>
      </w:pPr>
      <w:r w:rsidRPr="004421A9">
        <w:rPr>
          <w:b/>
          <w:color w:val="26724C" w:themeColor="accent1" w:themeShade="BF"/>
        </w:rPr>
        <w:t>Personal</w:t>
      </w:r>
      <w:r w:rsidR="00CD185E" w:rsidRPr="004421A9">
        <w:rPr>
          <w:b/>
          <w:color w:val="26724C" w:themeColor="accent1" w:themeShade="BF"/>
        </w:rPr>
        <w:t>kosten</w:t>
      </w:r>
    </w:p>
    <w:p w14:paraId="1C2C7A8E" w14:textId="77777777" w:rsidR="00B65EDC" w:rsidRPr="004421A9" w:rsidRDefault="00B65EDC" w:rsidP="00B65EDC"/>
    <w:p w14:paraId="544A4436" w14:textId="77777777" w:rsidR="009C76D8" w:rsidRPr="004421A9" w:rsidRDefault="009C76D8" w:rsidP="009C76D8">
      <w:r w:rsidRPr="004421A9">
        <w:rPr>
          <w:b/>
        </w:rPr>
        <w:t>Posten:</w:t>
      </w:r>
      <w:r w:rsidRPr="004421A9">
        <w:t xml:space="preserve"> Bezüge des Personals, insbesondere Gehälter, Ortszuschläge, Kinderbeihilfen, Sprachenzulagen und Überstunden, Nichtansässigkeitszuschläge, Postenzuschläge und Repräsentationszuschläge.</w:t>
      </w:r>
    </w:p>
    <w:p w14:paraId="4027BFAE" w14:textId="77777777" w:rsidR="009C76D8" w:rsidRPr="004421A9" w:rsidRDefault="009C76D8" w:rsidP="009C76D8"/>
    <w:p w14:paraId="171E4161" w14:textId="4FF15DE9" w:rsidR="00B65EDC" w:rsidRPr="004421A9" w:rsidRDefault="009C76D8" w:rsidP="009C76D8">
      <w:r w:rsidRPr="004421A9">
        <w:rPr>
          <w:b/>
        </w:rPr>
        <w:t>Bedienstete auf Zeit</w:t>
      </w:r>
      <w:r w:rsidRPr="004421A9">
        <w:t>: Bezüge und Zulagen für den gehobenen Dienst und den allgemeinen Dienst mit Zeitverträgen</w:t>
      </w:r>
      <w:r w:rsidR="00B65EDC" w:rsidRPr="004421A9">
        <w:t>.</w:t>
      </w:r>
    </w:p>
    <w:p w14:paraId="7EBEF057" w14:textId="77777777" w:rsidR="00B65EDC" w:rsidRPr="004421A9" w:rsidRDefault="00B65EDC" w:rsidP="00B65EDC"/>
    <w:p w14:paraId="7E172C18" w14:textId="3A30197C" w:rsidR="00B65EDC" w:rsidRPr="004421A9" w:rsidRDefault="007D6523" w:rsidP="00B65EDC">
      <w:pPr>
        <w:rPr>
          <w:b/>
          <w:color w:val="26724C" w:themeColor="accent1" w:themeShade="BF"/>
        </w:rPr>
      </w:pPr>
      <w:r w:rsidRPr="004421A9">
        <w:rPr>
          <w:b/>
          <w:color w:val="26724C" w:themeColor="accent1" w:themeShade="BF"/>
        </w:rPr>
        <w:t>Nichtpersonalkosten</w:t>
      </w:r>
    </w:p>
    <w:p w14:paraId="5A038389" w14:textId="77777777" w:rsidR="00B65EDC" w:rsidRPr="004421A9" w:rsidRDefault="00B65EDC" w:rsidP="00B65EDC">
      <w:pPr>
        <w:rPr>
          <w:b/>
          <w:color w:val="26724C" w:themeColor="accent1" w:themeShade="BF"/>
        </w:rPr>
      </w:pPr>
    </w:p>
    <w:p w14:paraId="53DA117C" w14:textId="77777777" w:rsidR="00B65EDC" w:rsidRPr="004421A9" w:rsidRDefault="00B65EDC" w:rsidP="00B65EDC">
      <w:pPr>
        <w:rPr>
          <w:rFonts w:cs="Arial"/>
          <w:bCs/>
          <w:i/>
          <w:color w:val="26724C" w:themeColor="accent1" w:themeShade="BF"/>
        </w:rPr>
      </w:pPr>
      <w:r w:rsidRPr="004421A9">
        <w:rPr>
          <w:rFonts w:cs="Arial"/>
          <w:bCs/>
          <w:i/>
          <w:color w:val="26724C" w:themeColor="accent1" w:themeShade="BF"/>
        </w:rPr>
        <w:t>Praktika und Stipendien</w:t>
      </w:r>
    </w:p>
    <w:p w14:paraId="6FDD9F68" w14:textId="77777777" w:rsidR="00B65EDC" w:rsidRPr="004421A9" w:rsidRDefault="00B65EDC" w:rsidP="00B65EDC">
      <w:pPr>
        <w:rPr>
          <w:rFonts w:cs="Arial"/>
        </w:rPr>
      </w:pPr>
    </w:p>
    <w:p w14:paraId="1E1B8D08" w14:textId="77777777" w:rsidR="00CA4776" w:rsidRPr="004421A9" w:rsidRDefault="00CA4776" w:rsidP="00CA4776">
      <w:r w:rsidRPr="004421A9">
        <w:rPr>
          <w:b/>
          <w:bCs/>
          <w:iCs/>
        </w:rPr>
        <w:t>Praktika</w:t>
      </w:r>
      <w:r w:rsidRPr="004421A9">
        <w:t xml:space="preserve">: Bezüge und Zulagen für Praktikanten. </w:t>
      </w:r>
    </w:p>
    <w:p w14:paraId="21FE3663" w14:textId="77777777" w:rsidR="00CA4776" w:rsidRPr="004421A9" w:rsidRDefault="00CA4776" w:rsidP="00CA4776"/>
    <w:p w14:paraId="6269386F" w14:textId="30793C92" w:rsidR="00B65EDC" w:rsidRPr="004421A9" w:rsidRDefault="00CA4776" w:rsidP="00CA4776">
      <w:pPr>
        <w:rPr>
          <w:rFonts w:cs="Arial"/>
        </w:rPr>
      </w:pPr>
      <w:r w:rsidRPr="004421A9">
        <w:rPr>
          <w:b/>
          <w:bCs/>
          <w:iCs/>
        </w:rPr>
        <w:t>Stipendien</w:t>
      </w:r>
      <w:r w:rsidRPr="004421A9">
        <w:rPr>
          <w:bCs/>
          <w:i/>
          <w:iCs/>
        </w:rPr>
        <w:t xml:space="preserve">: </w:t>
      </w:r>
      <w:r w:rsidRPr="004421A9">
        <w:rPr>
          <w:bCs/>
          <w:iCs/>
        </w:rPr>
        <w:t>Ausgaben in Verbindung mit einer Schulungsveranstaltung, die qualifizierten Personen einen geldlichen Zuschuss zum Erreichen spezieller Lernziele zur Verfügung stellt</w:t>
      </w:r>
      <w:r w:rsidRPr="004421A9">
        <w:t>.</w:t>
      </w:r>
      <w:r w:rsidR="00B65EDC" w:rsidRPr="004421A9">
        <w:rPr>
          <w:rFonts w:cs="Arial"/>
        </w:rPr>
        <w:t xml:space="preserve"> </w:t>
      </w:r>
    </w:p>
    <w:p w14:paraId="79A6DC41" w14:textId="77777777" w:rsidR="00B65EDC" w:rsidRPr="004421A9" w:rsidRDefault="00B65EDC" w:rsidP="00B65EDC">
      <w:pPr>
        <w:rPr>
          <w:u w:val="single"/>
        </w:rPr>
      </w:pPr>
    </w:p>
    <w:p w14:paraId="115C92F7" w14:textId="2EC2D282" w:rsidR="00B65EDC" w:rsidRPr="004421A9" w:rsidRDefault="00B65EDC" w:rsidP="00B65EDC">
      <w:pPr>
        <w:rPr>
          <w:rFonts w:cs="Arial"/>
          <w:bCs/>
          <w:i/>
          <w:color w:val="26724C" w:themeColor="accent1" w:themeShade="BF"/>
        </w:rPr>
      </w:pPr>
      <w:r w:rsidRPr="004421A9">
        <w:rPr>
          <w:rFonts w:cs="Arial"/>
          <w:bCs/>
          <w:i/>
          <w:color w:val="26724C" w:themeColor="accent1" w:themeShade="BF"/>
        </w:rPr>
        <w:t xml:space="preserve">Reisen, </w:t>
      </w:r>
      <w:r w:rsidR="00D15DB9" w:rsidRPr="004421A9">
        <w:rPr>
          <w:rFonts w:cs="Arial"/>
          <w:bCs/>
          <w:i/>
          <w:color w:val="26724C" w:themeColor="accent1" w:themeShade="BF"/>
        </w:rPr>
        <w:t>Ausbildung und Zuschüsse</w:t>
      </w:r>
      <w:r w:rsidRPr="004421A9">
        <w:rPr>
          <w:rFonts w:cs="Arial"/>
          <w:bCs/>
          <w:i/>
          <w:color w:val="26724C" w:themeColor="accent1" w:themeShade="BF"/>
        </w:rPr>
        <w:t xml:space="preserve"> </w:t>
      </w:r>
    </w:p>
    <w:p w14:paraId="277ED032" w14:textId="77777777" w:rsidR="00B65EDC" w:rsidRPr="004421A9" w:rsidRDefault="00B65EDC" w:rsidP="00B65EDC">
      <w:pPr>
        <w:keepNext/>
        <w:rPr>
          <w:u w:val="single"/>
        </w:rPr>
      </w:pPr>
    </w:p>
    <w:p w14:paraId="48EF7B4C" w14:textId="77777777" w:rsidR="00D13C0E" w:rsidRPr="004421A9" w:rsidRDefault="00D13C0E" w:rsidP="00D13C0E">
      <w:r w:rsidRPr="004421A9">
        <w:rPr>
          <w:b/>
          <w:bCs/>
          <w:iCs/>
        </w:rPr>
        <w:t>Dienstreisen</w:t>
      </w:r>
      <w:r w:rsidRPr="004421A9">
        <w:rPr>
          <w:b/>
        </w:rPr>
        <w:t>:</w:t>
      </w:r>
      <w:r w:rsidRPr="004421A9">
        <w:t xml:space="preserve"> Reisekosten und Tagegelder für alle Mitarbeiter auf Dienstreisen.</w:t>
      </w:r>
    </w:p>
    <w:p w14:paraId="2659DBD1" w14:textId="77777777" w:rsidR="00D13C0E" w:rsidRPr="004421A9" w:rsidRDefault="00D13C0E" w:rsidP="00D13C0E"/>
    <w:p w14:paraId="6052A628" w14:textId="289EEB05" w:rsidR="00D13C0E" w:rsidRDefault="00D13C0E" w:rsidP="00D13C0E">
      <w:r w:rsidRPr="004421A9">
        <w:rPr>
          <w:b/>
          <w:bCs/>
          <w:iCs/>
        </w:rPr>
        <w:t>Reisen Dritter</w:t>
      </w:r>
      <w:r w:rsidRPr="004421A9">
        <w:t xml:space="preserve"> </w:t>
      </w:r>
      <w:r w:rsidR="00B278A0" w:rsidRPr="004421A9">
        <w:rPr>
          <w:b/>
          <w:bCs/>
        </w:rPr>
        <w:t>(</w:t>
      </w:r>
      <w:r w:rsidR="006C61CE" w:rsidRPr="004421A9">
        <w:rPr>
          <w:b/>
          <w:bCs/>
        </w:rPr>
        <w:t>einschließlich</w:t>
      </w:r>
      <w:r w:rsidR="00D91EB4" w:rsidRPr="004421A9">
        <w:t xml:space="preserve"> </w:t>
      </w:r>
      <w:r w:rsidR="00D91EB4" w:rsidRPr="004421A9">
        <w:rPr>
          <w:b/>
          <w:bCs/>
        </w:rPr>
        <w:t>Reisen, Ausbildungsgebühren und</w:t>
      </w:r>
      <w:r w:rsidR="006C61CE" w:rsidRPr="004421A9">
        <w:rPr>
          <w:b/>
          <w:bCs/>
        </w:rPr>
        <w:t xml:space="preserve"> </w:t>
      </w:r>
      <w:r w:rsidR="00B278EF">
        <w:rPr>
          <w:b/>
          <w:bCs/>
        </w:rPr>
        <w:t xml:space="preserve">sonstiger </w:t>
      </w:r>
      <w:r w:rsidR="006C61CE" w:rsidRPr="004421A9">
        <w:rPr>
          <w:b/>
          <w:bCs/>
          <w:iCs/>
        </w:rPr>
        <w:t>damit verbundene</w:t>
      </w:r>
      <w:r w:rsidR="00D91EB4" w:rsidRPr="004421A9">
        <w:rPr>
          <w:b/>
          <w:bCs/>
          <w:iCs/>
        </w:rPr>
        <w:t>r</w:t>
      </w:r>
      <w:r w:rsidR="006C61CE" w:rsidRPr="004421A9">
        <w:rPr>
          <w:b/>
          <w:bCs/>
          <w:iCs/>
        </w:rPr>
        <w:t xml:space="preserve"> Reisezuschüsse</w:t>
      </w:r>
      <w:r w:rsidR="006C61CE" w:rsidRPr="004421A9">
        <w:t xml:space="preserve">): </w:t>
      </w:r>
      <w:r w:rsidRPr="004421A9">
        <w:t>Reisekosten und Tagegelder</w:t>
      </w:r>
      <w:r w:rsidR="00995EBA" w:rsidRPr="004421A9">
        <w:t xml:space="preserve">, </w:t>
      </w:r>
      <w:r w:rsidR="00FA5EBE" w:rsidRPr="004421A9">
        <w:t>Ausbildungs- und sonstige Gebühren</w:t>
      </w:r>
      <w:r w:rsidRPr="004421A9">
        <w:t xml:space="preserve"> für alle Dritten, einschließlich Reisekosten von Regierungsbeamten, Teilnehmern und Referenten, die an von der UPOV finanzierten Tagungen</w:t>
      </w:r>
      <w:r w:rsidR="00FA5EBE" w:rsidRPr="004421A9">
        <w:t>, Seminaren und Schulungsarbeitstagungen</w:t>
      </w:r>
      <w:r w:rsidRPr="004421A9">
        <w:t xml:space="preserve"> teilnehmen.</w:t>
      </w:r>
    </w:p>
    <w:p w14:paraId="4600900E" w14:textId="77777777" w:rsidR="005F4C79" w:rsidRDefault="005F4C79" w:rsidP="00D13C0E"/>
    <w:p w14:paraId="5EFAE443" w14:textId="77777777" w:rsidR="00B65EDC" w:rsidRPr="004421A9" w:rsidRDefault="00B65EDC" w:rsidP="00B65EDC">
      <w:pPr>
        <w:rPr>
          <w:rFonts w:cs="Arial"/>
          <w:bCs/>
          <w:i/>
          <w:color w:val="26724C" w:themeColor="accent1" w:themeShade="BF"/>
        </w:rPr>
      </w:pPr>
      <w:r w:rsidRPr="004421A9">
        <w:rPr>
          <w:rFonts w:cs="Arial"/>
          <w:bCs/>
          <w:i/>
          <w:color w:val="26724C" w:themeColor="accent1" w:themeShade="BF"/>
        </w:rPr>
        <w:t>Vertraglich vereinbarte Dienstleistungen</w:t>
      </w:r>
    </w:p>
    <w:p w14:paraId="5A13D686" w14:textId="77777777" w:rsidR="00B65EDC" w:rsidRPr="004421A9" w:rsidRDefault="00B65EDC" w:rsidP="00B65EDC">
      <w:pPr>
        <w:keepNext/>
        <w:rPr>
          <w:u w:val="single"/>
        </w:rPr>
      </w:pPr>
    </w:p>
    <w:p w14:paraId="2DEF5D52" w14:textId="6822A751" w:rsidR="00F80DFF" w:rsidRPr="004421A9" w:rsidRDefault="00F80DFF" w:rsidP="00F80DFF">
      <w:r w:rsidRPr="004421A9">
        <w:rPr>
          <w:b/>
          <w:bCs/>
          <w:iCs/>
        </w:rPr>
        <w:t>Konferenzen</w:t>
      </w:r>
      <w:r w:rsidRPr="004421A9">
        <w:t>: Honorare, Reisekosten und Tagegelder für Dolmetscher, Anmietung von Konferenzräumen und Simultanübersetzungsanlagen, Erfrischungen und Empfänge</w:t>
      </w:r>
      <w:r w:rsidR="003A7BCA" w:rsidRPr="004421A9">
        <w:t xml:space="preserve">, </w:t>
      </w:r>
      <w:r w:rsidR="00E61E9D" w:rsidRPr="004421A9">
        <w:t xml:space="preserve">sowie die Kosten für jegliche andere direkt mit der Organisation von </w:t>
      </w:r>
      <w:r w:rsidR="00380D76" w:rsidRPr="004421A9">
        <w:t>Konferenzen verbundenen Kosten.</w:t>
      </w:r>
    </w:p>
    <w:p w14:paraId="52DBDA45" w14:textId="77777777" w:rsidR="00F80DFF" w:rsidRPr="004421A9" w:rsidRDefault="00F80DFF" w:rsidP="00F80DFF"/>
    <w:p w14:paraId="3C9C9FBF" w14:textId="1F6F9975" w:rsidR="00D1446B" w:rsidRDefault="00F80DFF" w:rsidP="00D1446B">
      <w:r w:rsidRPr="004421A9">
        <w:rPr>
          <w:b/>
          <w:bCs/>
          <w:iCs/>
        </w:rPr>
        <w:t>Veröffentlichungen</w:t>
      </w:r>
      <w:r w:rsidRPr="004421A9">
        <w:rPr>
          <w:b/>
        </w:rPr>
        <w:t>:</w:t>
      </w:r>
      <w:r w:rsidRPr="004421A9">
        <w:t xml:space="preserve"> </w:t>
      </w:r>
      <w:r w:rsidR="00D1446B" w:rsidRPr="004421A9">
        <w:rPr>
          <w:color w:val="000000"/>
          <w:szCs w:val="22"/>
        </w:rPr>
        <w:t xml:space="preserve">Ausgelagerter Druck, d. h. Druck von Broschüren, Verträgen, Textsammlungen, Handbüchern, Leitfäden und Materialien; Auslagerung der Produktion von Videos und </w:t>
      </w:r>
      <w:r w:rsidR="00D1446B" w:rsidRPr="004421A9">
        <w:t>sonstige</w:t>
      </w:r>
      <w:r w:rsidR="00F901C7">
        <w:t>n</w:t>
      </w:r>
      <w:r w:rsidR="00D1446B" w:rsidRPr="004421A9">
        <w:t xml:space="preserve"> Formen der elektronischen Veröffentlichung.</w:t>
      </w:r>
    </w:p>
    <w:p w14:paraId="0D7AA8B0" w14:textId="77777777" w:rsidR="00F901C7" w:rsidRDefault="00F901C7" w:rsidP="00D1446B"/>
    <w:p w14:paraId="3200E111" w14:textId="77777777" w:rsidR="00F80DFF" w:rsidRPr="004421A9" w:rsidRDefault="00F80DFF" w:rsidP="00F80DFF">
      <w:r w:rsidRPr="004421A9">
        <w:rPr>
          <w:b/>
          <w:bCs/>
          <w:iCs/>
        </w:rPr>
        <w:t>Einzeln vertraglich vereinbarte Dienstleistungen</w:t>
      </w:r>
      <w:r w:rsidRPr="004421A9">
        <w:t>: Honorare gemäß den einzeln vertraglich vereinbarten Dienstleistungen.</w:t>
      </w:r>
    </w:p>
    <w:p w14:paraId="66C727BC" w14:textId="77777777" w:rsidR="00F80DFF" w:rsidRPr="004421A9" w:rsidRDefault="00F80DFF" w:rsidP="00F80DFF"/>
    <w:p w14:paraId="0831240B" w14:textId="7B4906C6" w:rsidR="00B65EDC" w:rsidRPr="004421A9" w:rsidRDefault="00F80DFF" w:rsidP="00F80DFF">
      <w:pPr>
        <w:rPr>
          <w:color w:val="000000"/>
          <w:szCs w:val="22"/>
        </w:rPr>
      </w:pPr>
      <w:r w:rsidRPr="004421A9">
        <w:rPr>
          <w:b/>
          <w:bCs/>
          <w:iCs/>
        </w:rPr>
        <w:t>Andere vertraglich vereinbarte Dienstleistungen:</w:t>
      </w:r>
      <w:r w:rsidRPr="004421A9">
        <w:rPr>
          <w:bCs/>
          <w:iCs/>
        </w:rPr>
        <w:t xml:space="preserve"> </w:t>
      </w:r>
      <w:r w:rsidRPr="004421A9">
        <w:t>umfassen alle anderen vertraglich vereinbarten Dienstleistungen sowohl mit kommerziellen als auch mit nicht kommerziellen Anbietern</w:t>
      </w:r>
      <w:r w:rsidR="00012B01" w:rsidRPr="004421A9">
        <w:t xml:space="preserve">, </w:t>
      </w:r>
      <w:r w:rsidR="00012B01" w:rsidRPr="004421A9">
        <w:rPr>
          <w:color w:val="000000"/>
          <w:szCs w:val="22"/>
        </w:rPr>
        <w:t>einschließlich Hosting der IT-Infrastruktur (vor Ort und in der Cloud) und Software as a Service (SaaS)</w:t>
      </w:r>
      <w:r w:rsidR="00B65EDC" w:rsidRPr="004421A9">
        <w:rPr>
          <w:color w:val="000000"/>
          <w:szCs w:val="22"/>
        </w:rPr>
        <w:t xml:space="preserve">. </w:t>
      </w:r>
    </w:p>
    <w:p w14:paraId="60406DC5" w14:textId="77777777" w:rsidR="00B65EDC" w:rsidRPr="004421A9" w:rsidRDefault="00B65EDC" w:rsidP="00B65EDC">
      <w:pPr>
        <w:rPr>
          <w:color w:val="000000"/>
          <w:szCs w:val="22"/>
        </w:rPr>
      </w:pPr>
    </w:p>
    <w:p w14:paraId="22C00C1D" w14:textId="117025CD" w:rsidR="00B65EDC" w:rsidRDefault="00B65EDC" w:rsidP="00B65EDC">
      <w:pPr>
        <w:keepNext/>
        <w:rPr>
          <w:rFonts w:cs="Arial"/>
          <w:bCs/>
          <w:i/>
          <w:color w:val="26724C" w:themeColor="accent1" w:themeShade="BF"/>
        </w:rPr>
      </w:pPr>
      <w:r w:rsidRPr="004421A9">
        <w:rPr>
          <w:rFonts w:cs="Arial"/>
          <w:bCs/>
          <w:i/>
          <w:color w:val="26724C" w:themeColor="accent1" w:themeShade="BF"/>
        </w:rPr>
        <w:t>Betriebs</w:t>
      </w:r>
      <w:r w:rsidR="00F80DFF" w:rsidRPr="004421A9">
        <w:rPr>
          <w:rFonts w:cs="Arial"/>
          <w:bCs/>
          <w:i/>
          <w:color w:val="26724C" w:themeColor="accent1" w:themeShade="BF"/>
        </w:rPr>
        <w:t>aufwand</w:t>
      </w:r>
    </w:p>
    <w:p w14:paraId="51A32FA3" w14:textId="77777777" w:rsidR="00232572" w:rsidRDefault="00232572" w:rsidP="00B65EDC">
      <w:pPr>
        <w:keepNext/>
        <w:rPr>
          <w:rFonts w:cs="Arial"/>
          <w:bCs/>
          <w:i/>
          <w:color w:val="26724C" w:themeColor="accent1" w:themeShade="BF"/>
        </w:rPr>
      </w:pPr>
    </w:p>
    <w:p w14:paraId="4302502B" w14:textId="7EFD319A" w:rsidR="000B1BD4" w:rsidRPr="004421A9" w:rsidRDefault="000B1BD4" w:rsidP="000B1BD4">
      <w:r w:rsidRPr="004421A9">
        <w:rPr>
          <w:b/>
        </w:rPr>
        <w:t>Räumlichkeiten und Instandhaltung</w:t>
      </w:r>
      <w:r w:rsidRPr="004421A9">
        <w:t xml:space="preserve">: Erwerb, Anmietung, Verbesserung und Instandhaltung von Büroräumen, Versorgungsleistungen, Anmietung oder Instandhaltung von </w:t>
      </w:r>
      <w:r w:rsidR="007D7770">
        <w:t>Ausrüstung</w:t>
      </w:r>
      <w:r w:rsidRPr="004421A9">
        <w:t xml:space="preserve"> und Softwarelizenzen.</w:t>
      </w:r>
    </w:p>
    <w:p w14:paraId="4ACA4C2D" w14:textId="77777777" w:rsidR="000B1BD4" w:rsidRPr="004421A9" w:rsidRDefault="000B1BD4" w:rsidP="000B1BD4">
      <w:pPr>
        <w:rPr>
          <w:b/>
        </w:rPr>
      </w:pPr>
    </w:p>
    <w:p w14:paraId="4DD929EC" w14:textId="77777777" w:rsidR="000B1BD4" w:rsidRPr="004421A9" w:rsidRDefault="000B1BD4" w:rsidP="000B1BD4">
      <w:r w:rsidRPr="004421A9">
        <w:rPr>
          <w:b/>
        </w:rPr>
        <w:t>Kommunikation</w:t>
      </w:r>
      <w:r w:rsidRPr="004421A9">
        <w:t xml:space="preserve">: Kommunikationskosten wie Telefon, Internet, Post und Porto. </w:t>
      </w:r>
    </w:p>
    <w:p w14:paraId="1F2A18D4" w14:textId="77777777" w:rsidR="000B1BD4" w:rsidRPr="004421A9" w:rsidRDefault="000B1BD4" w:rsidP="000B1BD4">
      <w:pPr>
        <w:rPr>
          <w:b/>
          <w:bCs/>
        </w:rPr>
      </w:pPr>
    </w:p>
    <w:p w14:paraId="2D074B8B" w14:textId="269689AF" w:rsidR="000B1BD4" w:rsidRPr="004421A9" w:rsidRDefault="000B1BD4" w:rsidP="000B1BD4">
      <w:r w:rsidRPr="004421A9">
        <w:rPr>
          <w:b/>
          <w:bCs/>
        </w:rPr>
        <w:t>Repräsentations- und sonstige Betriebsausgaben</w:t>
      </w:r>
      <w:r w:rsidRPr="004421A9">
        <w:t>: offizielle Bewirtung, Beitrag der WIPO zu</w:t>
      </w:r>
      <w:r w:rsidR="009D69DB">
        <w:t>m</w:t>
      </w:r>
      <w:r w:rsidRPr="004421A9">
        <w:t xml:space="preserve"> </w:t>
      </w:r>
      <w:r w:rsidR="009D69DB" w:rsidRPr="009D69DB">
        <w:t>Personalverband</w:t>
      </w:r>
      <w:r w:rsidRPr="004421A9">
        <w:t xml:space="preserve"> und sonstige Betriebsausgaben.</w:t>
      </w:r>
    </w:p>
    <w:p w14:paraId="0BE9D4C3" w14:textId="77777777" w:rsidR="000B1BD4" w:rsidRPr="004421A9" w:rsidRDefault="000B1BD4" w:rsidP="000B1BD4">
      <w:pPr>
        <w:rPr>
          <w:b/>
        </w:rPr>
      </w:pPr>
    </w:p>
    <w:p w14:paraId="2493F856" w14:textId="77777777" w:rsidR="000B1BD4" w:rsidRPr="004421A9" w:rsidRDefault="000B1BD4" w:rsidP="000B1BD4">
      <w:r w:rsidRPr="004421A9">
        <w:rPr>
          <w:b/>
        </w:rPr>
        <w:t>Gemeinsame Dienste der Vereinten Nationen</w:t>
      </w:r>
      <w:r w:rsidRPr="004421A9">
        <w:t>: medizinische Versorgung, Beiträge zu gemeinsamen Verwaltungsaktivitäten innerhalb des Systems der Vereinten Nationen, Aktivitäten der Vereinten Nationen mit Kostenteilung, Verwaltungsgericht.</w:t>
      </w:r>
    </w:p>
    <w:p w14:paraId="17B34DEE" w14:textId="77777777" w:rsidR="007D7A5A" w:rsidRDefault="007D7A5A" w:rsidP="000B1BD4">
      <w:pPr>
        <w:rPr>
          <w:color w:val="000000"/>
        </w:rPr>
      </w:pPr>
    </w:p>
    <w:p w14:paraId="5BAAB742" w14:textId="12F68E07" w:rsidR="000B1BD4" w:rsidRPr="004421A9" w:rsidRDefault="000B1BD4" w:rsidP="000B1BD4">
      <w:pPr>
        <w:rPr>
          <w:b/>
        </w:rPr>
      </w:pPr>
      <w:r w:rsidRPr="004421A9">
        <w:rPr>
          <w:color w:val="000000"/>
        </w:rPr>
        <w:t>Darüber hinaus alle gemeinsamen Ausgaben im Zusammenhang mit gemeinsamen Aktivitäten mit der WIPO oder tatsächlich von der WIPO im Rahmen de</w:t>
      </w:r>
      <w:r w:rsidR="006D6BF5">
        <w:rPr>
          <w:color w:val="000000"/>
        </w:rPr>
        <w:t>r</w:t>
      </w:r>
      <w:r w:rsidRPr="004421A9">
        <w:rPr>
          <w:color w:val="000000"/>
        </w:rPr>
        <w:t xml:space="preserve"> WIPO/UPOV-</w:t>
      </w:r>
      <w:r w:rsidR="006D6BF5">
        <w:rPr>
          <w:color w:val="000000"/>
        </w:rPr>
        <w:t>Vereinbarung</w:t>
      </w:r>
      <w:r w:rsidRPr="004421A9">
        <w:rPr>
          <w:color w:val="000000"/>
        </w:rPr>
        <w:t xml:space="preserve"> erbrachten Dienstleistungen.</w:t>
      </w:r>
    </w:p>
    <w:p w14:paraId="3F454BC6" w14:textId="77777777" w:rsidR="000B1BD4" w:rsidRPr="004421A9" w:rsidRDefault="000B1BD4" w:rsidP="000B1BD4"/>
    <w:p w14:paraId="0C3D35A8" w14:textId="34B453D1" w:rsidR="00B65EDC" w:rsidRPr="004421A9" w:rsidRDefault="00B75247" w:rsidP="00B65EDC">
      <w:pPr>
        <w:keepNext/>
        <w:rPr>
          <w:rFonts w:cs="Arial"/>
          <w:bCs/>
          <w:i/>
          <w:color w:val="26724C" w:themeColor="accent1" w:themeShade="BF"/>
        </w:rPr>
      </w:pPr>
      <w:r w:rsidRPr="004421A9">
        <w:rPr>
          <w:rFonts w:cs="Arial"/>
          <w:bCs/>
          <w:i/>
          <w:iCs/>
          <w:color w:val="26724C" w:themeColor="accent1" w:themeShade="BF"/>
        </w:rPr>
        <w:t>Betriebsausstattung und Bürobedarf</w:t>
      </w:r>
    </w:p>
    <w:p w14:paraId="23401539" w14:textId="77777777" w:rsidR="00B65EDC" w:rsidRPr="004421A9" w:rsidRDefault="00B65EDC" w:rsidP="00B65EDC">
      <w:pPr>
        <w:rPr>
          <w:rFonts w:cs="Arial"/>
        </w:rPr>
      </w:pPr>
    </w:p>
    <w:p w14:paraId="074A1717" w14:textId="77777777" w:rsidR="00882204" w:rsidRPr="004421A9" w:rsidRDefault="00882204" w:rsidP="00882204">
      <w:r w:rsidRPr="004421A9">
        <w:rPr>
          <w:b/>
          <w:i/>
        </w:rPr>
        <w:t>Mobiliar und Betriebsausstattung:</w:t>
      </w:r>
      <w:r w:rsidRPr="004421A9">
        <w:t xml:space="preserve"> Ankauf von Büromöbeln und Bürogeräten, Computerausstattung (Desktop-Computer, Laptops, Drucker, Server usw.), Konferenzanlagen, Vervielfältigungsgeräte, Transportmittel.</w:t>
      </w:r>
    </w:p>
    <w:p w14:paraId="40646F26" w14:textId="77777777" w:rsidR="00882204" w:rsidRPr="004421A9" w:rsidRDefault="00882204" w:rsidP="00882204"/>
    <w:p w14:paraId="39DE11F6" w14:textId="54C15D74" w:rsidR="00B65EDC" w:rsidRPr="004421A9" w:rsidRDefault="00882204" w:rsidP="00882204">
      <w:pPr>
        <w:rPr>
          <w:rFonts w:cs="Arial"/>
          <w:color w:val="000000"/>
        </w:rPr>
      </w:pPr>
      <w:r w:rsidRPr="004421A9">
        <w:rPr>
          <w:b/>
          <w:i/>
        </w:rPr>
        <w:t>Bürobedarf und Materialien:</w:t>
      </w:r>
      <w:r w:rsidRPr="004421A9">
        <w:t xml:space="preserve"> Schreibpapier und Büromaterial,</w:t>
      </w:r>
      <w:r w:rsidR="00BF56B9">
        <w:t xml:space="preserve"> </w:t>
      </w:r>
      <w:r w:rsidRPr="004421A9">
        <w:t xml:space="preserve">Bücher für die Bücherei und Bezug von Fachzeitschriften und regelmäßig erscheinenden Veröffentlichungen, Uniformen, </w:t>
      </w:r>
      <w:r w:rsidR="00A2430F" w:rsidRPr="004421A9">
        <w:t>gekaufte So</w:t>
      </w:r>
      <w:r w:rsidRPr="004421A9">
        <w:t>ftware</w:t>
      </w:r>
      <w:r w:rsidR="00B65EDC" w:rsidRPr="004421A9">
        <w:rPr>
          <w:rFonts w:cs="Arial"/>
          <w:color w:val="000000"/>
        </w:rPr>
        <w:t>.</w:t>
      </w:r>
    </w:p>
    <w:p w14:paraId="1763DF30" w14:textId="77777777" w:rsidR="00B65EDC" w:rsidRPr="004421A9" w:rsidRDefault="00B65EDC" w:rsidP="00B65EDC">
      <w:pPr>
        <w:rPr>
          <w:rFonts w:cs="Arial"/>
          <w:color w:val="000000"/>
        </w:rPr>
      </w:pPr>
    </w:p>
    <w:p w14:paraId="6D75FF97" w14:textId="0C2828F0" w:rsidR="00B65EDC" w:rsidRPr="005237AC" w:rsidRDefault="00B65EDC" w:rsidP="00B65EDC">
      <w:pPr>
        <w:pStyle w:val="endofdoc"/>
        <w:rPr>
          <w:rFonts w:cs="Arial"/>
          <w:lang w:val="de-DE"/>
        </w:rPr>
      </w:pPr>
      <w:r w:rsidRPr="004421A9">
        <w:rPr>
          <w:lang w:val="de-DE"/>
        </w:rPr>
        <w:t xml:space="preserve">[Ende </w:t>
      </w:r>
      <w:r w:rsidR="00882204" w:rsidRPr="004421A9">
        <w:rPr>
          <w:lang w:val="de-DE"/>
        </w:rPr>
        <w:t>des</w:t>
      </w:r>
      <w:r w:rsidRPr="004421A9">
        <w:rPr>
          <w:lang w:val="de-DE"/>
        </w:rPr>
        <w:t xml:space="preserve"> Anhang</w:t>
      </w:r>
      <w:r w:rsidR="00882204" w:rsidRPr="004421A9">
        <w:rPr>
          <w:lang w:val="de-DE"/>
        </w:rPr>
        <w:t>s</w:t>
      </w:r>
      <w:r w:rsidRPr="004421A9">
        <w:rPr>
          <w:lang w:val="de-DE"/>
        </w:rPr>
        <w:t xml:space="preserve"> III und des Dokuments]</w:t>
      </w:r>
    </w:p>
    <w:p w14:paraId="62DB24D0" w14:textId="77777777" w:rsidR="00B65EDC" w:rsidRPr="005237AC" w:rsidRDefault="00B65EDC" w:rsidP="00B65EDC">
      <w:pPr>
        <w:jc w:val="left"/>
        <w:rPr>
          <w:snapToGrid w:val="0"/>
        </w:rPr>
      </w:pPr>
    </w:p>
    <w:sectPr w:rsidR="00B65EDC" w:rsidRPr="005237AC" w:rsidSect="00B56FC0">
      <w:headerReference w:type="default" r:id="rId44"/>
      <w:footerReference w:type="even" r:id="rId45"/>
      <w:footerReference w:type="default" r:id="rId46"/>
      <w:footerReference w:type="first" r:id="rId47"/>
      <w:pgSz w:w="11907" w:h="16840" w:code="9"/>
      <w:pgMar w:top="510" w:right="1134" w:bottom="1134" w:left="1134" w:header="51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C60B" w14:textId="77777777" w:rsidR="00E12999" w:rsidRDefault="00E12999" w:rsidP="006655D3">
      <w:r>
        <w:separator/>
      </w:r>
    </w:p>
    <w:p w14:paraId="01573BCA" w14:textId="77777777" w:rsidR="00E12999" w:rsidRDefault="00E12999" w:rsidP="006655D3"/>
    <w:p w14:paraId="0A9D52CF" w14:textId="77777777" w:rsidR="00E12999" w:rsidRDefault="00E12999" w:rsidP="006655D3"/>
  </w:endnote>
  <w:endnote w:type="continuationSeparator" w:id="0">
    <w:p w14:paraId="1EF254D6" w14:textId="77777777" w:rsidR="00E12999" w:rsidRDefault="00E12999" w:rsidP="006655D3">
      <w:r>
        <w:separator/>
      </w:r>
    </w:p>
    <w:p w14:paraId="51AD5608" w14:textId="77777777" w:rsidR="00E12999" w:rsidRPr="005E48E3" w:rsidRDefault="00E12999">
      <w:pPr>
        <w:pStyle w:val="Footer"/>
        <w:spacing w:after="60"/>
        <w:rPr>
          <w:sz w:val="18"/>
          <w:lang w:val="de-DE"/>
        </w:rPr>
      </w:pPr>
      <w:r w:rsidRPr="005E48E3">
        <w:rPr>
          <w:sz w:val="18"/>
          <w:lang w:val="de-DE"/>
        </w:rPr>
        <w:t>[Fortsetzung der Anmerkung auf der vorherigen Seite]</w:t>
      </w:r>
    </w:p>
    <w:p w14:paraId="01CA44E8" w14:textId="77777777" w:rsidR="00E12999" w:rsidRPr="005E48E3" w:rsidRDefault="00E12999" w:rsidP="006655D3"/>
    <w:p w14:paraId="47C21D25" w14:textId="77777777" w:rsidR="00E12999" w:rsidRPr="005E48E3" w:rsidRDefault="00E12999" w:rsidP="006655D3"/>
  </w:endnote>
  <w:endnote w:type="continuationNotice" w:id="1">
    <w:p w14:paraId="77B29084" w14:textId="77777777" w:rsidR="00E12999" w:rsidRPr="005E48E3" w:rsidRDefault="00E12999" w:rsidP="006655D3">
      <w:r w:rsidRPr="005E48E3">
        <w:t xml:space="preserve">[Fortsetzung </w:t>
      </w:r>
      <w:r w:rsidRPr="005E48E3">
        <w:t>der Anmerkung auf der nächsten Seite]</w:t>
      </w:r>
    </w:p>
    <w:p w14:paraId="185F0739" w14:textId="77777777" w:rsidR="00E12999" w:rsidRPr="005E48E3" w:rsidRDefault="00E12999" w:rsidP="006655D3"/>
    <w:p w14:paraId="10A4E582" w14:textId="77777777" w:rsidR="00E12999" w:rsidRPr="005E48E3" w:rsidRDefault="00E1299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Überschrift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995F" w14:textId="2FA91D2F" w:rsidR="00B65EDC" w:rsidRDefault="00914DDB">
    <w:pPr>
      <w:pStyle w:val="Footer"/>
    </w:pPr>
    <w:r>
      <w:rPr>
        <w:noProof/>
      </w:rPr>
      <mc:AlternateContent>
        <mc:Choice Requires="wps">
          <w:drawing>
            <wp:anchor distT="0" distB="0" distL="0" distR="0" simplePos="0" relativeHeight="251659264" behindDoc="0" locked="0" layoutInCell="1" allowOverlap="1" wp14:anchorId="05D15125" wp14:editId="577F3960">
              <wp:simplePos x="635" y="635"/>
              <wp:positionH relativeFrom="page">
                <wp:align>center</wp:align>
              </wp:positionH>
              <wp:positionV relativeFrom="page">
                <wp:align>bottom</wp:align>
              </wp:positionV>
              <wp:extent cx="1564005" cy="345440"/>
              <wp:effectExtent l="0" t="0" r="17145" b="0"/>
              <wp:wrapNone/>
              <wp:docPr id="1845437445"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F60C596" w14:textId="2E88E34F"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15125"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2F60C596" w14:textId="2E88E34F"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DFC0" w14:textId="457E5A3E" w:rsidR="00B65EDC" w:rsidRDefault="00914DDB" w:rsidP="008224BD">
    <w:pPr>
      <w:pStyle w:val="Footer"/>
    </w:pPr>
    <w:r>
      <w:rPr>
        <w:noProof/>
      </w:rPr>
      <mc:AlternateContent>
        <mc:Choice Requires="wps">
          <w:drawing>
            <wp:anchor distT="0" distB="0" distL="0" distR="0" simplePos="0" relativeHeight="251667456" behindDoc="0" locked="0" layoutInCell="1" allowOverlap="1" wp14:anchorId="1B58D9A9" wp14:editId="224C5D15">
              <wp:simplePos x="635" y="635"/>
              <wp:positionH relativeFrom="page">
                <wp:align>center</wp:align>
              </wp:positionH>
              <wp:positionV relativeFrom="page">
                <wp:align>bottom</wp:align>
              </wp:positionV>
              <wp:extent cx="1564005" cy="345440"/>
              <wp:effectExtent l="0" t="0" r="17145" b="0"/>
              <wp:wrapNone/>
              <wp:docPr id="868803376" name="Text Box 10"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954B816" w14:textId="6226DC56"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8D9A9" id="_x0000_t202" coordsize="21600,21600" o:spt="202" path="m,l,21600r21600,l21600,xe">
              <v:stroke joinstyle="miter"/>
              <v:path gradientshapeok="t" o:connecttype="rect"/>
            </v:shapetype>
            <v:shape id="Text Box 10" o:spid="_x0000_s1032" type="#_x0000_t202" alt="WIPO FOR OFFICIAL USE ONLY " style="position:absolute;left:0;text-align:left;margin-left:0;margin-top:0;width:123.1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CsBtW4PAgAA&#10;HgQAAA4AAAAAAAAAAAAAAAAALgIAAGRycy9lMm9Eb2MueG1sUEsBAi0AFAAGAAgAAAAhADUlx5zb&#10;AAAABAEAAA8AAAAAAAAAAAAAAAAAaQQAAGRycy9kb3ducmV2LnhtbFBLBQYAAAAABAAEAPMAAABx&#10;BQAAAAA=&#10;" filled="f" stroked="f">
              <v:textbox style="mso-fit-shape-to-text:t" inset="0,0,0,15pt">
                <w:txbxContent>
                  <w:p w14:paraId="1954B816" w14:textId="6226DC56"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CE55" w14:textId="0D6FEF26" w:rsidR="00B65EDC" w:rsidRDefault="00914DDB" w:rsidP="008224BD">
    <w:pPr>
      <w:pStyle w:val="Footer"/>
    </w:pPr>
    <w:r>
      <w:rPr>
        <w:noProof/>
      </w:rPr>
      <mc:AlternateContent>
        <mc:Choice Requires="wps">
          <w:drawing>
            <wp:anchor distT="0" distB="0" distL="0" distR="0" simplePos="0" relativeHeight="251671552" behindDoc="0" locked="0" layoutInCell="1" allowOverlap="1" wp14:anchorId="1A363CEE" wp14:editId="7CAB1D1A">
              <wp:simplePos x="635" y="635"/>
              <wp:positionH relativeFrom="page">
                <wp:align>center</wp:align>
              </wp:positionH>
              <wp:positionV relativeFrom="page">
                <wp:align>bottom</wp:align>
              </wp:positionV>
              <wp:extent cx="1564005" cy="345440"/>
              <wp:effectExtent l="0" t="0" r="17145" b="0"/>
              <wp:wrapNone/>
              <wp:docPr id="1252865454" name="Text Box 1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378FE04" w14:textId="53B5909B"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63CEE" id="_x0000_t202" coordsize="21600,21600" o:spt="202" path="m,l,21600r21600,l21600,xe">
              <v:stroke joinstyle="miter"/>
              <v:path gradientshapeok="t" o:connecttype="rect"/>
            </v:shapetype>
            <v:shape id="Text Box 14" o:spid="_x0000_s1033" type="#_x0000_t202" alt="WIPO FOR OFFICIAL USE ONLY " style="position:absolute;left:0;text-align:left;margin-left:0;margin-top:0;width:123.1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CcwGIoEAIA&#10;AB4EAAAOAAAAAAAAAAAAAAAAAC4CAABkcnMvZTJvRG9jLnhtbFBLAQItABQABgAIAAAAIQA1Jcec&#10;2wAAAAQBAAAPAAAAAAAAAAAAAAAAAGoEAABkcnMvZG93bnJldi54bWxQSwUGAAAAAAQABADzAAAA&#10;cgUAAAAA&#10;" filled="f" stroked="f">
              <v:textbox style="mso-fit-shape-to-text:t" inset="0,0,0,15pt">
                <w:txbxContent>
                  <w:p w14:paraId="0378FE04" w14:textId="53B5909B"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53F" w14:textId="4B7FAE42" w:rsidR="00B65EDC" w:rsidRDefault="00914DDB">
    <w:pPr>
      <w:pStyle w:val="Footer"/>
    </w:pPr>
    <w:r>
      <w:rPr>
        <w:noProof/>
      </w:rPr>
      <mc:AlternateContent>
        <mc:Choice Requires="wps">
          <w:drawing>
            <wp:anchor distT="0" distB="0" distL="0" distR="0" simplePos="0" relativeHeight="251672576" behindDoc="0" locked="0" layoutInCell="1" allowOverlap="1" wp14:anchorId="7C4D0053" wp14:editId="3CE2F4A9">
              <wp:simplePos x="635" y="635"/>
              <wp:positionH relativeFrom="page">
                <wp:align>center</wp:align>
              </wp:positionH>
              <wp:positionV relativeFrom="page">
                <wp:align>bottom</wp:align>
              </wp:positionV>
              <wp:extent cx="1564005" cy="345440"/>
              <wp:effectExtent l="0" t="0" r="17145" b="0"/>
              <wp:wrapNone/>
              <wp:docPr id="961633709" name="Text Box 1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A37786A" w14:textId="4D135BD7"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D0053" id="_x0000_t202" coordsize="21600,21600" o:spt="202" path="m,l,21600r21600,l21600,xe">
              <v:stroke joinstyle="miter"/>
              <v:path gradientshapeok="t" o:connecttype="rect"/>
            </v:shapetype>
            <v:shape id="Text Box 15" o:spid="_x0000_s1034" type="#_x0000_t202" alt="WIPO FOR OFFICIAL USE ONLY " style="position:absolute;left:0;text-align:left;margin-left:0;margin-top:0;width:123.15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Dxf9AVEAIA&#10;AB4EAAAOAAAAAAAAAAAAAAAAAC4CAABkcnMvZTJvRG9jLnhtbFBLAQItABQABgAIAAAAIQA1Jcec&#10;2wAAAAQBAAAPAAAAAAAAAAAAAAAAAGoEAABkcnMvZG93bnJldi54bWxQSwUGAAAAAAQABADzAAAA&#10;cgUAAAAA&#10;" filled="f" stroked="f">
              <v:textbox style="mso-fit-shape-to-text:t" inset="0,0,0,15pt">
                <w:txbxContent>
                  <w:p w14:paraId="4A37786A" w14:textId="4D135BD7"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A917" w14:textId="67F6C52F" w:rsidR="00B65EDC" w:rsidRDefault="00914DDB">
    <w:pPr>
      <w:pStyle w:val="Footer"/>
    </w:pPr>
    <w:r>
      <w:rPr>
        <w:noProof/>
      </w:rPr>
      <mc:AlternateContent>
        <mc:Choice Requires="wps">
          <w:drawing>
            <wp:anchor distT="0" distB="0" distL="0" distR="0" simplePos="0" relativeHeight="251670528" behindDoc="0" locked="0" layoutInCell="1" allowOverlap="1" wp14:anchorId="00F797EF" wp14:editId="516DF7D6">
              <wp:simplePos x="635" y="635"/>
              <wp:positionH relativeFrom="page">
                <wp:align>center</wp:align>
              </wp:positionH>
              <wp:positionV relativeFrom="page">
                <wp:align>bottom</wp:align>
              </wp:positionV>
              <wp:extent cx="1564005" cy="345440"/>
              <wp:effectExtent l="0" t="0" r="17145" b="0"/>
              <wp:wrapNone/>
              <wp:docPr id="1877173776" name="Text Box 1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055A0B1" w14:textId="60027679"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797EF" id="_x0000_t202" coordsize="21600,21600" o:spt="202" path="m,l,21600r21600,l21600,xe">
              <v:stroke joinstyle="miter"/>
              <v:path gradientshapeok="t" o:connecttype="rect"/>
            </v:shapetype>
            <v:shape id="Text Box 13" o:spid="_x0000_s1035" type="#_x0000_t202" alt="WIPO FOR OFFICIAL USE ONLY " style="position:absolute;left:0;text-align:left;margin-left:0;margin-top:0;width:123.1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DyQ82lEAIA&#10;AB4EAAAOAAAAAAAAAAAAAAAAAC4CAABkcnMvZTJvRG9jLnhtbFBLAQItABQABgAIAAAAIQA1Jcec&#10;2wAAAAQBAAAPAAAAAAAAAAAAAAAAAGoEAABkcnMvZG93bnJldi54bWxQSwUGAAAAAAQABADzAAAA&#10;cgUAAAAA&#10;" filled="f" stroked="f">
              <v:textbox style="mso-fit-shape-to-text:t" inset="0,0,0,15pt">
                <w:txbxContent>
                  <w:p w14:paraId="3055A0B1" w14:textId="60027679"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27DB" w14:textId="4E57729E" w:rsidR="00B65EDC" w:rsidRDefault="00914DDB" w:rsidP="0077481D">
    <w:pPr>
      <w:pStyle w:val="Footer"/>
    </w:pPr>
    <w:r>
      <w:rPr>
        <w:noProof/>
      </w:rPr>
      <mc:AlternateContent>
        <mc:Choice Requires="wps">
          <w:drawing>
            <wp:anchor distT="0" distB="0" distL="0" distR="0" simplePos="0" relativeHeight="251674624" behindDoc="0" locked="0" layoutInCell="1" allowOverlap="1" wp14:anchorId="0BD4EEB2" wp14:editId="143FC112">
              <wp:simplePos x="635" y="635"/>
              <wp:positionH relativeFrom="page">
                <wp:align>center</wp:align>
              </wp:positionH>
              <wp:positionV relativeFrom="page">
                <wp:align>bottom</wp:align>
              </wp:positionV>
              <wp:extent cx="1564005" cy="345440"/>
              <wp:effectExtent l="0" t="0" r="17145" b="0"/>
              <wp:wrapNone/>
              <wp:docPr id="1476865195" name="Text Box 1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EF1F2E7" w14:textId="130048F5"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4EEB2" id="_x0000_t202" coordsize="21600,21600" o:spt="202" path="m,l,21600r21600,l21600,xe">
              <v:stroke joinstyle="miter"/>
              <v:path gradientshapeok="t" o:connecttype="rect"/>
            </v:shapetype>
            <v:shape id="Text Box 17" o:spid="_x0000_s1036" type="#_x0000_t202" alt="WIPO FOR OFFICIAL USE ONLY " style="position:absolute;left:0;text-align:left;margin-left:0;margin-top:0;width:123.15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J/8f5gPAgAA&#10;HgQAAA4AAAAAAAAAAAAAAAAALgIAAGRycy9lMm9Eb2MueG1sUEsBAi0AFAAGAAgAAAAhADUlx5zb&#10;AAAABAEAAA8AAAAAAAAAAAAAAAAAaQQAAGRycy9kb3ducmV2LnhtbFBLBQYAAAAABAAEAPMAAABx&#10;BQAAAAA=&#10;" filled="f" stroked="f">
              <v:textbox style="mso-fit-shape-to-text:t" inset="0,0,0,15pt">
                <w:txbxContent>
                  <w:p w14:paraId="2EF1F2E7" w14:textId="130048F5"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5339" w14:textId="0F10BD8B" w:rsidR="00B65EDC" w:rsidRPr="00A70ED5" w:rsidRDefault="00B65EDC" w:rsidP="00A70ED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46BB" w14:textId="0B4558FB" w:rsidR="00B65EDC" w:rsidRPr="00621F63" w:rsidRDefault="00914DDB" w:rsidP="00621F63">
    <w:pPr>
      <w:pStyle w:val="Footer"/>
    </w:pPr>
    <w:r>
      <w:rPr>
        <w:noProof/>
      </w:rPr>
      <mc:AlternateContent>
        <mc:Choice Requires="wps">
          <w:drawing>
            <wp:anchor distT="0" distB="0" distL="0" distR="0" simplePos="0" relativeHeight="251673600" behindDoc="0" locked="0" layoutInCell="1" allowOverlap="1" wp14:anchorId="7E734C07" wp14:editId="17A00E3B">
              <wp:simplePos x="635" y="635"/>
              <wp:positionH relativeFrom="page">
                <wp:align>center</wp:align>
              </wp:positionH>
              <wp:positionV relativeFrom="page">
                <wp:align>bottom</wp:align>
              </wp:positionV>
              <wp:extent cx="1564005" cy="345440"/>
              <wp:effectExtent l="0" t="0" r="17145" b="0"/>
              <wp:wrapNone/>
              <wp:docPr id="1906681400" name="Text Box 16"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2E9A7E5" w14:textId="18DAE52B"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34C07" id="_x0000_t202" coordsize="21600,21600" o:spt="202" path="m,l,21600r21600,l21600,xe">
              <v:stroke joinstyle="miter"/>
              <v:path gradientshapeok="t" o:connecttype="rect"/>
            </v:shapetype>
            <v:shape id="Text Box 16" o:spid="_x0000_s1037" type="#_x0000_t202" alt="WIPO FOR OFFICIAL USE ONLY " style="position:absolute;left:0;text-align:left;margin-left:0;margin-top:0;width:123.15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BFghrjEAIA&#10;AB4EAAAOAAAAAAAAAAAAAAAAAC4CAABkcnMvZTJvRG9jLnhtbFBLAQItABQABgAIAAAAIQA1Jcec&#10;2wAAAAQBAAAPAAAAAAAAAAAAAAAAAGoEAABkcnMvZG93bnJldi54bWxQSwUGAAAAAAQABADzAAAA&#10;cgUAAAAA&#10;" filled="f" stroked="f">
              <v:textbox style="mso-fit-shape-to-text:t" inset="0,0,0,15pt">
                <w:txbxContent>
                  <w:p w14:paraId="42E9A7E5" w14:textId="18DAE52B"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5F63" w14:textId="3694A7E3" w:rsidR="00914DDB" w:rsidRDefault="00914DDB">
    <w:pPr>
      <w:pStyle w:val="Footer"/>
    </w:pPr>
    <w:r>
      <w:rPr>
        <w:noProof/>
      </w:rPr>
      <mc:AlternateContent>
        <mc:Choice Requires="wps">
          <w:drawing>
            <wp:anchor distT="0" distB="0" distL="0" distR="0" simplePos="0" relativeHeight="251677696" behindDoc="0" locked="0" layoutInCell="1" allowOverlap="1" wp14:anchorId="7FF98BA0" wp14:editId="322DE25F">
              <wp:simplePos x="635" y="635"/>
              <wp:positionH relativeFrom="page">
                <wp:align>center</wp:align>
              </wp:positionH>
              <wp:positionV relativeFrom="page">
                <wp:align>bottom</wp:align>
              </wp:positionV>
              <wp:extent cx="1564005" cy="345440"/>
              <wp:effectExtent l="0" t="0" r="17145" b="0"/>
              <wp:wrapNone/>
              <wp:docPr id="1317745358" name="Text Box 20"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2DC7049" w14:textId="5DCC47B5"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98BA0" id="_x0000_t202" coordsize="21600,21600" o:spt="202" path="m,l,21600r21600,l21600,xe">
              <v:stroke joinstyle="miter"/>
              <v:path gradientshapeok="t" o:connecttype="rect"/>
            </v:shapetype>
            <v:shape id="Text Box 20" o:spid="_x0000_s1038" type="#_x0000_t202" alt="WIPO FOR OFFICIAL USE ONLY " style="position:absolute;left:0;text-align:left;margin-left:0;margin-top:0;width:123.15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BvQ+NlEAIA&#10;AB4EAAAOAAAAAAAAAAAAAAAAAC4CAABkcnMvZTJvRG9jLnhtbFBLAQItABQABgAIAAAAIQA1Jcec&#10;2wAAAAQBAAAPAAAAAAAAAAAAAAAAAGoEAABkcnMvZG93bnJldi54bWxQSwUGAAAAAAQABADzAAAA&#10;cgUAAAAA&#10;" filled="f" stroked="f">
              <v:textbox style="mso-fit-shape-to-text:t" inset="0,0,0,15pt">
                <w:txbxContent>
                  <w:p w14:paraId="02DC7049" w14:textId="5DCC47B5"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AFD3" w14:textId="331ACFF4" w:rsidR="00914DDB" w:rsidRPr="00A70ED5" w:rsidRDefault="00914DDB" w:rsidP="00A70ED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368E" w14:textId="7D1EEFC5" w:rsidR="00914DDB" w:rsidRDefault="00914DDB">
    <w:pPr>
      <w:pStyle w:val="Footer"/>
    </w:pPr>
    <w:r>
      <w:rPr>
        <w:noProof/>
      </w:rPr>
      <mc:AlternateContent>
        <mc:Choice Requires="wps">
          <w:drawing>
            <wp:anchor distT="0" distB="0" distL="0" distR="0" simplePos="0" relativeHeight="251676672" behindDoc="0" locked="0" layoutInCell="1" allowOverlap="1" wp14:anchorId="26E15E2A" wp14:editId="6898878E">
              <wp:simplePos x="635" y="635"/>
              <wp:positionH relativeFrom="page">
                <wp:align>center</wp:align>
              </wp:positionH>
              <wp:positionV relativeFrom="page">
                <wp:align>bottom</wp:align>
              </wp:positionV>
              <wp:extent cx="1564005" cy="345440"/>
              <wp:effectExtent l="0" t="0" r="17145" b="0"/>
              <wp:wrapNone/>
              <wp:docPr id="1408887567" name="Text Box 19"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809D7EF" w14:textId="5CADED4D"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15E2A" id="_x0000_t202" coordsize="21600,21600" o:spt="202" path="m,l,21600r21600,l21600,xe">
              <v:stroke joinstyle="miter"/>
              <v:path gradientshapeok="t" o:connecttype="rect"/>
            </v:shapetype>
            <v:shape id="Text Box 19" o:spid="_x0000_s1039" type="#_x0000_t202" alt="WIPO FOR OFFICIAL USE ONLY " style="position:absolute;left:0;text-align:left;margin-left:0;margin-top:0;width:123.15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KhPRAYPAgAA&#10;HgQAAA4AAAAAAAAAAAAAAAAALgIAAGRycy9lMm9Eb2MueG1sUEsBAi0AFAAGAAgAAAAhADUlx5zb&#10;AAAABAEAAA8AAAAAAAAAAAAAAAAAaQQAAGRycy9kb3ducmV2LnhtbFBLBQYAAAAABAAEAPMAAABx&#10;BQAAAAA=&#10;" filled="f" stroked="f">
              <v:textbox style="mso-fit-shape-to-text:t" inset="0,0,0,15pt">
                <w:txbxContent>
                  <w:p w14:paraId="6809D7EF" w14:textId="5CADED4D"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6034" w14:textId="783D6191" w:rsidR="00B65EDC" w:rsidRDefault="00914DDB" w:rsidP="008224BD">
    <w:pPr>
      <w:pStyle w:val="Footer"/>
    </w:pPr>
    <w:r>
      <w:rPr>
        <w:noProof/>
      </w:rPr>
      <mc:AlternateContent>
        <mc:Choice Requires="wps">
          <w:drawing>
            <wp:anchor distT="0" distB="0" distL="0" distR="0" simplePos="0" relativeHeight="251662336" behindDoc="0" locked="0" layoutInCell="1" allowOverlap="1" wp14:anchorId="65D4F6D4" wp14:editId="250BACAF">
              <wp:simplePos x="635" y="635"/>
              <wp:positionH relativeFrom="page">
                <wp:align>center</wp:align>
              </wp:positionH>
              <wp:positionV relativeFrom="page">
                <wp:align>bottom</wp:align>
              </wp:positionV>
              <wp:extent cx="1564005" cy="345440"/>
              <wp:effectExtent l="0" t="0" r="17145" b="0"/>
              <wp:wrapNone/>
              <wp:docPr id="1305115541"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3145EEF" w14:textId="4F8AE20C"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4F6D4" id="_x0000_t202" coordsize="21600,21600" o:spt="202" path="m,l,21600r21600,l21600,xe">
              <v:stroke joinstyle="miter"/>
              <v:path gradientshapeok="t" o:connecttype="rect"/>
            </v:shapetype>
            <v:shape id="Text Box 5" o:spid="_x0000_s1027" type="#_x0000_t202" alt="WIPO FOR OFFICIAL USE ONLY " style="position:absolute;left:0;text-align:left;margin-left:0;margin-top:0;width:123.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jg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NRUf26+gPtJUCKeFeyfXLZXeCB+eBdKGaRBS&#10;bXiiQ3fQlxzOiLMG8Mff7DGeiCcvZz0ppuSWJM1Z983SQqK4RoAjqBKYfs7nOfnt3twD6XBKT8LJ&#10;BMmKoRuhRjCvpOdVLEQuYSWVK3k1wvtwki69B6lWqxREOnIibOzWyZg60hW5fBleBboz4YFW9Qij&#10;nETxhvdTbLzp3WofiP20lEjticgz46TBtKvze4ki//U/RV1f9fIn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6eyOAPAgAA&#10;HQQAAA4AAAAAAAAAAAAAAAAALgIAAGRycy9lMm9Eb2MueG1sUEsBAi0AFAAGAAgAAAAhADUlx5zb&#10;AAAABAEAAA8AAAAAAAAAAAAAAAAAaQQAAGRycy9kb3ducmV2LnhtbFBLBQYAAAAABAAEAPMAAABx&#10;BQAAAAA=&#10;" filled="f" stroked="f">
              <v:textbox style="mso-fit-shape-to-text:t" inset="0,0,0,15pt">
                <w:txbxContent>
                  <w:p w14:paraId="53145EEF" w14:textId="4F8AE20C"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E81" w14:textId="43B04185" w:rsidR="00B65EDC" w:rsidRPr="00A70ED5" w:rsidRDefault="00B65EDC" w:rsidP="00A70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BDC" w14:textId="2409B562" w:rsidR="00B65EDC" w:rsidRPr="00A70ED5" w:rsidRDefault="00B65EDC" w:rsidP="00A70E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34A6" w14:textId="6F783694" w:rsidR="00B65EDC" w:rsidRDefault="00914DDB" w:rsidP="008224BD">
    <w:pPr>
      <w:pStyle w:val="Footer"/>
    </w:pPr>
    <w:r>
      <w:rPr>
        <w:noProof/>
      </w:rPr>
      <mc:AlternateContent>
        <mc:Choice Requires="wps">
          <w:drawing>
            <wp:anchor distT="0" distB="0" distL="0" distR="0" simplePos="0" relativeHeight="251665408" behindDoc="0" locked="0" layoutInCell="1" allowOverlap="1" wp14:anchorId="71D2AED1" wp14:editId="5F9AF05A">
              <wp:simplePos x="635" y="635"/>
              <wp:positionH relativeFrom="page">
                <wp:align>center</wp:align>
              </wp:positionH>
              <wp:positionV relativeFrom="page">
                <wp:align>bottom</wp:align>
              </wp:positionV>
              <wp:extent cx="1564005" cy="345440"/>
              <wp:effectExtent l="0" t="0" r="17145" b="0"/>
              <wp:wrapNone/>
              <wp:docPr id="161927490"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9FBA2F1" w14:textId="55A6CC38"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2AED1" id="_x0000_t202" coordsize="21600,21600" o:spt="202" path="m,l,21600r21600,l21600,xe">
              <v:stroke joinstyle="miter"/>
              <v:path gradientshapeok="t" o:connecttype="rect"/>
            </v:shapetype>
            <v:shape id="Text Box 8" o:spid="_x0000_s1028" type="#_x0000_t202" alt="WIPO FOR OFFICIAL USE ONLY " style="position:absolute;left:0;text-align:left;margin-left:0;margin-top:0;width:123.1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LfcsCsPAgAA&#10;HQQAAA4AAAAAAAAAAAAAAAAALgIAAGRycy9lMm9Eb2MueG1sUEsBAi0AFAAGAAgAAAAhADUlx5zb&#10;AAAABAEAAA8AAAAAAAAAAAAAAAAAaQQAAGRycy9kb3ducmV2LnhtbFBLBQYAAAAABAAEAPMAAABx&#10;BQAAAAA=&#10;" filled="f" stroked="f">
              <v:textbox style="mso-fit-shape-to-text:t" inset="0,0,0,15pt">
                <w:txbxContent>
                  <w:p w14:paraId="49FBA2F1" w14:textId="55A6CC38"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B36E" w14:textId="7F5452E9" w:rsidR="00B65EDC" w:rsidRPr="00A70ED5" w:rsidRDefault="00B65EDC" w:rsidP="00A70ED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AA1D" w14:textId="32964FFC" w:rsidR="00B65EDC" w:rsidRDefault="00914DDB">
    <w:pPr>
      <w:pStyle w:val="Footer"/>
    </w:pPr>
    <w:r>
      <w:rPr>
        <w:noProof/>
      </w:rPr>
      <mc:AlternateContent>
        <mc:Choice Requires="wps">
          <w:drawing>
            <wp:anchor distT="0" distB="0" distL="0" distR="0" simplePos="0" relativeHeight="251664384" behindDoc="0" locked="0" layoutInCell="1" allowOverlap="1" wp14:anchorId="4B874452" wp14:editId="2330C47A">
              <wp:simplePos x="635" y="635"/>
              <wp:positionH relativeFrom="page">
                <wp:align>center</wp:align>
              </wp:positionH>
              <wp:positionV relativeFrom="page">
                <wp:align>bottom</wp:align>
              </wp:positionV>
              <wp:extent cx="1564005" cy="345440"/>
              <wp:effectExtent l="0" t="0" r="17145" b="0"/>
              <wp:wrapNone/>
              <wp:docPr id="455239110" name="Text Box 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8002936" w14:textId="5939B4E3"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74452" id="_x0000_t202" coordsize="21600,21600" o:spt="202" path="m,l,21600r21600,l21600,xe">
              <v:stroke joinstyle="miter"/>
              <v:path gradientshapeok="t" o:connecttype="rect"/>
            </v:shapetype>
            <v:shape id="Text Box 7" o:spid="_x0000_s1029" type="#_x0000_t202" alt="WIPO FOR OFFICIAL USE ONLY " style="position:absolute;left:0;text-align:left;margin-left:0;margin-top:0;width:123.1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PCi+5APAgAA&#10;HQQAAA4AAAAAAAAAAAAAAAAALgIAAGRycy9lMm9Eb2MueG1sUEsBAi0AFAAGAAgAAAAhADUlx5zb&#10;AAAABAEAAA8AAAAAAAAAAAAAAAAAaQQAAGRycy9kb3ducmV2LnhtbFBLBQYAAAAABAAEAPMAAABx&#10;BQAAAAA=&#10;" filled="f" stroked="f">
              <v:textbox style="mso-fit-shape-to-text:t" inset="0,0,0,15pt">
                <w:txbxContent>
                  <w:p w14:paraId="18002936" w14:textId="5939B4E3"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F0F3" w14:textId="7CDA49A4" w:rsidR="00B65EDC" w:rsidRDefault="00914DDB" w:rsidP="008224BD">
    <w:pPr>
      <w:pStyle w:val="Footer"/>
    </w:pPr>
    <w:r>
      <w:rPr>
        <w:noProof/>
      </w:rPr>
      <mc:AlternateContent>
        <mc:Choice Requires="wps">
          <w:drawing>
            <wp:anchor distT="0" distB="0" distL="0" distR="0" simplePos="0" relativeHeight="251668480" behindDoc="0" locked="0" layoutInCell="1" allowOverlap="1" wp14:anchorId="5D48055F" wp14:editId="70414F33">
              <wp:simplePos x="635" y="635"/>
              <wp:positionH relativeFrom="page">
                <wp:align>center</wp:align>
              </wp:positionH>
              <wp:positionV relativeFrom="page">
                <wp:align>bottom</wp:align>
              </wp:positionV>
              <wp:extent cx="1564005" cy="345440"/>
              <wp:effectExtent l="0" t="0" r="17145" b="0"/>
              <wp:wrapNone/>
              <wp:docPr id="1376491889" name="Text Box 1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1B6883A" w14:textId="7294D2FD"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8055F" id="_x0000_t202" coordsize="21600,21600" o:spt="202" path="m,l,21600r21600,l21600,xe">
              <v:stroke joinstyle="miter"/>
              <v:path gradientshapeok="t" o:connecttype="rect"/>
            </v:shapetype>
            <v:shape id="Text Box 11" o:spid="_x0000_s1030" type="#_x0000_t202" alt="WIPO FOR OFFICIAL USE ONLY " style="position:absolute;left:0;text-align:left;margin-left:0;margin-top:0;width:123.1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mtDw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CW/GdrfQHWgqRCOC/dOLhsqvRI+PAmkDdMg&#10;pNrwSIc20JUcToizGvD3R/YYT8STl7OOFFNyS5LmzPy0tJAorgHgADYJjG/yaU5+u2vvgHQ4pifh&#10;ZIJkxWAGqBHaF9LzIhYil7CSypV8M8C7cJQuvQepFosURDpyIqzs2smYOtIVuXzuXwS6E+GBVvUA&#10;g5xE8Yb3Y2y86d1iF4j9tJRI7ZHIE+OkwbSr03uJIn/9n6Iur3r+B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J0dSa0PAgAA&#10;HQQAAA4AAAAAAAAAAAAAAAAALgIAAGRycy9lMm9Eb2MueG1sUEsBAi0AFAAGAAgAAAAhADUlx5zb&#10;AAAABAEAAA8AAAAAAAAAAAAAAAAAaQQAAGRycy9kb3ducmV2LnhtbFBLBQYAAAAABAAEAPMAAABx&#10;BQAAAAA=&#10;" filled="f" stroked="f">
              <v:textbox style="mso-fit-shape-to-text:t" inset="0,0,0,15pt">
                <w:txbxContent>
                  <w:p w14:paraId="21B6883A" w14:textId="7294D2FD"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8F78" w14:textId="4A16BB3C" w:rsidR="00B65EDC" w:rsidRDefault="00914DDB">
    <w:pPr>
      <w:pStyle w:val="Footer"/>
    </w:pPr>
    <w:r>
      <w:rPr>
        <w:noProof/>
      </w:rPr>
      <mc:AlternateContent>
        <mc:Choice Requires="wps">
          <w:drawing>
            <wp:anchor distT="0" distB="0" distL="0" distR="0" simplePos="0" relativeHeight="251669504" behindDoc="0" locked="0" layoutInCell="1" allowOverlap="1" wp14:anchorId="6519C5A9" wp14:editId="43EEF79D">
              <wp:simplePos x="635" y="635"/>
              <wp:positionH relativeFrom="page">
                <wp:align>center</wp:align>
              </wp:positionH>
              <wp:positionV relativeFrom="page">
                <wp:align>bottom</wp:align>
              </wp:positionV>
              <wp:extent cx="1564005" cy="345440"/>
              <wp:effectExtent l="0" t="0" r="17145" b="0"/>
              <wp:wrapNone/>
              <wp:docPr id="803763081" name="Text Box 1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4566226" w14:textId="21001EFA"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19C5A9" id="_x0000_t202" coordsize="21600,21600" o:spt="202" path="m,l,21600r21600,l21600,xe">
              <v:stroke joinstyle="miter"/>
              <v:path gradientshapeok="t" o:connecttype="rect"/>
            </v:shapetype>
            <v:shape id="Text Box 12" o:spid="_x0000_s1031" type="#_x0000_t202" alt="WIPO FOR OFFICIAL USE ONLY " style="position:absolute;left:0;text-align:left;margin-left:0;margin-top:0;width:123.1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" filled="f" stroked="f">
              <v:textbox style="mso-fit-shape-to-text:t" inset="0,0,0,15pt">
                <w:txbxContent>
                  <w:p w14:paraId="24566226" w14:textId="21001EFA"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AAC8" w14:textId="77777777" w:rsidR="00E12999" w:rsidRDefault="00E12999" w:rsidP="006655D3">
      <w:r>
        <w:separator/>
      </w:r>
    </w:p>
  </w:footnote>
  <w:footnote w:type="continuationSeparator" w:id="0">
    <w:p w14:paraId="5DCA0EC0" w14:textId="77777777" w:rsidR="00E12999" w:rsidRDefault="00E12999" w:rsidP="006655D3">
      <w:r>
        <w:separator/>
      </w:r>
    </w:p>
  </w:footnote>
  <w:footnote w:type="continuationNotice" w:id="1">
    <w:p w14:paraId="69332F63" w14:textId="77777777" w:rsidR="00E12999" w:rsidRPr="00AB530F" w:rsidRDefault="00E12999" w:rsidP="00AB530F">
      <w:pPr>
        <w:pStyle w:val="Footer"/>
      </w:pPr>
    </w:p>
  </w:footnote>
  <w:footnote w:id="2">
    <w:p w14:paraId="6C4EFAEE" w14:textId="77777777" w:rsidR="00901D71" w:rsidRPr="004B7544" w:rsidRDefault="00901D71" w:rsidP="00901D71">
      <w:pPr>
        <w:pStyle w:val="FootnoteText"/>
        <w:rPr>
          <w:lang w:val="de-DE"/>
        </w:rPr>
      </w:pPr>
      <w:r w:rsidRPr="00D67D64">
        <w:rPr>
          <w:rStyle w:val="FootnoteReference"/>
        </w:rPr>
        <w:footnoteRef/>
      </w:r>
      <w:r w:rsidRPr="007B6A47">
        <w:rPr>
          <w:lang w:val="de-DE"/>
        </w:rPr>
        <w:tab/>
      </w:r>
      <w:r w:rsidRPr="00B22870">
        <w:rPr>
          <w:lang w:val="de-DE"/>
        </w:rPr>
        <w:t>Die</w:t>
      </w:r>
      <w:r w:rsidRPr="004B7544">
        <w:rPr>
          <w:lang w:val="de-DE"/>
        </w:rPr>
        <w:t xml:space="preserve"> Zahlen in den Tabellen 1 bis 7 gehen aufgrund von Rundungen möglicherweise nicht ganz auf.</w:t>
      </w:r>
    </w:p>
  </w:footnote>
  <w:footnote w:id="3">
    <w:p w14:paraId="451C58B6" w14:textId="718328E0" w:rsidR="00581261" w:rsidRPr="00D358B5" w:rsidRDefault="00581261" w:rsidP="00581261">
      <w:pPr>
        <w:pStyle w:val="FootnoteText"/>
        <w:rPr>
          <w:lang w:val="de-DE"/>
        </w:rPr>
      </w:pPr>
      <w:r>
        <w:rPr>
          <w:rStyle w:val="FootnoteReference"/>
        </w:rPr>
        <w:footnoteRef/>
      </w:r>
      <w:r w:rsidRPr="00D358B5">
        <w:rPr>
          <w:lang w:val="de-DE"/>
        </w:rPr>
        <w:tab/>
      </w:r>
      <w:r w:rsidR="00A2717A" w:rsidRPr="00A2717A">
        <w:rPr>
          <w:lang w:val="de-DE"/>
        </w:rPr>
        <w:t xml:space="preserve">UPOV/INF/8 </w:t>
      </w:r>
      <w:r w:rsidR="00A2717A" w:rsidRPr="00A2717A">
        <w:rPr>
          <w:lang w:val="de-DE"/>
        </w:rPr>
        <w:t>„ Vereinbarung zwischen der Weltorganisation für geistiges Eigentum und dem Internationalen Verband zum Schutz von Pflanzenzüchtungen“, Artikel 6 Absatz 1: „Für die Zwecke dieser Vereinbarung bezeichnet ‚Personal des Büros der UPOV‘ den Stellvertretenden Generalsekretär der UPOV sowie jede andere Person, die ausschlie</w:t>
      </w:r>
      <w:r w:rsidR="00A2717A">
        <w:rPr>
          <w:lang w:val="de-DE"/>
        </w:rPr>
        <w:t>ß</w:t>
      </w:r>
      <w:r w:rsidR="00A2717A" w:rsidRPr="00A2717A">
        <w:rPr>
          <w:lang w:val="de-DE"/>
        </w:rPr>
        <w:t>lich für die UPOV arbeitet, während ‚Büro der UPOV‘ sowohl den Generalsekretär der UPOV als auch das Personal des Büros der UPOV umfasst.“</w:t>
      </w:r>
    </w:p>
  </w:footnote>
  <w:footnote w:id="4">
    <w:p w14:paraId="553CDB9C" w14:textId="0ACC0F79" w:rsidR="00856C6C" w:rsidRPr="00391368" w:rsidRDefault="00856C6C" w:rsidP="00B104C1">
      <w:pPr>
        <w:pStyle w:val="FootnoteText"/>
        <w:rPr>
          <w:lang w:val="de-DE"/>
        </w:rPr>
      </w:pPr>
      <w:r w:rsidRPr="00391368">
        <w:rPr>
          <w:rStyle w:val="FootnoteReference"/>
          <w:lang w:val="de-DE"/>
        </w:rPr>
        <w:footnoteRef/>
      </w:r>
      <w:r w:rsidRPr="00391368">
        <w:rPr>
          <w:lang w:val="de-DE"/>
        </w:rPr>
        <w:tab/>
      </w:r>
      <w:r w:rsidR="00391368" w:rsidRPr="00391368">
        <w:rPr>
          <w:lang w:val="de-DE"/>
        </w:rPr>
        <w:t>Die Methodik des UPOV-Führungskräfte-programms (27 Teilnehmer) wurde für den regionalen ARIPO-Workshop zum Sortenschutz für ARIPO-Mitgliedstaaten (48 Teilnehmer) angewendet.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AA88" w14:textId="77777777" w:rsidR="005D2CBA" w:rsidRPr="00877E3D" w:rsidRDefault="005D2CBA" w:rsidP="005D2CBA">
    <w:pPr>
      <w:pStyle w:val="Header"/>
      <w:jc w:val="right"/>
      <w:rPr>
        <w:b/>
        <w:color w:val="26724C" w:themeColor="accent1" w:themeShade="BF"/>
        <w:lang w:val="de-DE"/>
      </w:rPr>
    </w:pPr>
    <w:r w:rsidRPr="00877E3D">
      <w:rPr>
        <w:b/>
        <w:color w:val="26724C" w:themeColor="accent1" w:themeShade="BF"/>
        <w:lang w:val="de-DE"/>
      </w:rPr>
      <w:t>UPOV</w:t>
    </w:r>
  </w:p>
  <w:p w14:paraId="271C2423" w14:textId="7C557F06" w:rsidR="005D2CBA" w:rsidRPr="0048016B" w:rsidRDefault="0048016B" w:rsidP="005D2CBA">
    <w:pPr>
      <w:pStyle w:val="Header"/>
      <w:jc w:val="right"/>
      <w:rPr>
        <w:color w:val="26724C" w:themeColor="accent1" w:themeShade="BF"/>
        <w:lang w:val="de-DE"/>
      </w:rPr>
    </w:pPr>
    <w:r w:rsidRPr="0048016B">
      <w:rPr>
        <w:color w:val="26724C" w:themeColor="accent1" w:themeShade="BF"/>
        <w:lang w:val="de-DE"/>
      </w:rPr>
      <w:t>Entwurf eines Programms</w:t>
    </w:r>
    <w:r w:rsidR="005D2CBA" w:rsidRPr="0048016B">
      <w:rPr>
        <w:color w:val="26724C" w:themeColor="accent1" w:themeShade="BF"/>
        <w:lang w:val="de-DE"/>
      </w:rPr>
      <w:t xml:space="preserve"> und Haushaltsplans</w:t>
    </w:r>
    <w:r w:rsidR="00766E51" w:rsidRPr="0048016B">
      <w:rPr>
        <w:color w:val="26724C" w:themeColor="accent1" w:themeShade="BF"/>
        <w:lang w:val="de-DE"/>
      </w:rPr>
      <w:t xml:space="preserve"> 2026-2027</w:t>
    </w:r>
  </w:p>
  <w:p w14:paraId="7DA30896" w14:textId="48B5B933" w:rsidR="005D2CBA" w:rsidRPr="0048016B" w:rsidRDefault="005D2CBA" w:rsidP="005D2CBA">
    <w:pPr>
      <w:pStyle w:val="Header"/>
      <w:pBdr>
        <w:bottom w:val="single" w:sz="4" w:space="1" w:color="auto"/>
      </w:pBdr>
      <w:jc w:val="right"/>
      <w:rPr>
        <w:color w:val="26724C" w:themeColor="accent1" w:themeShade="BF"/>
        <w:lang w:val="de-DE"/>
      </w:rPr>
    </w:pPr>
    <w:r w:rsidRPr="00C22051">
      <w:rPr>
        <w:color w:val="26724C" w:themeColor="accent1" w:themeShade="BF"/>
        <w:lang w:val="de-DE"/>
      </w:rPr>
      <w:t xml:space="preserve">Seite </w:t>
    </w:r>
    <w:sdt>
      <w:sdtPr>
        <w:rPr>
          <w:color w:val="26724C" w:themeColor="accent1" w:themeShade="BF"/>
          <w:lang w:val="de-DE"/>
        </w:rPr>
        <w:id w:val="1569839975"/>
        <w:docPartObj>
          <w:docPartGallery w:val="Page Numbers (Top of Page)"/>
          <w:docPartUnique/>
        </w:docPartObj>
      </w:sdtPr>
      <w:sdtEndPr>
        <w:rPr>
          <w:noProof/>
        </w:rPr>
      </w:sdtEndPr>
      <w:sdtContent>
        <w:sdt>
          <w:sdtPr>
            <w:rPr>
              <w:color w:val="26724C" w:themeColor="accent1" w:themeShade="BF"/>
            </w:rPr>
            <w:id w:val="268211503"/>
            <w:docPartObj>
              <w:docPartGallery w:val="Page Numbers (Top of Page)"/>
              <w:docPartUnique/>
            </w:docPartObj>
          </w:sdtPr>
          <w:sdtEndPr>
            <w:rPr>
              <w:noProof/>
            </w:rPr>
          </w:sdtEndPr>
          <w:sdtContent>
            <w:r w:rsidR="00C22051" w:rsidRPr="00C22051">
              <w:rPr>
                <w:color w:val="26724C" w:themeColor="accent1" w:themeShade="BF"/>
              </w:rPr>
              <w:fldChar w:fldCharType="begin"/>
            </w:r>
            <w:r w:rsidR="00C22051" w:rsidRPr="00C22051">
              <w:rPr>
                <w:color w:val="26724C" w:themeColor="accent1" w:themeShade="BF"/>
                <w:lang w:val="en-US"/>
              </w:rPr>
              <w:instrText xml:space="preserve"> PAGE   \* MERGEFORMAT </w:instrText>
            </w:r>
            <w:r w:rsidR="00C22051" w:rsidRPr="00C22051">
              <w:rPr>
                <w:color w:val="26724C" w:themeColor="accent1" w:themeShade="BF"/>
              </w:rPr>
              <w:fldChar w:fldCharType="separate"/>
            </w:r>
            <w:r w:rsidR="00C22051" w:rsidRPr="00C22051">
              <w:rPr>
                <w:color w:val="26724C" w:themeColor="accent1" w:themeShade="BF"/>
              </w:rPr>
              <w:t>2</w:t>
            </w:r>
            <w:r w:rsidR="00C22051" w:rsidRPr="00C22051">
              <w:rPr>
                <w:noProof/>
                <w:color w:val="26724C" w:themeColor="accent1" w:themeShade="BF"/>
              </w:rPr>
              <w:fldChar w:fldCharType="end"/>
            </w:r>
          </w:sdtContent>
        </w:sdt>
      </w:sdtContent>
    </w:sdt>
  </w:p>
  <w:p w14:paraId="10151E5A" w14:textId="77777777" w:rsidR="00B65EDC" w:rsidRPr="00766E51" w:rsidRDefault="00B65EDC" w:rsidP="005D2CBA">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15A" w14:textId="4963F662" w:rsidR="00B65EDC" w:rsidRPr="00877E3D" w:rsidRDefault="00B65EDC" w:rsidP="001A7881">
    <w:pPr>
      <w:pStyle w:val="Header"/>
      <w:rPr>
        <w:rStyle w:val="PageNumber"/>
        <w:lang w:val="de-DE"/>
      </w:rPr>
    </w:pPr>
    <w:r w:rsidRPr="00877E3D">
      <w:rPr>
        <w:lang w:val="de-DE"/>
      </w:rPr>
      <w:t>Vorläufiger Entwurf des Programms und Haushaltsplans für den Zweijahreszeitraum</w:t>
    </w:r>
    <w:r w:rsidR="00521C0D" w:rsidRPr="00877E3D">
      <w:rPr>
        <w:lang w:val="de-DE"/>
      </w:rPr>
      <w:t xml:space="preserve"> 2026-2027</w:t>
    </w:r>
  </w:p>
  <w:p w14:paraId="66D1FFE7" w14:textId="77777777" w:rsidR="00B65EDC" w:rsidRPr="00877E3D" w:rsidRDefault="00B65EDC" w:rsidP="001A7881">
    <w:pPr>
      <w:pStyle w:val="Header"/>
      <w:rPr>
        <w:lang w:val="de-D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5DE" w14:textId="77777777" w:rsidR="00B65EDC" w:rsidRPr="00877E3D" w:rsidRDefault="00B65EDC" w:rsidP="00495E48">
    <w:pPr>
      <w:pStyle w:val="Header"/>
      <w:jc w:val="right"/>
      <w:rPr>
        <w:b/>
        <w:color w:val="26724C" w:themeColor="accent1" w:themeShade="BF"/>
        <w:lang w:val="de-DE"/>
      </w:rPr>
    </w:pPr>
    <w:r w:rsidRPr="00877E3D">
      <w:rPr>
        <w:b/>
        <w:color w:val="26724C" w:themeColor="accent1" w:themeShade="BF"/>
        <w:lang w:val="de-DE"/>
      </w:rPr>
      <w:t>UPOV</w:t>
    </w:r>
  </w:p>
  <w:p w14:paraId="4BA62D59" w14:textId="00FEC6AF" w:rsidR="00B65EDC" w:rsidRPr="00877E3D" w:rsidRDefault="00B65EDC" w:rsidP="00495E48">
    <w:pPr>
      <w:pStyle w:val="Header"/>
      <w:jc w:val="right"/>
      <w:rPr>
        <w:color w:val="26724C" w:themeColor="accent1" w:themeShade="BF"/>
        <w:lang w:val="de-DE"/>
      </w:rPr>
    </w:pPr>
    <w:r w:rsidRPr="00877E3D">
      <w:rPr>
        <w:color w:val="26724C" w:themeColor="accent1" w:themeShade="BF"/>
        <w:lang w:val="de-DE"/>
      </w:rPr>
      <w:t>Vorläufiger Entwurf des Programms und Haushaltsplans</w:t>
    </w:r>
    <w:r w:rsidR="00521C0D" w:rsidRPr="00877E3D">
      <w:rPr>
        <w:color w:val="26724C" w:themeColor="accent1" w:themeShade="BF"/>
        <w:lang w:val="de-DE"/>
      </w:rPr>
      <w:t xml:space="preserve"> 2026-2027</w:t>
    </w:r>
  </w:p>
  <w:p w14:paraId="41269828" w14:textId="77777777" w:rsidR="00B65EDC" w:rsidRPr="008B40C0" w:rsidRDefault="00B65EDC" w:rsidP="008B40C0">
    <w:pPr>
      <w:pStyle w:val="Header"/>
      <w:pBdr>
        <w:bottom w:val="single" w:sz="4" w:space="1" w:color="auto"/>
      </w:pBdr>
      <w:jc w:val="right"/>
      <w:rPr>
        <w:color w:val="26724C" w:themeColor="accent1" w:themeShade="BF"/>
        <w:lang w:val="fr-CH"/>
      </w:rPr>
    </w:pPr>
    <w:proofErr w:type="spellStart"/>
    <w:r w:rsidRPr="008B40C0">
      <w:rPr>
        <w:color w:val="26724C" w:themeColor="accent1" w:themeShade="BF"/>
        <w:lang w:val="fr-CH"/>
      </w:rPr>
      <w:t>Anhang</w:t>
    </w:r>
    <w:proofErr w:type="spellEnd"/>
    <w:r w:rsidRPr="008B40C0">
      <w:rPr>
        <w:color w:val="26724C" w:themeColor="accent1" w:themeShade="BF"/>
        <w:lang w:val="fr-CH"/>
      </w:rPr>
      <w:t xml:space="preserve"> II</w:t>
    </w:r>
    <w:r>
      <w:rPr>
        <w:color w:val="26724C" w:themeColor="accent1" w:themeShade="BF"/>
        <w:lang w:val="fr-CH"/>
      </w:rPr>
      <w:t xml:space="preserve">, </w:t>
    </w:r>
    <w:r w:rsidRPr="008B40C0">
      <w:rPr>
        <w:color w:val="26724C" w:themeColor="accent1" w:themeShade="BF"/>
        <w:lang w:val="fr-CH"/>
      </w:rPr>
      <w:t xml:space="preserve">Seite </w:t>
    </w:r>
    <w:r w:rsidRPr="008B40C0">
      <w:rPr>
        <w:color w:val="26724C" w:themeColor="accent1" w:themeShade="BF"/>
      </w:rPr>
      <w:fldChar w:fldCharType="begin"/>
    </w:r>
    <w:r w:rsidRPr="008B40C0">
      <w:rPr>
        <w:color w:val="26724C" w:themeColor="accent1" w:themeShade="BF"/>
        <w:lang w:val="fr-CH"/>
      </w:rPr>
      <w:instrText xml:space="preserve"> PAGE   \* MERGEFORMAT </w:instrText>
    </w:r>
    <w:r w:rsidRPr="008B40C0">
      <w:rPr>
        <w:color w:val="26724C" w:themeColor="accent1" w:themeShade="BF"/>
      </w:rPr>
      <w:fldChar w:fldCharType="separate"/>
    </w:r>
    <w:r>
      <w:rPr>
        <w:noProof/>
        <w:color w:val="26724C" w:themeColor="accent1" w:themeShade="BF"/>
        <w:lang w:val="fr-CH"/>
      </w:rPr>
      <w:t>38</w:t>
    </w:r>
    <w:r w:rsidRPr="008B40C0">
      <w:rPr>
        <w:color w:val="26724C" w:themeColor="accent1" w:themeShade="BF"/>
      </w:rPr>
      <w:fldChar w:fldCharType="end"/>
    </w:r>
  </w:p>
  <w:p w14:paraId="00A814CC" w14:textId="77777777" w:rsidR="00B65EDC" w:rsidRPr="00D4705E" w:rsidRDefault="00B65EDC" w:rsidP="00495E48">
    <w:pPr>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F203" w14:textId="77777777" w:rsidR="00B65EDC" w:rsidRPr="00877E3D" w:rsidRDefault="00B65EDC" w:rsidP="00277D28">
    <w:pPr>
      <w:pStyle w:val="Header"/>
      <w:jc w:val="right"/>
      <w:rPr>
        <w:b/>
        <w:color w:val="26724C" w:themeColor="accent1" w:themeShade="BF"/>
        <w:lang w:val="de-DE"/>
      </w:rPr>
    </w:pPr>
    <w:r w:rsidRPr="00877E3D">
      <w:rPr>
        <w:b/>
        <w:color w:val="26724C" w:themeColor="accent1" w:themeShade="BF"/>
        <w:lang w:val="de-DE"/>
      </w:rPr>
      <w:t>UPOV</w:t>
    </w:r>
  </w:p>
  <w:p w14:paraId="5B234CE2" w14:textId="587040B7" w:rsidR="00B65EDC" w:rsidRPr="00877E3D" w:rsidRDefault="00B65EDC" w:rsidP="00277D28">
    <w:pPr>
      <w:pStyle w:val="Header"/>
      <w:jc w:val="right"/>
      <w:rPr>
        <w:color w:val="26724C" w:themeColor="accent1" w:themeShade="BF"/>
        <w:lang w:val="de-DE"/>
      </w:rPr>
    </w:pPr>
    <w:r w:rsidRPr="00877E3D">
      <w:rPr>
        <w:color w:val="26724C" w:themeColor="accent1" w:themeShade="BF"/>
        <w:lang w:val="de-DE"/>
      </w:rPr>
      <w:t>Entwurf des Programms und Haushaltsplans</w:t>
    </w:r>
    <w:r w:rsidR="00521C0D" w:rsidRPr="00877E3D">
      <w:rPr>
        <w:color w:val="26724C" w:themeColor="accent1" w:themeShade="BF"/>
        <w:lang w:val="de-DE"/>
      </w:rPr>
      <w:t xml:space="preserve"> 2026-2027</w:t>
    </w:r>
  </w:p>
  <w:p w14:paraId="7449543D" w14:textId="4BF9BB4D" w:rsidR="00B65EDC" w:rsidRPr="008B40C0" w:rsidRDefault="00B65EDC" w:rsidP="00277D28">
    <w:pPr>
      <w:pStyle w:val="Header"/>
      <w:pBdr>
        <w:bottom w:val="single" w:sz="4" w:space="1" w:color="auto"/>
      </w:pBdr>
      <w:jc w:val="right"/>
      <w:rPr>
        <w:color w:val="26724C" w:themeColor="accent1" w:themeShade="BF"/>
      </w:rPr>
    </w:pPr>
    <w:proofErr w:type="spellStart"/>
    <w:r w:rsidRPr="008B40C0">
      <w:rPr>
        <w:color w:val="26724C" w:themeColor="accent1" w:themeShade="BF"/>
      </w:rPr>
      <w:t>Anhang</w:t>
    </w:r>
    <w:proofErr w:type="spellEnd"/>
    <w:r w:rsidRPr="008B40C0">
      <w:rPr>
        <w:color w:val="26724C" w:themeColor="accent1" w:themeShade="BF"/>
      </w:rPr>
      <w:t xml:space="preserve"> II</w:t>
    </w:r>
    <w:r>
      <w:rPr>
        <w:color w:val="26724C" w:themeColor="accent1" w:themeShade="BF"/>
      </w:rPr>
      <w:t xml:space="preserve">, </w:t>
    </w:r>
    <w:r w:rsidRPr="008B40C0">
      <w:rPr>
        <w:color w:val="26724C" w:themeColor="accent1" w:themeShade="BF"/>
      </w:rPr>
      <w:t xml:space="preserve">Seite </w:t>
    </w:r>
    <w:sdt>
      <w:sdtPr>
        <w:rPr>
          <w:color w:val="26724C" w:themeColor="accent1" w:themeShade="BF"/>
        </w:rPr>
        <w:id w:val="-1212725565"/>
        <w:docPartObj>
          <w:docPartGallery w:val="Page Numbers (Top of Page)"/>
          <w:docPartUnique/>
        </w:docPartObj>
      </w:sdtPr>
      <w:sdtEndPr>
        <w:rPr>
          <w:noProof/>
        </w:rPr>
      </w:sdtEndPr>
      <w:sdtContent>
        <w:sdt>
          <w:sdtPr>
            <w:rPr>
              <w:color w:val="26724C" w:themeColor="accent1" w:themeShade="BF"/>
            </w:rPr>
            <w:id w:val="-1293753569"/>
            <w:docPartObj>
              <w:docPartGallery w:val="Page Numbers (Top of Page)"/>
              <w:docPartUnique/>
            </w:docPartObj>
          </w:sdtPr>
          <w:sdtEndPr>
            <w:rPr>
              <w:noProof/>
            </w:rPr>
          </w:sdtEndPr>
          <w:sdtContent>
            <w:r w:rsidR="00B63058" w:rsidRPr="008B40C0">
              <w:rPr>
                <w:color w:val="26724C" w:themeColor="accent1" w:themeShade="BF"/>
              </w:rPr>
              <w:fldChar w:fldCharType="begin"/>
            </w:r>
            <w:r w:rsidR="00B63058" w:rsidRPr="008B40C0">
              <w:rPr>
                <w:color w:val="26724C" w:themeColor="accent1" w:themeShade="BF"/>
              </w:rPr>
              <w:instrText xml:space="preserve"> PAGE   \* MERGEFORMAT </w:instrText>
            </w:r>
            <w:r w:rsidR="00B63058" w:rsidRPr="008B40C0">
              <w:rPr>
                <w:color w:val="26724C" w:themeColor="accent1" w:themeShade="BF"/>
              </w:rPr>
              <w:fldChar w:fldCharType="separate"/>
            </w:r>
            <w:r w:rsidR="00B63058">
              <w:rPr>
                <w:color w:val="26724C" w:themeColor="accent1" w:themeShade="BF"/>
              </w:rPr>
              <w:t>24</w:t>
            </w:r>
            <w:r w:rsidR="00B63058" w:rsidRPr="008B40C0">
              <w:rPr>
                <w:noProof/>
                <w:color w:val="26724C" w:themeColor="accent1" w:themeShade="BF"/>
              </w:rPr>
              <w:fldChar w:fldCharType="end"/>
            </w:r>
          </w:sdtContent>
        </w:sdt>
      </w:sdtContent>
    </w:sdt>
  </w:p>
  <w:p w14:paraId="3C3195B5" w14:textId="77777777" w:rsidR="00B65EDC" w:rsidRPr="008B40C0" w:rsidRDefault="00B65EDC" w:rsidP="00277D28">
    <w:pPr>
      <w:pStyle w:val="Header"/>
      <w:jc w:val="right"/>
      <w:rPr>
        <w:color w:val="26724C" w:themeColor="accent1" w:themeShade="BF"/>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1292" w14:textId="77777777" w:rsidR="00B65EDC" w:rsidRPr="00877E3D" w:rsidRDefault="00B65EDC" w:rsidP="00495E48">
    <w:pPr>
      <w:pStyle w:val="Header"/>
      <w:jc w:val="right"/>
      <w:rPr>
        <w:b/>
        <w:color w:val="26724C" w:themeColor="accent1" w:themeShade="BF"/>
        <w:lang w:val="de-DE"/>
      </w:rPr>
    </w:pPr>
    <w:r w:rsidRPr="00877E3D">
      <w:rPr>
        <w:b/>
        <w:color w:val="26724C" w:themeColor="accent1" w:themeShade="BF"/>
        <w:lang w:val="de-DE"/>
      </w:rPr>
      <w:t>UPOV</w:t>
    </w:r>
  </w:p>
  <w:p w14:paraId="27AE4EB2" w14:textId="04863230" w:rsidR="00B65EDC" w:rsidRPr="00877E3D" w:rsidRDefault="00B65EDC" w:rsidP="00495E48">
    <w:pPr>
      <w:pStyle w:val="Header"/>
      <w:jc w:val="right"/>
      <w:rPr>
        <w:color w:val="26724C" w:themeColor="accent1" w:themeShade="BF"/>
        <w:lang w:val="de-DE"/>
      </w:rPr>
    </w:pPr>
    <w:r w:rsidRPr="00877E3D">
      <w:rPr>
        <w:color w:val="26724C" w:themeColor="accent1" w:themeShade="BF"/>
        <w:lang w:val="de-DE"/>
      </w:rPr>
      <w:t>Entwurf des Programms und Haushaltsplans für</w:t>
    </w:r>
    <w:r w:rsidR="00521C0D" w:rsidRPr="00877E3D">
      <w:rPr>
        <w:color w:val="26724C" w:themeColor="accent1" w:themeShade="BF"/>
        <w:lang w:val="de-DE"/>
      </w:rPr>
      <w:t xml:space="preserve"> 2026-2027</w:t>
    </w:r>
  </w:p>
  <w:p w14:paraId="650DCC77" w14:textId="77777777" w:rsidR="00B65EDC" w:rsidRPr="008B40C0" w:rsidRDefault="00B65EDC" w:rsidP="008B40C0">
    <w:pPr>
      <w:pStyle w:val="Header"/>
      <w:pBdr>
        <w:bottom w:val="single" w:sz="4" w:space="1" w:color="auto"/>
      </w:pBdr>
      <w:jc w:val="right"/>
      <w:rPr>
        <w:color w:val="26724C" w:themeColor="accent1" w:themeShade="BF"/>
      </w:rPr>
    </w:pPr>
    <w:proofErr w:type="spellStart"/>
    <w:r w:rsidRPr="00696FB8">
      <w:rPr>
        <w:color w:val="26724C" w:themeColor="accent1" w:themeShade="BF"/>
      </w:rPr>
      <w:t>Anhang</w:t>
    </w:r>
    <w:proofErr w:type="spellEnd"/>
    <w:r w:rsidRPr="00696FB8">
      <w:rPr>
        <w:color w:val="26724C" w:themeColor="accent1" w:themeShade="BF"/>
      </w:rPr>
      <w:t xml:space="preserve"> </w:t>
    </w:r>
    <w:r>
      <w:rPr>
        <w:color w:val="26724C" w:themeColor="accent1" w:themeShade="BF"/>
      </w:rPr>
      <w:t xml:space="preserve">II, </w:t>
    </w:r>
    <w:r w:rsidRPr="008B40C0">
      <w:rPr>
        <w:color w:val="26724C" w:themeColor="accent1" w:themeShade="BF"/>
      </w:rPr>
      <w:t xml:space="preserve">Seite </w:t>
    </w:r>
    <w:sdt>
      <w:sdtPr>
        <w:rPr>
          <w:color w:val="26724C" w:themeColor="accent1" w:themeShade="BF"/>
        </w:rPr>
        <w:id w:val="-990558987"/>
        <w:docPartObj>
          <w:docPartGallery w:val="Page Numbers (Top of Page)"/>
          <w:docPartUnique/>
        </w:docPartObj>
      </w:sdtPr>
      <w:sdtEndPr>
        <w:rPr>
          <w:noProof/>
        </w:rPr>
      </w:sdtEndPr>
      <w:sdtContent>
        <w:r>
          <w:rPr>
            <w:noProof/>
            <w:color w:val="26724C" w:themeColor="accent1" w:themeShade="BF"/>
          </w:rPr>
          <w:t>37</w:t>
        </w:r>
      </w:sdtContent>
    </w:sdt>
  </w:p>
  <w:p w14:paraId="5D69EE36" w14:textId="77777777" w:rsidR="00B65EDC" w:rsidRPr="001522BD" w:rsidRDefault="00B65EDC" w:rsidP="008B40C0">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66A" w14:textId="77777777" w:rsidR="00B56FC0" w:rsidRPr="00877E3D" w:rsidRDefault="00B56FC0" w:rsidP="00277D28">
    <w:pPr>
      <w:pStyle w:val="Header"/>
      <w:jc w:val="right"/>
      <w:rPr>
        <w:b/>
        <w:color w:val="26724C" w:themeColor="accent1" w:themeShade="BF"/>
        <w:lang w:val="de-DE"/>
      </w:rPr>
    </w:pPr>
    <w:r w:rsidRPr="00877E3D">
      <w:rPr>
        <w:b/>
        <w:color w:val="26724C" w:themeColor="accent1" w:themeShade="BF"/>
        <w:lang w:val="de-DE"/>
      </w:rPr>
      <w:t>UPOV</w:t>
    </w:r>
  </w:p>
  <w:p w14:paraId="66DC7EBA" w14:textId="51894FB3" w:rsidR="00B56FC0" w:rsidRPr="00877E3D" w:rsidRDefault="00B56FC0" w:rsidP="00277D28">
    <w:pPr>
      <w:pStyle w:val="Header"/>
      <w:jc w:val="right"/>
      <w:rPr>
        <w:color w:val="26724C" w:themeColor="accent1" w:themeShade="BF"/>
        <w:lang w:val="de-DE"/>
      </w:rPr>
    </w:pPr>
    <w:r w:rsidRPr="00877E3D">
      <w:rPr>
        <w:color w:val="26724C" w:themeColor="accent1" w:themeShade="BF"/>
        <w:lang w:val="de-DE"/>
      </w:rPr>
      <w:t>Entwurf des Programms und des Haushaltsplans für</w:t>
    </w:r>
    <w:r w:rsidR="00521C0D" w:rsidRPr="00877E3D">
      <w:rPr>
        <w:color w:val="26724C" w:themeColor="accent1" w:themeShade="BF"/>
        <w:lang w:val="de-DE"/>
      </w:rPr>
      <w:t xml:space="preserve"> 2026-2027</w:t>
    </w:r>
  </w:p>
  <w:p w14:paraId="33F686D4" w14:textId="6E7134C5" w:rsidR="00B56FC0" w:rsidRPr="008B40C0" w:rsidRDefault="00B56FC0" w:rsidP="00277D28">
    <w:pPr>
      <w:pStyle w:val="Header"/>
      <w:pBdr>
        <w:bottom w:val="single" w:sz="4" w:space="1" w:color="auto"/>
      </w:pBdr>
      <w:jc w:val="right"/>
      <w:rPr>
        <w:color w:val="26724C" w:themeColor="accent1" w:themeShade="BF"/>
      </w:rPr>
    </w:pPr>
    <w:proofErr w:type="spellStart"/>
    <w:r w:rsidRPr="008B40C0">
      <w:rPr>
        <w:color w:val="26724C" w:themeColor="accent1" w:themeShade="BF"/>
      </w:rPr>
      <w:t>Anhang</w:t>
    </w:r>
    <w:proofErr w:type="spellEnd"/>
    <w:r w:rsidRPr="008B40C0">
      <w:rPr>
        <w:color w:val="26724C" w:themeColor="accent1" w:themeShade="BF"/>
      </w:rPr>
      <w:t xml:space="preserve"> III</w:t>
    </w:r>
    <w:r>
      <w:rPr>
        <w:color w:val="26724C" w:themeColor="accent1" w:themeShade="BF"/>
      </w:rPr>
      <w:t xml:space="preserve">, </w:t>
    </w:r>
    <w:r w:rsidRPr="008B40C0">
      <w:rPr>
        <w:color w:val="26724C" w:themeColor="accent1" w:themeShade="BF"/>
      </w:rPr>
      <w:t xml:space="preserve">Seite </w:t>
    </w:r>
    <w:sdt>
      <w:sdtPr>
        <w:rPr>
          <w:color w:val="26724C" w:themeColor="accent1" w:themeShade="BF"/>
        </w:rPr>
        <w:id w:val="-1985531583"/>
        <w:docPartObj>
          <w:docPartGallery w:val="Page Numbers (Top of Page)"/>
          <w:docPartUnique/>
        </w:docPartObj>
      </w:sdtPr>
      <w:sdtEndPr>
        <w:rPr>
          <w:noProof/>
        </w:rPr>
      </w:sdtEndPr>
      <w:sdtContent>
        <w:sdt>
          <w:sdtPr>
            <w:rPr>
              <w:color w:val="26724C" w:themeColor="accent1" w:themeShade="BF"/>
            </w:rPr>
            <w:id w:val="313765044"/>
            <w:docPartObj>
              <w:docPartGallery w:val="Page Numbers (Top of Page)"/>
              <w:docPartUnique/>
            </w:docPartObj>
          </w:sdtPr>
          <w:sdtEndPr>
            <w:rPr>
              <w:noProof/>
            </w:rPr>
          </w:sdtEndPr>
          <w:sdtContent>
            <w:r w:rsidR="00FC07FD" w:rsidRPr="008B40C0">
              <w:rPr>
                <w:color w:val="26724C" w:themeColor="accent1" w:themeShade="BF"/>
              </w:rPr>
              <w:fldChar w:fldCharType="begin"/>
            </w:r>
            <w:r w:rsidR="00FC07FD" w:rsidRPr="008B40C0">
              <w:rPr>
                <w:color w:val="26724C" w:themeColor="accent1" w:themeShade="BF"/>
              </w:rPr>
              <w:instrText xml:space="preserve"> PAGE   \* MERGEFORMAT </w:instrText>
            </w:r>
            <w:r w:rsidR="00FC07FD" w:rsidRPr="008B40C0">
              <w:rPr>
                <w:color w:val="26724C" w:themeColor="accent1" w:themeShade="BF"/>
              </w:rPr>
              <w:fldChar w:fldCharType="separate"/>
            </w:r>
            <w:r w:rsidR="00FC07FD">
              <w:rPr>
                <w:color w:val="26724C" w:themeColor="accent1" w:themeShade="BF"/>
              </w:rPr>
              <w:t>24</w:t>
            </w:r>
            <w:r w:rsidR="00FC07FD" w:rsidRPr="008B40C0">
              <w:rPr>
                <w:noProof/>
                <w:color w:val="26724C" w:themeColor="accent1" w:themeShade="BF"/>
              </w:rPr>
              <w:fldChar w:fldCharType="end"/>
            </w:r>
          </w:sdtContent>
        </w:sdt>
      </w:sdtContent>
    </w:sdt>
  </w:p>
  <w:p w14:paraId="139F4404" w14:textId="77777777" w:rsidR="00B56FC0" w:rsidRPr="008B40C0" w:rsidRDefault="00B56FC0" w:rsidP="00277D28">
    <w:pPr>
      <w:pStyle w:val="Header"/>
      <w:jc w:val="right"/>
      <w:rPr>
        <w:color w:val="26724C"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6DC" w14:textId="77777777" w:rsidR="00B65EDC" w:rsidRPr="00877E3D" w:rsidRDefault="00B65EDC" w:rsidP="00495E48">
    <w:pPr>
      <w:pStyle w:val="Header"/>
      <w:jc w:val="right"/>
      <w:rPr>
        <w:b/>
        <w:color w:val="26724C" w:themeColor="accent1" w:themeShade="BF"/>
        <w:lang w:val="de-DE"/>
      </w:rPr>
    </w:pPr>
    <w:r w:rsidRPr="00877E3D">
      <w:rPr>
        <w:b/>
        <w:color w:val="26724C" w:themeColor="accent1" w:themeShade="BF"/>
        <w:lang w:val="de-DE"/>
      </w:rPr>
      <w:t>UPOV</w:t>
    </w:r>
  </w:p>
  <w:p w14:paraId="4E57F92B" w14:textId="7B0DC377" w:rsidR="00B65EDC" w:rsidRPr="00877E3D" w:rsidRDefault="00693CA6" w:rsidP="00495E48">
    <w:pPr>
      <w:pStyle w:val="Header"/>
      <w:jc w:val="right"/>
      <w:rPr>
        <w:color w:val="26724C" w:themeColor="accent1" w:themeShade="BF"/>
        <w:lang w:val="de-DE"/>
      </w:rPr>
    </w:pPr>
    <w:r w:rsidRPr="00877E3D">
      <w:rPr>
        <w:color w:val="26724C" w:themeColor="accent1" w:themeShade="BF"/>
        <w:lang w:val="de-DE"/>
      </w:rPr>
      <w:t>Entwurf eines Programms</w:t>
    </w:r>
    <w:r w:rsidR="00B65EDC" w:rsidRPr="00877E3D">
      <w:rPr>
        <w:color w:val="26724C" w:themeColor="accent1" w:themeShade="BF"/>
        <w:lang w:val="de-DE"/>
      </w:rPr>
      <w:t xml:space="preserve"> und Haushaltsplans für 2026-2027 </w:t>
    </w:r>
  </w:p>
  <w:p w14:paraId="1FFEB8E5" w14:textId="77777777" w:rsidR="00B65EDC" w:rsidRPr="008B40C0" w:rsidRDefault="00B65EDC" w:rsidP="008B40C0">
    <w:pPr>
      <w:pStyle w:val="Header"/>
      <w:pBdr>
        <w:bottom w:val="single" w:sz="4" w:space="1" w:color="auto"/>
      </w:pBdr>
      <w:jc w:val="right"/>
      <w:rPr>
        <w:color w:val="26724C" w:themeColor="accent1" w:themeShade="BF"/>
      </w:rPr>
    </w:pPr>
    <w:r w:rsidRPr="008B40C0">
      <w:rPr>
        <w:color w:val="26724C" w:themeColor="accent1" w:themeShade="BF"/>
      </w:rPr>
      <w:t xml:space="preserve">Seite </w:t>
    </w:r>
    <w:sdt>
      <w:sdtPr>
        <w:rPr>
          <w:color w:val="26724C" w:themeColor="accent1" w:themeShade="BF"/>
        </w:rPr>
        <w:id w:val="-621460889"/>
        <w:docPartObj>
          <w:docPartGallery w:val="Page Numbers (Top of Page)"/>
          <w:docPartUnique/>
        </w:docPartObj>
      </w:sdtPr>
      <w:sdtEndPr>
        <w:rPr>
          <w:noProof/>
        </w:rPr>
      </w:sdtEndPr>
      <w:sdtContent>
        <w:r>
          <w:rPr>
            <w:noProof/>
            <w:color w:val="26724C" w:themeColor="accent1" w:themeShade="BF"/>
          </w:rPr>
          <w:t>18</w:t>
        </w:r>
      </w:sdtContent>
    </w:sdt>
  </w:p>
  <w:p w14:paraId="0A07ED9B" w14:textId="77777777" w:rsidR="00B65EDC" w:rsidRPr="00FE0119" w:rsidRDefault="00B65EDC" w:rsidP="00822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2204" w14:textId="017B4149" w:rsidR="005D2CBA" w:rsidRDefault="005D2CBA">
    <w:pPr>
      <w:pStyle w:val="Header"/>
    </w:pPr>
    <w:r>
      <w:t>C/59/4</w:t>
    </w:r>
  </w:p>
  <w:p w14:paraId="1D22E3C9" w14:textId="77777777" w:rsidR="005D2CBA" w:rsidRDefault="005D2CBA">
    <w:pPr>
      <w:pStyle w:val="Header"/>
    </w:pPr>
  </w:p>
  <w:p w14:paraId="56E33BA1" w14:textId="0B7375CC" w:rsidR="005D2CBA" w:rsidRDefault="00640E00">
    <w:pPr>
      <w:pStyle w:val="Header"/>
    </w:pPr>
    <w:r>
      <w:t>ANLAGE</w:t>
    </w:r>
  </w:p>
  <w:p w14:paraId="6015CC93" w14:textId="77777777" w:rsidR="005D2CBA" w:rsidRDefault="005D2CBA">
    <w:pPr>
      <w:pStyle w:val="Header"/>
    </w:pPr>
  </w:p>
  <w:p w14:paraId="61B2DBC1" w14:textId="77777777" w:rsidR="005D2CBA" w:rsidRDefault="005D2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702E" w14:textId="6A76C9CF" w:rsidR="00B65EDC" w:rsidRPr="00877E3D" w:rsidRDefault="00B65EDC" w:rsidP="008224BD">
    <w:pPr>
      <w:pStyle w:val="Header"/>
      <w:rPr>
        <w:rStyle w:val="PageNumber"/>
        <w:lang w:val="de-DE"/>
      </w:rPr>
    </w:pPr>
    <w:r w:rsidRPr="00877E3D">
      <w:rPr>
        <w:lang w:val="de-DE"/>
      </w:rPr>
      <w:t xml:space="preserve">Vorläufiger </w:t>
    </w:r>
    <w:r w:rsidR="00693CA6" w:rsidRPr="00877E3D">
      <w:rPr>
        <w:lang w:val="de-DE"/>
      </w:rPr>
      <w:t>Entwurf eines Programms</w:t>
    </w:r>
    <w:r w:rsidRPr="00877E3D">
      <w:rPr>
        <w:lang w:val="de-DE"/>
      </w:rPr>
      <w:t xml:space="preserve"> und Haushaltsplans für den Zweijahreszeitraum</w:t>
    </w:r>
    <w:r w:rsidR="00521C0D" w:rsidRPr="00877E3D">
      <w:rPr>
        <w:lang w:val="de-DE"/>
      </w:rPr>
      <w:t xml:space="preserve"> 2026-2027</w:t>
    </w:r>
  </w:p>
  <w:p w14:paraId="7C12845A" w14:textId="77777777" w:rsidR="00B65EDC" w:rsidRPr="00FE0119" w:rsidRDefault="00B65EDC" w:rsidP="008224BD">
    <w:pPr>
      <w:pStyle w:val="Header"/>
    </w:pPr>
    <w:proofErr w:type="spellStart"/>
    <w:r w:rsidRPr="00FE0119">
      <w:t>Anhang</w:t>
    </w:r>
    <w:proofErr w:type="spellEnd"/>
    <w:r w:rsidRPr="00FE0119">
      <w:t xml:space="preserve"> </w:t>
    </w:r>
    <w:r>
      <w:t>II</w:t>
    </w:r>
    <w:r w:rsidRPr="00FE0119">
      <w:t xml:space="preserve">, Seite </w:t>
    </w:r>
    <w:sdt>
      <w:sdtPr>
        <w:id w:val="1872650395"/>
        <w:docPartObj>
          <w:docPartGallery w:val="Page Numbers (Top of Page)"/>
          <w:docPartUnique/>
        </w:docPartObj>
      </w:sdtPr>
      <w:sdtEndPr>
        <w:rPr>
          <w:noProof/>
        </w:rPr>
      </w:sdtEndPr>
      <w:sdtContent>
        <w:r>
          <w:rPr>
            <w:noProof/>
          </w:rPr>
          <w:t>39</w:t>
        </w:r>
      </w:sdtContent>
    </w:sdt>
  </w:p>
  <w:p w14:paraId="6D6C6342" w14:textId="77777777" w:rsidR="00B65EDC" w:rsidRPr="00FE0119" w:rsidRDefault="00B65EDC" w:rsidP="008224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974F" w14:textId="77777777" w:rsidR="00B65EDC" w:rsidRPr="00693CA6" w:rsidRDefault="00B65EDC" w:rsidP="00277D28">
    <w:pPr>
      <w:pStyle w:val="Header"/>
      <w:jc w:val="right"/>
      <w:rPr>
        <w:b/>
        <w:color w:val="26724C" w:themeColor="accent1" w:themeShade="BF"/>
        <w:lang w:val="de-DE"/>
      </w:rPr>
    </w:pPr>
    <w:r w:rsidRPr="00693CA6">
      <w:rPr>
        <w:b/>
        <w:color w:val="26724C" w:themeColor="accent1" w:themeShade="BF"/>
        <w:lang w:val="de-DE"/>
      </w:rPr>
      <w:t>UPOV</w:t>
    </w:r>
  </w:p>
  <w:p w14:paraId="1D196507" w14:textId="0F3CB7A2" w:rsidR="00B65EDC" w:rsidRPr="00693CA6" w:rsidRDefault="00693CA6" w:rsidP="00277D28">
    <w:pPr>
      <w:pStyle w:val="Header"/>
      <w:jc w:val="right"/>
      <w:rPr>
        <w:color w:val="26724C" w:themeColor="accent1" w:themeShade="BF"/>
        <w:lang w:val="de-DE"/>
      </w:rPr>
    </w:pPr>
    <w:r w:rsidRPr="00693CA6">
      <w:rPr>
        <w:color w:val="26724C" w:themeColor="accent1" w:themeShade="BF"/>
        <w:lang w:val="de-DE"/>
      </w:rPr>
      <w:t>Entwurf eines Programms</w:t>
    </w:r>
    <w:r w:rsidR="00B65EDC" w:rsidRPr="00693CA6">
      <w:rPr>
        <w:color w:val="26724C" w:themeColor="accent1" w:themeShade="BF"/>
        <w:lang w:val="de-DE"/>
      </w:rPr>
      <w:t xml:space="preserve"> und Haushaltsplans</w:t>
    </w:r>
    <w:r w:rsidR="00521C0D" w:rsidRPr="00693CA6">
      <w:rPr>
        <w:color w:val="26724C" w:themeColor="accent1" w:themeShade="BF"/>
        <w:lang w:val="de-DE"/>
      </w:rPr>
      <w:t xml:space="preserve"> 2026-2027</w:t>
    </w:r>
  </w:p>
  <w:p w14:paraId="72458147" w14:textId="4D58FC9A" w:rsidR="00B65EDC" w:rsidRPr="00693CA6" w:rsidRDefault="008768C9" w:rsidP="00277D28">
    <w:pPr>
      <w:pStyle w:val="Header"/>
      <w:pBdr>
        <w:bottom w:val="single" w:sz="4" w:space="1" w:color="auto"/>
      </w:pBdr>
      <w:jc w:val="right"/>
      <w:rPr>
        <w:color w:val="26724C" w:themeColor="accent1" w:themeShade="BF"/>
        <w:lang w:val="de-DE"/>
      </w:rPr>
    </w:pPr>
    <w:r>
      <w:rPr>
        <w:color w:val="26724C" w:themeColor="accent1" w:themeShade="BF"/>
        <w:lang w:val="de-DE"/>
      </w:rPr>
      <w:t>Anhang</w:t>
    </w:r>
    <w:r w:rsidR="00B65EDC" w:rsidRPr="00693CA6">
      <w:rPr>
        <w:color w:val="26724C" w:themeColor="accent1" w:themeShade="BF"/>
        <w:lang w:val="de-DE"/>
      </w:rPr>
      <w:t xml:space="preserve"> I, Seite </w:t>
    </w:r>
    <w:sdt>
      <w:sdtPr>
        <w:rPr>
          <w:color w:val="26724C" w:themeColor="accent1" w:themeShade="BF"/>
          <w:lang w:val="de-DE"/>
        </w:rPr>
        <w:id w:val="1225410642"/>
        <w:docPartObj>
          <w:docPartGallery w:val="Page Numbers (Top of Page)"/>
          <w:docPartUnique/>
        </w:docPartObj>
      </w:sdtPr>
      <w:sdtEndPr/>
      <w:sdtContent>
        <w:sdt>
          <w:sdtPr>
            <w:rPr>
              <w:color w:val="26724C" w:themeColor="accent1" w:themeShade="BF"/>
            </w:rPr>
            <w:id w:val="-910231585"/>
            <w:docPartObj>
              <w:docPartGallery w:val="Page Numbers (Top of Page)"/>
              <w:docPartUnique/>
            </w:docPartObj>
          </w:sdtPr>
          <w:sdtEndPr>
            <w:rPr>
              <w:noProof/>
            </w:rPr>
          </w:sdtEndPr>
          <w:sdtContent>
            <w:r w:rsidR="00084DE1" w:rsidRPr="008B40C0">
              <w:rPr>
                <w:color w:val="26724C" w:themeColor="accent1" w:themeShade="BF"/>
              </w:rPr>
              <w:fldChar w:fldCharType="begin"/>
            </w:r>
            <w:r w:rsidR="00084DE1" w:rsidRPr="008B40C0">
              <w:rPr>
                <w:color w:val="26724C" w:themeColor="accent1" w:themeShade="BF"/>
              </w:rPr>
              <w:instrText xml:space="preserve"> PAGE   \* MERGEFORMAT </w:instrText>
            </w:r>
            <w:r w:rsidR="00084DE1" w:rsidRPr="008B40C0">
              <w:rPr>
                <w:color w:val="26724C" w:themeColor="accent1" w:themeShade="BF"/>
              </w:rPr>
              <w:fldChar w:fldCharType="separate"/>
            </w:r>
            <w:r w:rsidR="00084DE1">
              <w:rPr>
                <w:color w:val="26724C" w:themeColor="accent1" w:themeShade="BF"/>
              </w:rPr>
              <w:t>23</w:t>
            </w:r>
            <w:r w:rsidR="00084DE1" w:rsidRPr="008B40C0">
              <w:rPr>
                <w:noProof/>
                <w:color w:val="26724C" w:themeColor="accent1" w:themeShade="BF"/>
              </w:rPr>
              <w:fldChar w:fldCharType="end"/>
            </w:r>
          </w:sdtContent>
        </w:sdt>
      </w:sdtContent>
    </w:sdt>
  </w:p>
  <w:p w14:paraId="6F7D626C" w14:textId="77777777" w:rsidR="00B65EDC" w:rsidRPr="008B40C0" w:rsidRDefault="00B65EDC" w:rsidP="00277D28">
    <w:pPr>
      <w:pStyle w:val="Header"/>
      <w:jc w:val="right"/>
      <w:rPr>
        <w:color w:val="26724C" w:themeColor="accent1" w:themeShade="B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D18F" w14:textId="77777777" w:rsidR="00B65EDC" w:rsidRPr="00877E3D" w:rsidRDefault="00B65EDC" w:rsidP="00495E48">
    <w:pPr>
      <w:pStyle w:val="Header"/>
      <w:jc w:val="right"/>
      <w:rPr>
        <w:b/>
        <w:color w:val="26724C" w:themeColor="accent1" w:themeShade="BF"/>
        <w:lang w:val="de-DE"/>
      </w:rPr>
    </w:pPr>
    <w:r w:rsidRPr="00877E3D">
      <w:rPr>
        <w:b/>
        <w:color w:val="26724C" w:themeColor="accent1" w:themeShade="BF"/>
        <w:lang w:val="de-DE"/>
      </w:rPr>
      <w:t>UPOV</w:t>
    </w:r>
  </w:p>
  <w:p w14:paraId="4ED03FA7" w14:textId="59C93C4E" w:rsidR="00B65EDC" w:rsidRPr="00877E3D" w:rsidRDefault="00B65EDC" w:rsidP="008B40C0">
    <w:pPr>
      <w:pStyle w:val="Header"/>
      <w:jc w:val="right"/>
      <w:rPr>
        <w:color w:val="26724C" w:themeColor="accent1" w:themeShade="BF"/>
        <w:lang w:val="de-DE"/>
      </w:rPr>
    </w:pPr>
    <w:r w:rsidRPr="00877E3D">
      <w:rPr>
        <w:color w:val="26724C" w:themeColor="accent1" w:themeShade="BF"/>
        <w:lang w:val="de-DE"/>
      </w:rPr>
      <w:t>Vorläufiger Entwurf des Programms und Haushaltsplans</w:t>
    </w:r>
    <w:r w:rsidR="00521C0D" w:rsidRPr="00877E3D">
      <w:rPr>
        <w:color w:val="26724C" w:themeColor="accent1" w:themeShade="BF"/>
        <w:lang w:val="de-DE"/>
      </w:rPr>
      <w:t xml:space="preserve"> 2026-2027</w:t>
    </w:r>
  </w:p>
  <w:p w14:paraId="2626C84E" w14:textId="77777777" w:rsidR="00B65EDC" w:rsidRPr="008B40C0" w:rsidRDefault="00B65EDC" w:rsidP="008B40C0">
    <w:pPr>
      <w:pStyle w:val="Header"/>
      <w:pBdr>
        <w:bottom w:val="single" w:sz="4" w:space="1" w:color="auto"/>
      </w:pBdr>
      <w:jc w:val="right"/>
      <w:rPr>
        <w:color w:val="26724C" w:themeColor="accent1" w:themeShade="BF"/>
      </w:rPr>
    </w:pPr>
    <w:proofErr w:type="spellStart"/>
    <w:r w:rsidRPr="008B40C0">
      <w:rPr>
        <w:color w:val="26724C" w:themeColor="accent1" w:themeShade="BF"/>
      </w:rPr>
      <w:t>Anhang</w:t>
    </w:r>
    <w:proofErr w:type="spellEnd"/>
    <w:r w:rsidRPr="008B40C0">
      <w:rPr>
        <w:color w:val="26724C" w:themeColor="accent1" w:themeShade="BF"/>
      </w:rPr>
      <w:t xml:space="preserve"> I</w:t>
    </w:r>
    <w:r>
      <w:rPr>
        <w:color w:val="26724C" w:themeColor="accent1" w:themeShade="BF"/>
      </w:rPr>
      <w:t xml:space="preserve">, </w:t>
    </w:r>
    <w:r w:rsidRPr="008B40C0">
      <w:rPr>
        <w:color w:val="26724C" w:themeColor="accent1" w:themeShade="BF"/>
      </w:rPr>
      <w:t xml:space="preserve">Seite </w:t>
    </w:r>
    <w:sdt>
      <w:sdtPr>
        <w:rPr>
          <w:color w:val="26724C" w:themeColor="accent1" w:themeShade="BF"/>
        </w:rPr>
        <w:id w:val="1728342427"/>
        <w:docPartObj>
          <w:docPartGallery w:val="Page Numbers (Top of Page)"/>
          <w:docPartUnique/>
        </w:docPartObj>
      </w:sdtPr>
      <w:sdtEndPr>
        <w:rPr>
          <w:noProof/>
        </w:rPr>
      </w:sdtEndPr>
      <w:sdtContent>
        <w:r>
          <w:rPr>
            <w:noProof/>
            <w:color w:val="26724C" w:themeColor="accent1" w:themeShade="BF"/>
          </w:rPr>
          <w:t>38</w:t>
        </w:r>
      </w:sdtContent>
    </w:sdt>
  </w:p>
  <w:p w14:paraId="38DF1B9F" w14:textId="77777777" w:rsidR="00B65EDC" w:rsidRPr="008B40C0" w:rsidRDefault="00B65EDC" w:rsidP="008B40C0">
    <w:pPr>
      <w:pStyle w:val="Header"/>
      <w:jc w:val="right"/>
      <w:rPr>
        <w:color w:val="26724C" w:themeColor="accent1" w:themeShade="B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672" w14:textId="6FC7FFD9" w:rsidR="00B65EDC" w:rsidRPr="00877E3D" w:rsidRDefault="00B65EDC" w:rsidP="008224BD">
    <w:pPr>
      <w:pStyle w:val="Header"/>
      <w:rPr>
        <w:rStyle w:val="PageNumber"/>
        <w:lang w:val="de-DE"/>
      </w:rPr>
    </w:pPr>
    <w:r w:rsidRPr="00877E3D">
      <w:rPr>
        <w:lang w:val="de-DE"/>
      </w:rPr>
      <w:t>Vorläufiger Entwurf des Programms und Haushaltsplans für den Zweijahreszeitraum</w:t>
    </w:r>
    <w:r w:rsidR="00521C0D" w:rsidRPr="00877E3D">
      <w:rPr>
        <w:lang w:val="de-DE"/>
      </w:rPr>
      <w:t xml:space="preserve"> 2026-2027</w:t>
    </w:r>
  </w:p>
  <w:p w14:paraId="5432A9B2" w14:textId="77777777" w:rsidR="00B65EDC" w:rsidRPr="00FE0119" w:rsidRDefault="00B65EDC" w:rsidP="008224BD">
    <w:pPr>
      <w:pStyle w:val="Header"/>
    </w:pPr>
    <w:proofErr w:type="spellStart"/>
    <w:r w:rsidRPr="00FE0119">
      <w:t>Anhang</w:t>
    </w:r>
    <w:proofErr w:type="spellEnd"/>
    <w:r w:rsidRPr="00FE0119">
      <w:t xml:space="preserve"> </w:t>
    </w:r>
    <w:r>
      <w:t>II</w:t>
    </w:r>
    <w:r w:rsidRPr="00FE0119">
      <w:t xml:space="preserve">, Seite </w:t>
    </w:r>
    <w:sdt>
      <w:sdtPr>
        <w:id w:val="-1138723346"/>
        <w:docPartObj>
          <w:docPartGallery w:val="Page Numbers (Top of Page)"/>
          <w:docPartUnique/>
        </w:docPartObj>
      </w:sdtPr>
      <w:sdtEndPr>
        <w:rPr>
          <w:noProof/>
        </w:rPr>
      </w:sdtEndPr>
      <w:sdtContent>
        <w:r>
          <w:rPr>
            <w:noProof/>
          </w:rPr>
          <w:t>39</w:t>
        </w:r>
      </w:sdtContent>
    </w:sdt>
  </w:p>
  <w:p w14:paraId="36A4FA0A" w14:textId="77777777" w:rsidR="00B65EDC" w:rsidRPr="00FE0119" w:rsidRDefault="00B65EDC" w:rsidP="008224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C602" w14:textId="668BEB04" w:rsidR="00B65EDC" w:rsidRPr="00877E3D" w:rsidRDefault="00B65EDC" w:rsidP="008224BD">
    <w:pPr>
      <w:pStyle w:val="Header"/>
      <w:rPr>
        <w:rStyle w:val="PageNumber"/>
        <w:lang w:val="de-DE"/>
      </w:rPr>
    </w:pPr>
    <w:r w:rsidRPr="00877E3D">
      <w:rPr>
        <w:lang w:val="de-DE"/>
      </w:rPr>
      <w:t>Vorläufiger Entwurf des Programms und Haushaltsplans für den Zweijahreszeitraum</w:t>
    </w:r>
    <w:r w:rsidR="00521C0D" w:rsidRPr="00877E3D">
      <w:rPr>
        <w:lang w:val="de-DE"/>
      </w:rPr>
      <w:t xml:space="preserve"> 2026-2027</w:t>
    </w:r>
  </w:p>
  <w:p w14:paraId="0C263071" w14:textId="77777777" w:rsidR="00B65EDC" w:rsidRPr="00FE0119" w:rsidRDefault="00B65EDC" w:rsidP="008224BD">
    <w:pPr>
      <w:pStyle w:val="Header"/>
    </w:pPr>
    <w:proofErr w:type="spellStart"/>
    <w:r w:rsidRPr="00FE0119">
      <w:t>Anhang</w:t>
    </w:r>
    <w:proofErr w:type="spellEnd"/>
    <w:r w:rsidRPr="00FE0119">
      <w:t xml:space="preserve"> </w:t>
    </w:r>
    <w:r>
      <w:t>II</w:t>
    </w:r>
    <w:r w:rsidRPr="00FE0119">
      <w:t xml:space="preserve">, Seite </w:t>
    </w:r>
    <w:sdt>
      <w:sdtPr>
        <w:id w:val="-2036489505"/>
        <w:docPartObj>
          <w:docPartGallery w:val="Page Numbers (Top of Page)"/>
          <w:docPartUnique/>
        </w:docPartObj>
      </w:sdtPr>
      <w:sdtEndPr>
        <w:rPr>
          <w:noProof/>
        </w:rPr>
      </w:sdtEndPr>
      <w:sdtContent>
        <w:r>
          <w:rPr>
            <w:noProof/>
          </w:rPr>
          <w:t>39</w:t>
        </w:r>
      </w:sdtContent>
    </w:sdt>
  </w:p>
  <w:p w14:paraId="301D2051" w14:textId="77777777" w:rsidR="00B65EDC" w:rsidRPr="00FE0119" w:rsidRDefault="00B65EDC" w:rsidP="008224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8BCF" w14:textId="14B1EA0C" w:rsidR="00B65EDC" w:rsidRPr="00877E3D" w:rsidRDefault="00B65EDC" w:rsidP="008224BD">
    <w:pPr>
      <w:pStyle w:val="Header"/>
      <w:rPr>
        <w:rStyle w:val="PageNumber"/>
        <w:lang w:val="de-DE"/>
      </w:rPr>
    </w:pPr>
    <w:r w:rsidRPr="00877E3D">
      <w:rPr>
        <w:lang w:val="de-DE"/>
      </w:rPr>
      <w:t>Vorläufiger Entwurf des Programms und Haushaltsplans für den Zweijahreszeitraum</w:t>
    </w:r>
    <w:r w:rsidR="00521C0D" w:rsidRPr="00877E3D">
      <w:rPr>
        <w:lang w:val="de-DE"/>
      </w:rPr>
      <w:t xml:space="preserve"> 2026-2027</w:t>
    </w:r>
  </w:p>
  <w:p w14:paraId="2A2356D9" w14:textId="77777777" w:rsidR="00B65EDC" w:rsidRPr="00FE0119" w:rsidRDefault="00B65EDC" w:rsidP="008224BD">
    <w:pPr>
      <w:pStyle w:val="Header"/>
    </w:pPr>
    <w:proofErr w:type="spellStart"/>
    <w:r w:rsidRPr="00FE0119">
      <w:t>Anhang</w:t>
    </w:r>
    <w:proofErr w:type="spellEnd"/>
    <w:r w:rsidRPr="00FE0119">
      <w:t xml:space="preserve"> </w:t>
    </w:r>
    <w:r>
      <w:t>II</w:t>
    </w:r>
    <w:r w:rsidRPr="00FE0119">
      <w:t xml:space="preserve">, Seite </w:t>
    </w:r>
    <w:sdt>
      <w:sdtPr>
        <w:id w:val="1341588206"/>
        <w:docPartObj>
          <w:docPartGallery w:val="Page Numbers (Top of Page)"/>
          <w:docPartUnique/>
        </w:docPartObj>
      </w:sdtPr>
      <w:sdtEndPr>
        <w:rPr>
          <w:noProof/>
        </w:rPr>
      </w:sdtEndPr>
      <w:sdtContent>
        <w:r>
          <w:rPr>
            <w:noProof/>
          </w:rPr>
          <w:t>39</w:t>
        </w:r>
      </w:sdtContent>
    </w:sdt>
  </w:p>
  <w:p w14:paraId="28C783B9" w14:textId="77777777" w:rsidR="00B65EDC" w:rsidRPr="00FE0119" w:rsidRDefault="00B65EDC" w:rsidP="00822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53"/>
    <w:multiLevelType w:val="hybridMultilevel"/>
    <w:tmpl w:val="B9DA960C"/>
    <w:lvl w:ilvl="0" w:tplc="CA6C1206">
      <w:start w:val="1"/>
      <w:numFmt w:val="upperRoman"/>
      <w:pStyle w:val="Heading1"/>
      <w:lvlText w:val="%1."/>
      <w:lvlJc w:val="left"/>
      <w:pPr>
        <w:ind w:left="55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338E"/>
    <w:multiLevelType w:val="multilevel"/>
    <w:tmpl w:val="DB4C78AC"/>
    <w:lvl w:ilvl="0">
      <w:start w:val="1"/>
      <w:numFmt w:val="decimal"/>
      <w:lvlText w:val="%1)"/>
      <w:lvlJc w:val="left"/>
      <w:pPr>
        <w:ind w:left="927" w:hanging="360"/>
      </w:pPr>
    </w:lvl>
    <w:lvl w:ilvl="1">
      <w:start w:val="1"/>
      <w:numFmt w:val="lowerLetter"/>
      <w:lvlText w:val="%2)"/>
      <w:lvlJc w:val="left"/>
      <w:pPr>
        <w:ind w:left="92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13A83AC8"/>
    <w:multiLevelType w:val="hybridMultilevel"/>
    <w:tmpl w:val="2AD0C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B1F"/>
    <w:multiLevelType w:val="multilevel"/>
    <w:tmpl w:val="DB4C78AC"/>
    <w:lvl w:ilvl="0">
      <w:start w:val="1"/>
      <w:numFmt w:val="decimal"/>
      <w:lvlText w:val="%1)"/>
      <w:lvlJc w:val="left"/>
      <w:pPr>
        <w:ind w:left="927" w:hanging="360"/>
      </w:pPr>
    </w:lvl>
    <w:lvl w:ilvl="1">
      <w:start w:val="1"/>
      <w:numFmt w:val="lowerLetter"/>
      <w:lvlText w:val="%2)"/>
      <w:lvlJc w:val="left"/>
      <w:pPr>
        <w:ind w:left="92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41046977"/>
    <w:multiLevelType w:val="hybridMultilevel"/>
    <w:tmpl w:val="6D7A5DDE"/>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700E3"/>
    <w:multiLevelType w:val="hybridMultilevel"/>
    <w:tmpl w:val="B054F36C"/>
    <w:lvl w:ilvl="0" w:tplc="EC701360">
      <w:start w:val="1"/>
      <w:numFmt w:val="lowerRoman"/>
      <w:lvlText w:val="(%1)"/>
      <w:lvlJc w:val="left"/>
      <w:pPr>
        <w:ind w:left="6670" w:hanging="720"/>
      </w:pPr>
      <w:rPr>
        <w:rFonts w:hint="default"/>
      </w:rPr>
    </w:lvl>
    <w:lvl w:ilvl="1" w:tplc="04090019" w:tentative="1">
      <w:start w:val="1"/>
      <w:numFmt w:val="lowerLetter"/>
      <w:lvlText w:val="%2."/>
      <w:lvlJc w:val="left"/>
      <w:pPr>
        <w:ind w:left="7030" w:hanging="360"/>
      </w:pPr>
    </w:lvl>
    <w:lvl w:ilvl="2" w:tplc="0409001B" w:tentative="1">
      <w:start w:val="1"/>
      <w:numFmt w:val="lowerRoman"/>
      <w:lvlText w:val="%3."/>
      <w:lvlJc w:val="right"/>
      <w:pPr>
        <w:ind w:left="7750" w:hanging="180"/>
      </w:pPr>
    </w:lvl>
    <w:lvl w:ilvl="3" w:tplc="0409000F" w:tentative="1">
      <w:start w:val="1"/>
      <w:numFmt w:val="decimal"/>
      <w:lvlText w:val="%4."/>
      <w:lvlJc w:val="left"/>
      <w:pPr>
        <w:ind w:left="8470" w:hanging="360"/>
      </w:pPr>
    </w:lvl>
    <w:lvl w:ilvl="4" w:tplc="04090019" w:tentative="1">
      <w:start w:val="1"/>
      <w:numFmt w:val="lowerLetter"/>
      <w:lvlText w:val="%5."/>
      <w:lvlJc w:val="left"/>
      <w:pPr>
        <w:ind w:left="9190" w:hanging="360"/>
      </w:pPr>
    </w:lvl>
    <w:lvl w:ilvl="5" w:tplc="0409001B" w:tentative="1">
      <w:start w:val="1"/>
      <w:numFmt w:val="lowerRoman"/>
      <w:lvlText w:val="%6."/>
      <w:lvlJc w:val="right"/>
      <w:pPr>
        <w:ind w:left="9910" w:hanging="180"/>
      </w:pPr>
    </w:lvl>
    <w:lvl w:ilvl="6" w:tplc="0409000F" w:tentative="1">
      <w:start w:val="1"/>
      <w:numFmt w:val="decimal"/>
      <w:lvlText w:val="%7."/>
      <w:lvlJc w:val="left"/>
      <w:pPr>
        <w:ind w:left="10630" w:hanging="360"/>
      </w:pPr>
    </w:lvl>
    <w:lvl w:ilvl="7" w:tplc="04090019" w:tentative="1">
      <w:start w:val="1"/>
      <w:numFmt w:val="lowerLetter"/>
      <w:lvlText w:val="%8."/>
      <w:lvlJc w:val="left"/>
      <w:pPr>
        <w:ind w:left="11350" w:hanging="360"/>
      </w:pPr>
    </w:lvl>
    <w:lvl w:ilvl="8" w:tplc="0409001B" w:tentative="1">
      <w:start w:val="1"/>
      <w:numFmt w:val="lowerRoman"/>
      <w:lvlText w:val="%9."/>
      <w:lvlJc w:val="right"/>
      <w:pPr>
        <w:ind w:left="12070" w:hanging="180"/>
      </w:pPr>
    </w:lvl>
  </w:abstractNum>
  <w:abstractNum w:abstractNumId="6" w15:restartNumberingAfterBreak="0">
    <w:nsid w:val="7A973D1C"/>
    <w:multiLevelType w:val="hybridMultilevel"/>
    <w:tmpl w:val="1B1C89AC"/>
    <w:lvl w:ilvl="0" w:tplc="0407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794361">
    <w:abstractNumId w:val="4"/>
  </w:num>
  <w:num w:numId="2" w16cid:durableId="1078132920">
    <w:abstractNumId w:val="5"/>
  </w:num>
  <w:num w:numId="3" w16cid:durableId="1890417295">
    <w:abstractNumId w:val="1"/>
  </w:num>
  <w:num w:numId="4" w16cid:durableId="852766145">
    <w:abstractNumId w:val="6"/>
  </w:num>
  <w:num w:numId="5" w16cid:durableId="1323196453">
    <w:abstractNumId w:val="0"/>
  </w:num>
  <w:num w:numId="6" w16cid:durableId="1392851706">
    <w:abstractNumId w:val="0"/>
    <w:lvlOverride w:ilvl="0">
      <w:startOverride w:val="1"/>
    </w:lvlOverride>
  </w:num>
  <w:num w:numId="7" w16cid:durableId="1771001721">
    <w:abstractNumId w:val="2"/>
  </w:num>
  <w:num w:numId="8" w16cid:durableId="125174209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C"/>
    <w:rsid w:val="00002E94"/>
    <w:rsid w:val="000049AB"/>
    <w:rsid w:val="00004BCF"/>
    <w:rsid w:val="00004D87"/>
    <w:rsid w:val="00004FD8"/>
    <w:rsid w:val="000066C5"/>
    <w:rsid w:val="00006DF8"/>
    <w:rsid w:val="00010CF3"/>
    <w:rsid w:val="00010FF6"/>
    <w:rsid w:val="00011E27"/>
    <w:rsid w:val="00012746"/>
    <w:rsid w:val="00012B01"/>
    <w:rsid w:val="00012B1F"/>
    <w:rsid w:val="00012E42"/>
    <w:rsid w:val="000139E2"/>
    <w:rsid w:val="000148BC"/>
    <w:rsid w:val="00014EC4"/>
    <w:rsid w:val="00015C67"/>
    <w:rsid w:val="00024AB8"/>
    <w:rsid w:val="00025A2E"/>
    <w:rsid w:val="00027E0A"/>
    <w:rsid w:val="00030854"/>
    <w:rsid w:val="00031CE1"/>
    <w:rsid w:val="0003325D"/>
    <w:rsid w:val="00036028"/>
    <w:rsid w:val="00044642"/>
    <w:rsid w:val="000446B9"/>
    <w:rsid w:val="00047E21"/>
    <w:rsid w:val="00050E16"/>
    <w:rsid w:val="00054C50"/>
    <w:rsid w:val="00056732"/>
    <w:rsid w:val="00057163"/>
    <w:rsid w:val="00065BC4"/>
    <w:rsid w:val="00066627"/>
    <w:rsid w:val="00067EA4"/>
    <w:rsid w:val="00072276"/>
    <w:rsid w:val="00073CA1"/>
    <w:rsid w:val="000772B6"/>
    <w:rsid w:val="0008037F"/>
    <w:rsid w:val="00080E47"/>
    <w:rsid w:val="0008206E"/>
    <w:rsid w:val="00083E01"/>
    <w:rsid w:val="00084946"/>
    <w:rsid w:val="00084DE1"/>
    <w:rsid w:val="00085505"/>
    <w:rsid w:val="00091D46"/>
    <w:rsid w:val="00093483"/>
    <w:rsid w:val="000A744E"/>
    <w:rsid w:val="000B1BD4"/>
    <w:rsid w:val="000C4E25"/>
    <w:rsid w:val="000C7021"/>
    <w:rsid w:val="000D3AC4"/>
    <w:rsid w:val="000D5653"/>
    <w:rsid w:val="000D6BBC"/>
    <w:rsid w:val="000D7780"/>
    <w:rsid w:val="000E1B86"/>
    <w:rsid w:val="000E43E8"/>
    <w:rsid w:val="000E57DE"/>
    <w:rsid w:val="000E6199"/>
    <w:rsid w:val="000E636A"/>
    <w:rsid w:val="000F13D5"/>
    <w:rsid w:val="000F2F11"/>
    <w:rsid w:val="000F473C"/>
    <w:rsid w:val="000F4803"/>
    <w:rsid w:val="000F5C9A"/>
    <w:rsid w:val="000F65D0"/>
    <w:rsid w:val="000F6B11"/>
    <w:rsid w:val="00102417"/>
    <w:rsid w:val="00105929"/>
    <w:rsid w:val="00106399"/>
    <w:rsid w:val="00110C36"/>
    <w:rsid w:val="001126FE"/>
    <w:rsid w:val="001131D5"/>
    <w:rsid w:val="00114FA4"/>
    <w:rsid w:val="0012086B"/>
    <w:rsid w:val="001228C7"/>
    <w:rsid w:val="001244BD"/>
    <w:rsid w:val="00131F35"/>
    <w:rsid w:val="001330C6"/>
    <w:rsid w:val="00140F7E"/>
    <w:rsid w:val="00141DB8"/>
    <w:rsid w:val="00144817"/>
    <w:rsid w:val="00145A06"/>
    <w:rsid w:val="001469B3"/>
    <w:rsid w:val="00147B3A"/>
    <w:rsid w:val="00150738"/>
    <w:rsid w:val="001513BA"/>
    <w:rsid w:val="0015328F"/>
    <w:rsid w:val="00161ED9"/>
    <w:rsid w:val="0016697F"/>
    <w:rsid w:val="0017131E"/>
    <w:rsid w:val="00172084"/>
    <w:rsid w:val="0017474A"/>
    <w:rsid w:val="001758C6"/>
    <w:rsid w:val="00181D5E"/>
    <w:rsid w:val="00182B99"/>
    <w:rsid w:val="00184EE1"/>
    <w:rsid w:val="00185065"/>
    <w:rsid w:val="001865A7"/>
    <w:rsid w:val="00191549"/>
    <w:rsid w:val="001964D8"/>
    <w:rsid w:val="001A378D"/>
    <w:rsid w:val="001A560C"/>
    <w:rsid w:val="001A7682"/>
    <w:rsid w:val="001B1B8F"/>
    <w:rsid w:val="001B3CBF"/>
    <w:rsid w:val="001B3DC1"/>
    <w:rsid w:val="001B62AE"/>
    <w:rsid w:val="001C1525"/>
    <w:rsid w:val="001C1CDA"/>
    <w:rsid w:val="001C530E"/>
    <w:rsid w:val="001C6246"/>
    <w:rsid w:val="001D0928"/>
    <w:rsid w:val="001D1FB2"/>
    <w:rsid w:val="001D22EB"/>
    <w:rsid w:val="001D35AA"/>
    <w:rsid w:val="001D537E"/>
    <w:rsid w:val="001E7BB9"/>
    <w:rsid w:val="001E7C64"/>
    <w:rsid w:val="001F0AF5"/>
    <w:rsid w:val="001F2C4A"/>
    <w:rsid w:val="001F36C2"/>
    <w:rsid w:val="0020304B"/>
    <w:rsid w:val="0020368F"/>
    <w:rsid w:val="00204B03"/>
    <w:rsid w:val="00204FA5"/>
    <w:rsid w:val="0020684B"/>
    <w:rsid w:val="002075B5"/>
    <w:rsid w:val="002103B7"/>
    <w:rsid w:val="0021332C"/>
    <w:rsid w:val="00213982"/>
    <w:rsid w:val="00214125"/>
    <w:rsid w:val="00214C72"/>
    <w:rsid w:val="00216C5D"/>
    <w:rsid w:val="00226EB5"/>
    <w:rsid w:val="00232572"/>
    <w:rsid w:val="0023420B"/>
    <w:rsid w:val="00235400"/>
    <w:rsid w:val="00236170"/>
    <w:rsid w:val="00240247"/>
    <w:rsid w:val="00243912"/>
    <w:rsid w:val="0024416D"/>
    <w:rsid w:val="00246115"/>
    <w:rsid w:val="00246ABE"/>
    <w:rsid w:val="002473EA"/>
    <w:rsid w:val="0025028A"/>
    <w:rsid w:val="002551EC"/>
    <w:rsid w:val="00256BFA"/>
    <w:rsid w:val="0026046B"/>
    <w:rsid w:val="00265B4B"/>
    <w:rsid w:val="002705C9"/>
    <w:rsid w:val="00271911"/>
    <w:rsid w:val="002800A0"/>
    <w:rsid w:val="002801B3"/>
    <w:rsid w:val="00281060"/>
    <w:rsid w:val="00284C96"/>
    <w:rsid w:val="00286FF2"/>
    <w:rsid w:val="00291254"/>
    <w:rsid w:val="0029149C"/>
    <w:rsid w:val="002940E8"/>
    <w:rsid w:val="00294751"/>
    <w:rsid w:val="002A191A"/>
    <w:rsid w:val="002A596F"/>
    <w:rsid w:val="002A6E50"/>
    <w:rsid w:val="002B081E"/>
    <w:rsid w:val="002B103D"/>
    <w:rsid w:val="002B203D"/>
    <w:rsid w:val="002B2D6A"/>
    <w:rsid w:val="002B4298"/>
    <w:rsid w:val="002B5802"/>
    <w:rsid w:val="002B7295"/>
    <w:rsid w:val="002C04BD"/>
    <w:rsid w:val="002C20B9"/>
    <w:rsid w:val="002C256A"/>
    <w:rsid w:val="002C2F9F"/>
    <w:rsid w:val="002C49DE"/>
    <w:rsid w:val="002C65B7"/>
    <w:rsid w:val="002D0403"/>
    <w:rsid w:val="002E25E4"/>
    <w:rsid w:val="002E45F5"/>
    <w:rsid w:val="002E4D47"/>
    <w:rsid w:val="002E5DDE"/>
    <w:rsid w:val="002E5F42"/>
    <w:rsid w:val="002E6411"/>
    <w:rsid w:val="002E7056"/>
    <w:rsid w:val="002E747E"/>
    <w:rsid w:val="002F7B34"/>
    <w:rsid w:val="003033C3"/>
    <w:rsid w:val="00305A7F"/>
    <w:rsid w:val="00310962"/>
    <w:rsid w:val="003152FE"/>
    <w:rsid w:val="003247D7"/>
    <w:rsid w:val="00324E5E"/>
    <w:rsid w:val="00325CDB"/>
    <w:rsid w:val="00327436"/>
    <w:rsid w:val="00340D4A"/>
    <w:rsid w:val="00342566"/>
    <w:rsid w:val="00342A2C"/>
    <w:rsid w:val="003435C3"/>
    <w:rsid w:val="0034468D"/>
    <w:rsid w:val="00344BD6"/>
    <w:rsid w:val="003455B4"/>
    <w:rsid w:val="003501DA"/>
    <w:rsid w:val="00353571"/>
    <w:rsid w:val="00354B45"/>
    <w:rsid w:val="0035528D"/>
    <w:rsid w:val="0035592C"/>
    <w:rsid w:val="00356102"/>
    <w:rsid w:val="00356DFC"/>
    <w:rsid w:val="00361144"/>
    <w:rsid w:val="00361821"/>
    <w:rsid w:val="00361E9E"/>
    <w:rsid w:val="003714F7"/>
    <w:rsid w:val="00372D55"/>
    <w:rsid w:val="00375855"/>
    <w:rsid w:val="00375C54"/>
    <w:rsid w:val="00377417"/>
    <w:rsid w:val="00380D76"/>
    <w:rsid w:val="003842B4"/>
    <w:rsid w:val="003900D5"/>
    <w:rsid w:val="00390896"/>
    <w:rsid w:val="00391368"/>
    <w:rsid w:val="003921F0"/>
    <w:rsid w:val="00392352"/>
    <w:rsid w:val="00392732"/>
    <w:rsid w:val="0039633A"/>
    <w:rsid w:val="003A7BCA"/>
    <w:rsid w:val="003B214A"/>
    <w:rsid w:val="003B7114"/>
    <w:rsid w:val="003B76BD"/>
    <w:rsid w:val="003C7FBE"/>
    <w:rsid w:val="003D227C"/>
    <w:rsid w:val="003D25D3"/>
    <w:rsid w:val="003D2B4D"/>
    <w:rsid w:val="003D3293"/>
    <w:rsid w:val="003D3648"/>
    <w:rsid w:val="003D7A89"/>
    <w:rsid w:val="003F0BC5"/>
    <w:rsid w:val="003F41A8"/>
    <w:rsid w:val="003F55CE"/>
    <w:rsid w:val="003F5F2B"/>
    <w:rsid w:val="00401E44"/>
    <w:rsid w:val="004024F0"/>
    <w:rsid w:val="00402C74"/>
    <w:rsid w:val="00405C7E"/>
    <w:rsid w:val="00424ADD"/>
    <w:rsid w:val="0042610C"/>
    <w:rsid w:val="00426F10"/>
    <w:rsid w:val="004350CF"/>
    <w:rsid w:val="004354C9"/>
    <w:rsid w:val="00435F38"/>
    <w:rsid w:val="00436849"/>
    <w:rsid w:val="00440345"/>
    <w:rsid w:val="004421A9"/>
    <w:rsid w:val="004440DC"/>
    <w:rsid w:val="004448C7"/>
    <w:rsid w:val="00444A88"/>
    <w:rsid w:val="00445178"/>
    <w:rsid w:val="00447EF1"/>
    <w:rsid w:val="004526C8"/>
    <w:rsid w:val="0045457C"/>
    <w:rsid w:val="00457A55"/>
    <w:rsid w:val="00470448"/>
    <w:rsid w:val="00472EE5"/>
    <w:rsid w:val="00474DA4"/>
    <w:rsid w:val="004755FF"/>
    <w:rsid w:val="00476ACD"/>
    <w:rsid w:val="00476B4D"/>
    <w:rsid w:val="0048016B"/>
    <w:rsid w:val="004805FA"/>
    <w:rsid w:val="004923A3"/>
    <w:rsid w:val="004935D2"/>
    <w:rsid w:val="00493923"/>
    <w:rsid w:val="00496CA9"/>
    <w:rsid w:val="004A3EE2"/>
    <w:rsid w:val="004B0B86"/>
    <w:rsid w:val="004B1215"/>
    <w:rsid w:val="004B1E83"/>
    <w:rsid w:val="004B4DFC"/>
    <w:rsid w:val="004C0C4B"/>
    <w:rsid w:val="004C165C"/>
    <w:rsid w:val="004C278E"/>
    <w:rsid w:val="004C281E"/>
    <w:rsid w:val="004C4EB5"/>
    <w:rsid w:val="004C71EF"/>
    <w:rsid w:val="004D047D"/>
    <w:rsid w:val="004D55F5"/>
    <w:rsid w:val="004D6198"/>
    <w:rsid w:val="004D7283"/>
    <w:rsid w:val="004D7F9F"/>
    <w:rsid w:val="004E2925"/>
    <w:rsid w:val="004E63A4"/>
    <w:rsid w:val="004E7133"/>
    <w:rsid w:val="004F1E9E"/>
    <w:rsid w:val="004F305A"/>
    <w:rsid w:val="004F55E4"/>
    <w:rsid w:val="004F5EE8"/>
    <w:rsid w:val="005113AA"/>
    <w:rsid w:val="00512164"/>
    <w:rsid w:val="0051361E"/>
    <w:rsid w:val="00517EDE"/>
    <w:rsid w:val="00520297"/>
    <w:rsid w:val="00521C0D"/>
    <w:rsid w:val="00522168"/>
    <w:rsid w:val="0052247A"/>
    <w:rsid w:val="005237AC"/>
    <w:rsid w:val="00524002"/>
    <w:rsid w:val="005268B8"/>
    <w:rsid w:val="005338F9"/>
    <w:rsid w:val="0054281C"/>
    <w:rsid w:val="00544581"/>
    <w:rsid w:val="0054657A"/>
    <w:rsid w:val="00546D27"/>
    <w:rsid w:val="005473DE"/>
    <w:rsid w:val="00547FCF"/>
    <w:rsid w:val="00551536"/>
    <w:rsid w:val="00551D8C"/>
    <w:rsid w:val="0055268D"/>
    <w:rsid w:val="00554DC9"/>
    <w:rsid w:val="005551B9"/>
    <w:rsid w:val="00557369"/>
    <w:rsid w:val="00562393"/>
    <w:rsid w:val="00567381"/>
    <w:rsid w:val="0056767F"/>
    <w:rsid w:val="0057490B"/>
    <w:rsid w:val="00575E00"/>
    <w:rsid w:val="0057692A"/>
    <w:rsid w:val="00576BE4"/>
    <w:rsid w:val="0057732D"/>
    <w:rsid w:val="00581261"/>
    <w:rsid w:val="0059238B"/>
    <w:rsid w:val="0059438E"/>
    <w:rsid w:val="00596699"/>
    <w:rsid w:val="005A0825"/>
    <w:rsid w:val="005A1437"/>
    <w:rsid w:val="005A400A"/>
    <w:rsid w:val="005B20EA"/>
    <w:rsid w:val="005B4D6B"/>
    <w:rsid w:val="005B6889"/>
    <w:rsid w:val="005B7A61"/>
    <w:rsid w:val="005C3AFB"/>
    <w:rsid w:val="005C5F36"/>
    <w:rsid w:val="005C63F3"/>
    <w:rsid w:val="005D2CBA"/>
    <w:rsid w:val="005D43A2"/>
    <w:rsid w:val="005D48D6"/>
    <w:rsid w:val="005E48E3"/>
    <w:rsid w:val="005E738B"/>
    <w:rsid w:val="005E7C7A"/>
    <w:rsid w:val="005F34AB"/>
    <w:rsid w:val="005F4C79"/>
    <w:rsid w:val="005F7B92"/>
    <w:rsid w:val="0060111C"/>
    <w:rsid w:val="00601B62"/>
    <w:rsid w:val="0060439F"/>
    <w:rsid w:val="00604CD6"/>
    <w:rsid w:val="00604DB5"/>
    <w:rsid w:val="00606290"/>
    <w:rsid w:val="00612379"/>
    <w:rsid w:val="006153B6"/>
    <w:rsid w:val="0061555F"/>
    <w:rsid w:val="00621F63"/>
    <w:rsid w:val="00632A38"/>
    <w:rsid w:val="00633046"/>
    <w:rsid w:val="00635BE4"/>
    <w:rsid w:val="00636CA6"/>
    <w:rsid w:val="00640924"/>
    <w:rsid w:val="00640E00"/>
    <w:rsid w:val="00641200"/>
    <w:rsid w:val="00645CA8"/>
    <w:rsid w:val="006542AF"/>
    <w:rsid w:val="00657274"/>
    <w:rsid w:val="00661A16"/>
    <w:rsid w:val="0066403E"/>
    <w:rsid w:val="006655D3"/>
    <w:rsid w:val="00667404"/>
    <w:rsid w:val="006700D3"/>
    <w:rsid w:val="00671D61"/>
    <w:rsid w:val="0067424F"/>
    <w:rsid w:val="00687EB4"/>
    <w:rsid w:val="006918AF"/>
    <w:rsid w:val="00693CA6"/>
    <w:rsid w:val="00695C56"/>
    <w:rsid w:val="006A0CDD"/>
    <w:rsid w:val="006A4CE6"/>
    <w:rsid w:val="006A5CDE"/>
    <w:rsid w:val="006A644A"/>
    <w:rsid w:val="006B17D2"/>
    <w:rsid w:val="006B7E6E"/>
    <w:rsid w:val="006C1A19"/>
    <w:rsid w:val="006C224E"/>
    <w:rsid w:val="006C45E6"/>
    <w:rsid w:val="006C5ED9"/>
    <w:rsid w:val="006C61CE"/>
    <w:rsid w:val="006C6A3B"/>
    <w:rsid w:val="006D304D"/>
    <w:rsid w:val="006D3520"/>
    <w:rsid w:val="006D6BF5"/>
    <w:rsid w:val="006D780A"/>
    <w:rsid w:val="006D7D1E"/>
    <w:rsid w:val="006E7FD8"/>
    <w:rsid w:val="006F69F5"/>
    <w:rsid w:val="00701E2C"/>
    <w:rsid w:val="00701F10"/>
    <w:rsid w:val="007079C2"/>
    <w:rsid w:val="0071271E"/>
    <w:rsid w:val="007136B3"/>
    <w:rsid w:val="00716041"/>
    <w:rsid w:val="00716D2A"/>
    <w:rsid w:val="00717B5C"/>
    <w:rsid w:val="00731D4F"/>
    <w:rsid w:val="00732DEC"/>
    <w:rsid w:val="0073511D"/>
    <w:rsid w:val="00735BD5"/>
    <w:rsid w:val="007374CC"/>
    <w:rsid w:val="00740538"/>
    <w:rsid w:val="007406AD"/>
    <w:rsid w:val="007412CF"/>
    <w:rsid w:val="00743035"/>
    <w:rsid w:val="00744875"/>
    <w:rsid w:val="00744D6B"/>
    <w:rsid w:val="007451EC"/>
    <w:rsid w:val="00750508"/>
    <w:rsid w:val="00751613"/>
    <w:rsid w:val="0075513F"/>
    <w:rsid w:val="007552D9"/>
    <w:rsid w:val="007556F6"/>
    <w:rsid w:val="007573FB"/>
    <w:rsid w:val="00757F17"/>
    <w:rsid w:val="00760A29"/>
    <w:rsid w:val="00760EEF"/>
    <w:rsid w:val="0076354D"/>
    <w:rsid w:val="00764054"/>
    <w:rsid w:val="00765727"/>
    <w:rsid w:val="00766E51"/>
    <w:rsid w:val="00767CC7"/>
    <w:rsid w:val="00773789"/>
    <w:rsid w:val="007738B4"/>
    <w:rsid w:val="00777EE5"/>
    <w:rsid w:val="00781025"/>
    <w:rsid w:val="00781A10"/>
    <w:rsid w:val="00782255"/>
    <w:rsid w:val="00784836"/>
    <w:rsid w:val="0079023E"/>
    <w:rsid w:val="00791CEF"/>
    <w:rsid w:val="00792F24"/>
    <w:rsid w:val="0079723E"/>
    <w:rsid w:val="00797CC6"/>
    <w:rsid w:val="007A2854"/>
    <w:rsid w:val="007A34DB"/>
    <w:rsid w:val="007A6024"/>
    <w:rsid w:val="007A6726"/>
    <w:rsid w:val="007B0EF5"/>
    <w:rsid w:val="007C00B8"/>
    <w:rsid w:val="007C1317"/>
    <w:rsid w:val="007C159A"/>
    <w:rsid w:val="007C1D92"/>
    <w:rsid w:val="007C2D22"/>
    <w:rsid w:val="007C3C19"/>
    <w:rsid w:val="007C4CB9"/>
    <w:rsid w:val="007C7F49"/>
    <w:rsid w:val="007D0B9D"/>
    <w:rsid w:val="007D19B0"/>
    <w:rsid w:val="007D2E12"/>
    <w:rsid w:val="007D4635"/>
    <w:rsid w:val="007D6523"/>
    <w:rsid w:val="007D74F3"/>
    <w:rsid w:val="007D7770"/>
    <w:rsid w:val="007D7A5A"/>
    <w:rsid w:val="007F0073"/>
    <w:rsid w:val="007F06A2"/>
    <w:rsid w:val="007F498F"/>
    <w:rsid w:val="007F78EF"/>
    <w:rsid w:val="00804352"/>
    <w:rsid w:val="008050D0"/>
    <w:rsid w:val="0080679D"/>
    <w:rsid w:val="00807027"/>
    <w:rsid w:val="008108B0"/>
    <w:rsid w:val="00810F8A"/>
    <w:rsid w:val="00811B20"/>
    <w:rsid w:val="008166F5"/>
    <w:rsid w:val="008211B5"/>
    <w:rsid w:val="0082296E"/>
    <w:rsid w:val="00823AA1"/>
    <w:rsid w:val="0082404F"/>
    <w:rsid w:val="00824099"/>
    <w:rsid w:val="00832A6D"/>
    <w:rsid w:val="0083359E"/>
    <w:rsid w:val="00834A1F"/>
    <w:rsid w:val="00846A3F"/>
    <w:rsid w:val="00846D2B"/>
    <w:rsid w:val="00846D7C"/>
    <w:rsid w:val="008549B1"/>
    <w:rsid w:val="00856C6C"/>
    <w:rsid w:val="00861F20"/>
    <w:rsid w:val="00862D0C"/>
    <w:rsid w:val="00863D62"/>
    <w:rsid w:val="00865DB0"/>
    <w:rsid w:val="008667D5"/>
    <w:rsid w:val="00866FCD"/>
    <w:rsid w:val="00867AC1"/>
    <w:rsid w:val="00872213"/>
    <w:rsid w:val="0087262B"/>
    <w:rsid w:val="008768C9"/>
    <w:rsid w:val="00876E55"/>
    <w:rsid w:val="00877E3D"/>
    <w:rsid w:val="00881FAF"/>
    <w:rsid w:val="00882204"/>
    <w:rsid w:val="00886003"/>
    <w:rsid w:val="00887E84"/>
    <w:rsid w:val="00890DF8"/>
    <w:rsid w:val="00893A99"/>
    <w:rsid w:val="008A4979"/>
    <w:rsid w:val="008A743F"/>
    <w:rsid w:val="008B005B"/>
    <w:rsid w:val="008B0542"/>
    <w:rsid w:val="008B24DC"/>
    <w:rsid w:val="008C0970"/>
    <w:rsid w:val="008C301F"/>
    <w:rsid w:val="008C4B9B"/>
    <w:rsid w:val="008C6A71"/>
    <w:rsid w:val="008C7B0A"/>
    <w:rsid w:val="008D0BC5"/>
    <w:rsid w:val="008D2CF7"/>
    <w:rsid w:val="008D3F0A"/>
    <w:rsid w:val="008E3498"/>
    <w:rsid w:val="008E4325"/>
    <w:rsid w:val="008E54D9"/>
    <w:rsid w:val="008E63F3"/>
    <w:rsid w:val="008F0441"/>
    <w:rsid w:val="008F3A5C"/>
    <w:rsid w:val="00900C26"/>
    <w:rsid w:val="0090197F"/>
    <w:rsid w:val="00901D71"/>
    <w:rsid w:val="00903264"/>
    <w:rsid w:val="00905C6E"/>
    <w:rsid w:val="00906DDC"/>
    <w:rsid w:val="00907033"/>
    <w:rsid w:val="00912A85"/>
    <w:rsid w:val="00914DDB"/>
    <w:rsid w:val="00934E09"/>
    <w:rsid w:val="00936253"/>
    <w:rsid w:val="00940D46"/>
    <w:rsid w:val="009412DD"/>
    <w:rsid w:val="00944DB6"/>
    <w:rsid w:val="00952DD4"/>
    <w:rsid w:val="00953B60"/>
    <w:rsid w:val="009553B0"/>
    <w:rsid w:val="00956C95"/>
    <w:rsid w:val="009604D1"/>
    <w:rsid w:val="00960BB0"/>
    <w:rsid w:val="0096329B"/>
    <w:rsid w:val="00965AE7"/>
    <w:rsid w:val="00965C13"/>
    <w:rsid w:val="00970FED"/>
    <w:rsid w:val="009863D1"/>
    <w:rsid w:val="00987CB1"/>
    <w:rsid w:val="009906B3"/>
    <w:rsid w:val="00990CC5"/>
    <w:rsid w:val="00992D82"/>
    <w:rsid w:val="00993301"/>
    <w:rsid w:val="00995EBA"/>
    <w:rsid w:val="00997029"/>
    <w:rsid w:val="009A5E67"/>
    <w:rsid w:val="009A7339"/>
    <w:rsid w:val="009B2573"/>
    <w:rsid w:val="009B440E"/>
    <w:rsid w:val="009B5C1F"/>
    <w:rsid w:val="009C6672"/>
    <w:rsid w:val="009C6E45"/>
    <w:rsid w:val="009C76D8"/>
    <w:rsid w:val="009D324C"/>
    <w:rsid w:val="009D4ABF"/>
    <w:rsid w:val="009D4DBA"/>
    <w:rsid w:val="009D5544"/>
    <w:rsid w:val="009D690D"/>
    <w:rsid w:val="009D69DB"/>
    <w:rsid w:val="009D7E26"/>
    <w:rsid w:val="009E0FB9"/>
    <w:rsid w:val="009E14B9"/>
    <w:rsid w:val="009E59B5"/>
    <w:rsid w:val="009E5C32"/>
    <w:rsid w:val="009E65B6"/>
    <w:rsid w:val="009E76E8"/>
    <w:rsid w:val="009F77CF"/>
    <w:rsid w:val="00A00071"/>
    <w:rsid w:val="00A000A6"/>
    <w:rsid w:val="00A0374E"/>
    <w:rsid w:val="00A14DB2"/>
    <w:rsid w:val="00A16B5E"/>
    <w:rsid w:val="00A21BBB"/>
    <w:rsid w:val="00A227B8"/>
    <w:rsid w:val="00A2374E"/>
    <w:rsid w:val="00A2430F"/>
    <w:rsid w:val="00A24C10"/>
    <w:rsid w:val="00A2543D"/>
    <w:rsid w:val="00A26F6C"/>
    <w:rsid w:val="00A2717A"/>
    <w:rsid w:val="00A3365A"/>
    <w:rsid w:val="00A36072"/>
    <w:rsid w:val="00A36EC6"/>
    <w:rsid w:val="00A41AE7"/>
    <w:rsid w:val="00A42AC3"/>
    <w:rsid w:val="00A430CF"/>
    <w:rsid w:val="00A4696B"/>
    <w:rsid w:val="00A476A4"/>
    <w:rsid w:val="00A52B7C"/>
    <w:rsid w:val="00A54309"/>
    <w:rsid w:val="00A54EBB"/>
    <w:rsid w:val="00A5641E"/>
    <w:rsid w:val="00A66130"/>
    <w:rsid w:val="00A70ED5"/>
    <w:rsid w:val="00A82817"/>
    <w:rsid w:val="00A82E77"/>
    <w:rsid w:val="00A83830"/>
    <w:rsid w:val="00A85880"/>
    <w:rsid w:val="00A90CE6"/>
    <w:rsid w:val="00A92CBC"/>
    <w:rsid w:val="00A9320B"/>
    <w:rsid w:val="00AA0293"/>
    <w:rsid w:val="00AA2E88"/>
    <w:rsid w:val="00AA54F4"/>
    <w:rsid w:val="00AB13E2"/>
    <w:rsid w:val="00AB27FA"/>
    <w:rsid w:val="00AB2B93"/>
    <w:rsid w:val="00AB530F"/>
    <w:rsid w:val="00AB6F53"/>
    <w:rsid w:val="00AB7E5B"/>
    <w:rsid w:val="00AC2883"/>
    <w:rsid w:val="00AC6D6D"/>
    <w:rsid w:val="00AD1DA6"/>
    <w:rsid w:val="00AD2F09"/>
    <w:rsid w:val="00AE0EF1"/>
    <w:rsid w:val="00AE11B6"/>
    <w:rsid w:val="00AE1F07"/>
    <w:rsid w:val="00AE2937"/>
    <w:rsid w:val="00AE4172"/>
    <w:rsid w:val="00AE42F7"/>
    <w:rsid w:val="00AE4A2C"/>
    <w:rsid w:val="00AE588A"/>
    <w:rsid w:val="00AF53C3"/>
    <w:rsid w:val="00AF59A0"/>
    <w:rsid w:val="00B061ED"/>
    <w:rsid w:val="00B06848"/>
    <w:rsid w:val="00B07301"/>
    <w:rsid w:val="00B078AF"/>
    <w:rsid w:val="00B10C20"/>
    <w:rsid w:val="00B11F3E"/>
    <w:rsid w:val="00B1302F"/>
    <w:rsid w:val="00B224DE"/>
    <w:rsid w:val="00B26DD7"/>
    <w:rsid w:val="00B278A0"/>
    <w:rsid w:val="00B278EF"/>
    <w:rsid w:val="00B306C1"/>
    <w:rsid w:val="00B306D0"/>
    <w:rsid w:val="00B3233D"/>
    <w:rsid w:val="00B324D4"/>
    <w:rsid w:val="00B43FDA"/>
    <w:rsid w:val="00B46575"/>
    <w:rsid w:val="00B549BF"/>
    <w:rsid w:val="00B54F8F"/>
    <w:rsid w:val="00B550AB"/>
    <w:rsid w:val="00B56BB8"/>
    <w:rsid w:val="00B56D0C"/>
    <w:rsid w:val="00B56FC0"/>
    <w:rsid w:val="00B6128F"/>
    <w:rsid w:val="00B61777"/>
    <w:rsid w:val="00B63058"/>
    <w:rsid w:val="00B63661"/>
    <w:rsid w:val="00B65CA9"/>
    <w:rsid w:val="00B65EDC"/>
    <w:rsid w:val="00B716E9"/>
    <w:rsid w:val="00B7227C"/>
    <w:rsid w:val="00B72D5F"/>
    <w:rsid w:val="00B75247"/>
    <w:rsid w:val="00B752BE"/>
    <w:rsid w:val="00B77028"/>
    <w:rsid w:val="00B8121B"/>
    <w:rsid w:val="00B8250D"/>
    <w:rsid w:val="00B84BBD"/>
    <w:rsid w:val="00B84D8D"/>
    <w:rsid w:val="00BA135F"/>
    <w:rsid w:val="00BA43FB"/>
    <w:rsid w:val="00BB10D3"/>
    <w:rsid w:val="00BB3D89"/>
    <w:rsid w:val="00BB6564"/>
    <w:rsid w:val="00BC127D"/>
    <w:rsid w:val="00BC1FE6"/>
    <w:rsid w:val="00BC2AF6"/>
    <w:rsid w:val="00BD537C"/>
    <w:rsid w:val="00BD60B6"/>
    <w:rsid w:val="00BD63DA"/>
    <w:rsid w:val="00BE2B70"/>
    <w:rsid w:val="00BE6E28"/>
    <w:rsid w:val="00BF105E"/>
    <w:rsid w:val="00BF1431"/>
    <w:rsid w:val="00BF56B9"/>
    <w:rsid w:val="00BF7B0D"/>
    <w:rsid w:val="00C01C3B"/>
    <w:rsid w:val="00C01CD3"/>
    <w:rsid w:val="00C02C41"/>
    <w:rsid w:val="00C0361E"/>
    <w:rsid w:val="00C06061"/>
    <w:rsid w:val="00C061B6"/>
    <w:rsid w:val="00C10355"/>
    <w:rsid w:val="00C22051"/>
    <w:rsid w:val="00C23A20"/>
    <w:rsid w:val="00C2446C"/>
    <w:rsid w:val="00C2766E"/>
    <w:rsid w:val="00C3208F"/>
    <w:rsid w:val="00C3246F"/>
    <w:rsid w:val="00C35474"/>
    <w:rsid w:val="00C3653F"/>
    <w:rsid w:val="00C36AE5"/>
    <w:rsid w:val="00C41F17"/>
    <w:rsid w:val="00C50F18"/>
    <w:rsid w:val="00C5175D"/>
    <w:rsid w:val="00C527FA"/>
    <w:rsid w:val="00C5280D"/>
    <w:rsid w:val="00C52FDB"/>
    <w:rsid w:val="00C53EB3"/>
    <w:rsid w:val="00C5509C"/>
    <w:rsid w:val="00C5791C"/>
    <w:rsid w:val="00C61DB1"/>
    <w:rsid w:val="00C66290"/>
    <w:rsid w:val="00C711C0"/>
    <w:rsid w:val="00C72B7A"/>
    <w:rsid w:val="00C75A58"/>
    <w:rsid w:val="00C80774"/>
    <w:rsid w:val="00C829F1"/>
    <w:rsid w:val="00C841DF"/>
    <w:rsid w:val="00C9139A"/>
    <w:rsid w:val="00C91489"/>
    <w:rsid w:val="00C92046"/>
    <w:rsid w:val="00C920EB"/>
    <w:rsid w:val="00C96C6C"/>
    <w:rsid w:val="00C973F2"/>
    <w:rsid w:val="00CA03BB"/>
    <w:rsid w:val="00CA2147"/>
    <w:rsid w:val="00CA2276"/>
    <w:rsid w:val="00CA304C"/>
    <w:rsid w:val="00CA4776"/>
    <w:rsid w:val="00CA638C"/>
    <w:rsid w:val="00CA774A"/>
    <w:rsid w:val="00CA7BA1"/>
    <w:rsid w:val="00CB003B"/>
    <w:rsid w:val="00CB0101"/>
    <w:rsid w:val="00CB0C4D"/>
    <w:rsid w:val="00CB5C56"/>
    <w:rsid w:val="00CC03F0"/>
    <w:rsid w:val="00CC11B0"/>
    <w:rsid w:val="00CC2841"/>
    <w:rsid w:val="00CC4FBD"/>
    <w:rsid w:val="00CC5224"/>
    <w:rsid w:val="00CD03F7"/>
    <w:rsid w:val="00CD185E"/>
    <w:rsid w:val="00CD1F60"/>
    <w:rsid w:val="00CE61DD"/>
    <w:rsid w:val="00CF1330"/>
    <w:rsid w:val="00CF1AF0"/>
    <w:rsid w:val="00CF7E36"/>
    <w:rsid w:val="00D00D83"/>
    <w:rsid w:val="00D0359E"/>
    <w:rsid w:val="00D13165"/>
    <w:rsid w:val="00D13C0E"/>
    <w:rsid w:val="00D1446B"/>
    <w:rsid w:val="00D15CA7"/>
    <w:rsid w:val="00D15DB9"/>
    <w:rsid w:val="00D164DE"/>
    <w:rsid w:val="00D20B4F"/>
    <w:rsid w:val="00D217D1"/>
    <w:rsid w:val="00D2742C"/>
    <w:rsid w:val="00D30F1A"/>
    <w:rsid w:val="00D323CE"/>
    <w:rsid w:val="00D353FA"/>
    <w:rsid w:val="00D358B5"/>
    <w:rsid w:val="00D3708D"/>
    <w:rsid w:val="00D40426"/>
    <w:rsid w:val="00D4404C"/>
    <w:rsid w:val="00D44145"/>
    <w:rsid w:val="00D55248"/>
    <w:rsid w:val="00D57C96"/>
    <w:rsid w:val="00D57D18"/>
    <w:rsid w:val="00D62B25"/>
    <w:rsid w:val="00D678EF"/>
    <w:rsid w:val="00D7358F"/>
    <w:rsid w:val="00D73D27"/>
    <w:rsid w:val="00D74040"/>
    <w:rsid w:val="00D76A6E"/>
    <w:rsid w:val="00D84906"/>
    <w:rsid w:val="00D91203"/>
    <w:rsid w:val="00D9136A"/>
    <w:rsid w:val="00D91EB4"/>
    <w:rsid w:val="00D95174"/>
    <w:rsid w:val="00D97FEF"/>
    <w:rsid w:val="00DA067D"/>
    <w:rsid w:val="00DA2361"/>
    <w:rsid w:val="00DA3D10"/>
    <w:rsid w:val="00DA4973"/>
    <w:rsid w:val="00DA6553"/>
    <w:rsid w:val="00DA6F36"/>
    <w:rsid w:val="00DB09D1"/>
    <w:rsid w:val="00DB1158"/>
    <w:rsid w:val="00DB323D"/>
    <w:rsid w:val="00DB596E"/>
    <w:rsid w:val="00DB5D67"/>
    <w:rsid w:val="00DB7773"/>
    <w:rsid w:val="00DC00EA"/>
    <w:rsid w:val="00DC3802"/>
    <w:rsid w:val="00DC4D07"/>
    <w:rsid w:val="00DC63A0"/>
    <w:rsid w:val="00DC7FBC"/>
    <w:rsid w:val="00DD02A4"/>
    <w:rsid w:val="00DD2E9E"/>
    <w:rsid w:val="00DD2EE4"/>
    <w:rsid w:val="00DD43F0"/>
    <w:rsid w:val="00DE55B0"/>
    <w:rsid w:val="00DF2105"/>
    <w:rsid w:val="00DF2B04"/>
    <w:rsid w:val="00DF404E"/>
    <w:rsid w:val="00DF6507"/>
    <w:rsid w:val="00DF69C4"/>
    <w:rsid w:val="00DF7402"/>
    <w:rsid w:val="00E04A2B"/>
    <w:rsid w:val="00E05142"/>
    <w:rsid w:val="00E05676"/>
    <w:rsid w:val="00E07D87"/>
    <w:rsid w:val="00E12999"/>
    <w:rsid w:val="00E133A1"/>
    <w:rsid w:val="00E209A5"/>
    <w:rsid w:val="00E22220"/>
    <w:rsid w:val="00E22B9F"/>
    <w:rsid w:val="00E25EC6"/>
    <w:rsid w:val="00E278AA"/>
    <w:rsid w:val="00E32876"/>
    <w:rsid w:val="00E32F7E"/>
    <w:rsid w:val="00E35B50"/>
    <w:rsid w:val="00E364BF"/>
    <w:rsid w:val="00E447F7"/>
    <w:rsid w:val="00E45634"/>
    <w:rsid w:val="00E46AA0"/>
    <w:rsid w:val="00E47D8D"/>
    <w:rsid w:val="00E47E7C"/>
    <w:rsid w:val="00E5267B"/>
    <w:rsid w:val="00E557DE"/>
    <w:rsid w:val="00E564C7"/>
    <w:rsid w:val="00E61E9D"/>
    <w:rsid w:val="00E621D0"/>
    <w:rsid w:val="00E63C0E"/>
    <w:rsid w:val="00E65B32"/>
    <w:rsid w:val="00E66805"/>
    <w:rsid w:val="00E672CE"/>
    <w:rsid w:val="00E71F4F"/>
    <w:rsid w:val="00E72D49"/>
    <w:rsid w:val="00E735F8"/>
    <w:rsid w:val="00E7593C"/>
    <w:rsid w:val="00E75EF0"/>
    <w:rsid w:val="00E7678A"/>
    <w:rsid w:val="00E84EBB"/>
    <w:rsid w:val="00E90E65"/>
    <w:rsid w:val="00E935F1"/>
    <w:rsid w:val="00E948F9"/>
    <w:rsid w:val="00E94A81"/>
    <w:rsid w:val="00E96006"/>
    <w:rsid w:val="00EA1FFB"/>
    <w:rsid w:val="00EA52BB"/>
    <w:rsid w:val="00EA64D3"/>
    <w:rsid w:val="00EB048E"/>
    <w:rsid w:val="00EB1E83"/>
    <w:rsid w:val="00EB37D1"/>
    <w:rsid w:val="00EB4E9C"/>
    <w:rsid w:val="00EB6529"/>
    <w:rsid w:val="00EB7B1D"/>
    <w:rsid w:val="00EB7BF2"/>
    <w:rsid w:val="00EB7FF6"/>
    <w:rsid w:val="00EC02E6"/>
    <w:rsid w:val="00ED4132"/>
    <w:rsid w:val="00ED4200"/>
    <w:rsid w:val="00EE34DF"/>
    <w:rsid w:val="00EE3B51"/>
    <w:rsid w:val="00EE6ABB"/>
    <w:rsid w:val="00EF16CB"/>
    <w:rsid w:val="00EF196C"/>
    <w:rsid w:val="00EF2F89"/>
    <w:rsid w:val="00EF3F9E"/>
    <w:rsid w:val="00F01F4D"/>
    <w:rsid w:val="00F030A5"/>
    <w:rsid w:val="00F036BE"/>
    <w:rsid w:val="00F03E98"/>
    <w:rsid w:val="00F04D5C"/>
    <w:rsid w:val="00F062B1"/>
    <w:rsid w:val="00F072DB"/>
    <w:rsid w:val="00F1237A"/>
    <w:rsid w:val="00F1382A"/>
    <w:rsid w:val="00F13B88"/>
    <w:rsid w:val="00F1647C"/>
    <w:rsid w:val="00F22CBD"/>
    <w:rsid w:val="00F25845"/>
    <w:rsid w:val="00F261FC"/>
    <w:rsid w:val="00F272F1"/>
    <w:rsid w:val="00F306CB"/>
    <w:rsid w:val="00F31E68"/>
    <w:rsid w:val="00F372E3"/>
    <w:rsid w:val="00F42E36"/>
    <w:rsid w:val="00F4337E"/>
    <w:rsid w:val="00F45372"/>
    <w:rsid w:val="00F560F7"/>
    <w:rsid w:val="00F57CA0"/>
    <w:rsid w:val="00F60BE6"/>
    <w:rsid w:val="00F61200"/>
    <w:rsid w:val="00F6158D"/>
    <w:rsid w:val="00F61B16"/>
    <w:rsid w:val="00F6334D"/>
    <w:rsid w:val="00F63599"/>
    <w:rsid w:val="00F66C57"/>
    <w:rsid w:val="00F71EC1"/>
    <w:rsid w:val="00F72FCA"/>
    <w:rsid w:val="00F75CD1"/>
    <w:rsid w:val="00F764A9"/>
    <w:rsid w:val="00F769B1"/>
    <w:rsid w:val="00F772F5"/>
    <w:rsid w:val="00F80999"/>
    <w:rsid w:val="00F80DFF"/>
    <w:rsid w:val="00F813E8"/>
    <w:rsid w:val="00F832E1"/>
    <w:rsid w:val="00F901C7"/>
    <w:rsid w:val="00F9027C"/>
    <w:rsid w:val="00F90D07"/>
    <w:rsid w:val="00F930D2"/>
    <w:rsid w:val="00F9780C"/>
    <w:rsid w:val="00FA1450"/>
    <w:rsid w:val="00FA49AB"/>
    <w:rsid w:val="00FA5EBE"/>
    <w:rsid w:val="00FB0C9E"/>
    <w:rsid w:val="00FC07FD"/>
    <w:rsid w:val="00FC2A35"/>
    <w:rsid w:val="00FC31F5"/>
    <w:rsid w:val="00FC5A90"/>
    <w:rsid w:val="00FC665A"/>
    <w:rsid w:val="00FC7602"/>
    <w:rsid w:val="00FC7FED"/>
    <w:rsid w:val="00FE39C7"/>
    <w:rsid w:val="00FE45D6"/>
    <w:rsid w:val="00FE460D"/>
    <w:rsid w:val="00FF0CC4"/>
    <w:rsid w:val="00FF1561"/>
    <w:rsid w:val="00FF4D07"/>
    <w:rsid w:val="00FF6817"/>
    <w:rsid w:val="00FF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FFDD4"/>
  <w15:docId w15:val="{690D8593-9827-4B9B-8891-D14C2E08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lang w:val="de-DE"/>
    </w:rPr>
  </w:style>
  <w:style w:type="paragraph" w:styleId="Heading1">
    <w:name w:val="heading 1"/>
    <w:next w:val="Normal"/>
    <w:qFormat/>
    <w:rsid w:val="00FC7FED"/>
    <w:pPr>
      <w:keepNext/>
      <w:pageBreakBefore/>
      <w:numPr>
        <w:numId w:val="5"/>
      </w:numPr>
      <w:ind w:left="720"/>
      <w:outlineLvl w:val="0"/>
    </w:pPr>
    <w:rPr>
      <w:rFonts w:ascii="Arial" w:hAnsi="Arial"/>
      <w:caps/>
      <w:color w:val="26724C" w:themeColor="accent1" w:themeShade="BF"/>
      <w:sz w:val="32"/>
      <w:szCs w:val="24"/>
    </w:rPr>
  </w:style>
  <w:style w:type="paragraph" w:styleId="Heading2">
    <w:name w:val="heading 2"/>
    <w:next w:val="Normal"/>
    <w:qFormat/>
    <w:rsid w:val="004448C7"/>
    <w:pPr>
      <w:keepNext/>
      <w:jc w:val="both"/>
      <w:outlineLvl w:val="1"/>
    </w:pPr>
    <w:rPr>
      <w:rFonts w:ascii="Arial" w:hAnsi="Arial"/>
      <w:b/>
      <w:bCs/>
      <w:color w:val="26724C" w:themeColor="accent1" w:themeShade="BF"/>
      <w:sz w:val="28"/>
    </w:rPr>
  </w:style>
  <w:style w:type="paragraph" w:styleId="Heading3">
    <w:name w:val="heading 3"/>
    <w:next w:val="Normal"/>
    <w:link w:val="Heading3Char"/>
    <w:autoRedefine/>
    <w:qFormat/>
    <w:rsid w:val="00C01C3B"/>
    <w:pPr>
      <w:keepNext/>
      <w:jc w:val="both"/>
      <w:outlineLvl w:val="2"/>
    </w:pPr>
    <w:rPr>
      <w:rFonts w:ascii="Arial" w:hAnsi="Arial"/>
      <w:b/>
      <w:color w:val="26724C" w:themeColor="accent1" w:themeShade="BF"/>
      <w:sz w:val="22"/>
    </w:rPr>
  </w:style>
  <w:style w:type="paragraph" w:styleId="Heading4">
    <w:name w:val="heading 4"/>
    <w:next w:val="Normal"/>
    <w:autoRedefine/>
    <w:qFormat/>
    <w:rsid w:val="00C01C3B"/>
    <w:pPr>
      <w:keepNext/>
      <w:tabs>
        <w:tab w:val="left" w:pos="1418"/>
      </w:tabs>
      <w:ind w:left="567"/>
      <w:jc w:val="both"/>
      <w:outlineLvl w:val="3"/>
    </w:pPr>
    <w:rPr>
      <w:rFonts w:ascii="Arial" w:hAnsi="Arial"/>
      <w:u w:val="single"/>
    </w:rPr>
  </w:style>
  <w:style w:type="paragraph" w:styleId="Heading5">
    <w:name w:val="heading 5"/>
    <w:next w:val="Normal"/>
    <w:autoRedefine/>
    <w:qFormat/>
    <w:rsid w:val="00C01C3B"/>
    <w:pPr>
      <w:keepNext/>
      <w:ind w:left="567" w:hanging="567"/>
      <w:jc w:val="both"/>
      <w:outlineLvl w:val="4"/>
    </w:pPr>
    <w:rPr>
      <w:rFonts w:ascii="Arial" w:hAnsi="Arial"/>
      <w:i/>
      <w:color w:val="26724C" w:themeColor="accent1" w:themeShade="BF"/>
    </w:rPr>
  </w:style>
  <w:style w:type="paragraph" w:styleId="Heading6">
    <w:name w:val="heading 6"/>
    <w:basedOn w:val="Normal"/>
    <w:next w:val="Normal"/>
    <w:link w:val="Heading6Char"/>
    <w:semiHidden/>
    <w:unhideWhenUsed/>
    <w:qFormat/>
    <w:rsid w:val="00C01C3B"/>
    <w:pPr>
      <w:keepNext/>
      <w:keepLines/>
      <w:spacing w:before="40"/>
      <w:outlineLvl w:val="5"/>
    </w:pPr>
    <w:rPr>
      <w:rFonts w:asciiTheme="majorHAnsi" w:eastAsiaTheme="majorEastAsia" w:hAnsiTheme="majorHAnsi" w:cstheme="majorBidi"/>
      <w:color w:val="194C32" w:themeColor="accent1" w:themeShade="7F"/>
    </w:rPr>
  </w:style>
  <w:style w:type="paragraph" w:styleId="Heading9">
    <w:name w:val="heading 9"/>
    <w:basedOn w:val="Heading2"/>
    <w:next w:val="Normal"/>
    <w:qFormat/>
    <w:rsid w:val="00C01C3B"/>
    <w:pPr>
      <w:ind w:left="2127" w:hanging="2127"/>
      <w:outlineLvl w:val="8"/>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912A85"/>
    <w:pPr>
      <w:spacing w:before="60"/>
      <w:ind w:left="284" w:hanging="284"/>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C01C3B"/>
    <w:pPr>
      <w:tabs>
        <w:tab w:val="right" w:pos="9629"/>
      </w:tabs>
      <w:spacing w:before="60"/>
      <w:ind w:left="567" w:right="567"/>
    </w:pPr>
    <w:rPr>
      <w:rFonts w:ascii="Arial" w:hAnsi="Arial" w:cstheme="minorHAnsi"/>
      <w:iCs/>
    </w:rPr>
  </w:style>
  <w:style w:type="paragraph" w:styleId="TOC3">
    <w:name w:val="toc 3"/>
    <w:next w:val="Normal"/>
    <w:autoRedefine/>
    <w:uiPriority w:val="39"/>
    <w:rsid w:val="00C01C3B"/>
    <w:pPr>
      <w:tabs>
        <w:tab w:val="right" w:pos="9629"/>
      </w:tabs>
      <w:spacing w:before="120" w:after="120"/>
      <w:ind w:left="1134" w:right="284"/>
      <w:contextualSpacing/>
    </w:pPr>
    <w:rPr>
      <w:rFonts w:ascii="Arial" w:hAnsi="Arial" w:cstheme="minorHAnsi"/>
      <w:i/>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9412DD"/>
    <w:pPr>
      <w:tabs>
        <w:tab w:val="left" w:pos="1985"/>
        <w:tab w:val="right" w:pos="9629"/>
      </w:tabs>
      <w:spacing w:before="120"/>
      <w:ind w:left="1984" w:right="567" w:hanging="1383"/>
    </w:pPr>
    <w:rPr>
      <w:rFonts w:asciiTheme="minorHAnsi" w:hAnsiTheme="minorHAnsi" w:cstheme="minorHAnsi"/>
    </w:rPr>
  </w:style>
  <w:style w:type="paragraph" w:styleId="TOC1">
    <w:name w:val="toc 1"/>
    <w:next w:val="Normal"/>
    <w:autoRedefine/>
    <w:uiPriority w:val="39"/>
    <w:rsid w:val="00C01C3B"/>
    <w:pPr>
      <w:tabs>
        <w:tab w:val="left" w:pos="400"/>
        <w:tab w:val="right" w:pos="9629"/>
      </w:tabs>
      <w:spacing w:before="240" w:after="120"/>
      <w:ind w:right="284"/>
    </w:pPr>
    <w:rPr>
      <w:rFonts w:ascii="Arial" w:hAnsi="Arial" w:cstheme="minorHAnsi"/>
      <w:bCs/>
      <w:caps/>
    </w:rPr>
  </w:style>
  <w:style w:type="paragraph" w:styleId="TOC5">
    <w:name w:val="toc 5"/>
    <w:next w:val="Normal"/>
    <w:autoRedefine/>
    <w:uiPriority w:val="39"/>
    <w:rsid w:val="00C01C3B"/>
    <w:pPr>
      <w:ind w:left="800"/>
    </w:pPr>
    <w:rPr>
      <w:rFonts w:asciiTheme="minorHAnsi" w:hAnsiTheme="minorHAnsi" w:cstheme="minorHAnsi"/>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C01C3B"/>
    <w:rPr>
      <w:rFonts w:asciiTheme="majorHAnsi" w:eastAsiaTheme="majorEastAsia" w:hAnsiTheme="majorHAnsi" w:cstheme="majorBidi"/>
      <w:color w:val="194C32" w:themeColor="accent1" w:themeShade="7F"/>
    </w:rPr>
  </w:style>
  <w:style w:type="table" w:styleId="TableGrid">
    <w:name w:val="Table Grid"/>
    <w:basedOn w:val="TableNormal"/>
    <w:rsid w:val="00B65E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4Normal">
    <w:name w:val="Inf_4_Normal"/>
    <w:basedOn w:val="Normal"/>
    <w:rsid w:val="00B65EDC"/>
    <w:pPr>
      <w:spacing w:before="120"/>
      <w:ind w:left="567" w:right="707"/>
    </w:pPr>
    <w:rPr>
      <w:rFonts w:cs="Arial"/>
    </w:rPr>
  </w:style>
  <w:style w:type="paragraph" w:customStyle="1" w:styleId="Inf4Heading4">
    <w:name w:val="Inf_4_Heading_4"/>
    <w:basedOn w:val="Heading4"/>
    <w:next w:val="Normal"/>
    <w:rsid w:val="00B65EDC"/>
    <w:pPr>
      <w:spacing w:before="120"/>
      <w:ind w:left="0" w:hanging="567"/>
    </w:pPr>
    <w:rPr>
      <w:rFonts w:ascii="Times New Roman" w:hAnsi="Times New Roman"/>
      <w:bCs/>
      <w:i/>
      <w:color w:val="26724C" w:themeColor="accent1" w:themeShade="BF"/>
      <w:sz w:val="22"/>
      <w:u w:val="none"/>
    </w:rPr>
  </w:style>
  <w:style w:type="paragraph" w:customStyle="1" w:styleId="Inf4Heading6">
    <w:name w:val="Inf_4_Heading_6"/>
    <w:basedOn w:val="Normal"/>
    <w:rsid w:val="00B65EDC"/>
    <w:pPr>
      <w:keepNext/>
      <w:spacing w:before="108"/>
      <w:ind w:left="567"/>
      <w:outlineLvl w:val="5"/>
    </w:pPr>
    <w:rPr>
      <w:b/>
      <w:bCs/>
      <w:szCs w:val="24"/>
    </w:rPr>
  </w:style>
  <w:style w:type="paragraph" w:customStyle="1" w:styleId="Inf4Heading3">
    <w:name w:val="Inf_4_Heading_3"/>
    <w:basedOn w:val="Heading3"/>
    <w:rsid w:val="00B65EDC"/>
    <w:pPr>
      <w:keepNext w:val="0"/>
      <w:spacing w:before="240"/>
      <w:jc w:val="center"/>
    </w:pPr>
    <w:rPr>
      <w:rFonts w:cs="Arial"/>
      <w:bCs/>
    </w:rPr>
  </w:style>
  <w:style w:type="character" w:customStyle="1" w:styleId="Heading3Char">
    <w:name w:val="Heading 3 Char"/>
    <w:basedOn w:val="DefaultParagraphFont"/>
    <w:link w:val="Heading3"/>
    <w:rsid w:val="00C01C3B"/>
    <w:rPr>
      <w:rFonts w:ascii="Arial" w:hAnsi="Arial"/>
      <w:b/>
      <w:color w:val="26724C" w:themeColor="accent1" w:themeShade="BF"/>
      <w:sz w:val="22"/>
    </w:rPr>
  </w:style>
  <w:style w:type="paragraph" w:customStyle="1" w:styleId="StyleDocoriginalNotBold">
    <w:name w:val="Style Doc_original + Not Bold"/>
    <w:basedOn w:val="Docoriginal"/>
    <w:link w:val="StyleDocoriginalNotBoldChar"/>
    <w:autoRedefine/>
    <w:rsid w:val="00B65EDC"/>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B65EDC"/>
    <w:rPr>
      <w:rFonts w:ascii="Arial" w:hAnsi="Arial"/>
      <w:b/>
      <w:bCs/>
      <w:spacing w:val="10"/>
      <w:sz w:val="18"/>
      <w:lang w:val="fr-FR" w:eastAsia="en-US" w:bidi="ar-SA"/>
    </w:rPr>
  </w:style>
  <w:style w:type="paragraph" w:customStyle="1" w:styleId="StyleDocnumber">
    <w:name w:val="Style Doc_number"/>
    <w:basedOn w:val="Docoriginal"/>
    <w:rsid w:val="00B65EDC"/>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65EDC"/>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B65EDC"/>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B65EDC"/>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B65EDC"/>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B65EDC"/>
    <w:rPr>
      <w:rFonts w:ascii="Arial" w:hAnsi="Arial"/>
      <w:b/>
      <w:bCs/>
      <w:spacing w:val="10"/>
      <w:lang w:val="en-US" w:eastAsia="en-US" w:bidi="ar-SA"/>
    </w:rPr>
  </w:style>
  <w:style w:type="character" w:customStyle="1" w:styleId="StyleDoclangBold">
    <w:name w:val="Style Doc_lang + Bold"/>
    <w:basedOn w:val="Doclang"/>
    <w:rsid w:val="00B65EDC"/>
    <w:rPr>
      <w:rFonts w:ascii="Arial" w:hAnsi="Arial"/>
      <w:b/>
      <w:bCs/>
      <w:sz w:val="20"/>
      <w:lang w:val="en-US"/>
    </w:rPr>
  </w:style>
  <w:style w:type="paragraph" w:styleId="ListParagraph">
    <w:name w:val="List Paragraph"/>
    <w:basedOn w:val="Normal"/>
    <w:uiPriority w:val="34"/>
    <w:qFormat/>
    <w:rsid w:val="00B65EDC"/>
    <w:pPr>
      <w:ind w:left="720"/>
      <w:contextualSpacing/>
    </w:pPr>
  </w:style>
  <w:style w:type="paragraph" w:customStyle="1" w:styleId="ZchnZchn1">
    <w:name w:val="Zchn Zchn1"/>
    <w:basedOn w:val="Normal"/>
    <w:rsid w:val="00B65EDC"/>
    <w:pPr>
      <w:spacing w:after="160" w:line="240" w:lineRule="exact"/>
      <w:jc w:val="left"/>
    </w:pPr>
    <w:rPr>
      <w:rFonts w:ascii="Verdana" w:eastAsia="PMingLiU" w:hAnsi="Verdana"/>
    </w:rPr>
  </w:style>
  <w:style w:type="paragraph" w:styleId="Subtitle">
    <w:name w:val="Subtitle"/>
    <w:basedOn w:val="Normal"/>
    <w:link w:val="SubtitleChar"/>
    <w:qFormat/>
    <w:rsid w:val="00B65EDC"/>
    <w:pPr>
      <w:jc w:val="center"/>
    </w:pPr>
    <w:rPr>
      <w:rFonts w:ascii="Times New Roman" w:hAnsi="Times New Roman"/>
      <w:b/>
      <w:caps/>
      <w:color w:val="0000FF"/>
      <w:sz w:val="28"/>
    </w:rPr>
  </w:style>
  <w:style w:type="character" w:customStyle="1" w:styleId="SubtitleChar">
    <w:name w:val="Subtitle Char"/>
    <w:basedOn w:val="DefaultParagraphFont"/>
    <w:link w:val="Subtitle"/>
    <w:rsid w:val="00B65EDC"/>
    <w:rPr>
      <w:b/>
      <w:caps/>
      <w:color w:val="0000FF"/>
      <w:sz w:val="28"/>
    </w:rPr>
  </w:style>
  <w:style w:type="paragraph" w:customStyle="1" w:styleId="Endofdocument">
    <w:name w:val="End of document"/>
    <w:basedOn w:val="Normal"/>
    <w:rsid w:val="00B65EDC"/>
    <w:pPr>
      <w:ind w:left="4536"/>
      <w:jc w:val="center"/>
    </w:pPr>
    <w:rPr>
      <w:rFonts w:ascii="Times New Roman" w:hAnsi="Times New Roman"/>
      <w:sz w:val="24"/>
    </w:rPr>
  </w:style>
  <w:style w:type="paragraph" w:customStyle="1" w:styleId="BodyTextKeep">
    <w:name w:val="Body Text Keep"/>
    <w:basedOn w:val="BodyText"/>
    <w:rsid w:val="00B65EDC"/>
    <w:pPr>
      <w:keepNext/>
      <w:spacing w:after="160"/>
      <w:jc w:val="left"/>
    </w:pPr>
    <w:rPr>
      <w:rFonts w:ascii="Times New Roman" w:hAnsi="Times New Roman"/>
    </w:rPr>
  </w:style>
  <w:style w:type="character" w:styleId="Emphasis">
    <w:name w:val="Emphasis"/>
    <w:basedOn w:val="DefaultParagraphFont"/>
    <w:qFormat/>
    <w:rsid w:val="00B65EDC"/>
    <w:rPr>
      <w:i/>
      <w:iCs/>
    </w:rPr>
  </w:style>
  <w:style w:type="character" w:customStyle="1" w:styleId="HeaderChar">
    <w:name w:val="Header Char"/>
    <w:basedOn w:val="DefaultParagraphFont"/>
    <w:link w:val="Header"/>
    <w:uiPriority w:val="99"/>
    <w:rsid w:val="00B65EDC"/>
    <w:rPr>
      <w:rFonts w:ascii="Arial" w:hAnsi="Arial"/>
      <w:lang w:val="fr-FR"/>
    </w:rPr>
  </w:style>
  <w:style w:type="character" w:styleId="CommentReference">
    <w:name w:val="annotation reference"/>
    <w:basedOn w:val="DefaultParagraphFont"/>
    <w:rsid w:val="00B65EDC"/>
    <w:rPr>
      <w:sz w:val="16"/>
      <w:szCs w:val="16"/>
    </w:rPr>
  </w:style>
  <w:style w:type="paragraph" w:styleId="CommentText">
    <w:name w:val="annotation text"/>
    <w:basedOn w:val="Normal"/>
    <w:link w:val="CommentTextChar"/>
    <w:rsid w:val="00B65EDC"/>
  </w:style>
  <w:style w:type="character" w:customStyle="1" w:styleId="CommentTextChar">
    <w:name w:val="Comment Text Char"/>
    <w:basedOn w:val="DefaultParagraphFont"/>
    <w:link w:val="CommentText"/>
    <w:rsid w:val="00B65EDC"/>
    <w:rPr>
      <w:rFonts w:ascii="Arial" w:hAnsi="Arial"/>
    </w:rPr>
  </w:style>
  <w:style w:type="paragraph" w:styleId="CommentSubject">
    <w:name w:val="annotation subject"/>
    <w:basedOn w:val="CommentText"/>
    <w:next w:val="CommentText"/>
    <w:link w:val="CommentSubjectChar"/>
    <w:rsid w:val="00B65EDC"/>
    <w:rPr>
      <w:b/>
      <w:bCs/>
    </w:rPr>
  </w:style>
  <w:style w:type="character" w:customStyle="1" w:styleId="CommentSubjectChar">
    <w:name w:val="Comment Subject Char"/>
    <w:basedOn w:val="CommentTextChar"/>
    <w:link w:val="CommentSubject"/>
    <w:rsid w:val="00B65EDC"/>
    <w:rPr>
      <w:rFonts w:ascii="Arial" w:hAnsi="Arial"/>
      <w:b/>
      <w:bCs/>
    </w:rPr>
  </w:style>
  <w:style w:type="paragraph" w:styleId="NormalWeb">
    <w:name w:val="Normal (Web)"/>
    <w:basedOn w:val="Normal"/>
    <w:uiPriority w:val="99"/>
    <w:unhideWhenUsed/>
    <w:rsid w:val="00B65EDC"/>
    <w:pPr>
      <w:spacing w:before="100" w:beforeAutospacing="1" w:after="100" w:afterAutospacing="1"/>
      <w:jc w:val="left"/>
    </w:pPr>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B65EDC"/>
    <w:pPr>
      <w:keepLines/>
      <w:spacing w:before="480" w:line="276" w:lineRule="auto"/>
      <w:ind w:left="567" w:hanging="567"/>
      <w:outlineLvl w:val="9"/>
    </w:pPr>
    <w:rPr>
      <w:rFonts w:asciiTheme="majorHAnsi" w:eastAsiaTheme="majorEastAsia" w:hAnsiTheme="majorHAnsi" w:cstheme="majorBidi"/>
      <w:b/>
      <w:bCs/>
      <w:caps w:val="0"/>
      <w:sz w:val="28"/>
      <w:szCs w:val="28"/>
      <w:lang w:eastAsia="ja-JP"/>
    </w:rPr>
  </w:style>
  <w:style w:type="paragraph" w:customStyle="1" w:styleId="figures">
    <w:name w:val="figures"/>
    <w:basedOn w:val="Normal"/>
    <w:next w:val="Normal"/>
    <w:qFormat/>
    <w:rsid w:val="00B65EDC"/>
    <w:pPr>
      <w:keepNext/>
      <w:spacing w:after="60"/>
      <w:jc w:val="center"/>
    </w:pPr>
    <w:rPr>
      <w:rFonts w:eastAsia="MS Mincho"/>
      <w:i/>
      <w:sz w:val="18"/>
      <w:lang w:eastAsia="ja-JP"/>
    </w:rPr>
  </w:style>
  <w:style w:type="character" w:customStyle="1" w:styleId="BodyTextChar">
    <w:name w:val="Body Text Char"/>
    <w:basedOn w:val="DefaultParagraphFont"/>
    <w:link w:val="BodyText"/>
    <w:locked/>
    <w:rsid w:val="00B65EDC"/>
    <w:rPr>
      <w:rFonts w:ascii="Arial" w:hAnsi="Arial"/>
    </w:rPr>
  </w:style>
  <w:style w:type="paragraph" w:styleId="Caption">
    <w:name w:val="caption"/>
    <w:basedOn w:val="Heading9"/>
    <w:next w:val="Normal"/>
    <w:unhideWhenUsed/>
    <w:qFormat/>
    <w:rsid w:val="00B65EDC"/>
    <w:pPr>
      <w:spacing w:after="120"/>
      <w:jc w:val="center"/>
    </w:pPr>
    <w:rPr>
      <w:rFonts w:eastAsiaTheme="minorEastAsia"/>
      <w:b w:val="0"/>
      <w:bCs w:val="0"/>
      <w:i/>
      <w:szCs w:val="18"/>
    </w:rPr>
  </w:style>
  <w:style w:type="paragraph" w:styleId="BodyText3">
    <w:name w:val="Body Text 3"/>
    <w:basedOn w:val="Normal"/>
    <w:link w:val="BodyText3Char"/>
    <w:rsid w:val="00B65EDC"/>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B65EDC"/>
    <w:rPr>
      <w:sz w:val="16"/>
      <w:szCs w:val="16"/>
    </w:rPr>
  </w:style>
  <w:style w:type="paragraph" w:customStyle="1" w:styleId="annexiparanumbered">
    <w:name w:val="annex_i_para_numbered"/>
    <w:basedOn w:val="ListParagraph"/>
    <w:qFormat/>
    <w:rsid w:val="00B65EDC"/>
    <w:pPr>
      <w:numPr>
        <w:numId w:val="1"/>
      </w:numPr>
    </w:pPr>
  </w:style>
  <w:style w:type="character" w:styleId="FollowedHyperlink">
    <w:name w:val="FollowedHyperlink"/>
    <w:basedOn w:val="DefaultParagraphFont"/>
    <w:semiHidden/>
    <w:unhideWhenUsed/>
    <w:rsid w:val="00B65EDC"/>
    <w:rPr>
      <w:color w:val="FFCCCC" w:themeColor="followedHyperlink"/>
      <w:u w:val="single"/>
    </w:rPr>
  </w:style>
  <w:style w:type="paragraph" w:customStyle="1" w:styleId="Default">
    <w:name w:val="Default"/>
    <w:rsid w:val="00B65ED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912A85"/>
    <w:rPr>
      <w:rFonts w:ascii="Arial" w:hAnsi="Arial"/>
      <w:sz w:val="16"/>
    </w:rPr>
  </w:style>
  <w:style w:type="paragraph" w:styleId="TOC6">
    <w:name w:val="toc 6"/>
    <w:basedOn w:val="Normal"/>
    <w:next w:val="Normal"/>
    <w:autoRedefine/>
    <w:unhideWhenUsed/>
    <w:rsid w:val="00C01C3B"/>
    <w:pPr>
      <w:ind w:left="1000"/>
      <w:jc w:val="left"/>
    </w:pPr>
    <w:rPr>
      <w:rFonts w:asciiTheme="minorHAnsi" w:hAnsiTheme="minorHAnsi" w:cstheme="minorHAnsi"/>
    </w:rPr>
  </w:style>
  <w:style w:type="paragraph" w:styleId="TOC7">
    <w:name w:val="toc 7"/>
    <w:basedOn w:val="Normal"/>
    <w:next w:val="Normal"/>
    <w:autoRedefine/>
    <w:unhideWhenUsed/>
    <w:rsid w:val="00C01C3B"/>
    <w:pPr>
      <w:ind w:left="1200"/>
      <w:jc w:val="left"/>
    </w:pPr>
    <w:rPr>
      <w:rFonts w:asciiTheme="minorHAnsi" w:hAnsiTheme="minorHAnsi" w:cstheme="minorHAnsi"/>
    </w:rPr>
  </w:style>
  <w:style w:type="paragraph" w:styleId="TOC8">
    <w:name w:val="toc 8"/>
    <w:basedOn w:val="Normal"/>
    <w:next w:val="Normal"/>
    <w:autoRedefine/>
    <w:unhideWhenUsed/>
    <w:rsid w:val="00C01C3B"/>
    <w:pPr>
      <w:ind w:left="1400"/>
      <w:jc w:val="left"/>
    </w:pPr>
    <w:rPr>
      <w:rFonts w:asciiTheme="minorHAnsi" w:hAnsiTheme="minorHAnsi" w:cstheme="minorHAnsi"/>
    </w:rPr>
  </w:style>
  <w:style w:type="paragraph" w:styleId="TOC9">
    <w:name w:val="toc 9"/>
    <w:basedOn w:val="Normal"/>
    <w:next w:val="Normal"/>
    <w:autoRedefine/>
    <w:unhideWhenUsed/>
    <w:rsid w:val="00C01C3B"/>
    <w:pPr>
      <w:ind w:left="1600"/>
      <w:jc w:val="left"/>
    </w:pPr>
    <w:rPr>
      <w:rFonts w:asciiTheme="minorHAnsi" w:hAnsiTheme="minorHAnsi" w:cstheme="minorHAnsi"/>
    </w:rPr>
  </w:style>
  <w:style w:type="paragraph" w:styleId="Revision">
    <w:name w:val="Revision"/>
    <w:hidden/>
    <w:uiPriority w:val="99"/>
    <w:semiHidden/>
    <w:rsid w:val="00B65EDC"/>
    <w:rPr>
      <w:rFonts w:ascii="Arial" w:hAnsi="Arial"/>
    </w:rPr>
  </w:style>
  <w:style w:type="paragraph" w:styleId="BodyTextIndent">
    <w:name w:val="Body Text Indent"/>
    <w:basedOn w:val="Normal"/>
    <w:link w:val="BodyTextIndentChar"/>
    <w:semiHidden/>
    <w:unhideWhenUsed/>
    <w:rsid w:val="00B65EDC"/>
    <w:pPr>
      <w:spacing w:after="120"/>
      <w:ind w:left="283"/>
    </w:pPr>
  </w:style>
  <w:style w:type="character" w:customStyle="1" w:styleId="BodyTextIndentChar">
    <w:name w:val="Body Text Indent Char"/>
    <w:basedOn w:val="DefaultParagraphFont"/>
    <w:link w:val="BodyTextIndent"/>
    <w:semiHidden/>
    <w:rsid w:val="00B65EDC"/>
    <w:rPr>
      <w:rFonts w:ascii="Arial" w:hAnsi="Arial"/>
    </w:rPr>
  </w:style>
  <w:style w:type="character" w:styleId="UnresolvedMention">
    <w:name w:val="Unresolved Mention"/>
    <w:basedOn w:val="DefaultParagraphFont"/>
    <w:uiPriority w:val="99"/>
    <w:semiHidden/>
    <w:unhideWhenUsed/>
    <w:rsid w:val="00B65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80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header" Target="header12.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header" Target="header13.xml"/><Relationship Id="rId47" Type="http://schemas.openxmlformats.org/officeDocument/2006/relationships/footer" Target="footer1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footer" Target="footer8.xml"/><Relationship Id="rId11" Type="http://schemas.openxmlformats.org/officeDocument/2006/relationships/image" Target="media/image3.svg"/><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header" Target="header8.xml"/><Relationship Id="rId44"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upov.int/resource/de/pvp_certificate.html"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footer" Target="footer18.xml"/><Relationship Id="rId20" Type="http://schemas.openxmlformats.org/officeDocument/2006/relationships/header" Target="header3.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emeBudget">
  <a:themeElements>
    <a:clrScheme name="UPOV theme color">
      <a:dk1>
        <a:srgbClr val="000000"/>
      </a:dk1>
      <a:lt1>
        <a:srgbClr val="FFFFFF"/>
      </a:lt1>
      <a:dk2>
        <a:srgbClr val="008080"/>
      </a:dk2>
      <a:lt2>
        <a:srgbClr val="EAF3F5"/>
      </a:lt2>
      <a:accent1>
        <a:srgbClr val="339966"/>
      </a:accent1>
      <a:accent2>
        <a:srgbClr val="33CC33"/>
      </a:accent2>
      <a:accent3>
        <a:srgbClr val="72899D"/>
      </a:accent3>
      <a:accent4>
        <a:srgbClr val="AAB8C4"/>
      </a:accent4>
      <a:accent5>
        <a:srgbClr val="006666"/>
      </a:accent5>
      <a:accent6>
        <a:srgbClr val="FFCCFF"/>
      </a:accent6>
      <a:hlink>
        <a:srgbClr val="339933"/>
      </a:hlink>
      <a:folHlink>
        <a:srgbClr val="FF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32</Pages>
  <Words>11387</Words>
  <Characters>80135</Characters>
  <Application>Microsoft Office Word</Application>
  <DocSecurity>0</DocSecurity>
  <Lines>667</Lines>
  <Paragraphs>182</Paragraphs>
  <ScaleCrop>false</ScaleCrop>
  <HeadingPairs>
    <vt:vector size="2" baseType="variant">
      <vt:variant>
        <vt:lpstr>Title</vt:lpstr>
      </vt:variant>
      <vt:variant>
        <vt:i4>1</vt:i4>
      </vt:variant>
    </vt:vector>
  </HeadingPairs>
  <TitlesOfParts>
    <vt:vector size="1" baseType="lpstr">
      <vt:lpstr>C/59/4</vt:lpstr>
    </vt:vector>
  </TitlesOfParts>
  <Company>UPOV</Company>
  <LinksUpToDate>false</LinksUpToDate>
  <CharactersWithSpaces>91340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C/59/4</dc:title>
  <dc:creator>Sonja Hirsch</dc:creator>
  <cp:keywords>, docId:B6EA4DD70851BA1F5FFD371A9E2E6765</cp:keywords>
  <cp:lastModifiedBy>SANCHEZ VIZCAINO GOMEZ Rosa Maria</cp:lastModifiedBy>
  <cp:revision>18</cp:revision>
  <cp:lastPrinted>2016-11-22T15:41:00Z</cp:lastPrinted>
  <dcterms:created xsi:type="dcterms:W3CDTF">2025-09-29T10:22:00Z</dcterms:created>
  <dcterms:modified xsi:type="dcterms:W3CDTF">2025-09-29T11:28:00Z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20b52df0,6dff2405,e30e138,fb361b9,4dca7b95,3be9e3e9,1b2265c6,9a6d142,30ba1c33,33c8e330,520b9971,2fe87389,6fe36610,4aad35ae,39515dad,71a5a638,58072cab,e6be5b1,53f9eb0f,4e8b32ce,1512ce62</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2025-08-18T14:04:49Z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3435d8e7-9e7b-4661-8e0b-4d301c636879</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