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815738" w14:paraId="78AE46C5" w14:textId="77777777" w:rsidTr="00EB4E9C">
        <w:tc>
          <w:tcPr>
            <w:tcW w:w="6522" w:type="dxa"/>
          </w:tcPr>
          <w:p w14:paraId="1DC1B137" w14:textId="77777777" w:rsidR="00DC3802" w:rsidRPr="00AC2883" w:rsidRDefault="00CA7BA1" w:rsidP="00AC2883">
            <w:r>
              <w:rPr>
                <w:noProof/>
              </w:rPr>
              <w:drawing>
                <wp:inline distT="0" distB="0" distL="0" distR="0" wp14:anchorId="472137D6" wp14:editId="6067EB86">
                  <wp:extent cx="933450" cy="266700"/>
                  <wp:effectExtent l="0" t="0" r="0" b="0"/>
                  <wp:docPr id="1613879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79380"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933450" cy="266700"/>
                          </a:xfrm>
                          <a:prstGeom prst="rect">
                            <a:avLst/>
                          </a:prstGeom>
                        </pic:spPr>
                      </pic:pic>
                    </a:graphicData>
                  </a:graphic>
                </wp:inline>
              </w:drawing>
            </w:r>
          </w:p>
        </w:tc>
        <w:tc>
          <w:tcPr>
            <w:tcW w:w="3117" w:type="dxa"/>
          </w:tcPr>
          <w:p w14:paraId="2AB83AA3" w14:textId="77777777" w:rsidR="00DC3802" w:rsidRPr="007C1D92" w:rsidRDefault="00DC3802" w:rsidP="00AC2883">
            <w:pPr>
              <w:pStyle w:val="Lettrine"/>
            </w:pPr>
            <w:r>
              <w:t>G</w:t>
            </w:r>
          </w:p>
        </w:tc>
      </w:tr>
      <w:tr w:rsidR="00DC3802" w:rsidRPr="00DA4973" w14:paraId="50FB3724" w14:textId="77777777" w:rsidTr="00645CA8">
        <w:trPr>
          <w:trHeight w:val="219"/>
        </w:trPr>
        <w:tc>
          <w:tcPr>
            <w:tcW w:w="6522" w:type="dxa"/>
          </w:tcPr>
          <w:p w14:paraId="50DDDF50" w14:textId="77777777" w:rsidR="00DC3802" w:rsidRPr="00AC2883" w:rsidRDefault="00DC3802" w:rsidP="00AC2883">
            <w:pPr>
              <w:pStyle w:val="upove"/>
            </w:pPr>
            <w:r>
              <w:t>Internationaler Verband zum Schutz von Pflanzenzüchtungen</w:t>
            </w:r>
          </w:p>
        </w:tc>
        <w:tc>
          <w:tcPr>
            <w:tcW w:w="3117" w:type="dxa"/>
          </w:tcPr>
          <w:p w14:paraId="6ACCE1B1" w14:textId="77777777" w:rsidR="00DC3802" w:rsidRPr="00DA4973" w:rsidRDefault="00DC3802" w:rsidP="00DA4973"/>
        </w:tc>
      </w:tr>
    </w:tbl>
    <w:p w14:paraId="507F3306" w14:textId="77777777" w:rsidR="00DC3802" w:rsidRDefault="00DC3802" w:rsidP="00DC3802"/>
    <w:p w14:paraId="3AD549F1" w14:textId="77777777" w:rsidR="00DA4973" w:rsidRPr="00365DC1" w:rsidRDefault="00DA4973" w:rsidP="00DC3802"/>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EB4E9C" w:rsidRPr="00C5280D" w14:paraId="3D3CE3D1" w14:textId="77777777" w:rsidTr="00EB4E9C">
        <w:tc>
          <w:tcPr>
            <w:tcW w:w="6512" w:type="dxa"/>
          </w:tcPr>
          <w:p w14:paraId="23827772" w14:textId="77777777" w:rsidR="00EB4E9C" w:rsidRPr="00AF23E2" w:rsidRDefault="00A3365A" w:rsidP="00AC2883">
            <w:pPr>
              <w:pStyle w:val="Sessiontc"/>
              <w:spacing w:line="240" w:lineRule="auto"/>
            </w:pPr>
            <w:r w:rsidRPr="00AF23E2">
              <w:t>Der Rat</w:t>
            </w:r>
          </w:p>
          <w:p w14:paraId="5F2D2289" w14:textId="77777777" w:rsidR="0083359E" w:rsidRPr="00AF23E2" w:rsidRDefault="00A3365A" w:rsidP="0051361E">
            <w:pPr>
              <w:pStyle w:val="Sessiontcplacedate"/>
            </w:pPr>
            <w:r w:rsidRPr="00AF23E2">
              <w:t>Neunundfünfzigste ordentliche Tagung</w:t>
            </w:r>
          </w:p>
          <w:p w14:paraId="6192BE9B" w14:textId="77777777" w:rsidR="00EB4E9C" w:rsidRPr="00AF23E2" w:rsidRDefault="00EB4E9C" w:rsidP="00E364BF">
            <w:pPr>
              <w:pStyle w:val="Sessiontcplacedate"/>
              <w:rPr>
                <w:sz w:val="22"/>
              </w:rPr>
            </w:pPr>
            <w:r w:rsidRPr="00AF23E2">
              <w:t>Genf, 24. Oktober 2025</w:t>
            </w:r>
          </w:p>
        </w:tc>
        <w:tc>
          <w:tcPr>
            <w:tcW w:w="3127" w:type="dxa"/>
          </w:tcPr>
          <w:p w14:paraId="55A71C2B" w14:textId="2705C7F5" w:rsidR="00EB4E9C" w:rsidRPr="00AF23E2" w:rsidRDefault="004B69D6" w:rsidP="003C7FBE">
            <w:pPr>
              <w:pStyle w:val="Doccode"/>
            </w:pPr>
            <w:r w:rsidRPr="00AF23E2">
              <w:t>C/59/15</w:t>
            </w:r>
          </w:p>
          <w:p w14:paraId="06F091FD" w14:textId="77777777" w:rsidR="00EB4E9C" w:rsidRPr="00AF23E2" w:rsidRDefault="00EB4E9C" w:rsidP="003C7FBE">
            <w:pPr>
              <w:pStyle w:val="Docoriginal"/>
            </w:pPr>
            <w:r w:rsidRPr="00AF23E2">
              <w:t>Original:</w:t>
            </w:r>
            <w:r w:rsidRPr="00AF23E2">
              <w:rPr>
                <w:b w:val="0"/>
                <w:spacing w:val="0"/>
              </w:rPr>
              <w:t xml:space="preserve"> Englisch</w:t>
            </w:r>
          </w:p>
          <w:p w14:paraId="561D4DC2" w14:textId="71FAF837" w:rsidR="00EB4E9C" w:rsidRPr="007C1D92" w:rsidRDefault="00EB4E9C" w:rsidP="00E364BF">
            <w:pPr>
              <w:pStyle w:val="Docoriginal"/>
            </w:pPr>
            <w:r w:rsidRPr="00AF23E2">
              <w:t>Datum:</w:t>
            </w:r>
            <w:r w:rsidRPr="00AF23E2">
              <w:rPr>
                <w:b w:val="0"/>
                <w:spacing w:val="0"/>
              </w:rPr>
              <w:t xml:space="preserve">  </w:t>
            </w:r>
            <w:r w:rsidR="00AF23E2" w:rsidRPr="00AF23E2">
              <w:rPr>
                <w:b w:val="0"/>
                <w:spacing w:val="0"/>
              </w:rPr>
              <w:t>19. September</w:t>
            </w:r>
            <w:r w:rsidRPr="00AF23E2">
              <w:rPr>
                <w:b w:val="0"/>
                <w:spacing w:val="0"/>
              </w:rPr>
              <w:t xml:space="preserve"> 2025</w:t>
            </w:r>
          </w:p>
        </w:tc>
      </w:tr>
    </w:tbl>
    <w:p w14:paraId="45BE6E2D" w14:textId="5181A7A4" w:rsidR="004B69D6" w:rsidRPr="006A644A" w:rsidRDefault="004B69D6" w:rsidP="004B69D6">
      <w:pPr>
        <w:pStyle w:val="Titleofdoc0"/>
      </w:pPr>
      <w:r>
        <w:t>UPOV</w:t>
      </w:r>
      <w:r w:rsidR="0051187F">
        <w:t>-</w:t>
      </w:r>
      <w:r>
        <w:t>ERKLÄRUNG ZUR RISIKOBEREITSCHAFT</w:t>
      </w:r>
    </w:p>
    <w:p w14:paraId="359586C5" w14:textId="77777777" w:rsidR="004B69D6" w:rsidRPr="006A644A" w:rsidRDefault="004B69D6" w:rsidP="004B69D6">
      <w:pPr>
        <w:pStyle w:val="preparedby1"/>
        <w:jc w:val="left"/>
      </w:pPr>
      <w:r>
        <w:t>vom Verbandsbüro erstellt</w:t>
      </w:r>
    </w:p>
    <w:p w14:paraId="446005EA" w14:textId="77777777" w:rsidR="004B69D6" w:rsidRPr="006A644A" w:rsidRDefault="004B69D6" w:rsidP="004B69D6">
      <w:pPr>
        <w:pStyle w:val="Disclaimer"/>
      </w:pPr>
      <w:r>
        <w:t>Haftungsausschluss: dieses Dokument gibt nicht die Grundsätze oder eine Anleitung der UPOV wieder</w:t>
      </w:r>
    </w:p>
    <w:p w14:paraId="7E026166" w14:textId="0E7E27F8" w:rsidR="004B69D6" w:rsidRDefault="004B69D6" w:rsidP="004B69D6">
      <w:pPr>
        <w:rPr>
          <w:color w:val="000000" w:themeColor="text1"/>
        </w:rPr>
      </w:pPr>
      <w:r>
        <w:rPr>
          <w:color w:val="000000" w:themeColor="text1"/>
        </w:rPr>
        <w:fldChar w:fldCharType="begin"/>
      </w:r>
      <w:r>
        <w:rPr>
          <w:color w:val="000000" w:themeColor="text1"/>
        </w:rPr>
        <w:instrText xml:space="preserve"> AUTONUM  </w:instrText>
      </w:r>
      <w:r>
        <w:rPr>
          <w:color w:val="000000" w:themeColor="text1"/>
        </w:rPr>
        <w:fldChar w:fldCharType="end"/>
      </w:r>
      <w:r>
        <w:rPr>
          <w:color w:val="000000" w:themeColor="text1"/>
        </w:rPr>
        <w:tab/>
        <w:t xml:space="preserve">Die UPOV verfolgt einen strukturierten Ansatz für das Risikomanagement, der auf dem Risikomanagementsystem und den Verfahren der WIPO basiert.  </w:t>
      </w:r>
      <w:r>
        <w:t xml:space="preserve">Diese Erklärung zur Risikobereitschaft legt dar, wie die UPOV bei der Umsetzung des </w:t>
      </w:r>
      <w:bookmarkStart w:id="0" w:name="_Hlk204010293"/>
      <w:r>
        <w:t>Strategischen Geschäftsplans 2026–2029 (SBP) mit Risiken umgehen wird.</w:t>
      </w:r>
    </w:p>
    <w:bookmarkEnd w:id="0"/>
    <w:p w14:paraId="3C5F7194" w14:textId="77777777" w:rsidR="004B69D6" w:rsidRDefault="004B69D6" w:rsidP="004B69D6"/>
    <w:p w14:paraId="3495076B" w14:textId="06AF624D" w:rsidR="004B69D6" w:rsidRDefault="004B69D6" w:rsidP="004B69D6">
      <w:r>
        <w:fldChar w:fldCharType="begin"/>
      </w:r>
      <w:r>
        <w:instrText xml:space="preserve"> AUTONUM  </w:instrText>
      </w:r>
      <w:r>
        <w:fldChar w:fldCharType="end"/>
      </w:r>
      <w:r>
        <w:tab/>
        <w:t>Die Ausrichtung der Erklärung zur Risikobereitschaft einer Organisation an ihrer Strategie ist eine bewährte Praxis gemäß den Richtlinien des Hochrangigen Ausschusses der Vereinten Nationen für Managementfragen, Risikomanagement und den Leitlinien des Forums für Erklärung zur Risikobereitschaft</w:t>
      </w:r>
      <w:r>
        <w:rPr>
          <w:rStyle w:val="FootnoteReference"/>
        </w:rPr>
        <w:footnoteReference w:id="2"/>
      </w:r>
      <w:r>
        <w:t xml:space="preserve"> und des COSO (Committee of Sponsoring Organizations of the Treadway Commission).</w:t>
      </w:r>
      <w:r>
        <w:rPr>
          <w:rStyle w:val="FootnoteReference"/>
        </w:rPr>
        <w:footnoteReference w:id="3"/>
      </w:r>
    </w:p>
    <w:p w14:paraId="544A66BE" w14:textId="77777777" w:rsidR="004B69D6" w:rsidRDefault="004B69D6" w:rsidP="004B69D6"/>
    <w:p w14:paraId="45545CD1" w14:textId="32D3C5E7" w:rsidR="004B69D6" w:rsidRDefault="004B69D6" w:rsidP="004B69D6">
      <w:r>
        <w:fldChar w:fldCharType="begin"/>
      </w:r>
      <w:r>
        <w:instrText xml:space="preserve"> AUTONUM  </w:instrText>
      </w:r>
      <w:r>
        <w:fldChar w:fldCharType="end"/>
      </w:r>
      <w:r>
        <w:tab/>
        <w:t xml:space="preserve">Diese Erklärung zur Risikobereitschaft ist daher nach den drei strategischen Säulen und dem Fundament des UPOV-Strategiehauses gegliedert.  Es definiert die Risikobereitschaft bei der Verfolgung jedes erwarteten Ergebnisses innerhalb des Strategiehauses. </w:t>
      </w:r>
    </w:p>
    <w:p w14:paraId="14E49142" w14:textId="77777777" w:rsidR="004B69D6" w:rsidRDefault="004B69D6" w:rsidP="004B69D6"/>
    <w:p w14:paraId="507996F1" w14:textId="6005127E" w:rsidR="004B69D6" w:rsidRPr="004B69D6" w:rsidRDefault="004B69D6" w:rsidP="004B69D6">
      <w:pPr>
        <w:pStyle w:val="DecisionParagraphs"/>
      </w:pPr>
      <w:r>
        <w:fldChar w:fldCharType="begin"/>
      </w:r>
      <w:r>
        <w:instrText xml:space="preserve"> AUTONUM  </w:instrText>
      </w:r>
      <w:r>
        <w:fldChar w:fldCharType="end"/>
      </w:r>
      <w:r>
        <w:tab/>
        <w:t xml:space="preserve">Der Rat wird ersucht, vorliegendes Dokument zur Kenntnis zu nehmen. </w:t>
      </w:r>
    </w:p>
    <w:p w14:paraId="6EF97996" w14:textId="77777777" w:rsidR="00544581" w:rsidRDefault="00544581">
      <w:pPr>
        <w:jc w:val="left"/>
      </w:pPr>
    </w:p>
    <w:p w14:paraId="73BA6068" w14:textId="77777777" w:rsidR="00050E16" w:rsidRDefault="00050E16" w:rsidP="00050E16"/>
    <w:p w14:paraId="316B87F7" w14:textId="77777777" w:rsidR="004B69D6" w:rsidRPr="00C651CE" w:rsidRDefault="004B69D6" w:rsidP="00050E16"/>
    <w:p w14:paraId="50116BCB" w14:textId="03932222" w:rsidR="009B440E" w:rsidRPr="004C3C12" w:rsidRDefault="00050E16" w:rsidP="00050E16">
      <w:pPr>
        <w:jc w:val="right"/>
      </w:pPr>
      <w:r w:rsidRPr="004C3C12">
        <w:t>[Anlage folgt]</w:t>
      </w:r>
    </w:p>
    <w:p w14:paraId="476127E2" w14:textId="77777777" w:rsidR="00903264" w:rsidRPr="004C3C12" w:rsidRDefault="00903264">
      <w:pPr>
        <w:jc w:val="left"/>
      </w:pPr>
    </w:p>
    <w:p w14:paraId="3E9111AD" w14:textId="77777777" w:rsidR="00F101BE" w:rsidRPr="004C3C12" w:rsidRDefault="00F101BE" w:rsidP="009B440E">
      <w:pPr>
        <w:jc w:val="left"/>
        <w:sectPr w:rsidR="00F101BE" w:rsidRPr="004C3C12" w:rsidSect="00BF6DC1">
          <w:headerReference w:type="default" r:id="rId8"/>
          <w:footerReference w:type="even" r:id="rId9"/>
          <w:footerReference w:type="default" r:id="rId10"/>
          <w:pgSz w:w="11907" w:h="16840" w:code="9"/>
          <w:pgMar w:top="510" w:right="1134" w:bottom="1134" w:left="1134" w:header="510" w:footer="680" w:gutter="0"/>
          <w:cols w:space="720"/>
          <w:titlePg/>
        </w:sectPr>
      </w:pPr>
    </w:p>
    <w:p w14:paraId="2AEA03F8" w14:textId="77E00BFD" w:rsidR="00F101BE" w:rsidRPr="00396C74" w:rsidRDefault="00396C74" w:rsidP="00F101BE">
      <w:pPr>
        <w:spacing w:line="276" w:lineRule="auto"/>
        <w:jc w:val="center"/>
        <w:rPr>
          <w:b/>
          <w:color w:val="000000" w:themeColor="text1"/>
        </w:rPr>
      </w:pPr>
      <w:r w:rsidRPr="00396C74">
        <w:rPr>
          <w:b/>
          <w:color w:val="000000" w:themeColor="text1"/>
        </w:rPr>
        <w:lastRenderedPageBreak/>
        <w:t>INTERNATIONALER VERBAND ZUM SCHUTZ VON PFLANZENZÜCHTUNGEN</w:t>
      </w:r>
    </w:p>
    <w:p w14:paraId="3FFE26AB" w14:textId="77777777" w:rsidR="00175BD4" w:rsidRDefault="00175BD4" w:rsidP="00F101BE">
      <w:pPr>
        <w:spacing w:line="360" w:lineRule="auto"/>
        <w:jc w:val="center"/>
        <w:rPr>
          <w:b/>
          <w:color w:val="000000" w:themeColor="text1"/>
        </w:rPr>
      </w:pPr>
    </w:p>
    <w:p w14:paraId="6EA71011" w14:textId="0DD8E198" w:rsidR="00F101BE" w:rsidRPr="004B65F2" w:rsidRDefault="00175BD4" w:rsidP="00F101BE">
      <w:pPr>
        <w:spacing w:line="360" w:lineRule="auto"/>
        <w:jc w:val="center"/>
        <w:rPr>
          <w:b/>
          <w:color w:val="000000" w:themeColor="text1"/>
        </w:rPr>
      </w:pPr>
      <w:r>
        <w:rPr>
          <w:b/>
          <w:color w:val="000000" w:themeColor="text1"/>
        </w:rPr>
        <w:t>Erklärung zur Risikobereitschaft</w:t>
      </w:r>
    </w:p>
    <w:p w14:paraId="1A204740" w14:textId="77777777" w:rsidR="00F101BE" w:rsidRDefault="00F101BE" w:rsidP="00F101BE"/>
    <w:p w14:paraId="13A216C3" w14:textId="77777777" w:rsidR="00F101BE" w:rsidRPr="00F101BE" w:rsidRDefault="00F101BE" w:rsidP="00F101BE"/>
    <w:p w14:paraId="635A2B74" w14:textId="30BB47BB" w:rsidR="00F101BE" w:rsidRPr="00F101BE" w:rsidRDefault="00F101BE" w:rsidP="004B65F2">
      <w:pPr>
        <w:pStyle w:val="Heading1"/>
        <w:rPr>
          <w:b w:val="0"/>
        </w:rPr>
      </w:pPr>
      <w:r>
        <w:t>E</w:t>
      </w:r>
      <w:r w:rsidR="00C16112">
        <w:t>inleitung</w:t>
      </w:r>
      <w:r>
        <w:t xml:space="preserve"> </w:t>
      </w:r>
    </w:p>
    <w:p w14:paraId="1541ECBE" w14:textId="0EB27F68" w:rsidR="00F101BE" w:rsidRPr="004B65F2" w:rsidRDefault="00F101BE" w:rsidP="004B65F2">
      <w:pPr>
        <w:pStyle w:val="ONUME"/>
      </w:pPr>
      <w:r>
        <w:t>D</w:t>
      </w:r>
      <w:r w:rsidR="00CE5658">
        <w:t xml:space="preserve">as </w:t>
      </w:r>
      <w:r>
        <w:t xml:space="preserve">Risikomanagementsystem der WIPO, </w:t>
      </w:r>
      <w:r w:rsidR="00CE5658">
        <w:t>das</w:t>
      </w:r>
      <w:r>
        <w:t xml:space="preserve"> die Richtlinie zum Risikomanagement und das Risikohandbuch umfasst, dient als Leitfaden für das Risikomanagement bei der UPOV, um die erwarteten Ergebnisse des Strategischen Geschäftsplans 2026–2029 (SBP) zu erreichen.</w:t>
      </w:r>
    </w:p>
    <w:p w14:paraId="7AF6F556" w14:textId="63F5ECB0" w:rsidR="00F101BE" w:rsidRDefault="00F101BE" w:rsidP="004B65F2">
      <w:pPr>
        <w:pStyle w:val="ONUME"/>
      </w:pPr>
      <w:r>
        <w:t>Die</w:t>
      </w:r>
      <w:r w:rsidR="00841BA9">
        <w:t xml:space="preserve"> vorliegende </w:t>
      </w:r>
      <w:r>
        <w:t>Erklärung zur Risikobereitschaft definiert die Risikobereitschaft der UPOV bei der Verfolgung ihrer Mission, ein wirksames Sortenschutzsystem bereitzustellen und zu fördern, mit dem Ziel, die Entwicklung neuer Pflanzensorten zum Nutzen der Gesellschaft zu begünstigen.</w:t>
      </w:r>
    </w:p>
    <w:p w14:paraId="1D23E235" w14:textId="0AC48D39" w:rsidR="00F101BE" w:rsidRPr="00F101BE" w:rsidRDefault="00F101BE" w:rsidP="004B65F2">
      <w:pPr>
        <w:pStyle w:val="Heading1"/>
      </w:pPr>
      <w:r>
        <w:t>L</w:t>
      </w:r>
      <w:r w:rsidR="00C16112">
        <w:t>eitgedanken</w:t>
      </w:r>
    </w:p>
    <w:p w14:paraId="04A9D30A" w14:textId="78560AE4" w:rsidR="00F101BE" w:rsidRPr="00F101BE" w:rsidRDefault="00F101BE" w:rsidP="004B65F2">
      <w:pPr>
        <w:pStyle w:val="ONUME"/>
      </w:pPr>
      <w:r>
        <w:t xml:space="preserve">Der Ansatz der UPOV zum Risikomanagement orientiert sich an folgenden Grundsätzen: </w:t>
      </w:r>
    </w:p>
    <w:p w14:paraId="0211DA90" w14:textId="1613EA48" w:rsidR="00F101BE" w:rsidRPr="00F101BE" w:rsidRDefault="00F101BE" w:rsidP="004B65F2">
      <w:pPr>
        <w:pStyle w:val="ONUME"/>
        <w:numPr>
          <w:ilvl w:val="0"/>
          <w:numId w:val="3"/>
        </w:numPr>
        <w:spacing w:after="120"/>
      </w:pPr>
      <w:r>
        <w:t>eine strukturierte, risikobewusste Kultur</w:t>
      </w:r>
      <w:r w:rsidR="00175BD4">
        <w:t>;</w:t>
      </w:r>
    </w:p>
    <w:p w14:paraId="01FA7512" w14:textId="0EF95785" w:rsidR="00F101BE" w:rsidRPr="00F101BE" w:rsidRDefault="00534BA4" w:rsidP="00841BA9">
      <w:pPr>
        <w:pStyle w:val="ONUME"/>
        <w:numPr>
          <w:ilvl w:val="0"/>
          <w:numId w:val="3"/>
        </w:numPr>
        <w:spacing w:after="120"/>
        <w:ind w:left="1134" w:hanging="567"/>
      </w:pPr>
      <w:r>
        <w:t xml:space="preserve">eine </w:t>
      </w:r>
      <w:r w:rsidR="00F101BE">
        <w:t>gemeinsame Verantwortung für Risiken durch den Rat, die UPOV-Mitglieder und das Büro des Verbandes</w:t>
      </w:r>
      <w:r w:rsidR="00175BD4">
        <w:t>;</w:t>
      </w:r>
    </w:p>
    <w:p w14:paraId="0069F435" w14:textId="0BF5000E" w:rsidR="00F101BE" w:rsidRPr="00F101BE" w:rsidRDefault="00534BA4" w:rsidP="004B65F2">
      <w:pPr>
        <w:pStyle w:val="ONUME"/>
        <w:numPr>
          <w:ilvl w:val="0"/>
          <w:numId w:val="3"/>
        </w:numPr>
        <w:spacing w:after="120"/>
      </w:pPr>
      <w:r>
        <w:t xml:space="preserve">eine </w:t>
      </w:r>
      <w:r w:rsidR="00F101BE">
        <w:t>strategische Ausrichtung auf die erwarteten Ergebnisse</w:t>
      </w:r>
      <w:r w:rsidR="00175BD4">
        <w:t>;</w:t>
      </w:r>
      <w:r w:rsidR="00F101BE">
        <w:t xml:space="preserve"> und</w:t>
      </w:r>
    </w:p>
    <w:p w14:paraId="7BCA565C" w14:textId="232579EB" w:rsidR="00F101BE" w:rsidRPr="00F101BE" w:rsidRDefault="00534BA4" w:rsidP="004B65F2">
      <w:pPr>
        <w:pStyle w:val="ONUME"/>
        <w:numPr>
          <w:ilvl w:val="0"/>
          <w:numId w:val="3"/>
        </w:numPr>
      </w:pPr>
      <w:r>
        <w:t xml:space="preserve">eine </w:t>
      </w:r>
      <w:r w:rsidR="00F101BE">
        <w:t>transparente, risikobewusste Entscheidungsfindung und kontinuierliches Lernen.</w:t>
      </w:r>
    </w:p>
    <w:p w14:paraId="1C5FFA15" w14:textId="715D004F" w:rsidR="00F101BE" w:rsidRPr="00F101BE" w:rsidRDefault="00F101BE" w:rsidP="004B65F2">
      <w:pPr>
        <w:pStyle w:val="Heading1"/>
      </w:pPr>
      <w:r>
        <w:t>B</w:t>
      </w:r>
      <w:r w:rsidR="00C16112">
        <w:t>egriffbestimmungen</w:t>
      </w:r>
      <w:r>
        <w:t xml:space="preserve"> </w:t>
      </w:r>
    </w:p>
    <w:p w14:paraId="2909A69C" w14:textId="64EE3014" w:rsidR="00F101BE" w:rsidRPr="00F101BE" w:rsidRDefault="00F101BE" w:rsidP="004B65F2">
      <w:pPr>
        <w:pStyle w:val="ONUME"/>
      </w:pPr>
      <w:r>
        <w:rPr>
          <w:b/>
          <w:bCs/>
        </w:rPr>
        <w:t>Risiko</w:t>
      </w:r>
      <w:r>
        <w:t xml:space="preserve">: Eine Unsicherheit, deren Eintreten die Erreichung der strategischen, finanziellen oder </w:t>
      </w:r>
      <w:r w:rsidR="00534BA4" w:rsidRPr="00534BA4">
        <w:t>projektbezogenen Ziele</w:t>
      </w:r>
      <w:r w:rsidR="00534BA4">
        <w:t xml:space="preserve"> </w:t>
      </w:r>
      <w:r>
        <w:t>der UPOV beeinträchtigen würde.</w:t>
      </w:r>
    </w:p>
    <w:p w14:paraId="7249843D" w14:textId="0967815E" w:rsidR="00F101BE" w:rsidRPr="00F101BE" w:rsidRDefault="00F101BE" w:rsidP="004B65F2">
      <w:pPr>
        <w:pStyle w:val="ONUME"/>
      </w:pPr>
      <w:r>
        <w:rPr>
          <w:b/>
          <w:bCs/>
        </w:rPr>
        <w:t>Risikomanagement</w:t>
      </w:r>
      <w:r>
        <w:t>: Ein koordinierter Ansatz zur Bewertung und Bewältigung aller Risiken.</w:t>
      </w:r>
    </w:p>
    <w:p w14:paraId="096302A3" w14:textId="77777777" w:rsidR="00F101BE" w:rsidRPr="00F101BE" w:rsidRDefault="00F101BE" w:rsidP="004B65F2">
      <w:pPr>
        <w:pStyle w:val="ONUME"/>
      </w:pPr>
      <w:r>
        <w:rPr>
          <w:b/>
          <w:bCs/>
        </w:rPr>
        <w:t>Risikobereitschaft</w:t>
      </w:r>
      <w:r>
        <w:t xml:space="preserve">: Das Ausmaß des Restrisikos, das die UPOV auf allgemeiner Ebene zur Erreichung ihrer erwarteten Ergebnisse und damit ihrer strategischen Säulen zu tragen bereit ist. </w:t>
      </w:r>
    </w:p>
    <w:p w14:paraId="3668DF0A" w14:textId="06CC2BED" w:rsidR="00F101BE" w:rsidRPr="00F101BE" w:rsidRDefault="00F101BE" w:rsidP="004B65F2">
      <w:pPr>
        <w:pStyle w:val="ONUME"/>
      </w:pPr>
      <w:r>
        <w:rPr>
          <w:b/>
          <w:bCs/>
        </w:rPr>
        <w:t>Risikokapazität</w:t>
      </w:r>
      <w:r>
        <w:t xml:space="preserve">: Die Höhe des </w:t>
      </w:r>
      <w:r>
        <w:rPr>
          <w:i/>
          <w:iCs/>
        </w:rPr>
        <w:t>Restrisikos</w:t>
      </w:r>
      <w:r>
        <w:rPr>
          <w:rStyle w:val="FootnoteReference"/>
        </w:rPr>
        <w:footnoteReference w:id="4"/>
      </w:r>
      <w:r>
        <w:t xml:space="preserve">, mit dem eine Organisation umgehen kann und dennoch die Leistungserwartungen im Laufe der Zeit erfüllt. </w:t>
      </w:r>
      <w:r w:rsidR="00FE7B0D">
        <w:t xml:space="preserve"> </w:t>
      </w:r>
    </w:p>
    <w:p w14:paraId="70414278" w14:textId="6240B5EB" w:rsidR="00F101BE" w:rsidRDefault="00F101BE" w:rsidP="004B65F2">
      <w:pPr>
        <w:pStyle w:val="ONUME"/>
      </w:pPr>
      <w:r>
        <w:rPr>
          <w:b/>
        </w:rPr>
        <w:t>Risikouniversum:</w:t>
      </w:r>
      <w:r>
        <w:t xml:space="preserve"> </w:t>
      </w:r>
      <w:r w:rsidR="00FE7B0D">
        <w:t>D</w:t>
      </w:r>
      <w:r>
        <w:t>ie angemessenen äußeren Grenzen möglicher Leistungsergebnisse, wenn Risiken auftreten.  Das Risikouniversum wird durch die äußeren Grenzen möglicher Ergebnisse ausgedrückt, wie in Abbildung 1 dargestellt.</w:t>
      </w:r>
    </w:p>
    <w:p w14:paraId="4A295170" w14:textId="44C67F47" w:rsidR="00F101BE" w:rsidRPr="00175BD4" w:rsidRDefault="00175BD4" w:rsidP="00175BD4">
      <w:pPr>
        <w:keepNext/>
        <w:spacing w:after="120"/>
        <w:jc w:val="center"/>
        <w:rPr>
          <w:b/>
          <w:bCs/>
        </w:rPr>
      </w:pPr>
      <w:r w:rsidRPr="00175BD4">
        <w:rPr>
          <w:b/>
          <w:bCs/>
        </w:rPr>
        <w:t xml:space="preserve">Abbildung </w:t>
      </w:r>
      <w:r w:rsidRPr="00175BD4">
        <w:rPr>
          <w:b/>
          <w:bCs/>
        </w:rPr>
        <w:fldChar w:fldCharType="begin"/>
      </w:r>
      <w:r w:rsidRPr="00175BD4">
        <w:rPr>
          <w:b/>
          <w:bCs/>
          <w:noProof/>
        </w:rPr>
        <w:instrText xml:space="preserve"> SEQ Figure \* ARABIC </w:instrText>
      </w:r>
      <w:r w:rsidRPr="00175BD4">
        <w:rPr>
          <w:b/>
          <w:bCs/>
        </w:rPr>
        <w:fldChar w:fldCharType="separate"/>
      </w:r>
      <w:r w:rsidRPr="00175BD4">
        <w:rPr>
          <w:b/>
          <w:bCs/>
          <w:noProof/>
        </w:rPr>
        <w:t>1</w:t>
      </w:r>
      <w:r w:rsidRPr="00175BD4">
        <w:rPr>
          <w:b/>
          <w:bCs/>
        </w:rPr>
        <w:fldChar w:fldCharType="end"/>
      </w:r>
      <w:r w:rsidRPr="00175BD4">
        <w:rPr>
          <w:b/>
          <w:bCs/>
        </w:rPr>
        <w:t xml:space="preserve"> - Risikouniversum, Kapazität und Risikobereitschaft</w:t>
      </w:r>
    </w:p>
    <w:p w14:paraId="62643C36" w14:textId="4CBB8A32" w:rsidR="00F101BE" w:rsidRPr="00F101BE" w:rsidRDefault="00BB1928" w:rsidP="00F101BE">
      <w:pPr>
        <w:jc w:val="center"/>
      </w:pPr>
      <w:r w:rsidRPr="00BB1928">
        <w:rPr>
          <w:noProof/>
        </w:rPr>
        <w:drawing>
          <wp:inline distT="0" distB="0" distL="0" distR="0" wp14:anchorId="2186B1E9" wp14:editId="2A8C581D">
            <wp:extent cx="4320388" cy="1807210"/>
            <wp:effectExtent l="0" t="0" r="0" b="0"/>
            <wp:docPr id="20202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t="7711" b="30128"/>
                    <a:stretch>
                      <a:fillRect/>
                    </a:stretch>
                  </pic:blipFill>
                  <pic:spPr bwMode="auto">
                    <a:xfrm>
                      <a:off x="0" y="0"/>
                      <a:ext cx="4326811" cy="1809897"/>
                    </a:xfrm>
                    <a:prstGeom prst="rect">
                      <a:avLst/>
                    </a:prstGeom>
                    <a:noFill/>
                    <a:ln>
                      <a:noFill/>
                    </a:ln>
                    <a:extLst>
                      <a:ext uri="{53640926-AAD7-44D8-BBD7-CCE9431645EC}">
                        <a14:shadowObscured xmlns:a14="http://schemas.microsoft.com/office/drawing/2010/main"/>
                      </a:ext>
                    </a:extLst>
                  </pic:spPr>
                </pic:pic>
              </a:graphicData>
            </a:graphic>
          </wp:inline>
        </w:drawing>
      </w:r>
    </w:p>
    <w:p w14:paraId="129FEC82" w14:textId="77777777" w:rsidR="00F101BE" w:rsidRPr="00F101BE" w:rsidRDefault="00F101BE" w:rsidP="00BF6DC1">
      <w:pPr>
        <w:pStyle w:val="ONUME"/>
        <w:keepNext/>
      </w:pPr>
      <w:r>
        <w:lastRenderedPageBreak/>
        <w:t>Folgende drei Risikobereitschaftsstufen werden verwendet:</w:t>
      </w:r>
    </w:p>
    <w:p w14:paraId="1C40F4E5" w14:textId="17E70099" w:rsidR="00F101BE" w:rsidRPr="00F101BE" w:rsidRDefault="00FE7B0D" w:rsidP="004B65F2">
      <w:pPr>
        <w:pStyle w:val="ONUME"/>
        <w:numPr>
          <w:ilvl w:val="0"/>
          <w:numId w:val="4"/>
        </w:numPr>
        <w:spacing w:after="120"/>
        <w:ind w:left="924" w:hanging="357"/>
        <w:rPr>
          <w:color w:val="000000" w:themeColor="text1"/>
        </w:rPr>
      </w:pPr>
      <w:r>
        <w:rPr>
          <w:b/>
          <w:color w:val="76923C" w:themeColor="accent3" w:themeShade="BF"/>
        </w:rPr>
        <w:t>n</w:t>
      </w:r>
      <w:r w:rsidR="00F101BE">
        <w:rPr>
          <w:b/>
          <w:color w:val="76923C" w:themeColor="accent3" w:themeShade="BF"/>
        </w:rPr>
        <w:t>iedrig</w:t>
      </w:r>
      <w:r w:rsidR="00F101BE">
        <w:t xml:space="preserve"> – Erwartete Ergebnisse, bei denen die UPOV Risiken vermeidet oder Maßnahmen ergreift, um die Wahrscheinlichkeit negativer Kosten und Auswirkungen zu minimieren bzw. zu beseitigen.</w:t>
      </w:r>
      <w:r w:rsidR="00F101BE">
        <w:rPr>
          <w:color w:val="000000" w:themeColor="text1"/>
        </w:rPr>
        <w:t xml:space="preserve"> </w:t>
      </w:r>
    </w:p>
    <w:p w14:paraId="02FFBB7A" w14:textId="0F935624" w:rsidR="00F101BE" w:rsidRPr="00F101BE" w:rsidRDefault="00FE7B0D" w:rsidP="004B65F2">
      <w:pPr>
        <w:pStyle w:val="ONUME"/>
        <w:numPr>
          <w:ilvl w:val="0"/>
          <w:numId w:val="4"/>
        </w:numPr>
        <w:spacing w:after="120"/>
        <w:ind w:left="924" w:hanging="357"/>
        <w:rPr>
          <w:color w:val="000000" w:themeColor="text1"/>
        </w:rPr>
      </w:pPr>
      <w:r>
        <w:rPr>
          <w:b/>
          <w:color w:val="4BACC6" w:themeColor="accent5"/>
        </w:rPr>
        <w:t>m</w:t>
      </w:r>
      <w:r w:rsidR="00857124">
        <w:rPr>
          <w:b/>
          <w:color w:val="4BACC6" w:themeColor="accent5"/>
        </w:rPr>
        <w:t>ittel</w:t>
      </w:r>
      <w:r w:rsidR="00857124">
        <w:t xml:space="preserve"> – Erwartete Ergebnisbereiche, in denen ein Gleichgewicht zwischen potenziellen positiven Vorteilen und negativen Kosten besteht.</w:t>
      </w:r>
    </w:p>
    <w:p w14:paraId="27C7F955" w14:textId="2BD54B20" w:rsidR="00F101BE" w:rsidRPr="00F101BE" w:rsidRDefault="00FE7B0D" w:rsidP="004B65F2">
      <w:pPr>
        <w:pStyle w:val="ONUME"/>
        <w:numPr>
          <w:ilvl w:val="0"/>
          <w:numId w:val="4"/>
        </w:numPr>
        <w:rPr>
          <w:b/>
        </w:rPr>
      </w:pPr>
      <w:r>
        <w:rPr>
          <w:b/>
          <w:color w:val="5F497A" w:themeColor="accent4" w:themeShade="BF"/>
        </w:rPr>
        <w:t>ho</w:t>
      </w:r>
      <w:r w:rsidR="00F101BE">
        <w:rPr>
          <w:b/>
          <w:color w:val="5F497A" w:themeColor="accent4" w:themeShade="BF"/>
        </w:rPr>
        <w:t>ch</w:t>
      </w:r>
      <w:r w:rsidR="00F101BE">
        <w:rPr>
          <w:color w:val="5F497A" w:themeColor="accent4" w:themeShade="BF"/>
        </w:rPr>
        <w:t xml:space="preserve"> </w:t>
      </w:r>
      <w:r w:rsidR="00F101BE">
        <w:t xml:space="preserve">– Erwartete </w:t>
      </w:r>
      <w:r w:rsidR="009C6622" w:rsidRPr="009C6622">
        <w:t>Ergebnisbereiche</w:t>
      </w:r>
      <w:r w:rsidR="00F101BE">
        <w:t xml:space="preserve">, bei denen die UPOV kalkulierte Risiken eingeht, da die potenziellen Vorteile die möglichen Kosten oder Nachteile überwiegen. </w:t>
      </w:r>
    </w:p>
    <w:p w14:paraId="3DB50CB2" w14:textId="35AE1142" w:rsidR="00F101BE" w:rsidRPr="00F101BE" w:rsidRDefault="00F101BE" w:rsidP="004B65F2">
      <w:pPr>
        <w:pStyle w:val="Heading1"/>
      </w:pPr>
      <w:r>
        <w:t>S</w:t>
      </w:r>
      <w:r w:rsidR="00C16112">
        <w:t xml:space="preserve">trategische Umsetzung der </w:t>
      </w:r>
      <w:r>
        <w:t>R</w:t>
      </w:r>
      <w:r w:rsidR="00C16112">
        <w:t xml:space="preserve">isikobereitschaft im Rahmen des </w:t>
      </w:r>
      <w:r>
        <w:t>SBP</w:t>
      </w:r>
    </w:p>
    <w:p w14:paraId="65B4D8D6" w14:textId="5E2B7F8D" w:rsidR="00F101BE" w:rsidRPr="00F101BE" w:rsidRDefault="00F101BE" w:rsidP="004B65F2">
      <w:pPr>
        <w:pStyle w:val="ONUME"/>
      </w:pPr>
      <w:r>
        <w:t>Das Strategiehaus definiert die Mission der UPOV, ihre strategischen Säulen und erwarteten Ergebnisse, wobei jedem erwarteten Ergebnis spezifische Risikobereitschaft</w:t>
      </w:r>
      <w:r w:rsidR="00DF2271">
        <w:t>en</w:t>
      </w:r>
      <w:r>
        <w:t xml:space="preserve"> zugewiesen </w:t>
      </w:r>
      <w:r w:rsidR="00DF2271">
        <w:t>werden</w:t>
      </w:r>
      <w:r>
        <w:t xml:space="preserve"> (Abbildung 2). </w:t>
      </w:r>
    </w:p>
    <w:p w14:paraId="65EF7137" w14:textId="78FFB6BE" w:rsidR="00F101BE" w:rsidRDefault="00F101BE" w:rsidP="004B65F2">
      <w:pPr>
        <w:pStyle w:val="ONUME"/>
      </w:pPr>
      <w:r>
        <w:t xml:space="preserve">Die allgemeine Risikobereitschaft der UPOV ist </w:t>
      </w:r>
      <w:r>
        <w:rPr>
          <w:b/>
          <w:color w:val="4BACC6" w:themeColor="accent5"/>
        </w:rPr>
        <w:t>mittel</w:t>
      </w:r>
      <w:r>
        <w:t xml:space="preserve">.  </w:t>
      </w:r>
      <w:r w:rsidR="00944D67">
        <w:t xml:space="preserve">Bei der Durchführung von </w:t>
      </w:r>
      <w:r>
        <w:t xml:space="preserve">Arbeiten zur Erreichung bestimmter erwarteter Ergebnisse, kann eine geringere oder höhere Risikobereitschaft angestrebt werden.  Mitunter können die Arbeiten </w:t>
      </w:r>
      <w:r w:rsidR="00944D67">
        <w:t xml:space="preserve">der UPOV </w:t>
      </w:r>
      <w:r>
        <w:t xml:space="preserve">zu mehr als einem erwarteten Ergebnis beitragen; sollten die Risikobereitschaften unterschiedlich sein, </w:t>
      </w:r>
      <w:r w:rsidR="00944D67">
        <w:t>hat</w:t>
      </w:r>
      <w:r>
        <w:t xml:space="preserve"> die geringere Risikobereitschaft </w:t>
      </w:r>
      <w:r w:rsidR="00944D67">
        <w:t xml:space="preserve">den </w:t>
      </w:r>
      <w:r>
        <w:t xml:space="preserve">Vorrang. </w:t>
      </w:r>
    </w:p>
    <w:p w14:paraId="0592819D" w14:textId="17C0E91E" w:rsidR="00E96A50" w:rsidRPr="00E96A50" w:rsidRDefault="00E96A50" w:rsidP="00E96A50">
      <w:pPr>
        <w:spacing w:after="120"/>
        <w:jc w:val="center"/>
        <w:rPr>
          <w:b/>
          <w:bCs/>
        </w:rPr>
      </w:pPr>
      <w:r w:rsidRPr="00E96A50">
        <w:rPr>
          <w:b/>
          <w:bCs/>
        </w:rPr>
        <w:t>Abbildung 2 – UPOV-Strategiehaus mit Risikobereitschaft</w:t>
      </w:r>
    </w:p>
    <w:p w14:paraId="2DD74544" w14:textId="0CBF1BE3" w:rsidR="00F101BE" w:rsidRPr="00F101BE" w:rsidRDefault="00AF23E2" w:rsidP="004B65F2">
      <w:pPr>
        <w:pStyle w:val="ONUME"/>
        <w:keepNext/>
        <w:numPr>
          <w:ilvl w:val="0"/>
          <w:numId w:val="0"/>
        </w:numPr>
      </w:pPr>
      <w:r>
        <w:rPr>
          <w:noProof/>
        </w:rPr>
        <w:drawing>
          <wp:inline distT="0" distB="0" distL="0" distR="0" wp14:anchorId="30972E11" wp14:editId="28BEB82E">
            <wp:extent cx="6174000" cy="4039200"/>
            <wp:effectExtent l="0" t="0" r="0" b="0"/>
            <wp:docPr id="1528255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74000" cy="4039200"/>
                    </a:xfrm>
                    <a:prstGeom prst="rect">
                      <a:avLst/>
                    </a:prstGeom>
                    <a:noFill/>
                  </pic:spPr>
                </pic:pic>
              </a:graphicData>
            </a:graphic>
          </wp:inline>
        </w:drawing>
      </w:r>
    </w:p>
    <w:p w14:paraId="41B69A6A" w14:textId="582B1FD6" w:rsidR="00F101BE" w:rsidRPr="00F101BE" w:rsidRDefault="00F101BE" w:rsidP="004B65F2">
      <w:pPr>
        <w:pStyle w:val="ONUME"/>
        <w:rPr>
          <w:lang w:eastAsia="en-US"/>
        </w:rPr>
      </w:pPr>
      <w:r>
        <w:t xml:space="preserve">Die folgenden Beispiele </w:t>
      </w:r>
      <w:r w:rsidR="009F1131">
        <w:t>dienen zur V</w:t>
      </w:r>
      <w:r>
        <w:t>eranschaulich</w:t>
      </w:r>
      <w:r w:rsidR="009F1131">
        <w:t>ung</w:t>
      </w:r>
      <w:r>
        <w:t xml:space="preserve">, wie die Risikobereitschaft in der Praxis umgesetzt wird: </w:t>
      </w:r>
    </w:p>
    <w:p w14:paraId="154EAB81" w14:textId="1EDEB072" w:rsidR="00F101BE" w:rsidRPr="00F101BE" w:rsidRDefault="00F101BE" w:rsidP="004B65F2">
      <w:pPr>
        <w:pStyle w:val="ONUME"/>
        <w:numPr>
          <w:ilvl w:val="0"/>
          <w:numId w:val="5"/>
        </w:numPr>
      </w:pPr>
      <w:r>
        <w:t xml:space="preserve">Aktivitäten mit </w:t>
      </w:r>
      <w:r>
        <w:rPr>
          <w:b/>
          <w:color w:val="76923C" w:themeColor="accent3" w:themeShade="BF"/>
        </w:rPr>
        <w:t>niedriger</w:t>
      </w:r>
      <w:r>
        <w:t xml:space="preserve"> Risikobereitschaft (z. B. erwartetes Ergebnis 1.1 – Führung durch den Rat der UPOV und Arbeit der UPOV-Ausschüsse) gewährleisten eine systematische Überprüfung der Unterstützung des UPOV-Verbandsbüros für die Führung der UPOV und die UPOV-Ausschüsse, beispielsweise durch die Bewertung der Häufigkeit von Sitzungen und </w:t>
      </w:r>
      <w:r w:rsidR="007C38F6">
        <w:t xml:space="preserve">die </w:t>
      </w:r>
      <w:r>
        <w:t>Änderungen des Formats, um die Wirksamkeit der wesentlichen Rolle dieser Ausschüsse bei der Steuerung der strategischen Ausrichtung der UPOV aufrechtzuerhalten.</w:t>
      </w:r>
    </w:p>
    <w:p w14:paraId="061622EC" w14:textId="1F8FBC9A" w:rsidR="00F101BE" w:rsidRPr="004B65F2" w:rsidRDefault="00DE22EE" w:rsidP="004B65F2">
      <w:pPr>
        <w:pStyle w:val="ONUME"/>
        <w:numPr>
          <w:ilvl w:val="0"/>
          <w:numId w:val="5"/>
        </w:numPr>
      </w:pPr>
      <w:r>
        <w:t xml:space="preserve">Aktivitäten mit </w:t>
      </w:r>
      <w:r>
        <w:rPr>
          <w:b/>
          <w:color w:val="4BACC6" w:themeColor="accent5"/>
        </w:rPr>
        <w:t>mittlerer</w:t>
      </w:r>
      <w:r>
        <w:t xml:space="preserve"> Risikobereitschaft (z. B. erwartetes Ergebnis 3.1 – Entwicklung von UPOV-e-PVP-Diensten) schaffen ein Gleichgewicht zwischen innovativen Ansätzen und Stabilität in der digitalen Entwicklung. Das bedeutet, dass neue UPOV-e-PVP-Module und Kooperationsplattformen </w:t>
      </w:r>
      <w:r>
        <w:lastRenderedPageBreak/>
        <w:t>eingeführt werden können, während gleichzeitig eine nahtlose Integration in bestehende Systeme gewährleistet wird. Bei der Implementierung von Plattformen für die Zusammenarbeit bei der Prüfung der Unterscheidbarkeit, Homogenität und Beständigkeit (DUS) und der Erweiterung der UPOV-PRISMA-Abdeckung werden beispielsweise Änderungen koordiniert, um die Zuverlässigkeit des Systems zu gewährleisten.</w:t>
      </w:r>
    </w:p>
    <w:p w14:paraId="1A466DE9" w14:textId="135C247A" w:rsidR="00F101BE" w:rsidRPr="00F101BE" w:rsidRDefault="00F101BE" w:rsidP="004B65F2">
      <w:pPr>
        <w:pStyle w:val="ONUME"/>
        <w:numPr>
          <w:ilvl w:val="0"/>
          <w:numId w:val="5"/>
        </w:numPr>
      </w:pPr>
      <w:r>
        <w:t xml:space="preserve">Aktivitäten mit </w:t>
      </w:r>
      <w:r>
        <w:rPr>
          <w:b/>
          <w:color w:val="5F497A" w:themeColor="accent4" w:themeShade="BF"/>
        </w:rPr>
        <w:t>hoher</w:t>
      </w:r>
      <w:r>
        <w:t xml:space="preserve"> Risikobereitschaft (z. B. erwartetes Ergebnis 2.1 – Stärkeres Bewusstsein für die Rolle des UPOV-Systems), Erprobung innovativer Kommunikationsansätze, wie z. B. die Entwicklung ansprechender Videos und Inhalte für soziale Medien, die Erforschung virtueller Aktivitäten für eine breitere Öffentlichkeitsarbeit und der Einsatz maschineller Übersetzung zur Verbesserung der sprachlichen Zugänglichkeit bei gleichzeitiger Gewährleistung der Informationsgenauigkeit. </w:t>
      </w:r>
    </w:p>
    <w:p w14:paraId="1AF343A3" w14:textId="77777777" w:rsidR="00F101BE" w:rsidRPr="00F101BE" w:rsidRDefault="00F101BE" w:rsidP="004B65F2">
      <w:pPr>
        <w:pStyle w:val="ONUME"/>
      </w:pPr>
      <w:r>
        <w:t xml:space="preserve">Bei der Umsetzung ihrer Aktivitäten und Projekte orientiert sich die UPOV an der Risikobereitschaft, die dem erwarteten Ergebnis entspricht, und stellt sicher, dass ihre Entscheidungen und Maßnahmen mit den Grenzen der Risikobereitschaft im Einklang stehen. </w:t>
      </w:r>
    </w:p>
    <w:p w14:paraId="01767C57" w14:textId="0D04FE30" w:rsidR="00F101BE" w:rsidRPr="00F101BE" w:rsidRDefault="00F101BE" w:rsidP="004B65F2">
      <w:pPr>
        <w:pStyle w:val="Heading1"/>
      </w:pPr>
      <w:r>
        <w:t>Ü</w:t>
      </w:r>
      <w:r w:rsidR="00C16112">
        <w:t>berprüfung</w:t>
      </w:r>
      <w:r>
        <w:t xml:space="preserve"> </w:t>
      </w:r>
    </w:p>
    <w:p w14:paraId="398CCAF5" w14:textId="77777777" w:rsidR="00F101BE" w:rsidRPr="00F101BE" w:rsidRDefault="00F101BE" w:rsidP="004B65F2">
      <w:pPr>
        <w:pStyle w:val="ONUME"/>
      </w:pPr>
      <w:r>
        <w:t>Diese Erklärung wird im Einklang mit dem SBP-Zyklus überprüft und aktualisiert, wobei bei wesentlichen Änderungen der Rahmenbedingungen eine frühere Überarbeitung vorgesehen ist.</w:t>
      </w:r>
    </w:p>
    <w:p w14:paraId="7543DA79" w14:textId="77777777" w:rsidR="00050E16" w:rsidRDefault="00050E16" w:rsidP="004B65F2"/>
    <w:p w14:paraId="57241F14" w14:textId="77777777" w:rsidR="00A42747" w:rsidRDefault="00A42747" w:rsidP="004B65F2"/>
    <w:p w14:paraId="244D1341" w14:textId="535BA751" w:rsidR="004B65F2" w:rsidRPr="00F101BE" w:rsidRDefault="004B65F2" w:rsidP="004B65F2">
      <w:pPr>
        <w:jc w:val="right"/>
      </w:pPr>
      <w:r>
        <w:t>[Ende der Anlage und des Dokuments]</w:t>
      </w:r>
    </w:p>
    <w:sectPr w:rsidR="004B65F2" w:rsidRPr="00F101BE" w:rsidSect="00175BD4">
      <w:headerReference w:type="even" r:id="rId13"/>
      <w:headerReference w:type="default" r:id="rId14"/>
      <w:footerReference w:type="even" r:id="rId15"/>
      <w:footerReference w:type="default" r:id="rId16"/>
      <w:headerReference w:type="first" r:id="rId17"/>
      <w:footerReference w:type="first" r:id="rId18"/>
      <w:pgSz w:w="11907" w:h="16840" w:code="9"/>
      <w:pgMar w:top="510" w:right="1134" w:bottom="567" w:left="1134" w:header="510" w:footer="52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ADE6B" w14:textId="77777777" w:rsidR="00390534" w:rsidRDefault="00390534" w:rsidP="006655D3">
      <w:r>
        <w:separator/>
      </w:r>
    </w:p>
    <w:p w14:paraId="635372E7" w14:textId="77777777" w:rsidR="00390534" w:rsidRDefault="00390534" w:rsidP="006655D3"/>
    <w:p w14:paraId="136C056D" w14:textId="77777777" w:rsidR="00390534" w:rsidRDefault="00390534" w:rsidP="006655D3"/>
  </w:endnote>
  <w:endnote w:type="continuationSeparator" w:id="0">
    <w:p w14:paraId="7FDFEC25" w14:textId="77777777" w:rsidR="00390534" w:rsidRDefault="00390534" w:rsidP="006655D3">
      <w:r>
        <w:separator/>
      </w:r>
    </w:p>
    <w:p w14:paraId="4C7354E8" w14:textId="77777777" w:rsidR="00390534" w:rsidRPr="00294751" w:rsidRDefault="00390534">
      <w:pPr>
        <w:pStyle w:val="Footer"/>
        <w:spacing w:after="60"/>
        <w:rPr>
          <w:sz w:val="18"/>
          <w:lang w:val="fr-FR"/>
        </w:rPr>
      </w:pPr>
      <w:r w:rsidRPr="002E03B3">
        <w:rPr>
          <w:sz w:val="18"/>
          <w:lang w:val="fr-FR"/>
        </w:rPr>
        <w:t>[Suite de la note de la page précédente]</w:t>
      </w:r>
    </w:p>
    <w:p w14:paraId="7F8D1FB8" w14:textId="77777777" w:rsidR="00390534" w:rsidRPr="00294751" w:rsidRDefault="00390534" w:rsidP="006655D3">
      <w:pPr>
        <w:rPr>
          <w:lang w:val="fr-FR"/>
        </w:rPr>
      </w:pPr>
    </w:p>
    <w:p w14:paraId="6406D512" w14:textId="77777777" w:rsidR="00390534" w:rsidRPr="00294751" w:rsidRDefault="00390534" w:rsidP="006655D3">
      <w:pPr>
        <w:rPr>
          <w:lang w:val="fr-FR"/>
        </w:rPr>
      </w:pPr>
    </w:p>
  </w:endnote>
  <w:endnote w:type="continuationNotice" w:id="1">
    <w:p w14:paraId="409FD775" w14:textId="77777777" w:rsidR="00390534" w:rsidRPr="00294751" w:rsidRDefault="00390534" w:rsidP="006655D3">
      <w:pPr>
        <w:rPr>
          <w:lang w:val="fr-FR"/>
        </w:rPr>
      </w:pPr>
      <w:r w:rsidRPr="002E03B3">
        <w:rPr>
          <w:lang w:val="fr-FR"/>
        </w:rPr>
        <w:t>[Suite de la note page suivante]</w:t>
      </w:r>
    </w:p>
    <w:p w14:paraId="4F198B21" w14:textId="77777777" w:rsidR="00390534" w:rsidRPr="00294751" w:rsidRDefault="00390534" w:rsidP="006655D3">
      <w:pPr>
        <w:rPr>
          <w:lang w:val="fr-FR"/>
        </w:rPr>
      </w:pPr>
    </w:p>
    <w:p w14:paraId="21FB52D9" w14:textId="77777777" w:rsidR="00390534" w:rsidRPr="00294751" w:rsidRDefault="00390534"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9745" w14:textId="1548B550" w:rsidR="00C16112" w:rsidRDefault="00C16112">
    <w:pPr>
      <w:pStyle w:val="Footer"/>
    </w:pPr>
    <w:r>
      <w:rPr>
        <w:noProof/>
      </w:rPr>
      <mc:AlternateContent>
        <mc:Choice Requires="wps">
          <w:drawing>
            <wp:anchor distT="0" distB="0" distL="0" distR="0" simplePos="0" relativeHeight="251659264" behindDoc="0" locked="0" layoutInCell="1" allowOverlap="1" wp14:anchorId="21607C8E" wp14:editId="2678B6A6">
              <wp:simplePos x="635" y="635"/>
              <wp:positionH relativeFrom="page">
                <wp:align>center</wp:align>
              </wp:positionH>
              <wp:positionV relativeFrom="page">
                <wp:align>bottom</wp:align>
              </wp:positionV>
              <wp:extent cx="1564005" cy="345440"/>
              <wp:effectExtent l="0" t="0" r="17145" b="0"/>
              <wp:wrapNone/>
              <wp:docPr id="2144052001"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4753511A" w14:textId="625B31AD" w:rsidR="00C16112" w:rsidRPr="00C16112" w:rsidRDefault="00C16112" w:rsidP="00C16112">
                          <w:pPr>
                            <w:rPr>
                              <w:rFonts w:ascii="Calibri" w:eastAsia="Calibri" w:hAnsi="Calibri" w:cs="Calibri"/>
                              <w:noProof/>
                              <w:color w:val="000000"/>
                            </w:rPr>
                          </w:pPr>
                          <w:r w:rsidRPr="00C16112">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607C8E" id="_x0000_t202" coordsize="21600,21600" o:spt="202" path="m,l,21600r21600,l21600,xe">
              <v:stroke joinstyle="miter"/>
              <v:path gradientshapeok="t" o:connecttype="rect"/>
            </v:shapetype>
            <v:shape id="Text Box 2" o:spid="_x0000_s1026" type="#_x0000_t202" alt="WIPO FOR OFFICIAL USE ONLY " style="position:absolute;left:0;text-align:left;margin-left:0;margin-top:0;width:123.1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" filled="f" stroked="f">
              <v:textbox style="mso-fit-shape-to-text:t" inset="0,0,0,15pt">
                <w:txbxContent>
                  <w:p w14:paraId="4753511A" w14:textId="625B31AD" w:rsidR="00C16112" w:rsidRPr="00C16112" w:rsidRDefault="00C16112" w:rsidP="00C16112">
                    <w:pPr>
                      <w:rPr>
                        <w:rFonts w:ascii="Calibri" w:eastAsia="Calibri" w:hAnsi="Calibri" w:cs="Calibri"/>
                        <w:noProof/>
                        <w:color w:val="000000"/>
                      </w:rPr>
                    </w:pPr>
                    <w:r w:rsidRPr="00C16112">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3EF05" w14:textId="29CDAB90" w:rsidR="00C16112" w:rsidRDefault="00C16112">
    <w:pPr>
      <w:pStyle w:val="Footer"/>
    </w:pPr>
    <w:r>
      <w:rPr>
        <w:noProof/>
      </w:rPr>
      <mc:AlternateContent>
        <mc:Choice Requires="wps">
          <w:drawing>
            <wp:anchor distT="0" distB="0" distL="0" distR="0" simplePos="0" relativeHeight="251660288" behindDoc="0" locked="0" layoutInCell="1" allowOverlap="1" wp14:anchorId="523B6EF5" wp14:editId="34E60810">
              <wp:simplePos x="635" y="635"/>
              <wp:positionH relativeFrom="page">
                <wp:align>center</wp:align>
              </wp:positionH>
              <wp:positionV relativeFrom="page">
                <wp:align>bottom</wp:align>
              </wp:positionV>
              <wp:extent cx="1564005" cy="345440"/>
              <wp:effectExtent l="0" t="0" r="17145" b="0"/>
              <wp:wrapNone/>
              <wp:docPr id="87611500"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6B5E1489" w14:textId="1346CB4D" w:rsidR="00C16112" w:rsidRPr="00C16112" w:rsidRDefault="00C16112" w:rsidP="00C16112">
                          <w:pPr>
                            <w:rPr>
                              <w:rFonts w:ascii="Calibri" w:eastAsia="Calibri" w:hAnsi="Calibri" w:cs="Calibri"/>
                              <w:noProof/>
                              <w:color w:val="000000"/>
                            </w:rPr>
                          </w:pPr>
                          <w:r w:rsidRPr="00C16112">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3B6EF5" id="_x0000_t202" coordsize="21600,21600" o:spt="202" path="m,l,21600r21600,l21600,xe">
              <v:stroke joinstyle="miter"/>
              <v:path gradientshapeok="t" o:connecttype="rect"/>
            </v:shapetype>
            <v:shape id="Text Box 3" o:spid="_x0000_s1027" type="#_x0000_t202" alt="WIPO FOR OFFICIAL USE ONLY " style="position:absolute;left:0;text-align:left;margin-left:0;margin-top:0;width:123.1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" filled="f" stroked="f">
              <v:textbox style="mso-fit-shape-to-text:t" inset="0,0,0,15pt">
                <w:txbxContent>
                  <w:p w14:paraId="6B5E1489" w14:textId="1346CB4D" w:rsidR="00C16112" w:rsidRPr="00C16112" w:rsidRDefault="00C16112" w:rsidP="00C16112">
                    <w:pPr>
                      <w:rPr>
                        <w:rFonts w:ascii="Calibri" w:eastAsia="Calibri" w:hAnsi="Calibri" w:cs="Calibri"/>
                        <w:noProof/>
                        <w:color w:val="000000"/>
                      </w:rPr>
                    </w:pPr>
                    <w:r w:rsidRPr="00C16112">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78C50" w14:textId="0698C948" w:rsidR="00DE22EE" w:rsidRDefault="00C16112">
    <w:pPr>
      <w:pStyle w:val="Footer"/>
    </w:pPr>
    <w:r>
      <w:rPr>
        <w:noProof/>
      </w:rPr>
      <mc:AlternateContent>
        <mc:Choice Requires="wps">
          <w:drawing>
            <wp:anchor distT="0" distB="0" distL="0" distR="0" simplePos="0" relativeHeight="251662336" behindDoc="0" locked="0" layoutInCell="1" allowOverlap="1" wp14:anchorId="2E6E8867" wp14:editId="64DED4A5">
              <wp:simplePos x="635" y="635"/>
              <wp:positionH relativeFrom="page">
                <wp:align>center</wp:align>
              </wp:positionH>
              <wp:positionV relativeFrom="page">
                <wp:align>bottom</wp:align>
              </wp:positionV>
              <wp:extent cx="1564005" cy="345440"/>
              <wp:effectExtent l="0" t="0" r="17145" b="0"/>
              <wp:wrapNone/>
              <wp:docPr id="807869067" name="Text Box 5"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55DE7860" w14:textId="52BCEA5E" w:rsidR="00C16112" w:rsidRPr="00C16112" w:rsidRDefault="00C16112" w:rsidP="00C16112">
                          <w:pPr>
                            <w:rPr>
                              <w:rFonts w:ascii="Calibri" w:eastAsia="Calibri" w:hAnsi="Calibri" w:cs="Calibri"/>
                              <w:noProof/>
                              <w:color w:val="000000"/>
                            </w:rPr>
                          </w:pPr>
                          <w:r w:rsidRPr="00C16112">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6E8867" id="_x0000_t202" coordsize="21600,21600" o:spt="202" path="m,l,21600r21600,l21600,xe">
              <v:stroke joinstyle="miter"/>
              <v:path gradientshapeok="t" o:connecttype="rect"/>
            </v:shapetype>
            <v:shape id="Text Box 5" o:spid="_x0000_s1028" type="#_x0000_t202" alt="WIPO FOR OFFICIAL USE ONLY " style="position:absolute;left:0;text-align:left;margin-left:0;margin-top:0;width:123.1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AMhet0PAgAA&#10;HQQAAA4AAAAAAAAAAAAAAAAALgIAAGRycy9lMm9Eb2MueG1sUEsBAi0AFAAGAAgAAAAhADUlx5zb&#10;AAAABAEAAA8AAAAAAAAAAAAAAAAAaQQAAGRycy9kb3ducmV2LnhtbFBLBQYAAAAABAAEAPMAAABx&#10;BQAAAAA=&#10;" filled="f" stroked="f">
              <v:textbox style="mso-fit-shape-to-text:t" inset="0,0,0,15pt">
                <w:txbxContent>
                  <w:p w14:paraId="55DE7860" w14:textId="52BCEA5E" w:rsidR="00C16112" w:rsidRPr="00C16112" w:rsidRDefault="00C16112" w:rsidP="00C16112">
                    <w:pPr>
                      <w:rPr>
                        <w:rFonts w:ascii="Calibri" w:eastAsia="Calibri" w:hAnsi="Calibri" w:cs="Calibri"/>
                        <w:noProof/>
                        <w:color w:val="000000"/>
                      </w:rPr>
                    </w:pPr>
                    <w:r w:rsidRPr="00C16112">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8CBF0" w14:textId="47D522F8" w:rsidR="00DE22EE" w:rsidRPr="002773C5" w:rsidRDefault="00DE22EE" w:rsidP="002773C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79536" w14:textId="503B3E57" w:rsidR="00DE22EE" w:rsidRPr="002773C5" w:rsidRDefault="00DE22EE" w:rsidP="00277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FE51" w14:textId="77777777" w:rsidR="00390534" w:rsidRDefault="00390534" w:rsidP="006655D3">
      <w:r>
        <w:separator/>
      </w:r>
    </w:p>
  </w:footnote>
  <w:footnote w:type="continuationSeparator" w:id="0">
    <w:p w14:paraId="3BFEE986" w14:textId="77777777" w:rsidR="00390534" w:rsidRDefault="00390534" w:rsidP="006655D3">
      <w:r>
        <w:separator/>
      </w:r>
    </w:p>
  </w:footnote>
  <w:footnote w:type="continuationNotice" w:id="1">
    <w:p w14:paraId="7EF996F3" w14:textId="77777777" w:rsidR="00390534" w:rsidRPr="00AB530F" w:rsidRDefault="00390534" w:rsidP="00AB530F">
      <w:pPr>
        <w:pStyle w:val="Footer"/>
      </w:pPr>
    </w:p>
  </w:footnote>
  <w:footnote w:id="2">
    <w:p w14:paraId="63A06D4C" w14:textId="1CB6FA2F" w:rsidR="004B69D6" w:rsidRDefault="004B69D6" w:rsidP="002773C5">
      <w:pPr>
        <w:pStyle w:val="FootnoteText"/>
      </w:pPr>
      <w:r>
        <w:rPr>
          <w:rStyle w:val="FootnoteReference"/>
        </w:rPr>
        <w:footnoteRef/>
      </w:r>
      <w:r>
        <w:t xml:space="preserve"> </w:t>
      </w:r>
      <w:r w:rsidR="00516A16">
        <w:tab/>
      </w:r>
      <w:r>
        <w:t xml:space="preserve">Verfügbar unter: https://unsceb.org/rmtf. </w:t>
      </w:r>
    </w:p>
  </w:footnote>
  <w:footnote w:id="3">
    <w:p w14:paraId="1C8DDCF8" w14:textId="32A88FA7" w:rsidR="004B69D6" w:rsidRDefault="004B69D6" w:rsidP="002773C5">
      <w:pPr>
        <w:pStyle w:val="FootnoteText"/>
      </w:pPr>
      <w:r>
        <w:rPr>
          <w:rStyle w:val="FootnoteReference"/>
        </w:rPr>
        <w:footnoteRef/>
      </w:r>
      <w:r>
        <w:t xml:space="preserve"> </w:t>
      </w:r>
      <w:r w:rsidR="00516A16">
        <w:tab/>
      </w:r>
      <w:r>
        <w:t>COSO: Enterprise Risk Management Integrating with Strategy and Performance (Unternehmensrisikomanagement in Strategie und Leistung integrieren)</w:t>
      </w:r>
    </w:p>
  </w:footnote>
  <w:footnote w:id="4">
    <w:p w14:paraId="66AA74B2" w14:textId="6198BAB5" w:rsidR="00F101BE" w:rsidRDefault="00F101BE" w:rsidP="002773C5">
      <w:pPr>
        <w:pStyle w:val="FootnoteText"/>
      </w:pPr>
      <w:r>
        <w:rPr>
          <w:rStyle w:val="FootnoteReference"/>
        </w:rPr>
        <w:footnoteRef/>
      </w:r>
      <w:r>
        <w:tab/>
        <w:t>Das Restrisiko ist das erfasste Risiko, das nach Berücksichtigung der relevanten Reaktionsmaßnahmen und der derzeit implementierten Kontrollen verbleibt.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5C147" w14:textId="36A40EEB" w:rsidR="00182B99" w:rsidRPr="00C5280D" w:rsidRDefault="004B69D6" w:rsidP="00EB048E">
    <w:pPr>
      <w:pStyle w:val="Header"/>
      <w:rPr>
        <w:rStyle w:val="PageNumber"/>
        <w:lang w:val="en-US"/>
      </w:rPr>
    </w:pPr>
    <w:r>
      <w:rPr>
        <w:rStyle w:val="PageNumber"/>
      </w:rPr>
      <w:t>C/59/15</w:t>
    </w:r>
  </w:p>
  <w:p w14:paraId="12E49FE1" w14:textId="77777777" w:rsidR="00182B99" w:rsidRPr="00C5280D" w:rsidRDefault="00182B99" w:rsidP="00EB048E">
    <w:pPr>
      <w:pStyle w:val="Header"/>
      <w:rPr>
        <w:lang w:val="en-US"/>
      </w:rPr>
    </w:pPr>
    <w:r>
      <w:t xml:space="preserve">Seite </w:t>
    </w:r>
    <w:r>
      <w:rPr>
        <w:rStyle w:val="PageNumber"/>
      </w:rPr>
      <w:fldChar w:fldCharType="begin"/>
    </w:r>
    <w:r>
      <w:rPr>
        <w:rStyle w:val="PageNumber"/>
        <w:noProof/>
      </w:rPr>
      <w:instrText xml:space="preserve"> PAGE </w:instrText>
    </w:r>
    <w:r>
      <w:fldChar w:fldCharType="separate"/>
    </w:r>
    <w:r>
      <w:rPr>
        <w:rStyle w:val="PageNumber"/>
        <w:noProof/>
      </w:rPr>
      <w:t>2</w:t>
    </w:r>
    <w:r>
      <w:fldChar w:fldCharType="end"/>
    </w:r>
  </w:p>
  <w:p w14:paraId="67D64178" w14:textId="77777777" w:rsidR="00182B99" w:rsidRPr="00C5280D" w:rsidRDefault="00182B99"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795E8" w14:textId="77777777" w:rsidR="00DE22EE" w:rsidRDefault="00DE22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B036E" w14:textId="77777777" w:rsidR="00DE22EE" w:rsidRPr="000643F3" w:rsidRDefault="00DE22EE" w:rsidP="002806CD">
    <w:pPr>
      <w:jc w:val="center"/>
      <w:rPr>
        <w:lang w:val="de-CH"/>
      </w:rPr>
    </w:pPr>
    <w:r>
      <w:t>C/59/15</w:t>
    </w:r>
  </w:p>
  <w:p w14:paraId="457F7830" w14:textId="77777777" w:rsidR="00DE22EE" w:rsidRDefault="00DE22EE" w:rsidP="002806CD">
    <w:pPr>
      <w:jc w:val="center"/>
      <w:rPr>
        <w:lang w:val="de-CH"/>
      </w:rPr>
    </w:pPr>
    <w:r>
      <w:t xml:space="preserve">Anlage, Seite </w:t>
    </w:r>
    <w:r>
      <w:fldChar w:fldCharType="begin"/>
    </w:r>
    <w:r>
      <w:rPr>
        <w:noProof/>
      </w:rPr>
      <w:instrText xml:space="preserve"> PAGE   \* MERGEFORMAT </w:instrText>
    </w:r>
    <w:r>
      <w:fldChar w:fldCharType="separate"/>
    </w:r>
    <w:r>
      <w:rPr>
        <w:noProof/>
      </w:rPr>
      <w:t>12</w:t>
    </w:r>
    <w:r>
      <w:fldChar w:fldCharType="end"/>
    </w:r>
  </w:p>
  <w:p w14:paraId="4632B290" w14:textId="77777777" w:rsidR="00DE22EE" w:rsidRPr="000643F3" w:rsidRDefault="00DE22EE">
    <w:pPr>
      <w:rPr>
        <w:lang w:val="de-CH"/>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C5381" w14:textId="003AA03C" w:rsidR="00F101BE" w:rsidRDefault="00F101BE" w:rsidP="002806CD">
    <w:pPr>
      <w:ind w:right="85"/>
      <w:jc w:val="center"/>
      <w:rPr>
        <w:lang w:val="de-CH"/>
      </w:rPr>
    </w:pPr>
    <w:r>
      <w:t>C/59/15</w:t>
    </w:r>
  </w:p>
  <w:p w14:paraId="544FCE43" w14:textId="77777777" w:rsidR="00F101BE" w:rsidRDefault="00F101BE" w:rsidP="002806CD">
    <w:pPr>
      <w:ind w:right="85"/>
      <w:jc w:val="center"/>
      <w:rPr>
        <w:lang w:val="de-CH"/>
      </w:rPr>
    </w:pPr>
  </w:p>
  <w:p w14:paraId="27DAC9B1" w14:textId="5D4C546D" w:rsidR="00DE22EE" w:rsidRPr="000643F3" w:rsidRDefault="00DE22EE" w:rsidP="002806CD">
    <w:pPr>
      <w:ind w:right="85"/>
      <w:jc w:val="center"/>
      <w:rPr>
        <w:lang w:val="de-CH"/>
      </w:rPr>
    </w:pPr>
    <w:r>
      <w:t>ANLAGE</w:t>
    </w:r>
  </w:p>
  <w:p w14:paraId="0F78478C" w14:textId="77777777" w:rsidR="00DE22EE" w:rsidRDefault="00DE22EE">
    <w:pPr>
      <w:pStyle w:val="Header"/>
      <w:rPr>
        <w:lang w:val="de-CH"/>
      </w:rPr>
    </w:pPr>
  </w:p>
  <w:p w14:paraId="145D7AD6" w14:textId="77777777" w:rsidR="00DE22EE" w:rsidRPr="000643F3" w:rsidRDefault="00DE22EE">
    <w:pPr>
      <w:pStyle w:val="Header"/>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6E81"/>
    <w:multiLevelType w:val="multilevel"/>
    <w:tmpl w:val="D7B27EF2"/>
    <w:lvl w:ilvl="0">
      <w:start w:val="1"/>
      <w:numFmt w:val="bullet"/>
      <w:lvlText w:val="o"/>
      <w:lvlJc w:val="left"/>
      <w:pPr>
        <w:tabs>
          <w:tab w:val="num" w:pos="1134"/>
        </w:tabs>
        <w:ind w:left="567" w:firstLine="0"/>
      </w:pPr>
      <w:rPr>
        <w:rFonts w:ascii="Courier New" w:hAnsi="Courier New" w:cs="Courier New" w:hint="default"/>
        <w:b w:val="0"/>
        <w:sz w:val="22"/>
      </w:rPr>
    </w:lvl>
    <w:lvl w:ilvl="1">
      <w:start w:val="1"/>
      <w:numFmt w:val="bullet"/>
      <w:lvlText w:val=""/>
      <w:lvlJc w:val="left"/>
      <w:pPr>
        <w:tabs>
          <w:tab w:val="num" w:pos="1611"/>
        </w:tabs>
        <w:ind w:left="1044" w:firstLine="0"/>
      </w:pPr>
      <w:rPr>
        <w:rFonts w:ascii="Symbol" w:hAnsi="Symbol" w:hint="default"/>
      </w:rPr>
    </w:lvl>
    <w:lvl w:ilvl="2">
      <w:start w:val="1"/>
      <w:numFmt w:val="bullet"/>
      <w:lvlText w:val=""/>
      <w:lvlJc w:val="left"/>
      <w:pPr>
        <w:tabs>
          <w:tab w:val="num" w:pos="2178"/>
        </w:tabs>
        <w:ind w:left="1611" w:firstLine="0"/>
      </w:pPr>
      <w:rPr>
        <w:rFonts w:ascii="Symbol" w:hAnsi="Symbol" w:hint="default"/>
      </w:rPr>
    </w:lvl>
    <w:lvl w:ilvl="3">
      <w:start w:val="1"/>
      <w:numFmt w:val="bullet"/>
      <w:lvlText w:val=""/>
      <w:lvlJc w:val="left"/>
      <w:pPr>
        <w:tabs>
          <w:tab w:val="num" w:pos="2745"/>
        </w:tabs>
        <w:ind w:left="2178" w:firstLine="0"/>
      </w:pPr>
      <w:rPr>
        <w:rFonts w:hint="default"/>
      </w:rPr>
    </w:lvl>
    <w:lvl w:ilvl="4">
      <w:start w:val="1"/>
      <w:numFmt w:val="bullet"/>
      <w:lvlText w:val=""/>
      <w:lvlJc w:val="left"/>
      <w:pPr>
        <w:tabs>
          <w:tab w:val="num" w:pos="3312"/>
        </w:tabs>
        <w:ind w:left="2745" w:firstLine="0"/>
      </w:pPr>
      <w:rPr>
        <w:rFonts w:hint="default"/>
      </w:rPr>
    </w:lvl>
    <w:lvl w:ilvl="5">
      <w:start w:val="1"/>
      <w:numFmt w:val="bullet"/>
      <w:lvlText w:val=""/>
      <w:lvlJc w:val="left"/>
      <w:pPr>
        <w:tabs>
          <w:tab w:val="num" w:pos="3879"/>
        </w:tabs>
        <w:ind w:left="3312" w:firstLine="0"/>
      </w:pPr>
      <w:rPr>
        <w:rFonts w:hint="default"/>
      </w:rPr>
    </w:lvl>
    <w:lvl w:ilvl="6">
      <w:start w:val="1"/>
      <w:numFmt w:val="bullet"/>
      <w:lvlText w:val=""/>
      <w:lvlJc w:val="left"/>
      <w:pPr>
        <w:tabs>
          <w:tab w:val="num" w:pos="4446"/>
        </w:tabs>
        <w:ind w:left="3879" w:firstLine="0"/>
      </w:pPr>
      <w:rPr>
        <w:rFonts w:hint="default"/>
      </w:rPr>
    </w:lvl>
    <w:lvl w:ilvl="7">
      <w:start w:val="1"/>
      <w:numFmt w:val="bullet"/>
      <w:lvlText w:val=""/>
      <w:lvlJc w:val="left"/>
      <w:pPr>
        <w:tabs>
          <w:tab w:val="num" w:pos="5012"/>
        </w:tabs>
        <w:ind w:left="4446" w:firstLine="0"/>
      </w:pPr>
      <w:rPr>
        <w:rFonts w:hint="default"/>
      </w:rPr>
    </w:lvl>
    <w:lvl w:ilvl="8">
      <w:start w:val="1"/>
      <w:numFmt w:val="bullet"/>
      <w:lvlText w:val=""/>
      <w:lvlJc w:val="left"/>
      <w:pPr>
        <w:tabs>
          <w:tab w:val="num" w:pos="5579"/>
        </w:tabs>
        <w:ind w:left="5012" w:firstLine="0"/>
      </w:pPr>
      <w:rPr>
        <w:rFonts w:hint="default"/>
      </w:rPr>
    </w:lvl>
  </w:abstractNum>
  <w:abstractNum w:abstractNumId="1" w15:restartNumberingAfterBreak="0">
    <w:nsid w:val="06CD29E3"/>
    <w:multiLevelType w:val="multilevel"/>
    <w:tmpl w:val="C7DE0C72"/>
    <w:lvl w:ilvl="0">
      <w:start w:val="1"/>
      <w:numFmt w:val="decimal"/>
      <w:pStyle w:val="ONUME"/>
      <w:lvlText w:val="%1."/>
      <w:lvlJc w:val="left"/>
      <w:pPr>
        <w:tabs>
          <w:tab w:val="num" w:pos="567"/>
        </w:tabs>
        <w:ind w:left="0" w:firstLine="0"/>
      </w:pPr>
      <w:rPr>
        <w:rFonts w:hint="default"/>
        <w:b w:val="0"/>
        <w:i w:val="0"/>
        <w:iCs w:val="0"/>
        <w:sz w:val="20"/>
      </w:rPr>
    </w:lvl>
    <w:lvl w:ilvl="1">
      <w:start w:val="1"/>
      <w:numFmt w:val="bullet"/>
      <w:lvlText w:val=""/>
      <w:lvlJc w:val="left"/>
      <w:pPr>
        <w:tabs>
          <w:tab w:val="num" w:pos="1044"/>
        </w:tabs>
        <w:ind w:left="477" w:firstLine="0"/>
      </w:pPr>
      <w:rPr>
        <w:rFonts w:ascii="Symbol" w:hAnsi="Symbol" w:hint="default"/>
      </w:rPr>
    </w:lvl>
    <w:lvl w:ilvl="2">
      <w:start w:val="1"/>
      <w:numFmt w:val="bullet"/>
      <w:lvlText w:val=""/>
      <w:lvlJc w:val="left"/>
      <w:pPr>
        <w:tabs>
          <w:tab w:val="num" w:pos="1611"/>
        </w:tabs>
        <w:ind w:left="1044" w:firstLine="0"/>
      </w:pPr>
      <w:rPr>
        <w:rFonts w:ascii="Symbol" w:hAnsi="Symbol" w:hint="default"/>
      </w:rPr>
    </w:lvl>
    <w:lvl w:ilvl="3">
      <w:start w:val="1"/>
      <w:numFmt w:val="bullet"/>
      <w:lvlText w:val=""/>
      <w:lvlJc w:val="left"/>
      <w:pPr>
        <w:tabs>
          <w:tab w:val="num" w:pos="2178"/>
        </w:tabs>
        <w:ind w:left="1611" w:firstLine="0"/>
      </w:pPr>
      <w:rPr>
        <w:rFonts w:hint="default"/>
      </w:rPr>
    </w:lvl>
    <w:lvl w:ilvl="4">
      <w:start w:val="1"/>
      <w:numFmt w:val="bullet"/>
      <w:lvlText w:val=""/>
      <w:lvlJc w:val="left"/>
      <w:pPr>
        <w:tabs>
          <w:tab w:val="num" w:pos="2745"/>
        </w:tabs>
        <w:ind w:left="2178" w:firstLine="0"/>
      </w:pPr>
      <w:rPr>
        <w:rFonts w:hint="default"/>
      </w:rPr>
    </w:lvl>
    <w:lvl w:ilvl="5">
      <w:start w:val="1"/>
      <w:numFmt w:val="bullet"/>
      <w:lvlText w:val=""/>
      <w:lvlJc w:val="left"/>
      <w:pPr>
        <w:tabs>
          <w:tab w:val="num" w:pos="3312"/>
        </w:tabs>
        <w:ind w:left="2745" w:firstLine="0"/>
      </w:pPr>
      <w:rPr>
        <w:rFonts w:hint="default"/>
      </w:rPr>
    </w:lvl>
    <w:lvl w:ilvl="6">
      <w:start w:val="1"/>
      <w:numFmt w:val="bullet"/>
      <w:lvlText w:val=""/>
      <w:lvlJc w:val="left"/>
      <w:pPr>
        <w:tabs>
          <w:tab w:val="num" w:pos="3879"/>
        </w:tabs>
        <w:ind w:left="3312" w:firstLine="0"/>
      </w:pPr>
      <w:rPr>
        <w:rFonts w:hint="default"/>
      </w:rPr>
    </w:lvl>
    <w:lvl w:ilvl="7">
      <w:start w:val="1"/>
      <w:numFmt w:val="bullet"/>
      <w:lvlText w:val=""/>
      <w:lvlJc w:val="left"/>
      <w:pPr>
        <w:tabs>
          <w:tab w:val="num" w:pos="4445"/>
        </w:tabs>
        <w:ind w:left="3879" w:firstLine="0"/>
      </w:pPr>
      <w:rPr>
        <w:rFonts w:hint="default"/>
      </w:rPr>
    </w:lvl>
    <w:lvl w:ilvl="8">
      <w:start w:val="1"/>
      <w:numFmt w:val="bullet"/>
      <w:lvlText w:val=""/>
      <w:lvlJc w:val="left"/>
      <w:pPr>
        <w:tabs>
          <w:tab w:val="num" w:pos="5012"/>
        </w:tabs>
        <w:ind w:left="4445" w:firstLine="0"/>
      </w:pPr>
      <w:rPr>
        <w:rFonts w:hint="default"/>
      </w:rPr>
    </w:lvl>
  </w:abstractNum>
  <w:abstractNum w:abstractNumId="2" w15:restartNumberingAfterBreak="0">
    <w:nsid w:val="0B461E41"/>
    <w:multiLevelType w:val="hybridMultilevel"/>
    <w:tmpl w:val="CD7C8BC8"/>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35D514A"/>
    <w:multiLevelType w:val="hybridMultilevel"/>
    <w:tmpl w:val="356E07DA"/>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490291063">
    <w:abstractNumId w:val="1"/>
  </w:num>
  <w:num w:numId="2" w16cid:durableId="2050062078">
    <w:abstractNumId w:val="1"/>
  </w:num>
  <w:num w:numId="3" w16cid:durableId="699664359">
    <w:abstractNumId w:val="0"/>
  </w:num>
  <w:num w:numId="4" w16cid:durableId="1737972082">
    <w:abstractNumId w:val="3"/>
  </w:num>
  <w:num w:numId="5" w16cid:durableId="578715619">
    <w:abstractNumId w:val="2"/>
  </w:num>
  <w:num w:numId="6" w16cid:durableId="1637225120">
    <w:abstractNumId w:val="1"/>
  </w:num>
  <w:num w:numId="7" w16cid:durableId="1879708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9D6"/>
    <w:rsid w:val="00010CF3"/>
    <w:rsid w:val="00011E27"/>
    <w:rsid w:val="000148BC"/>
    <w:rsid w:val="0002416F"/>
    <w:rsid w:val="00024AB8"/>
    <w:rsid w:val="00030854"/>
    <w:rsid w:val="00036028"/>
    <w:rsid w:val="00044642"/>
    <w:rsid w:val="000446B9"/>
    <w:rsid w:val="00047E21"/>
    <w:rsid w:val="00050E16"/>
    <w:rsid w:val="00085505"/>
    <w:rsid w:val="000C4E25"/>
    <w:rsid w:val="000C7021"/>
    <w:rsid w:val="000D6BBC"/>
    <w:rsid w:val="000D7780"/>
    <w:rsid w:val="000E636A"/>
    <w:rsid w:val="000F2F11"/>
    <w:rsid w:val="00105929"/>
    <w:rsid w:val="00110C36"/>
    <w:rsid w:val="001131D5"/>
    <w:rsid w:val="00141DB8"/>
    <w:rsid w:val="00172084"/>
    <w:rsid w:val="0017474A"/>
    <w:rsid w:val="001758C6"/>
    <w:rsid w:val="00175BD4"/>
    <w:rsid w:val="00182B99"/>
    <w:rsid w:val="001C1525"/>
    <w:rsid w:val="001E308F"/>
    <w:rsid w:val="0020304B"/>
    <w:rsid w:val="0021332C"/>
    <w:rsid w:val="00213982"/>
    <w:rsid w:val="00214C72"/>
    <w:rsid w:val="0024416D"/>
    <w:rsid w:val="00256BFA"/>
    <w:rsid w:val="00271911"/>
    <w:rsid w:val="002773C5"/>
    <w:rsid w:val="002800A0"/>
    <w:rsid w:val="002801B3"/>
    <w:rsid w:val="00281060"/>
    <w:rsid w:val="002940E8"/>
    <w:rsid w:val="00294751"/>
    <w:rsid w:val="002A6E50"/>
    <w:rsid w:val="002A7C40"/>
    <w:rsid w:val="002B4298"/>
    <w:rsid w:val="002C256A"/>
    <w:rsid w:val="002E03B3"/>
    <w:rsid w:val="00305A7F"/>
    <w:rsid w:val="003152FE"/>
    <w:rsid w:val="00327436"/>
    <w:rsid w:val="00344BD6"/>
    <w:rsid w:val="003532C2"/>
    <w:rsid w:val="0035528D"/>
    <w:rsid w:val="00361821"/>
    <w:rsid w:val="00361E9E"/>
    <w:rsid w:val="003900D5"/>
    <w:rsid w:val="00390534"/>
    <w:rsid w:val="0039633A"/>
    <w:rsid w:val="00396C74"/>
    <w:rsid w:val="003C7FBE"/>
    <w:rsid w:val="003D227C"/>
    <w:rsid w:val="003D2B4D"/>
    <w:rsid w:val="003F5F2B"/>
    <w:rsid w:val="00444A88"/>
    <w:rsid w:val="00474DA4"/>
    <w:rsid w:val="00476B4D"/>
    <w:rsid w:val="004805FA"/>
    <w:rsid w:val="00485845"/>
    <w:rsid w:val="004935D2"/>
    <w:rsid w:val="004B1215"/>
    <w:rsid w:val="004B65F2"/>
    <w:rsid w:val="004B69D6"/>
    <w:rsid w:val="004C3C12"/>
    <w:rsid w:val="004D047D"/>
    <w:rsid w:val="004F1E9E"/>
    <w:rsid w:val="004F305A"/>
    <w:rsid w:val="0051187F"/>
    <w:rsid w:val="00512164"/>
    <w:rsid w:val="0051361E"/>
    <w:rsid w:val="00516A16"/>
    <w:rsid w:val="00520297"/>
    <w:rsid w:val="005338F9"/>
    <w:rsid w:val="00534BA4"/>
    <w:rsid w:val="0054281C"/>
    <w:rsid w:val="00544581"/>
    <w:rsid w:val="00547FCF"/>
    <w:rsid w:val="0055268D"/>
    <w:rsid w:val="00576BE4"/>
    <w:rsid w:val="005A400A"/>
    <w:rsid w:val="005B7A61"/>
    <w:rsid w:val="005F7B92"/>
    <w:rsid w:val="00612379"/>
    <w:rsid w:val="006153B6"/>
    <w:rsid w:val="0061555F"/>
    <w:rsid w:val="00636CA6"/>
    <w:rsid w:val="00641200"/>
    <w:rsid w:val="00645CA8"/>
    <w:rsid w:val="006655D3"/>
    <w:rsid w:val="00667404"/>
    <w:rsid w:val="00687EB4"/>
    <w:rsid w:val="00695C56"/>
    <w:rsid w:val="006A5CDE"/>
    <w:rsid w:val="006A644A"/>
    <w:rsid w:val="006B17D2"/>
    <w:rsid w:val="006C224E"/>
    <w:rsid w:val="006D780A"/>
    <w:rsid w:val="0071271E"/>
    <w:rsid w:val="00732DEC"/>
    <w:rsid w:val="00735BD5"/>
    <w:rsid w:val="007451EC"/>
    <w:rsid w:val="00751613"/>
    <w:rsid w:val="007556F6"/>
    <w:rsid w:val="00760EEF"/>
    <w:rsid w:val="00777EE5"/>
    <w:rsid w:val="00782255"/>
    <w:rsid w:val="00784836"/>
    <w:rsid w:val="0079023E"/>
    <w:rsid w:val="007A2854"/>
    <w:rsid w:val="007C1D92"/>
    <w:rsid w:val="007C38F6"/>
    <w:rsid w:val="007C3C19"/>
    <w:rsid w:val="007C4CB9"/>
    <w:rsid w:val="007D0B9D"/>
    <w:rsid w:val="007D19B0"/>
    <w:rsid w:val="007D4635"/>
    <w:rsid w:val="007F498F"/>
    <w:rsid w:val="0080679D"/>
    <w:rsid w:val="008108B0"/>
    <w:rsid w:val="00811B20"/>
    <w:rsid w:val="008211B5"/>
    <w:rsid w:val="0082296E"/>
    <w:rsid w:val="00824099"/>
    <w:rsid w:val="0083359E"/>
    <w:rsid w:val="00841BA9"/>
    <w:rsid w:val="00846D7C"/>
    <w:rsid w:val="00857124"/>
    <w:rsid w:val="00867AC1"/>
    <w:rsid w:val="00890DF8"/>
    <w:rsid w:val="00895452"/>
    <w:rsid w:val="008A743F"/>
    <w:rsid w:val="008B03AE"/>
    <w:rsid w:val="008C0970"/>
    <w:rsid w:val="008D0BC5"/>
    <w:rsid w:val="008D2CF7"/>
    <w:rsid w:val="00900C26"/>
    <w:rsid w:val="0090197F"/>
    <w:rsid w:val="00903264"/>
    <w:rsid w:val="00906DDC"/>
    <w:rsid w:val="00934DE6"/>
    <w:rsid w:val="00934E09"/>
    <w:rsid w:val="00936253"/>
    <w:rsid w:val="00940D46"/>
    <w:rsid w:val="00942C84"/>
    <w:rsid w:val="00944D67"/>
    <w:rsid w:val="00952DD4"/>
    <w:rsid w:val="00965AE7"/>
    <w:rsid w:val="00970FED"/>
    <w:rsid w:val="00987CB1"/>
    <w:rsid w:val="00992D82"/>
    <w:rsid w:val="00997029"/>
    <w:rsid w:val="009A7339"/>
    <w:rsid w:val="009B440E"/>
    <w:rsid w:val="009C6622"/>
    <w:rsid w:val="009D690D"/>
    <w:rsid w:val="009E65B6"/>
    <w:rsid w:val="009F1131"/>
    <w:rsid w:val="009F6A0F"/>
    <w:rsid w:val="009F77CF"/>
    <w:rsid w:val="00A24C10"/>
    <w:rsid w:val="00A3365A"/>
    <w:rsid w:val="00A42747"/>
    <w:rsid w:val="00A42AC3"/>
    <w:rsid w:val="00A430CF"/>
    <w:rsid w:val="00A54309"/>
    <w:rsid w:val="00AB2B93"/>
    <w:rsid w:val="00AB530F"/>
    <w:rsid w:val="00AB7E5B"/>
    <w:rsid w:val="00AC2883"/>
    <w:rsid w:val="00AE0EF1"/>
    <w:rsid w:val="00AE2937"/>
    <w:rsid w:val="00AF23E2"/>
    <w:rsid w:val="00B07301"/>
    <w:rsid w:val="00B11F3E"/>
    <w:rsid w:val="00B224DE"/>
    <w:rsid w:val="00B324D4"/>
    <w:rsid w:val="00B42643"/>
    <w:rsid w:val="00B46575"/>
    <w:rsid w:val="00B61777"/>
    <w:rsid w:val="00B84BBD"/>
    <w:rsid w:val="00BA43FB"/>
    <w:rsid w:val="00BB1928"/>
    <w:rsid w:val="00BC127D"/>
    <w:rsid w:val="00BC1FE6"/>
    <w:rsid w:val="00BE461A"/>
    <w:rsid w:val="00BF6DC1"/>
    <w:rsid w:val="00C0361E"/>
    <w:rsid w:val="00C061B6"/>
    <w:rsid w:val="00C16112"/>
    <w:rsid w:val="00C2446C"/>
    <w:rsid w:val="00C36AE5"/>
    <w:rsid w:val="00C41F17"/>
    <w:rsid w:val="00C527FA"/>
    <w:rsid w:val="00C5280D"/>
    <w:rsid w:val="00C53EB3"/>
    <w:rsid w:val="00C5791C"/>
    <w:rsid w:val="00C66290"/>
    <w:rsid w:val="00C72B7A"/>
    <w:rsid w:val="00C75A58"/>
    <w:rsid w:val="00C92046"/>
    <w:rsid w:val="00C973F2"/>
    <w:rsid w:val="00CA2147"/>
    <w:rsid w:val="00CA304C"/>
    <w:rsid w:val="00CA774A"/>
    <w:rsid w:val="00CA7BA1"/>
    <w:rsid w:val="00CC11B0"/>
    <w:rsid w:val="00CC2841"/>
    <w:rsid w:val="00CE5658"/>
    <w:rsid w:val="00CF1330"/>
    <w:rsid w:val="00CF7E36"/>
    <w:rsid w:val="00D3708D"/>
    <w:rsid w:val="00D40426"/>
    <w:rsid w:val="00D57C96"/>
    <w:rsid w:val="00D57D18"/>
    <w:rsid w:val="00D76A6E"/>
    <w:rsid w:val="00D91203"/>
    <w:rsid w:val="00D95174"/>
    <w:rsid w:val="00DA4973"/>
    <w:rsid w:val="00DA6F36"/>
    <w:rsid w:val="00DB323D"/>
    <w:rsid w:val="00DB4A96"/>
    <w:rsid w:val="00DB596E"/>
    <w:rsid w:val="00DB7773"/>
    <w:rsid w:val="00DC00EA"/>
    <w:rsid w:val="00DC3802"/>
    <w:rsid w:val="00DE22EE"/>
    <w:rsid w:val="00DE4322"/>
    <w:rsid w:val="00DF2271"/>
    <w:rsid w:val="00E07D87"/>
    <w:rsid w:val="00E32F7E"/>
    <w:rsid w:val="00E364BF"/>
    <w:rsid w:val="00E5267B"/>
    <w:rsid w:val="00E63C0E"/>
    <w:rsid w:val="00E672CE"/>
    <w:rsid w:val="00E72D49"/>
    <w:rsid w:val="00E7593C"/>
    <w:rsid w:val="00E7678A"/>
    <w:rsid w:val="00E935F1"/>
    <w:rsid w:val="00E948F9"/>
    <w:rsid w:val="00E94A81"/>
    <w:rsid w:val="00E96A50"/>
    <w:rsid w:val="00EA1FFB"/>
    <w:rsid w:val="00EB048E"/>
    <w:rsid w:val="00EB4E9C"/>
    <w:rsid w:val="00EE34DF"/>
    <w:rsid w:val="00EF2F89"/>
    <w:rsid w:val="00F03E98"/>
    <w:rsid w:val="00F101BE"/>
    <w:rsid w:val="00F1237A"/>
    <w:rsid w:val="00F155B9"/>
    <w:rsid w:val="00F22CBD"/>
    <w:rsid w:val="00F272F1"/>
    <w:rsid w:val="00F45372"/>
    <w:rsid w:val="00F560F7"/>
    <w:rsid w:val="00F6334D"/>
    <w:rsid w:val="00F63599"/>
    <w:rsid w:val="00FA49AB"/>
    <w:rsid w:val="00FE39C7"/>
    <w:rsid w:val="00FE7B0D"/>
    <w:rsid w:val="00FF4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BB22350"/>
  <w15:docId w15:val="{83BFB4A3-EE8F-4CC5-BBE5-83908DA7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3C19"/>
    <w:pPr>
      <w:jc w:val="both"/>
    </w:pPr>
    <w:rPr>
      <w:rFonts w:ascii="Arial" w:hAnsi="Arial"/>
    </w:rPr>
  </w:style>
  <w:style w:type="paragraph" w:styleId="Heading1">
    <w:name w:val="heading 1"/>
    <w:next w:val="Normal"/>
    <w:autoRedefine/>
    <w:qFormat/>
    <w:rsid w:val="004B65F2"/>
    <w:pPr>
      <w:keepNext/>
      <w:spacing w:after="240"/>
      <w:jc w:val="both"/>
      <w:outlineLvl w:val="0"/>
    </w:pPr>
    <w:rPr>
      <w:rFonts w:ascii="Arial" w:hAnsi="Arial"/>
      <w:b/>
      <w:caps/>
    </w:rPr>
  </w:style>
  <w:style w:type="paragraph" w:styleId="Heading2">
    <w:name w:val="heading 2"/>
    <w:next w:val="Normal"/>
    <w:autoRedefine/>
    <w:qFormat/>
    <w:rsid w:val="004805FA"/>
    <w:pPr>
      <w:keepNext/>
      <w:jc w:val="both"/>
      <w:outlineLvl w:val="1"/>
    </w:pPr>
    <w:rPr>
      <w:rFonts w:ascii="Arial" w:hAnsi="Arial"/>
      <w:u w:val="single"/>
    </w:rPr>
  </w:style>
  <w:style w:type="paragraph" w:styleId="Heading3">
    <w:name w:val="heading 3"/>
    <w:next w:val="Normal"/>
    <w:autoRedefine/>
    <w:qFormat/>
    <w:rsid w:val="004805FA"/>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AE2937"/>
    <w:pPr>
      <w:jc w:val="center"/>
    </w:pPr>
    <w:rPr>
      <w:rFonts w:ascii="Arial" w:hAnsi="Arial"/>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214C72"/>
    <w:pPr>
      <w:tabs>
        <w:tab w:val="left" w:pos="5387"/>
        <w:tab w:val="left" w:pos="5954"/>
      </w:tabs>
      <w:ind w:left="4820"/>
    </w:pPr>
    <w:rPr>
      <w:i/>
    </w:rPr>
  </w:style>
  <w:style w:type="paragraph" w:styleId="FootnoteText">
    <w:name w:val="footnote text"/>
    <w:link w:val="FootnoteTextChar"/>
    <w:autoRedefine/>
    <w:uiPriority w:val="99"/>
    <w:rsid w:val="002773C5"/>
    <w:pPr>
      <w:spacing w:before="60"/>
      <w:ind w:left="284" w:hanging="284"/>
      <w:jc w:val="both"/>
    </w:pPr>
    <w:rPr>
      <w:rFonts w:ascii="Arial" w:hAnsi="Arial"/>
      <w:sz w:val="16"/>
    </w:rPr>
  </w:style>
  <w:style w:type="character" w:styleId="FootnoteReference">
    <w:name w:val="footnote reference"/>
    <w:basedOn w:val="DefaultParagraphFont"/>
    <w:uiPriority w:val="99"/>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rPr>
  </w:style>
  <w:style w:type="paragraph" w:styleId="TOC2">
    <w:name w:val="toc 2"/>
    <w:next w:val="Normal"/>
    <w:autoRedefine/>
    <w:rsid w:val="003F5F2B"/>
    <w:pPr>
      <w:tabs>
        <w:tab w:val="right" w:leader="dot" w:pos="9639"/>
      </w:tabs>
      <w:spacing w:after="120"/>
      <w:ind w:left="454" w:right="851" w:hanging="284"/>
      <w:contextualSpacing/>
    </w:pPr>
    <w:rPr>
      <w:rFonts w:ascii="Arial" w:hAnsi="Arial"/>
      <w:smallCaps/>
    </w:rPr>
  </w:style>
  <w:style w:type="paragraph" w:styleId="TOC3">
    <w:name w:val="toc 3"/>
    <w:next w:val="Normal"/>
    <w:autoRedefine/>
    <w:rsid w:val="003F5F2B"/>
    <w:pPr>
      <w:tabs>
        <w:tab w:val="right" w:leader="dot" w:pos="9639"/>
      </w:tabs>
      <w:spacing w:after="120"/>
      <w:ind w:left="568" w:right="851" w:hanging="284"/>
    </w:pPr>
    <w:rPr>
      <w:rFonts w:ascii="Arial" w:hAnsi="Arial"/>
      <w:sz w:val="18"/>
    </w:rPr>
  </w:style>
  <w:style w:type="character" w:styleId="Hyperlink">
    <w:name w:val="Hyperlink"/>
    <w:basedOn w:val="DefaultParagraphFont"/>
    <w:rsid w:val="00AB530F"/>
    <w:rPr>
      <w:rFonts w:ascii="Arial" w:hAnsi="Arial"/>
      <w:color w:val="0000FF"/>
      <w:u w:val="single"/>
    </w:rPr>
  </w:style>
  <w:style w:type="paragraph" w:styleId="TOC4">
    <w:name w:val="toc 4"/>
    <w:next w:val="Normal"/>
    <w:autoRedefine/>
    <w:rsid w:val="003F5F2B"/>
    <w:pPr>
      <w:tabs>
        <w:tab w:val="right" w:leader="dot" w:pos="9639"/>
      </w:tabs>
      <w:spacing w:after="120"/>
      <w:ind w:left="738" w:right="851" w:hanging="284"/>
    </w:pPr>
    <w:rPr>
      <w:rFonts w:ascii="Arial" w:hAnsi="Arial"/>
      <w:i/>
      <w:sz w:val="18"/>
    </w:rPr>
  </w:style>
  <w:style w:type="paragraph" w:styleId="TOC1">
    <w:name w:val="toc 1"/>
    <w:next w:val="Normal"/>
    <w:autoRedefine/>
    <w:rsid w:val="003F5F2B"/>
    <w:pPr>
      <w:tabs>
        <w:tab w:val="right" w:leader="dot" w:pos="9639"/>
      </w:tabs>
      <w:spacing w:after="120"/>
      <w:jc w:val="center"/>
    </w:pPr>
    <w:rPr>
      <w:rFonts w:ascii="Arial" w:hAnsi="Arial"/>
      <w:caps/>
    </w:rPr>
  </w:style>
  <w:style w:type="paragraph" w:styleId="TOC5">
    <w:name w:val="toc 5"/>
    <w:next w:val="Normal"/>
    <w:autoRedefine/>
    <w:rsid w:val="003F5F2B"/>
    <w:pPr>
      <w:tabs>
        <w:tab w:val="right" w:leader="dot" w:pos="9639"/>
      </w:tabs>
      <w:spacing w:after="120"/>
      <w:ind w:left="567" w:right="851" w:firstLine="284"/>
      <w:jc w:val="both"/>
    </w:pPr>
    <w:rPr>
      <w:rFonts w:ascii="Arial" w:hAnsi="Arial"/>
      <w:sz w:val="16"/>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paragraph" w:customStyle="1" w:styleId="ONUME">
    <w:name w:val="ONUM E"/>
    <w:basedOn w:val="BodyText"/>
    <w:rsid w:val="004B65F2"/>
    <w:pPr>
      <w:numPr>
        <w:numId w:val="2"/>
      </w:numPr>
      <w:spacing w:after="240"/>
    </w:pPr>
    <w:rPr>
      <w:rFonts w:eastAsia="SimSun" w:cs="Arial"/>
    </w:rPr>
  </w:style>
  <w:style w:type="character" w:customStyle="1" w:styleId="FootnoteTextChar">
    <w:name w:val="Footnote Text Char"/>
    <w:basedOn w:val="DefaultParagraphFont"/>
    <w:link w:val="FootnoteText"/>
    <w:uiPriority w:val="99"/>
    <w:rsid w:val="002773C5"/>
    <w:rPr>
      <w:rFonts w:ascii="Arial" w:hAnsi="Arial"/>
      <w:sz w:val="16"/>
    </w:rPr>
  </w:style>
  <w:style w:type="paragraph" w:styleId="Caption">
    <w:name w:val="caption"/>
    <w:basedOn w:val="Normal"/>
    <w:next w:val="Normal"/>
    <w:qFormat/>
    <w:rsid w:val="00F101BE"/>
    <w:pPr>
      <w:jc w:val="left"/>
    </w:pPr>
    <w:rPr>
      <w:rFonts w:eastAsia="SimSun" w:cs="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854</Words>
  <Characters>6083</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C/59/15</vt:lpstr>
    </vt:vector>
  </TitlesOfParts>
  <Company>UPOV</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C/59/15</dc:title>
  <dc:creator>SANCHEZ VIZCAINO GOMEZ Rosa Maria</dc:creator>
  <cp:lastModifiedBy>SANCHEZ VIZCAINO GOMEZ Rosa Maria</cp:lastModifiedBy>
  <cp:revision>7</cp:revision>
  <cp:lastPrinted>2016-11-22T15:41:00Z</cp:lastPrinted>
  <dcterms:created xsi:type="dcterms:W3CDTF">2025-09-02T09:04:00Z</dcterms:created>
  <dcterms:modified xsi:type="dcterms:W3CDTF">2025-09-19T12:20:00Z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f51f5f,7fcba321,538d86c,6903190,30271a8b,18dfef49</vt:lpwstr>
  </property>
  <property fmtid="{D5CDD505-2E9C-101B-9397-08002B2CF9AE}" pid="3" name="ClassificationContentMarkingFooterFontProps">
    <vt:lpwstr>#000000,10,Calibri</vt:lpwstr>
  </property>
  <property fmtid="{D5CDD505-2E9C-101B-9397-08002B2CF9AE}" pid="4" name="ClassificationContentMarkingFooterText">
    <vt:lpwstr>WIPO FOR OFFICIAL USE ONLY </vt:lpwstr>
  </property>
  <property fmtid="{D5CDD505-2E9C-101B-9397-08002B2CF9AE}" pid="5" name="MSIP_Label_bfc084f7-b690-4c43-8ee6-d475b6d3461d_Enabled">
    <vt:lpwstr>true</vt:lpwstr>
  </property>
  <property fmtid="{D5CDD505-2E9C-101B-9397-08002B2CF9AE}" pid="6" name="MSIP_Label_bfc084f7-b690-4c43-8ee6-d475b6d3461d_SetDate">
    <vt:lpwstr>2025-09-01T19:17:54Z</vt:lpwstr>
  </property>
  <property fmtid="{D5CDD505-2E9C-101B-9397-08002B2CF9AE}" pid="7" name="MSIP_Label_bfc084f7-b690-4c43-8ee6-d475b6d3461d_Method">
    <vt:lpwstr>Standard</vt:lpwstr>
  </property>
  <property fmtid="{D5CDD505-2E9C-101B-9397-08002B2CF9AE}" pid="8" name="MSIP_Label_bfc084f7-b690-4c43-8ee6-d475b6d3461d_Name">
    <vt:lpwstr>FOR OFFICIAL USE ONLY</vt:lpwstr>
  </property>
  <property fmtid="{D5CDD505-2E9C-101B-9397-08002B2CF9AE}" pid="9" name="MSIP_Label_bfc084f7-b690-4c43-8ee6-d475b6d3461d_SiteId">
    <vt:lpwstr>faa31b06-8ccc-48c9-867f-f7510dd11c02</vt:lpwstr>
  </property>
  <property fmtid="{D5CDD505-2E9C-101B-9397-08002B2CF9AE}" pid="10" name="MSIP_Label_bfc084f7-b690-4c43-8ee6-d475b6d3461d_ActionId">
    <vt:lpwstr>4bdb134e-a19d-4b52-a8c8-2afbec4056a6</vt:lpwstr>
  </property>
  <property fmtid="{D5CDD505-2E9C-101B-9397-08002B2CF9AE}" pid="11" name="MSIP_Label_bfc084f7-b690-4c43-8ee6-d475b6d3461d_ContentBits">
    <vt:lpwstr>2</vt:lpwstr>
  </property>
  <property fmtid="{D5CDD505-2E9C-101B-9397-08002B2CF9AE}" pid="12" name="MSIP_Label_bfc084f7-b690-4c43-8ee6-d475b6d3461d_Tag">
    <vt:lpwstr>10, 3, 0, 1</vt:lpwstr>
  </property>
</Properties>
</file>