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83514" w14:paraId="7223C462" w14:textId="77777777" w:rsidTr="00EB4E9C">
        <w:tc>
          <w:tcPr>
            <w:tcW w:w="6522" w:type="dxa"/>
          </w:tcPr>
          <w:p w14:paraId="74EDDD4F" w14:textId="77777777" w:rsidR="00DC3802" w:rsidRPr="00E83514" w:rsidRDefault="00DC3802" w:rsidP="00BD4986">
            <w:pPr>
              <w:rPr>
                <w:lang w:val="de-DE"/>
              </w:rPr>
            </w:pPr>
            <w:r w:rsidRPr="00E83514">
              <w:rPr>
                <w:noProof/>
                <w:lang w:val="de-DE"/>
              </w:rPr>
              <w:drawing>
                <wp:inline distT="0" distB="0" distL="0" distR="0" wp14:anchorId="4095426C" wp14:editId="3921F49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4502837" w14:textId="1940E95E" w:rsidR="00214329" w:rsidRPr="00E83514" w:rsidRDefault="0098368F" w:rsidP="00BD4986">
            <w:pPr>
              <w:pStyle w:val="Lettrine"/>
              <w:spacing w:line="240" w:lineRule="auto"/>
              <w:rPr>
                <w:lang w:val="de-DE"/>
              </w:rPr>
            </w:pPr>
            <w:r w:rsidRPr="00E83514">
              <w:rPr>
                <w:lang w:val="de-DE"/>
              </w:rPr>
              <w:t>G</w:t>
            </w:r>
          </w:p>
        </w:tc>
      </w:tr>
      <w:tr w:rsidR="00DC3802" w:rsidRPr="00223459" w14:paraId="41500D65" w14:textId="77777777" w:rsidTr="00645CA8">
        <w:trPr>
          <w:trHeight w:val="219"/>
        </w:trPr>
        <w:tc>
          <w:tcPr>
            <w:tcW w:w="6522" w:type="dxa"/>
          </w:tcPr>
          <w:p w14:paraId="6131CDD9" w14:textId="77777777" w:rsidR="00214329" w:rsidRPr="00B140F2" w:rsidRDefault="0060633E" w:rsidP="00BD4986">
            <w:pPr>
              <w:pStyle w:val="upove"/>
              <w:rPr>
                <w:lang w:val="de-DE"/>
              </w:rPr>
            </w:pPr>
            <w:r w:rsidRPr="00B140F2">
              <w:rPr>
                <w:lang w:val="de-DE"/>
              </w:rPr>
              <w:t>Internationaler Verband zum Schutz von Pflanzenzüchtungen</w:t>
            </w:r>
          </w:p>
        </w:tc>
        <w:tc>
          <w:tcPr>
            <w:tcW w:w="3117" w:type="dxa"/>
          </w:tcPr>
          <w:p w14:paraId="4EB2ED8D" w14:textId="77777777" w:rsidR="00DC3802" w:rsidRPr="00B140F2" w:rsidRDefault="00DC3802" w:rsidP="00BD4986">
            <w:pPr>
              <w:rPr>
                <w:lang w:val="de-DE"/>
              </w:rPr>
            </w:pPr>
          </w:p>
        </w:tc>
      </w:tr>
    </w:tbl>
    <w:p w14:paraId="371EA6FF" w14:textId="77777777" w:rsidR="00DC3802" w:rsidRPr="00B140F2" w:rsidRDefault="00DC3802" w:rsidP="00BD4986">
      <w:pPr>
        <w:rPr>
          <w:lang w:val="de-DE"/>
        </w:rPr>
      </w:pPr>
    </w:p>
    <w:p w14:paraId="2DF94D2B" w14:textId="77777777" w:rsidR="00B22ED6" w:rsidRPr="00B140F2" w:rsidRDefault="00B22ED6" w:rsidP="00BD4986">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E83514" w14:paraId="0C2F18B3" w14:textId="77777777">
        <w:tc>
          <w:tcPr>
            <w:tcW w:w="6512" w:type="dxa"/>
          </w:tcPr>
          <w:p w14:paraId="3305CC06" w14:textId="77777777" w:rsidR="00451680" w:rsidRPr="00CA3542" w:rsidRDefault="00451680" w:rsidP="00BD4986">
            <w:pPr>
              <w:pStyle w:val="Sessiontwp"/>
              <w:rPr>
                <w:bCs/>
                <w:lang w:val="de-DE"/>
              </w:rPr>
            </w:pPr>
            <w:r w:rsidRPr="00CA3542">
              <w:rPr>
                <w:bCs/>
                <w:lang w:val="de-DE"/>
              </w:rPr>
              <w:t>Technischer Ausschuss</w:t>
            </w:r>
          </w:p>
          <w:p w14:paraId="0070DA60" w14:textId="77777777" w:rsidR="00451680" w:rsidRPr="00CA3542" w:rsidRDefault="00451680" w:rsidP="00BD4986">
            <w:pPr>
              <w:pStyle w:val="Sessiontwp"/>
              <w:rPr>
                <w:b w:val="0"/>
                <w:lang w:val="de-DE"/>
              </w:rPr>
            </w:pPr>
            <w:r w:rsidRPr="00CA3542">
              <w:rPr>
                <w:b w:val="0"/>
                <w:lang w:val="de-DE"/>
              </w:rPr>
              <w:t>Sechzigste Tagung</w:t>
            </w:r>
          </w:p>
          <w:p w14:paraId="04764056" w14:textId="77777777" w:rsidR="00451680" w:rsidRPr="00CA3542" w:rsidRDefault="00451680" w:rsidP="00BD4986">
            <w:pPr>
              <w:pStyle w:val="Sessiontwp"/>
              <w:rPr>
                <w:b w:val="0"/>
                <w:lang w:val="de-DE"/>
              </w:rPr>
            </w:pPr>
            <w:r w:rsidRPr="00CA3542">
              <w:rPr>
                <w:b w:val="0"/>
                <w:lang w:val="de-DE"/>
              </w:rPr>
              <w:t>Genf, 21. und 22. Oktober 2024</w:t>
            </w:r>
          </w:p>
          <w:p w14:paraId="478EE435" w14:textId="77777777" w:rsidR="00451680" w:rsidRPr="00CA3542" w:rsidRDefault="00451680" w:rsidP="00BD4986">
            <w:pPr>
              <w:pStyle w:val="Sessiontwp"/>
              <w:rPr>
                <w:bCs/>
                <w:lang w:val="de-DE"/>
              </w:rPr>
            </w:pPr>
          </w:p>
          <w:p w14:paraId="4FD596BC" w14:textId="77777777" w:rsidR="00451680" w:rsidRPr="00CA3542" w:rsidRDefault="00451680" w:rsidP="00BD4986">
            <w:pPr>
              <w:pStyle w:val="Sessiontwp"/>
              <w:rPr>
                <w:bCs/>
                <w:lang w:val="de-DE"/>
              </w:rPr>
            </w:pPr>
            <w:r w:rsidRPr="00CA3542">
              <w:rPr>
                <w:bCs/>
                <w:lang w:val="de-DE"/>
              </w:rPr>
              <w:t>Verwaltungs- und Rechtsausschuss</w:t>
            </w:r>
          </w:p>
          <w:p w14:paraId="50047DD7" w14:textId="77777777" w:rsidR="00451680" w:rsidRPr="00CA3542" w:rsidRDefault="00451680" w:rsidP="00BD4986">
            <w:pPr>
              <w:pStyle w:val="Sessiontwp"/>
              <w:rPr>
                <w:b w:val="0"/>
                <w:lang w:val="de-DE"/>
              </w:rPr>
            </w:pPr>
            <w:r w:rsidRPr="00CA3542">
              <w:rPr>
                <w:b w:val="0"/>
                <w:lang w:val="de-DE"/>
              </w:rPr>
              <w:t>Einundachtzigste Tagung</w:t>
            </w:r>
          </w:p>
          <w:p w14:paraId="575C8F40" w14:textId="77777777" w:rsidR="00451680" w:rsidRPr="00CA3542" w:rsidRDefault="00451680" w:rsidP="00BD4986">
            <w:pPr>
              <w:pStyle w:val="Sessiontwp"/>
              <w:rPr>
                <w:b w:val="0"/>
                <w:lang w:val="de-DE"/>
              </w:rPr>
            </w:pPr>
            <w:r w:rsidRPr="00CA3542">
              <w:rPr>
                <w:b w:val="0"/>
                <w:lang w:val="de-DE"/>
              </w:rPr>
              <w:t>Genf, 23. Oktober 2024</w:t>
            </w:r>
          </w:p>
          <w:p w14:paraId="14F0648B" w14:textId="77777777" w:rsidR="00451680" w:rsidRPr="00CA3542" w:rsidRDefault="00451680" w:rsidP="00BD4986">
            <w:pPr>
              <w:pStyle w:val="Sessiontwp"/>
              <w:rPr>
                <w:bCs/>
                <w:lang w:val="de-DE"/>
              </w:rPr>
            </w:pPr>
          </w:p>
          <w:p w14:paraId="654DD740" w14:textId="77777777" w:rsidR="00451680" w:rsidRPr="00CA3542" w:rsidRDefault="00451680" w:rsidP="00BD4986">
            <w:pPr>
              <w:pStyle w:val="Sessiontwp"/>
              <w:rPr>
                <w:bCs/>
                <w:lang w:val="de-DE"/>
              </w:rPr>
            </w:pPr>
            <w:r w:rsidRPr="00CA3542">
              <w:rPr>
                <w:bCs/>
                <w:lang w:val="de-DE"/>
              </w:rPr>
              <w:t>Der Rat</w:t>
            </w:r>
          </w:p>
          <w:p w14:paraId="76479946" w14:textId="77777777" w:rsidR="00451680" w:rsidRPr="00CA3542" w:rsidRDefault="00451680" w:rsidP="00BD4986">
            <w:pPr>
              <w:pStyle w:val="Sessiontwp"/>
              <w:rPr>
                <w:b w:val="0"/>
                <w:lang w:val="de-DE"/>
              </w:rPr>
            </w:pPr>
            <w:r w:rsidRPr="00CA3542">
              <w:rPr>
                <w:b w:val="0"/>
                <w:lang w:val="de-DE"/>
              </w:rPr>
              <w:t>Achtundfünfzigste ordentliche Tagung</w:t>
            </w:r>
          </w:p>
          <w:p w14:paraId="608DE2F8" w14:textId="33D00944" w:rsidR="00214329" w:rsidRPr="00CA3542" w:rsidRDefault="00451680" w:rsidP="00BD4986">
            <w:pPr>
              <w:rPr>
                <w:lang w:val="de-DE"/>
              </w:rPr>
            </w:pPr>
            <w:r w:rsidRPr="00CA3542">
              <w:rPr>
                <w:lang w:val="de-DE"/>
              </w:rPr>
              <w:t>Genf, 25. Oktober 2024</w:t>
            </w:r>
          </w:p>
        </w:tc>
        <w:tc>
          <w:tcPr>
            <w:tcW w:w="3127" w:type="dxa"/>
          </w:tcPr>
          <w:p w14:paraId="3E49298C" w14:textId="4821676C" w:rsidR="00214329" w:rsidRPr="00CA3542" w:rsidRDefault="00312285" w:rsidP="00BD4986">
            <w:pPr>
              <w:pStyle w:val="Doccode"/>
              <w:rPr>
                <w:lang w:val="de-DE"/>
              </w:rPr>
            </w:pPr>
            <w:r w:rsidRPr="00CA3542">
              <w:rPr>
                <w:lang w:val="de-DE"/>
              </w:rPr>
              <w:t>SESSIONS</w:t>
            </w:r>
            <w:r w:rsidR="00C047FC" w:rsidRPr="00CA3542">
              <w:rPr>
                <w:lang w:val="de-DE"/>
              </w:rPr>
              <w:t>/2024/2</w:t>
            </w:r>
          </w:p>
          <w:p w14:paraId="17CBB774" w14:textId="69438869" w:rsidR="00214329" w:rsidRPr="00CA3542" w:rsidRDefault="0060633E" w:rsidP="00BD4986">
            <w:pPr>
              <w:pStyle w:val="Docoriginal"/>
              <w:spacing w:line="240" w:lineRule="auto"/>
              <w:rPr>
                <w:lang w:val="de-DE"/>
              </w:rPr>
            </w:pPr>
            <w:r w:rsidRPr="00CA3542">
              <w:rPr>
                <w:lang w:val="de-DE"/>
              </w:rPr>
              <w:t>Original:</w:t>
            </w:r>
            <w:r w:rsidR="00FE0BFC" w:rsidRPr="00CA3542">
              <w:rPr>
                <w:b w:val="0"/>
                <w:spacing w:val="0"/>
                <w:lang w:val="de-DE"/>
              </w:rPr>
              <w:t xml:space="preserve"> </w:t>
            </w:r>
            <w:r w:rsidRPr="00CA3542">
              <w:rPr>
                <w:b w:val="0"/>
                <w:spacing w:val="0"/>
                <w:lang w:val="de-DE"/>
              </w:rPr>
              <w:t>Englisch</w:t>
            </w:r>
          </w:p>
          <w:p w14:paraId="7D499D93" w14:textId="5F5AA906" w:rsidR="00214329" w:rsidRPr="00B140F2" w:rsidRDefault="0060633E" w:rsidP="00BD4986">
            <w:pPr>
              <w:pStyle w:val="Docoriginal"/>
              <w:spacing w:line="240" w:lineRule="auto"/>
              <w:rPr>
                <w:lang w:val="de-DE"/>
              </w:rPr>
            </w:pPr>
            <w:r w:rsidRPr="00CA3542">
              <w:rPr>
                <w:lang w:val="de-DE"/>
              </w:rPr>
              <w:t>Datum:</w:t>
            </w:r>
            <w:r w:rsidR="00CA3542" w:rsidRPr="00CA3542">
              <w:rPr>
                <w:b w:val="0"/>
                <w:spacing w:val="0"/>
                <w:lang w:val="de-DE"/>
              </w:rPr>
              <w:t xml:space="preserve"> 5.</w:t>
            </w:r>
            <w:r w:rsidRPr="00CA3542">
              <w:rPr>
                <w:b w:val="0"/>
                <w:spacing w:val="0"/>
                <w:lang w:val="de-DE"/>
              </w:rPr>
              <w:t xml:space="preserve"> </w:t>
            </w:r>
            <w:r w:rsidR="002712D2" w:rsidRPr="00CA3542">
              <w:rPr>
                <w:b w:val="0"/>
                <w:bCs w:val="0"/>
                <w:spacing w:val="0"/>
                <w:lang w:val="de-DE"/>
              </w:rPr>
              <w:t xml:space="preserve">September </w:t>
            </w:r>
            <w:r w:rsidRPr="00CA3542">
              <w:rPr>
                <w:b w:val="0"/>
                <w:spacing w:val="0"/>
                <w:lang w:val="de-DE"/>
              </w:rPr>
              <w:t>2024</w:t>
            </w:r>
          </w:p>
        </w:tc>
      </w:tr>
    </w:tbl>
    <w:p w14:paraId="49BF1F1A" w14:textId="77777777" w:rsidR="007C7B52" w:rsidRPr="00B140F2" w:rsidRDefault="007C7B52" w:rsidP="00BD4986">
      <w:pPr>
        <w:pStyle w:val="Titleofdoc0"/>
        <w:rPr>
          <w:spacing w:val="-2"/>
          <w:lang w:val="de-DE"/>
        </w:rPr>
      </w:pPr>
      <w:r w:rsidRPr="00B140F2">
        <w:rPr>
          <w:spacing w:val="-2"/>
          <w:lang w:val="de-DE"/>
        </w:rPr>
        <w:t>Ausarbeitung von Anleitung und dem Rat zur Annahme vorgeschlagene Dokumente</w:t>
      </w:r>
    </w:p>
    <w:p w14:paraId="166791A3" w14:textId="77777777" w:rsidR="00214329" w:rsidRPr="00B140F2" w:rsidRDefault="0060633E" w:rsidP="00BD4986">
      <w:pPr>
        <w:pStyle w:val="preparedby1"/>
        <w:jc w:val="left"/>
        <w:rPr>
          <w:lang w:val="de-DE"/>
        </w:rPr>
      </w:pPr>
      <w:r w:rsidRPr="00B140F2">
        <w:rPr>
          <w:lang w:val="de-DE"/>
        </w:rPr>
        <w:t>Vom Verbandsbüro erstelltes Dokument</w:t>
      </w:r>
    </w:p>
    <w:p w14:paraId="2F594F48" w14:textId="77777777" w:rsidR="0027061A" w:rsidRPr="00B140F2" w:rsidRDefault="0027061A" w:rsidP="00BD4986">
      <w:pPr>
        <w:pStyle w:val="Disclaimer"/>
        <w:rPr>
          <w:lang w:val="de-DE"/>
        </w:rPr>
      </w:pPr>
      <w:r w:rsidRPr="00B140F2">
        <w:rPr>
          <w:lang w:val="de-DE"/>
        </w:rPr>
        <w:t>Haftungsausschluss: dieses Dokument gibt nicht die Grundsätze oder eine Anleitung der UPOV wieder</w:t>
      </w:r>
    </w:p>
    <w:p w14:paraId="3A76664C" w14:textId="082D35C1" w:rsidR="00214329" w:rsidRPr="00B140F2" w:rsidRDefault="00BE47EA" w:rsidP="00BD4986">
      <w:pPr>
        <w:pStyle w:val="Heading1"/>
        <w:rPr>
          <w:snapToGrid w:val="0"/>
          <w:lang w:val="de-DE"/>
        </w:rPr>
      </w:pPr>
      <w:bookmarkStart w:id="0" w:name="_Toc177493429"/>
      <w:r w:rsidRPr="00B140F2">
        <w:rPr>
          <w:snapToGrid w:val="0"/>
          <w:lang w:val="de-DE"/>
        </w:rPr>
        <w:t>ZUSAMMENFASSUNG</w:t>
      </w:r>
      <w:bookmarkEnd w:id="0"/>
    </w:p>
    <w:p w14:paraId="6B3F39C3" w14:textId="77777777" w:rsidR="004C351B" w:rsidRPr="00B140F2" w:rsidRDefault="004C351B" w:rsidP="00BD4986">
      <w:pPr>
        <w:rPr>
          <w:lang w:val="de-DE"/>
        </w:rPr>
      </w:pPr>
    </w:p>
    <w:p w14:paraId="7397EAF8" w14:textId="0A305BC0"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Zweck dieses Dokuments ist es, über die Entwicklungen zu berichten und den </w:t>
      </w:r>
      <w:r w:rsidR="00370CC0" w:rsidRPr="00B140F2">
        <w:rPr>
          <w:lang w:val="de-DE"/>
        </w:rPr>
        <w:t xml:space="preserve">Rat, den </w:t>
      </w:r>
      <w:r w:rsidRPr="00B140F2">
        <w:rPr>
          <w:lang w:val="de-DE"/>
        </w:rPr>
        <w:t xml:space="preserve">Technischen </w:t>
      </w:r>
      <w:r w:rsidR="00140936" w:rsidRPr="00B140F2">
        <w:rPr>
          <w:lang w:val="de-DE"/>
        </w:rPr>
        <w:t>Ausschuss</w:t>
      </w:r>
      <w:r w:rsidRPr="00B140F2">
        <w:rPr>
          <w:lang w:val="de-DE"/>
        </w:rPr>
        <w:t xml:space="preserve"> (TC) </w:t>
      </w:r>
      <w:r w:rsidR="00022724" w:rsidRPr="00B140F2">
        <w:rPr>
          <w:lang w:val="de-DE"/>
        </w:rPr>
        <w:t xml:space="preserve">und den </w:t>
      </w:r>
      <w:r w:rsidRPr="00B140F2">
        <w:rPr>
          <w:lang w:val="de-DE"/>
        </w:rPr>
        <w:t>Verwaltungs- und Rechts</w:t>
      </w:r>
      <w:r w:rsidR="00140936" w:rsidRPr="00B140F2">
        <w:rPr>
          <w:lang w:val="de-DE"/>
        </w:rPr>
        <w:t>ausschuss</w:t>
      </w:r>
      <w:r w:rsidRPr="00B140F2">
        <w:rPr>
          <w:lang w:val="de-DE"/>
        </w:rPr>
        <w:t xml:space="preserve"> (CAJ) </w:t>
      </w:r>
      <w:r w:rsidR="00317C70">
        <w:rPr>
          <w:lang w:val="de-DE"/>
        </w:rPr>
        <w:t>zu ersuchen</w:t>
      </w:r>
      <w:r w:rsidRPr="00B140F2">
        <w:rPr>
          <w:lang w:val="de-DE"/>
        </w:rPr>
        <w:t>, die zur Annahme im Jahr</w:t>
      </w:r>
      <w:r w:rsidR="00D93345">
        <w:rPr>
          <w:lang w:val="de-DE"/>
        </w:rPr>
        <w:t> </w:t>
      </w:r>
      <w:r w:rsidR="00522F25" w:rsidRPr="00B140F2">
        <w:rPr>
          <w:lang w:val="de-DE"/>
        </w:rPr>
        <w:t>2024</w:t>
      </w:r>
      <w:r w:rsidRPr="00B140F2">
        <w:rPr>
          <w:lang w:val="de-DE"/>
        </w:rPr>
        <w:t xml:space="preserve"> vorgelegt</w:t>
      </w:r>
      <w:r w:rsidR="00140936" w:rsidRPr="00B140F2">
        <w:rPr>
          <w:lang w:val="de-DE"/>
        </w:rPr>
        <w:t>en wichtigen Angelegenheiten und/oder Dokumente zu prüfen</w:t>
      </w:r>
      <w:r w:rsidRPr="00B140F2">
        <w:rPr>
          <w:lang w:val="de-DE"/>
        </w:rPr>
        <w:t>.</w:t>
      </w:r>
    </w:p>
    <w:p w14:paraId="261E131F" w14:textId="77777777" w:rsidR="004C351B" w:rsidRPr="00B140F2" w:rsidRDefault="004C351B" w:rsidP="00BD4986">
      <w:pPr>
        <w:rPr>
          <w:lang w:val="de-DE"/>
        </w:rPr>
      </w:pPr>
    </w:p>
    <w:p w14:paraId="6AD05CCF" w14:textId="5C8BE412"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Dieses Dokument ist in </w:t>
      </w:r>
      <w:r w:rsidR="00D8173F" w:rsidRPr="00B140F2">
        <w:rPr>
          <w:lang w:val="de-DE"/>
        </w:rPr>
        <w:t xml:space="preserve">zwei </w:t>
      </w:r>
      <w:r w:rsidR="005C1ADB" w:rsidRPr="00B140F2">
        <w:rPr>
          <w:lang w:val="de-DE"/>
        </w:rPr>
        <w:t xml:space="preserve">Abschnitte </w:t>
      </w:r>
      <w:r w:rsidR="00521CE7" w:rsidRPr="00B140F2">
        <w:rPr>
          <w:lang w:val="de-DE"/>
        </w:rPr>
        <w:t>untergliedert</w:t>
      </w:r>
      <w:r w:rsidRPr="00B140F2">
        <w:rPr>
          <w:lang w:val="de-DE"/>
        </w:rPr>
        <w:t xml:space="preserve">: </w:t>
      </w:r>
    </w:p>
    <w:p w14:paraId="56855527" w14:textId="77777777" w:rsidR="0068508E" w:rsidRPr="00B140F2" w:rsidRDefault="0068508E" w:rsidP="00BD4986">
      <w:pPr>
        <w:rPr>
          <w:lang w:val="de-DE"/>
        </w:rPr>
      </w:pPr>
    </w:p>
    <w:p w14:paraId="54209EFF" w14:textId="7DB95F7A" w:rsidR="00214329" w:rsidRPr="00B140F2" w:rsidRDefault="001C4FD6" w:rsidP="00BD4986">
      <w:pPr>
        <w:ind w:left="1134" w:hanging="567"/>
        <w:rPr>
          <w:lang w:val="de-DE"/>
        </w:rPr>
      </w:pPr>
      <w:r w:rsidRPr="00B140F2">
        <w:rPr>
          <w:lang w:val="de-DE"/>
        </w:rPr>
        <w:t>„</w:t>
      </w:r>
      <w:r w:rsidR="005C1ADB" w:rsidRPr="00B140F2">
        <w:rPr>
          <w:lang w:val="de-DE"/>
        </w:rPr>
        <w:t xml:space="preserve">I. </w:t>
      </w:r>
      <w:r w:rsidR="009B46C1" w:rsidRPr="00B140F2">
        <w:rPr>
          <w:lang w:val="de-DE"/>
        </w:rPr>
        <w:tab/>
      </w:r>
      <w:r w:rsidR="00D63DAB" w:rsidRPr="00B140F2">
        <w:rPr>
          <w:lang w:val="de-DE"/>
        </w:rPr>
        <w:t>Dem Rat zur Annahme vorgeschlagene Dokumente im Jahr 2024</w:t>
      </w:r>
      <w:r w:rsidRPr="00B140F2">
        <w:rPr>
          <w:lang w:val="de-DE"/>
        </w:rPr>
        <w:t>“</w:t>
      </w:r>
      <w:r w:rsidR="0060633E" w:rsidRPr="00B140F2">
        <w:rPr>
          <w:lang w:val="de-DE"/>
        </w:rPr>
        <w:t xml:space="preserve"> </w:t>
      </w:r>
      <w:r w:rsidR="00D63DAB" w:rsidRPr="00B140F2">
        <w:rPr>
          <w:lang w:val="de-DE"/>
        </w:rPr>
        <w:t>erteilt Auskünfte</w:t>
      </w:r>
      <w:r w:rsidR="0060633E" w:rsidRPr="00B140F2">
        <w:rPr>
          <w:lang w:val="de-DE"/>
        </w:rPr>
        <w:t xml:space="preserve"> und ersucht </w:t>
      </w:r>
      <w:r w:rsidR="00264027" w:rsidRPr="00B140F2">
        <w:rPr>
          <w:lang w:val="de-DE"/>
        </w:rPr>
        <w:t xml:space="preserve">den Rat </w:t>
      </w:r>
      <w:r w:rsidR="0060633E" w:rsidRPr="00B140F2">
        <w:rPr>
          <w:lang w:val="de-DE"/>
        </w:rPr>
        <w:t xml:space="preserve">um die Annahme </w:t>
      </w:r>
      <w:r w:rsidR="00264027" w:rsidRPr="00B140F2">
        <w:rPr>
          <w:lang w:val="de-DE"/>
        </w:rPr>
        <w:t>der entsprechenden Dokumente</w:t>
      </w:r>
      <w:r w:rsidR="000373D4" w:rsidRPr="00B140F2">
        <w:rPr>
          <w:lang w:val="de-DE"/>
        </w:rPr>
        <w:t xml:space="preserve">, vorbehaltlich </w:t>
      </w:r>
      <w:r w:rsidR="008C0A3D" w:rsidRPr="00B140F2">
        <w:rPr>
          <w:lang w:val="de-DE"/>
        </w:rPr>
        <w:t>der Zustimmung durch den</w:t>
      </w:r>
      <w:r w:rsidR="000373D4" w:rsidRPr="00B140F2">
        <w:rPr>
          <w:lang w:val="de-DE"/>
        </w:rPr>
        <w:t xml:space="preserve"> TC und/oder </w:t>
      </w:r>
      <w:r w:rsidR="00521CE7" w:rsidRPr="00B140F2">
        <w:rPr>
          <w:lang w:val="de-DE"/>
        </w:rPr>
        <w:t xml:space="preserve">den </w:t>
      </w:r>
      <w:r w:rsidR="000373D4" w:rsidRPr="00B140F2">
        <w:rPr>
          <w:lang w:val="de-DE"/>
        </w:rPr>
        <w:t>CAJ</w:t>
      </w:r>
      <w:r w:rsidR="009F08FF" w:rsidRPr="00B140F2">
        <w:rPr>
          <w:lang w:val="de-DE"/>
        </w:rPr>
        <w:t>;</w:t>
      </w:r>
    </w:p>
    <w:p w14:paraId="028070B6" w14:textId="77777777" w:rsidR="0068508E" w:rsidRPr="00B140F2" w:rsidRDefault="0068508E" w:rsidP="00BD4986">
      <w:pPr>
        <w:ind w:left="1134" w:hanging="567"/>
        <w:rPr>
          <w:lang w:val="de-DE"/>
        </w:rPr>
      </w:pPr>
    </w:p>
    <w:p w14:paraId="1470A1F4" w14:textId="09F1FFEB" w:rsidR="00214329" w:rsidRPr="00B140F2" w:rsidRDefault="001C4FD6" w:rsidP="00BD4986">
      <w:pPr>
        <w:ind w:left="1134" w:hanging="567"/>
        <w:rPr>
          <w:lang w:val="de-DE"/>
        </w:rPr>
      </w:pPr>
      <w:r w:rsidRPr="00B140F2">
        <w:rPr>
          <w:lang w:val="de-DE"/>
        </w:rPr>
        <w:t>„</w:t>
      </w:r>
      <w:r w:rsidR="005C1ADB" w:rsidRPr="00B140F2">
        <w:rPr>
          <w:lang w:val="de-DE"/>
        </w:rPr>
        <w:t xml:space="preserve">II. </w:t>
      </w:r>
      <w:r w:rsidR="009B46C1" w:rsidRPr="00B140F2">
        <w:rPr>
          <w:lang w:val="de-DE"/>
        </w:rPr>
        <w:tab/>
      </w:r>
      <w:r w:rsidR="00EE37CE">
        <w:rPr>
          <w:lang w:val="de-DE"/>
        </w:rPr>
        <w:t>Vom Technischen Ausschuss zu prüfende Angelegenheiten</w:t>
      </w:r>
      <w:r w:rsidR="00D030BC" w:rsidRPr="00B140F2">
        <w:rPr>
          <w:lang w:val="de-DE"/>
        </w:rPr>
        <w:t xml:space="preserve">“ berichtet über Entwicklungen im Hinblick auf mögliche künftige Überarbeitungen von </w:t>
      </w:r>
      <w:r w:rsidR="00A139A8">
        <w:rPr>
          <w:lang w:val="de-DE"/>
        </w:rPr>
        <w:t xml:space="preserve">Anleitung und Informationsmaterial </w:t>
      </w:r>
      <w:r w:rsidR="00EE37CE">
        <w:rPr>
          <w:lang w:val="de-DE"/>
        </w:rPr>
        <w:t>zur Erörterung im TC</w:t>
      </w:r>
      <w:r w:rsidR="0060633E" w:rsidRPr="00B140F2">
        <w:rPr>
          <w:lang w:val="de-DE"/>
        </w:rPr>
        <w:t>.</w:t>
      </w:r>
    </w:p>
    <w:p w14:paraId="4001CB16" w14:textId="77777777" w:rsidR="004C351B" w:rsidRPr="00B140F2" w:rsidRDefault="004C351B" w:rsidP="00BD4986">
      <w:pPr>
        <w:rPr>
          <w:lang w:val="de-DE"/>
        </w:rPr>
      </w:pPr>
    </w:p>
    <w:p w14:paraId="1FD8D360" w14:textId="58BD822C"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Der Rat wird ersucht, die folgenden Dokumente im Jahr 2024 anzunehmen</w:t>
      </w:r>
      <w:r w:rsidR="3952685C" w:rsidRPr="00B140F2">
        <w:rPr>
          <w:lang w:val="de-DE"/>
        </w:rPr>
        <w:t xml:space="preserve">: </w:t>
      </w:r>
    </w:p>
    <w:p w14:paraId="5C31CF2F" w14:textId="77777777" w:rsidR="004C351B" w:rsidRPr="00B140F2" w:rsidRDefault="004C351B" w:rsidP="00BD4986">
      <w:pPr>
        <w:rPr>
          <w:lang w:val="de-DE"/>
        </w:rPr>
      </w:pPr>
    </w:p>
    <w:p w14:paraId="7DE61896" w14:textId="4B90BC76" w:rsidR="00214329" w:rsidRPr="00B140F2" w:rsidRDefault="0060633E" w:rsidP="00BD4986">
      <w:pPr>
        <w:ind w:left="1134" w:hanging="567"/>
        <w:rPr>
          <w:lang w:val="de-DE"/>
        </w:rPr>
      </w:pPr>
      <w:r w:rsidRPr="00B140F2">
        <w:rPr>
          <w:lang w:val="de-DE"/>
        </w:rPr>
        <w:t>I.</w:t>
      </w:r>
      <w:r w:rsidRPr="00B140F2">
        <w:rPr>
          <w:lang w:val="de-DE"/>
        </w:rPr>
        <w:tab/>
      </w:r>
      <w:r w:rsidR="00FF5269" w:rsidRPr="00B140F2">
        <w:rPr>
          <w:lang w:val="de-DE"/>
        </w:rPr>
        <w:t>DEM</w:t>
      </w:r>
      <w:r w:rsidR="694BC152" w:rsidRPr="00B140F2">
        <w:rPr>
          <w:lang w:val="de-DE"/>
        </w:rPr>
        <w:t xml:space="preserve"> RAT ZUR ANNAHME </w:t>
      </w:r>
      <w:r w:rsidR="00B9687D" w:rsidRPr="00B140F2">
        <w:rPr>
          <w:lang w:val="de-DE"/>
        </w:rPr>
        <w:t xml:space="preserve">VORGESCHLAGENE </w:t>
      </w:r>
      <w:r w:rsidR="694BC152" w:rsidRPr="00B140F2">
        <w:rPr>
          <w:lang w:val="de-DE"/>
        </w:rPr>
        <w:t>DOKUMENTE</w:t>
      </w:r>
      <w:r w:rsidR="00521CE7" w:rsidRPr="00B140F2">
        <w:rPr>
          <w:lang w:val="de-DE"/>
        </w:rPr>
        <w:t xml:space="preserve"> IM JAHR 2024</w:t>
      </w:r>
    </w:p>
    <w:p w14:paraId="7F4A1C83" w14:textId="77777777" w:rsidR="00390906" w:rsidRPr="00B140F2" w:rsidRDefault="00390906" w:rsidP="00BD4986">
      <w:pPr>
        <w:ind w:left="567"/>
        <w:rPr>
          <w:lang w:val="de-DE"/>
        </w:rPr>
      </w:pPr>
    </w:p>
    <w:p w14:paraId="5934CEB1" w14:textId="45296587" w:rsidR="00214329" w:rsidRPr="00B140F2" w:rsidRDefault="0060633E" w:rsidP="00BD4986">
      <w:pPr>
        <w:ind w:left="567"/>
        <w:rPr>
          <w:u w:val="single"/>
          <w:lang w:val="de-DE"/>
        </w:rPr>
      </w:pPr>
      <w:r w:rsidRPr="00B140F2">
        <w:rPr>
          <w:u w:val="single"/>
          <w:lang w:val="de-DE"/>
        </w:rPr>
        <w:t xml:space="preserve">Dokumente </w:t>
      </w:r>
      <w:r w:rsidR="00EE2C9D" w:rsidRPr="00B140F2">
        <w:rPr>
          <w:u w:val="single"/>
          <w:lang w:val="de-DE"/>
        </w:rPr>
        <w:t xml:space="preserve">zur Annahme durch den Rat, </w:t>
      </w:r>
      <w:r w:rsidRPr="00B140F2">
        <w:rPr>
          <w:u w:val="single"/>
          <w:lang w:val="de-DE"/>
        </w:rPr>
        <w:t xml:space="preserve">vorbehaltlich der </w:t>
      </w:r>
      <w:r w:rsidR="00345B74" w:rsidRPr="00B140F2">
        <w:rPr>
          <w:u w:val="single"/>
          <w:lang w:val="de-DE"/>
        </w:rPr>
        <w:t>Zustimmung durch den TC und den CAJ</w:t>
      </w:r>
    </w:p>
    <w:p w14:paraId="59EA34F1" w14:textId="77777777" w:rsidR="00FE44B9" w:rsidRPr="00B140F2" w:rsidRDefault="00FE44B9" w:rsidP="00BD4986">
      <w:pPr>
        <w:ind w:left="567"/>
        <w:rPr>
          <w:lang w:val="de-DE"/>
        </w:rPr>
      </w:pPr>
    </w:p>
    <w:p w14:paraId="08FDD6D3" w14:textId="4D4402B0" w:rsidR="00214329" w:rsidRPr="00B140F2" w:rsidRDefault="0060633E" w:rsidP="00BD4986">
      <w:pPr>
        <w:spacing w:after="120"/>
        <w:ind w:left="567"/>
        <w:jc w:val="left"/>
        <w:rPr>
          <w:lang w:val="de-DE"/>
        </w:rPr>
      </w:pPr>
      <w:r w:rsidRPr="00B140F2">
        <w:rPr>
          <w:lang w:val="de-DE"/>
        </w:rPr>
        <w:t xml:space="preserve">a) </w:t>
      </w:r>
      <w:r w:rsidRPr="00B140F2">
        <w:rPr>
          <w:lang w:val="de-DE"/>
        </w:rPr>
        <w:tab/>
        <w:t>Informationsdokumente:</w:t>
      </w:r>
    </w:p>
    <w:p w14:paraId="0D2704E4" w14:textId="6E28CD5C" w:rsidR="00214329" w:rsidRPr="00B140F2" w:rsidRDefault="0060633E" w:rsidP="00BD4986">
      <w:pPr>
        <w:spacing w:after="120"/>
        <w:ind w:left="2835" w:right="-426" w:hanging="1701"/>
        <w:jc w:val="left"/>
        <w:rPr>
          <w:lang w:val="de-DE"/>
        </w:rPr>
      </w:pPr>
      <w:r w:rsidRPr="00B140F2">
        <w:rPr>
          <w:lang w:val="de-DE"/>
        </w:rPr>
        <w:t>UPOV/INF/16</w:t>
      </w:r>
      <w:r w:rsidR="000B089C" w:rsidRPr="00B140F2">
        <w:rPr>
          <w:lang w:val="de-DE"/>
        </w:rPr>
        <w:tab/>
      </w:r>
      <w:r w:rsidRPr="00B140F2">
        <w:rPr>
          <w:lang w:val="de-DE"/>
        </w:rPr>
        <w:t>Austauschbare Software (</w:t>
      </w:r>
      <w:r w:rsidR="000B089C" w:rsidRPr="00B140F2">
        <w:rPr>
          <w:lang w:val="de-DE"/>
        </w:rPr>
        <w:t>Überarbeitung</w:t>
      </w:r>
      <w:r w:rsidRPr="00B140F2">
        <w:rPr>
          <w:lang w:val="de-DE"/>
        </w:rPr>
        <w:t>)</w:t>
      </w:r>
    </w:p>
    <w:p w14:paraId="2CF3670F" w14:textId="5695E90A" w:rsidR="00214329" w:rsidRPr="00B140F2" w:rsidRDefault="0060633E" w:rsidP="00BD4986">
      <w:pPr>
        <w:spacing w:after="120"/>
        <w:ind w:left="2835" w:hanging="1701"/>
        <w:jc w:val="left"/>
        <w:rPr>
          <w:lang w:val="de-DE"/>
        </w:rPr>
      </w:pPr>
      <w:r w:rsidRPr="00B140F2">
        <w:rPr>
          <w:lang w:val="de-DE"/>
        </w:rPr>
        <w:t>UPOV/INF/22</w:t>
      </w:r>
      <w:r w:rsidR="000B089C" w:rsidRPr="00B140F2">
        <w:rPr>
          <w:lang w:val="de-DE"/>
        </w:rPr>
        <w:tab/>
      </w:r>
      <w:r w:rsidR="00120900" w:rsidRPr="00B140F2">
        <w:rPr>
          <w:lang w:val="de-DE"/>
        </w:rPr>
        <w:t>Von Verbandsmitgliedern verwendete Software und Ausrüstung</w:t>
      </w:r>
      <w:r w:rsidRPr="00B140F2">
        <w:rPr>
          <w:lang w:val="de-DE"/>
        </w:rPr>
        <w:t xml:space="preserve"> (</w:t>
      </w:r>
      <w:r w:rsidR="000B089C" w:rsidRPr="00B140F2">
        <w:rPr>
          <w:lang w:val="de-DE"/>
        </w:rPr>
        <w:t>Überarbeitung</w:t>
      </w:r>
      <w:r w:rsidRPr="00B140F2">
        <w:rPr>
          <w:lang w:val="de-DE"/>
        </w:rPr>
        <w:t>)</w:t>
      </w:r>
    </w:p>
    <w:p w14:paraId="10C58830" w14:textId="4527FB6B" w:rsidR="00214329" w:rsidRPr="00B140F2" w:rsidRDefault="0060633E" w:rsidP="00BD4986">
      <w:pPr>
        <w:keepNext/>
        <w:spacing w:after="120"/>
        <w:ind w:left="567"/>
        <w:jc w:val="left"/>
        <w:rPr>
          <w:lang w:val="de-DE"/>
        </w:rPr>
      </w:pPr>
      <w:r w:rsidRPr="00B140F2">
        <w:rPr>
          <w:lang w:val="de-DE"/>
        </w:rPr>
        <w:t>b)</w:t>
      </w:r>
      <w:r w:rsidRPr="00B140F2">
        <w:rPr>
          <w:lang w:val="de-DE"/>
        </w:rPr>
        <w:tab/>
        <w:t>Erläuterungen:</w:t>
      </w:r>
    </w:p>
    <w:p w14:paraId="050655D5" w14:textId="7DFB8795" w:rsidR="00214329" w:rsidRPr="00B140F2" w:rsidRDefault="0060633E" w:rsidP="00BD4986">
      <w:pPr>
        <w:pStyle w:val="ListParagraph"/>
        <w:keepNext/>
        <w:spacing w:after="120"/>
        <w:ind w:left="2835" w:hanging="1701"/>
        <w:contextualSpacing w:val="0"/>
        <w:jc w:val="left"/>
        <w:rPr>
          <w:lang w:val="de-DE"/>
        </w:rPr>
      </w:pPr>
      <w:r w:rsidRPr="00B140F2">
        <w:rPr>
          <w:lang w:val="de-DE"/>
        </w:rPr>
        <w:t xml:space="preserve">UPOV/EXN/DEN </w:t>
      </w:r>
      <w:r w:rsidRPr="00B140F2">
        <w:rPr>
          <w:lang w:val="de-DE"/>
        </w:rPr>
        <w:tab/>
        <w:t>Erläuterungen zu Sortenbezeichnungen nach dem UPOV-Übereinkommen (</w:t>
      </w:r>
      <w:r w:rsidR="000B089C" w:rsidRPr="00B140F2">
        <w:rPr>
          <w:lang w:val="de-DE"/>
        </w:rPr>
        <w:t>Überarbeitung</w:t>
      </w:r>
      <w:r w:rsidRPr="00B140F2">
        <w:rPr>
          <w:lang w:val="de-DE"/>
        </w:rPr>
        <w:t>)</w:t>
      </w:r>
    </w:p>
    <w:p w14:paraId="5F178F4A" w14:textId="77777777" w:rsidR="00214329" w:rsidRPr="00B140F2" w:rsidRDefault="0060633E" w:rsidP="00BD4986">
      <w:pPr>
        <w:spacing w:after="120"/>
        <w:ind w:left="3119" w:hanging="284"/>
        <w:jc w:val="left"/>
        <w:rPr>
          <w:i/>
          <w:iCs/>
          <w:lang w:val="de-DE"/>
        </w:rPr>
      </w:pPr>
      <w:r w:rsidRPr="00B140F2">
        <w:rPr>
          <w:lang w:val="de-DE"/>
        </w:rPr>
        <w:t>-</w:t>
      </w:r>
      <w:r w:rsidRPr="00B140F2">
        <w:rPr>
          <w:lang w:val="de-DE"/>
        </w:rPr>
        <w:tab/>
      </w:r>
      <w:r w:rsidRPr="00B140F2">
        <w:rPr>
          <w:i/>
          <w:iCs/>
          <w:lang w:val="de-DE"/>
        </w:rPr>
        <w:t xml:space="preserve">Neue Sortenbezeichnungsklassen für </w:t>
      </w:r>
      <w:r w:rsidRPr="00B140F2">
        <w:rPr>
          <w:lang w:val="de-DE"/>
        </w:rPr>
        <w:t xml:space="preserve">Prunus </w:t>
      </w:r>
      <w:r w:rsidRPr="00B140F2">
        <w:rPr>
          <w:i/>
          <w:iCs/>
          <w:lang w:val="de-DE"/>
        </w:rPr>
        <w:t>und Situationen, in denen eine Bezeichnung mit anderen Klassen innerhalb einer Gattung verglichen werden sollte</w:t>
      </w:r>
    </w:p>
    <w:p w14:paraId="25E0EB97" w14:textId="29E51DC6" w:rsidR="00214329" w:rsidRPr="00B140F2" w:rsidRDefault="0060633E" w:rsidP="00BD4986">
      <w:pPr>
        <w:keepNext/>
        <w:spacing w:after="120"/>
        <w:ind w:left="567"/>
        <w:jc w:val="left"/>
        <w:rPr>
          <w:lang w:val="de-DE"/>
        </w:rPr>
      </w:pPr>
      <w:r w:rsidRPr="00B140F2">
        <w:rPr>
          <w:lang w:val="de-DE"/>
        </w:rPr>
        <w:t xml:space="preserve">c) </w:t>
      </w:r>
      <w:r w:rsidRPr="00B140F2">
        <w:rPr>
          <w:lang w:val="de-DE"/>
        </w:rPr>
        <w:tab/>
        <w:t>TGP-Dokumente:</w:t>
      </w:r>
    </w:p>
    <w:p w14:paraId="40BAD44D" w14:textId="77690CB1" w:rsidR="00214329" w:rsidRPr="00B140F2" w:rsidRDefault="0060633E" w:rsidP="00BD4986">
      <w:pPr>
        <w:spacing w:after="120"/>
        <w:ind w:left="2835" w:hanging="1701"/>
        <w:jc w:val="left"/>
        <w:rPr>
          <w:lang w:val="de-DE"/>
        </w:rPr>
      </w:pPr>
      <w:r w:rsidRPr="00B140F2">
        <w:rPr>
          <w:lang w:val="de-DE"/>
        </w:rPr>
        <w:t>TGP/7</w:t>
      </w:r>
      <w:r w:rsidR="00BD6E50" w:rsidRPr="00B140F2">
        <w:rPr>
          <w:lang w:val="de-DE"/>
        </w:rPr>
        <w:tab/>
        <w:t>Erstellung von Prüfungsrichtlinien</w:t>
      </w:r>
      <w:r w:rsidR="00FE0BFC" w:rsidRPr="00B140F2">
        <w:rPr>
          <w:lang w:val="de-DE"/>
        </w:rPr>
        <w:t xml:space="preserve"> </w:t>
      </w:r>
      <w:r w:rsidRPr="00B140F2">
        <w:rPr>
          <w:lang w:val="de-DE"/>
        </w:rPr>
        <w:t>(</w:t>
      </w:r>
      <w:r w:rsidR="000B089C" w:rsidRPr="00B140F2">
        <w:rPr>
          <w:lang w:val="de-DE"/>
        </w:rPr>
        <w:t>Überarbeitung</w:t>
      </w:r>
      <w:r w:rsidRPr="00B140F2">
        <w:rPr>
          <w:lang w:val="de-DE"/>
        </w:rPr>
        <w:t>)</w:t>
      </w:r>
    </w:p>
    <w:p w14:paraId="5A6F5CA5" w14:textId="55A35459" w:rsidR="00214329" w:rsidRPr="00B140F2" w:rsidRDefault="0060633E" w:rsidP="00BD4986">
      <w:pPr>
        <w:spacing w:after="120"/>
        <w:ind w:left="3118" w:hanging="283"/>
        <w:jc w:val="left"/>
        <w:rPr>
          <w:i/>
          <w:iCs/>
          <w:lang w:val="de-DE"/>
        </w:rPr>
      </w:pPr>
      <w:r w:rsidRPr="00B140F2">
        <w:rPr>
          <w:lang w:val="de-DE"/>
        </w:rPr>
        <w:t>-</w:t>
      </w:r>
      <w:r w:rsidRPr="00B140F2">
        <w:rPr>
          <w:lang w:val="de-DE"/>
        </w:rPr>
        <w:tab/>
      </w:r>
      <w:r w:rsidRPr="00B140F2">
        <w:rPr>
          <w:i/>
          <w:iCs/>
          <w:lang w:val="de-DE"/>
        </w:rPr>
        <w:t xml:space="preserve">Zusätzlicher Standardwortlaut (ASW) 3 </w:t>
      </w:r>
      <w:r w:rsidR="001C4FD6" w:rsidRPr="00B140F2">
        <w:rPr>
          <w:i/>
          <w:iCs/>
          <w:lang w:val="de-DE"/>
        </w:rPr>
        <w:t>„</w:t>
      </w:r>
      <w:r w:rsidRPr="00B140F2">
        <w:rPr>
          <w:i/>
          <w:iCs/>
          <w:lang w:val="de-DE"/>
        </w:rPr>
        <w:t>Erläuterung der Wachstumsperiode</w:t>
      </w:r>
      <w:r w:rsidR="001C4FD6" w:rsidRPr="00B140F2">
        <w:rPr>
          <w:i/>
          <w:iCs/>
          <w:lang w:val="de-DE"/>
        </w:rPr>
        <w:t>“</w:t>
      </w:r>
    </w:p>
    <w:p w14:paraId="7D421B80" w14:textId="49FE1CF1" w:rsidR="00214329" w:rsidRPr="00B140F2" w:rsidRDefault="0060633E" w:rsidP="00BD4986">
      <w:pPr>
        <w:spacing w:after="120"/>
        <w:ind w:left="2835" w:hanging="1701"/>
        <w:jc w:val="left"/>
        <w:rPr>
          <w:lang w:val="de-DE"/>
        </w:rPr>
      </w:pPr>
      <w:r w:rsidRPr="00B140F2">
        <w:rPr>
          <w:lang w:val="de-DE"/>
        </w:rPr>
        <w:lastRenderedPageBreak/>
        <w:t>TGP/12</w:t>
      </w:r>
      <w:r w:rsidR="00BD6E50" w:rsidRPr="00B140F2">
        <w:rPr>
          <w:lang w:val="de-DE"/>
        </w:rPr>
        <w:tab/>
      </w:r>
      <w:r w:rsidRPr="00B140F2">
        <w:rPr>
          <w:lang w:val="de-DE"/>
        </w:rPr>
        <w:t>Anleitung zu bestimmten physiologischen Merkmalen (</w:t>
      </w:r>
      <w:r w:rsidR="000B089C" w:rsidRPr="00B140F2">
        <w:rPr>
          <w:lang w:val="de-DE"/>
        </w:rPr>
        <w:t>Überarbeitung</w:t>
      </w:r>
      <w:r w:rsidRPr="00B140F2">
        <w:rPr>
          <w:lang w:val="de-DE"/>
        </w:rPr>
        <w:t>)</w:t>
      </w:r>
    </w:p>
    <w:p w14:paraId="6C25FD7A" w14:textId="0A9ADF5A" w:rsidR="00214329" w:rsidRPr="00B140F2" w:rsidRDefault="0060633E" w:rsidP="00BD4986">
      <w:pPr>
        <w:spacing w:after="240"/>
        <w:ind w:left="3119" w:hanging="284"/>
        <w:jc w:val="left"/>
        <w:rPr>
          <w:i/>
          <w:iCs/>
          <w:lang w:val="de-DE"/>
        </w:rPr>
      </w:pPr>
      <w:bookmarkStart w:id="1" w:name="_Hlk163142940"/>
      <w:r w:rsidRPr="00B140F2">
        <w:rPr>
          <w:lang w:val="de-DE"/>
        </w:rPr>
        <w:t>-</w:t>
      </w:r>
      <w:r w:rsidRPr="00B140F2">
        <w:rPr>
          <w:lang w:val="de-DE"/>
        </w:rPr>
        <w:tab/>
      </w:r>
      <w:bookmarkStart w:id="2" w:name="_Hlk171344679"/>
      <w:r w:rsidR="00923263" w:rsidRPr="00B140F2">
        <w:rPr>
          <w:i/>
          <w:iCs/>
          <w:lang w:val="de-DE"/>
        </w:rPr>
        <w:t>Gleichwertigkeitstabelle</w:t>
      </w:r>
      <w:r w:rsidRPr="00B140F2">
        <w:rPr>
          <w:i/>
          <w:iCs/>
          <w:lang w:val="de-DE"/>
        </w:rPr>
        <w:t xml:space="preserve"> für Ausprägungsstufen bei quantitativen </w:t>
      </w:r>
      <w:bookmarkEnd w:id="1"/>
      <w:bookmarkEnd w:id="2"/>
      <w:r w:rsidR="00C32BF0" w:rsidRPr="00B140F2">
        <w:rPr>
          <w:i/>
          <w:iCs/>
          <w:lang w:val="de-DE"/>
        </w:rPr>
        <w:t>Krankheitsresistenzmerkmalen in den Prüfungsrichtlinien</w:t>
      </w:r>
    </w:p>
    <w:p w14:paraId="087A1474" w14:textId="14F7A65D" w:rsidR="00214329" w:rsidRPr="00B140F2" w:rsidRDefault="0060633E" w:rsidP="00BD4986">
      <w:pPr>
        <w:ind w:left="567"/>
        <w:rPr>
          <w:u w:val="single"/>
          <w:lang w:val="de-DE"/>
        </w:rPr>
      </w:pPr>
      <w:r w:rsidRPr="00B140F2">
        <w:rPr>
          <w:u w:val="single"/>
          <w:lang w:val="de-DE"/>
        </w:rPr>
        <w:t xml:space="preserve">Dokumente </w:t>
      </w:r>
      <w:r w:rsidR="00EE2C9D" w:rsidRPr="00B140F2">
        <w:rPr>
          <w:u w:val="single"/>
          <w:lang w:val="de-DE"/>
        </w:rPr>
        <w:t xml:space="preserve">zur Annahme durch den Rat, </w:t>
      </w:r>
      <w:r w:rsidR="00822E27" w:rsidRPr="00B140F2">
        <w:rPr>
          <w:u w:val="single"/>
          <w:lang w:val="de-DE"/>
        </w:rPr>
        <w:t xml:space="preserve">vorbehaltlich </w:t>
      </w:r>
      <w:r w:rsidR="008C0A3D" w:rsidRPr="00B140F2">
        <w:rPr>
          <w:u w:val="single"/>
          <w:lang w:val="de-DE"/>
        </w:rPr>
        <w:t>der Zustimmung durch den</w:t>
      </w:r>
      <w:r w:rsidR="00822E27" w:rsidRPr="00B140F2">
        <w:rPr>
          <w:u w:val="single"/>
          <w:lang w:val="de-DE"/>
        </w:rPr>
        <w:t xml:space="preserve"> CAJ</w:t>
      </w:r>
    </w:p>
    <w:p w14:paraId="4E6F659B" w14:textId="77777777" w:rsidR="004C351B" w:rsidRPr="00B140F2" w:rsidRDefault="004C351B" w:rsidP="00BD4986">
      <w:pPr>
        <w:ind w:left="567"/>
        <w:rPr>
          <w:lang w:val="de-DE"/>
        </w:rPr>
      </w:pPr>
    </w:p>
    <w:p w14:paraId="2299BF61" w14:textId="5EE0B608" w:rsidR="00214329" w:rsidRPr="00B140F2" w:rsidRDefault="0060633E" w:rsidP="00BD4986">
      <w:pPr>
        <w:ind w:left="2835" w:hanging="1701"/>
        <w:jc w:val="left"/>
        <w:rPr>
          <w:lang w:val="de-DE"/>
        </w:rPr>
      </w:pPr>
      <w:r w:rsidRPr="00B140F2">
        <w:rPr>
          <w:lang w:val="de-DE"/>
        </w:rPr>
        <w:t>UPOV/EXN/PPM</w:t>
      </w:r>
      <w:r w:rsidR="008C0A3D" w:rsidRPr="00B140F2">
        <w:rPr>
          <w:lang w:val="de-DE"/>
        </w:rPr>
        <w:tab/>
      </w:r>
      <w:r w:rsidRPr="00B140F2">
        <w:rPr>
          <w:lang w:val="de-DE"/>
        </w:rPr>
        <w:t xml:space="preserve">Erläuterungen </w:t>
      </w:r>
      <w:r w:rsidR="00706DD7" w:rsidRPr="00B140F2">
        <w:rPr>
          <w:lang w:val="de-DE"/>
        </w:rPr>
        <w:t>z</w:t>
      </w:r>
      <w:r w:rsidRPr="00B140F2">
        <w:rPr>
          <w:lang w:val="de-DE"/>
        </w:rPr>
        <w:t>u Vermehrungsmaterial nach dem UPOV-Übereinkommen (</w:t>
      </w:r>
      <w:r w:rsidR="000B089C" w:rsidRPr="00B140F2">
        <w:rPr>
          <w:lang w:val="de-DE"/>
        </w:rPr>
        <w:t>Überarbeitung</w:t>
      </w:r>
      <w:r w:rsidRPr="00B140F2">
        <w:rPr>
          <w:lang w:val="de-DE"/>
        </w:rPr>
        <w:t>)</w:t>
      </w:r>
    </w:p>
    <w:p w14:paraId="7F4FBE6E" w14:textId="77777777" w:rsidR="002E22E6" w:rsidRPr="00B140F2" w:rsidRDefault="002E22E6" w:rsidP="00BD4986">
      <w:pPr>
        <w:ind w:left="3402" w:hanging="1701"/>
        <w:jc w:val="left"/>
        <w:rPr>
          <w:lang w:val="de-DE"/>
        </w:rPr>
      </w:pPr>
    </w:p>
    <w:p w14:paraId="31498C21" w14:textId="2AAB1FBD" w:rsidR="00214329" w:rsidRPr="00B140F2" w:rsidRDefault="00527026" w:rsidP="00BD4986">
      <w:pPr>
        <w:ind w:left="567"/>
        <w:rPr>
          <w:u w:val="single"/>
          <w:lang w:val="de-DE"/>
        </w:rPr>
      </w:pPr>
      <w:r w:rsidRPr="00B140F2">
        <w:rPr>
          <w:u w:val="single"/>
          <w:lang w:val="de-DE"/>
        </w:rPr>
        <w:t xml:space="preserve">Weitere </w:t>
      </w:r>
      <w:r w:rsidR="0044437B" w:rsidRPr="00B140F2">
        <w:rPr>
          <w:u w:val="single"/>
          <w:lang w:val="de-DE"/>
        </w:rPr>
        <w:t>Dokumente zur Annahme durch den Rat</w:t>
      </w:r>
    </w:p>
    <w:p w14:paraId="6D91A5BA" w14:textId="77777777" w:rsidR="002E22E6" w:rsidRPr="00B140F2" w:rsidRDefault="002E22E6" w:rsidP="00BD4986">
      <w:pPr>
        <w:ind w:left="567"/>
        <w:rPr>
          <w:lang w:val="de-DE"/>
        </w:rPr>
      </w:pPr>
    </w:p>
    <w:p w14:paraId="078FC550" w14:textId="7D93B95C" w:rsidR="00214329" w:rsidRPr="00B140F2" w:rsidRDefault="0060633E" w:rsidP="00BD4986">
      <w:pPr>
        <w:spacing w:after="120"/>
        <w:ind w:left="2835" w:hanging="1701"/>
        <w:jc w:val="left"/>
        <w:rPr>
          <w:lang w:val="de-DE"/>
        </w:rPr>
      </w:pPr>
      <w:r w:rsidRPr="00B140F2">
        <w:rPr>
          <w:lang w:val="de-DE"/>
        </w:rPr>
        <w:t>UPOV/INF/6</w:t>
      </w:r>
      <w:r w:rsidRPr="00B140F2">
        <w:rPr>
          <w:lang w:val="de-DE"/>
        </w:rPr>
        <w:tab/>
        <w:t>Anleitung zur Ausarbeitung von Rechtsvorschriften aufgrund der Akte von 1991 des UPOV-Übereinkommens (</w:t>
      </w:r>
      <w:r w:rsidR="000B089C" w:rsidRPr="00B140F2">
        <w:rPr>
          <w:lang w:val="de-DE"/>
        </w:rPr>
        <w:t>Überarbeitung</w:t>
      </w:r>
      <w:r w:rsidRPr="00B140F2">
        <w:rPr>
          <w:lang w:val="de-DE"/>
        </w:rPr>
        <w:t>)</w:t>
      </w:r>
    </w:p>
    <w:p w14:paraId="3191418A" w14:textId="5DA1604F" w:rsidR="00214329" w:rsidRPr="00B140F2" w:rsidRDefault="0060633E" w:rsidP="00BD4986">
      <w:pPr>
        <w:spacing w:after="120"/>
        <w:ind w:left="2835" w:hanging="1701"/>
        <w:jc w:val="left"/>
        <w:rPr>
          <w:lang w:val="de-DE"/>
        </w:rPr>
      </w:pPr>
      <w:r w:rsidRPr="00B140F2">
        <w:rPr>
          <w:lang w:val="de-DE"/>
        </w:rPr>
        <w:t>UPOV/INF-EXN</w:t>
      </w:r>
      <w:r w:rsidR="00CD1E43" w:rsidRPr="00B140F2">
        <w:rPr>
          <w:lang w:val="de-DE"/>
        </w:rPr>
        <w:tab/>
      </w:r>
      <w:r w:rsidRPr="00B140F2">
        <w:rPr>
          <w:lang w:val="de-DE"/>
        </w:rPr>
        <w:t>Liste</w:t>
      </w:r>
      <w:r w:rsidR="00CD1E43" w:rsidRPr="00B140F2">
        <w:rPr>
          <w:lang w:val="de-DE"/>
        </w:rPr>
        <w:t xml:space="preserve"> </w:t>
      </w:r>
      <w:r w:rsidRPr="00B140F2">
        <w:rPr>
          <w:lang w:val="de-DE"/>
        </w:rPr>
        <w:t xml:space="preserve">der UPOV/INF-EXN-Dokumente und </w:t>
      </w:r>
      <w:r w:rsidR="008A68FC" w:rsidRPr="00B140F2">
        <w:rPr>
          <w:lang w:val="de-DE"/>
        </w:rPr>
        <w:t xml:space="preserve">Datum der jüngsten Ausgabe </w:t>
      </w:r>
      <w:r w:rsidRPr="00B140F2">
        <w:rPr>
          <w:lang w:val="de-DE"/>
        </w:rPr>
        <w:t>(</w:t>
      </w:r>
      <w:r w:rsidR="000B089C" w:rsidRPr="00B140F2">
        <w:rPr>
          <w:lang w:val="de-DE"/>
        </w:rPr>
        <w:t>Überarbeitung</w:t>
      </w:r>
      <w:r w:rsidRPr="00B140F2">
        <w:rPr>
          <w:lang w:val="de-DE"/>
        </w:rPr>
        <w:t>)</w:t>
      </w:r>
    </w:p>
    <w:p w14:paraId="2C8C1CCE" w14:textId="650D114C" w:rsidR="00214329" w:rsidRPr="00B140F2" w:rsidRDefault="0060633E" w:rsidP="00BD4986">
      <w:pPr>
        <w:spacing w:after="120"/>
        <w:ind w:left="2835" w:hanging="1701"/>
        <w:jc w:val="left"/>
        <w:rPr>
          <w:snapToGrid w:val="0"/>
          <w:lang w:val="de-DE"/>
        </w:rPr>
      </w:pPr>
      <w:r w:rsidRPr="00B140F2">
        <w:rPr>
          <w:snapToGrid w:val="0"/>
          <w:lang w:val="de-DE"/>
        </w:rPr>
        <w:t>TGP/0</w:t>
      </w:r>
      <w:r w:rsidRPr="00B140F2">
        <w:rPr>
          <w:bCs/>
          <w:snapToGrid w:val="0"/>
          <w:szCs w:val="24"/>
          <w:lang w:val="de-DE"/>
        </w:rPr>
        <w:tab/>
      </w:r>
      <w:r w:rsidRPr="00B140F2">
        <w:rPr>
          <w:snapToGrid w:val="0"/>
          <w:lang w:val="de-DE"/>
        </w:rPr>
        <w:t xml:space="preserve">Liste der TGP-Dokumente und </w:t>
      </w:r>
      <w:r w:rsidR="00A423AA" w:rsidRPr="00B140F2">
        <w:rPr>
          <w:lang w:val="de-DE"/>
        </w:rPr>
        <w:t>Datum der jüngsten Ausgabe</w:t>
      </w:r>
      <w:r w:rsidR="00A423AA" w:rsidRPr="00B140F2">
        <w:rPr>
          <w:snapToGrid w:val="0"/>
          <w:lang w:val="de-DE"/>
        </w:rPr>
        <w:t xml:space="preserve"> </w:t>
      </w:r>
      <w:r w:rsidRPr="00B140F2">
        <w:rPr>
          <w:snapToGrid w:val="0"/>
          <w:lang w:val="de-DE"/>
        </w:rPr>
        <w:t>(</w:t>
      </w:r>
      <w:r w:rsidR="000B089C" w:rsidRPr="00B140F2">
        <w:rPr>
          <w:snapToGrid w:val="0"/>
          <w:lang w:val="de-DE"/>
        </w:rPr>
        <w:t>Überarbeitung</w:t>
      </w:r>
      <w:r w:rsidRPr="00B140F2">
        <w:rPr>
          <w:snapToGrid w:val="0"/>
          <w:lang w:val="de-DE"/>
        </w:rPr>
        <w:t>)</w:t>
      </w:r>
    </w:p>
    <w:p w14:paraId="1639E43A" w14:textId="77777777" w:rsidR="009F08FF" w:rsidRPr="00B140F2" w:rsidRDefault="009F08FF" w:rsidP="00BD4986">
      <w:pPr>
        <w:rPr>
          <w:lang w:val="de-DE"/>
        </w:rPr>
      </w:pPr>
    </w:p>
    <w:p w14:paraId="45F5534C" w14:textId="3EC1A858"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Der Rat wird ersucht, die Entwicklungen </w:t>
      </w:r>
      <w:r w:rsidR="00527026" w:rsidRPr="00B140F2">
        <w:rPr>
          <w:lang w:val="de-DE"/>
        </w:rPr>
        <w:t>im Hinblick auf mögliche künftige</w:t>
      </w:r>
      <w:r w:rsidRPr="00B140F2">
        <w:rPr>
          <w:lang w:val="de-DE"/>
        </w:rPr>
        <w:t xml:space="preserve"> Überarbeitungen von </w:t>
      </w:r>
      <w:r w:rsidR="00A139A8">
        <w:rPr>
          <w:lang w:val="de-DE"/>
        </w:rPr>
        <w:t xml:space="preserve">Anleitung und Informationsmaterial </w:t>
      </w:r>
      <w:r w:rsidR="00EE37CE">
        <w:rPr>
          <w:lang w:val="de-DE"/>
        </w:rPr>
        <w:t>zur Erörterung im TC</w:t>
      </w:r>
      <w:r w:rsidRPr="00B140F2">
        <w:rPr>
          <w:lang w:val="de-DE"/>
        </w:rPr>
        <w:t xml:space="preserve">, wie in den Absätzen 43 bis 62 dargelegt, zur Kenntnis zu nehmen. </w:t>
      </w:r>
    </w:p>
    <w:p w14:paraId="6F89565C" w14:textId="77777777" w:rsidR="00157599" w:rsidRPr="00B140F2" w:rsidRDefault="00157599" w:rsidP="00BD4986">
      <w:pPr>
        <w:rPr>
          <w:lang w:val="de-DE"/>
        </w:rPr>
      </w:pPr>
    </w:p>
    <w:p w14:paraId="02C2F9C4" w14:textId="0BED371D" w:rsidR="00214329" w:rsidRPr="00B140F2" w:rsidRDefault="0060633E" w:rsidP="00BD4986">
      <w:pPr>
        <w:ind w:left="567"/>
        <w:rPr>
          <w:lang w:val="de-DE"/>
        </w:rPr>
      </w:pPr>
      <w:r w:rsidRPr="00B140F2">
        <w:rPr>
          <w:lang w:val="de-DE"/>
        </w:rPr>
        <w:t xml:space="preserve">II. </w:t>
      </w:r>
      <w:r w:rsidRPr="00B140F2">
        <w:rPr>
          <w:lang w:val="de-DE"/>
        </w:rPr>
        <w:tab/>
        <w:t xml:space="preserve">VOM TECHNISCHEN AUSSCHUSS </w:t>
      </w:r>
      <w:r w:rsidR="00704895" w:rsidRPr="00B140F2">
        <w:rPr>
          <w:lang w:val="de-DE"/>
        </w:rPr>
        <w:t>ZU PRÜFENDE ANGELEGENHEITEN</w:t>
      </w:r>
    </w:p>
    <w:p w14:paraId="0CF48EE0" w14:textId="77777777" w:rsidR="004C351B" w:rsidRPr="00B140F2" w:rsidRDefault="004C351B" w:rsidP="00BD4986">
      <w:pPr>
        <w:ind w:left="567"/>
        <w:rPr>
          <w:lang w:val="de-DE"/>
        </w:rPr>
      </w:pPr>
    </w:p>
    <w:p w14:paraId="1D19E379" w14:textId="56AF800B"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Der </w:t>
      </w:r>
      <w:r w:rsidR="008F4165" w:rsidRPr="00B140F2">
        <w:rPr>
          <w:lang w:val="de-DE"/>
        </w:rPr>
        <w:t xml:space="preserve">Technische </w:t>
      </w:r>
      <w:r w:rsidR="00140936" w:rsidRPr="00B140F2">
        <w:rPr>
          <w:lang w:val="de-DE"/>
        </w:rPr>
        <w:t>Ausschuss</w:t>
      </w:r>
      <w:r w:rsidR="008F4165" w:rsidRPr="00B140F2">
        <w:rPr>
          <w:lang w:val="de-DE"/>
        </w:rPr>
        <w:t xml:space="preserve"> </w:t>
      </w:r>
      <w:r w:rsidRPr="00B140F2">
        <w:rPr>
          <w:lang w:val="de-DE"/>
        </w:rPr>
        <w:t xml:space="preserve">wird ersucht, </w:t>
      </w:r>
      <w:r w:rsidR="00814D90" w:rsidRPr="00B140F2">
        <w:rPr>
          <w:lang w:val="de-DE"/>
        </w:rPr>
        <w:t xml:space="preserve">Entwicklungen </w:t>
      </w:r>
      <w:r w:rsidR="00521CE7" w:rsidRPr="00B140F2">
        <w:rPr>
          <w:lang w:val="de-DE"/>
        </w:rPr>
        <w:t>im Hinblick auf mögliche künftige</w:t>
      </w:r>
      <w:r w:rsidR="00521CE7" w:rsidRPr="00B140F2" w:rsidDel="00521CE7">
        <w:rPr>
          <w:lang w:val="de-DE"/>
        </w:rPr>
        <w:t xml:space="preserve"> </w:t>
      </w:r>
      <w:r w:rsidR="00814D90" w:rsidRPr="00B140F2">
        <w:rPr>
          <w:lang w:val="de-DE"/>
        </w:rPr>
        <w:t xml:space="preserve">Überarbeitungen von </w:t>
      </w:r>
      <w:r w:rsidR="00A139A8">
        <w:rPr>
          <w:lang w:val="de-DE"/>
        </w:rPr>
        <w:t xml:space="preserve">Anleitung und Informationsmaterial </w:t>
      </w:r>
      <w:r w:rsidR="000539BA">
        <w:rPr>
          <w:lang w:val="de-DE"/>
        </w:rPr>
        <w:t>zur Erörterung im TC</w:t>
      </w:r>
      <w:r w:rsidR="008F4165" w:rsidRPr="00B140F2">
        <w:rPr>
          <w:lang w:val="de-DE"/>
        </w:rPr>
        <w:t xml:space="preserve">, wie in den Absätzen </w:t>
      </w:r>
      <w:r w:rsidR="00B622B3" w:rsidRPr="00B140F2">
        <w:rPr>
          <w:lang w:val="de-DE"/>
        </w:rPr>
        <w:t xml:space="preserve">43 bis 62 </w:t>
      </w:r>
      <w:r w:rsidR="008F4165" w:rsidRPr="00B140F2">
        <w:rPr>
          <w:lang w:val="de-DE"/>
        </w:rPr>
        <w:t>dargelegt</w:t>
      </w:r>
      <w:r w:rsidR="398EA19F" w:rsidRPr="00B140F2">
        <w:rPr>
          <w:lang w:val="de-DE"/>
        </w:rPr>
        <w:t xml:space="preserve">, </w:t>
      </w:r>
      <w:r w:rsidR="000539BA" w:rsidRPr="00B140F2">
        <w:rPr>
          <w:lang w:val="de-DE"/>
        </w:rPr>
        <w:t>zu prüfen</w:t>
      </w:r>
      <w:r w:rsidR="000539BA">
        <w:rPr>
          <w:lang w:val="de-DE"/>
        </w:rPr>
        <w:t>,</w:t>
      </w:r>
      <w:r w:rsidR="000539BA" w:rsidRPr="00B140F2">
        <w:rPr>
          <w:lang w:val="de-DE"/>
        </w:rPr>
        <w:t xml:space="preserve"> </w:t>
      </w:r>
      <w:r w:rsidR="000E5154" w:rsidRPr="00B140F2">
        <w:rPr>
          <w:lang w:val="de-DE"/>
        </w:rPr>
        <w:t xml:space="preserve">und </w:t>
      </w:r>
      <w:r w:rsidR="00746DCB" w:rsidRPr="00B140F2">
        <w:rPr>
          <w:lang w:val="de-DE"/>
        </w:rPr>
        <w:t>zwar</w:t>
      </w:r>
      <w:r w:rsidR="00521CE7" w:rsidRPr="00B140F2">
        <w:rPr>
          <w:lang w:val="de-DE"/>
        </w:rPr>
        <w:t>:</w:t>
      </w:r>
      <w:r w:rsidR="00746DCB" w:rsidRPr="00B140F2">
        <w:rPr>
          <w:lang w:val="de-DE"/>
        </w:rPr>
        <w:t xml:space="preserve"> </w:t>
      </w:r>
    </w:p>
    <w:p w14:paraId="053856FE" w14:textId="77777777" w:rsidR="1CD3AC13" w:rsidRPr="00B140F2" w:rsidRDefault="1CD3AC13" w:rsidP="00BD4986">
      <w:pPr>
        <w:rPr>
          <w:lang w:val="de-DE"/>
        </w:rPr>
      </w:pPr>
    </w:p>
    <w:p w14:paraId="5D6E01C9" w14:textId="398227E6" w:rsidR="00214329" w:rsidRPr="00B140F2" w:rsidRDefault="0060633E" w:rsidP="00BD4986">
      <w:pPr>
        <w:pStyle w:val="ListParagraph"/>
        <w:numPr>
          <w:ilvl w:val="0"/>
          <w:numId w:val="33"/>
        </w:numPr>
        <w:ind w:left="1134" w:hanging="567"/>
        <w:rPr>
          <w:lang w:val="de-DE"/>
        </w:rPr>
      </w:pPr>
      <w:r w:rsidRPr="00B140F2">
        <w:rPr>
          <w:lang w:val="de-DE"/>
        </w:rPr>
        <w:t xml:space="preserve">Dokument </w:t>
      </w:r>
      <w:r w:rsidR="2D8E49C6" w:rsidRPr="00B140F2">
        <w:rPr>
          <w:lang w:val="de-DE"/>
        </w:rPr>
        <w:t xml:space="preserve">TGP/5 </w:t>
      </w:r>
      <w:r w:rsidR="001C4FD6" w:rsidRPr="00B140F2">
        <w:rPr>
          <w:lang w:val="de-DE"/>
        </w:rPr>
        <w:t>„</w:t>
      </w:r>
      <w:r w:rsidR="2D8E49C6" w:rsidRPr="00B140F2">
        <w:rPr>
          <w:lang w:val="de-DE"/>
        </w:rPr>
        <w:t>Erfahrung und Zusammenarbeit bei der DUS-Prüfung</w:t>
      </w:r>
      <w:r w:rsidR="001C4FD6" w:rsidRPr="00B140F2">
        <w:rPr>
          <w:lang w:val="de-DE"/>
        </w:rPr>
        <w:t>“</w:t>
      </w:r>
      <w:r w:rsidR="2D8E49C6" w:rsidRPr="00B140F2">
        <w:rPr>
          <w:lang w:val="de-DE"/>
        </w:rPr>
        <w:t xml:space="preserve">, Abschnitt 6 </w:t>
      </w:r>
      <w:r w:rsidR="001C4FD6" w:rsidRPr="00B140F2">
        <w:rPr>
          <w:lang w:val="de-DE"/>
        </w:rPr>
        <w:t>„</w:t>
      </w:r>
      <w:r w:rsidR="2D8E49C6" w:rsidRPr="00B140F2">
        <w:rPr>
          <w:lang w:val="de-DE"/>
        </w:rPr>
        <w:t>UPOV</w:t>
      </w:r>
      <w:r w:rsidR="00D93345">
        <w:rPr>
          <w:lang w:val="de-DE"/>
        </w:rPr>
        <w:noBreakHyphen/>
      </w:r>
      <w:r w:rsidR="2D8E49C6" w:rsidRPr="00B140F2">
        <w:rPr>
          <w:lang w:val="de-DE"/>
        </w:rPr>
        <w:t>Bericht über die technische Prüfung und UPOV-Sortenbeschreibung</w:t>
      </w:r>
      <w:r w:rsidR="001C4FD6" w:rsidRPr="00B140F2">
        <w:rPr>
          <w:lang w:val="de-DE"/>
        </w:rPr>
        <w:t>“</w:t>
      </w:r>
      <w:r w:rsidR="2D8E49C6" w:rsidRPr="00B140F2">
        <w:rPr>
          <w:lang w:val="de-DE"/>
        </w:rPr>
        <w:t xml:space="preserve"> (</w:t>
      </w:r>
      <w:r w:rsidR="000B089C" w:rsidRPr="00B140F2">
        <w:rPr>
          <w:lang w:val="de-DE"/>
        </w:rPr>
        <w:t>Überarbeitung</w:t>
      </w:r>
      <w:r w:rsidR="2D8E49C6" w:rsidRPr="00B140F2">
        <w:rPr>
          <w:lang w:val="de-DE"/>
        </w:rPr>
        <w:t>)</w:t>
      </w:r>
    </w:p>
    <w:p w14:paraId="6047645B" w14:textId="77777777" w:rsidR="1CD3AC13" w:rsidRPr="00B140F2" w:rsidRDefault="1CD3AC13" w:rsidP="00BD4986">
      <w:pPr>
        <w:ind w:left="1134" w:hanging="567"/>
        <w:rPr>
          <w:lang w:val="de-DE"/>
        </w:rPr>
      </w:pPr>
    </w:p>
    <w:p w14:paraId="2DE1E19C" w14:textId="77777777" w:rsidR="00214329" w:rsidRPr="00B140F2" w:rsidRDefault="0060633E" w:rsidP="00BD4986">
      <w:pPr>
        <w:pStyle w:val="ListParagraph"/>
        <w:numPr>
          <w:ilvl w:val="0"/>
          <w:numId w:val="33"/>
        </w:numPr>
        <w:ind w:left="1134" w:hanging="567"/>
        <w:rPr>
          <w:lang w:val="de-DE"/>
        </w:rPr>
      </w:pPr>
      <w:r w:rsidRPr="00B140F2">
        <w:rPr>
          <w:lang w:val="de-DE"/>
        </w:rPr>
        <w:t xml:space="preserve">Dokument </w:t>
      </w:r>
      <w:r w:rsidR="2D8E49C6" w:rsidRPr="00B140F2">
        <w:rPr>
          <w:lang w:val="de-DE"/>
        </w:rPr>
        <w:t>TGP/7: Erstellung von Prüfungsrichtlinien (Überarbeitung)</w:t>
      </w:r>
    </w:p>
    <w:p w14:paraId="4D98DC63" w14:textId="77777777" w:rsidR="1CD3AC13" w:rsidRPr="00B140F2" w:rsidRDefault="1CD3AC13" w:rsidP="00BD4986">
      <w:pPr>
        <w:ind w:left="1134" w:hanging="567"/>
        <w:rPr>
          <w:lang w:val="de-DE"/>
        </w:rPr>
      </w:pPr>
    </w:p>
    <w:p w14:paraId="7C4B9D13" w14:textId="16B79E8B" w:rsidR="00214329" w:rsidRPr="00B140F2" w:rsidRDefault="00521CE7" w:rsidP="00BD4986">
      <w:pPr>
        <w:pStyle w:val="ListParagraph"/>
        <w:numPr>
          <w:ilvl w:val="0"/>
          <w:numId w:val="33"/>
        </w:numPr>
        <w:ind w:left="1134" w:hanging="567"/>
        <w:rPr>
          <w:lang w:val="de-DE"/>
        </w:rPr>
      </w:pPr>
      <w:r w:rsidRPr="00B140F2">
        <w:rPr>
          <w:lang w:val="de-DE"/>
        </w:rPr>
        <w:t xml:space="preserve">Zugang </w:t>
      </w:r>
      <w:r w:rsidR="00BC1485" w:rsidRPr="00B140F2">
        <w:rPr>
          <w:lang w:val="de-DE"/>
        </w:rPr>
        <w:t>zu Pflanzenmaterial zum Zweck der Verwaltung von Sortensammlungen und der DUS-Prüfung</w:t>
      </w:r>
    </w:p>
    <w:p w14:paraId="7BD5DD4E" w14:textId="77777777" w:rsidR="009F08FF" w:rsidRPr="00B140F2" w:rsidRDefault="009F08FF" w:rsidP="00BD4986">
      <w:pPr>
        <w:rPr>
          <w:lang w:val="de-DE"/>
        </w:rPr>
      </w:pPr>
    </w:p>
    <w:p w14:paraId="5697FFD5" w14:textId="3A99BFD7" w:rsidR="00214329" w:rsidRPr="00B140F2" w:rsidRDefault="0060633E" w:rsidP="00BD4986">
      <w:pPr>
        <w:keepNext/>
        <w:rPr>
          <w:rFonts w:cs="Arial"/>
          <w:lang w:val="de-DE"/>
        </w:rPr>
      </w:pPr>
      <w:r w:rsidRPr="00E83514">
        <w:rPr>
          <w:rFonts w:cs="Arial"/>
          <w:lang w:val="de-DE"/>
        </w:rPr>
        <w:fldChar w:fldCharType="begin"/>
      </w:r>
      <w:r w:rsidRPr="00B140F2">
        <w:rPr>
          <w:rFonts w:cs="Arial"/>
          <w:lang w:val="de-DE"/>
        </w:rPr>
        <w:instrText xml:space="preserve"> AUTONUM  </w:instrText>
      </w:r>
      <w:r w:rsidRPr="00E83514">
        <w:rPr>
          <w:rFonts w:cs="Arial"/>
          <w:lang w:val="de-DE"/>
        </w:rPr>
        <w:fldChar w:fldCharType="end"/>
      </w:r>
      <w:r w:rsidRPr="00B140F2">
        <w:rPr>
          <w:rFonts w:cs="Arial"/>
          <w:lang w:val="de-DE"/>
        </w:rPr>
        <w:tab/>
        <w:t>In diesem Dokument werden folgende Abkürzungen verwendet:</w:t>
      </w:r>
    </w:p>
    <w:p w14:paraId="203E6A05" w14:textId="77777777" w:rsidR="004C351B" w:rsidRPr="00B140F2" w:rsidRDefault="004C351B" w:rsidP="00BD4986">
      <w:pPr>
        <w:keepNext/>
        <w:ind w:left="1701" w:hanging="1134"/>
        <w:rPr>
          <w:rFonts w:cs="Arial"/>
          <w:lang w:val="de-DE"/>
        </w:rPr>
      </w:pPr>
    </w:p>
    <w:p w14:paraId="1575FAEA" w14:textId="77777777" w:rsidR="00214329" w:rsidRPr="00B140F2" w:rsidRDefault="0060633E" w:rsidP="00BD4986">
      <w:pPr>
        <w:keepNext/>
        <w:ind w:left="1701" w:hanging="1134"/>
        <w:rPr>
          <w:rFonts w:cs="Arial"/>
          <w:lang w:val="de-DE"/>
        </w:rPr>
      </w:pPr>
      <w:r w:rsidRPr="00B140F2">
        <w:rPr>
          <w:rFonts w:cs="Arial"/>
          <w:lang w:val="de-DE"/>
        </w:rPr>
        <w:t>CAJ:</w:t>
      </w:r>
      <w:r w:rsidRPr="00B140F2">
        <w:rPr>
          <w:rFonts w:cs="Arial"/>
          <w:lang w:val="de-DE"/>
        </w:rPr>
        <w:tab/>
        <w:t>Verwaltungs- und Rechtsausschuss</w:t>
      </w:r>
    </w:p>
    <w:p w14:paraId="6A27A637" w14:textId="77777777" w:rsidR="00214329" w:rsidRPr="00B140F2" w:rsidRDefault="0060633E" w:rsidP="00BD4986">
      <w:pPr>
        <w:keepNext/>
        <w:ind w:left="1701" w:hanging="1134"/>
        <w:rPr>
          <w:rFonts w:cs="Arial"/>
          <w:lang w:val="de-DE"/>
        </w:rPr>
      </w:pPr>
      <w:r w:rsidRPr="00B140F2">
        <w:rPr>
          <w:rFonts w:cs="Arial"/>
          <w:lang w:val="de-DE"/>
        </w:rPr>
        <w:t xml:space="preserve">TC: </w:t>
      </w:r>
      <w:r w:rsidRPr="00B140F2">
        <w:rPr>
          <w:rFonts w:cs="Arial"/>
          <w:lang w:val="de-DE"/>
        </w:rPr>
        <w:tab/>
        <w:t>Technischer Ausschuss</w:t>
      </w:r>
    </w:p>
    <w:p w14:paraId="0E208990" w14:textId="15DF2CD8" w:rsidR="00214329" w:rsidRPr="00B140F2" w:rsidRDefault="0060633E" w:rsidP="00BD4986">
      <w:pPr>
        <w:ind w:left="1701" w:hanging="1134"/>
        <w:rPr>
          <w:rFonts w:cs="Arial"/>
          <w:lang w:val="de-DE"/>
        </w:rPr>
      </w:pPr>
      <w:r w:rsidRPr="00B140F2">
        <w:rPr>
          <w:rFonts w:cs="Arial"/>
          <w:lang w:val="de-DE"/>
        </w:rPr>
        <w:t>TWA:</w:t>
      </w:r>
      <w:r w:rsidR="00FE0BFC" w:rsidRPr="00B140F2">
        <w:rPr>
          <w:rFonts w:cs="Arial"/>
          <w:lang w:val="de-DE"/>
        </w:rPr>
        <w:t xml:space="preserve"> </w:t>
      </w:r>
      <w:r w:rsidRPr="00B140F2">
        <w:rPr>
          <w:rFonts w:cs="Arial"/>
          <w:lang w:val="de-DE"/>
        </w:rPr>
        <w:tab/>
        <w:t xml:space="preserve">Technische Arbeitsgruppe für </w:t>
      </w:r>
      <w:r w:rsidR="003B7D36" w:rsidRPr="00B140F2">
        <w:rPr>
          <w:rFonts w:cs="Arial"/>
          <w:lang w:val="de-DE"/>
        </w:rPr>
        <w:t>landwirtschaftliche Arten</w:t>
      </w:r>
    </w:p>
    <w:p w14:paraId="114A1D47" w14:textId="77777777" w:rsidR="00214329" w:rsidRPr="00B140F2" w:rsidRDefault="0060633E" w:rsidP="00BD4986">
      <w:pPr>
        <w:ind w:left="1701" w:hanging="1134"/>
        <w:rPr>
          <w:rFonts w:cs="Arial"/>
          <w:lang w:val="de-DE"/>
        </w:rPr>
      </w:pPr>
      <w:r w:rsidRPr="00B140F2">
        <w:rPr>
          <w:rFonts w:cs="Arial"/>
          <w:lang w:val="de-DE"/>
        </w:rPr>
        <w:t xml:space="preserve">TWF: </w:t>
      </w:r>
      <w:r w:rsidRPr="00B140F2">
        <w:rPr>
          <w:rFonts w:cs="Arial"/>
          <w:lang w:val="de-DE"/>
        </w:rPr>
        <w:tab/>
        <w:t xml:space="preserve">Technische Arbeitsgruppe für Obstarten </w:t>
      </w:r>
    </w:p>
    <w:p w14:paraId="6351D69A" w14:textId="77777777" w:rsidR="00214329" w:rsidRPr="00B140F2" w:rsidRDefault="0060633E" w:rsidP="00BD4986">
      <w:pPr>
        <w:ind w:left="1701" w:hanging="1134"/>
        <w:rPr>
          <w:rFonts w:cs="Arial"/>
          <w:lang w:val="de-DE"/>
        </w:rPr>
      </w:pPr>
      <w:r w:rsidRPr="00B140F2">
        <w:rPr>
          <w:rFonts w:cs="Arial"/>
          <w:lang w:val="de-DE"/>
        </w:rPr>
        <w:t>TWM:</w:t>
      </w:r>
      <w:r w:rsidRPr="00B140F2">
        <w:rPr>
          <w:rFonts w:cs="Arial"/>
          <w:lang w:val="de-DE"/>
        </w:rPr>
        <w:tab/>
        <w:t>Technische Arbeitsgruppe für Prüfmethoden und -techniken</w:t>
      </w:r>
    </w:p>
    <w:p w14:paraId="55A2B96C" w14:textId="6E44B4A9" w:rsidR="00214329" w:rsidRPr="00B140F2" w:rsidRDefault="0060633E" w:rsidP="00BD4986">
      <w:pPr>
        <w:ind w:left="1701" w:hanging="1134"/>
        <w:rPr>
          <w:rFonts w:cs="Arial"/>
          <w:lang w:val="de-DE"/>
        </w:rPr>
      </w:pPr>
      <w:r w:rsidRPr="00B140F2">
        <w:rPr>
          <w:rFonts w:cs="Arial"/>
          <w:lang w:val="de-DE"/>
        </w:rPr>
        <w:t>TWO:</w:t>
      </w:r>
      <w:r w:rsidR="00FE0BFC" w:rsidRPr="00B140F2">
        <w:rPr>
          <w:rFonts w:cs="Arial"/>
          <w:lang w:val="de-DE"/>
        </w:rPr>
        <w:t xml:space="preserve"> </w:t>
      </w:r>
      <w:r w:rsidRPr="00B140F2">
        <w:rPr>
          <w:rFonts w:cs="Arial"/>
          <w:lang w:val="de-DE"/>
        </w:rPr>
        <w:tab/>
        <w:t xml:space="preserve">Technische Arbeitsgruppe für Zierpflanzen und forstliche Baumarten </w:t>
      </w:r>
    </w:p>
    <w:p w14:paraId="5EB03827" w14:textId="21FED8D8" w:rsidR="00214329" w:rsidRPr="00B140F2" w:rsidRDefault="0060633E" w:rsidP="00BD4986">
      <w:pPr>
        <w:ind w:left="1701" w:hanging="1134"/>
        <w:rPr>
          <w:rFonts w:cs="Arial"/>
          <w:lang w:val="de-DE"/>
        </w:rPr>
      </w:pPr>
      <w:r w:rsidRPr="00B140F2">
        <w:rPr>
          <w:rFonts w:cs="Arial"/>
          <w:lang w:val="de-DE"/>
        </w:rPr>
        <w:t xml:space="preserve">TWV: </w:t>
      </w:r>
      <w:r w:rsidRPr="00B140F2">
        <w:rPr>
          <w:rFonts w:cs="Arial"/>
          <w:lang w:val="de-DE"/>
        </w:rPr>
        <w:tab/>
        <w:t xml:space="preserve">Technische </w:t>
      </w:r>
      <w:r w:rsidR="00852AED" w:rsidRPr="00B140F2">
        <w:rPr>
          <w:rFonts w:cs="Arial"/>
          <w:lang w:val="de-DE"/>
        </w:rPr>
        <w:t>Arbeitsgruppe für Gemüsearten</w:t>
      </w:r>
    </w:p>
    <w:p w14:paraId="29671ACB" w14:textId="77777777" w:rsidR="00214329" w:rsidRPr="00B140F2" w:rsidRDefault="0060633E" w:rsidP="00BD4986">
      <w:pPr>
        <w:ind w:left="1701" w:hanging="1134"/>
        <w:rPr>
          <w:rFonts w:cs="Arial"/>
          <w:color w:val="000000"/>
          <w:lang w:val="de-DE"/>
        </w:rPr>
      </w:pPr>
      <w:r w:rsidRPr="00B140F2">
        <w:rPr>
          <w:rFonts w:cs="Arial"/>
          <w:color w:val="000000"/>
          <w:lang w:val="de-DE"/>
        </w:rPr>
        <w:t>TWP:</w:t>
      </w:r>
      <w:r w:rsidRPr="00B140F2">
        <w:rPr>
          <w:rFonts w:cs="Arial"/>
          <w:color w:val="000000"/>
          <w:lang w:val="de-DE"/>
        </w:rPr>
        <w:tab/>
        <w:t xml:space="preserve">Technische Arbeitsgruppen </w:t>
      </w:r>
    </w:p>
    <w:p w14:paraId="737BA36D" w14:textId="669CAE13" w:rsidR="00214329" w:rsidRPr="00B140F2" w:rsidRDefault="0060633E" w:rsidP="00BD4986">
      <w:pPr>
        <w:ind w:left="1701" w:hanging="1134"/>
        <w:rPr>
          <w:rFonts w:cs="Arial"/>
          <w:color w:val="000000"/>
          <w:lang w:val="de-DE"/>
        </w:rPr>
      </w:pPr>
      <w:r w:rsidRPr="00B140F2">
        <w:rPr>
          <w:rFonts w:cs="Arial"/>
          <w:color w:val="000000"/>
          <w:lang w:val="de-DE"/>
        </w:rPr>
        <w:t>WG-HRV:</w:t>
      </w:r>
      <w:r w:rsidRPr="00B140F2">
        <w:rPr>
          <w:rFonts w:cs="Arial"/>
          <w:color w:val="000000"/>
          <w:lang w:val="de-DE"/>
        </w:rPr>
        <w:tab/>
      </w:r>
      <w:r w:rsidR="005149DF" w:rsidRPr="00B140F2">
        <w:rPr>
          <w:rFonts w:cs="Arial"/>
          <w:color w:val="000000"/>
          <w:lang w:val="de-DE"/>
        </w:rPr>
        <w:t>Arbeitsgruppe für Erntegut und ungenehmigte Benutzung von Vermehrungsmaterial</w:t>
      </w:r>
    </w:p>
    <w:p w14:paraId="693989F3" w14:textId="77777777" w:rsidR="004C351B" w:rsidRPr="00B140F2" w:rsidRDefault="004C351B" w:rsidP="00BD4986">
      <w:pPr>
        <w:rPr>
          <w:lang w:val="de-DE"/>
        </w:rPr>
      </w:pPr>
    </w:p>
    <w:p w14:paraId="5F6E2B22" w14:textId="6F243B1C" w:rsidR="00214329" w:rsidRPr="00B140F2" w:rsidRDefault="0060633E" w:rsidP="00BD4986">
      <w:pPr>
        <w:keepNext/>
        <w:spacing w:after="240"/>
        <w:rPr>
          <w:rFonts w:cs="Arial"/>
          <w:lang w:val="de-DE"/>
        </w:rPr>
      </w:pPr>
      <w:r w:rsidRPr="00E83514">
        <w:rPr>
          <w:rFonts w:cs="Arial"/>
          <w:lang w:val="de-DE"/>
        </w:rPr>
        <w:fldChar w:fldCharType="begin"/>
      </w:r>
      <w:r w:rsidRPr="00B140F2">
        <w:rPr>
          <w:rFonts w:cs="Arial"/>
          <w:lang w:val="de-DE"/>
        </w:rPr>
        <w:instrText xml:space="preserve"> AUTONUM  </w:instrText>
      </w:r>
      <w:r w:rsidRPr="00E83514">
        <w:rPr>
          <w:rFonts w:cs="Arial"/>
          <w:lang w:val="de-DE"/>
        </w:rPr>
        <w:fldChar w:fldCharType="end"/>
      </w:r>
      <w:r w:rsidRPr="00B140F2">
        <w:rPr>
          <w:rFonts w:cs="Arial"/>
          <w:lang w:val="de-DE"/>
        </w:rPr>
        <w:tab/>
        <w:t xml:space="preserve">Der Aufbau dieses Dokuments ist </w:t>
      </w:r>
      <w:r w:rsidR="005149DF" w:rsidRPr="00B140F2">
        <w:rPr>
          <w:rFonts w:cs="Arial"/>
          <w:lang w:val="de-DE"/>
        </w:rPr>
        <w:t>nachstehend zusammengefasst</w:t>
      </w:r>
      <w:r w:rsidRPr="00B140F2">
        <w:rPr>
          <w:rFonts w:cs="Arial"/>
          <w:lang w:val="de-DE"/>
        </w:rPr>
        <w:t>:</w:t>
      </w:r>
    </w:p>
    <w:p w14:paraId="2A3D37E9" w14:textId="32188BF3" w:rsidR="00A12E2C" w:rsidRDefault="0060633E">
      <w:pPr>
        <w:pStyle w:val="TOC1"/>
        <w:rPr>
          <w:rFonts w:asciiTheme="minorHAnsi" w:eastAsiaTheme="minorEastAsia" w:hAnsiTheme="minorHAnsi" w:cstheme="minorBidi"/>
          <w:caps w:val="0"/>
          <w:noProof/>
          <w:kern w:val="2"/>
          <w:sz w:val="24"/>
          <w:szCs w:val="24"/>
          <w:lang w:val="en-GB" w:eastAsia="en-GB"/>
          <w14:ligatures w14:val="standardContextual"/>
        </w:rPr>
      </w:pPr>
      <w:r w:rsidRPr="00E83514">
        <w:rPr>
          <w:rFonts w:cs="Arial"/>
          <w:bCs/>
          <w:snapToGrid w:val="0"/>
          <w:highlight w:val="yellow"/>
          <w:lang w:val="de-DE"/>
        </w:rPr>
        <w:fldChar w:fldCharType="begin"/>
      </w:r>
      <w:r w:rsidRPr="00E83514">
        <w:rPr>
          <w:rFonts w:cs="Arial"/>
          <w:bCs/>
          <w:snapToGrid w:val="0"/>
          <w:highlight w:val="yellow"/>
          <w:lang w:val="de-DE"/>
        </w:rPr>
        <w:instrText xml:space="preserve"> TOC \o "1-5" \u </w:instrText>
      </w:r>
      <w:r w:rsidRPr="00E83514">
        <w:rPr>
          <w:rFonts w:cs="Arial"/>
          <w:bCs/>
          <w:snapToGrid w:val="0"/>
          <w:highlight w:val="yellow"/>
          <w:lang w:val="de-DE"/>
        </w:rPr>
        <w:fldChar w:fldCharType="separate"/>
      </w:r>
      <w:r w:rsidR="00A12E2C" w:rsidRPr="00A2214A">
        <w:rPr>
          <w:noProof/>
          <w:snapToGrid w:val="0"/>
          <w:lang w:val="de-DE"/>
        </w:rPr>
        <w:t>ZUSAMMENFASSUNG</w:t>
      </w:r>
      <w:r w:rsidR="00A12E2C">
        <w:rPr>
          <w:noProof/>
        </w:rPr>
        <w:tab/>
      </w:r>
      <w:r w:rsidR="00A12E2C">
        <w:rPr>
          <w:noProof/>
        </w:rPr>
        <w:fldChar w:fldCharType="begin"/>
      </w:r>
      <w:r w:rsidR="00A12E2C">
        <w:rPr>
          <w:noProof/>
        </w:rPr>
        <w:instrText xml:space="preserve"> PAGEREF _Toc177493429 \h </w:instrText>
      </w:r>
      <w:r w:rsidR="00A12E2C">
        <w:rPr>
          <w:noProof/>
        </w:rPr>
      </w:r>
      <w:r w:rsidR="00A12E2C">
        <w:rPr>
          <w:noProof/>
        </w:rPr>
        <w:fldChar w:fldCharType="separate"/>
      </w:r>
      <w:r w:rsidR="00A12E2C">
        <w:rPr>
          <w:noProof/>
        </w:rPr>
        <w:t>1</w:t>
      </w:r>
      <w:r w:rsidR="00A12E2C">
        <w:rPr>
          <w:noProof/>
        </w:rPr>
        <w:fldChar w:fldCharType="end"/>
      </w:r>
    </w:p>
    <w:p w14:paraId="0996A616" w14:textId="17F2C063" w:rsidR="00A12E2C" w:rsidRDefault="00A12E2C">
      <w:pPr>
        <w:pStyle w:val="TOC1"/>
        <w:rPr>
          <w:rFonts w:asciiTheme="minorHAnsi" w:eastAsiaTheme="minorEastAsia" w:hAnsiTheme="minorHAnsi" w:cstheme="minorBidi"/>
          <w:caps w:val="0"/>
          <w:noProof/>
          <w:kern w:val="2"/>
          <w:sz w:val="24"/>
          <w:szCs w:val="24"/>
          <w:lang w:val="en-GB" w:eastAsia="en-GB"/>
          <w14:ligatures w14:val="standardContextual"/>
        </w:rPr>
      </w:pPr>
      <w:r w:rsidRPr="00A2214A">
        <w:rPr>
          <w:noProof/>
          <w:lang w:val="de-DE"/>
        </w:rPr>
        <w:t>Hintergrund</w:t>
      </w:r>
      <w:r>
        <w:rPr>
          <w:noProof/>
        </w:rPr>
        <w:tab/>
      </w:r>
      <w:r>
        <w:rPr>
          <w:noProof/>
        </w:rPr>
        <w:fldChar w:fldCharType="begin"/>
      </w:r>
      <w:r>
        <w:rPr>
          <w:noProof/>
        </w:rPr>
        <w:instrText xml:space="preserve"> PAGEREF _Toc177493430 \h </w:instrText>
      </w:r>
      <w:r>
        <w:rPr>
          <w:noProof/>
        </w:rPr>
      </w:r>
      <w:r>
        <w:rPr>
          <w:noProof/>
        </w:rPr>
        <w:fldChar w:fldCharType="separate"/>
      </w:r>
      <w:r>
        <w:rPr>
          <w:noProof/>
        </w:rPr>
        <w:t>4</w:t>
      </w:r>
      <w:r>
        <w:rPr>
          <w:noProof/>
        </w:rPr>
        <w:fldChar w:fldCharType="end"/>
      </w:r>
    </w:p>
    <w:p w14:paraId="736E558F" w14:textId="7EE1B62A" w:rsidR="00A12E2C" w:rsidRDefault="00A12E2C">
      <w:pPr>
        <w:pStyle w:val="TOC1"/>
        <w:rPr>
          <w:rFonts w:asciiTheme="minorHAnsi" w:eastAsiaTheme="minorEastAsia" w:hAnsiTheme="minorHAnsi" w:cstheme="minorBidi"/>
          <w:caps w:val="0"/>
          <w:noProof/>
          <w:kern w:val="2"/>
          <w:sz w:val="24"/>
          <w:szCs w:val="24"/>
          <w:lang w:val="en-GB" w:eastAsia="en-GB"/>
          <w14:ligatures w14:val="standardContextual"/>
        </w:rPr>
      </w:pPr>
      <w:r w:rsidRPr="00A2214A">
        <w:rPr>
          <w:noProof/>
          <w:lang w:val="de-DE"/>
        </w:rPr>
        <w:t>I.</w:t>
      </w:r>
      <w:r>
        <w:rPr>
          <w:rFonts w:asciiTheme="minorHAnsi" w:eastAsiaTheme="minorEastAsia" w:hAnsiTheme="minorHAnsi" w:cstheme="minorBidi"/>
          <w:caps w:val="0"/>
          <w:noProof/>
          <w:kern w:val="2"/>
          <w:sz w:val="24"/>
          <w:szCs w:val="24"/>
          <w:lang w:val="en-GB" w:eastAsia="en-GB"/>
          <w14:ligatures w14:val="standardContextual"/>
        </w:rPr>
        <w:tab/>
      </w:r>
      <w:r w:rsidRPr="00A2214A">
        <w:rPr>
          <w:noProof/>
          <w:lang w:val="de-DE"/>
        </w:rPr>
        <w:t>DEM RAT ZUR ANNAHME VORGESCHLAGENE DOKUMENTE IM JAHR 2024</w:t>
      </w:r>
      <w:r>
        <w:rPr>
          <w:noProof/>
        </w:rPr>
        <w:tab/>
      </w:r>
      <w:r>
        <w:rPr>
          <w:noProof/>
        </w:rPr>
        <w:fldChar w:fldCharType="begin"/>
      </w:r>
      <w:r>
        <w:rPr>
          <w:noProof/>
        </w:rPr>
        <w:instrText xml:space="preserve"> PAGEREF _Toc177493431 \h </w:instrText>
      </w:r>
      <w:r>
        <w:rPr>
          <w:noProof/>
        </w:rPr>
      </w:r>
      <w:r>
        <w:rPr>
          <w:noProof/>
        </w:rPr>
        <w:fldChar w:fldCharType="separate"/>
      </w:r>
      <w:r>
        <w:rPr>
          <w:noProof/>
        </w:rPr>
        <w:t>4</w:t>
      </w:r>
      <w:r>
        <w:rPr>
          <w:noProof/>
        </w:rPr>
        <w:fldChar w:fldCharType="end"/>
      </w:r>
    </w:p>
    <w:p w14:paraId="6AD5384C" w14:textId="0B972849" w:rsidR="00A12E2C" w:rsidRDefault="00A12E2C">
      <w:pPr>
        <w:pStyle w:val="TOC2"/>
        <w:rPr>
          <w:rFonts w:asciiTheme="minorHAnsi" w:eastAsiaTheme="minorEastAsia" w:hAnsiTheme="minorHAnsi" w:cstheme="minorBidi"/>
          <w:kern w:val="2"/>
          <w:sz w:val="24"/>
          <w:szCs w:val="24"/>
          <w:lang w:val="en-GB" w:eastAsia="en-GB"/>
          <w14:ligatures w14:val="standardContextual"/>
        </w:rPr>
      </w:pPr>
      <w:r w:rsidRPr="00A2214A">
        <w:rPr>
          <w:lang w:val="de-DE"/>
        </w:rPr>
        <w:t>Dokumente zur Annahme durch den Rat, vorbehaltlich der Zustimmung durch den TC und den CAJ</w:t>
      </w:r>
      <w:r>
        <w:tab/>
      </w:r>
      <w:r>
        <w:fldChar w:fldCharType="begin"/>
      </w:r>
      <w:r>
        <w:instrText xml:space="preserve"> PAGEREF _Toc177493432 \h </w:instrText>
      </w:r>
      <w:r>
        <w:fldChar w:fldCharType="separate"/>
      </w:r>
      <w:r>
        <w:t>4</w:t>
      </w:r>
      <w:r>
        <w:fldChar w:fldCharType="end"/>
      </w:r>
    </w:p>
    <w:p w14:paraId="10DDA470" w14:textId="68443CDD"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 xml:space="preserve">UPOV/INF/16: Austauschbare Software (Überarbeitung) </w:t>
      </w:r>
      <w:r w:rsidRPr="00A2214A">
        <w:rPr>
          <w:snapToGrid w:val="0"/>
          <w:lang w:val="de-DE"/>
        </w:rPr>
        <w:t>(Dokument UPOV/INF/16/13 Draft 1)</w:t>
      </w:r>
      <w:r>
        <w:tab/>
      </w:r>
      <w:r>
        <w:fldChar w:fldCharType="begin"/>
      </w:r>
      <w:r>
        <w:instrText xml:space="preserve"> PAGEREF _Toc177493433 \h </w:instrText>
      </w:r>
      <w:r>
        <w:fldChar w:fldCharType="separate"/>
      </w:r>
      <w:r>
        <w:t>4</w:t>
      </w:r>
      <w:r>
        <w:fldChar w:fldCharType="end"/>
      </w:r>
    </w:p>
    <w:p w14:paraId="21FA14A9" w14:textId="0B346FC3" w:rsidR="00A12E2C" w:rsidRDefault="00A12E2C">
      <w:pPr>
        <w:pStyle w:val="TOC4"/>
        <w:rPr>
          <w:rFonts w:asciiTheme="minorHAnsi" w:eastAsiaTheme="minorEastAsia" w:hAnsiTheme="minorHAnsi" w:cstheme="minorBidi"/>
          <w:kern w:val="2"/>
          <w:sz w:val="24"/>
          <w:szCs w:val="24"/>
          <w:lang w:val="en-GB" w:eastAsia="en-GB"/>
          <w14:ligatures w14:val="standardContextual"/>
        </w:rPr>
      </w:pPr>
      <w:r w:rsidRPr="00A2214A">
        <w:rPr>
          <w:lang w:val="de-DE"/>
        </w:rPr>
        <w:t>Zur Aufnahme in das Dokument UPOV/INF/16 vorgeschlagene Software</w:t>
      </w:r>
      <w:r>
        <w:tab/>
      </w:r>
      <w:r>
        <w:fldChar w:fldCharType="begin"/>
      </w:r>
      <w:r>
        <w:instrText xml:space="preserve"> PAGEREF _Toc177493434 \h </w:instrText>
      </w:r>
      <w:r>
        <w:fldChar w:fldCharType="separate"/>
      </w:r>
      <w:r>
        <w:t>4</w:t>
      </w:r>
      <w:r>
        <w:fldChar w:fldCharType="end"/>
      </w:r>
    </w:p>
    <w:p w14:paraId="11F7652C" w14:textId="3A2AC040"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lastRenderedPageBreak/>
        <w:t>UPOV/INF/22: Von Verbandsmitgliedern verwendete Software und Ausrüstung (Überarbeitung) (Dokument UPOV/INF/22/11 Draft 1)</w:t>
      </w:r>
      <w:r>
        <w:tab/>
      </w:r>
      <w:r>
        <w:fldChar w:fldCharType="begin"/>
      </w:r>
      <w:r>
        <w:instrText xml:space="preserve"> PAGEREF _Toc177493435 \h </w:instrText>
      </w:r>
      <w:r>
        <w:fldChar w:fldCharType="separate"/>
      </w:r>
      <w:r>
        <w:t>5</w:t>
      </w:r>
      <w:r>
        <w:fldChar w:fldCharType="end"/>
      </w:r>
    </w:p>
    <w:p w14:paraId="5AF1114A" w14:textId="4DC3DC3B"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UPOV/EXN/DEN: Erläuterungen zu Sortenbezeichnungen nach dem UPOV-Übereinkommen (Überarbeitung)</w:t>
      </w:r>
      <w:r>
        <w:tab/>
      </w:r>
      <w:r>
        <w:fldChar w:fldCharType="begin"/>
      </w:r>
      <w:r>
        <w:instrText xml:space="preserve"> PAGEREF _Toc177493436 \h </w:instrText>
      </w:r>
      <w:r>
        <w:fldChar w:fldCharType="separate"/>
      </w:r>
      <w:r>
        <w:t>5</w:t>
      </w:r>
      <w:r>
        <w:fldChar w:fldCharType="end"/>
      </w:r>
    </w:p>
    <w:p w14:paraId="6D312896" w14:textId="742B886C" w:rsidR="00A12E2C" w:rsidRDefault="00A12E2C">
      <w:pPr>
        <w:pStyle w:val="TOC4"/>
        <w:rPr>
          <w:rFonts w:asciiTheme="minorHAnsi" w:eastAsiaTheme="minorEastAsia" w:hAnsiTheme="minorHAnsi" w:cstheme="minorBidi"/>
          <w:kern w:val="2"/>
          <w:sz w:val="24"/>
          <w:szCs w:val="24"/>
          <w:lang w:val="en-GB" w:eastAsia="en-GB"/>
          <w14:ligatures w14:val="standardContextual"/>
        </w:rPr>
      </w:pPr>
      <w:r w:rsidRPr="00A2214A">
        <w:rPr>
          <w:lang w:val="de-DE"/>
        </w:rPr>
        <w:t xml:space="preserve">Neue Sortenbezeichnungsklassen für </w:t>
      </w:r>
      <w:r w:rsidRPr="00A2214A">
        <w:rPr>
          <w:i/>
          <w:iCs/>
          <w:lang w:val="de-DE"/>
        </w:rPr>
        <w:t xml:space="preserve">Prunus </w:t>
      </w:r>
      <w:r w:rsidRPr="00A2214A">
        <w:rPr>
          <w:lang w:val="de-DE"/>
        </w:rPr>
        <w:t>und Situationen, in denen eine Bezeichnung mit anderen Klassen innerhalb einer Gattung verglichen werden sollte</w:t>
      </w:r>
      <w:r>
        <w:tab/>
      </w:r>
      <w:r>
        <w:fldChar w:fldCharType="begin"/>
      </w:r>
      <w:r>
        <w:instrText xml:space="preserve"> PAGEREF _Toc177493437 \h </w:instrText>
      </w:r>
      <w:r>
        <w:fldChar w:fldCharType="separate"/>
      </w:r>
      <w:r>
        <w:t>5</w:t>
      </w:r>
      <w:r>
        <w:fldChar w:fldCharType="end"/>
      </w:r>
    </w:p>
    <w:p w14:paraId="11EEE121" w14:textId="15EE8F5E"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TGP/7: Erstellung von Prüfungsrichtlinien (Überarbeitung)</w:t>
      </w:r>
      <w:r>
        <w:tab/>
      </w:r>
      <w:r>
        <w:fldChar w:fldCharType="begin"/>
      </w:r>
      <w:r>
        <w:instrText xml:space="preserve"> PAGEREF _Toc177493438 \h </w:instrText>
      </w:r>
      <w:r>
        <w:fldChar w:fldCharType="separate"/>
      </w:r>
      <w:r>
        <w:t>6</w:t>
      </w:r>
      <w:r>
        <w:fldChar w:fldCharType="end"/>
      </w:r>
    </w:p>
    <w:p w14:paraId="143F725A" w14:textId="11D133E8" w:rsidR="00A12E2C" w:rsidRDefault="00A12E2C">
      <w:pPr>
        <w:pStyle w:val="TOC4"/>
        <w:rPr>
          <w:rFonts w:asciiTheme="minorHAnsi" w:eastAsiaTheme="minorEastAsia" w:hAnsiTheme="minorHAnsi" w:cstheme="minorBidi"/>
          <w:kern w:val="2"/>
          <w:sz w:val="24"/>
          <w:szCs w:val="24"/>
          <w:lang w:val="en-GB" w:eastAsia="en-GB"/>
          <w14:ligatures w14:val="standardContextual"/>
        </w:rPr>
      </w:pPr>
      <w:r w:rsidRPr="00A2214A">
        <w:rPr>
          <w:lang w:val="de-DE"/>
        </w:rPr>
        <w:t>Zusätzlicher Standardwortlaut (ASW) 3 „Erläuterung der Wachstumsperiode“</w:t>
      </w:r>
      <w:r>
        <w:tab/>
      </w:r>
      <w:r>
        <w:fldChar w:fldCharType="begin"/>
      </w:r>
      <w:r>
        <w:instrText xml:space="preserve"> PAGEREF _Toc177493439 \h </w:instrText>
      </w:r>
      <w:r>
        <w:fldChar w:fldCharType="separate"/>
      </w:r>
      <w:r>
        <w:t>6</w:t>
      </w:r>
      <w:r>
        <w:fldChar w:fldCharType="end"/>
      </w:r>
    </w:p>
    <w:p w14:paraId="6112A57C" w14:textId="2B620511"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TGP/12: Anleitung zu bestimmten physiologischen Merkmalen (Überarbeitung)</w:t>
      </w:r>
      <w:r>
        <w:tab/>
      </w:r>
      <w:r>
        <w:fldChar w:fldCharType="begin"/>
      </w:r>
      <w:r>
        <w:instrText xml:space="preserve"> PAGEREF _Toc177493440 \h </w:instrText>
      </w:r>
      <w:r>
        <w:fldChar w:fldCharType="separate"/>
      </w:r>
      <w:r>
        <w:t>6</w:t>
      </w:r>
      <w:r>
        <w:fldChar w:fldCharType="end"/>
      </w:r>
    </w:p>
    <w:p w14:paraId="23636821" w14:textId="68A9EDA3" w:rsidR="00A12E2C" w:rsidRDefault="00A12E2C">
      <w:pPr>
        <w:pStyle w:val="TOC4"/>
        <w:rPr>
          <w:rFonts w:asciiTheme="minorHAnsi" w:eastAsiaTheme="minorEastAsia" w:hAnsiTheme="minorHAnsi" w:cstheme="minorBidi"/>
          <w:kern w:val="2"/>
          <w:sz w:val="24"/>
          <w:szCs w:val="24"/>
          <w:lang w:val="en-GB" w:eastAsia="en-GB"/>
          <w14:ligatures w14:val="standardContextual"/>
        </w:rPr>
      </w:pPr>
      <w:r w:rsidRPr="00A2214A">
        <w:rPr>
          <w:lang w:val="de-DE"/>
        </w:rPr>
        <w:t>Gleichwertigkeitstabelle für Ausprägungsstufen bei quantitativen Krankheitsresistenzmerkmalen in den Prüfungsrichtlinien</w:t>
      </w:r>
      <w:r>
        <w:tab/>
      </w:r>
      <w:r>
        <w:fldChar w:fldCharType="begin"/>
      </w:r>
      <w:r>
        <w:instrText xml:space="preserve"> PAGEREF _Toc177493441 \h </w:instrText>
      </w:r>
      <w:r>
        <w:fldChar w:fldCharType="separate"/>
      </w:r>
      <w:r>
        <w:t>6</w:t>
      </w:r>
      <w:r>
        <w:fldChar w:fldCharType="end"/>
      </w:r>
    </w:p>
    <w:p w14:paraId="379E8AE9" w14:textId="27925146" w:rsidR="00A12E2C" w:rsidRDefault="00A12E2C">
      <w:pPr>
        <w:pStyle w:val="TOC2"/>
        <w:rPr>
          <w:rFonts w:asciiTheme="minorHAnsi" w:eastAsiaTheme="minorEastAsia" w:hAnsiTheme="minorHAnsi" w:cstheme="minorBidi"/>
          <w:kern w:val="2"/>
          <w:sz w:val="24"/>
          <w:szCs w:val="24"/>
          <w:lang w:val="en-GB" w:eastAsia="en-GB"/>
          <w14:ligatures w14:val="standardContextual"/>
        </w:rPr>
      </w:pPr>
      <w:r w:rsidRPr="00A2214A">
        <w:rPr>
          <w:lang w:val="de-DE"/>
        </w:rPr>
        <w:t>Dokument zur Annahme durch den Rat, vorbehaltlich der Zustimmung durch den CAJ</w:t>
      </w:r>
      <w:r>
        <w:tab/>
      </w:r>
      <w:r>
        <w:fldChar w:fldCharType="begin"/>
      </w:r>
      <w:r>
        <w:instrText xml:space="preserve"> PAGEREF _Toc177493442 \h </w:instrText>
      </w:r>
      <w:r>
        <w:fldChar w:fldCharType="separate"/>
      </w:r>
      <w:r>
        <w:t>6</w:t>
      </w:r>
      <w:r>
        <w:fldChar w:fldCharType="end"/>
      </w:r>
    </w:p>
    <w:p w14:paraId="5843ED13" w14:textId="54483FB8"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UPOV/EXN/PPM: Erläuterungen zu Vermehrungsmaterial nach dem UPOV-Übereinkommen (Überarbeitung) (Dokument UPOV/EXN/PPM/2 Draft 1)</w:t>
      </w:r>
      <w:r>
        <w:tab/>
      </w:r>
      <w:r>
        <w:fldChar w:fldCharType="begin"/>
      </w:r>
      <w:r>
        <w:instrText xml:space="preserve"> PAGEREF _Toc177493443 \h </w:instrText>
      </w:r>
      <w:r>
        <w:fldChar w:fldCharType="separate"/>
      </w:r>
      <w:r>
        <w:t>6</w:t>
      </w:r>
      <w:r>
        <w:fldChar w:fldCharType="end"/>
      </w:r>
    </w:p>
    <w:p w14:paraId="40EAE957" w14:textId="602ACB90" w:rsidR="00A12E2C" w:rsidRDefault="00A12E2C">
      <w:pPr>
        <w:pStyle w:val="TOC2"/>
        <w:rPr>
          <w:rFonts w:asciiTheme="minorHAnsi" w:eastAsiaTheme="minorEastAsia" w:hAnsiTheme="minorHAnsi" w:cstheme="minorBidi"/>
          <w:kern w:val="2"/>
          <w:sz w:val="24"/>
          <w:szCs w:val="24"/>
          <w:lang w:val="en-GB" w:eastAsia="en-GB"/>
          <w14:ligatures w14:val="standardContextual"/>
        </w:rPr>
      </w:pPr>
      <w:r w:rsidRPr="00A2214A">
        <w:rPr>
          <w:lang w:val="de-DE"/>
        </w:rPr>
        <w:t>Weitere Dokumente zur Annahme durch den Rat</w:t>
      </w:r>
      <w:r>
        <w:tab/>
      </w:r>
      <w:r>
        <w:fldChar w:fldCharType="begin"/>
      </w:r>
      <w:r>
        <w:instrText xml:space="preserve"> PAGEREF _Toc177493444 \h </w:instrText>
      </w:r>
      <w:r>
        <w:fldChar w:fldCharType="separate"/>
      </w:r>
      <w:r>
        <w:t>7</w:t>
      </w:r>
      <w:r>
        <w:fldChar w:fldCharType="end"/>
      </w:r>
    </w:p>
    <w:p w14:paraId="0F06769D" w14:textId="0156B8C4"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UPOV/INF/6: Anleitung zur Ausarbeitung von Rechtsvorschriften aufgrund der Akte von 1991 des UPOV</w:t>
      </w:r>
      <w:r w:rsidRPr="00A2214A">
        <w:rPr>
          <w:lang w:val="de-DE"/>
        </w:rPr>
        <w:noBreakHyphen/>
        <w:t>Übereinkommens (Überarbeitung) (Dokument SESSIONS/2024/2, Anlage VI)</w:t>
      </w:r>
      <w:r>
        <w:tab/>
      </w:r>
      <w:r>
        <w:fldChar w:fldCharType="begin"/>
      </w:r>
      <w:r>
        <w:instrText xml:space="preserve"> PAGEREF _Toc177493445 \h </w:instrText>
      </w:r>
      <w:r>
        <w:fldChar w:fldCharType="separate"/>
      </w:r>
      <w:r>
        <w:t>7</w:t>
      </w:r>
      <w:r>
        <w:fldChar w:fldCharType="end"/>
      </w:r>
    </w:p>
    <w:p w14:paraId="06012DDF" w14:textId="6419B650"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UPOV/INF-EXN: Liste der UPOV/INF-EXN-Dokumente und Datum der jüngsten Ausgabe (Überarbeitung) (Dokument UPOV/INF-EXN/18 Draft 1)</w:t>
      </w:r>
      <w:r>
        <w:tab/>
      </w:r>
      <w:r>
        <w:fldChar w:fldCharType="begin"/>
      </w:r>
      <w:r>
        <w:instrText xml:space="preserve"> PAGEREF _Toc177493446 \h </w:instrText>
      </w:r>
      <w:r>
        <w:fldChar w:fldCharType="separate"/>
      </w:r>
      <w:r>
        <w:t>8</w:t>
      </w:r>
      <w:r>
        <w:fldChar w:fldCharType="end"/>
      </w:r>
    </w:p>
    <w:p w14:paraId="76496667" w14:textId="0E342394"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spacing w:val="-2"/>
          <w:lang w:val="de-DE"/>
        </w:rPr>
        <w:t>TGP/0</w:t>
      </w:r>
      <w:r w:rsidRPr="00A2214A">
        <w:rPr>
          <w:snapToGrid w:val="0"/>
          <w:spacing w:val="-2"/>
          <w:lang w:val="de-DE"/>
        </w:rPr>
        <w:t>: Liste der TGP-Dokumente und Datum der jüngsten Ausgabe (Überarbeitung) (Dokument TGP/0/16 Draft 1)</w:t>
      </w:r>
      <w:r>
        <w:tab/>
      </w:r>
      <w:r>
        <w:fldChar w:fldCharType="begin"/>
      </w:r>
      <w:r>
        <w:instrText xml:space="preserve"> PAGEREF _Toc177493447 \h </w:instrText>
      </w:r>
      <w:r>
        <w:fldChar w:fldCharType="separate"/>
      </w:r>
      <w:r>
        <w:t>8</w:t>
      </w:r>
      <w:r>
        <w:fldChar w:fldCharType="end"/>
      </w:r>
    </w:p>
    <w:p w14:paraId="78EA6591" w14:textId="4A17C64A" w:rsidR="00A12E2C" w:rsidRDefault="00A12E2C">
      <w:pPr>
        <w:pStyle w:val="TOC1"/>
        <w:rPr>
          <w:rFonts w:asciiTheme="minorHAnsi" w:eastAsiaTheme="minorEastAsia" w:hAnsiTheme="minorHAnsi" w:cstheme="minorBidi"/>
          <w:caps w:val="0"/>
          <w:noProof/>
          <w:kern w:val="2"/>
          <w:sz w:val="24"/>
          <w:szCs w:val="24"/>
          <w:lang w:val="en-GB" w:eastAsia="en-GB"/>
          <w14:ligatures w14:val="standardContextual"/>
        </w:rPr>
      </w:pPr>
      <w:r w:rsidRPr="00A2214A">
        <w:rPr>
          <w:noProof/>
          <w:lang w:val="de-DE"/>
        </w:rPr>
        <w:t>II.</w:t>
      </w:r>
      <w:r>
        <w:rPr>
          <w:rFonts w:asciiTheme="minorHAnsi" w:eastAsiaTheme="minorEastAsia" w:hAnsiTheme="minorHAnsi" w:cstheme="minorBidi"/>
          <w:caps w:val="0"/>
          <w:noProof/>
          <w:kern w:val="2"/>
          <w:sz w:val="24"/>
          <w:szCs w:val="24"/>
          <w:lang w:val="en-GB" w:eastAsia="en-GB"/>
          <w14:ligatures w14:val="standardContextual"/>
        </w:rPr>
        <w:tab/>
      </w:r>
      <w:r w:rsidRPr="00A2214A">
        <w:rPr>
          <w:noProof/>
          <w:lang w:val="de-DE"/>
        </w:rPr>
        <w:t>VOM TECHNISCHEN AUSSCHUSS ZU PRÜFENDE ANGELEGENHEITEN</w:t>
      </w:r>
      <w:r>
        <w:rPr>
          <w:noProof/>
        </w:rPr>
        <w:tab/>
      </w:r>
      <w:r>
        <w:rPr>
          <w:noProof/>
        </w:rPr>
        <w:fldChar w:fldCharType="begin"/>
      </w:r>
      <w:r>
        <w:rPr>
          <w:noProof/>
        </w:rPr>
        <w:instrText xml:space="preserve"> PAGEREF _Toc177493448 \h </w:instrText>
      </w:r>
      <w:r>
        <w:rPr>
          <w:noProof/>
        </w:rPr>
      </w:r>
      <w:r>
        <w:rPr>
          <w:noProof/>
        </w:rPr>
        <w:fldChar w:fldCharType="separate"/>
      </w:r>
      <w:r>
        <w:rPr>
          <w:noProof/>
        </w:rPr>
        <w:t>9</w:t>
      </w:r>
      <w:r>
        <w:rPr>
          <w:noProof/>
        </w:rPr>
        <w:fldChar w:fldCharType="end"/>
      </w:r>
    </w:p>
    <w:p w14:paraId="53475819" w14:textId="637CA1AA" w:rsidR="00A12E2C" w:rsidRDefault="00A12E2C">
      <w:pPr>
        <w:pStyle w:val="TOC2"/>
        <w:rPr>
          <w:rFonts w:asciiTheme="minorHAnsi" w:eastAsiaTheme="minorEastAsia" w:hAnsiTheme="minorHAnsi" w:cstheme="minorBidi"/>
          <w:kern w:val="2"/>
          <w:sz w:val="24"/>
          <w:szCs w:val="24"/>
          <w:lang w:val="en-GB" w:eastAsia="en-GB"/>
          <w14:ligatures w14:val="standardContextual"/>
        </w:rPr>
      </w:pPr>
      <w:r w:rsidRPr="00A2214A">
        <w:rPr>
          <w:lang w:val="de-DE"/>
        </w:rPr>
        <w:t>TGP/5 „Erfahrung und Zusammenarbeit bei der DUS-Prüfung“, Abschnitt 6 „UPOV-Bericht über die technische Prüfung und UPOV-Sortenbeschreibung“ (Überarbeitung)</w:t>
      </w:r>
      <w:r>
        <w:tab/>
      </w:r>
      <w:r>
        <w:fldChar w:fldCharType="begin"/>
      </w:r>
      <w:r>
        <w:instrText xml:space="preserve"> PAGEREF _Toc177493449 \h </w:instrText>
      </w:r>
      <w:r>
        <w:fldChar w:fldCharType="separate"/>
      </w:r>
      <w:r>
        <w:t>9</w:t>
      </w:r>
      <w:r>
        <w:fldChar w:fldCharType="end"/>
      </w:r>
    </w:p>
    <w:p w14:paraId="730B8AA0" w14:textId="4E9EF183"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Unterabschnitt „UPOV-Sortenbeschreibung“, Punkt 16 „Ähnliche Sorten und Unterschiede zu diesen Sorten“</w:t>
      </w:r>
      <w:r>
        <w:tab/>
      </w:r>
      <w:r>
        <w:fldChar w:fldCharType="begin"/>
      </w:r>
      <w:r>
        <w:instrText xml:space="preserve"> PAGEREF _Toc177493450 \h </w:instrText>
      </w:r>
      <w:r>
        <w:fldChar w:fldCharType="separate"/>
      </w:r>
      <w:r>
        <w:t>9</w:t>
      </w:r>
      <w:r>
        <w:fldChar w:fldCharType="end"/>
      </w:r>
    </w:p>
    <w:p w14:paraId="1CD20A46" w14:textId="48AFF9B1" w:rsidR="00A12E2C" w:rsidRDefault="00A12E2C">
      <w:pPr>
        <w:pStyle w:val="TOC4"/>
        <w:rPr>
          <w:rFonts w:asciiTheme="minorHAnsi" w:eastAsiaTheme="minorEastAsia" w:hAnsiTheme="minorHAnsi" w:cstheme="minorBidi"/>
          <w:kern w:val="2"/>
          <w:sz w:val="24"/>
          <w:szCs w:val="24"/>
          <w:lang w:val="en-GB" w:eastAsia="en-GB"/>
          <w14:ligatures w14:val="standardContextual"/>
        </w:rPr>
      </w:pPr>
      <w:r w:rsidRPr="00A2214A">
        <w:rPr>
          <w:lang w:val="de-DE"/>
        </w:rPr>
        <w:t>Vorschlag</w:t>
      </w:r>
      <w:r>
        <w:tab/>
      </w:r>
      <w:r>
        <w:fldChar w:fldCharType="begin"/>
      </w:r>
      <w:r>
        <w:instrText xml:space="preserve"> PAGEREF _Toc177493451 \h </w:instrText>
      </w:r>
      <w:r>
        <w:fldChar w:fldCharType="separate"/>
      </w:r>
      <w:r>
        <w:t>9</w:t>
      </w:r>
      <w:r>
        <w:fldChar w:fldCharType="end"/>
      </w:r>
    </w:p>
    <w:p w14:paraId="40E0D381" w14:textId="7E9B1F5B"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Unterabschnitt „UPOV-Sortenbeschreibung“, Punkt 17 „Zusätzliche Informationen“</w:t>
      </w:r>
      <w:r>
        <w:tab/>
      </w:r>
      <w:r>
        <w:fldChar w:fldCharType="begin"/>
      </w:r>
      <w:r>
        <w:instrText xml:space="preserve"> PAGEREF _Toc177493452 \h </w:instrText>
      </w:r>
      <w:r>
        <w:fldChar w:fldCharType="separate"/>
      </w:r>
      <w:r>
        <w:t>10</w:t>
      </w:r>
      <w:r>
        <w:fldChar w:fldCharType="end"/>
      </w:r>
    </w:p>
    <w:p w14:paraId="0C1EDEEC" w14:textId="612BAB46" w:rsidR="00A12E2C" w:rsidRDefault="00A12E2C">
      <w:pPr>
        <w:pStyle w:val="TOC4"/>
        <w:rPr>
          <w:rFonts w:asciiTheme="minorHAnsi" w:eastAsiaTheme="minorEastAsia" w:hAnsiTheme="minorHAnsi" w:cstheme="minorBidi"/>
          <w:kern w:val="2"/>
          <w:sz w:val="24"/>
          <w:szCs w:val="24"/>
          <w:lang w:val="en-GB" w:eastAsia="en-GB"/>
          <w14:ligatures w14:val="standardContextual"/>
        </w:rPr>
      </w:pPr>
      <w:r w:rsidRPr="00A2214A">
        <w:rPr>
          <w:rFonts w:eastAsia="MS Mincho"/>
          <w:lang w:val="de-DE"/>
        </w:rPr>
        <w:t>Vorschlag</w:t>
      </w:r>
      <w:r>
        <w:tab/>
      </w:r>
      <w:r>
        <w:fldChar w:fldCharType="begin"/>
      </w:r>
      <w:r>
        <w:instrText xml:space="preserve"> PAGEREF _Toc177493453 \h </w:instrText>
      </w:r>
      <w:r>
        <w:fldChar w:fldCharType="separate"/>
      </w:r>
      <w:r>
        <w:t>10</w:t>
      </w:r>
      <w:r>
        <w:fldChar w:fldCharType="end"/>
      </w:r>
    </w:p>
    <w:p w14:paraId="175ABC28" w14:textId="40835A0D"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Aufbau des Dokuments TGP/5, Abschnitt 6 „UPOV-Bericht über die technische Prüfung und UPOV-Sortenbeschreibung“</w:t>
      </w:r>
      <w:r>
        <w:tab/>
      </w:r>
      <w:r>
        <w:fldChar w:fldCharType="begin"/>
      </w:r>
      <w:r>
        <w:instrText xml:space="preserve"> PAGEREF _Toc177493454 \h </w:instrText>
      </w:r>
      <w:r>
        <w:fldChar w:fldCharType="separate"/>
      </w:r>
      <w:r>
        <w:t>10</w:t>
      </w:r>
      <w:r>
        <w:fldChar w:fldCharType="end"/>
      </w:r>
    </w:p>
    <w:p w14:paraId="0EF11BC2" w14:textId="3B281EE2" w:rsidR="00A12E2C" w:rsidRDefault="00A12E2C">
      <w:pPr>
        <w:pStyle w:val="TOC2"/>
        <w:rPr>
          <w:rFonts w:asciiTheme="minorHAnsi" w:eastAsiaTheme="minorEastAsia" w:hAnsiTheme="minorHAnsi" w:cstheme="minorBidi"/>
          <w:kern w:val="2"/>
          <w:sz w:val="24"/>
          <w:szCs w:val="24"/>
          <w:lang w:val="en-GB" w:eastAsia="en-GB"/>
          <w14:ligatures w14:val="standardContextual"/>
        </w:rPr>
      </w:pPr>
      <w:r w:rsidRPr="00A2214A">
        <w:rPr>
          <w:lang w:val="de-DE"/>
        </w:rPr>
        <w:t>TGP/7: Erstellung von Prüfungsrichtlinien (Überarbeitung)</w:t>
      </w:r>
      <w:r>
        <w:tab/>
      </w:r>
      <w:r>
        <w:fldChar w:fldCharType="begin"/>
      </w:r>
      <w:r>
        <w:instrText xml:space="preserve"> PAGEREF _Toc177493455 \h </w:instrText>
      </w:r>
      <w:r>
        <w:fldChar w:fldCharType="separate"/>
      </w:r>
      <w:r>
        <w:t>10</w:t>
      </w:r>
      <w:r>
        <w:fldChar w:fldCharType="end"/>
      </w:r>
    </w:p>
    <w:p w14:paraId="52C2910E" w14:textId="54325DD1"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Zusätzlicher Standardwortlaut (ASW) 7b) „Anzahl der zu prüfenden Pflanzen / Pflanzenteile“</w:t>
      </w:r>
      <w:r>
        <w:tab/>
      </w:r>
      <w:r>
        <w:fldChar w:fldCharType="begin"/>
      </w:r>
      <w:r>
        <w:instrText xml:space="preserve"> PAGEREF _Toc177493456 \h </w:instrText>
      </w:r>
      <w:r>
        <w:fldChar w:fldCharType="separate"/>
      </w:r>
      <w:r>
        <w:t>10</w:t>
      </w:r>
      <w:r>
        <w:fldChar w:fldCharType="end"/>
      </w:r>
    </w:p>
    <w:p w14:paraId="0D43AD0A" w14:textId="1856BA53" w:rsidR="00A12E2C" w:rsidRDefault="00A12E2C">
      <w:pPr>
        <w:pStyle w:val="TOC3"/>
        <w:rPr>
          <w:rFonts w:asciiTheme="minorHAnsi" w:eastAsiaTheme="minorEastAsia" w:hAnsiTheme="minorHAnsi" w:cstheme="minorBidi"/>
          <w:i w:val="0"/>
          <w:kern w:val="2"/>
          <w:sz w:val="24"/>
          <w:szCs w:val="24"/>
          <w:lang w:val="en-GB" w:eastAsia="en-GB"/>
          <w14:ligatures w14:val="standardContextual"/>
        </w:rPr>
      </w:pPr>
      <w:r w:rsidRPr="00A2214A">
        <w:rPr>
          <w:lang w:val="de-DE"/>
        </w:rPr>
        <w:t>Erläuterung (GN) 28 „Beispielssorten“ - Beispielssorten für quantitative Merkmale mit Sternchen, wenn Abbildungen vorgelegt werden</w:t>
      </w:r>
      <w:r>
        <w:tab/>
      </w:r>
      <w:r>
        <w:fldChar w:fldCharType="begin"/>
      </w:r>
      <w:r>
        <w:instrText xml:space="preserve"> PAGEREF _Toc177493457 \h </w:instrText>
      </w:r>
      <w:r>
        <w:fldChar w:fldCharType="separate"/>
      </w:r>
      <w:r>
        <w:t>11</w:t>
      </w:r>
      <w:r>
        <w:fldChar w:fldCharType="end"/>
      </w:r>
    </w:p>
    <w:p w14:paraId="78522222" w14:textId="03EBD1FE" w:rsidR="00A12E2C" w:rsidRDefault="00A12E2C">
      <w:pPr>
        <w:pStyle w:val="TOC2"/>
        <w:rPr>
          <w:rFonts w:asciiTheme="minorHAnsi" w:eastAsiaTheme="minorEastAsia" w:hAnsiTheme="minorHAnsi" w:cstheme="minorBidi"/>
          <w:kern w:val="2"/>
          <w:sz w:val="24"/>
          <w:szCs w:val="24"/>
          <w:lang w:val="en-GB" w:eastAsia="en-GB"/>
          <w14:ligatures w14:val="standardContextual"/>
        </w:rPr>
      </w:pPr>
      <w:r w:rsidRPr="00A2214A">
        <w:rPr>
          <w:lang w:val="de-DE"/>
        </w:rPr>
        <w:t>Zugang zu Pflanzenmaterial zum Zweck der Verwaltung von Sortensammlungen und der DUS-Prüfung</w:t>
      </w:r>
      <w:r>
        <w:tab/>
      </w:r>
      <w:r>
        <w:fldChar w:fldCharType="begin"/>
      </w:r>
      <w:r>
        <w:instrText xml:space="preserve"> PAGEREF _Toc177493458 \h </w:instrText>
      </w:r>
      <w:r>
        <w:fldChar w:fldCharType="separate"/>
      </w:r>
      <w:r>
        <w:t>11</w:t>
      </w:r>
      <w:r>
        <w:fldChar w:fldCharType="end"/>
      </w:r>
    </w:p>
    <w:p w14:paraId="4532F9A0" w14:textId="4BCE5F7C" w:rsidR="00214329" w:rsidRPr="00B140F2" w:rsidRDefault="0060633E" w:rsidP="003A2017">
      <w:pPr>
        <w:tabs>
          <w:tab w:val="left" w:pos="2790"/>
        </w:tabs>
        <w:spacing w:before="120" w:after="120"/>
        <w:ind w:left="1140" w:hanging="1140"/>
        <w:jc w:val="left"/>
        <w:rPr>
          <w:rFonts w:eastAsiaTheme="minorEastAsia" w:cs="Arial"/>
          <w:sz w:val="18"/>
          <w:szCs w:val="18"/>
          <w:lang w:val="de-DE"/>
        </w:rPr>
      </w:pPr>
      <w:r w:rsidRPr="00E83514">
        <w:rPr>
          <w:rFonts w:cs="Arial"/>
          <w:bCs/>
          <w:caps/>
          <w:snapToGrid w:val="0"/>
          <w:sz w:val="18"/>
          <w:highlight w:val="yellow"/>
          <w:lang w:val="de-DE"/>
        </w:rPr>
        <w:fldChar w:fldCharType="end"/>
      </w:r>
      <w:r w:rsidRPr="00B140F2">
        <w:rPr>
          <w:rFonts w:eastAsiaTheme="minorEastAsia" w:cs="Arial"/>
          <w:sz w:val="18"/>
          <w:szCs w:val="18"/>
          <w:lang w:val="de-DE"/>
        </w:rPr>
        <w:t>ANLAGE I:</w:t>
      </w:r>
      <w:r w:rsidRPr="00B140F2">
        <w:rPr>
          <w:rFonts w:eastAsiaTheme="minorEastAsia" w:cs="Arial"/>
          <w:sz w:val="18"/>
          <w:szCs w:val="18"/>
          <w:lang w:val="de-DE"/>
        </w:rPr>
        <w:tab/>
      </w:r>
      <w:r w:rsidR="003E3640">
        <w:rPr>
          <w:rFonts w:eastAsiaTheme="minorEastAsia" w:cs="Arial"/>
          <w:sz w:val="18"/>
          <w:szCs w:val="18"/>
          <w:lang w:val="de-DE"/>
        </w:rPr>
        <w:t xml:space="preserve">Überarbeitung von </w:t>
      </w:r>
      <w:r w:rsidR="00406156" w:rsidRPr="00B140F2">
        <w:rPr>
          <w:rFonts w:eastAsiaTheme="minorEastAsia" w:cs="Arial"/>
          <w:sz w:val="18"/>
          <w:szCs w:val="18"/>
          <w:lang w:val="de-DE"/>
        </w:rPr>
        <w:t>Dokument UPOV/EXN/DEN</w:t>
      </w:r>
      <w:r w:rsidR="003E3640">
        <w:rPr>
          <w:rFonts w:eastAsiaTheme="minorEastAsia" w:cs="Arial"/>
          <w:sz w:val="18"/>
          <w:szCs w:val="18"/>
          <w:lang w:val="de-DE"/>
        </w:rPr>
        <w:t>/3</w:t>
      </w:r>
      <w:r w:rsidR="00406156" w:rsidRPr="00B140F2">
        <w:rPr>
          <w:rFonts w:eastAsiaTheme="minorEastAsia" w:cs="Arial"/>
          <w:sz w:val="18"/>
          <w:szCs w:val="18"/>
          <w:lang w:val="de-DE"/>
        </w:rPr>
        <w:t xml:space="preserve"> </w:t>
      </w:r>
      <w:r w:rsidR="003E3640">
        <w:rPr>
          <w:rFonts w:eastAsiaTheme="minorEastAsia" w:cs="Arial"/>
          <w:sz w:val="18"/>
          <w:szCs w:val="18"/>
          <w:lang w:val="de-DE"/>
        </w:rPr>
        <w:t>„</w:t>
      </w:r>
      <w:r w:rsidR="00406156" w:rsidRPr="00B140F2">
        <w:rPr>
          <w:rFonts w:eastAsiaTheme="minorEastAsia" w:cs="Arial"/>
          <w:sz w:val="18"/>
          <w:szCs w:val="18"/>
          <w:lang w:val="de-DE"/>
        </w:rPr>
        <w:t>Erläuterungen zu Sortenbezeichnungen nach dem UPOV-Übereinkommen</w:t>
      </w:r>
      <w:r w:rsidR="003E3640">
        <w:rPr>
          <w:rFonts w:eastAsiaTheme="minorEastAsia" w:cs="Arial"/>
          <w:sz w:val="18"/>
          <w:szCs w:val="18"/>
          <w:lang w:val="de-DE"/>
        </w:rPr>
        <w:t>“</w:t>
      </w:r>
      <w:r w:rsidR="00406156" w:rsidRPr="00B140F2">
        <w:rPr>
          <w:rFonts w:eastAsiaTheme="minorEastAsia" w:cs="Arial"/>
          <w:sz w:val="18"/>
          <w:szCs w:val="18"/>
          <w:lang w:val="de-DE"/>
        </w:rPr>
        <w:t xml:space="preserve"> (</w:t>
      </w:r>
      <w:r w:rsidR="003E3640">
        <w:rPr>
          <w:rFonts w:eastAsiaTheme="minorEastAsia" w:cs="Arial"/>
          <w:sz w:val="18"/>
          <w:szCs w:val="18"/>
          <w:lang w:val="de-DE"/>
        </w:rPr>
        <w:t>Dokument UPOV/EXN/DEN/4</w:t>
      </w:r>
      <w:r w:rsidR="00406156" w:rsidRPr="00B140F2">
        <w:rPr>
          <w:rFonts w:eastAsiaTheme="minorEastAsia" w:cs="Arial"/>
          <w:sz w:val="18"/>
          <w:szCs w:val="18"/>
          <w:lang w:val="de-DE"/>
        </w:rPr>
        <w:t xml:space="preserve">) - Neue Sortenbezeichnungsklassen für </w:t>
      </w:r>
      <w:r w:rsidR="00406156" w:rsidRPr="00EE37CE">
        <w:rPr>
          <w:rFonts w:eastAsiaTheme="minorEastAsia" w:cs="Arial"/>
          <w:i/>
          <w:iCs/>
          <w:sz w:val="18"/>
          <w:szCs w:val="18"/>
          <w:lang w:val="de-DE"/>
        </w:rPr>
        <w:t>Prunus</w:t>
      </w:r>
      <w:r w:rsidR="00406156" w:rsidRPr="00B140F2">
        <w:rPr>
          <w:rFonts w:eastAsiaTheme="minorEastAsia" w:cs="Arial"/>
          <w:sz w:val="18"/>
          <w:szCs w:val="18"/>
          <w:lang w:val="de-DE"/>
        </w:rPr>
        <w:t xml:space="preserve"> und Situationen, in denen eine Bezeichnung mit anderen Klassen innerhalb einer Gattung verglichen werden sollte</w:t>
      </w:r>
    </w:p>
    <w:p w14:paraId="4F9F57E0" w14:textId="7CD2259E" w:rsidR="00214329" w:rsidRPr="00B140F2" w:rsidRDefault="002006BE" w:rsidP="003A2017">
      <w:pPr>
        <w:tabs>
          <w:tab w:val="left" w:pos="2790"/>
        </w:tabs>
        <w:spacing w:before="120" w:after="120"/>
        <w:ind w:left="1138" w:hanging="1138"/>
        <w:jc w:val="left"/>
        <w:rPr>
          <w:rFonts w:eastAsiaTheme="minorEastAsia" w:cs="Arial"/>
          <w:sz w:val="18"/>
          <w:szCs w:val="18"/>
          <w:lang w:val="de-DE"/>
        </w:rPr>
      </w:pPr>
      <w:r w:rsidRPr="00B140F2">
        <w:rPr>
          <w:rFonts w:eastAsiaTheme="minorEastAsia" w:cs="Arial"/>
          <w:sz w:val="18"/>
          <w:szCs w:val="18"/>
          <w:lang w:val="de-DE"/>
        </w:rPr>
        <w:t>ANLAGE</w:t>
      </w:r>
      <w:r w:rsidR="0060633E" w:rsidRPr="00B140F2">
        <w:rPr>
          <w:rFonts w:eastAsiaTheme="minorEastAsia" w:cs="Arial"/>
          <w:sz w:val="18"/>
          <w:szCs w:val="18"/>
          <w:lang w:val="de-DE"/>
        </w:rPr>
        <w:t xml:space="preserve"> II:</w:t>
      </w:r>
      <w:r w:rsidR="0060633E" w:rsidRPr="00B140F2">
        <w:rPr>
          <w:rFonts w:eastAsiaTheme="minorEastAsia" w:cs="Arial"/>
          <w:sz w:val="18"/>
          <w:szCs w:val="18"/>
          <w:lang w:val="de-DE"/>
        </w:rPr>
        <w:tab/>
      </w:r>
      <w:r w:rsidR="00406156" w:rsidRPr="00B140F2">
        <w:rPr>
          <w:rFonts w:eastAsiaTheme="minorEastAsia" w:cs="Arial"/>
          <w:sz w:val="18"/>
          <w:szCs w:val="18"/>
          <w:lang w:val="de-DE"/>
        </w:rPr>
        <w:t>Dokument TGP/12: Anleitung zu bestimmten physiologischen Merkmalen (</w:t>
      </w:r>
      <w:r w:rsidR="000B089C" w:rsidRPr="00B140F2">
        <w:rPr>
          <w:rFonts w:eastAsiaTheme="minorEastAsia" w:cs="Arial"/>
          <w:sz w:val="18"/>
          <w:szCs w:val="18"/>
          <w:lang w:val="de-DE"/>
        </w:rPr>
        <w:t>Überarbeitung</w:t>
      </w:r>
      <w:r w:rsidR="00406156" w:rsidRPr="00B140F2">
        <w:rPr>
          <w:rFonts w:eastAsiaTheme="minorEastAsia" w:cs="Arial"/>
          <w:sz w:val="18"/>
          <w:szCs w:val="18"/>
          <w:lang w:val="de-DE"/>
        </w:rPr>
        <w:t xml:space="preserve">) </w:t>
      </w:r>
      <w:r w:rsidR="003A2017">
        <w:rPr>
          <w:rFonts w:eastAsiaTheme="minorEastAsia" w:cs="Arial"/>
          <w:sz w:val="18"/>
          <w:szCs w:val="18"/>
          <w:lang w:val="de-DE"/>
        </w:rPr>
        <w:t>–</w:t>
      </w:r>
      <w:r w:rsidR="00406156" w:rsidRPr="00B140F2">
        <w:rPr>
          <w:rFonts w:eastAsiaTheme="minorEastAsia" w:cs="Arial"/>
          <w:sz w:val="18"/>
          <w:szCs w:val="18"/>
          <w:lang w:val="de-DE"/>
        </w:rPr>
        <w:t xml:space="preserve"> </w:t>
      </w:r>
      <w:r w:rsidR="00923263" w:rsidRPr="00B140F2">
        <w:rPr>
          <w:rFonts w:eastAsiaTheme="minorEastAsia" w:cs="Arial"/>
          <w:sz w:val="18"/>
          <w:szCs w:val="18"/>
          <w:lang w:val="de-DE"/>
        </w:rPr>
        <w:t>Gleichwertigkeitstabelle</w:t>
      </w:r>
      <w:r w:rsidR="00406156" w:rsidRPr="00B140F2">
        <w:rPr>
          <w:rFonts w:eastAsiaTheme="minorEastAsia" w:cs="Arial"/>
          <w:sz w:val="18"/>
          <w:szCs w:val="18"/>
          <w:lang w:val="de-DE"/>
        </w:rPr>
        <w:t xml:space="preserve"> für Ausprägungsstufen bei quantitativen </w:t>
      </w:r>
      <w:r w:rsidR="00C32BF0" w:rsidRPr="00B140F2">
        <w:rPr>
          <w:rFonts w:eastAsiaTheme="minorEastAsia" w:cs="Arial"/>
          <w:sz w:val="18"/>
          <w:szCs w:val="18"/>
          <w:lang w:val="de-DE"/>
        </w:rPr>
        <w:t>Krankheitsresistenzmerkmalen in den Prüfungsrichtlinien</w:t>
      </w:r>
    </w:p>
    <w:p w14:paraId="2EFB03AB" w14:textId="7213A905" w:rsidR="00214329" w:rsidRPr="00B140F2" w:rsidRDefault="002006BE" w:rsidP="003A2017">
      <w:pPr>
        <w:tabs>
          <w:tab w:val="left" w:pos="2790"/>
        </w:tabs>
        <w:spacing w:before="120" w:after="40"/>
        <w:ind w:left="1140" w:hanging="1140"/>
        <w:jc w:val="left"/>
        <w:rPr>
          <w:rFonts w:eastAsiaTheme="minorEastAsia" w:cs="Arial"/>
          <w:sz w:val="18"/>
          <w:szCs w:val="18"/>
          <w:lang w:val="de-DE"/>
        </w:rPr>
      </w:pPr>
      <w:r w:rsidRPr="00B140F2">
        <w:rPr>
          <w:rFonts w:eastAsiaTheme="minorEastAsia" w:cs="Arial"/>
          <w:sz w:val="18"/>
          <w:szCs w:val="18"/>
          <w:lang w:val="de-DE"/>
        </w:rPr>
        <w:t>ANLAGE</w:t>
      </w:r>
      <w:r w:rsidR="0060633E" w:rsidRPr="00B140F2">
        <w:rPr>
          <w:rFonts w:eastAsiaTheme="minorEastAsia" w:cs="Arial"/>
          <w:sz w:val="18"/>
          <w:szCs w:val="18"/>
          <w:lang w:val="de-DE"/>
        </w:rPr>
        <w:t xml:space="preserve"> III:</w:t>
      </w:r>
      <w:r w:rsidR="0060633E" w:rsidRPr="00B140F2">
        <w:rPr>
          <w:rFonts w:eastAsiaTheme="minorEastAsia" w:cs="Arial"/>
          <w:sz w:val="18"/>
          <w:szCs w:val="18"/>
          <w:lang w:val="de-DE"/>
        </w:rPr>
        <w:tab/>
      </w:r>
      <w:r w:rsidR="00406156" w:rsidRPr="00B140F2">
        <w:rPr>
          <w:rFonts w:eastAsiaTheme="minorEastAsia" w:cs="Arial"/>
          <w:sz w:val="18"/>
          <w:szCs w:val="18"/>
          <w:lang w:val="de-DE"/>
        </w:rPr>
        <w:t>Dokument TPG/5: Abschnitt 6: UPOV-Bericht über die technische Prüfung und UPOV-Sortenbeschreibung</w:t>
      </w:r>
    </w:p>
    <w:p w14:paraId="6EC8820C" w14:textId="4B5FB117" w:rsidR="00214329" w:rsidRPr="00B140F2" w:rsidRDefault="0060633E" w:rsidP="003A2017">
      <w:pPr>
        <w:tabs>
          <w:tab w:val="left" w:pos="2790"/>
        </w:tabs>
        <w:spacing w:after="120"/>
        <w:ind w:left="1140" w:hanging="6"/>
        <w:jc w:val="left"/>
        <w:rPr>
          <w:rFonts w:eastAsiaTheme="minorEastAsia" w:cs="Arial"/>
          <w:sz w:val="18"/>
          <w:szCs w:val="18"/>
          <w:lang w:val="de-DE"/>
        </w:rPr>
      </w:pPr>
      <w:r w:rsidRPr="00B140F2">
        <w:rPr>
          <w:rFonts w:eastAsiaTheme="minorEastAsia" w:cs="Arial"/>
          <w:sz w:val="18"/>
          <w:szCs w:val="18"/>
          <w:lang w:val="de-DE"/>
        </w:rPr>
        <w:t xml:space="preserve">- Abschnitt </w:t>
      </w:r>
      <w:r w:rsidR="001C4FD6" w:rsidRPr="00B140F2">
        <w:rPr>
          <w:rFonts w:eastAsiaTheme="minorEastAsia" w:cs="Arial"/>
          <w:sz w:val="18"/>
          <w:szCs w:val="18"/>
          <w:lang w:val="de-DE"/>
        </w:rPr>
        <w:t>„</w:t>
      </w:r>
      <w:r w:rsidRPr="00B140F2">
        <w:rPr>
          <w:rFonts w:eastAsiaTheme="minorEastAsia" w:cs="Arial"/>
          <w:sz w:val="18"/>
          <w:szCs w:val="18"/>
          <w:lang w:val="de-DE"/>
        </w:rPr>
        <w:t>UPOV-Sortenbeschreibung</w:t>
      </w:r>
      <w:r w:rsidR="001C4FD6" w:rsidRPr="00B140F2">
        <w:rPr>
          <w:rFonts w:eastAsiaTheme="minorEastAsia" w:cs="Arial"/>
          <w:sz w:val="18"/>
          <w:szCs w:val="18"/>
          <w:lang w:val="de-DE"/>
        </w:rPr>
        <w:t>“</w:t>
      </w:r>
      <w:r w:rsidRPr="00B140F2">
        <w:rPr>
          <w:rFonts w:eastAsiaTheme="minorEastAsia" w:cs="Arial"/>
          <w:sz w:val="18"/>
          <w:szCs w:val="18"/>
          <w:lang w:val="de-DE"/>
        </w:rPr>
        <w:t xml:space="preserve">, Punkt 16 </w:t>
      </w:r>
      <w:r w:rsidR="001C4FD6" w:rsidRPr="00B140F2">
        <w:rPr>
          <w:rFonts w:eastAsiaTheme="minorEastAsia" w:cs="Arial"/>
          <w:sz w:val="18"/>
          <w:szCs w:val="18"/>
          <w:lang w:val="de-DE"/>
        </w:rPr>
        <w:t>„</w:t>
      </w:r>
      <w:r w:rsidR="00FE23CD" w:rsidRPr="00B140F2">
        <w:rPr>
          <w:rFonts w:eastAsiaTheme="minorEastAsia" w:cs="Arial"/>
          <w:sz w:val="18"/>
          <w:szCs w:val="18"/>
          <w:lang w:val="de-DE"/>
        </w:rPr>
        <w:t>Ähnliche Sorten und Unterschiede zu diesen Sorten</w:t>
      </w:r>
      <w:r w:rsidR="001C4FD6" w:rsidRPr="00B140F2">
        <w:rPr>
          <w:rFonts w:eastAsiaTheme="minorEastAsia" w:cs="Arial"/>
          <w:sz w:val="18"/>
          <w:szCs w:val="18"/>
          <w:lang w:val="de-DE"/>
        </w:rPr>
        <w:t>“</w:t>
      </w:r>
      <w:r w:rsidRPr="00B140F2">
        <w:rPr>
          <w:rFonts w:eastAsiaTheme="minorEastAsia" w:cs="Arial"/>
          <w:sz w:val="18"/>
          <w:szCs w:val="18"/>
          <w:lang w:val="de-DE"/>
        </w:rPr>
        <w:br/>
        <w:t xml:space="preserve">- Abschnitt </w:t>
      </w:r>
      <w:r w:rsidR="001C4FD6" w:rsidRPr="00B140F2">
        <w:rPr>
          <w:rFonts w:eastAsiaTheme="minorEastAsia" w:cs="Arial"/>
          <w:sz w:val="18"/>
          <w:szCs w:val="18"/>
          <w:lang w:val="de-DE"/>
        </w:rPr>
        <w:t>„</w:t>
      </w:r>
      <w:r w:rsidRPr="00B140F2">
        <w:rPr>
          <w:rFonts w:eastAsiaTheme="minorEastAsia" w:cs="Arial"/>
          <w:sz w:val="18"/>
          <w:szCs w:val="18"/>
          <w:lang w:val="de-DE"/>
        </w:rPr>
        <w:t>UPOV-Sortenbeschreibung</w:t>
      </w:r>
      <w:r w:rsidR="001C4FD6" w:rsidRPr="00B140F2">
        <w:rPr>
          <w:rFonts w:eastAsiaTheme="minorEastAsia" w:cs="Arial"/>
          <w:sz w:val="18"/>
          <w:szCs w:val="18"/>
          <w:lang w:val="de-DE"/>
        </w:rPr>
        <w:t>“</w:t>
      </w:r>
      <w:r w:rsidRPr="00B140F2">
        <w:rPr>
          <w:rFonts w:eastAsiaTheme="minorEastAsia" w:cs="Arial"/>
          <w:sz w:val="18"/>
          <w:szCs w:val="18"/>
          <w:lang w:val="de-DE"/>
        </w:rPr>
        <w:t xml:space="preserve">, Punkt 17 </w:t>
      </w:r>
      <w:r w:rsidR="001C4FD6" w:rsidRPr="00B140F2">
        <w:rPr>
          <w:rFonts w:eastAsiaTheme="minorEastAsia" w:cs="Arial"/>
          <w:sz w:val="18"/>
          <w:szCs w:val="18"/>
          <w:lang w:val="de-DE"/>
        </w:rPr>
        <w:t>„</w:t>
      </w:r>
      <w:r w:rsidRPr="00B140F2">
        <w:rPr>
          <w:rFonts w:eastAsiaTheme="minorEastAsia" w:cs="Arial"/>
          <w:sz w:val="18"/>
          <w:szCs w:val="18"/>
          <w:lang w:val="de-DE"/>
        </w:rPr>
        <w:t>Zusätzliche Informationen</w:t>
      </w:r>
      <w:r w:rsidR="001C4FD6" w:rsidRPr="00B140F2">
        <w:rPr>
          <w:rFonts w:eastAsiaTheme="minorEastAsia" w:cs="Arial"/>
          <w:sz w:val="18"/>
          <w:szCs w:val="18"/>
          <w:lang w:val="de-DE"/>
        </w:rPr>
        <w:t>“</w:t>
      </w:r>
    </w:p>
    <w:p w14:paraId="1D31F8C7" w14:textId="77777777" w:rsidR="00214329" w:rsidRPr="00B140F2" w:rsidRDefault="0060633E" w:rsidP="003A2017">
      <w:pPr>
        <w:tabs>
          <w:tab w:val="left" w:pos="2790"/>
        </w:tabs>
        <w:spacing w:before="120" w:after="40"/>
        <w:ind w:left="1140" w:hanging="1140"/>
        <w:jc w:val="left"/>
        <w:rPr>
          <w:rFonts w:eastAsiaTheme="minorEastAsia" w:cs="Arial"/>
          <w:sz w:val="18"/>
          <w:szCs w:val="18"/>
          <w:lang w:val="de-DE"/>
        </w:rPr>
      </w:pPr>
      <w:r w:rsidRPr="00B140F2">
        <w:rPr>
          <w:rFonts w:eastAsiaTheme="minorEastAsia" w:cs="Arial"/>
          <w:sz w:val="18"/>
          <w:szCs w:val="18"/>
          <w:lang w:val="de-DE"/>
        </w:rPr>
        <w:t>ANLAGE IV:</w:t>
      </w:r>
      <w:r w:rsidRPr="00B140F2">
        <w:rPr>
          <w:rFonts w:eastAsiaTheme="minorEastAsia" w:cs="Arial"/>
          <w:sz w:val="18"/>
          <w:szCs w:val="18"/>
          <w:lang w:val="de-DE"/>
        </w:rPr>
        <w:tab/>
      </w:r>
      <w:r w:rsidR="00406156" w:rsidRPr="00B140F2">
        <w:rPr>
          <w:rFonts w:eastAsiaTheme="minorEastAsia" w:cs="Arial"/>
          <w:sz w:val="18"/>
          <w:szCs w:val="18"/>
          <w:lang w:val="de-DE"/>
        </w:rPr>
        <w:t>Dokument TGP/7: Erstellung von Prüfungsrichtlinien (Überarbeitung)</w:t>
      </w:r>
    </w:p>
    <w:p w14:paraId="2121ABDC" w14:textId="27039D43" w:rsidR="00214329" w:rsidRPr="00B140F2" w:rsidRDefault="0060633E" w:rsidP="003A2017">
      <w:pPr>
        <w:ind w:left="1134"/>
        <w:jc w:val="left"/>
        <w:rPr>
          <w:rFonts w:eastAsiaTheme="minorEastAsia" w:cs="Arial"/>
          <w:sz w:val="18"/>
          <w:szCs w:val="18"/>
          <w:lang w:val="de-DE"/>
        </w:rPr>
      </w:pPr>
      <w:r w:rsidRPr="00B140F2">
        <w:rPr>
          <w:rFonts w:eastAsiaTheme="minorEastAsia" w:cs="Arial"/>
          <w:sz w:val="18"/>
          <w:szCs w:val="18"/>
          <w:lang w:val="de-DE"/>
        </w:rPr>
        <w:t xml:space="preserve">- Zusätzlicher Standardwortlaut (ASW) </w:t>
      </w:r>
      <w:r w:rsidR="003770B2" w:rsidRPr="00B140F2">
        <w:rPr>
          <w:rFonts w:eastAsiaTheme="minorEastAsia" w:cs="Arial"/>
          <w:sz w:val="18"/>
          <w:szCs w:val="18"/>
          <w:lang w:val="de-DE"/>
        </w:rPr>
        <w:t>7b)</w:t>
      </w:r>
      <w:r w:rsidRPr="00B140F2">
        <w:rPr>
          <w:rFonts w:eastAsiaTheme="minorEastAsia" w:cs="Arial"/>
          <w:sz w:val="18"/>
          <w:szCs w:val="18"/>
          <w:lang w:val="de-DE"/>
        </w:rPr>
        <w:t xml:space="preserve"> </w:t>
      </w:r>
      <w:r w:rsidR="001C4FD6" w:rsidRPr="00B140F2">
        <w:rPr>
          <w:rFonts w:eastAsiaTheme="minorEastAsia" w:cs="Arial"/>
          <w:sz w:val="18"/>
          <w:szCs w:val="18"/>
          <w:lang w:val="de-DE"/>
        </w:rPr>
        <w:t>„</w:t>
      </w:r>
      <w:r w:rsidRPr="00B140F2">
        <w:rPr>
          <w:rFonts w:eastAsiaTheme="minorEastAsia" w:cs="Arial"/>
          <w:sz w:val="18"/>
          <w:szCs w:val="18"/>
          <w:lang w:val="de-DE"/>
        </w:rPr>
        <w:t>Anzahl der zu prüfenden Pflanzen / Pflanzenteile</w:t>
      </w:r>
      <w:r w:rsidR="001C4FD6" w:rsidRPr="00B140F2">
        <w:rPr>
          <w:rFonts w:eastAsiaTheme="minorEastAsia" w:cs="Arial"/>
          <w:sz w:val="18"/>
          <w:szCs w:val="18"/>
          <w:lang w:val="de-DE"/>
        </w:rPr>
        <w:t>“</w:t>
      </w:r>
    </w:p>
    <w:p w14:paraId="23CAC7ED" w14:textId="47FB8C33" w:rsidR="00214329" w:rsidRPr="00B140F2" w:rsidRDefault="0060633E" w:rsidP="003A2017">
      <w:pPr>
        <w:spacing w:after="120"/>
        <w:ind w:left="1276" w:hanging="142"/>
        <w:jc w:val="left"/>
        <w:rPr>
          <w:rFonts w:eastAsiaTheme="minorEastAsia" w:cs="Arial"/>
          <w:sz w:val="18"/>
          <w:szCs w:val="18"/>
          <w:lang w:val="de-DE"/>
        </w:rPr>
      </w:pPr>
      <w:r w:rsidRPr="00B140F2">
        <w:rPr>
          <w:rFonts w:eastAsiaTheme="minorEastAsia" w:cs="Arial"/>
          <w:sz w:val="18"/>
          <w:szCs w:val="18"/>
          <w:lang w:val="de-DE"/>
        </w:rPr>
        <w:t xml:space="preserve">- GN 28 </w:t>
      </w:r>
      <w:r w:rsidR="001C4FD6" w:rsidRPr="00B140F2">
        <w:rPr>
          <w:rFonts w:eastAsiaTheme="minorEastAsia" w:cs="Arial"/>
          <w:sz w:val="18"/>
          <w:szCs w:val="18"/>
          <w:lang w:val="de-DE"/>
        </w:rPr>
        <w:t>„</w:t>
      </w:r>
      <w:r w:rsidRPr="00B140F2">
        <w:rPr>
          <w:rFonts w:eastAsiaTheme="minorEastAsia" w:cs="Arial"/>
          <w:sz w:val="18"/>
          <w:szCs w:val="18"/>
          <w:lang w:val="de-DE"/>
        </w:rPr>
        <w:t>Beispielssorten</w:t>
      </w:r>
      <w:r w:rsidR="001C4FD6" w:rsidRPr="00B140F2">
        <w:rPr>
          <w:rFonts w:eastAsiaTheme="minorEastAsia" w:cs="Arial"/>
          <w:sz w:val="18"/>
          <w:szCs w:val="18"/>
          <w:lang w:val="de-DE"/>
        </w:rPr>
        <w:t>“</w:t>
      </w:r>
      <w:r w:rsidRPr="00B140F2">
        <w:rPr>
          <w:rFonts w:eastAsiaTheme="minorEastAsia" w:cs="Arial"/>
          <w:sz w:val="18"/>
          <w:szCs w:val="18"/>
          <w:lang w:val="de-DE"/>
        </w:rPr>
        <w:t xml:space="preserve"> - Beispielssorten für quantitative Merkmale mit Sternchen, </w:t>
      </w:r>
      <w:r w:rsidR="00615885" w:rsidRPr="00B140F2">
        <w:rPr>
          <w:rFonts w:eastAsiaTheme="minorEastAsia" w:cs="Arial"/>
          <w:sz w:val="18"/>
          <w:szCs w:val="18"/>
          <w:lang w:val="de-DE"/>
        </w:rPr>
        <w:t>wenn Abbildungen vorgelegt werden</w:t>
      </w:r>
    </w:p>
    <w:p w14:paraId="3564A0FF" w14:textId="50B4E948" w:rsidR="00214329" w:rsidRPr="00B140F2" w:rsidRDefault="002006BE" w:rsidP="003A2017">
      <w:pPr>
        <w:tabs>
          <w:tab w:val="left" w:pos="2790"/>
        </w:tabs>
        <w:spacing w:before="120" w:after="120"/>
        <w:ind w:left="1138" w:hanging="1138"/>
        <w:jc w:val="left"/>
        <w:rPr>
          <w:rFonts w:eastAsiaTheme="minorEastAsia" w:cs="Arial"/>
          <w:sz w:val="18"/>
          <w:szCs w:val="18"/>
          <w:lang w:val="de-DE"/>
        </w:rPr>
      </w:pPr>
      <w:r w:rsidRPr="00B140F2">
        <w:rPr>
          <w:rFonts w:eastAsiaTheme="minorEastAsia" w:cs="Arial"/>
          <w:sz w:val="18"/>
          <w:szCs w:val="18"/>
          <w:lang w:val="de-DE"/>
        </w:rPr>
        <w:t>ANLAGE</w:t>
      </w:r>
      <w:r w:rsidR="0060633E" w:rsidRPr="00B140F2">
        <w:rPr>
          <w:rFonts w:eastAsiaTheme="minorEastAsia" w:cs="Arial"/>
          <w:sz w:val="18"/>
          <w:szCs w:val="18"/>
          <w:lang w:val="de-DE"/>
        </w:rPr>
        <w:t xml:space="preserve"> V:</w:t>
      </w:r>
      <w:r w:rsidR="0060633E" w:rsidRPr="00B140F2">
        <w:rPr>
          <w:rFonts w:eastAsiaTheme="minorEastAsia" w:cs="Arial"/>
          <w:sz w:val="18"/>
          <w:szCs w:val="18"/>
          <w:lang w:val="de-DE"/>
        </w:rPr>
        <w:tab/>
      </w:r>
      <w:r w:rsidR="00CF2EB0" w:rsidRPr="00B140F2">
        <w:rPr>
          <w:rFonts w:eastAsiaTheme="minorEastAsia" w:cs="Arial"/>
          <w:sz w:val="18"/>
          <w:szCs w:val="18"/>
          <w:lang w:val="de-DE"/>
        </w:rPr>
        <w:t xml:space="preserve">Zugang </w:t>
      </w:r>
      <w:r w:rsidR="00BC1485" w:rsidRPr="00B140F2">
        <w:rPr>
          <w:rFonts w:eastAsiaTheme="minorEastAsia" w:cs="Arial"/>
          <w:sz w:val="18"/>
          <w:szCs w:val="18"/>
          <w:lang w:val="de-DE"/>
        </w:rPr>
        <w:t>zu Pflanzenmaterial zum Zweck der Verwaltung von Sortensammlungen und der DUS-Prüfung</w:t>
      </w:r>
    </w:p>
    <w:p w14:paraId="247E88E7" w14:textId="57B86B46" w:rsidR="00406156" w:rsidRPr="00B140F2" w:rsidRDefault="0060633E" w:rsidP="003A2017">
      <w:pPr>
        <w:tabs>
          <w:tab w:val="left" w:pos="2790"/>
        </w:tabs>
        <w:spacing w:before="120" w:after="120"/>
        <w:ind w:left="1138" w:hanging="1138"/>
        <w:jc w:val="left"/>
        <w:rPr>
          <w:rFonts w:eastAsiaTheme="minorEastAsia" w:cs="Arial"/>
          <w:sz w:val="18"/>
          <w:szCs w:val="18"/>
          <w:lang w:val="de-DE"/>
        </w:rPr>
      </w:pPr>
      <w:r w:rsidRPr="00B140F2">
        <w:rPr>
          <w:rFonts w:eastAsiaTheme="minorEastAsia" w:cs="Arial"/>
          <w:sz w:val="18"/>
          <w:szCs w:val="18"/>
          <w:lang w:val="de-DE"/>
        </w:rPr>
        <w:t>ANLAGE VI:</w:t>
      </w:r>
      <w:r w:rsidRPr="00B140F2">
        <w:rPr>
          <w:rFonts w:eastAsiaTheme="minorEastAsia" w:cs="Arial"/>
          <w:sz w:val="18"/>
          <w:szCs w:val="18"/>
          <w:lang w:val="de-DE"/>
        </w:rPr>
        <w:tab/>
        <w:t>Änderung</w:t>
      </w:r>
      <w:r w:rsidR="006A4239">
        <w:rPr>
          <w:rFonts w:eastAsiaTheme="minorEastAsia" w:cs="Arial"/>
          <w:sz w:val="18"/>
          <w:szCs w:val="18"/>
          <w:lang w:val="de-DE"/>
        </w:rPr>
        <w:t>svorschlage für das</w:t>
      </w:r>
      <w:r w:rsidRPr="00B140F2">
        <w:rPr>
          <w:rFonts w:eastAsiaTheme="minorEastAsia" w:cs="Arial"/>
          <w:sz w:val="18"/>
          <w:szCs w:val="18"/>
          <w:lang w:val="de-DE"/>
        </w:rPr>
        <w:t xml:space="preserve"> Dokument UPOV/INF/6/6 </w:t>
      </w:r>
      <w:r w:rsidR="001C4FD6" w:rsidRPr="00B140F2">
        <w:rPr>
          <w:rFonts w:eastAsiaTheme="minorEastAsia" w:cs="Arial"/>
          <w:sz w:val="18"/>
          <w:szCs w:val="18"/>
          <w:lang w:val="de-DE"/>
        </w:rPr>
        <w:t>„</w:t>
      </w:r>
      <w:r w:rsidRPr="00B140F2">
        <w:rPr>
          <w:rFonts w:eastAsiaTheme="minorEastAsia" w:cs="Arial"/>
          <w:sz w:val="18"/>
          <w:szCs w:val="18"/>
          <w:lang w:val="de-DE"/>
        </w:rPr>
        <w:t>Anleitung zur Ausarbeitung von Rechtsvorschriften aufgrund der Akte von 1991 des UPOV-Übereinkommens</w:t>
      </w:r>
      <w:r w:rsidR="001C4FD6" w:rsidRPr="00B140F2">
        <w:rPr>
          <w:rFonts w:eastAsiaTheme="minorEastAsia" w:cs="Arial"/>
          <w:sz w:val="18"/>
          <w:szCs w:val="18"/>
          <w:lang w:val="de-DE"/>
        </w:rPr>
        <w:t>“</w:t>
      </w:r>
      <w:r w:rsidRPr="00B140F2">
        <w:rPr>
          <w:rFonts w:eastAsiaTheme="minorEastAsia" w:cs="Arial"/>
          <w:sz w:val="18"/>
          <w:szCs w:val="18"/>
          <w:lang w:val="de-DE"/>
        </w:rPr>
        <w:t xml:space="preserve"> (Dokument UPOV/INF/6/7)</w:t>
      </w:r>
    </w:p>
    <w:p w14:paraId="2556D2DF" w14:textId="77777777" w:rsidR="00390CA0" w:rsidRPr="00B140F2" w:rsidRDefault="00390CA0" w:rsidP="00BD4986">
      <w:pPr>
        <w:jc w:val="left"/>
        <w:rPr>
          <w:caps/>
          <w:lang w:val="de-DE"/>
        </w:rPr>
      </w:pPr>
      <w:r w:rsidRPr="00B140F2">
        <w:rPr>
          <w:lang w:val="de-DE"/>
        </w:rPr>
        <w:br w:type="page"/>
      </w:r>
    </w:p>
    <w:p w14:paraId="0EE47D65" w14:textId="77777777" w:rsidR="00214329" w:rsidRPr="00B140F2" w:rsidRDefault="0060633E" w:rsidP="00BD4986">
      <w:pPr>
        <w:pStyle w:val="Heading1"/>
        <w:rPr>
          <w:lang w:val="de-DE"/>
        </w:rPr>
      </w:pPr>
      <w:bookmarkStart w:id="3" w:name="_Toc177493430"/>
      <w:r w:rsidRPr="00B140F2">
        <w:rPr>
          <w:lang w:val="de-DE"/>
        </w:rPr>
        <w:lastRenderedPageBreak/>
        <w:t>Hintergrund</w:t>
      </w:r>
      <w:bookmarkEnd w:id="3"/>
    </w:p>
    <w:p w14:paraId="6EAB50FF" w14:textId="77777777" w:rsidR="004C351B" w:rsidRPr="00B140F2" w:rsidRDefault="004C351B" w:rsidP="00BD4986">
      <w:pPr>
        <w:keepNext/>
        <w:jc w:val="left"/>
        <w:rPr>
          <w:rFonts w:cs="Arial"/>
          <w:color w:val="000000"/>
          <w:lang w:val="de-DE"/>
        </w:rPr>
      </w:pPr>
    </w:p>
    <w:p w14:paraId="3D4F4784" w14:textId="7EF82EF2" w:rsidR="00214329" w:rsidRPr="00164426" w:rsidRDefault="0060633E" w:rsidP="00BD4986">
      <w:pPr>
        <w:rPr>
          <w:color w:val="1F497D" w:themeColor="text2"/>
          <w:u w:val="single"/>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Pr="00164426">
        <w:rPr>
          <w:lang w:val="de-DE"/>
        </w:rPr>
        <w:t xml:space="preserve">Die genehmigten </w:t>
      </w:r>
      <w:r w:rsidR="00E911F3" w:rsidRPr="00164426">
        <w:rPr>
          <w:lang w:val="de-DE"/>
        </w:rPr>
        <w:t xml:space="preserve">Anleitungen und </w:t>
      </w:r>
      <w:r w:rsidR="00E75415" w:rsidRPr="00164426">
        <w:rPr>
          <w:lang w:val="de-DE"/>
        </w:rPr>
        <w:t xml:space="preserve">das genehmigte </w:t>
      </w:r>
      <w:r w:rsidR="00E911F3" w:rsidRPr="00164426">
        <w:rPr>
          <w:lang w:val="de-DE"/>
        </w:rPr>
        <w:t>Informationsmaterial</w:t>
      </w:r>
      <w:r w:rsidRPr="00164426">
        <w:rPr>
          <w:lang w:val="de-DE"/>
        </w:rPr>
        <w:t xml:space="preserve"> werden auf</w:t>
      </w:r>
      <w:r w:rsidRPr="00B140F2">
        <w:rPr>
          <w:lang w:val="de-DE"/>
        </w:rPr>
        <w:t xml:space="preserve"> der UPOV-Website veröffentlicht: </w:t>
      </w:r>
      <w:hyperlink r:id="rId12">
        <w:r w:rsidR="00CF2EB0" w:rsidRPr="00452F07">
          <w:rPr>
            <w:color w:val="0000FF"/>
            <w:u w:val="single"/>
            <w:lang w:val="de-DE"/>
          </w:rPr>
          <w:t>http://www.upov.int/upov_collection/de/</w:t>
        </w:r>
      </w:hyperlink>
      <w:r w:rsidR="00452F07" w:rsidRPr="00452F07">
        <w:rPr>
          <w:lang w:val="de-DE"/>
        </w:rPr>
        <w:t>.</w:t>
      </w:r>
    </w:p>
    <w:p w14:paraId="2577569E" w14:textId="77777777" w:rsidR="00390CA0" w:rsidRPr="00B140F2" w:rsidRDefault="00390CA0" w:rsidP="00BD4986">
      <w:pPr>
        <w:rPr>
          <w:lang w:val="de-DE"/>
        </w:rPr>
      </w:pPr>
    </w:p>
    <w:p w14:paraId="6E429FB2" w14:textId="77777777" w:rsidR="001F3D9F" w:rsidRPr="00B140F2" w:rsidRDefault="001F3D9F" w:rsidP="00BD4986">
      <w:pPr>
        <w:rPr>
          <w:lang w:val="de-DE"/>
        </w:rPr>
      </w:pPr>
    </w:p>
    <w:p w14:paraId="0CF567A1" w14:textId="0B2AA18A" w:rsidR="00214329" w:rsidRPr="00B140F2" w:rsidRDefault="0060633E" w:rsidP="00BD4986">
      <w:pPr>
        <w:pStyle w:val="Heading1"/>
        <w:rPr>
          <w:lang w:val="de-DE"/>
        </w:rPr>
      </w:pPr>
      <w:bookmarkStart w:id="4" w:name="_Toc177493431"/>
      <w:r w:rsidRPr="00B140F2">
        <w:rPr>
          <w:lang w:val="de-DE"/>
        </w:rPr>
        <w:t>I.</w:t>
      </w:r>
      <w:r w:rsidRPr="00B140F2">
        <w:rPr>
          <w:lang w:val="de-DE"/>
        </w:rPr>
        <w:tab/>
      </w:r>
      <w:r w:rsidR="008F3A79" w:rsidRPr="00B140F2">
        <w:rPr>
          <w:lang w:val="de-DE"/>
        </w:rPr>
        <w:t>DEM RAT ZUR ANNAHME VORGESCHLAGENE DOKUMENTE IM JAHR 2024</w:t>
      </w:r>
      <w:bookmarkEnd w:id="4"/>
    </w:p>
    <w:p w14:paraId="3D95379F" w14:textId="77777777" w:rsidR="001F3D9F" w:rsidRPr="00B140F2" w:rsidRDefault="001F3D9F" w:rsidP="00BD4986">
      <w:pPr>
        <w:keepNext/>
        <w:rPr>
          <w:lang w:val="de-DE"/>
        </w:rPr>
      </w:pPr>
    </w:p>
    <w:p w14:paraId="2083A814" w14:textId="4DADDC50" w:rsidR="00214329" w:rsidRPr="00B140F2" w:rsidRDefault="0060633E" w:rsidP="00BD4986">
      <w:pPr>
        <w:pStyle w:val="Heading2"/>
        <w:rPr>
          <w:lang w:val="de-DE"/>
        </w:rPr>
      </w:pPr>
      <w:bookmarkStart w:id="5" w:name="_Toc177493432"/>
      <w:r w:rsidRPr="00B140F2">
        <w:rPr>
          <w:lang w:val="de-DE"/>
        </w:rPr>
        <w:t xml:space="preserve">Dokumente </w:t>
      </w:r>
      <w:r w:rsidR="00EE2C9D" w:rsidRPr="00B140F2">
        <w:rPr>
          <w:lang w:val="de-DE"/>
        </w:rPr>
        <w:t xml:space="preserve">zur Annahme durch den Rat, </w:t>
      </w:r>
      <w:r w:rsidRPr="00B140F2">
        <w:rPr>
          <w:lang w:val="de-DE"/>
        </w:rPr>
        <w:t xml:space="preserve">vorbehaltlich der </w:t>
      </w:r>
      <w:r w:rsidR="00345B74" w:rsidRPr="00B140F2">
        <w:rPr>
          <w:lang w:val="de-DE"/>
        </w:rPr>
        <w:t>Zustimmung durch den TC und den CAJ</w:t>
      </w:r>
      <w:bookmarkEnd w:id="5"/>
    </w:p>
    <w:p w14:paraId="75D3CE85" w14:textId="77777777" w:rsidR="001F3D9F" w:rsidRPr="00B140F2" w:rsidRDefault="001F3D9F" w:rsidP="00BD4986">
      <w:pPr>
        <w:keepNext/>
        <w:rPr>
          <w:lang w:val="de-DE"/>
        </w:rPr>
      </w:pPr>
    </w:p>
    <w:p w14:paraId="59A6BA8D" w14:textId="03C9B42F"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Die folgenden </w:t>
      </w:r>
      <w:r w:rsidR="0008563D" w:rsidRPr="00B140F2">
        <w:rPr>
          <w:lang w:val="de-DE"/>
        </w:rPr>
        <w:t xml:space="preserve">Dokumente </w:t>
      </w:r>
      <w:r w:rsidRPr="00B140F2">
        <w:rPr>
          <w:lang w:val="de-DE"/>
        </w:rPr>
        <w:t xml:space="preserve">werden </w:t>
      </w:r>
      <w:r w:rsidR="00BE2F2A" w:rsidRPr="00B140F2">
        <w:rPr>
          <w:lang w:val="de-DE"/>
        </w:rPr>
        <w:t>dem Rat zur Annahme</w:t>
      </w:r>
      <w:r w:rsidRPr="00B140F2">
        <w:rPr>
          <w:lang w:val="de-DE"/>
        </w:rPr>
        <w:t xml:space="preserve"> im Jahr </w:t>
      </w:r>
      <w:r w:rsidR="0062455E" w:rsidRPr="00B140F2">
        <w:rPr>
          <w:lang w:val="de-DE"/>
        </w:rPr>
        <w:t>2024</w:t>
      </w:r>
      <w:r w:rsidRPr="00B140F2">
        <w:rPr>
          <w:lang w:val="de-DE"/>
        </w:rPr>
        <w:t xml:space="preserve">, </w:t>
      </w:r>
      <w:r w:rsidR="0036176B" w:rsidRPr="00B140F2">
        <w:rPr>
          <w:lang w:val="de-DE"/>
        </w:rPr>
        <w:t>vorbehaltlich der Zustimmung</w:t>
      </w:r>
      <w:r w:rsidRPr="00B140F2">
        <w:rPr>
          <w:lang w:val="de-DE"/>
        </w:rPr>
        <w:t xml:space="preserve"> durch den TC und den CAJ auf ihren Tagungen im Jahr </w:t>
      </w:r>
      <w:r w:rsidR="0062455E" w:rsidRPr="00B140F2">
        <w:rPr>
          <w:lang w:val="de-DE"/>
        </w:rPr>
        <w:t>2024</w:t>
      </w:r>
      <w:r w:rsidR="00AA6C5F" w:rsidRPr="00B140F2">
        <w:rPr>
          <w:lang w:val="de-DE"/>
        </w:rPr>
        <w:t>, vorgeschlagen</w:t>
      </w:r>
      <w:r w:rsidRPr="00B140F2">
        <w:rPr>
          <w:lang w:val="de-DE"/>
        </w:rPr>
        <w:t>.</w:t>
      </w:r>
    </w:p>
    <w:p w14:paraId="6C4FA556" w14:textId="77777777" w:rsidR="00D7688A" w:rsidRPr="00B140F2" w:rsidRDefault="00D7688A" w:rsidP="00BD4986">
      <w:pPr>
        <w:rPr>
          <w:lang w:val="de-DE"/>
        </w:rPr>
      </w:pPr>
      <w:bookmarkStart w:id="6" w:name="_Hlk171929309"/>
    </w:p>
    <w:p w14:paraId="4686C695" w14:textId="54076461" w:rsidR="00214329" w:rsidRPr="00B140F2" w:rsidRDefault="0060633E" w:rsidP="00BD4986">
      <w:pPr>
        <w:pStyle w:val="Heading3"/>
        <w:spacing w:line="240" w:lineRule="auto"/>
        <w:rPr>
          <w:lang w:val="de-DE"/>
        </w:rPr>
      </w:pPr>
      <w:bookmarkStart w:id="7" w:name="_Toc177493433"/>
      <w:r w:rsidRPr="00B140F2">
        <w:rPr>
          <w:lang w:val="de-DE"/>
        </w:rPr>
        <w:t>UPOV/INF/16</w:t>
      </w:r>
      <w:r w:rsidR="00D6067D" w:rsidRPr="00B140F2">
        <w:rPr>
          <w:lang w:val="de-DE"/>
        </w:rPr>
        <w:t xml:space="preserve">: </w:t>
      </w:r>
      <w:r w:rsidRPr="00B140F2">
        <w:rPr>
          <w:lang w:val="de-DE"/>
        </w:rPr>
        <w:t>Austauschbare Software (</w:t>
      </w:r>
      <w:r w:rsidR="000B089C" w:rsidRPr="00B140F2">
        <w:rPr>
          <w:lang w:val="de-DE"/>
        </w:rPr>
        <w:t>Überarbeitung</w:t>
      </w:r>
      <w:r w:rsidRPr="00B140F2">
        <w:rPr>
          <w:lang w:val="de-DE"/>
        </w:rPr>
        <w:t xml:space="preserve">) </w:t>
      </w:r>
      <w:r w:rsidRPr="00B140F2">
        <w:rPr>
          <w:snapToGrid w:val="0"/>
          <w:lang w:val="de-DE"/>
        </w:rPr>
        <w:t xml:space="preserve">(Dokument </w:t>
      </w:r>
      <w:r w:rsidR="007C29FB" w:rsidRPr="00B140F2">
        <w:rPr>
          <w:snapToGrid w:val="0"/>
          <w:lang w:val="de-DE"/>
        </w:rPr>
        <w:t xml:space="preserve">UPOV/INF/16/13 </w:t>
      </w:r>
      <w:r w:rsidRPr="00B140F2">
        <w:rPr>
          <w:snapToGrid w:val="0"/>
          <w:lang w:val="de-DE"/>
        </w:rPr>
        <w:t>Draft 1)</w:t>
      </w:r>
      <w:bookmarkEnd w:id="7"/>
    </w:p>
    <w:p w14:paraId="3B7D2329" w14:textId="77777777" w:rsidR="00D6067D" w:rsidRPr="00B140F2" w:rsidRDefault="00D6067D" w:rsidP="00BD4986">
      <w:pPr>
        <w:keepNext/>
        <w:rPr>
          <w:lang w:val="de-DE"/>
        </w:rPr>
      </w:pPr>
    </w:p>
    <w:p w14:paraId="4ABABE5A" w14:textId="06DCFE80" w:rsidR="00AD0A48" w:rsidRPr="00B140F2" w:rsidRDefault="0060633E" w:rsidP="00BD4986">
      <w:pPr>
        <w:rPr>
          <w:spacing w:val="2"/>
          <w:lang w:val="de-DE"/>
        </w:rPr>
      </w:pPr>
      <w:r w:rsidRPr="00E83514">
        <w:rPr>
          <w:snapToGrid w:val="0"/>
          <w:spacing w:val="2"/>
          <w:lang w:val="de-DE"/>
        </w:rPr>
        <w:fldChar w:fldCharType="begin"/>
      </w:r>
      <w:r w:rsidRPr="00B140F2">
        <w:rPr>
          <w:snapToGrid w:val="0"/>
          <w:spacing w:val="2"/>
          <w:lang w:val="de-DE"/>
        </w:rPr>
        <w:instrText xml:space="preserve"> AUTONUM  </w:instrText>
      </w:r>
      <w:r w:rsidRPr="00E83514">
        <w:rPr>
          <w:snapToGrid w:val="0"/>
          <w:spacing w:val="2"/>
          <w:lang w:val="de-DE"/>
        </w:rPr>
        <w:fldChar w:fldCharType="end"/>
      </w:r>
      <w:r w:rsidRPr="00B140F2">
        <w:rPr>
          <w:snapToGrid w:val="0"/>
          <w:spacing w:val="2"/>
          <w:lang w:val="de-DE"/>
        </w:rPr>
        <w:tab/>
        <w:t xml:space="preserve">Das Verfahren </w:t>
      </w:r>
      <w:r w:rsidR="00AA6C5F" w:rsidRPr="00B140F2">
        <w:rPr>
          <w:snapToGrid w:val="0"/>
          <w:spacing w:val="2"/>
          <w:lang w:val="de-DE"/>
        </w:rPr>
        <w:t>zur</w:t>
      </w:r>
      <w:r w:rsidRPr="00B140F2">
        <w:rPr>
          <w:snapToGrid w:val="0"/>
          <w:spacing w:val="2"/>
          <w:lang w:val="de-DE"/>
        </w:rPr>
        <w:t xml:space="preserve"> Aufnahme von Informationen in </w:t>
      </w:r>
      <w:r w:rsidRPr="00B140F2">
        <w:rPr>
          <w:spacing w:val="2"/>
          <w:lang w:val="de-DE"/>
        </w:rPr>
        <w:t xml:space="preserve">Dokument UPOV/INF/16 ist in </w:t>
      </w:r>
      <w:r w:rsidRPr="00B140F2">
        <w:rPr>
          <w:snapToGrid w:val="0"/>
          <w:spacing w:val="2"/>
          <w:lang w:val="de-DE"/>
        </w:rPr>
        <w:t xml:space="preserve">Abschnitt 4 </w:t>
      </w:r>
      <w:r w:rsidR="003329C1">
        <w:rPr>
          <w:snapToGrid w:val="0"/>
          <w:spacing w:val="2"/>
          <w:lang w:val="de-DE"/>
        </w:rPr>
        <w:t>des</w:t>
      </w:r>
      <w:r w:rsidRPr="00B140F2">
        <w:rPr>
          <w:snapToGrid w:val="0"/>
          <w:spacing w:val="2"/>
          <w:lang w:val="de-DE"/>
        </w:rPr>
        <w:t xml:space="preserve"> Dokuments dargelegt.</w:t>
      </w:r>
      <w:r w:rsidR="00FE0BFC" w:rsidRPr="00B140F2">
        <w:rPr>
          <w:snapToGrid w:val="0"/>
          <w:spacing w:val="2"/>
          <w:lang w:val="de-DE"/>
        </w:rPr>
        <w:t xml:space="preserve"> </w:t>
      </w:r>
      <w:r w:rsidRPr="00B140F2">
        <w:rPr>
          <w:spacing w:val="2"/>
          <w:lang w:val="de-DE"/>
        </w:rPr>
        <w:t xml:space="preserve">Das Verbandsbüro gab am </w:t>
      </w:r>
      <w:r w:rsidR="005D4F0E" w:rsidRPr="00B140F2">
        <w:rPr>
          <w:spacing w:val="2"/>
          <w:lang w:val="de-DE"/>
        </w:rPr>
        <w:t xml:space="preserve">25. März 2024 </w:t>
      </w:r>
      <w:r w:rsidRPr="00B140F2">
        <w:rPr>
          <w:spacing w:val="2"/>
          <w:lang w:val="de-DE"/>
        </w:rPr>
        <w:t xml:space="preserve">das Rundschreiben </w:t>
      </w:r>
      <w:r w:rsidR="005D4F0E" w:rsidRPr="00B140F2">
        <w:rPr>
          <w:spacing w:val="2"/>
          <w:lang w:val="de-DE"/>
        </w:rPr>
        <w:t xml:space="preserve">E-24/006 </w:t>
      </w:r>
      <w:r w:rsidRPr="00B140F2">
        <w:rPr>
          <w:spacing w:val="2"/>
          <w:lang w:val="de-DE"/>
        </w:rPr>
        <w:t xml:space="preserve">an die </w:t>
      </w:r>
      <w:r w:rsidR="00AA6C5F" w:rsidRPr="00B140F2">
        <w:rPr>
          <w:spacing w:val="2"/>
          <w:lang w:val="de-DE"/>
        </w:rPr>
        <w:t xml:space="preserve">bezeichneten </w:t>
      </w:r>
      <w:r w:rsidRPr="00B140F2">
        <w:rPr>
          <w:spacing w:val="2"/>
          <w:lang w:val="de-DE"/>
        </w:rPr>
        <w:t xml:space="preserve">Personen der Verbandsmitglieder im TC </w:t>
      </w:r>
      <w:r w:rsidR="00467D62" w:rsidRPr="00B140F2">
        <w:rPr>
          <w:spacing w:val="2"/>
          <w:lang w:val="de-DE"/>
        </w:rPr>
        <w:t xml:space="preserve">und im Rat </w:t>
      </w:r>
      <w:r w:rsidRPr="00B140F2">
        <w:rPr>
          <w:spacing w:val="2"/>
          <w:lang w:val="de-DE"/>
        </w:rPr>
        <w:t xml:space="preserve">heraus, in dem diese ersucht wurden, Informationen zu </w:t>
      </w:r>
      <w:r w:rsidR="00AA6C5F" w:rsidRPr="00B140F2">
        <w:rPr>
          <w:spacing w:val="2"/>
          <w:lang w:val="de-DE"/>
        </w:rPr>
        <w:t>erteilen bzw.</w:t>
      </w:r>
      <w:r w:rsidRPr="00B140F2">
        <w:rPr>
          <w:spacing w:val="2"/>
          <w:lang w:val="de-DE"/>
        </w:rPr>
        <w:t xml:space="preserve"> zu aktualisieren </w:t>
      </w:r>
      <w:r w:rsidR="00AA6C5F" w:rsidRPr="00B140F2">
        <w:rPr>
          <w:spacing w:val="2"/>
          <w:lang w:val="de-DE"/>
        </w:rPr>
        <w:t>betreffend die folgenden Punkte</w:t>
      </w:r>
      <w:r w:rsidRPr="00B140F2">
        <w:rPr>
          <w:spacing w:val="2"/>
          <w:lang w:val="de-DE"/>
        </w:rPr>
        <w:t>: 1) Software</w:t>
      </w:r>
      <w:r w:rsidRPr="00B140F2">
        <w:rPr>
          <w:color w:val="000000"/>
          <w:spacing w:val="2"/>
          <w:lang w:val="de-DE"/>
        </w:rPr>
        <w:t xml:space="preserve">, die von Verbandsmitgliedern für Sortenschutzzwecke entwickelt oder </w:t>
      </w:r>
      <w:r w:rsidR="00AA6C5F" w:rsidRPr="00B140F2">
        <w:rPr>
          <w:color w:val="000000"/>
          <w:spacing w:val="2"/>
          <w:lang w:val="de-DE"/>
        </w:rPr>
        <w:t xml:space="preserve">individuell </w:t>
      </w:r>
      <w:r w:rsidRPr="00B140F2">
        <w:rPr>
          <w:color w:val="000000"/>
          <w:spacing w:val="2"/>
          <w:lang w:val="de-DE"/>
        </w:rPr>
        <w:t>angepa</w:t>
      </w:r>
      <w:r w:rsidR="00FE0BFC" w:rsidRPr="00B140F2">
        <w:rPr>
          <w:color w:val="000000"/>
          <w:spacing w:val="2"/>
          <w:lang w:val="de-DE"/>
        </w:rPr>
        <w:t>ss</w:t>
      </w:r>
      <w:r w:rsidRPr="00B140F2">
        <w:rPr>
          <w:color w:val="000000"/>
          <w:spacing w:val="2"/>
          <w:lang w:val="de-DE"/>
        </w:rPr>
        <w:t>t wurde und die sie anderen Verbandsmitgliedern zur Verfügung stellen möchten</w:t>
      </w:r>
      <w:r w:rsidRPr="00B140F2">
        <w:rPr>
          <w:spacing w:val="2"/>
          <w:lang w:val="de-DE"/>
        </w:rPr>
        <w:t xml:space="preserve">; und 2) die </w:t>
      </w:r>
      <w:r w:rsidR="00AA6C5F" w:rsidRPr="00B140F2">
        <w:rPr>
          <w:spacing w:val="2"/>
          <w:lang w:val="de-DE"/>
        </w:rPr>
        <w:t xml:space="preserve">Nutzung </w:t>
      </w:r>
      <w:r w:rsidRPr="00B140F2">
        <w:rPr>
          <w:spacing w:val="2"/>
          <w:lang w:val="de-DE"/>
        </w:rPr>
        <w:t xml:space="preserve">der in Dokument </w:t>
      </w:r>
      <w:r w:rsidR="007C29FB" w:rsidRPr="00B140F2">
        <w:rPr>
          <w:spacing w:val="2"/>
          <w:lang w:val="de-DE"/>
        </w:rPr>
        <w:t xml:space="preserve">UPOV/INF/16/12 </w:t>
      </w:r>
      <w:r w:rsidR="001C4FD6" w:rsidRPr="00B140F2">
        <w:rPr>
          <w:spacing w:val="2"/>
          <w:lang w:val="de-DE"/>
        </w:rPr>
        <w:t>„</w:t>
      </w:r>
      <w:r w:rsidRPr="00B140F2">
        <w:rPr>
          <w:spacing w:val="2"/>
          <w:lang w:val="de-DE"/>
        </w:rPr>
        <w:t>Austauschbare Software</w:t>
      </w:r>
      <w:r w:rsidR="001C4FD6" w:rsidRPr="00B140F2">
        <w:rPr>
          <w:spacing w:val="2"/>
          <w:lang w:val="de-DE"/>
        </w:rPr>
        <w:t>“</w:t>
      </w:r>
      <w:r w:rsidRPr="00B140F2">
        <w:rPr>
          <w:spacing w:val="2"/>
          <w:lang w:val="de-DE"/>
        </w:rPr>
        <w:t xml:space="preserve"> enthaltenen Software.</w:t>
      </w:r>
      <w:r w:rsidR="00FE0BFC" w:rsidRPr="00B140F2">
        <w:rPr>
          <w:spacing w:val="2"/>
          <w:lang w:val="de-DE"/>
        </w:rPr>
        <w:t xml:space="preserve"> </w:t>
      </w:r>
      <w:bookmarkStart w:id="8" w:name="_Hlk171929299"/>
      <w:r w:rsidRPr="00B140F2">
        <w:rPr>
          <w:spacing w:val="2"/>
          <w:lang w:val="de-DE"/>
        </w:rPr>
        <w:t xml:space="preserve">Antworten gingen von </w:t>
      </w:r>
      <w:r w:rsidR="007C29FB" w:rsidRPr="00B140F2">
        <w:rPr>
          <w:spacing w:val="2"/>
          <w:lang w:val="de-DE"/>
        </w:rPr>
        <w:t xml:space="preserve">Australien, </w:t>
      </w:r>
      <w:r w:rsidR="00CB4E26" w:rsidRPr="00B140F2">
        <w:rPr>
          <w:spacing w:val="2"/>
          <w:lang w:val="de-DE"/>
        </w:rPr>
        <w:t xml:space="preserve">Belarus, </w:t>
      </w:r>
      <w:r w:rsidR="007C29FB" w:rsidRPr="00B140F2">
        <w:rPr>
          <w:spacing w:val="2"/>
          <w:lang w:val="de-DE"/>
        </w:rPr>
        <w:t>Bolivien (Plurinationaler Staat)</w:t>
      </w:r>
      <w:r w:rsidR="00436718" w:rsidRPr="00B140F2">
        <w:rPr>
          <w:spacing w:val="2"/>
          <w:lang w:val="de-DE"/>
        </w:rPr>
        <w:t xml:space="preserve">, </w:t>
      </w:r>
      <w:r w:rsidR="007C29FB" w:rsidRPr="00B140F2">
        <w:rPr>
          <w:spacing w:val="2"/>
          <w:lang w:val="de-DE"/>
        </w:rPr>
        <w:t>China</w:t>
      </w:r>
      <w:r w:rsidR="004D5DDA" w:rsidRPr="00B140F2">
        <w:rPr>
          <w:spacing w:val="2"/>
          <w:lang w:val="de-DE"/>
        </w:rPr>
        <w:t xml:space="preserve">, Kroatien </w:t>
      </w:r>
      <w:r w:rsidRPr="00B140F2">
        <w:rPr>
          <w:spacing w:val="2"/>
          <w:lang w:val="de-DE"/>
        </w:rPr>
        <w:t xml:space="preserve">und </w:t>
      </w:r>
      <w:r w:rsidR="00436718" w:rsidRPr="00B140F2">
        <w:rPr>
          <w:spacing w:val="2"/>
          <w:lang w:val="de-DE"/>
        </w:rPr>
        <w:t>Schweden ein.</w:t>
      </w:r>
      <w:r w:rsidR="00FE0BFC" w:rsidRPr="00B140F2">
        <w:rPr>
          <w:spacing w:val="2"/>
          <w:lang w:val="de-DE"/>
        </w:rPr>
        <w:t xml:space="preserve"> </w:t>
      </w:r>
      <w:r w:rsidR="0073072C" w:rsidRPr="00B140F2">
        <w:rPr>
          <w:spacing w:val="2"/>
          <w:lang w:val="de-DE"/>
        </w:rPr>
        <w:t xml:space="preserve">Die </w:t>
      </w:r>
      <w:r w:rsidR="003C2D16" w:rsidRPr="00B140F2">
        <w:rPr>
          <w:spacing w:val="2"/>
          <w:lang w:val="de-DE"/>
        </w:rPr>
        <w:t xml:space="preserve">von den Mitgliedern </w:t>
      </w:r>
      <w:r w:rsidR="006E740A" w:rsidRPr="00B140F2">
        <w:rPr>
          <w:spacing w:val="2"/>
          <w:lang w:val="de-DE"/>
        </w:rPr>
        <w:t xml:space="preserve">erteilten oder aktualisierten </w:t>
      </w:r>
      <w:r w:rsidR="00C53001" w:rsidRPr="00B140F2">
        <w:rPr>
          <w:spacing w:val="2"/>
          <w:lang w:val="de-DE"/>
        </w:rPr>
        <w:t xml:space="preserve">Informationen </w:t>
      </w:r>
      <w:r w:rsidR="0073072C" w:rsidRPr="00B140F2">
        <w:rPr>
          <w:spacing w:val="2"/>
          <w:lang w:val="de-DE"/>
        </w:rPr>
        <w:t>sind</w:t>
      </w:r>
      <w:r w:rsidR="00D6557D" w:rsidRPr="00B140F2">
        <w:rPr>
          <w:spacing w:val="2"/>
          <w:lang w:val="de-DE"/>
        </w:rPr>
        <w:t xml:space="preserve">, sofern vorhanden, </w:t>
      </w:r>
      <w:r w:rsidRPr="00B140F2">
        <w:rPr>
          <w:spacing w:val="2"/>
          <w:lang w:val="de-DE"/>
        </w:rPr>
        <w:t xml:space="preserve">in Dokument </w:t>
      </w:r>
      <w:r w:rsidR="007C29FB" w:rsidRPr="00B140F2">
        <w:rPr>
          <w:spacing w:val="2"/>
          <w:lang w:val="de-DE"/>
        </w:rPr>
        <w:t xml:space="preserve">UPOV/INF/16/13 </w:t>
      </w:r>
      <w:r w:rsidRPr="00B140F2">
        <w:rPr>
          <w:spacing w:val="2"/>
          <w:lang w:val="de-DE"/>
        </w:rPr>
        <w:t xml:space="preserve">Draft 1 </w:t>
      </w:r>
      <w:r w:rsidR="00D6557D" w:rsidRPr="00B140F2">
        <w:rPr>
          <w:spacing w:val="2"/>
          <w:lang w:val="de-DE"/>
        </w:rPr>
        <w:t>angegeben</w:t>
      </w:r>
      <w:r w:rsidR="00FC419B" w:rsidRPr="00B140F2">
        <w:rPr>
          <w:spacing w:val="2"/>
          <w:lang w:val="de-DE"/>
        </w:rPr>
        <w:t xml:space="preserve">. </w:t>
      </w:r>
    </w:p>
    <w:p w14:paraId="6FBEAE6D" w14:textId="6C873A32" w:rsidR="00AD0A48" w:rsidRPr="00B140F2" w:rsidRDefault="00AD0A48" w:rsidP="00BD4986">
      <w:pPr>
        <w:jc w:val="left"/>
        <w:rPr>
          <w:spacing w:val="2"/>
          <w:lang w:val="de-DE"/>
        </w:rPr>
      </w:pPr>
    </w:p>
    <w:p w14:paraId="277E9AE9" w14:textId="77777777" w:rsidR="00214329" w:rsidRPr="00B140F2" w:rsidRDefault="0060633E" w:rsidP="00BD4986">
      <w:pPr>
        <w:pStyle w:val="Heading4"/>
        <w:rPr>
          <w:lang w:val="de-DE"/>
        </w:rPr>
      </w:pPr>
      <w:bookmarkStart w:id="9" w:name="_Toc177493434"/>
      <w:bookmarkEnd w:id="8"/>
      <w:r w:rsidRPr="00B140F2">
        <w:rPr>
          <w:lang w:val="de-DE"/>
        </w:rPr>
        <w:t xml:space="preserve">Zur Aufnahme in das Dokument UPOV/INF/16 </w:t>
      </w:r>
      <w:r w:rsidR="00C94294" w:rsidRPr="00B140F2">
        <w:rPr>
          <w:lang w:val="de-DE"/>
        </w:rPr>
        <w:t>vorgeschlagene</w:t>
      </w:r>
      <w:r w:rsidRPr="00B140F2">
        <w:rPr>
          <w:lang w:val="de-DE"/>
        </w:rPr>
        <w:t xml:space="preserve"> Software</w:t>
      </w:r>
      <w:bookmarkEnd w:id="9"/>
    </w:p>
    <w:p w14:paraId="3F09AF97" w14:textId="77777777" w:rsidR="001F7B45" w:rsidRPr="00B140F2" w:rsidRDefault="001F7B45" w:rsidP="00BD4986">
      <w:pPr>
        <w:keepNext/>
        <w:rPr>
          <w:lang w:val="de-DE"/>
        </w:rPr>
      </w:pPr>
    </w:p>
    <w:bookmarkStart w:id="10" w:name="_Hlk163419609"/>
    <w:p w14:paraId="71A2109D" w14:textId="79231C1E" w:rsidR="00214329" w:rsidRPr="00E83514" w:rsidRDefault="0060633E" w:rsidP="00BD4986">
      <w:pPr>
        <w:pStyle w:val="pldetails"/>
        <w:keepLines w:val="0"/>
        <w:spacing w:before="0" w:after="0"/>
        <w:jc w:val="both"/>
        <w:rPr>
          <w:rFonts w:eastAsiaTheme="minorHAnsi" w:cs="Calibri"/>
          <w:noProof w:val="0"/>
          <w:szCs w:val="22"/>
          <w:lang w:val="de-DE"/>
          <w14:ligatures w14:val="standardContextual"/>
        </w:rPr>
      </w:pPr>
      <w:r w:rsidRPr="00E83514">
        <w:rPr>
          <w:rFonts w:eastAsiaTheme="minorHAnsi" w:cs="Calibri"/>
          <w:noProof w:val="0"/>
          <w:snapToGrid/>
          <w:szCs w:val="22"/>
          <w:lang w:val="de-DE"/>
          <w14:ligatures w14:val="standardContextual"/>
        </w:rPr>
        <w:fldChar w:fldCharType="begin"/>
      </w:r>
      <w:r w:rsidRPr="00B140F2">
        <w:rPr>
          <w:rFonts w:eastAsiaTheme="minorHAnsi" w:cs="Calibri"/>
          <w:noProof w:val="0"/>
          <w:snapToGrid/>
          <w:szCs w:val="22"/>
          <w:lang w:val="de-DE"/>
          <w14:ligatures w14:val="standardContextual"/>
        </w:rPr>
        <w:instrText xml:space="preserve"> AUTONUM  </w:instrText>
      </w:r>
      <w:r w:rsidRPr="00E83514">
        <w:rPr>
          <w:rFonts w:eastAsiaTheme="minorHAnsi" w:cs="Calibri"/>
          <w:noProof w:val="0"/>
          <w:snapToGrid/>
          <w:szCs w:val="22"/>
          <w:lang w:val="de-DE"/>
          <w14:ligatures w14:val="standardContextual"/>
        </w:rPr>
        <w:fldChar w:fldCharType="end"/>
      </w:r>
      <w:r w:rsidRPr="00B140F2">
        <w:rPr>
          <w:rFonts w:eastAsiaTheme="minorHAnsi" w:cs="Calibri"/>
          <w:noProof w:val="0"/>
          <w:snapToGrid/>
          <w:szCs w:val="22"/>
          <w:lang w:val="de-DE"/>
          <w14:ligatures w14:val="standardContextual"/>
        </w:rPr>
        <w:tab/>
      </w:r>
      <w:r w:rsidR="001F7B45" w:rsidRPr="00B140F2">
        <w:rPr>
          <w:rFonts w:eastAsiaTheme="minorHAnsi" w:cs="Calibri"/>
          <w:noProof w:val="0"/>
          <w:snapToGrid/>
          <w:szCs w:val="22"/>
          <w:lang w:val="de-DE"/>
          <w14:ligatures w14:val="standardContextual"/>
        </w:rPr>
        <w:t>Die TWM</w:t>
      </w:r>
      <w:r w:rsidRPr="00E83514">
        <w:rPr>
          <w:rStyle w:val="FootnoteReference"/>
          <w:rFonts w:eastAsiaTheme="minorHAnsi" w:cs="Calibri"/>
          <w:noProof w:val="0"/>
          <w:snapToGrid/>
          <w:szCs w:val="22"/>
          <w:lang w:val="de-DE"/>
          <w14:ligatures w14:val="standardContextual"/>
        </w:rPr>
        <w:footnoteReference w:id="2"/>
      </w:r>
      <w:r w:rsidR="001F7B45" w:rsidRPr="00E83514">
        <w:rPr>
          <w:rFonts w:eastAsiaTheme="minorHAnsi" w:cs="Calibri"/>
          <w:noProof w:val="0"/>
          <w:szCs w:val="22"/>
          <w:lang w:val="de-DE"/>
          <w14:ligatures w14:val="standardContextual"/>
        </w:rPr>
        <w:t xml:space="preserve"> vereinbarte </w:t>
      </w:r>
      <w:r w:rsidR="00685171" w:rsidRPr="00B140F2">
        <w:rPr>
          <w:rFonts w:eastAsiaTheme="minorHAnsi" w:cs="Calibri"/>
          <w:noProof w:val="0"/>
          <w:snapToGrid/>
          <w:szCs w:val="22"/>
          <w:lang w:val="de-DE"/>
          <w14:ligatures w14:val="standardContextual"/>
        </w:rPr>
        <w:t>auf ihrer zweiten Tagung</w:t>
      </w:r>
      <w:bookmarkEnd w:id="10"/>
      <w:r w:rsidR="001F7B45" w:rsidRPr="00E83514">
        <w:rPr>
          <w:rFonts w:eastAsiaTheme="minorHAnsi" w:cs="Calibri"/>
          <w:noProof w:val="0"/>
          <w:szCs w:val="22"/>
          <w:lang w:val="de-DE"/>
          <w14:ligatures w14:val="standardContextual"/>
        </w:rPr>
        <w:t>, dem TC auf seiner sechzigsten Tagung die Aufnahme der DUSCEL-Software in das Dokument UPOV/INF/16 zu empfehlen.</w:t>
      </w:r>
      <w:r w:rsidR="00FE0BFC" w:rsidRPr="00E83514">
        <w:rPr>
          <w:rFonts w:eastAsiaTheme="minorHAnsi" w:cs="Calibri"/>
          <w:noProof w:val="0"/>
          <w:szCs w:val="22"/>
          <w:lang w:val="de-DE"/>
          <w14:ligatures w14:val="standardContextual"/>
        </w:rPr>
        <w:t xml:space="preserve"> </w:t>
      </w:r>
    </w:p>
    <w:p w14:paraId="7164524A" w14:textId="77777777" w:rsidR="001F7B45" w:rsidRPr="00B140F2" w:rsidRDefault="001F7B45" w:rsidP="00BD4986">
      <w:pPr>
        <w:rPr>
          <w:rFonts w:eastAsiaTheme="minorHAnsi" w:cs="Calibri"/>
          <w:szCs w:val="22"/>
          <w:lang w:val="de-DE"/>
          <w14:ligatures w14:val="standardContextual"/>
        </w:rPr>
      </w:pPr>
    </w:p>
    <w:tbl>
      <w:tblPr>
        <w:tblStyle w:val="TableGrid1"/>
        <w:tblW w:w="10058" w:type="dxa"/>
        <w:jc w:val="center"/>
        <w:tblLayout w:type="fixed"/>
        <w:tblCellMar>
          <w:top w:w="28" w:type="dxa"/>
          <w:left w:w="28" w:type="dxa"/>
          <w:bottom w:w="57" w:type="dxa"/>
          <w:right w:w="28" w:type="dxa"/>
        </w:tblCellMar>
        <w:tblLook w:val="04A0" w:firstRow="1" w:lastRow="0" w:firstColumn="1" w:lastColumn="0" w:noHBand="0" w:noVBand="1"/>
      </w:tblPr>
      <w:tblGrid>
        <w:gridCol w:w="990"/>
        <w:gridCol w:w="1275"/>
        <w:gridCol w:w="2694"/>
        <w:gridCol w:w="1560"/>
        <w:gridCol w:w="1271"/>
        <w:gridCol w:w="1131"/>
        <w:gridCol w:w="1137"/>
      </w:tblGrid>
      <w:tr w:rsidR="00C94294" w:rsidRPr="00223459" w14:paraId="1D274836" w14:textId="77777777" w:rsidTr="003825CA">
        <w:trPr>
          <w:cantSplit/>
          <w:jc w:val="center"/>
        </w:trPr>
        <w:tc>
          <w:tcPr>
            <w:tcW w:w="990" w:type="dxa"/>
            <w:tcBorders>
              <w:top w:val="single" w:sz="4" w:space="0" w:color="auto"/>
              <w:left w:val="single" w:sz="2" w:space="0" w:color="auto"/>
              <w:bottom w:val="single" w:sz="4" w:space="0" w:color="auto"/>
              <w:right w:val="single" w:sz="2" w:space="0" w:color="auto"/>
            </w:tcBorders>
            <w:shd w:val="clear" w:color="auto" w:fill="auto"/>
            <w:vAlign w:val="center"/>
          </w:tcPr>
          <w:p w14:paraId="30B5D972" w14:textId="77777777" w:rsidR="00214329" w:rsidRPr="00E83514" w:rsidRDefault="0060633E" w:rsidP="00BD4986">
            <w:pPr>
              <w:jc w:val="left"/>
              <w:rPr>
                <w:rFonts w:cs="Arial"/>
                <w:sz w:val="18"/>
                <w:szCs w:val="18"/>
                <w:highlight w:val="lightGray"/>
                <w:u w:val="single"/>
                <w:lang w:val="de-DE" w:eastAsia="zh-CN"/>
              </w:rPr>
            </w:pPr>
            <w:r w:rsidRPr="00E83514">
              <w:rPr>
                <w:rFonts w:cs="Arial"/>
                <w:snapToGrid w:val="0"/>
                <w:sz w:val="18"/>
                <w:szCs w:val="18"/>
                <w:lang w:val="de-DE"/>
              </w:rPr>
              <w:t>Name des Programms</w:t>
            </w:r>
          </w:p>
        </w:tc>
        <w:tc>
          <w:tcPr>
            <w:tcW w:w="1275" w:type="dxa"/>
            <w:tcBorders>
              <w:top w:val="single" w:sz="4" w:space="0" w:color="auto"/>
              <w:left w:val="single" w:sz="2" w:space="0" w:color="auto"/>
              <w:bottom w:val="single" w:sz="4" w:space="0" w:color="auto"/>
              <w:right w:val="single" w:sz="2" w:space="0" w:color="auto"/>
            </w:tcBorders>
            <w:shd w:val="clear" w:color="auto" w:fill="auto"/>
            <w:vAlign w:val="center"/>
          </w:tcPr>
          <w:p w14:paraId="4B63A7EE" w14:textId="32752180" w:rsidR="00214329" w:rsidRPr="00E83514" w:rsidRDefault="0060633E" w:rsidP="00BD4986">
            <w:pPr>
              <w:jc w:val="left"/>
              <w:rPr>
                <w:rFonts w:cs="Arial"/>
                <w:snapToGrid w:val="0"/>
                <w:sz w:val="18"/>
                <w:szCs w:val="18"/>
                <w:highlight w:val="lightGray"/>
                <w:u w:val="single"/>
                <w:lang w:val="de-DE"/>
              </w:rPr>
            </w:pPr>
            <w:r w:rsidRPr="00E83514">
              <w:rPr>
                <w:rFonts w:cs="Arial"/>
                <w:snapToGrid w:val="0"/>
                <w:sz w:val="18"/>
                <w:szCs w:val="18"/>
                <w:lang w:val="de-DE"/>
              </w:rPr>
              <w:t>Programmier</w:t>
            </w:r>
            <w:r w:rsidR="00553DD9">
              <w:rPr>
                <w:rFonts w:cs="Arial"/>
                <w:snapToGrid w:val="0"/>
                <w:sz w:val="18"/>
                <w:szCs w:val="18"/>
                <w:lang w:val="de-DE"/>
              </w:rPr>
              <w:t>-</w:t>
            </w:r>
            <w:r w:rsidRPr="00E83514">
              <w:rPr>
                <w:rFonts w:cs="Arial"/>
                <w:snapToGrid w:val="0"/>
                <w:sz w:val="18"/>
                <w:szCs w:val="18"/>
                <w:lang w:val="de-DE"/>
              </w:rPr>
              <w:t>sprache</w:t>
            </w:r>
          </w:p>
        </w:tc>
        <w:tc>
          <w:tcPr>
            <w:tcW w:w="2694" w:type="dxa"/>
            <w:tcBorders>
              <w:top w:val="single" w:sz="4" w:space="0" w:color="auto"/>
              <w:left w:val="single" w:sz="2" w:space="0" w:color="auto"/>
              <w:bottom w:val="single" w:sz="4" w:space="0" w:color="auto"/>
              <w:right w:val="single" w:sz="2" w:space="0" w:color="auto"/>
            </w:tcBorders>
            <w:shd w:val="clear" w:color="auto" w:fill="auto"/>
            <w:vAlign w:val="center"/>
          </w:tcPr>
          <w:p w14:paraId="492E342C" w14:textId="77777777" w:rsidR="00214329" w:rsidRPr="00E83514" w:rsidRDefault="0060633E" w:rsidP="00BD4986">
            <w:pPr>
              <w:jc w:val="left"/>
              <w:rPr>
                <w:rFonts w:cs="Arial"/>
                <w:sz w:val="18"/>
                <w:szCs w:val="18"/>
                <w:highlight w:val="lightGray"/>
                <w:u w:val="single"/>
                <w:lang w:val="de-DE" w:eastAsia="zh-CN"/>
              </w:rPr>
            </w:pPr>
            <w:r w:rsidRPr="00E83514">
              <w:rPr>
                <w:rFonts w:cs="Arial"/>
                <w:snapToGrid w:val="0"/>
                <w:sz w:val="18"/>
                <w:szCs w:val="18"/>
                <w:lang w:val="de-DE"/>
              </w:rPr>
              <w:t>Funktion (kurze Zusammenfassung)</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14:paraId="0C94463E" w14:textId="2F5B6CB4" w:rsidR="00214329" w:rsidRPr="00E83514" w:rsidRDefault="0060633E" w:rsidP="00BD4986">
            <w:pPr>
              <w:jc w:val="left"/>
              <w:rPr>
                <w:rFonts w:cs="Arial"/>
                <w:snapToGrid w:val="0"/>
                <w:sz w:val="18"/>
                <w:szCs w:val="18"/>
                <w:highlight w:val="lightGray"/>
                <w:u w:val="single"/>
                <w:lang w:val="de-DE"/>
              </w:rPr>
            </w:pPr>
            <w:r w:rsidRPr="00E83514">
              <w:rPr>
                <w:rFonts w:cs="Arial"/>
                <w:snapToGrid w:val="0"/>
                <w:sz w:val="18"/>
                <w:szCs w:val="18"/>
                <w:lang w:val="de-DE"/>
              </w:rPr>
              <w:t>Quelle und Kontakt</w:t>
            </w:r>
            <w:r w:rsidR="00D17AA8" w:rsidRPr="00E83514">
              <w:rPr>
                <w:rFonts w:cs="Arial"/>
                <w:snapToGrid w:val="0"/>
                <w:sz w:val="18"/>
                <w:szCs w:val="18"/>
                <w:lang w:val="de-DE"/>
              </w:rPr>
              <w:t>daten</w:t>
            </w:r>
          </w:p>
        </w:tc>
        <w:tc>
          <w:tcPr>
            <w:tcW w:w="1271" w:type="dxa"/>
            <w:tcBorders>
              <w:top w:val="single" w:sz="4" w:space="0" w:color="auto"/>
              <w:left w:val="single" w:sz="2" w:space="0" w:color="auto"/>
              <w:bottom w:val="single" w:sz="4" w:space="0" w:color="auto"/>
              <w:right w:val="single" w:sz="2" w:space="0" w:color="auto"/>
            </w:tcBorders>
            <w:shd w:val="clear" w:color="auto" w:fill="auto"/>
            <w:vAlign w:val="center"/>
          </w:tcPr>
          <w:p w14:paraId="2F576C3A" w14:textId="5BE02E95" w:rsidR="00214329" w:rsidRPr="00E83514" w:rsidRDefault="0060633E" w:rsidP="00BD4986">
            <w:pPr>
              <w:jc w:val="left"/>
              <w:rPr>
                <w:rFonts w:cs="Arial"/>
                <w:snapToGrid w:val="0"/>
                <w:sz w:val="18"/>
                <w:szCs w:val="18"/>
                <w:highlight w:val="lightGray"/>
                <w:u w:val="single"/>
                <w:lang w:val="de-DE" w:eastAsia="ja-JP"/>
              </w:rPr>
            </w:pPr>
            <w:r w:rsidRPr="00E83514">
              <w:rPr>
                <w:rFonts w:cs="Arial"/>
                <w:snapToGrid w:val="0"/>
                <w:sz w:val="18"/>
                <w:szCs w:val="18"/>
                <w:lang w:val="de-DE"/>
              </w:rPr>
              <w:t xml:space="preserve">Bedingung für die </w:t>
            </w:r>
            <w:r w:rsidR="00527858" w:rsidRPr="00E83514">
              <w:rPr>
                <w:rFonts w:cs="Arial"/>
                <w:snapToGrid w:val="0"/>
                <w:sz w:val="18"/>
                <w:szCs w:val="18"/>
                <w:lang w:val="de-DE"/>
              </w:rPr>
              <w:t>Bereitstellung</w:t>
            </w:r>
          </w:p>
        </w:tc>
        <w:tc>
          <w:tcPr>
            <w:tcW w:w="1131" w:type="dxa"/>
            <w:tcBorders>
              <w:top w:val="single" w:sz="4" w:space="0" w:color="auto"/>
              <w:left w:val="single" w:sz="2" w:space="0" w:color="auto"/>
              <w:bottom w:val="single" w:sz="4" w:space="0" w:color="auto"/>
              <w:right w:val="single" w:sz="2" w:space="0" w:color="auto"/>
            </w:tcBorders>
            <w:shd w:val="clear" w:color="auto" w:fill="auto"/>
            <w:vAlign w:val="center"/>
          </w:tcPr>
          <w:p w14:paraId="47DFAD49" w14:textId="77777777" w:rsidR="00214329" w:rsidRPr="00B140F2" w:rsidRDefault="0060633E" w:rsidP="00BD4986">
            <w:pPr>
              <w:keepNext/>
              <w:jc w:val="left"/>
              <w:rPr>
                <w:rFonts w:cs="Arial"/>
                <w:snapToGrid w:val="0"/>
                <w:sz w:val="18"/>
                <w:szCs w:val="18"/>
                <w:highlight w:val="lightGray"/>
                <w:u w:val="single"/>
                <w:lang w:val="de-DE" w:eastAsia="zh-CN"/>
              </w:rPr>
            </w:pPr>
            <w:r w:rsidRPr="00B140F2">
              <w:rPr>
                <w:rFonts w:cs="Arial"/>
                <w:snapToGrid w:val="0"/>
                <w:sz w:val="18"/>
                <w:szCs w:val="18"/>
                <w:lang w:val="de-DE"/>
              </w:rPr>
              <w:t>UPOV-Mitglied(er), die die Software verwenden</w:t>
            </w:r>
          </w:p>
        </w:tc>
        <w:tc>
          <w:tcPr>
            <w:tcW w:w="1137" w:type="dxa"/>
            <w:tcBorders>
              <w:top w:val="single" w:sz="4" w:space="0" w:color="auto"/>
              <w:left w:val="single" w:sz="2" w:space="0" w:color="auto"/>
              <w:bottom w:val="single" w:sz="4" w:space="0" w:color="auto"/>
              <w:right w:val="single" w:sz="2" w:space="0" w:color="auto"/>
            </w:tcBorders>
            <w:shd w:val="clear" w:color="auto" w:fill="auto"/>
            <w:vAlign w:val="center"/>
          </w:tcPr>
          <w:p w14:paraId="6B07968B" w14:textId="15AFBBFC" w:rsidR="00214329" w:rsidRPr="00B140F2" w:rsidRDefault="0060633E" w:rsidP="00BD4986">
            <w:pPr>
              <w:keepNext/>
              <w:jc w:val="left"/>
              <w:rPr>
                <w:rFonts w:cs="Arial"/>
                <w:snapToGrid w:val="0"/>
                <w:sz w:val="18"/>
                <w:szCs w:val="18"/>
                <w:highlight w:val="lightGray"/>
                <w:u w:val="single"/>
                <w:lang w:val="de-DE"/>
              </w:rPr>
            </w:pPr>
            <w:r w:rsidRPr="00B140F2">
              <w:rPr>
                <w:rFonts w:cs="Arial"/>
                <w:snapToGrid w:val="0"/>
                <w:sz w:val="18"/>
                <w:szCs w:val="18"/>
                <w:lang w:val="de-DE"/>
              </w:rPr>
              <w:t xml:space="preserve">Anwendung durch den/die </w:t>
            </w:r>
            <w:r w:rsidR="0021727A" w:rsidRPr="00B140F2">
              <w:rPr>
                <w:rFonts w:cs="Arial"/>
                <w:snapToGrid w:val="0"/>
                <w:sz w:val="18"/>
                <w:szCs w:val="18"/>
                <w:lang w:val="de-DE"/>
              </w:rPr>
              <w:t>Nutzer</w:t>
            </w:r>
          </w:p>
        </w:tc>
      </w:tr>
      <w:tr w:rsidR="00C94294" w:rsidRPr="00E83514" w14:paraId="5C9FC0CF" w14:textId="77777777" w:rsidTr="003825CA">
        <w:trPr>
          <w:jc w:val="center"/>
        </w:trPr>
        <w:tc>
          <w:tcPr>
            <w:tcW w:w="990" w:type="dxa"/>
            <w:tcBorders>
              <w:top w:val="single" w:sz="4" w:space="0" w:color="auto"/>
              <w:left w:val="single" w:sz="2" w:space="0" w:color="auto"/>
              <w:bottom w:val="single" w:sz="4" w:space="0" w:color="auto"/>
              <w:right w:val="single" w:sz="2" w:space="0" w:color="auto"/>
            </w:tcBorders>
            <w:shd w:val="clear" w:color="auto" w:fill="auto"/>
          </w:tcPr>
          <w:p w14:paraId="070A00E2" w14:textId="6A478492" w:rsidR="00214329" w:rsidRPr="00E83514" w:rsidRDefault="0060633E" w:rsidP="00BD4986">
            <w:pPr>
              <w:jc w:val="left"/>
              <w:rPr>
                <w:rFonts w:cs="Arial"/>
                <w:snapToGrid w:val="0"/>
                <w:sz w:val="18"/>
                <w:szCs w:val="18"/>
                <w:lang w:val="de-DE"/>
              </w:rPr>
            </w:pPr>
            <w:bookmarkStart w:id="11" w:name="_Hlk171928544"/>
            <w:r w:rsidRPr="00E83514">
              <w:rPr>
                <w:rFonts w:cs="Arial"/>
                <w:sz w:val="18"/>
                <w:szCs w:val="18"/>
                <w:lang w:val="de-DE" w:eastAsia="zh-CN"/>
              </w:rPr>
              <w:t>USCEL</w:t>
            </w:r>
          </w:p>
        </w:tc>
        <w:tc>
          <w:tcPr>
            <w:tcW w:w="1275" w:type="dxa"/>
            <w:tcBorders>
              <w:top w:val="single" w:sz="4" w:space="0" w:color="auto"/>
              <w:left w:val="single" w:sz="2" w:space="0" w:color="auto"/>
              <w:bottom w:val="single" w:sz="4" w:space="0" w:color="auto"/>
              <w:right w:val="single" w:sz="2" w:space="0" w:color="auto"/>
            </w:tcBorders>
            <w:shd w:val="clear" w:color="auto" w:fill="auto"/>
          </w:tcPr>
          <w:p w14:paraId="25D09999" w14:textId="77777777" w:rsidR="00214329" w:rsidRPr="00E83514" w:rsidRDefault="0060633E" w:rsidP="00BD4986">
            <w:pPr>
              <w:jc w:val="left"/>
              <w:rPr>
                <w:rFonts w:cs="Arial"/>
                <w:snapToGrid w:val="0"/>
                <w:sz w:val="18"/>
                <w:szCs w:val="18"/>
                <w:lang w:val="de-DE"/>
              </w:rPr>
            </w:pPr>
            <w:r w:rsidRPr="00E83514">
              <w:rPr>
                <w:rFonts w:cs="Arial"/>
                <w:snapToGrid w:val="0"/>
                <w:sz w:val="18"/>
                <w:szCs w:val="18"/>
                <w:lang w:val="de-DE"/>
              </w:rPr>
              <w:t>EXCEL+VBA+UI</w:t>
            </w:r>
          </w:p>
        </w:tc>
        <w:tc>
          <w:tcPr>
            <w:tcW w:w="2694" w:type="dxa"/>
            <w:tcBorders>
              <w:top w:val="single" w:sz="4" w:space="0" w:color="auto"/>
              <w:left w:val="single" w:sz="2" w:space="0" w:color="auto"/>
              <w:bottom w:val="single" w:sz="4" w:space="0" w:color="auto"/>
              <w:right w:val="single" w:sz="2" w:space="0" w:color="auto"/>
            </w:tcBorders>
            <w:shd w:val="clear" w:color="auto" w:fill="auto"/>
          </w:tcPr>
          <w:p w14:paraId="4EA13E99" w14:textId="00505E6C" w:rsidR="00214329" w:rsidRPr="00B140F2" w:rsidRDefault="0060633E" w:rsidP="00BD4986">
            <w:pPr>
              <w:jc w:val="left"/>
              <w:rPr>
                <w:rFonts w:cs="Arial"/>
                <w:snapToGrid w:val="0"/>
                <w:sz w:val="18"/>
                <w:szCs w:val="18"/>
                <w:lang w:val="de-DE"/>
              </w:rPr>
            </w:pPr>
            <w:r w:rsidRPr="00B140F2">
              <w:rPr>
                <w:rFonts w:cs="Arial"/>
                <w:sz w:val="18"/>
                <w:szCs w:val="18"/>
                <w:lang w:val="de-DE" w:eastAsia="zh-CN"/>
              </w:rPr>
              <w:t>1. Versuchsaufbau</w:t>
            </w:r>
            <w:r w:rsidRPr="00B140F2">
              <w:rPr>
                <w:rFonts w:cs="Arial"/>
                <w:sz w:val="18"/>
                <w:szCs w:val="18"/>
                <w:lang w:val="de-DE" w:eastAsia="zh-CN"/>
              </w:rPr>
              <w:br/>
              <w:t>2</w:t>
            </w:r>
            <w:r w:rsidRPr="00B140F2">
              <w:rPr>
                <w:rFonts w:cs="Arial"/>
                <w:sz w:val="18"/>
                <w:szCs w:val="18"/>
                <w:lang w:val="de-DE"/>
              </w:rPr>
              <w:t>. Überprüfung abnormaler Daten durch Validierung, Boxplot und Standardabweichungs</w:t>
            </w:r>
            <w:r w:rsidR="00A22E41">
              <w:rPr>
                <w:rFonts w:cs="Arial"/>
                <w:sz w:val="18"/>
                <w:szCs w:val="18"/>
                <w:lang w:val="de-DE"/>
              </w:rPr>
              <w:t>-</w:t>
            </w:r>
            <w:r w:rsidRPr="00B140F2">
              <w:rPr>
                <w:rFonts w:cs="Arial"/>
                <w:sz w:val="18"/>
                <w:szCs w:val="18"/>
                <w:lang w:val="de-DE"/>
              </w:rPr>
              <w:t>methoden</w:t>
            </w:r>
            <w:r w:rsidRPr="00B140F2">
              <w:rPr>
                <w:rFonts w:cs="Arial"/>
                <w:sz w:val="18"/>
                <w:szCs w:val="18"/>
                <w:lang w:val="de-DE"/>
              </w:rPr>
              <w:br/>
            </w:r>
            <w:r w:rsidRPr="00B140F2">
              <w:rPr>
                <w:rFonts w:cs="Arial"/>
                <w:sz w:val="18"/>
                <w:szCs w:val="18"/>
                <w:lang w:val="de-DE" w:eastAsia="zh-CN"/>
              </w:rPr>
              <w:t>3</w:t>
            </w:r>
            <w:r w:rsidRPr="00B140F2">
              <w:rPr>
                <w:rFonts w:cs="Arial"/>
                <w:sz w:val="18"/>
                <w:szCs w:val="18"/>
                <w:lang w:val="de-DE"/>
              </w:rPr>
              <w:t>. Analyse der Homogenität anhand von Abweicher</w:t>
            </w:r>
            <w:r w:rsidRPr="00B140F2">
              <w:rPr>
                <w:rFonts w:cs="Arial"/>
                <w:sz w:val="18"/>
                <w:szCs w:val="18"/>
                <w:lang w:val="de-DE"/>
              </w:rPr>
              <w:noBreakHyphen/>
              <w:t>, relativer Varianz, COYU</w:t>
            </w:r>
            <w:r w:rsidRPr="00B140F2">
              <w:rPr>
                <w:rFonts w:cs="Arial"/>
                <w:sz w:val="18"/>
                <w:szCs w:val="18"/>
                <w:lang w:val="de-DE"/>
              </w:rPr>
              <w:br/>
            </w:r>
            <w:r w:rsidRPr="00B140F2">
              <w:rPr>
                <w:rFonts w:cs="Arial"/>
                <w:sz w:val="18"/>
                <w:szCs w:val="18"/>
                <w:lang w:val="de-DE" w:eastAsia="zh-CN"/>
              </w:rPr>
              <w:t>4</w:t>
            </w:r>
            <w:r w:rsidRPr="00B140F2">
              <w:rPr>
                <w:rFonts w:cs="Arial"/>
                <w:sz w:val="18"/>
                <w:szCs w:val="18"/>
                <w:lang w:val="de-DE"/>
              </w:rPr>
              <w:t xml:space="preserve">. </w:t>
            </w:r>
            <w:r w:rsidR="000A4FAE" w:rsidRPr="00B140F2">
              <w:rPr>
                <w:rFonts w:cs="Arial"/>
                <w:sz w:val="18"/>
                <w:szCs w:val="18"/>
                <w:lang w:val="de-DE"/>
              </w:rPr>
              <w:t>Umwandlung ursprünglicher Daten in Noten durch Standardsorten</w:t>
            </w:r>
            <w:r w:rsidRPr="00B140F2">
              <w:rPr>
                <w:rFonts w:cs="Arial"/>
                <w:sz w:val="18"/>
                <w:szCs w:val="18"/>
                <w:lang w:val="de-DE"/>
              </w:rPr>
              <w:br/>
            </w:r>
            <w:r w:rsidRPr="00B140F2">
              <w:rPr>
                <w:rFonts w:cs="Arial"/>
                <w:sz w:val="18"/>
                <w:szCs w:val="18"/>
                <w:lang w:val="de-DE" w:eastAsia="zh-CN"/>
              </w:rPr>
              <w:t>5</w:t>
            </w:r>
            <w:r w:rsidRPr="00B140F2">
              <w:rPr>
                <w:rFonts w:cs="Arial"/>
                <w:sz w:val="18"/>
                <w:szCs w:val="18"/>
                <w:lang w:val="de-DE"/>
              </w:rPr>
              <w:t>. Analyse der Beständigkeit anhand von COYS</w:t>
            </w:r>
            <w:r w:rsidRPr="00B140F2">
              <w:rPr>
                <w:rFonts w:cs="Arial"/>
                <w:sz w:val="18"/>
                <w:szCs w:val="18"/>
                <w:lang w:val="de-DE"/>
              </w:rPr>
              <w:br/>
            </w:r>
            <w:r w:rsidRPr="00B140F2">
              <w:rPr>
                <w:rFonts w:cs="Arial"/>
                <w:sz w:val="18"/>
                <w:szCs w:val="18"/>
                <w:lang w:val="de-DE" w:eastAsia="zh-CN"/>
              </w:rPr>
              <w:t>6</w:t>
            </w:r>
            <w:r w:rsidRPr="00B140F2">
              <w:rPr>
                <w:rFonts w:cs="Arial"/>
                <w:sz w:val="18"/>
                <w:szCs w:val="18"/>
                <w:lang w:val="de-DE"/>
              </w:rPr>
              <w:t>. Analyse der Unterscheidbarkeit anhand von Noten, Messdaten und Bildern</w:t>
            </w:r>
            <w:r w:rsidRPr="00B140F2">
              <w:rPr>
                <w:rFonts w:cs="Arial"/>
                <w:sz w:val="18"/>
                <w:szCs w:val="18"/>
                <w:lang w:val="de-DE"/>
              </w:rPr>
              <w:br/>
            </w:r>
            <w:r w:rsidRPr="00B140F2">
              <w:rPr>
                <w:rFonts w:cs="Arial"/>
                <w:sz w:val="18"/>
                <w:szCs w:val="18"/>
                <w:lang w:val="de-DE" w:eastAsia="zh-CN"/>
              </w:rPr>
              <w:t>7</w:t>
            </w:r>
            <w:r w:rsidRPr="00B140F2">
              <w:rPr>
                <w:rFonts w:cs="Arial"/>
                <w:sz w:val="18"/>
                <w:szCs w:val="18"/>
                <w:lang w:val="de-DE"/>
              </w:rPr>
              <w:t xml:space="preserve">. </w:t>
            </w:r>
            <w:r w:rsidR="00517036" w:rsidRPr="00B140F2">
              <w:rPr>
                <w:rFonts w:cs="Arial"/>
                <w:sz w:val="18"/>
                <w:szCs w:val="18"/>
                <w:lang w:val="de-DE"/>
              </w:rPr>
              <w:t>Verfahren zur Überprüfung von Merkmalen und Anbauprü</w:t>
            </w:r>
            <w:r w:rsidR="00247E2E">
              <w:rPr>
                <w:rFonts w:cs="Arial"/>
                <w:sz w:val="18"/>
                <w:szCs w:val="18"/>
                <w:lang w:val="de-DE"/>
              </w:rPr>
              <w:t>f</w:t>
            </w:r>
            <w:r w:rsidR="00517036" w:rsidRPr="00B140F2">
              <w:rPr>
                <w:rFonts w:cs="Arial"/>
                <w:sz w:val="18"/>
                <w:szCs w:val="18"/>
                <w:lang w:val="de-DE"/>
              </w:rPr>
              <w:t xml:space="preserve">ung durch </w:t>
            </w:r>
            <w:r w:rsidRPr="00B140F2">
              <w:rPr>
                <w:rFonts w:cs="Arial"/>
                <w:sz w:val="18"/>
                <w:szCs w:val="18"/>
                <w:lang w:val="de-DE" w:eastAsia="zh-CN"/>
              </w:rPr>
              <w:t>Korrelationskoeffizient, Häufigkeitsverteilung durch Noten oder gemessene Daten</w:t>
            </w:r>
            <w:r w:rsidRPr="00B140F2">
              <w:rPr>
                <w:rFonts w:cs="Arial"/>
                <w:sz w:val="18"/>
                <w:szCs w:val="18"/>
                <w:lang w:val="de-DE" w:eastAsia="zh-CN"/>
              </w:rPr>
              <w:br/>
              <w:t>8. Schätzung der optimalen Stichprobengröße</w:t>
            </w:r>
            <w:r w:rsidRPr="00B140F2">
              <w:rPr>
                <w:rFonts w:cs="Arial"/>
                <w:sz w:val="18"/>
                <w:szCs w:val="18"/>
                <w:lang w:val="de-DE"/>
              </w:rPr>
              <w:br/>
            </w:r>
            <w:r w:rsidRPr="00B140F2">
              <w:rPr>
                <w:rFonts w:cs="Arial"/>
                <w:sz w:val="18"/>
                <w:szCs w:val="18"/>
                <w:lang w:val="de-DE" w:eastAsia="zh-CN"/>
              </w:rPr>
              <w:t>9. Bildkontrolle, -verarbeitung und -analyse</w:t>
            </w:r>
          </w:p>
        </w:tc>
        <w:tc>
          <w:tcPr>
            <w:tcW w:w="1560" w:type="dxa"/>
            <w:tcBorders>
              <w:top w:val="single" w:sz="4" w:space="0" w:color="auto"/>
              <w:left w:val="single" w:sz="2" w:space="0" w:color="auto"/>
              <w:bottom w:val="single" w:sz="4" w:space="0" w:color="auto"/>
              <w:right w:val="single" w:sz="2" w:space="0" w:color="auto"/>
            </w:tcBorders>
            <w:shd w:val="clear" w:color="auto" w:fill="auto"/>
          </w:tcPr>
          <w:p w14:paraId="1AEB6061" w14:textId="77777777" w:rsidR="00214329" w:rsidRPr="00B140F2" w:rsidRDefault="0060633E" w:rsidP="00BD4986">
            <w:pPr>
              <w:jc w:val="left"/>
              <w:rPr>
                <w:lang w:val="de-DE"/>
              </w:rPr>
            </w:pPr>
            <w:r w:rsidRPr="00B140F2">
              <w:rPr>
                <w:rFonts w:cs="Arial"/>
                <w:snapToGrid w:val="0"/>
                <w:sz w:val="18"/>
                <w:szCs w:val="18"/>
                <w:lang w:val="de-DE"/>
              </w:rPr>
              <w:t xml:space="preserve">Herr Kun Yang </w:t>
            </w:r>
            <w:r w:rsidRPr="00B140F2">
              <w:rPr>
                <w:rFonts w:cs="Arial"/>
                <w:snapToGrid w:val="0"/>
                <w:sz w:val="18"/>
                <w:szCs w:val="18"/>
                <w:lang w:val="de-DE"/>
              </w:rPr>
              <w:br/>
              <w:t xml:space="preserve">E-Mail: </w:t>
            </w:r>
            <w:hyperlink r:id="rId13" w:history="1">
              <w:r w:rsidRPr="00B140F2">
                <w:rPr>
                  <w:rFonts w:cs="Arial"/>
                  <w:snapToGrid w:val="0"/>
                  <w:color w:val="0000FF"/>
                  <w:sz w:val="18"/>
                  <w:szCs w:val="18"/>
                  <w:lang w:val="de-DE"/>
                </w:rPr>
                <w:t>yangkun@caas.cn</w:t>
              </w:r>
            </w:hyperlink>
          </w:p>
        </w:tc>
        <w:tc>
          <w:tcPr>
            <w:tcW w:w="1271" w:type="dxa"/>
            <w:tcBorders>
              <w:top w:val="single" w:sz="4" w:space="0" w:color="auto"/>
              <w:left w:val="single" w:sz="2" w:space="0" w:color="auto"/>
              <w:bottom w:val="single" w:sz="4" w:space="0" w:color="auto"/>
              <w:right w:val="single" w:sz="2" w:space="0" w:color="auto"/>
            </w:tcBorders>
            <w:shd w:val="clear" w:color="auto" w:fill="auto"/>
          </w:tcPr>
          <w:p w14:paraId="52DD3930" w14:textId="77777777" w:rsidR="00214329" w:rsidRPr="00B140F2" w:rsidRDefault="0060633E" w:rsidP="00BD4986">
            <w:pPr>
              <w:jc w:val="left"/>
              <w:rPr>
                <w:rFonts w:eastAsiaTheme="minorHAnsi" w:cs="Calibri"/>
                <w:sz w:val="18"/>
                <w:szCs w:val="22"/>
                <w:lang w:val="de-DE"/>
                <w14:ligatures w14:val="standardContextual"/>
              </w:rPr>
            </w:pPr>
            <w:r w:rsidRPr="00B140F2">
              <w:rPr>
                <w:rFonts w:eastAsiaTheme="minorHAnsi" w:cs="Calibri"/>
                <w:sz w:val="18"/>
                <w:szCs w:val="22"/>
                <w:lang w:val="de-DE"/>
                <w14:ligatures w14:val="standardContextual"/>
              </w:rPr>
              <w:t xml:space="preserve">DUSCEL3.0 und 3.5 werden kostenlos angeboten. DUSCEL4.0 wird gegen eine Gebühr angeboten. </w:t>
            </w:r>
          </w:p>
          <w:p w14:paraId="0BE7B903" w14:textId="77CB346E" w:rsidR="00214329" w:rsidRPr="00B140F2" w:rsidRDefault="0060633E" w:rsidP="00BD4986">
            <w:pPr>
              <w:jc w:val="left"/>
              <w:rPr>
                <w:rFonts w:cs="Arial"/>
                <w:sz w:val="18"/>
                <w:szCs w:val="18"/>
                <w:lang w:val="de-DE"/>
              </w:rPr>
            </w:pPr>
            <w:r w:rsidRPr="00B140F2">
              <w:rPr>
                <w:rFonts w:cs="Arial"/>
                <w:sz w:val="18"/>
                <w:szCs w:val="18"/>
                <w:lang w:val="de-DE"/>
              </w:rPr>
              <w:t xml:space="preserve">Benutzerhandbuch und </w:t>
            </w:r>
            <w:r w:rsidR="00A22E41">
              <w:rPr>
                <w:rFonts w:cs="Arial"/>
                <w:sz w:val="18"/>
                <w:szCs w:val="18"/>
                <w:lang w:val="de-DE"/>
              </w:rPr>
              <w:t>Benutzer-oberfläche</w:t>
            </w:r>
            <w:r w:rsidRPr="00B140F2">
              <w:rPr>
                <w:rFonts w:cs="Arial"/>
                <w:sz w:val="18"/>
                <w:szCs w:val="18"/>
                <w:lang w:val="de-DE"/>
              </w:rPr>
              <w:t xml:space="preserve"> auf Englisch verfügbar</w:t>
            </w:r>
          </w:p>
          <w:p w14:paraId="53B16202" w14:textId="77777777" w:rsidR="00553A5D" w:rsidRPr="00B140F2" w:rsidRDefault="00553A5D" w:rsidP="00BD4986">
            <w:pPr>
              <w:jc w:val="left"/>
              <w:rPr>
                <w:rFonts w:cs="Arial"/>
                <w:sz w:val="18"/>
                <w:szCs w:val="18"/>
                <w:lang w:val="de-DE"/>
              </w:rPr>
            </w:pPr>
          </w:p>
          <w:p w14:paraId="5709D039" w14:textId="77777777" w:rsidR="00B23B95" w:rsidRPr="00B140F2" w:rsidRDefault="00B23B95" w:rsidP="00BD4986">
            <w:pPr>
              <w:jc w:val="left"/>
              <w:rPr>
                <w:rFonts w:eastAsiaTheme="minorHAnsi" w:cs="Calibri"/>
                <w:sz w:val="18"/>
                <w:szCs w:val="22"/>
                <w:lang w:val="de-DE"/>
                <w14:ligatures w14:val="standardContextual"/>
              </w:rPr>
            </w:pPr>
          </w:p>
        </w:tc>
        <w:tc>
          <w:tcPr>
            <w:tcW w:w="1131" w:type="dxa"/>
            <w:tcBorders>
              <w:top w:val="single" w:sz="4" w:space="0" w:color="auto"/>
              <w:left w:val="single" w:sz="2" w:space="0" w:color="auto"/>
              <w:bottom w:val="single" w:sz="4" w:space="0" w:color="auto"/>
              <w:right w:val="single" w:sz="2" w:space="0" w:color="auto"/>
            </w:tcBorders>
            <w:shd w:val="clear" w:color="auto" w:fill="auto"/>
          </w:tcPr>
          <w:p w14:paraId="2E861152" w14:textId="77777777" w:rsidR="00214329" w:rsidRPr="00E83514" w:rsidRDefault="0060633E" w:rsidP="00BD4986">
            <w:pPr>
              <w:keepNext/>
              <w:jc w:val="left"/>
              <w:rPr>
                <w:rFonts w:cs="Arial"/>
                <w:snapToGrid w:val="0"/>
                <w:sz w:val="18"/>
                <w:szCs w:val="18"/>
                <w:lang w:val="de-DE"/>
              </w:rPr>
            </w:pPr>
            <w:r w:rsidRPr="00E83514">
              <w:rPr>
                <w:rFonts w:cs="Arial"/>
                <w:snapToGrid w:val="0"/>
                <w:sz w:val="18"/>
                <w:szCs w:val="18"/>
                <w:lang w:val="de-DE" w:eastAsia="zh-CN"/>
              </w:rPr>
              <w:t>CN</w:t>
            </w:r>
          </w:p>
        </w:tc>
        <w:tc>
          <w:tcPr>
            <w:tcW w:w="1137" w:type="dxa"/>
            <w:tcBorders>
              <w:top w:val="single" w:sz="4" w:space="0" w:color="auto"/>
              <w:left w:val="single" w:sz="2" w:space="0" w:color="auto"/>
              <w:bottom w:val="single" w:sz="4" w:space="0" w:color="auto"/>
              <w:right w:val="single" w:sz="2" w:space="0" w:color="auto"/>
            </w:tcBorders>
            <w:shd w:val="clear" w:color="auto" w:fill="auto"/>
          </w:tcPr>
          <w:p w14:paraId="68533EDE" w14:textId="77777777" w:rsidR="00214329" w:rsidRPr="00E83514" w:rsidRDefault="0060633E" w:rsidP="00BD4986">
            <w:pPr>
              <w:keepNext/>
              <w:jc w:val="left"/>
              <w:rPr>
                <w:rFonts w:cs="Arial"/>
                <w:snapToGrid w:val="0"/>
                <w:sz w:val="18"/>
                <w:szCs w:val="18"/>
                <w:lang w:val="de-DE"/>
              </w:rPr>
            </w:pPr>
            <w:r w:rsidRPr="00E83514">
              <w:rPr>
                <w:rFonts w:cs="Arial"/>
                <w:snapToGrid w:val="0"/>
                <w:sz w:val="18"/>
                <w:szCs w:val="18"/>
                <w:lang w:val="de-DE"/>
              </w:rPr>
              <w:t>Alle Arten</w:t>
            </w:r>
          </w:p>
        </w:tc>
      </w:tr>
      <w:bookmarkEnd w:id="11"/>
    </w:tbl>
    <w:p w14:paraId="77B4B032" w14:textId="77777777" w:rsidR="001F7B45" w:rsidRPr="00E83514" w:rsidRDefault="001F7B45" w:rsidP="00BD4986">
      <w:pPr>
        <w:rPr>
          <w:lang w:val="de-DE"/>
        </w:rPr>
      </w:pPr>
    </w:p>
    <w:bookmarkEnd w:id="6"/>
    <w:p w14:paraId="69D856B0" w14:textId="59D704A6" w:rsidR="00214329" w:rsidRPr="00B140F2" w:rsidRDefault="0060633E" w:rsidP="00BD4986">
      <w:pPr>
        <w:spacing w:after="240"/>
        <w:rPr>
          <w:lang w:val="de-DE"/>
        </w:rPr>
      </w:pPr>
      <w:r w:rsidRPr="00E83514">
        <w:rPr>
          <w:lang w:val="de-DE"/>
        </w:rPr>
        <w:lastRenderedPageBreak/>
        <w:fldChar w:fldCharType="begin"/>
      </w:r>
      <w:r w:rsidRPr="00B140F2">
        <w:rPr>
          <w:lang w:val="de-DE"/>
        </w:rPr>
        <w:instrText xml:space="preserve"> AUTONUM  </w:instrText>
      </w:r>
      <w:r w:rsidRPr="00E83514">
        <w:rPr>
          <w:lang w:val="de-DE"/>
        </w:rPr>
        <w:fldChar w:fldCharType="end"/>
      </w:r>
      <w:r w:rsidRPr="00B140F2">
        <w:rPr>
          <w:lang w:val="de-DE"/>
        </w:rPr>
        <w:tab/>
        <w:t xml:space="preserve">Vorbehaltlich </w:t>
      </w:r>
      <w:r w:rsidR="008C0A3D" w:rsidRPr="00B140F2">
        <w:rPr>
          <w:lang w:val="de-DE"/>
        </w:rPr>
        <w:t>der Zustimmung durch den</w:t>
      </w:r>
      <w:r w:rsidRPr="00B140F2">
        <w:rPr>
          <w:lang w:val="de-DE"/>
        </w:rPr>
        <w:t xml:space="preserve"> TC auf seiner </w:t>
      </w:r>
      <w:r w:rsidR="00E076B7" w:rsidRPr="00B140F2">
        <w:rPr>
          <w:lang w:val="de-DE"/>
        </w:rPr>
        <w:t xml:space="preserve">sechzigsten </w:t>
      </w:r>
      <w:r w:rsidR="00C32BF0" w:rsidRPr="00B140F2">
        <w:rPr>
          <w:lang w:val="de-DE"/>
        </w:rPr>
        <w:t>Tagung und den CAJ</w:t>
      </w:r>
      <w:r w:rsidRPr="00B140F2">
        <w:rPr>
          <w:lang w:val="de-DE"/>
        </w:rPr>
        <w:t xml:space="preserve"> auf seiner </w:t>
      </w:r>
      <w:r w:rsidR="00E076B7" w:rsidRPr="00B140F2">
        <w:rPr>
          <w:lang w:val="de-DE"/>
        </w:rPr>
        <w:t xml:space="preserve">einundachtzigsten </w:t>
      </w:r>
      <w:r w:rsidRPr="00B140F2">
        <w:rPr>
          <w:lang w:val="de-DE"/>
        </w:rPr>
        <w:t>Tagung soll dem Rat auf seiner achtundfünfzigste</w:t>
      </w:r>
      <w:r w:rsidR="00670F0E">
        <w:rPr>
          <w:lang w:val="de-DE"/>
        </w:rPr>
        <w:t>n</w:t>
      </w:r>
      <w:r w:rsidRPr="00B140F2">
        <w:rPr>
          <w:lang w:val="de-DE"/>
        </w:rPr>
        <w:t xml:space="preserve"> ordentlichen Tagung eine vereinbarte Überarbeitung des Dokuments </w:t>
      </w:r>
      <w:r w:rsidR="00E076B7" w:rsidRPr="00B140F2">
        <w:rPr>
          <w:spacing w:val="-2"/>
          <w:lang w:val="de-DE"/>
        </w:rPr>
        <w:t xml:space="preserve">UPOV/INF/16/12 </w:t>
      </w:r>
      <w:r w:rsidR="001C4FD6" w:rsidRPr="00B140F2">
        <w:rPr>
          <w:spacing w:val="-2"/>
          <w:lang w:val="de-DE"/>
        </w:rPr>
        <w:t>„</w:t>
      </w:r>
      <w:r w:rsidRPr="00B140F2">
        <w:rPr>
          <w:spacing w:val="-2"/>
          <w:lang w:val="de-DE"/>
        </w:rPr>
        <w:t>Austauschbare Software</w:t>
      </w:r>
      <w:r w:rsidR="001C4FD6" w:rsidRPr="00B140F2">
        <w:rPr>
          <w:spacing w:val="-2"/>
          <w:lang w:val="de-DE"/>
        </w:rPr>
        <w:t>“</w:t>
      </w:r>
      <w:r w:rsidRPr="00B140F2">
        <w:rPr>
          <w:spacing w:val="-2"/>
          <w:lang w:val="de-DE"/>
        </w:rPr>
        <w:t xml:space="preserve"> </w:t>
      </w:r>
      <w:r w:rsidR="00464346">
        <w:rPr>
          <w:lang w:val="de-DE"/>
        </w:rPr>
        <w:t xml:space="preserve">aufgrund der </w:t>
      </w:r>
      <w:r w:rsidRPr="00B140F2">
        <w:rPr>
          <w:spacing w:val="-2"/>
          <w:lang w:val="de-DE"/>
        </w:rPr>
        <w:t xml:space="preserve">in Dokument </w:t>
      </w:r>
      <w:r w:rsidR="00E076B7" w:rsidRPr="00B140F2">
        <w:rPr>
          <w:spacing w:val="-2"/>
          <w:lang w:val="de-DE"/>
        </w:rPr>
        <w:t xml:space="preserve">UPOV/INF/16/13 </w:t>
      </w:r>
      <w:r w:rsidRPr="00B140F2">
        <w:rPr>
          <w:spacing w:val="-2"/>
          <w:lang w:val="de-DE"/>
        </w:rPr>
        <w:t xml:space="preserve">Draft 1 </w:t>
      </w:r>
      <w:r w:rsidRPr="00B140F2">
        <w:rPr>
          <w:lang w:val="de-DE"/>
        </w:rPr>
        <w:t>enthaltenen Überarbeitungsvorschläge zur Annahme vorgelegt werden.</w:t>
      </w:r>
    </w:p>
    <w:p w14:paraId="2B8286C4" w14:textId="77E9261F" w:rsidR="00214329" w:rsidRPr="00B140F2" w:rsidRDefault="0060633E" w:rsidP="00BD4986">
      <w:pPr>
        <w:pStyle w:val="DecisionParagraphs"/>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Der Rat wird ersucht, eine Überarbeitung des </w:t>
      </w:r>
      <w:r w:rsidRPr="00746E30">
        <w:rPr>
          <w:spacing w:val="-2"/>
          <w:lang w:val="de-DE"/>
        </w:rPr>
        <w:t xml:space="preserve">Dokuments </w:t>
      </w:r>
      <w:r w:rsidR="00E076B7" w:rsidRPr="00746E30">
        <w:rPr>
          <w:spacing w:val="-2"/>
          <w:lang w:val="de-DE"/>
        </w:rPr>
        <w:t xml:space="preserve">UPOV/INF/16/12 </w:t>
      </w:r>
      <w:r w:rsidR="001C4FD6" w:rsidRPr="00746E30">
        <w:rPr>
          <w:spacing w:val="-2"/>
          <w:lang w:val="de-DE"/>
        </w:rPr>
        <w:t>„</w:t>
      </w:r>
      <w:r w:rsidRPr="00746E30">
        <w:rPr>
          <w:spacing w:val="-2"/>
          <w:lang w:val="de-DE"/>
        </w:rPr>
        <w:t>Austauschbare Software</w:t>
      </w:r>
      <w:r w:rsidR="001C4FD6" w:rsidRPr="00746E30">
        <w:rPr>
          <w:spacing w:val="-2"/>
          <w:lang w:val="de-DE"/>
        </w:rPr>
        <w:t>“</w:t>
      </w:r>
      <w:r w:rsidRPr="00B140F2">
        <w:rPr>
          <w:lang w:val="de-DE"/>
        </w:rPr>
        <w:t xml:space="preserve"> </w:t>
      </w:r>
      <w:r w:rsidR="00E911F3" w:rsidRPr="00B140F2">
        <w:rPr>
          <w:lang w:val="de-DE"/>
        </w:rPr>
        <w:t>aufgrund des Dokuments</w:t>
      </w:r>
      <w:r w:rsidRPr="00B140F2">
        <w:rPr>
          <w:lang w:val="de-DE"/>
        </w:rPr>
        <w:t xml:space="preserve"> </w:t>
      </w:r>
      <w:r w:rsidR="00E076B7" w:rsidRPr="00B140F2">
        <w:rPr>
          <w:lang w:val="de-DE"/>
        </w:rPr>
        <w:t>UPOV/INF/16/13</w:t>
      </w:r>
      <w:r w:rsidR="00746E30">
        <w:rPr>
          <w:lang w:val="de-DE"/>
        </w:rPr>
        <w:t> </w:t>
      </w:r>
      <w:r w:rsidRPr="00B140F2">
        <w:rPr>
          <w:lang w:val="de-DE"/>
        </w:rPr>
        <w:t>Draft</w:t>
      </w:r>
      <w:r w:rsidR="00746E30">
        <w:rPr>
          <w:lang w:val="de-DE"/>
        </w:rPr>
        <w:t> </w:t>
      </w:r>
      <w:r w:rsidRPr="00B140F2">
        <w:rPr>
          <w:lang w:val="de-DE"/>
        </w:rPr>
        <w:t>1</w:t>
      </w:r>
      <w:r w:rsidR="00474F6B" w:rsidRPr="00B140F2">
        <w:rPr>
          <w:lang w:val="de-DE"/>
        </w:rPr>
        <w:t>,</w:t>
      </w:r>
      <w:r w:rsidRPr="00B140F2">
        <w:rPr>
          <w:lang w:val="de-DE"/>
        </w:rPr>
        <w:t xml:space="preserve"> </w:t>
      </w:r>
      <w:r w:rsidRPr="00442176">
        <w:rPr>
          <w:lang w:val="de-DE"/>
        </w:rPr>
        <w:t xml:space="preserve">vorbehaltlich der </w:t>
      </w:r>
      <w:r w:rsidR="00345B74" w:rsidRPr="00442176">
        <w:rPr>
          <w:lang w:val="de-DE"/>
        </w:rPr>
        <w:t>Zustimmung durch den TC und den CAJ</w:t>
      </w:r>
      <w:r w:rsidRPr="00442176">
        <w:rPr>
          <w:lang w:val="de-DE"/>
        </w:rPr>
        <w:t xml:space="preserve"> </w:t>
      </w:r>
      <w:r w:rsidR="00442176">
        <w:rPr>
          <w:lang w:val="de-DE"/>
        </w:rPr>
        <w:t xml:space="preserve">auf ihren Tagungen </w:t>
      </w:r>
      <w:r w:rsidRPr="00442176">
        <w:rPr>
          <w:lang w:val="de-DE"/>
        </w:rPr>
        <w:t xml:space="preserve">im Jahre </w:t>
      </w:r>
      <w:r w:rsidR="00E076B7" w:rsidRPr="00442176">
        <w:rPr>
          <w:lang w:val="de-DE"/>
        </w:rPr>
        <w:t>2024</w:t>
      </w:r>
      <w:r w:rsidR="00474F6B" w:rsidRPr="00442176">
        <w:rPr>
          <w:lang w:val="de-DE"/>
        </w:rPr>
        <w:t>,</w:t>
      </w:r>
      <w:r w:rsidR="00E076B7" w:rsidRPr="00442176">
        <w:rPr>
          <w:lang w:val="de-DE"/>
        </w:rPr>
        <w:t xml:space="preserve"> </w:t>
      </w:r>
      <w:r w:rsidRPr="00442176">
        <w:rPr>
          <w:lang w:val="de-DE"/>
        </w:rPr>
        <w:t>anzunehmen.</w:t>
      </w:r>
    </w:p>
    <w:p w14:paraId="4978C519" w14:textId="77777777" w:rsidR="00D6067D" w:rsidRPr="00B140F2" w:rsidRDefault="00D6067D" w:rsidP="00BD4986">
      <w:pPr>
        <w:rPr>
          <w:lang w:val="de-DE"/>
        </w:rPr>
      </w:pPr>
    </w:p>
    <w:p w14:paraId="392E3D41" w14:textId="30C9267A" w:rsidR="00214329" w:rsidRPr="00B140F2" w:rsidRDefault="0060633E" w:rsidP="00BD4986">
      <w:pPr>
        <w:pStyle w:val="Heading3"/>
        <w:spacing w:line="240" w:lineRule="auto"/>
        <w:rPr>
          <w:lang w:val="de-DE"/>
        </w:rPr>
      </w:pPr>
      <w:bookmarkStart w:id="12" w:name="_Toc177493435"/>
      <w:r w:rsidRPr="00B140F2">
        <w:rPr>
          <w:lang w:val="de-DE"/>
        </w:rPr>
        <w:t>UPOV/INF/22</w:t>
      </w:r>
      <w:r w:rsidR="00D6067D" w:rsidRPr="00B140F2">
        <w:rPr>
          <w:lang w:val="de-DE"/>
        </w:rPr>
        <w:t xml:space="preserve">: </w:t>
      </w:r>
      <w:r w:rsidRPr="00B140F2">
        <w:rPr>
          <w:lang w:val="de-DE"/>
        </w:rPr>
        <w:t>Von Verbandsmitgliedern verwendete Software und Ausrüstung (</w:t>
      </w:r>
      <w:r w:rsidR="000B089C" w:rsidRPr="00B140F2">
        <w:rPr>
          <w:lang w:val="de-DE"/>
        </w:rPr>
        <w:t>Überarbeitung</w:t>
      </w:r>
      <w:r w:rsidRPr="00B140F2">
        <w:rPr>
          <w:lang w:val="de-DE"/>
        </w:rPr>
        <w:t>) (Dokument</w:t>
      </w:r>
      <w:r w:rsidR="00746E30">
        <w:rPr>
          <w:lang w:val="de-DE"/>
        </w:rPr>
        <w:t> </w:t>
      </w:r>
      <w:r w:rsidR="00497A76" w:rsidRPr="00B140F2">
        <w:rPr>
          <w:lang w:val="de-DE"/>
        </w:rPr>
        <w:t xml:space="preserve">UPOV/INF/22/11 </w:t>
      </w:r>
      <w:r w:rsidRPr="00B140F2">
        <w:rPr>
          <w:lang w:val="de-DE"/>
        </w:rPr>
        <w:t>Draft 1)</w:t>
      </w:r>
      <w:bookmarkEnd w:id="12"/>
    </w:p>
    <w:p w14:paraId="3DF0B30A" w14:textId="77777777" w:rsidR="00D6067D" w:rsidRPr="00B140F2" w:rsidRDefault="00D6067D" w:rsidP="00BD4986">
      <w:pPr>
        <w:keepNext/>
        <w:rPr>
          <w:lang w:val="de-DE"/>
        </w:rPr>
      </w:pPr>
    </w:p>
    <w:p w14:paraId="56116AF6" w14:textId="5C991E5D"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Pr="00B140F2">
        <w:rPr>
          <w:rStyle w:val="ui-provider"/>
          <w:lang w:val="de-DE"/>
        </w:rPr>
        <w:t xml:space="preserve">Das Verbandsbüro gab am </w:t>
      </w:r>
      <w:r w:rsidR="009C5CEC" w:rsidRPr="00B140F2">
        <w:rPr>
          <w:rStyle w:val="ui-provider"/>
          <w:lang w:val="de-DE"/>
        </w:rPr>
        <w:t xml:space="preserve">25. März 2024 </w:t>
      </w:r>
      <w:r w:rsidRPr="00B140F2">
        <w:rPr>
          <w:rStyle w:val="ui-provider"/>
          <w:lang w:val="de-DE"/>
        </w:rPr>
        <w:t xml:space="preserve">das Rundschreiben </w:t>
      </w:r>
      <w:r w:rsidR="009C5CEC" w:rsidRPr="00B140F2">
        <w:rPr>
          <w:rStyle w:val="ui-provider"/>
          <w:lang w:val="de-DE"/>
        </w:rPr>
        <w:t xml:space="preserve">E-24/006 </w:t>
      </w:r>
      <w:r w:rsidRPr="00B140F2">
        <w:rPr>
          <w:rStyle w:val="ui-provider"/>
          <w:lang w:val="de-DE"/>
        </w:rPr>
        <w:t xml:space="preserve">an die </w:t>
      </w:r>
      <w:r w:rsidR="00474F6B" w:rsidRPr="00B140F2">
        <w:rPr>
          <w:rStyle w:val="ui-provider"/>
          <w:lang w:val="de-DE"/>
        </w:rPr>
        <w:t>bezeichneten Personen</w:t>
      </w:r>
      <w:r w:rsidRPr="00B140F2">
        <w:rPr>
          <w:rStyle w:val="ui-provider"/>
          <w:lang w:val="de-DE"/>
        </w:rPr>
        <w:t xml:space="preserve"> der Verbandsmitglieder im TC </w:t>
      </w:r>
      <w:r w:rsidR="00250A1E" w:rsidRPr="00B140F2">
        <w:rPr>
          <w:rStyle w:val="ui-provider"/>
          <w:lang w:val="de-DE"/>
        </w:rPr>
        <w:t xml:space="preserve">und im Rat </w:t>
      </w:r>
      <w:r w:rsidRPr="00B140F2">
        <w:rPr>
          <w:rStyle w:val="ui-provider"/>
          <w:lang w:val="de-DE"/>
        </w:rPr>
        <w:t xml:space="preserve">heraus, in dem sie ersucht wurden, Informationen über ihre Verwendung bestehender Software und Ausrüstung in Dokument </w:t>
      </w:r>
      <w:r w:rsidR="00250A1E" w:rsidRPr="00B140F2">
        <w:rPr>
          <w:rStyle w:val="ui-provider"/>
          <w:lang w:val="de-DE"/>
        </w:rPr>
        <w:t xml:space="preserve">UPOV/INF/22/10 </w:t>
      </w:r>
      <w:r w:rsidR="001C4FD6" w:rsidRPr="00B140F2">
        <w:rPr>
          <w:rStyle w:val="ui-provider"/>
          <w:lang w:val="de-DE"/>
        </w:rPr>
        <w:t>„</w:t>
      </w:r>
      <w:r w:rsidRPr="00B140F2">
        <w:rPr>
          <w:lang w:val="de-DE"/>
        </w:rPr>
        <w:t xml:space="preserve">Von Verbandsmitgliedern </w:t>
      </w:r>
      <w:r w:rsidRPr="00B140F2">
        <w:rPr>
          <w:rStyle w:val="ui-provider"/>
          <w:lang w:val="de-DE"/>
        </w:rPr>
        <w:t>verwendete Software</w:t>
      </w:r>
      <w:r w:rsidR="001C4FD6" w:rsidRPr="00B140F2">
        <w:rPr>
          <w:lang w:val="de-DE"/>
        </w:rPr>
        <w:t>“</w:t>
      </w:r>
      <w:r w:rsidRPr="00B140F2">
        <w:rPr>
          <w:lang w:val="de-DE"/>
        </w:rPr>
        <w:t xml:space="preserve"> </w:t>
      </w:r>
      <w:r w:rsidRPr="00B140F2">
        <w:rPr>
          <w:rStyle w:val="ui-provider"/>
          <w:lang w:val="de-DE"/>
        </w:rPr>
        <w:t xml:space="preserve">zu </w:t>
      </w:r>
      <w:r w:rsidR="00474F6B" w:rsidRPr="00B140F2">
        <w:rPr>
          <w:rStyle w:val="ui-provider"/>
          <w:lang w:val="de-DE"/>
        </w:rPr>
        <w:t>erteilen bzw.</w:t>
      </w:r>
      <w:r w:rsidRPr="00B140F2">
        <w:rPr>
          <w:rStyle w:val="ui-provider"/>
          <w:lang w:val="de-DE"/>
        </w:rPr>
        <w:t xml:space="preserve"> zu aktualisieren</w:t>
      </w:r>
      <w:r w:rsidRPr="00B140F2">
        <w:rPr>
          <w:lang w:val="de-DE"/>
        </w:rPr>
        <w:t>.</w:t>
      </w:r>
      <w:r w:rsidR="00FE0BFC" w:rsidRPr="00B140F2">
        <w:rPr>
          <w:lang w:val="de-DE"/>
        </w:rPr>
        <w:t xml:space="preserve"> </w:t>
      </w:r>
      <w:r w:rsidRPr="00B140F2">
        <w:rPr>
          <w:lang w:val="de-DE"/>
        </w:rPr>
        <w:t xml:space="preserve">Antworten gingen </w:t>
      </w:r>
      <w:r w:rsidRPr="00B140F2">
        <w:rPr>
          <w:rStyle w:val="ui-provider"/>
          <w:lang w:val="de-DE"/>
        </w:rPr>
        <w:t xml:space="preserve">von Belarus, Kroatien, </w:t>
      </w:r>
      <w:r w:rsidR="00250A1E" w:rsidRPr="00B140F2">
        <w:rPr>
          <w:rStyle w:val="ui-provider"/>
          <w:lang w:val="de-DE"/>
        </w:rPr>
        <w:t xml:space="preserve">Paraguay, </w:t>
      </w:r>
      <w:r w:rsidR="00C53001" w:rsidRPr="00B140F2">
        <w:rPr>
          <w:rStyle w:val="ui-provider"/>
          <w:lang w:val="de-DE"/>
        </w:rPr>
        <w:t xml:space="preserve">Spanien, </w:t>
      </w:r>
      <w:r w:rsidR="00250A1E" w:rsidRPr="00B140F2">
        <w:rPr>
          <w:rStyle w:val="ui-provider"/>
          <w:lang w:val="de-DE"/>
        </w:rPr>
        <w:t xml:space="preserve">Schweden und </w:t>
      </w:r>
      <w:r w:rsidRPr="00B140F2">
        <w:rPr>
          <w:rStyle w:val="ui-provider"/>
          <w:lang w:val="de-DE"/>
        </w:rPr>
        <w:t xml:space="preserve">der Ukraine </w:t>
      </w:r>
      <w:r w:rsidRPr="00B140F2">
        <w:rPr>
          <w:lang w:val="de-DE"/>
        </w:rPr>
        <w:t>ein</w:t>
      </w:r>
      <w:r w:rsidR="009951CD" w:rsidRPr="00B140F2">
        <w:rPr>
          <w:rStyle w:val="ui-provider"/>
          <w:lang w:val="de-DE"/>
        </w:rPr>
        <w:t>.</w:t>
      </w:r>
      <w:r w:rsidR="00FE0BFC" w:rsidRPr="00B140F2">
        <w:rPr>
          <w:rStyle w:val="ui-provider"/>
          <w:lang w:val="de-DE"/>
        </w:rPr>
        <w:t xml:space="preserve"> </w:t>
      </w:r>
      <w:r w:rsidR="0073072C" w:rsidRPr="00B140F2">
        <w:rPr>
          <w:spacing w:val="2"/>
          <w:lang w:val="de-DE"/>
        </w:rPr>
        <w:t xml:space="preserve">Die </w:t>
      </w:r>
      <w:r w:rsidR="009951CD" w:rsidRPr="00B140F2">
        <w:rPr>
          <w:spacing w:val="2"/>
          <w:lang w:val="de-DE"/>
        </w:rPr>
        <w:t xml:space="preserve">von den Mitgliedern </w:t>
      </w:r>
      <w:r w:rsidR="00096370" w:rsidRPr="00B140F2">
        <w:rPr>
          <w:spacing w:val="2"/>
          <w:lang w:val="de-DE"/>
        </w:rPr>
        <w:t xml:space="preserve">erteilten bzw. </w:t>
      </w:r>
      <w:r w:rsidR="009951CD" w:rsidRPr="00B140F2">
        <w:rPr>
          <w:spacing w:val="2"/>
          <w:lang w:val="de-DE"/>
        </w:rPr>
        <w:t xml:space="preserve">aktualisierten Informationen </w:t>
      </w:r>
      <w:r w:rsidR="0073072C" w:rsidRPr="00B140F2">
        <w:rPr>
          <w:spacing w:val="2"/>
          <w:lang w:val="de-DE"/>
        </w:rPr>
        <w:t>sind</w:t>
      </w:r>
      <w:r w:rsidR="009951CD" w:rsidRPr="00B140F2">
        <w:rPr>
          <w:spacing w:val="2"/>
          <w:lang w:val="de-DE"/>
        </w:rPr>
        <w:t xml:space="preserve">, sofern vorhanden, in Dokument </w:t>
      </w:r>
      <w:r w:rsidR="00250A1E" w:rsidRPr="00B140F2">
        <w:rPr>
          <w:lang w:val="de-DE"/>
        </w:rPr>
        <w:t xml:space="preserve">UPOV/INF/22/11 </w:t>
      </w:r>
      <w:r w:rsidRPr="00B140F2">
        <w:rPr>
          <w:lang w:val="de-DE"/>
        </w:rPr>
        <w:t xml:space="preserve">Draft 1 </w:t>
      </w:r>
      <w:r w:rsidR="00096370" w:rsidRPr="00B140F2">
        <w:rPr>
          <w:spacing w:val="2"/>
          <w:lang w:val="de-DE"/>
        </w:rPr>
        <w:t>angegeben</w:t>
      </w:r>
      <w:r w:rsidR="00C53001" w:rsidRPr="00B140F2">
        <w:rPr>
          <w:lang w:val="de-DE"/>
        </w:rPr>
        <w:t>.</w:t>
      </w:r>
    </w:p>
    <w:p w14:paraId="75414185" w14:textId="77777777" w:rsidR="00D7688A" w:rsidRPr="00B140F2" w:rsidRDefault="00D7688A" w:rsidP="00BD4986">
      <w:pPr>
        <w:pStyle w:val="EndnoteText"/>
        <w:rPr>
          <w:lang w:val="de-DE"/>
        </w:rPr>
      </w:pPr>
    </w:p>
    <w:p w14:paraId="637B8992" w14:textId="0EFCFC80"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00C26505" w:rsidRPr="00B140F2">
        <w:rPr>
          <w:lang w:val="de-DE"/>
        </w:rPr>
        <w:t xml:space="preserve">Vorbehaltlich </w:t>
      </w:r>
      <w:r w:rsidR="008C0A3D" w:rsidRPr="00B140F2">
        <w:rPr>
          <w:lang w:val="de-DE"/>
        </w:rPr>
        <w:t>der Zustimmung durch den</w:t>
      </w:r>
      <w:r w:rsidR="00C26505" w:rsidRPr="00B140F2">
        <w:rPr>
          <w:lang w:val="de-DE"/>
        </w:rPr>
        <w:t xml:space="preserve"> TC auf seiner sechzigsten </w:t>
      </w:r>
      <w:r w:rsidR="00C32BF0" w:rsidRPr="00B140F2">
        <w:rPr>
          <w:lang w:val="de-DE"/>
        </w:rPr>
        <w:t>Tagung und den CAJ</w:t>
      </w:r>
      <w:r w:rsidR="00C26505" w:rsidRPr="00B140F2">
        <w:rPr>
          <w:lang w:val="de-DE"/>
        </w:rPr>
        <w:t xml:space="preserve"> auf seiner einundachtzigsten Tagung </w:t>
      </w:r>
      <w:r w:rsidRPr="00B140F2">
        <w:rPr>
          <w:lang w:val="de-DE"/>
        </w:rPr>
        <w:t xml:space="preserve">soll dem Rat auf seiner achtundfünfzigsten ordentlichen Tagung eine vereinbarte Überarbeitung des Dokuments </w:t>
      </w:r>
      <w:r w:rsidR="00C26505" w:rsidRPr="00B140F2">
        <w:rPr>
          <w:lang w:val="de-DE"/>
        </w:rPr>
        <w:t xml:space="preserve">UPOV/INF/22/10 </w:t>
      </w:r>
      <w:r w:rsidR="001C4FD6" w:rsidRPr="00B140F2">
        <w:rPr>
          <w:lang w:val="de-DE"/>
        </w:rPr>
        <w:t>„</w:t>
      </w:r>
      <w:r w:rsidRPr="00B140F2">
        <w:rPr>
          <w:lang w:val="de-DE"/>
        </w:rPr>
        <w:t>Von den Verbandsmitgliedern verwendete Software und Ausrüstung</w:t>
      </w:r>
      <w:r w:rsidR="001C4FD6" w:rsidRPr="00B140F2">
        <w:rPr>
          <w:lang w:val="de-DE"/>
        </w:rPr>
        <w:t>“</w:t>
      </w:r>
      <w:r w:rsidRPr="00B140F2">
        <w:rPr>
          <w:lang w:val="de-DE"/>
        </w:rPr>
        <w:t xml:space="preserve"> aufgrund der </w:t>
      </w:r>
      <w:r w:rsidRPr="00B140F2">
        <w:rPr>
          <w:spacing w:val="-2"/>
          <w:lang w:val="de-DE"/>
        </w:rPr>
        <w:t xml:space="preserve">in Dokument </w:t>
      </w:r>
      <w:r w:rsidR="00C26505" w:rsidRPr="00B140F2">
        <w:rPr>
          <w:lang w:val="de-DE"/>
        </w:rPr>
        <w:t xml:space="preserve">UPOV/INF/22/11 </w:t>
      </w:r>
      <w:r w:rsidRPr="00B140F2">
        <w:rPr>
          <w:lang w:val="de-DE"/>
        </w:rPr>
        <w:t>Draft 1 enthaltenen Überarbeitungsvorschläge zur Annahme vorgelegt werden.</w:t>
      </w:r>
    </w:p>
    <w:p w14:paraId="1559826E" w14:textId="77777777" w:rsidR="00D7688A" w:rsidRPr="00B140F2" w:rsidRDefault="00D7688A" w:rsidP="00BD4986">
      <w:pPr>
        <w:rPr>
          <w:spacing w:val="-4"/>
          <w:lang w:val="de-DE"/>
        </w:rPr>
      </w:pPr>
    </w:p>
    <w:p w14:paraId="25ED6804" w14:textId="470E851E" w:rsidR="00214329" w:rsidRPr="00B140F2" w:rsidRDefault="0060633E" w:rsidP="00BD4986">
      <w:pPr>
        <w:pStyle w:val="DecisionParagraphs"/>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Pr="00746E30">
        <w:rPr>
          <w:spacing w:val="-2"/>
          <w:lang w:val="de-DE"/>
        </w:rPr>
        <w:t xml:space="preserve">Der Rat wird ersucht, </w:t>
      </w:r>
      <w:r w:rsidR="00096370" w:rsidRPr="00746E30">
        <w:rPr>
          <w:spacing w:val="-2"/>
          <w:lang w:val="de-DE"/>
        </w:rPr>
        <w:t>eine Überarbeitung des Dokuments UPOV/INF/22/10 „Von Verbandsmitgliedern</w:t>
      </w:r>
      <w:r w:rsidR="00096370" w:rsidRPr="00B140F2">
        <w:rPr>
          <w:lang w:val="de-DE"/>
        </w:rPr>
        <w:t xml:space="preserve"> verwendete Software und Ausrüstung“ </w:t>
      </w:r>
      <w:r w:rsidR="00E911F3" w:rsidRPr="00B140F2">
        <w:rPr>
          <w:lang w:val="de-DE"/>
        </w:rPr>
        <w:t>aufgrund des Dokuments</w:t>
      </w:r>
      <w:r w:rsidR="00096370" w:rsidRPr="00B140F2">
        <w:rPr>
          <w:lang w:val="de-DE"/>
        </w:rPr>
        <w:t xml:space="preserve"> UPOV/INF/22/11 Draft 1, </w:t>
      </w:r>
      <w:r w:rsidRPr="00B140F2">
        <w:rPr>
          <w:lang w:val="de-DE"/>
        </w:rPr>
        <w:t xml:space="preserve">vorbehaltlich der </w:t>
      </w:r>
      <w:r w:rsidR="00345B74" w:rsidRPr="00B140F2">
        <w:rPr>
          <w:lang w:val="de-DE"/>
        </w:rPr>
        <w:t>Zustimmung durch den TC und den CAJ</w:t>
      </w:r>
      <w:r w:rsidRPr="00B140F2">
        <w:rPr>
          <w:lang w:val="de-DE"/>
        </w:rPr>
        <w:t xml:space="preserve"> </w:t>
      </w:r>
      <w:r w:rsidR="00442176">
        <w:rPr>
          <w:lang w:val="de-DE"/>
        </w:rPr>
        <w:t xml:space="preserve">auf ihren Tagungen </w:t>
      </w:r>
      <w:r w:rsidRPr="00B140F2">
        <w:rPr>
          <w:lang w:val="de-DE"/>
        </w:rPr>
        <w:t xml:space="preserve">im Jahre </w:t>
      </w:r>
      <w:r w:rsidR="00C26505" w:rsidRPr="00B140F2">
        <w:rPr>
          <w:lang w:val="de-DE"/>
        </w:rPr>
        <w:t>2024</w:t>
      </w:r>
      <w:r w:rsidR="00096370" w:rsidRPr="00B140F2">
        <w:rPr>
          <w:lang w:val="de-DE"/>
        </w:rPr>
        <w:t>,</w:t>
      </w:r>
      <w:r w:rsidR="00C26505" w:rsidRPr="00B140F2">
        <w:rPr>
          <w:lang w:val="de-DE"/>
        </w:rPr>
        <w:t xml:space="preserve"> </w:t>
      </w:r>
      <w:r w:rsidRPr="00B140F2">
        <w:rPr>
          <w:lang w:val="de-DE"/>
        </w:rPr>
        <w:t>anzunehmen.</w:t>
      </w:r>
    </w:p>
    <w:p w14:paraId="1FBC21D2" w14:textId="77777777" w:rsidR="00D6067D" w:rsidRPr="00B140F2" w:rsidRDefault="00D6067D" w:rsidP="00BD4986">
      <w:pPr>
        <w:rPr>
          <w:lang w:val="de-DE"/>
        </w:rPr>
      </w:pPr>
    </w:p>
    <w:p w14:paraId="0F6A29E4" w14:textId="5B8F3819" w:rsidR="00214329" w:rsidRPr="00B140F2" w:rsidRDefault="0060633E" w:rsidP="00BD4986">
      <w:pPr>
        <w:pStyle w:val="Heading3"/>
        <w:spacing w:line="240" w:lineRule="auto"/>
        <w:rPr>
          <w:lang w:val="de-DE"/>
        </w:rPr>
      </w:pPr>
      <w:bookmarkStart w:id="13" w:name="_Toc177493436"/>
      <w:r w:rsidRPr="00B140F2">
        <w:rPr>
          <w:lang w:val="de-DE"/>
        </w:rPr>
        <w:t>UPOV/EXN/DEN</w:t>
      </w:r>
      <w:r w:rsidR="00D6067D" w:rsidRPr="00B140F2">
        <w:rPr>
          <w:lang w:val="de-DE"/>
        </w:rPr>
        <w:t xml:space="preserve">: </w:t>
      </w:r>
      <w:r w:rsidRPr="00B140F2">
        <w:rPr>
          <w:lang w:val="de-DE"/>
        </w:rPr>
        <w:t>Erläuterungen zu Sortenbezeichnungen nach dem UPOV-Übereinkommen (</w:t>
      </w:r>
      <w:r w:rsidR="000B089C" w:rsidRPr="00B140F2">
        <w:rPr>
          <w:lang w:val="de-DE"/>
        </w:rPr>
        <w:t>Überarbeitung</w:t>
      </w:r>
      <w:r w:rsidRPr="00B140F2">
        <w:rPr>
          <w:lang w:val="de-DE"/>
        </w:rPr>
        <w:t>)</w:t>
      </w:r>
      <w:bookmarkEnd w:id="13"/>
    </w:p>
    <w:p w14:paraId="76D5D6EF" w14:textId="77777777" w:rsidR="00D6067D" w:rsidRPr="00B140F2" w:rsidRDefault="00D6067D" w:rsidP="00BD4986">
      <w:pPr>
        <w:keepNext/>
        <w:rPr>
          <w:lang w:val="de-DE"/>
        </w:rPr>
      </w:pPr>
    </w:p>
    <w:p w14:paraId="04A37721" w14:textId="77777777" w:rsidR="00214329" w:rsidRPr="00B140F2" w:rsidRDefault="0060633E" w:rsidP="00BD4986">
      <w:pPr>
        <w:pStyle w:val="Heading4"/>
        <w:rPr>
          <w:lang w:val="de-DE"/>
        </w:rPr>
      </w:pPr>
      <w:bookmarkStart w:id="14" w:name="_Toc177493437"/>
      <w:r w:rsidRPr="00B140F2">
        <w:rPr>
          <w:lang w:val="de-DE"/>
        </w:rPr>
        <w:t xml:space="preserve">Neue Sortenbezeichnungsklassen für </w:t>
      </w:r>
      <w:r w:rsidRPr="00B140F2">
        <w:rPr>
          <w:i/>
          <w:iCs/>
          <w:lang w:val="de-DE"/>
        </w:rPr>
        <w:t xml:space="preserve">Prunus </w:t>
      </w:r>
      <w:r w:rsidRPr="00B140F2">
        <w:rPr>
          <w:lang w:val="de-DE"/>
        </w:rPr>
        <w:t>und Situationen, in denen eine Bezeichnung mit anderen Klassen innerhalb einer Gattung verglichen werden sollte</w:t>
      </w:r>
      <w:bookmarkEnd w:id="14"/>
    </w:p>
    <w:p w14:paraId="0E1DDA79" w14:textId="77777777" w:rsidR="007C542B" w:rsidRPr="00B140F2" w:rsidRDefault="007C542B" w:rsidP="00BD4986">
      <w:pPr>
        <w:keepNext/>
        <w:rPr>
          <w:lang w:val="de-DE"/>
        </w:rPr>
      </w:pPr>
    </w:p>
    <w:p w14:paraId="2A531140" w14:textId="7E981FF2" w:rsidR="00214329" w:rsidRPr="00B140F2" w:rsidRDefault="0060633E" w:rsidP="00BD4986">
      <w:pPr>
        <w:rPr>
          <w:rFonts w:cs="Maiandra GD"/>
          <w:iCs/>
          <w:color w:val="000000"/>
          <w:szCs w:val="18"/>
          <w:lang w:val="de-DE" w:eastAsia="nl-NL"/>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00F52D7C" w:rsidRPr="00B140F2">
        <w:rPr>
          <w:lang w:val="de-DE"/>
        </w:rPr>
        <w:t xml:space="preserve">Die </w:t>
      </w:r>
      <w:r w:rsidRPr="00B140F2">
        <w:rPr>
          <w:lang w:val="de-DE"/>
        </w:rPr>
        <w:t xml:space="preserve">TWP stimmten auf ihren Tagungen im Jahr 2024 </w:t>
      </w:r>
      <w:r w:rsidR="00C75952" w:rsidRPr="00B140F2">
        <w:rPr>
          <w:lang w:val="de-DE"/>
        </w:rPr>
        <w:t xml:space="preserve">dem Vorschlag zu, Sortenbezeichnungsklassen für </w:t>
      </w:r>
      <w:r w:rsidR="00C75952" w:rsidRPr="00B140F2">
        <w:rPr>
          <w:i/>
          <w:lang w:val="de-DE"/>
        </w:rPr>
        <w:t xml:space="preserve">Prunus </w:t>
      </w:r>
      <w:r w:rsidR="00C75952" w:rsidRPr="00B140F2">
        <w:rPr>
          <w:lang w:val="de-DE"/>
        </w:rPr>
        <w:t>zu schaffen</w:t>
      </w:r>
      <w:r w:rsidR="00C75952" w:rsidRPr="00B140F2">
        <w:rPr>
          <w:iCs/>
          <w:lang w:val="de-DE"/>
        </w:rPr>
        <w:t xml:space="preserve">, wie </w:t>
      </w:r>
      <w:r w:rsidR="00F72345" w:rsidRPr="00B140F2">
        <w:rPr>
          <w:lang w:val="de-DE"/>
        </w:rPr>
        <w:t xml:space="preserve">in Anlage I dieses Dokuments </w:t>
      </w:r>
      <w:r w:rsidR="00C75952" w:rsidRPr="00B140F2">
        <w:rPr>
          <w:iCs/>
          <w:lang w:val="de-DE"/>
        </w:rPr>
        <w:t>dargelegt</w:t>
      </w:r>
      <w:r w:rsidR="00F72345" w:rsidRPr="00B140F2">
        <w:rPr>
          <w:lang w:val="de-DE"/>
        </w:rPr>
        <w:t>.</w:t>
      </w:r>
      <w:r w:rsidR="00FE0BFC" w:rsidRPr="00B140F2">
        <w:rPr>
          <w:lang w:val="de-DE"/>
        </w:rPr>
        <w:t xml:space="preserve"> </w:t>
      </w:r>
      <w:r w:rsidR="00C75952" w:rsidRPr="00B140F2">
        <w:rPr>
          <w:iCs/>
          <w:lang w:val="de-DE"/>
        </w:rPr>
        <w:t xml:space="preserve">Der Vorschlag enthält einen Entwurf für eine Anleitung zu Situationen, in denen eine </w:t>
      </w:r>
      <w:r w:rsidR="00096370" w:rsidRPr="00B140F2">
        <w:rPr>
          <w:iCs/>
          <w:lang w:val="de-DE"/>
        </w:rPr>
        <w:t xml:space="preserve">Bezeichnung </w:t>
      </w:r>
      <w:r w:rsidR="00C75952" w:rsidRPr="00B140F2">
        <w:rPr>
          <w:iCs/>
          <w:lang w:val="de-DE"/>
        </w:rPr>
        <w:t>mit anderen Klassen innerhalb einer Gattung verglichen werden sollte</w:t>
      </w:r>
      <w:r w:rsidR="00394CD5" w:rsidRPr="00B140F2">
        <w:rPr>
          <w:iCs/>
          <w:lang w:val="de-DE"/>
        </w:rPr>
        <w:t xml:space="preserve">. </w:t>
      </w:r>
    </w:p>
    <w:p w14:paraId="4FC98E0E" w14:textId="77777777" w:rsidR="009D2376" w:rsidRPr="00B140F2" w:rsidRDefault="009D2376" w:rsidP="00BD4986">
      <w:pPr>
        <w:pStyle w:val="EndnoteText"/>
        <w:rPr>
          <w:lang w:val="de-DE"/>
        </w:rPr>
      </w:pPr>
    </w:p>
    <w:p w14:paraId="025B85B5" w14:textId="03D45F74"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00381D6D" w:rsidRPr="00B140F2">
        <w:rPr>
          <w:lang w:val="de-DE"/>
        </w:rPr>
        <w:t xml:space="preserve">Vorbehaltlich </w:t>
      </w:r>
      <w:r w:rsidR="008C0A3D" w:rsidRPr="00B140F2">
        <w:rPr>
          <w:lang w:val="de-DE"/>
        </w:rPr>
        <w:t>der Zustimmung durch den</w:t>
      </w:r>
      <w:r w:rsidR="00381D6D" w:rsidRPr="00B140F2">
        <w:rPr>
          <w:lang w:val="de-DE"/>
        </w:rPr>
        <w:t xml:space="preserve"> TC auf seiner sechzigsten </w:t>
      </w:r>
      <w:r w:rsidR="00C32BF0" w:rsidRPr="00B140F2">
        <w:rPr>
          <w:lang w:val="de-DE"/>
        </w:rPr>
        <w:t>Tagung und den CAJ</w:t>
      </w:r>
      <w:r w:rsidR="00381D6D" w:rsidRPr="00B140F2">
        <w:rPr>
          <w:lang w:val="de-DE"/>
        </w:rPr>
        <w:t xml:space="preserve"> auf seiner einundachtzigsten </w:t>
      </w:r>
      <w:r w:rsidR="00464346">
        <w:rPr>
          <w:lang w:val="de-DE"/>
        </w:rPr>
        <w:t xml:space="preserve">Tagung soll dem Rat </w:t>
      </w:r>
      <w:r w:rsidRPr="00B140F2">
        <w:rPr>
          <w:lang w:val="de-DE"/>
        </w:rPr>
        <w:t>auf seiner achtundfünfzigsten ordentlichen Tagung eine vereinbarte Fassung des Dokuments UPOV/EXN/DEN</w:t>
      </w:r>
      <w:r w:rsidR="004D5931">
        <w:rPr>
          <w:lang w:val="de-DE"/>
        </w:rPr>
        <w:t>/3</w:t>
      </w:r>
      <w:r w:rsidRPr="00B140F2">
        <w:rPr>
          <w:lang w:val="de-DE"/>
        </w:rPr>
        <w:t xml:space="preserve"> </w:t>
      </w:r>
      <w:r w:rsidR="001C4FD6" w:rsidRPr="00B140F2">
        <w:rPr>
          <w:lang w:val="de-DE"/>
        </w:rPr>
        <w:t>„</w:t>
      </w:r>
      <w:r w:rsidRPr="00B140F2">
        <w:rPr>
          <w:lang w:val="de-DE"/>
        </w:rPr>
        <w:t>Erläuterungen zu Sortenbezeichnungen nach dem UPOV-Übereinkommen</w:t>
      </w:r>
      <w:r w:rsidR="001C4FD6" w:rsidRPr="00B140F2">
        <w:rPr>
          <w:lang w:val="de-DE"/>
        </w:rPr>
        <w:t>“</w:t>
      </w:r>
      <w:r w:rsidRPr="00B140F2">
        <w:rPr>
          <w:lang w:val="de-DE"/>
        </w:rPr>
        <w:t xml:space="preserve"> </w:t>
      </w:r>
      <w:r w:rsidR="004D5931">
        <w:rPr>
          <w:lang w:val="de-DE"/>
        </w:rPr>
        <w:t>(</w:t>
      </w:r>
      <w:r w:rsidR="004D5931" w:rsidRPr="00B140F2">
        <w:rPr>
          <w:lang w:val="de-DE"/>
        </w:rPr>
        <w:t>Dokument UPOV/EXN/DEN</w:t>
      </w:r>
      <w:r w:rsidR="004D5931">
        <w:rPr>
          <w:lang w:val="de-DE"/>
        </w:rPr>
        <w:t xml:space="preserve">/4) </w:t>
      </w:r>
      <w:r w:rsidR="00464346">
        <w:rPr>
          <w:lang w:val="de-DE"/>
        </w:rPr>
        <w:t xml:space="preserve">aufgrund der </w:t>
      </w:r>
      <w:r w:rsidRPr="00B140F2">
        <w:rPr>
          <w:spacing w:val="-2"/>
          <w:lang w:val="de-DE"/>
        </w:rPr>
        <w:t>in</w:t>
      </w:r>
      <w:bookmarkStart w:id="15" w:name="_Hlk171335853"/>
      <w:r w:rsidR="00C23CC9" w:rsidRPr="00B140F2">
        <w:rPr>
          <w:spacing w:val="-2"/>
          <w:lang w:val="de-DE"/>
        </w:rPr>
        <w:t xml:space="preserve"> Anlage I, Abschnitt </w:t>
      </w:r>
      <w:r w:rsidR="001C4FD6" w:rsidRPr="00B140F2">
        <w:rPr>
          <w:lang w:val="de-DE"/>
        </w:rPr>
        <w:t>„</w:t>
      </w:r>
      <w:r w:rsidR="00C23CC9" w:rsidRPr="00B140F2">
        <w:rPr>
          <w:lang w:val="de-DE"/>
        </w:rPr>
        <w:t xml:space="preserve">Vorschlag: Neue Sortenbezeichnungsklassen für </w:t>
      </w:r>
      <w:r w:rsidR="00C23CC9" w:rsidRPr="00E83514">
        <w:rPr>
          <w:i/>
          <w:iCs/>
          <w:lang w:val="de-DE"/>
        </w:rPr>
        <w:t>Prunus</w:t>
      </w:r>
      <w:r w:rsidR="001C4FD6" w:rsidRPr="00B140F2">
        <w:rPr>
          <w:lang w:val="de-DE"/>
        </w:rPr>
        <w:t>“</w:t>
      </w:r>
      <w:bookmarkEnd w:id="15"/>
      <w:r w:rsidRPr="00B140F2">
        <w:rPr>
          <w:lang w:val="de-DE"/>
        </w:rPr>
        <w:t xml:space="preserve"> </w:t>
      </w:r>
      <w:r w:rsidR="00096370" w:rsidRPr="00B140F2">
        <w:rPr>
          <w:lang w:val="de-DE"/>
        </w:rPr>
        <w:t>enthaltenen Überarbeitungsvorschläge</w:t>
      </w:r>
      <w:r w:rsidR="004B2848" w:rsidRPr="00B140F2">
        <w:rPr>
          <w:lang w:val="de-DE"/>
        </w:rPr>
        <w:t xml:space="preserve"> zur Annahme vorgelegt werden</w:t>
      </w:r>
      <w:r w:rsidRPr="00B140F2">
        <w:rPr>
          <w:lang w:val="de-DE"/>
        </w:rPr>
        <w:t>.</w:t>
      </w:r>
    </w:p>
    <w:p w14:paraId="0C252356" w14:textId="77777777" w:rsidR="0062455E" w:rsidRPr="00B140F2" w:rsidRDefault="0062455E" w:rsidP="00BD4986">
      <w:pPr>
        <w:pStyle w:val="EndnoteText"/>
        <w:rPr>
          <w:lang w:val="de-DE"/>
        </w:rPr>
      </w:pPr>
    </w:p>
    <w:p w14:paraId="07C93EAA" w14:textId="2672CDD0" w:rsidR="00214329" w:rsidRPr="00B140F2" w:rsidRDefault="0060633E" w:rsidP="00BD4986">
      <w:pPr>
        <w:pStyle w:val="DecisionParagraphs"/>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Der Rat wird ersucht, eine Überarbeitung des Dokuments UPOV/EXN/DEN/</w:t>
      </w:r>
      <w:r w:rsidR="004D5931">
        <w:rPr>
          <w:lang w:val="de-DE"/>
        </w:rPr>
        <w:t>3</w:t>
      </w:r>
      <w:r w:rsidRPr="00B140F2">
        <w:rPr>
          <w:lang w:val="de-DE"/>
        </w:rPr>
        <w:t xml:space="preserve"> </w:t>
      </w:r>
      <w:r w:rsidR="001C4FD6" w:rsidRPr="00B140F2">
        <w:rPr>
          <w:lang w:val="de-DE"/>
        </w:rPr>
        <w:t>„</w:t>
      </w:r>
      <w:r w:rsidRPr="00B140F2">
        <w:rPr>
          <w:lang w:val="de-DE"/>
        </w:rPr>
        <w:t>Erläuterungen zu Sortenbezeichnungen nach dem UPOV-Übereinkommen</w:t>
      </w:r>
      <w:r w:rsidR="001C4FD6" w:rsidRPr="00B140F2">
        <w:rPr>
          <w:lang w:val="de-DE"/>
        </w:rPr>
        <w:t>“</w:t>
      </w:r>
      <w:r w:rsidRPr="00B140F2">
        <w:rPr>
          <w:lang w:val="de-DE"/>
        </w:rPr>
        <w:t xml:space="preserve"> </w:t>
      </w:r>
      <w:r w:rsidR="004D5931">
        <w:rPr>
          <w:lang w:val="de-DE"/>
        </w:rPr>
        <w:t>(</w:t>
      </w:r>
      <w:r w:rsidR="004D5931" w:rsidRPr="004D5931">
        <w:rPr>
          <w:lang w:val="de-DE"/>
        </w:rPr>
        <w:t>Dokument UPOV/EXN/DEN/4</w:t>
      </w:r>
      <w:r w:rsidR="004D5931">
        <w:rPr>
          <w:lang w:val="de-DE"/>
        </w:rPr>
        <w:t xml:space="preserve">) </w:t>
      </w:r>
      <w:r w:rsidR="00464346">
        <w:rPr>
          <w:lang w:val="de-DE"/>
        </w:rPr>
        <w:t xml:space="preserve">aufgrund der </w:t>
      </w:r>
      <w:r w:rsidRPr="00B140F2">
        <w:rPr>
          <w:lang w:val="de-DE"/>
        </w:rPr>
        <w:t xml:space="preserve">in </w:t>
      </w:r>
      <w:r w:rsidR="00C23CC9" w:rsidRPr="00B140F2">
        <w:rPr>
          <w:spacing w:val="-2"/>
          <w:lang w:val="de-DE"/>
        </w:rPr>
        <w:t>Anlage I, Abschnitt</w:t>
      </w:r>
      <w:r w:rsidR="00A617EF" w:rsidRPr="00B140F2">
        <w:rPr>
          <w:spacing w:val="-2"/>
          <w:lang w:val="de-DE"/>
        </w:rPr>
        <w:t xml:space="preserve"> </w:t>
      </w:r>
      <w:r w:rsidR="001C4FD6" w:rsidRPr="00B140F2">
        <w:rPr>
          <w:spacing w:val="-2"/>
          <w:lang w:val="de-DE"/>
        </w:rPr>
        <w:t>„</w:t>
      </w:r>
      <w:r w:rsidR="003D3B2F" w:rsidRPr="00B140F2">
        <w:rPr>
          <w:lang w:val="de-DE"/>
        </w:rPr>
        <w:t>Vorschlag</w:t>
      </w:r>
      <w:r w:rsidR="0053641D" w:rsidRPr="00B140F2">
        <w:rPr>
          <w:lang w:val="de-DE"/>
        </w:rPr>
        <w:t>:</w:t>
      </w:r>
      <w:r w:rsidRPr="00B140F2">
        <w:rPr>
          <w:lang w:val="de-DE"/>
        </w:rPr>
        <w:t xml:space="preserve"> </w:t>
      </w:r>
      <w:r w:rsidR="003D3B2F" w:rsidRPr="00B140F2">
        <w:rPr>
          <w:lang w:val="de-DE"/>
        </w:rPr>
        <w:t xml:space="preserve">Neue </w:t>
      </w:r>
      <w:r w:rsidR="00C23CC9" w:rsidRPr="00B140F2">
        <w:rPr>
          <w:spacing w:val="-2"/>
          <w:lang w:val="de-DE"/>
        </w:rPr>
        <w:t xml:space="preserve">Sortenbezeichnungsklassen für </w:t>
      </w:r>
      <w:r w:rsidR="00C23CC9" w:rsidRPr="00B140F2">
        <w:rPr>
          <w:i w:val="0"/>
          <w:iCs/>
          <w:spacing w:val="-2"/>
          <w:lang w:val="de-DE"/>
        </w:rPr>
        <w:t>Prunus</w:t>
      </w:r>
      <w:r w:rsidR="001C4FD6" w:rsidRPr="00B140F2">
        <w:rPr>
          <w:spacing w:val="-2"/>
          <w:lang w:val="de-DE"/>
        </w:rPr>
        <w:t>“</w:t>
      </w:r>
      <w:r w:rsidR="00A617EF" w:rsidRPr="00B140F2">
        <w:rPr>
          <w:lang w:val="de-DE"/>
        </w:rPr>
        <w:t xml:space="preserve"> enthaltenen Überarbeitungsvorschläge</w:t>
      </w:r>
      <w:r w:rsidRPr="00B140F2">
        <w:rPr>
          <w:lang w:val="de-DE"/>
        </w:rPr>
        <w:t xml:space="preserve">, vorbehaltlich der </w:t>
      </w:r>
      <w:r w:rsidR="00345B74" w:rsidRPr="00B140F2">
        <w:rPr>
          <w:lang w:val="de-DE"/>
        </w:rPr>
        <w:t>Zustimmung durch den TC und den CAJ</w:t>
      </w:r>
      <w:r w:rsidRPr="00B140F2">
        <w:rPr>
          <w:lang w:val="de-DE"/>
        </w:rPr>
        <w:t xml:space="preserve"> </w:t>
      </w:r>
      <w:r w:rsidR="00442176">
        <w:rPr>
          <w:lang w:val="de-DE"/>
        </w:rPr>
        <w:t xml:space="preserve">auf ihren Tagungen </w:t>
      </w:r>
      <w:r w:rsidRPr="00B140F2">
        <w:rPr>
          <w:lang w:val="de-DE"/>
        </w:rPr>
        <w:t xml:space="preserve">im Jahr </w:t>
      </w:r>
      <w:r w:rsidR="000D58EE" w:rsidRPr="00B140F2">
        <w:rPr>
          <w:lang w:val="de-DE"/>
        </w:rPr>
        <w:t>2024</w:t>
      </w:r>
      <w:r w:rsidR="0053641D" w:rsidRPr="00B140F2">
        <w:rPr>
          <w:lang w:val="de-DE"/>
        </w:rPr>
        <w:t>, anzunehmen</w:t>
      </w:r>
      <w:r w:rsidRPr="00B140F2">
        <w:rPr>
          <w:lang w:val="de-DE"/>
        </w:rPr>
        <w:t>.</w:t>
      </w:r>
    </w:p>
    <w:p w14:paraId="4E75AE81" w14:textId="77777777" w:rsidR="00D6067D" w:rsidRPr="00B140F2" w:rsidRDefault="00D6067D" w:rsidP="00BD4986">
      <w:pPr>
        <w:rPr>
          <w:lang w:val="de-DE"/>
        </w:rPr>
      </w:pPr>
    </w:p>
    <w:p w14:paraId="13B462A3" w14:textId="0BCA933E" w:rsidR="00214329" w:rsidRPr="00B140F2" w:rsidRDefault="0060633E" w:rsidP="008765C2">
      <w:pPr>
        <w:pStyle w:val="Heading3"/>
        <w:spacing w:line="240" w:lineRule="auto"/>
        <w:rPr>
          <w:lang w:val="de-DE"/>
        </w:rPr>
      </w:pPr>
      <w:bookmarkStart w:id="16" w:name="_Toc177493438"/>
      <w:r w:rsidRPr="00B140F2">
        <w:rPr>
          <w:lang w:val="de-DE"/>
        </w:rPr>
        <w:lastRenderedPageBreak/>
        <w:t>TGP/7</w:t>
      </w:r>
      <w:r w:rsidR="00D6067D" w:rsidRPr="00B140F2">
        <w:rPr>
          <w:lang w:val="de-DE"/>
        </w:rPr>
        <w:t xml:space="preserve">: </w:t>
      </w:r>
      <w:r w:rsidRPr="00B140F2">
        <w:rPr>
          <w:lang w:val="de-DE"/>
        </w:rPr>
        <w:t>Erstellung von Prüfungsrichtlinien (</w:t>
      </w:r>
      <w:r w:rsidR="000B089C" w:rsidRPr="00B140F2">
        <w:rPr>
          <w:lang w:val="de-DE"/>
        </w:rPr>
        <w:t>Überarbeitung</w:t>
      </w:r>
      <w:r w:rsidRPr="00B140F2">
        <w:rPr>
          <w:lang w:val="de-DE"/>
        </w:rPr>
        <w:t>)</w:t>
      </w:r>
      <w:bookmarkEnd w:id="16"/>
    </w:p>
    <w:p w14:paraId="0A38B6A6" w14:textId="77777777" w:rsidR="00D6067D" w:rsidRPr="00B140F2" w:rsidRDefault="00D6067D" w:rsidP="008765C2">
      <w:pPr>
        <w:keepNext/>
        <w:rPr>
          <w:lang w:val="de-DE"/>
        </w:rPr>
      </w:pPr>
    </w:p>
    <w:p w14:paraId="3CC3B0F5" w14:textId="37F07E23" w:rsidR="00214329" w:rsidRPr="00B140F2" w:rsidRDefault="0060633E" w:rsidP="008765C2">
      <w:pPr>
        <w:pStyle w:val="Heading4"/>
        <w:rPr>
          <w:lang w:val="de-DE"/>
        </w:rPr>
      </w:pPr>
      <w:bookmarkStart w:id="17" w:name="_Toc177493439"/>
      <w:r w:rsidRPr="00B140F2">
        <w:rPr>
          <w:lang w:val="de-DE"/>
        </w:rPr>
        <w:t xml:space="preserve">Zusätzlicher Standardwortlaut (ASW) 3 </w:t>
      </w:r>
      <w:r w:rsidR="001C4FD6" w:rsidRPr="00B140F2">
        <w:rPr>
          <w:lang w:val="de-DE"/>
        </w:rPr>
        <w:t>„</w:t>
      </w:r>
      <w:r w:rsidRPr="00B140F2">
        <w:rPr>
          <w:lang w:val="de-DE"/>
        </w:rPr>
        <w:t>Erläuterung der Wachstumsperiode</w:t>
      </w:r>
      <w:r w:rsidR="001C4FD6" w:rsidRPr="00B140F2">
        <w:rPr>
          <w:lang w:val="de-DE"/>
        </w:rPr>
        <w:t>“</w:t>
      </w:r>
      <w:bookmarkEnd w:id="17"/>
    </w:p>
    <w:p w14:paraId="3A6878C0" w14:textId="77777777" w:rsidR="00132151" w:rsidRPr="00B140F2" w:rsidRDefault="00132151" w:rsidP="008765C2">
      <w:pPr>
        <w:pStyle w:val="EndnoteText"/>
        <w:keepNext/>
        <w:rPr>
          <w:lang w:val="de-DE"/>
        </w:rPr>
      </w:pPr>
    </w:p>
    <w:p w14:paraId="54ED3E1B" w14:textId="0CBB7933" w:rsidR="00214329" w:rsidRPr="00B140F2" w:rsidRDefault="0060633E" w:rsidP="00BD4986">
      <w:pPr>
        <w:rPr>
          <w:lang w:val="de-DE"/>
        </w:rPr>
      </w:pPr>
      <w:r w:rsidRPr="00E83514">
        <w:rPr>
          <w:rFonts w:eastAsiaTheme="minorEastAsia"/>
          <w:lang w:val="de-DE"/>
        </w:rPr>
        <w:fldChar w:fldCharType="begin"/>
      </w:r>
      <w:r w:rsidRPr="00B140F2">
        <w:rPr>
          <w:rFonts w:eastAsiaTheme="minorEastAsia"/>
          <w:lang w:val="de-DE"/>
        </w:rPr>
        <w:instrText xml:space="preserve"> AUTONUM  </w:instrText>
      </w:r>
      <w:r w:rsidRPr="00E83514">
        <w:rPr>
          <w:rFonts w:eastAsiaTheme="minorEastAsia"/>
          <w:lang w:val="de-DE"/>
        </w:rPr>
        <w:fldChar w:fldCharType="end"/>
      </w:r>
      <w:r w:rsidRPr="00B140F2">
        <w:rPr>
          <w:rFonts w:eastAsiaTheme="minorEastAsia"/>
          <w:lang w:val="de-DE"/>
        </w:rPr>
        <w:tab/>
        <w:t xml:space="preserve">Die TWV, die </w:t>
      </w:r>
      <w:r w:rsidRPr="00B140F2">
        <w:rPr>
          <w:lang w:val="de-DE"/>
        </w:rPr>
        <w:t xml:space="preserve">TWO, die </w:t>
      </w:r>
      <w:r w:rsidRPr="00B140F2">
        <w:rPr>
          <w:rFonts w:eastAsiaTheme="minorEastAsia"/>
          <w:lang w:val="de-DE"/>
        </w:rPr>
        <w:t xml:space="preserve">TWA und die </w:t>
      </w:r>
      <w:r w:rsidRPr="00B140F2">
        <w:rPr>
          <w:lang w:val="de-DE"/>
        </w:rPr>
        <w:t xml:space="preserve">TWF </w:t>
      </w:r>
      <w:r w:rsidRPr="00B140F2">
        <w:rPr>
          <w:rFonts w:eastAsiaTheme="minorEastAsia"/>
          <w:lang w:val="de-DE"/>
        </w:rPr>
        <w:t xml:space="preserve">stimmten auf ihren Tagungen im Jahr 2024 dem Vorschlag </w:t>
      </w:r>
      <w:r w:rsidRPr="00B140F2">
        <w:rPr>
          <w:lang w:val="de-DE"/>
        </w:rPr>
        <w:t xml:space="preserve">zu, den Standardwortlaut </w:t>
      </w:r>
      <w:r w:rsidR="00442176">
        <w:rPr>
          <w:lang w:val="de-DE"/>
        </w:rPr>
        <w:t>für die</w:t>
      </w:r>
      <w:r w:rsidRPr="00B140F2">
        <w:rPr>
          <w:lang w:val="de-DE"/>
        </w:rPr>
        <w:t xml:space="preserve"> Wachstumsperiode für </w:t>
      </w:r>
      <w:r w:rsidR="001C4FD6" w:rsidRPr="00B140F2">
        <w:rPr>
          <w:lang w:val="de-DE"/>
        </w:rPr>
        <w:t>„</w:t>
      </w:r>
      <w:r w:rsidR="00B37DF9" w:rsidRPr="00B140F2">
        <w:rPr>
          <w:lang w:val="de-DE"/>
        </w:rPr>
        <w:t xml:space="preserve">Obstarten mit deutlich </w:t>
      </w:r>
      <w:r w:rsidR="006E3136" w:rsidRPr="00B140F2">
        <w:rPr>
          <w:lang w:val="de-DE"/>
        </w:rPr>
        <w:t>abgegrenzter Ruheperiode</w:t>
      </w:r>
      <w:r w:rsidR="001C4FD6" w:rsidRPr="00B140F2">
        <w:rPr>
          <w:lang w:val="de-DE"/>
        </w:rPr>
        <w:t>“</w:t>
      </w:r>
      <w:r w:rsidRPr="00B140F2">
        <w:rPr>
          <w:lang w:val="de-DE"/>
        </w:rPr>
        <w:t xml:space="preserve"> in Dokument TGP/7, ASW 3</w:t>
      </w:r>
      <w:r w:rsidR="00CE6C38">
        <w:rPr>
          <w:lang w:val="de-DE"/>
        </w:rPr>
        <w:t>a)</w:t>
      </w:r>
      <w:r w:rsidRPr="00B140F2">
        <w:rPr>
          <w:lang w:val="de-DE"/>
        </w:rPr>
        <w:t xml:space="preserve"> wie folgt zu ändern </w:t>
      </w:r>
      <w:r w:rsidR="00002D35" w:rsidRPr="00B140F2">
        <w:rPr>
          <w:lang w:val="de-DE"/>
        </w:rPr>
        <w:t>(</w:t>
      </w:r>
      <w:r w:rsidR="00D60113">
        <w:rPr>
          <w:lang w:val="de-DE"/>
        </w:rPr>
        <w:t>Zusätze</w:t>
      </w:r>
      <w:r w:rsidR="00D60113" w:rsidRPr="00B140F2">
        <w:rPr>
          <w:lang w:val="de-DE"/>
        </w:rPr>
        <w:t xml:space="preserve"> sind durch Hervorhebung und </w:t>
      </w:r>
      <w:r w:rsidR="00D60113" w:rsidRPr="00B140F2">
        <w:rPr>
          <w:highlight w:val="lightGray"/>
          <w:u w:val="single"/>
          <w:lang w:val="de-DE"/>
        </w:rPr>
        <w:t>Unterstreichung</w:t>
      </w:r>
      <w:r w:rsidR="00D60113">
        <w:rPr>
          <w:lang w:val="de-DE"/>
        </w:rPr>
        <w:t xml:space="preserve"> und</w:t>
      </w:r>
      <w:r w:rsidR="00D60113" w:rsidRPr="00B140F2">
        <w:rPr>
          <w:lang w:val="de-DE"/>
        </w:rPr>
        <w:t xml:space="preserve"> Streichungen </w:t>
      </w:r>
      <w:r w:rsidR="00D60113">
        <w:rPr>
          <w:lang w:val="de-DE"/>
        </w:rPr>
        <w:t xml:space="preserve">sind </w:t>
      </w:r>
      <w:r w:rsidR="00D60113" w:rsidRPr="00B140F2">
        <w:rPr>
          <w:lang w:val="de-DE"/>
        </w:rPr>
        <w:t xml:space="preserve">durch Hervorhebung und </w:t>
      </w:r>
      <w:r w:rsidR="00D60113" w:rsidRPr="00B140F2">
        <w:rPr>
          <w:strike/>
          <w:highlight w:val="lightGray"/>
          <w:lang w:val="de-DE"/>
        </w:rPr>
        <w:t>Durchstreich</w:t>
      </w:r>
      <w:r w:rsidR="00D60113">
        <w:rPr>
          <w:strike/>
          <w:highlight w:val="lightGray"/>
          <w:lang w:val="de-DE"/>
        </w:rPr>
        <w:t>en</w:t>
      </w:r>
      <w:r w:rsidR="00D60113" w:rsidRPr="00B140F2">
        <w:rPr>
          <w:strike/>
          <w:highlight w:val="lightGray"/>
          <w:lang w:val="de-DE"/>
        </w:rPr>
        <w:t xml:space="preserve"> </w:t>
      </w:r>
      <w:r w:rsidR="00D60113" w:rsidRPr="00B140F2">
        <w:rPr>
          <w:lang w:val="de-DE"/>
        </w:rPr>
        <w:t>gekennzeichnet</w:t>
      </w:r>
      <w:r w:rsidR="00002D35" w:rsidRPr="00B140F2">
        <w:rPr>
          <w:lang w:val="de-DE"/>
        </w:rPr>
        <w:t>):</w:t>
      </w:r>
    </w:p>
    <w:p w14:paraId="2C748247" w14:textId="77777777" w:rsidR="00002D35" w:rsidRPr="00B140F2" w:rsidRDefault="00002D35" w:rsidP="00BD4986">
      <w:pPr>
        <w:rPr>
          <w:lang w:val="de-DE"/>
        </w:rPr>
      </w:pPr>
    </w:p>
    <w:p w14:paraId="0CB6A9EC" w14:textId="6EA5402F" w:rsidR="00214329" w:rsidRPr="00B140F2" w:rsidRDefault="001C4FD6" w:rsidP="00BD4986">
      <w:pPr>
        <w:keepNext/>
        <w:tabs>
          <w:tab w:val="left" w:pos="1134"/>
        </w:tabs>
        <w:ind w:left="567" w:right="567"/>
        <w:contextualSpacing/>
        <w:rPr>
          <w:sz w:val="18"/>
          <w:szCs w:val="18"/>
          <w:lang w:val="de-DE"/>
        </w:rPr>
      </w:pPr>
      <w:r w:rsidRPr="00B140F2">
        <w:rPr>
          <w:sz w:val="18"/>
          <w:szCs w:val="18"/>
          <w:lang w:val="de-DE"/>
        </w:rPr>
        <w:t>„</w:t>
      </w:r>
      <w:r w:rsidR="0060633E" w:rsidRPr="00B140F2">
        <w:rPr>
          <w:sz w:val="18"/>
          <w:szCs w:val="18"/>
          <w:lang w:val="de-DE"/>
        </w:rPr>
        <w:t xml:space="preserve">a) </w:t>
      </w:r>
      <w:r w:rsidR="0060633E" w:rsidRPr="00B140F2">
        <w:rPr>
          <w:sz w:val="18"/>
          <w:szCs w:val="18"/>
          <w:lang w:val="de-DE"/>
        </w:rPr>
        <w:tab/>
      </w:r>
      <w:r w:rsidR="000C19CA" w:rsidRPr="00B140F2">
        <w:rPr>
          <w:sz w:val="18"/>
          <w:szCs w:val="18"/>
          <w:lang w:val="de-DE"/>
        </w:rPr>
        <w:t xml:space="preserve">Obstarten mit deutlich </w:t>
      </w:r>
      <w:r w:rsidR="006E3136" w:rsidRPr="00B140F2">
        <w:rPr>
          <w:sz w:val="18"/>
          <w:szCs w:val="18"/>
          <w:lang w:val="de-DE"/>
        </w:rPr>
        <w:t>abgegrenzter Ruheperiode</w:t>
      </w:r>
    </w:p>
    <w:p w14:paraId="56A18B30" w14:textId="77777777" w:rsidR="00002D35" w:rsidRPr="00B140F2" w:rsidRDefault="00002D35" w:rsidP="00BD4986">
      <w:pPr>
        <w:keepNext/>
        <w:tabs>
          <w:tab w:val="left" w:pos="1134"/>
        </w:tabs>
        <w:ind w:left="567" w:right="567"/>
        <w:contextualSpacing/>
        <w:rPr>
          <w:sz w:val="18"/>
          <w:szCs w:val="18"/>
          <w:lang w:val="de-DE"/>
        </w:rPr>
      </w:pPr>
    </w:p>
    <w:p w14:paraId="1FF2A084" w14:textId="0FA016F7" w:rsidR="00B37DF9" w:rsidRPr="00B140F2" w:rsidRDefault="001C4FD6" w:rsidP="00BD4986">
      <w:pPr>
        <w:tabs>
          <w:tab w:val="left" w:pos="851"/>
          <w:tab w:val="left" w:pos="1134"/>
        </w:tabs>
        <w:ind w:left="567" w:right="567"/>
        <w:rPr>
          <w:sz w:val="18"/>
          <w:szCs w:val="18"/>
          <w:lang w:val="de-DE"/>
        </w:rPr>
      </w:pPr>
      <w:r w:rsidRPr="00D60113">
        <w:rPr>
          <w:sz w:val="18"/>
          <w:szCs w:val="18"/>
          <w:lang w:val="de-DE"/>
        </w:rPr>
        <w:t>„</w:t>
      </w:r>
      <w:r w:rsidR="0060633E" w:rsidRPr="00D60113">
        <w:rPr>
          <w:sz w:val="18"/>
          <w:szCs w:val="18"/>
          <w:lang w:val="de-DE"/>
        </w:rPr>
        <w:t>3.1.2</w:t>
      </w:r>
      <w:r w:rsidR="00B37DF9" w:rsidRPr="00D60113">
        <w:rPr>
          <w:sz w:val="18"/>
          <w:szCs w:val="18"/>
          <w:lang w:val="de-DE"/>
        </w:rPr>
        <w:t xml:space="preserve"> </w:t>
      </w:r>
      <w:r w:rsidR="00BB3403" w:rsidRPr="00BB3403">
        <w:rPr>
          <w:sz w:val="18"/>
          <w:szCs w:val="18"/>
          <w:lang w:val="de-DE"/>
        </w:rPr>
        <w:t xml:space="preserve">Als Wachstumsperiode wird die Dauer einer Vegetationsperiode angesehen, die mit </w:t>
      </w:r>
      <w:r w:rsidR="00BB3403" w:rsidRPr="00BB3403">
        <w:rPr>
          <w:sz w:val="18"/>
          <w:szCs w:val="18"/>
          <w:highlight w:val="lightGray"/>
          <w:u w:val="single"/>
          <w:lang w:val="de-DE"/>
        </w:rPr>
        <w:t xml:space="preserve">der </w:t>
      </w:r>
      <w:r w:rsidR="00BB3403" w:rsidRPr="002C4409">
        <w:rPr>
          <w:sz w:val="18"/>
          <w:szCs w:val="18"/>
          <w:highlight w:val="lightGray"/>
          <w:u w:val="single"/>
          <w:lang w:val="de-DE"/>
        </w:rPr>
        <w:t xml:space="preserve">Winterruheperiode beginnt, </w:t>
      </w:r>
      <w:r w:rsidR="002C4409" w:rsidRPr="002C4409">
        <w:rPr>
          <w:sz w:val="18"/>
          <w:szCs w:val="18"/>
          <w:highlight w:val="lightGray"/>
          <w:u w:val="single"/>
          <w:lang w:val="de-DE"/>
        </w:rPr>
        <w:t xml:space="preserve">sich mit </w:t>
      </w:r>
      <w:r w:rsidR="002C4409" w:rsidRPr="002C4409">
        <w:rPr>
          <w:sz w:val="18"/>
          <w:szCs w:val="18"/>
          <w:lang w:val="de-DE"/>
        </w:rPr>
        <w:t>dem</w:t>
      </w:r>
      <w:r w:rsidR="002C4409" w:rsidRPr="00BB3403">
        <w:rPr>
          <w:sz w:val="18"/>
          <w:szCs w:val="18"/>
          <w:lang w:val="de-DE"/>
        </w:rPr>
        <w:t xml:space="preserve"> </w:t>
      </w:r>
      <w:r w:rsidR="00BB3403" w:rsidRPr="00BB3403">
        <w:rPr>
          <w:sz w:val="18"/>
          <w:szCs w:val="18"/>
          <w:lang w:val="de-DE"/>
        </w:rPr>
        <w:t>Knospenaufbruch (blühend und/oder vegetativ)</w:t>
      </w:r>
      <w:r w:rsidR="00BB3403" w:rsidRPr="00BB3403">
        <w:rPr>
          <w:strike/>
          <w:sz w:val="18"/>
          <w:szCs w:val="18"/>
          <w:highlight w:val="lightGray"/>
          <w:lang w:val="de-DE"/>
        </w:rPr>
        <w:t xml:space="preserve"> beginnt</w:t>
      </w:r>
      <w:r w:rsidR="00BB3403" w:rsidRPr="00BB3403">
        <w:rPr>
          <w:sz w:val="18"/>
          <w:szCs w:val="18"/>
          <w:lang w:val="de-DE"/>
        </w:rPr>
        <w:t xml:space="preserve">, </w:t>
      </w:r>
      <w:r w:rsidR="00BB3403" w:rsidRPr="00BB3403">
        <w:rPr>
          <w:strike/>
          <w:sz w:val="18"/>
          <w:szCs w:val="18"/>
          <w:highlight w:val="lightGray"/>
          <w:lang w:val="de-DE"/>
        </w:rPr>
        <w:t xml:space="preserve">sich mit und </w:t>
      </w:r>
      <w:r w:rsidR="00BB3403" w:rsidRPr="00BB3403">
        <w:rPr>
          <w:sz w:val="18"/>
          <w:szCs w:val="18"/>
          <w:lang w:val="de-DE"/>
        </w:rPr>
        <w:t xml:space="preserve">der Blüte und der Ernte der Früchte fortsetzt und </w:t>
      </w:r>
      <w:r w:rsidR="00BB3403" w:rsidRPr="00BB3403">
        <w:rPr>
          <w:strike/>
          <w:sz w:val="18"/>
          <w:szCs w:val="18"/>
          <w:highlight w:val="lightGray"/>
          <w:lang w:val="de-DE"/>
        </w:rPr>
        <w:t xml:space="preserve">am Ende </w:t>
      </w:r>
      <w:r w:rsidR="00504840" w:rsidRPr="00504840">
        <w:rPr>
          <w:sz w:val="18"/>
          <w:szCs w:val="18"/>
          <w:highlight w:val="lightGray"/>
          <w:u w:val="single"/>
          <w:lang w:val="de-DE"/>
        </w:rPr>
        <w:t xml:space="preserve">mit </w:t>
      </w:r>
      <w:r w:rsidR="00BB3403" w:rsidRPr="00504840">
        <w:rPr>
          <w:sz w:val="18"/>
          <w:szCs w:val="18"/>
          <w:highlight w:val="lightGray"/>
          <w:u w:val="single"/>
          <w:lang w:val="de-DE"/>
        </w:rPr>
        <w:t>Beginn</w:t>
      </w:r>
      <w:r w:rsidR="00BB3403" w:rsidRPr="00BB3403">
        <w:rPr>
          <w:sz w:val="18"/>
          <w:szCs w:val="18"/>
          <w:lang w:val="de-DE"/>
        </w:rPr>
        <w:t xml:space="preserve"> der darauffolgenden Ruheperiode </w:t>
      </w:r>
      <w:r w:rsidR="00BB3403" w:rsidRPr="00BB3403">
        <w:rPr>
          <w:strike/>
          <w:sz w:val="18"/>
          <w:szCs w:val="18"/>
          <w:highlight w:val="lightGray"/>
          <w:lang w:val="de-DE"/>
        </w:rPr>
        <w:t xml:space="preserve">mit dem Schwellen neuer Jahresknospen </w:t>
      </w:r>
      <w:r w:rsidR="00BB3403" w:rsidRPr="00BB3403">
        <w:rPr>
          <w:sz w:val="18"/>
          <w:szCs w:val="18"/>
          <w:lang w:val="de-DE"/>
        </w:rPr>
        <w:t>endet</w:t>
      </w:r>
      <w:r w:rsidR="00B37DF9" w:rsidRPr="00D60113">
        <w:rPr>
          <w:sz w:val="18"/>
          <w:szCs w:val="18"/>
          <w:lang w:val="de-DE"/>
        </w:rPr>
        <w:t>.</w:t>
      </w:r>
      <w:r w:rsidR="00452F07">
        <w:rPr>
          <w:sz w:val="18"/>
          <w:szCs w:val="18"/>
          <w:lang w:val="de-DE"/>
        </w:rPr>
        <w:t>“</w:t>
      </w:r>
    </w:p>
    <w:p w14:paraId="6C2E0CA8" w14:textId="77777777" w:rsidR="00002D35" w:rsidRPr="00B140F2" w:rsidRDefault="00002D35" w:rsidP="00BD4986">
      <w:pPr>
        <w:rPr>
          <w:sz w:val="18"/>
          <w:szCs w:val="18"/>
          <w:lang w:val="de-DE"/>
        </w:rPr>
      </w:pPr>
    </w:p>
    <w:p w14:paraId="3DA8736E" w14:textId="7A42F7E8"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00B1067F" w:rsidRPr="00B140F2">
        <w:rPr>
          <w:lang w:val="de-DE"/>
        </w:rPr>
        <w:t xml:space="preserve">Vorbehaltlich </w:t>
      </w:r>
      <w:r w:rsidR="008C0A3D" w:rsidRPr="00B140F2">
        <w:rPr>
          <w:lang w:val="de-DE"/>
        </w:rPr>
        <w:t>der Zustimmung durch den</w:t>
      </w:r>
      <w:r w:rsidR="00B1067F" w:rsidRPr="00B140F2">
        <w:rPr>
          <w:lang w:val="de-DE"/>
        </w:rPr>
        <w:t xml:space="preserve"> TC auf seiner sechzigsten </w:t>
      </w:r>
      <w:r w:rsidR="00C32BF0" w:rsidRPr="00B140F2">
        <w:rPr>
          <w:lang w:val="de-DE"/>
        </w:rPr>
        <w:t>Tagung und den CAJ</w:t>
      </w:r>
      <w:r w:rsidR="00B1067F" w:rsidRPr="00B140F2">
        <w:rPr>
          <w:lang w:val="de-DE"/>
        </w:rPr>
        <w:t xml:space="preserve"> auf seiner einundachtzigsten </w:t>
      </w:r>
      <w:r w:rsidR="00464346">
        <w:rPr>
          <w:lang w:val="de-DE"/>
        </w:rPr>
        <w:t xml:space="preserve">Tagung soll dem Rat </w:t>
      </w:r>
      <w:r w:rsidRPr="00B140F2">
        <w:rPr>
          <w:lang w:val="de-DE"/>
        </w:rPr>
        <w:t xml:space="preserve">auf seiner </w:t>
      </w:r>
      <w:r w:rsidR="00B1067F" w:rsidRPr="00B140F2">
        <w:rPr>
          <w:lang w:val="de-DE"/>
        </w:rPr>
        <w:t xml:space="preserve">achtundfünfzigsten </w:t>
      </w:r>
      <w:r w:rsidRPr="00B140F2">
        <w:rPr>
          <w:lang w:val="de-DE"/>
        </w:rPr>
        <w:t xml:space="preserve">ordentlichen Tagung eine vereinbarte Fassung des Dokuments TGP/7 </w:t>
      </w:r>
      <w:r w:rsidR="001C4FD6" w:rsidRPr="00B140F2">
        <w:rPr>
          <w:lang w:val="de-DE"/>
        </w:rPr>
        <w:t>„</w:t>
      </w:r>
      <w:r w:rsidRPr="00B140F2">
        <w:rPr>
          <w:lang w:val="de-DE"/>
        </w:rPr>
        <w:t>Erstellung von Prüfungsrichtlinien</w:t>
      </w:r>
      <w:r w:rsidR="001C4FD6" w:rsidRPr="00B140F2">
        <w:rPr>
          <w:lang w:val="de-DE"/>
        </w:rPr>
        <w:t>“</w:t>
      </w:r>
      <w:r w:rsidRPr="00B140F2">
        <w:rPr>
          <w:lang w:val="de-DE"/>
        </w:rPr>
        <w:t xml:space="preserve"> </w:t>
      </w:r>
      <w:r w:rsidR="00464346">
        <w:rPr>
          <w:lang w:val="de-DE"/>
        </w:rPr>
        <w:t xml:space="preserve">aufgrund der </w:t>
      </w:r>
      <w:r w:rsidRPr="00B140F2">
        <w:rPr>
          <w:lang w:val="de-DE"/>
        </w:rPr>
        <w:t xml:space="preserve">in </w:t>
      </w:r>
      <w:r w:rsidR="00ED137D" w:rsidRPr="00B140F2">
        <w:rPr>
          <w:spacing w:val="-2"/>
          <w:lang w:val="de-DE"/>
        </w:rPr>
        <w:t>Absatz 2</w:t>
      </w:r>
      <w:r w:rsidR="00AA447E">
        <w:rPr>
          <w:spacing w:val="-2"/>
          <w:lang w:val="de-DE"/>
        </w:rPr>
        <w:t>0</w:t>
      </w:r>
      <w:r w:rsidR="00ED137D" w:rsidRPr="00B140F2">
        <w:rPr>
          <w:spacing w:val="-2"/>
          <w:lang w:val="de-DE"/>
        </w:rPr>
        <w:t xml:space="preserve"> </w:t>
      </w:r>
      <w:r w:rsidR="00C32BF0" w:rsidRPr="00B140F2">
        <w:rPr>
          <w:lang w:val="de-DE"/>
        </w:rPr>
        <w:t xml:space="preserve">enthaltenen </w:t>
      </w:r>
      <w:r w:rsidRPr="00B140F2">
        <w:rPr>
          <w:lang w:val="de-DE"/>
        </w:rPr>
        <w:t>Änderungsvorschläge zur Annahme vorgelegt werden.</w:t>
      </w:r>
    </w:p>
    <w:p w14:paraId="02611A1B" w14:textId="77777777" w:rsidR="0062455E" w:rsidRPr="00B140F2" w:rsidRDefault="0062455E" w:rsidP="00BD4986">
      <w:pPr>
        <w:rPr>
          <w:lang w:val="de-DE"/>
        </w:rPr>
      </w:pPr>
    </w:p>
    <w:p w14:paraId="62333ACC" w14:textId="21254884" w:rsidR="00214329" w:rsidRPr="00B140F2" w:rsidRDefault="0060633E" w:rsidP="00BD4986">
      <w:pPr>
        <w:pStyle w:val="DecisionParagraphs"/>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00ED137D" w:rsidRPr="00B140F2">
        <w:rPr>
          <w:lang w:val="de-DE"/>
        </w:rPr>
        <w:t xml:space="preserve">Der Rat wird ersucht, eine Überarbeitung des </w:t>
      </w:r>
      <w:r w:rsidR="00ED137D" w:rsidRPr="008765C2">
        <w:rPr>
          <w:spacing w:val="-2"/>
          <w:lang w:val="de-DE"/>
        </w:rPr>
        <w:t xml:space="preserve">Dokuments TGP/7/9 </w:t>
      </w:r>
      <w:r w:rsidR="001C4FD6" w:rsidRPr="008765C2">
        <w:rPr>
          <w:spacing w:val="-2"/>
          <w:lang w:val="de-DE"/>
        </w:rPr>
        <w:t>„</w:t>
      </w:r>
      <w:r w:rsidR="00ED137D" w:rsidRPr="008765C2">
        <w:rPr>
          <w:spacing w:val="-2"/>
          <w:lang w:val="de-DE"/>
        </w:rPr>
        <w:t>Erstellung von Prüfungsrichtlinien</w:t>
      </w:r>
      <w:r w:rsidR="001C4FD6" w:rsidRPr="008765C2">
        <w:rPr>
          <w:spacing w:val="-2"/>
          <w:lang w:val="de-DE"/>
        </w:rPr>
        <w:t>“</w:t>
      </w:r>
      <w:r w:rsidR="00ED137D" w:rsidRPr="00B140F2">
        <w:rPr>
          <w:lang w:val="de-DE"/>
        </w:rPr>
        <w:t xml:space="preserve"> aufgrund der in </w:t>
      </w:r>
      <w:r w:rsidR="0078767F" w:rsidRPr="00B140F2">
        <w:rPr>
          <w:spacing w:val="-2"/>
          <w:lang w:val="de-DE"/>
        </w:rPr>
        <w:t xml:space="preserve">Absatz </w:t>
      </w:r>
      <w:r w:rsidR="00ED529D" w:rsidRPr="00B140F2">
        <w:rPr>
          <w:spacing w:val="-2"/>
          <w:lang w:val="de-DE"/>
        </w:rPr>
        <w:t xml:space="preserve">20 </w:t>
      </w:r>
      <w:r w:rsidR="00C32BF0" w:rsidRPr="00B140F2">
        <w:rPr>
          <w:lang w:val="de-DE"/>
        </w:rPr>
        <w:t>enthaltenen Änderungsvorschläge</w:t>
      </w:r>
      <w:r w:rsidR="00ED137D" w:rsidRPr="00B140F2">
        <w:rPr>
          <w:lang w:val="de-DE"/>
        </w:rPr>
        <w:t xml:space="preserve">, vorbehaltlich der </w:t>
      </w:r>
      <w:r w:rsidR="00345B74" w:rsidRPr="00B140F2">
        <w:rPr>
          <w:lang w:val="de-DE"/>
        </w:rPr>
        <w:t xml:space="preserve">Zustimmung durch den </w:t>
      </w:r>
      <w:r w:rsidR="00CC23B9">
        <w:rPr>
          <w:lang w:val="de-DE"/>
        </w:rPr>
        <w:t xml:space="preserve">TC und den CAJ </w:t>
      </w:r>
      <w:r w:rsidR="00442176">
        <w:rPr>
          <w:lang w:val="de-DE"/>
        </w:rPr>
        <w:t xml:space="preserve">auf ihren Tagungen </w:t>
      </w:r>
      <w:r w:rsidR="00C32BF0" w:rsidRPr="00B140F2">
        <w:rPr>
          <w:lang w:val="de-DE"/>
        </w:rPr>
        <w:t>im Jahre 2024, anzunehmen</w:t>
      </w:r>
      <w:r w:rsidR="00ED137D" w:rsidRPr="00B140F2">
        <w:rPr>
          <w:lang w:val="de-DE"/>
        </w:rPr>
        <w:t>.</w:t>
      </w:r>
    </w:p>
    <w:p w14:paraId="62639EC4" w14:textId="77777777" w:rsidR="00D6067D" w:rsidRPr="00B140F2" w:rsidRDefault="00D6067D" w:rsidP="00BD4986">
      <w:pPr>
        <w:rPr>
          <w:lang w:val="de-DE"/>
        </w:rPr>
      </w:pPr>
    </w:p>
    <w:p w14:paraId="22CEC34F" w14:textId="77777777" w:rsidR="00214329" w:rsidRPr="00B140F2" w:rsidRDefault="0060633E" w:rsidP="00BD4986">
      <w:pPr>
        <w:pStyle w:val="Heading3"/>
        <w:spacing w:line="240" w:lineRule="auto"/>
        <w:rPr>
          <w:lang w:val="de-DE"/>
        </w:rPr>
      </w:pPr>
      <w:bookmarkStart w:id="18" w:name="_Toc177493440"/>
      <w:r w:rsidRPr="00B140F2">
        <w:rPr>
          <w:lang w:val="de-DE"/>
        </w:rPr>
        <w:t>TGP/12</w:t>
      </w:r>
      <w:r w:rsidR="00D6067D" w:rsidRPr="00B140F2">
        <w:rPr>
          <w:lang w:val="de-DE"/>
        </w:rPr>
        <w:t xml:space="preserve">: </w:t>
      </w:r>
      <w:r w:rsidRPr="00B140F2">
        <w:rPr>
          <w:lang w:val="de-DE"/>
        </w:rPr>
        <w:t>Anleitung zu bestimmten physiologischen Merkmalen (Überarbeitung)</w:t>
      </w:r>
      <w:bookmarkEnd w:id="18"/>
    </w:p>
    <w:p w14:paraId="71277C12" w14:textId="77777777" w:rsidR="00D6067D" w:rsidRPr="00B140F2" w:rsidRDefault="00D6067D" w:rsidP="00BD4986">
      <w:pPr>
        <w:keepNext/>
        <w:rPr>
          <w:lang w:val="de-DE"/>
        </w:rPr>
      </w:pPr>
    </w:p>
    <w:p w14:paraId="12CFBE98" w14:textId="68BD7BC8" w:rsidR="00214329" w:rsidRPr="00B140F2" w:rsidRDefault="00923263" w:rsidP="00BD4986">
      <w:pPr>
        <w:pStyle w:val="Heading4"/>
        <w:rPr>
          <w:lang w:val="de-DE"/>
        </w:rPr>
      </w:pPr>
      <w:bookmarkStart w:id="19" w:name="_Toc177493441"/>
      <w:r w:rsidRPr="00B140F2">
        <w:rPr>
          <w:lang w:val="de-DE"/>
        </w:rPr>
        <w:t>Gleichwertigkeitstabelle</w:t>
      </w:r>
      <w:r w:rsidR="0060633E" w:rsidRPr="00B140F2">
        <w:rPr>
          <w:lang w:val="de-DE"/>
        </w:rPr>
        <w:t xml:space="preserve"> für Ausprägungsstufen bei quantitativen </w:t>
      </w:r>
      <w:r w:rsidR="00C32BF0" w:rsidRPr="00B140F2">
        <w:rPr>
          <w:lang w:val="de-DE"/>
        </w:rPr>
        <w:t>Krankheitsresistenzmerkmalen in den Prüfungsrichtlinien</w:t>
      </w:r>
      <w:bookmarkEnd w:id="19"/>
    </w:p>
    <w:p w14:paraId="46CF9107" w14:textId="77777777" w:rsidR="00D6067D" w:rsidRPr="00B140F2" w:rsidRDefault="00D6067D" w:rsidP="00BD4986">
      <w:pPr>
        <w:keepNext/>
        <w:rPr>
          <w:lang w:val="de-DE"/>
        </w:rPr>
      </w:pPr>
    </w:p>
    <w:p w14:paraId="23FBA225" w14:textId="6732B4CA"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Der Hintergrund dieser Angelegenheit ist in </w:t>
      </w:r>
      <w:r w:rsidR="002006BE" w:rsidRPr="00B140F2">
        <w:rPr>
          <w:lang w:val="de-DE"/>
        </w:rPr>
        <w:t>Anlage</w:t>
      </w:r>
      <w:r w:rsidRPr="00B140F2">
        <w:rPr>
          <w:lang w:val="de-DE"/>
        </w:rPr>
        <w:t xml:space="preserve"> II dieses Dokuments dargelegt.</w:t>
      </w:r>
    </w:p>
    <w:p w14:paraId="07882ECD" w14:textId="77777777" w:rsidR="007C542B" w:rsidRPr="00B140F2" w:rsidRDefault="007C542B" w:rsidP="00BD4986">
      <w:pPr>
        <w:rPr>
          <w:lang w:val="de-DE"/>
        </w:rPr>
      </w:pPr>
    </w:p>
    <w:p w14:paraId="0E781B48" w14:textId="38F426DE"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Der TC vereinbarte auf seiner Tagung im Jahr 2023, die TWP zu ersuchen, auf ihren Tagungen im Jahr</w:t>
      </w:r>
      <w:r w:rsidR="00130515">
        <w:rPr>
          <w:lang w:val="de-DE"/>
        </w:rPr>
        <w:t> </w:t>
      </w:r>
      <w:r w:rsidRPr="00B140F2">
        <w:rPr>
          <w:lang w:val="de-DE"/>
        </w:rPr>
        <w:t xml:space="preserve">2024 zu prüfen, ob das Dokument TGP/12 geändert werden soll, um eine </w:t>
      </w:r>
      <w:r w:rsidR="00923263" w:rsidRPr="00B140F2">
        <w:rPr>
          <w:lang w:val="de-DE"/>
        </w:rPr>
        <w:t>Gleichwertigkeitstabelle</w:t>
      </w:r>
      <w:r w:rsidR="00DE2B42" w:rsidRPr="00B140F2">
        <w:rPr>
          <w:lang w:val="de-DE"/>
        </w:rPr>
        <w:t xml:space="preserve"> für</w:t>
      </w:r>
      <w:r w:rsidRPr="00B140F2">
        <w:rPr>
          <w:lang w:val="de-DE"/>
        </w:rPr>
        <w:t xml:space="preserve"> Ausprägungsstufen in den Prüfungsrichtlinien mit der im </w:t>
      </w:r>
      <w:r w:rsidR="005B006A">
        <w:rPr>
          <w:lang w:val="de-DE"/>
        </w:rPr>
        <w:t>Sektor Saatgut für Gemüsepflanzen</w:t>
      </w:r>
      <w:r w:rsidRPr="00B140F2">
        <w:rPr>
          <w:lang w:val="de-DE"/>
        </w:rPr>
        <w:t xml:space="preserve"> verwendeten Terminologie aufzunehmen.</w:t>
      </w:r>
      <w:r w:rsidR="00FE0BFC" w:rsidRPr="00B140F2">
        <w:rPr>
          <w:lang w:val="de-DE"/>
        </w:rPr>
        <w:t xml:space="preserve"> </w:t>
      </w:r>
      <w:r w:rsidR="00464346">
        <w:rPr>
          <w:lang w:val="de-DE"/>
        </w:rPr>
        <w:t xml:space="preserve">Aufgrund der </w:t>
      </w:r>
      <w:r w:rsidR="007D62E7" w:rsidRPr="00B140F2">
        <w:rPr>
          <w:lang w:val="de-DE"/>
        </w:rPr>
        <w:t>Bemerkungen</w:t>
      </w:r>
      <w:r w:rsidR="004E18B0" w:rsidRPr="00B140F2">
        <w:rPr>
          <w:lang w:val="de-DE"/>
        </w:rPr>
        <w:t xml:space="preserve"> der TWP auf ihren Tagungen im Jahr 2024 </w:t>
      </w:r>
      <w:r w:rsidR="0097694C" w:rsidRPr="00B140F2">
        <w:rPr>
          <w:lang w:val="de-DE"/>
        </w:rPr>
        <w:t>wird in Anlage II dieses Dokuments</w:t>
      </w:r>
      <w:r w:rsidR="00757458" w:rsidRPr="00B140F2">
        <w:rPr>
          <w:lang w:val="de-DE"/>
        </w:rPr>
        <w:t xml:space="preserve">, </w:t>
      </w:r>
      <w:r w:rsidR="00940A83" w:rsidRPr="00B140F2">
        <w:rPr>
          <w:spacing w:val="-2"/>
          <w:lang w:val="de-DE"/>
        </w:rPr>
        <w:t xml:space="preserve">Abschnitt </w:t>
      </w:r>
      <w:r w:rsidR="001C4FD6" w:rsidRPr="00B140F2">
        <w:rPr>
          <w:spacing w:val="-2"/>
          <w:lang w:val="de-DE"/>
        </w:rPr>
        <w:t>„</w:t>
      </w:r>
      <w:r w:rsidR="00940A83" w:rsidRPr="00B140F2">
        <w:rPr>
          <w:spacing w:val="-2"/>
          <w:lang w:val="de-DE"/>
        </w:rPr>
        <w:t>Vorschlag</w:t>
      </w:r>
      <w:r w:rsidR="001C4FD6" w:rsidRPr="00B140F2">
        <w:rPr>
          <w:spacing w:val="-2"/>
          <w:lang w:val="de-DE"/>
        </w:rPr>
        <w:t>“</w:t>
      </w:r>
      <w:r w:rsidR="0097694C" w:rsidRPr="00B140F2">
        <w:rPr>
          <w:lang w:val="de-DE"/>
        </w:rPr>
        <w:t xml:space="preserve">, </w:t>
      </w:r>
      <w:r w:rsidR="00DD5D44" w:rsidRPr="00B140F2">
        <w:rPr>
          <w:lang w:val="de-DE"/>
        </w:rPr>
        <w:t xml:space="preserve">ein Vorschlag </w:t>
      </w:r>
      <w:r w:rsidR="0097694C" w:rsidRPr="00B140F2">
        <w:rPr>
          <w:lang w:val="de-DE"/>
        </w:rPr>
        <w:t xml:space="preserve">vorgelegt. </w:t>
      </w:r>
    </w:p>
    <w:p w14:paraId="30BB6476" w14:textId="77777777" w:rsidR="003271D0" w:rsidRPr="00B140F2" w:rsidRDefault="003271D0" w:rsidP="00BD4986">
      <w:pPr>
        <w:rPr>
          <w:sz w:val="18"/>
          <w:szCs w:val="18"/>
          <w:lang w:val="de-DE"/>
        </w:rPr>
      </w:pPr>
    </w:p>
    <w:p w14:paraId="2009CB66" w14:textId="482A0C72"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Vorbehaltlich </w:t>
      </w:r>
      <w:r w:rsidR="008C0A3D" w:rsidRPr="00B140F2">
        <w:rPr>
          <w:lang w:val="de-DE"/>
        </w:rPr>
        <w:t>der Zustimmung durch den</w:t>
      </w:r>
      <w:r w:rsidRPr="00B140F2">
        <w:rPr>
          <w:lang w:val="de-DE"/>
        </w:rPr>
        <w:t xml:space="preserve"> TC auf seiner sechzigsten </w:t>
      </w:r>
      <w:r w:rsidR="00C32BF0" w:rsidRPr="00B140F2">
        <w:rPr>
          <w:lang w:val="de-DE"/>
        </w:rPr>
        <w:t>Tagung und den CAJ</w:t>
      </w:r>
      <w:r w:rsidRPr="00B140F2">
        <w:rPr>
          <w:lang w:val="de-DE"/>
        </w:rPr>
        <w:t xml:space="preserve"> auf seiner einundachtzigsten </w:t>
      </w:r>
      <w:r w:rsidR="00464346">
        <w:rPr>
          <w:lang w:val="de-DE"/>
        </w:rPr>
        <w:t xml:space="preserve">Tagung soll dem Rat </w:t>
      </w:r>
      <w:r w:rsidRPr="00B140F2">
        <w:rPr>
          <w:lang w:val="de-DE"/>
        </w:rPr>
        <w:t xml:space="preserve">auf seiner achtundfünfzigsten ordentlichen Tagung eine vereinbarte Fassung des Dokuments </w:t>
      </w:r>
      <w:r w:rsidRPr="00B140F2">
        <w:rPr>
          <w:rFonts w:eastAsiaTheme="minorEastAsia"/>
          <w:lang w:val="de-DE"/>
        </w:rPr>
        <w:t xml:space="preserve">TGP/12 </w:t>
      </w:r>
      <w:r w:rsidR="001C4FD6" w:rsidRPr="00B140F2">
        <w:rPr>
          <w:rFonts w:eastAsiaTheme="minorEastAsia"/>
          <w:lang w:val="de-DE"/>
        </w:rPr>
        <w:t>„</w:t>
      </w:r>
      <w:r w:rsidRPr="00B140F2">
        <w:rPr>
          <w:rFonts w:eastAsiaTheme="minorEastAsia"/>
          <w:lang w:val="de-DE"/>
        </w:rPr>
        <w:t>Anleitung zu bestimmten physiologischen Merkmalen</w:t>
      </w:r>
      <w:r w:rsidR="001C4FD6" w:rsidRPr="00B140F2">
        <w:rPr>
          <w:rFonts w:eastAsiaTheme="minorEastAsia"/>
          <w:lang w:val="de-DE"/>
        </w:rPr>
        <w:t>“</w:t>
      </w:r>
      <w:r w:rsidRPr="00B140F2">
        <w:rPr>
          <w:rFonts w:eastAsiaTheme="minorEastAsia"/>
          <w:lang w:val="de-DE"/>
        </w:rPr>
        <w:t xml:space="preserve"> </w:t>
      </w:r>
      <w:r w:rsidRPr="00B140F2">
        <w:rPr>
          <w:lang w:val="de-DE"/>
        </w:rPr>
        <w:t xml:space="preserve">aufgrund der </w:t>
      </w:r>
      <w:r w:rsidR="000A0BDC" w:rsidRPr="00B140F2">
        <w:rPr>
          <w:lang w:val="de-DE"/>
        </w:rPr>
        <w:t xml:space="preserve">in Anlage II dieses Dokuments, </w:t>
      </w:r>
      <w:r w:rsidR="000A0BDC" w:rsidRPr="00B140F2">
        <w:rPr>
          <w:spacing w:val="-2"/>
          <w:lang w:val="de-DE"/>
        </w:rPr>
        <w:t xml:space="preserve">Abschnitt </w:t>
      </w:r>
      <w:r w:rsidR="001C4FD6" w:rsidRPr="00B140F2">
        <w:rPr>
          <w:spacing w:val="-2"/>
          <w:lang w:val="de-DE"/>
        </w:rPr>
        <w:t>„</w:t>
      </w:r>
      <w:r w:rsidR="000A0BDC" w:rsidRPr="00B140F2">
        <w:rPr>
          <w:spacing w:val="-2"/>
          <w:lang w:val="de-DE"/>
        </w:rPr>
        <w:t>Vorschlag</w:t>
      </w:r>
      <w:r w:rsidR="001C4FD6" w:rsidRPr="00B140F2">
        <w:rPr>
          <w:spacing w:val="-2"/>
          <w:lang w:val="de-DE"/>
        </w:rPr>
        <w:t>“</w:t>
      </w:r>
      <w:r w:rsidR="000A0BDC" w:rsidRPr="00B140F2">
        <w:rPr>
          <w:lang w:val="de-DE"/>
        </w:rPr>
        <w:t xml:space="preserve">, </w:t>
      </w:r>
      <w:r w:rsidR="00C32BF0" w:rsidRPr="00B140F2">
        <w:rPr>
          <w:lang w:val="de-DE"/>
        </w:rPr>
        <w:t>enthaltenen Änderungsvorschläge</w:t>
      </w:r>
      <w:r w:rsidRPr="00B140F2">
        <w:rPr>
          <w:lang w:val="de-DE"/>
        </w:rPr>
        <w:t xml:space="preserve"> zur Annahme vorgelegt werden</w:t>
      </w:r>
      <w:r w:rsidR="000A0BDC" w:rsidRPr="00B140F2">
        <w:rPr>
          <w:lang w:val="de-DE"/>
        </w:rPr>
        <w:t>.</w:t>
      </w:r>
    </w:p>
    <w:p w14:paraId="32CCDB4D" w14:textId="77777777" w:rsidR="00EC60F1" w:rsidRPr="00B140F2" w:rsidRDefault="00EC60F1" w:rsidP="00BD4986">
      <w:pPr>
        <w:pStyle w:val="EndnoteText"/>
        <w:rPr>
          <w:rFonts w:eastAsiaTheme="minorEastAsia"/>
          <w:lang w:val="de-DE"/>
        </w:rPr>
      </w:pPr>
    </w:p>
    <w:p w14:paraId="7805EB3E" w14:textId="0DCD16CC" w:rsidR="00214329" w:rsidRPr="00B140F2" w:rsidRDefault="0060633E" w:rsidP="00BD4986">
      <w:pPr>
        <w:pStyle w:val="DecisionParagraphs"/>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00EC60F1" w:rsidRPr="00B140F2">
        <w:rPr>
          <w:lang w:val="de-DE"/>
        </w:rPr>
        <w:t xml:space="preserve">Der Rat wird ersucht, eine Überarbeitung des Dokuments TGP/12/4 </w:t>
      </w:r>
      <w:r w:rsidR="001C4FD6" w:rsidRPr="00B140F2">
        <w:rPr>
          <w:lang w:val="de-DE"/>
        </w:rPr>
        <w:t>„</w:t>
      </w:r>
      <w:r w:rsidR="00EC60F1" w:rsidRPr="00B140F2">
        <w:rPr>
          <w:lang w:val="de-DE"/>
        </w:rPr>
        <w:t>Anleitung zu bestimmten physiologischen Merkmalen</w:t>
      </w:r>
      <w:r w:rsidR="001C4FD6" w:rsidRPr="00B140F2">
        <w:rPr>
          <w:lang w:val="de-DE"/>
        </w:rPr>
        <w:t>“</w:t>
      </w:r>
      <w:r w:rsidR="00EC60F1" w:rsidRPr="00B140F2">
        <w:rPr>
          <w:lang w:val="de-DE"/>
        </w:rPr>
        <w:t xml:space="preserve"> aufgrund der in </w:t>
      </w:r>
      <w:r w:rsidR="00EC60F1" w:rsidRPr="00B140F2">
        <w:rPr>
          <w:spacing w:val="-2"/>
          <w:lang w:val="de-DE"/>
        </w:rPr>
        <w:t xml:space="preserve">Anlage II, Abschnitt </w:t>
      </w:r>
      <w:r w:rsidR="001C4FD6" w:rsidRPr="00B140F2">
        <w:rPr>
          <w:spacing w:val="-2"/>
          <w:lang w:val="de-DE"/>
        </w:rPr>
        <w:t>„</w:t>
      </w:r>
      <w:r w:rsidR="00EC60F1" w:rsidRPr="00B140F2">
        <w:rPr>
          <w:spacing w:val="-2"/>
          <w:lang w:val="de-DE"/>
        </w:rPr>
        <w:t>Vorschlag</w:t>
      </w:r>
      <w:r w:rsidR="001C4FD6" w:rsidRPr="00B140F2">
        <w:rPr>
          <w:spacing w:val="-2"/>
          <w:lang w:val="de-DE"/>
        </w:rPr>
        <w:t>“</w:t>
      </w:r>
      <w:r w:rsidR="00EC60F1" w:rsidRPr="00B140F2">
        <w:rPr>
          <w:lang w:val="de-DE"/>
        </w:rPr>
        <w:t xml:space="preserve"> </w:t>
      </w:r>
      <w:r w:rsidR="00C32BF0" w:rsidRPr="00B140F2">
        <w:rPr>
          <w:lang w:val="de-DE"/>
        </w:rPr>
        <w:t>enthaltenen Änderungsvorschläge,</w:t>
      </w:r>
      <w:r w:rsidR="00EC60F1" w:rsidRPr="00B140F2">
        <w:rPr>
          <w:lang w:val="de-DE"/>
        </w:rPr>
        <w:t xml:space="preserve"> vorbehaltlich der </w:t>
      </w:r>
      <w:r w:rsidR="00345B74" w:rsidRPr="00B140F2">
        <w:rPr>
          <w:lang w:val="de-DE"/>
        </w:rPr>
        <w:t xml:space="preserve">Zustimmung durch den </w:t>
      </w:r>
      <w:r w:rsidR="00CC23B9">
        <w:rPr>
          <w:lang w:val="de-DE"/>
        </w:rPr>
        <w:t xml:space="preserve">TC und den CAJ </w:t>
      </w:r>
      <w:r w:rsidR="00442176">
        <w:rPr>
          <w:lang w:val="de-DE"/>
        </w:rPr>
        <w:t xml:space="preserve">auf ihren Tagungen </w:t>
      </w:r>
      <w:r w:rsidR="00EC60F1" w:rsidRPr="00B140F2">
        <w:rPr>
          <w:lang w:val="de-DE"/>
        </w:rPr>
        <w:t>im Jahre 2024</w:t>
      </w:r>
      <w:r w:rsidR="00C32BF0" w:rsidRPr="00B140F2">
        <w:rPr>
          <w:lang w:val="de-DE"/>
        </w:rPr>
        <w:t>,</w:t>
      </w:r>
      <w:r w:rsidR="00EC60F1" w:rsidRPr="00B140F2">
        <w:rPr>
          <w:lang w:val="de-DE"/>
        </w:rPr>
        <w:t xml:space="preserve"> anzunehmen.</w:t>
      </w:r>
    </w:p>
    <w:p w14:paraId="161E944D" w14:textId="77777777" w:rsidR="00D6067D" w:rsidRPr="00B140F2" w:rsidRDefault="00D6067D" w:rsidP="00BD4986">
      <w:pPr>
        <w:rPr>
          <w:lang w:val="de-DE"/>
        </w:rPr>
      </w:pPr>
    </w:p>
    <w:p w14:paraId="2E2BFB4E" w14:textId="44052D92" w:rsidR="00214329" w:rsidRPr="00B140F2" w:rsidRDefault="0060633E" w:rsidP="00BD4986">
      <w:pPr>
        <w:pStyle w:val="Heading2"/>
        <w:rPr>
          <w:lang w:val="de-DE"/>
        </w:rPr>
      </w:pPr>
      <w:bookmarkStart w:id="20" w:name="_Toc177493442"/>
      <w:r w:rsidRPr="00B140F2">
        <w:rPr>
          <w:lang w:val="de-DE"/>
        </w:rPr>
        <w:t xml:space="preserve">Dokument </w:t>
      </w:r>
      <w:r w:rsidR="00EE2C9D" w:rsidRPr="00B140F2">
        <w:rPr>
          <w:lang w:val="de-DE"/>
        </w:rPr>
        <w:t xml:space="preserve">zur Annahme durch den Rat, </w:t>
      </w:r>
      <w:r w:rsidRPr="00B140F2">
        <w:rPr>
          <w:lang w:val="de-DE"/>
        </w:rPr>
        <w:t xml:space="preserve">vorbehaltlich </w:t>
      </w:r>
      <w:r w:rsidR="008C0A3D" w:rsidRPr="00B140F2">
        <w:rPr>
          <w:lang w:val="de-DE"/>
        </w:rPr>
        <w:t>der Zustimmung durch den</w:t>
      </w:r>
      <w:r w:rsidRPr="00B140F2">
        <w:rPr>
          <w:lang w:val="de-DE"/>
        </w:rPr>
        <w:t xml:space="preserve"> CAJ</w:t>
      </w:r>
      <w:bookmarkEnd w:id="20"/>
    </w:p>
    <w:p w14:paraId="6854B50D" w14:textId="77777777" w:rsidR="0027303D" w:rsidRPr="00B140F2" w:rsidRDefault="0027303D" w:rsidP="00BD4986">
      <w:pPr>
        <w:rPr>
          <w:lang w:val="de-DE"/>
        </w:rPr>
      </w:pPr>
    </w:p>
    <w:p w14:paraId="14B2AC23" w14:textId="6DFD2C44"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Das folgende Dokument wird dem Rat </w:t>
      </w:r>
      <w:r w:rsidR="0029166A" w:rsidRPr="00B140F2">
        <w:rPr>
          <w:lang w:val="de-DE"/>
        </w:rPr>
        <w:t xml:space="preserve">zur Annahme, </w:t>
      </w:r>
      <w:r w:rsidR="0036176B" w:rsidRPr="00B140F2">
        <w:rPr>
          <w:lang w:val="de-DE"/>
        </w:rPr>
        <w:t>vorbehaltlich der Zustimmung</w:t>
      </w:r>
      <w:r w:rsidRPr="00B140F2">
        <w:rPr>
          <w:lang w:val="de-DE"/>
        </w:rPr>
        <w:t xml:space="preserve"> durch den CAJ auf seiner Tagung im Jahr 2024</w:t>
      </w:r>
      <w:r w:rsidR="0029166A" w:rsidRPr="00B140F2">
        <w:rPr>
          <w:lang w:val="de-DE"/>
        </w:rPr>
        <w:t>,</w:t>
      </w:r>
      <w:r w:rsidRPr="00B140F2">
        <w:rPr>
          <w:lang w:val="de-DE"/>
        </w:rPr>
        <w:t xml:space="preserve"> vorgeschlagen.</w:t>
      </w:r>
    </w:p>
    <w:p w14:paraId="25826A39" w14:textId="77777777" w:rsidR="0008563D" w:rsidRPr="00B140F2" w:rsidRDefault="0008563D" w:rsidP="00BD4986">
      <w:pPr>
        <w:rPr>
          <w:lang w:val="de-DE"/>
        </w:rPr>
      </w:pPr>
    </w:p>
    <w:p w14:paraId="1731C654" w14:textId="6977A5EA" w:rsidR="00214329" w:rsidRPr="00B140F2" w:rsidRDefault="0060633E" w:rsidP="00BD4986">
      <w:pPr>
        <w:pStyle w:val="Heading3"/>
        <w:spacing w:line="240" w:lineRule="auto"/>
        <w:rPr>
          <w:lang w:val="de-DE"/>
        </w:rPr>
      </w:pPr>
      <w:bookmarkStart w:id="21" w:name="_Toc177493443"/>
      <w:r w:rsidRPr="00B140F2">
        <w:rPr>
          <w:lang w:val="de-DE"/>
        </w:rPr>
        <w:t>UPOV/EXN/PPM</w:t>
      </w:r>
      <w:r w:rsidR="007B23AD" w:rsidRPr="00B140F2">
        <w:rPr>
          <w:lang w:val="de-DE"/>
        </w:rPr>
        <w:t xml:space="preserve">: </w:t>
      </w:r>
      <w:r w:rsidRPr="00B140F2">
        <w:rPr>
          <w:lang w:val="de-DE"/>
        </w:rPr>
        <w:t>Erläuterungen zu Vermehrungsmaterial nach dem UPOV-Übereinkommen (</w:t>
      </w:r>
      <w:r w:rsidR="000B089C" w:rsidRPr="00B140F2">
        <w:rPr>
          <w:lang w:val="de-DE"/>
        </w:rPr>
        <w:t>Überarbeitung</w:t>
      </w:r>
      <w:r w:rsidRPr="00B140F2">
        <w:rPr>
          <w:lang w:val="de-DE"/>
        </w:rPr>
        <w:t>) (Dokument UPOV/EXN/PPM/2 Draft 1)</w:t>
      </w:r>
      <w:bookmarkEnd w:id="21"/>
    </w:p>
    <w:p w14:paraId="6B925224" w14:textId="77777777" w:rsidR="0008059C" w:rsidRPr="00B140F2" w:rsidRDefault="0008059C" w:rsidP="00BD4986">
      <w:pPr>
        <w:rPr>
          <w:highlight w:val="yellow"/>
          <w:lang w:val="de-DE"/>
        </w:rPr>
      </w:pPr>
    </w:p>
    <w:p w14:paraId="67660FCF" w14:textId="249810CF"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00B00EE9" w:rsidRPr="00B140F2">
        <w:rPr>
          <w:lang w:val="de-DE"/>
        </w:rPr>
        <w:t xml:space="preserve">Die </w:t>
      </w:r>
      <w:r w:rsidR="00DD6FB1" w:rsidRPr="00B140F2">
        <w:rPr>
          <w:rFonts w:cs="Arial"/>
          <w:color w:val="000000"/>
          <w:lang w:val="de-DE"/>
        </w:rPr>
        <w:t>Arbeitsgruppe für Erntegut und ungenehmigte Benutzung von Vermehrungsmaterial</w:t>
      </w:r>
      <w:r w:rsidR="00B00EE9" w:rsidRPr="00B140F2">
        <w:rPr>
          <w:rFonts w:cs="Arial"/>
          <w:color w:val="000000"/>
          <w:lang w:val="de-DE"/>
        </w:rPr>
        <w:t xml:space="preserve"> </w:t>
      </w:r>
      <w:r w:rsidR="00B00EE9" w:rsidRPr="00B140F2">
        <w:rPr>
          <w:lang w:val="de-DE"/>
        </w:rPr>
        <w:t xml:space="preserve">(WG-HRV) vereinbarte auf ihrer dritten Sitzung am 21. März 2023 in Genf, den Abschnitt </w:t>
      </w:r>
      <w:r w:rsidR="001C4FD6" w:rsidRPr="00B140F2">
        <w:rPr>
          <w:lang w:val="de-DE"/>
        </w:rPr>
        <w:t>„</w:t>
      </w:r>
      <w:r w:rsidR="001A2143" w:rsidRPr="00B140F2">
        <w:rPr>
          <w:lang w:val="de-DE"/>
        </w:rPr>
        <w:t xml:space="preserve">Faktoren, die </w:t>
      </w:r>
      <w:r w:rsidR="004270B1">
        <w:rPr>
          <w:lang w:val="de-DE"/>
        </w:rPr>
        <w:t>in Bezug</w:t>
      </w:r>
      <w:r w:rsidR="001A2143" w:rsidRPr="00B140F2">
        <w:rPr>
          <w:lang w:val="de-DE"/>
        </w:rPr>
        <w:t xml:space="preserve"> auf </w:t>
      </w:r>
      <w:r w:rsidR="001A2143" w:rsidRPr="00B140F2">
        <w:rPr>
          <w:lang w:val="de-DE"/>
        </w:rPr>
        <w:lastRenderedPageBreak/>
        <w:t>Vermehrungsmaterial geprüft worden sind</w:t>
      </w:r>
      <w:r w:rsidR="001C4FD6" w:rsidRPr="00B140F2">
        <w:rPr>
          <w:lang w:val="de-DE"/>
        </w:rPr>
        <w:t>“</w:t>
      </w:r>
      <w:r w:rsidR="00B00EE9" w:rsidRPr="00B140F2">
        <w:rPr>
          <w:lang w:val="de-DE"/>
        </w:rPr>
        <w:t xml:space="preserve"> </w:t>
      </w:r>
      <w:r w:rsidR="0008563D" w:rsidRPr="00B140F2">
        <w:rPr>
          <w:lang w:val="de-DE"/>
        </w:rPr>
        <w:t xml:space="preserve">des Dokuments UPOV/EXN/PPM/1 </w:t>
      </w:r>
      <w:r w:rsidR="001C4FD6" w:rsidRPr="00B140F2">
        <w:rPr>
          <w:lang w:val="de-DE"/>
        </w:rPr>
        <w:t>„</w:t>
      </w:r>
      <w:r w:rsidR="0008563D" w:rsidRPr="00B140F2">
        <w:rPr>
          <w:lang w:val="de-DE"/>
        </w:rPr>
        <w:t>Erläuterungen zu Vermehrungsmaterial nach dem UPOV-Übereinkommen</w:t>
      </w:r>
      <w:r w:rsidR="001C4FD6" w:rsidRPr="00B140F2">
        <w:rPr>
          <w:lang w:val="de-DE"/>
        </w:rPr>
        <w:t>“</w:t>
      </w:r>
      <w:r w:rsidR="0008563D" w:rsidRPr="00B140F2">
        <w:rPr>
          <w:lang w:val="de-DE"/>
        </w:rPr>
        <w:t xml:space="preserve"> </w:t>
      </w:r>
      <w:r w:rsidR="00B00EE9" w:rsidRPr="00B140F2">
        <w:rPr>
          <w:lang w:val="de-DE"/>
        </w:rPr>
        <w:t>wie nachstehend dargelegt zu ändern</w:t>
      </w:r>
      <w:r w:rsidR="00F51150" w:rsidRPr="00B140F2">
        <w:rPr>
          <w:lang w:val="de-DE"/>
        </w:rPr>
        <w:t>:</w:t>
      </w:r>
    </w:p>
    <w:p w14:paraId="51796538" w14:textId="77777777" w:rsidR="00F51150" w:rsidRPr="00B140F2" w:rsidRDefault="00F51150" w:rsidP="00BD4986">
      <w:pPr>
        <w:rPr>
          <w:lang w:val="de-DE"/>
        </w:rPr>
      </w:pPr>
    </w:p>
    <w:p w14:paraId="392CFA33" w14:textId="78C9A272" w:rsidR="00214329" w:rsidRPr="00D60113" w:rsidRDefault="001A2143" w:rsidP="00BD4986">
      <w:pPr>
        <w:ind w:left="567"/>
        <w:rPr>
          <w:lang w:val="de-DE"/>
        </w:rPr>
      </w:pPr>
      <w:r w:rsidRPr="00D60113">
        <w:rPr>
          <w:rFonts w:eastAsia="Arial" w:cs="Arial"/>
          <w:sz w:val="18"/>
          <w:szCs w:val="18"/>
          <w:lang w:val="de-DE"/>
        </w:rPr>
        <w:t xml:space="preserve">FAKTOREN, DIE </w:t>
      </w:r>
      <w:r w:rsidR="004270B1" w:rsidRPr="00D60113">
        <w:rPr>
          <w:rFonts w:eastAsia="Arial" w:cs="Arial"/>
          <w:sz w:val="18"/>
          <w:szCs w:val="18"/>
          <w:lang w:val="de-DE"/>
        </w:rPr>
        <w:t>IN BEZUG</w:t>
      </w:r>
      <w:r w:rsidRPr="00D60113">
        <w:rPr>
          <w:rFonts w:eastAsia="Arial" w:cs="Arial"/>
          <w:sz w:val="18"/>
          <w:szCs w:val="18"/>
          <w:lang w:val="de-DE"/>
        </w:rPr>
        <w:t xml:space="preserve"> AUF VERMEHRUNGSMATERIAL GEPRÜFT WORDEN SIND</w:t>
      </w:r>
    </w:p>
    <w:p w14:paraId="0D873CBD" w14:textId="77777777" w:rsidR="00F51150" w:rsidRPr="00D60113" w:rsidRDefault="00F51150" w:rsidP="00BD4986">
      <w:pPr>
        <w:ind w:left="567" w:right="567"/>
        <w:rPr>
          <w:sz w:val="16"/>
          <w:szCs w:val="16"/>
          <w:lang w:val="de-DE"/>
        </w:rPr>
      </w:pPr>
    </w:p>
    <w:p w14:paraId="1831D9B5" w14:textId="5AF7E377" w:rsidR="00214329" w:rsidRPr="00B140F2" w:rsidRDefault="00A16C16" w:rsidP="00BD4986">
      <w:pPr>
        <w:ind w:left="567" w:right="567"/>
        <w:rPr>
          <w:sz w:val="18"/>
          <w:szCs w:val="18"/>
          <w:lang w:val="de-DE"/>
        </w:rPr>
      </w:pPr>
      <w:r w:rsidRPr="00D60113">
        <w:rPr>
          <w:sz w:val="18"/>
          <w:szCs w:val="18"/>
          <w:lang w:val="de-DE"/>
        </w:rPr>
        <w:t xml:space="preserve">Das UPOV Übereinkommen enthält keine Begriffsbestimmung für „Vermehrungsmaterial". Vermehrungsmaterial umfasst reproduktives und vegetatives Vermehrungsmaterial. Folgende sind nicht erschöpfende Beispiele für Faktoren, </w:t>
      </w:r>
      <w:r w:rsidR="00D454CA" w:rsidRPr="00D60113">
        <w:rPr>
          <w:sz w:val="18"/>
          <w:szCs w:val="18"/>
          <w:lang w:val="de-DE"/>
        </w:rPr>
        <w:t>von denen einer oder mehrere verwendet werden könnte</w:t>
      </w:r>
      <w:r w:rsidR="0029166A" w:rsidRPr="00D60113">
        <w:rPr>
          <w:sz w:val="18"/>
          <w:szCs w:val="18"/>
          <w:lang w:val="de-DE"/>
        </w:rPr>
        <w:t>n</w:t>
      </w:r>
      <w:r w:rsidR="00D454CA" w:rsidRPr="00D60113">
        <w:rPr>
          <w:sz w:val="18"/>
          <w:szCs w:val="18"/>
          <w:lang w:val="de-DE"/>
        </w:rPr>
        <w:t>, um zu entscheiden</w:t>
      </w:r>
      <w:r w:rsidR="0029166A" w:rsidRPr="00D60113">
        <w:rPr>
          <w:sz w:val="18"/>
          <w:szCs w:val="18"/>
          <w:lang w:val="de-DE"/>
        </w:rPr>
        <w:t>,</w:t>
      </w:r>
      <w:r w:rsidR="00D454CA" w:rsidRPr="00D60113">
        <w:rPr>
          <w:sz w:val="18"/>
          <w:szCs w:val="18"/>
          <w:lang w:val="de-DE"/>
        </w:rPr>
        <w:t xml:space="preserve"> </w:t>
      </w:r>
      <w:r w:rsidRPr="00D60113">
        <w:rPr>
          <w:sz w:val="18"/>
          <w:szCs w:val="18"/>
          <w:lang w:val="de-DE"/>
        </w:rPr>
        <w:t>ob Material Vermehrungsmaterial ist.</w:t>
      </w:r>
      <w:r w:rsidR="00526AC0" w:rsidRPr="00D60113">
        <w:rPr>
          <w:sz w:val="18"/>
          <w:szCs w:val="18"/>
          <w:lang w:val="de-DE"/>
        </w:rPr>
        <w:t xml:space="preserve"> </w:t>
      </w:r>
      <w:r w:rsidRPr="00D60113">
        <w:rPr>
          <w:sz w:val="18"/>
          <w:szCs w:val="18"/>
          <w:lang w:val="de-DE"/>
        </w:rPr>
        <w:t>Diese Faktoren sollten im Kontext jedes Verbandsmitglieds und den besonderen Umständen geprüft werden</w:t>
      </w:r>
      <w:r w:rsidR="0060633E" w:rsidRPr="00D60113">
        <w:rPr>
          <w:sz w:val="18"/>
          <w:szCs w:val="18"/>
          <w:lang w:val="de-DE"/>
        </w:rPr>
        <w:t>.</w:t>
      </w:r>
    </w:p>
    <w:p w14:paraId="4B79AD53" w14:textId="77777777" w:rsidR="00F51150" w:rsidRPr="00B140F2" w:rsidRDefault="00F51150" w:rsidP="00BD4986">
      <w:pPr>
        <w:ind w:left="567" w:right="567"/>
        <w:rPr>
          <w:sz w:val="18"/>
          <w:szCs w:val="18"/>
          <w:lang w:val="de-DE"/>
        </w:rPr>
      </w:pPr>
    </w:p>
    <w:p w14:paraId="15FB2850" w14:textId="6A69FA07" w:rsidR="00214329" w:rsidRPr="00B140F2" w:rsidRDefault="0060633E" w:rsidP="00BD4986">
      <w:pPr>
        <w:pStyle w:val="ListParagraph"/>
        <w:numPr>
          <w:ilvl w:val="0"/>
          <w:numId w:val="35"/>
        </w:numPr>
        <w:tabs>
          <w:tab w:val="left" w:pos="1710"/>
        </w:tabs>
        <w:spacing w:after="120"/>
        <w:ind w:left="1134" w:right="567" w:hanging="283"/>
        <w:rPr>
          <w:sz w:val="18"/>
          <w:szCs w:val="18"/>
          <w:lang w:val="de-DE"/>
        </w:rPr>
      </w:pPr>
      <w:r w:rsidRPr="00B140F2">
        <w:rPr>
          <w:sz w:val="18"/>
          <w:szCs w:val="18"/>
          <w:lang w:val="de-DE"/>
        </w:rPr>
        <w:t xml:space="preserve">Pflanzen oder Pflanzenteile, die </w:t>
      </w:r>
      <w:r w:rsidR="0029166A" w:rsidRPr="00B140F2">
        <w:rPr>
          <w:sz w:val="18"/>
          <w:szCs w:val="18"/>
          <w:lang w:val="de-DE"/>
        </w:rPr>
        <w:t xml:space="preserve">zur </w:t>
      </w:r>
      <w:r w:rsidRPr="00B140F2">
        <w:rPr>
          <w:sz w:val="18"/>
          <w:szCs w:val="18"/>
          <w:lang w:val="de-DE"/>
        </w:rPr>
        <w:t>Vermehrung der Sorte verwendet werden;</w:t>
      </w:r>
    </w:p>
    <w:p w14:paraId="5F4652C3" w14:textId="77777777" w:rsidR="00214329" w:rsidRPr="00B140F2" w:rsidRDefault="0060633E" w:rsidP="00BD4986">
      <w:pPr>
        <w:pStyle w:val="ListParagraph"/>
        <w:numPr>
          <w:ilvl w:val="0"/>
          <w:numId w:val="35"/>
        </w:numPr>
        <w:tabs>
          <w:tab w:val="left" w:pos="1710"/>
        </w:tabs>
        <w:spacing w:after="120"/>
        <w:ind w:left="1134" w:right="567" w:hanging="283"/>
        <w:rPr>
          <w:sz w:val="18"/>
          <w:szCs w:val="18"/>
          <w:lang w:val="de-DE"/>
        </w:rPr>
      </w:pPr>
      <w:r w:rsidRPr="00B140F2">
        <w:rPr>
          <w:sz w:val="18"/>
          <w:szCs w:val="18"/>
          <w:lang w:val="de-DE"/>
        </w:rPr>
        <w:t>ob das Material zur Vermehrung der Sorte verwendet wurde;</w:t>
      </w:r>
    </w:p>
    <w:p w14:paraId="27E1EA8B" w14:textId="264ADB6F" w:rsidR="00214329" w:rsidRPr="00B140F2" w:rsidRDefault="0060633E" w:rsidP="00BD4986">
      <w:pPr>
        <w:pStyle w:val="ListParagraph"/>
        <w:numPr>
          <w:ilvl w:val="0"/>
          <w:numId w:val="35"/>
        </w:numPr>
        <w:tabs>
          <w:tab w:val="left" w:pos="1710"/>
        </w:tabs>
        <w:spacing w:after="120"/>
        <w:ind w:left="1134" w:right="567" w:hanging="283"/>
        <w:rPr>
          <w:sz w:val="18"/>
          <w:szCs w:val="18"/>
          <w:lang w:val="de-DE"/>
        </w:rPr>
      </w:pPr>
      <w:r w:rsidRPr="00B140F2">
        <w:rPr>
          <w:sz w:val="18"/>
          <w:szCs w:val="18"/>
          <w:lang w:val="de-DE"/>
        </w:rPr>
        <w:t xml:space="preserve">ob das Material </w:t>
      </w:r>
      <w:r w:rsidR="00571D7E" w:rsidRPr="00571D7E">
        <w:rPr>
          <w:sz w:val="18"/>
          <w:szCs w:val="18"/>
          <w:lang w:val="de-DE"/>
        </w:rPr>
        <w:t xml:space="preserve">die angeborene Fähigkeit besitzt, </w:t>
      </w:r>
      <w:r w:rsidRPr="00B140F2">
        <w:rPr>
          <w:sz w:val="18"/>
          <w:szCs w:val="18"/>
          <w:lang w:val="de-DE"/>
        </w:rPr>
        <w:t xml:space="preserve">ganze Pflanzen </w:t>
      </w:r>
      <w:r w:rsidR="00571D7E">
        <w:rPr>
          <w:sz w:val="18"/>
          <w:szCs w:val="18"/>
          <w:lang w:val="de-DE"/>
        </w:rPr>
        <w:t>der Sorte zu erzeugen</w:t>
      </w:r>
      <w:r w:rsidRPr="00B140F2">
        <w:rPr>
          <w:sz w:val="18"/>
          <w:szCs w:val="18"/>
          <w:lang w:val="de-DE"/>
        </w:rPr>
        <w:t xml:space="preserve"> (z. B. </w:t>
      </w:r>
      <w:r w:rsidR="00157C72" w:rsidRPr="00B140F2">
        <w:rPr>
          <w:sz w:val="18"/>
          <w:szCs w:val="18"/>
          <w:lang w:val="de-DE"/>
        </w:rPr>
        <w:t>Saatgut</w:t>
      </w:r>
      <w:r w:rsidRPr="00B140F2">
        <w:rPr>
          <w:sz w:val="18"/>
          <w:szCs w:val="18"/>
          <w:lang w:val="de-DE"/>
        </w:rPr>
        <w:t>, Knollen);</w:t>
      </w:r>
    </w:p>
    <w:p w14:paraId="20EF98F6" w14:textId="040CBB68" w:rsidR="00214329" w:rsidRPr="00B140F2" w:rsidRDefault="00571D7E" w:rsidP="00BD4986">
      <w:pPr>
        <w:pStyle w:val="ListParagraph"/>
        <w:numPr>
          <w:ilvl w:val="0"/>
          <w:numId w:val="35"/>
        </w:numPr>
        <w:tabs>
          <w:tab w:val="left" w:pos="1170"/>
          <w:tab w:val="left" w:pos="1710"/>
        </w:tabs>
        <w:autoSpaceDE w:val="0"/>
        <w:autoSpaceDN w:val="0"/>
        <w:adjustRightInd w:val="0"/>
        <w:spacing w:after="120"/>
        <w:ind w:left="1134" w:right="567" w:hanging="283"/>
        <w:rPr>
          <w:sz w:val="18"/>
          <w:szCs w:val="18"/>
          <w:lang w:val="de-DE"/>
        </w:rPr>
      </w:pPr>
      <w:r w:rsidRPr="00571D7E">
        <w:rPr>
          <w:sz w:val="18"/>
          <w:szCs w:val="18"/>
          <w:lang w:val="de-DE"/>
        </w:rPr>
        <w:t>ob das Material als Vermehrungsmaterial verwendet werden könnte durch den Einsatz von Vermehrungsmethoden (z. B. Stecklinge, Gewebekultur);</w:t>
      </w:r>
    </w:p>
    <w:p w14:paraId="22CBCD44" w14:textId="0409E9A8" w:rsidR="00214329" w:rsidRPr="00B140F2" w:rsidRDefault="00AD3CBE" w:rsidP="00BD4986">
      <w:pPr>
        <w:pStyle w:val="ListParagraph"/>
        <w:numPr>
          <w:ilvl w:val="0"/>
          <w:numId w:val="35"/>
        </w:numPr>
        <w:tabs>
          <w:tab w:val="left" w:pos="1170"/>
          <w:tab w:val="left" w:pos="1710"/>
        </w:tabs>
        <w:autoSpaceDE w:val="0"/>
        <w:autoSpaceDN w:val="0"/>
        <w:adjustRightInd w:val="0"/>
        <w:spacing w:after="120"/>
        <w:ind w:left="1134" w:right="567" w:hanging="283"/>
        <w:rPr>
          <w:sz w:val="18"/>
          <w:szCs w:val="18"/>
          <w:lang w:val="de-DE"/>
        </w:rPr>
      </w:pPr>
      <w:r w:rsidRPr="00B140F2">
        <w:rPr>
          <w:sz w:val="18"/>
          <w:szCs w:val="18"/>
          <w:lang w:val="de-DE"/>
        </w:rPr>
        <w:t>ob bereits eine Gewohnheit/Praxis der Verwendung des Materials zu Vermehrungszwecken besteht oder ob infolge neuer Entwicklungen eine neue Gewohnheit/Praxis der Verwendung des Materials für diesen Zweck geführt besteht</w:t>
      </w:r>
      <w:r w:rsidR="0060633E" w:rsidRPr="00B140F2">
        <w:rPr>
          <w:rFonts w:cs="Arial"/>
          <w:sz w:val="18"/>
          <w:szCs w:val="18"/>
          <w:lang w:val="de-DE"/>
        </w:rPr>
        <w:t>;</w:t>
      </w:r>
    </w:p>
    <w:p w14:paraId="7F8E7082" w14:textId="78512645" w:rsidR="00214329" w:rsidRPr="00B140F2" w:rsidRDefault="00157C72" w:rsidP="00BD4986">
      <w:pPr>
        <w:pStyle w:val="ListParagraph"/>
        <w:numPr>
          <w:ilvl w:val="0"/>
          <w:numId w:val="35"/>
        </w:numPr>
        <w:tabs>
          <w:tab w:val="left" w:pos="1170"/>
          <w:tab w:val="left" w:pos="1710"/>
        </w:tabs>
        <w:spacing w:after="120"/>
        <w:ind w:left="1134" w:right="567" w:hanging="283"/>
        <w:rPr>
          <w:sz w:val="18"/>
          <w:szCs w:val="18"/>
          <w:u w:val="single"/>
          <w:lang w:val="de-DE"/>
        </w:rPr>
      </w:pPr>
      <w:r w:rsidRPr="00B140F2">
        <w:rPr>
          <w:sz w:val="18"/>
          <w:szCs w:val="18"/>
          <w:lang w:val="de-DE"/>
        </w:rPr>
        <w:t xml:space="preserve">ob </w:t>
      </w:r>
      <w:r w:rsidR="008F4F4A" w:rsidRPr="00B140F2">
        <w:rPr>
          <w:sz w:val="18"/>
          <w:szCs w:val="18"/>
          <w:lang w:val="de-DE"/>
        </w:rPr>
        <w:t>aufgrund der Beschaffenheit und des Zustands des Materials und/oder seiner Verwendungsform bestimmt werden kann, dass das Material „Vermehrungsmaterial" ist</w:t>
      </w:r>
      <w:r w:rsidR="0060633E" w:rsidRPr="00B140F2">
        <w:rPr>
          <w:sz w:val="18"/>
          <w:szCs w:val="18"/>
          <w:lang w:val="de-DE"/>
        </w:rPr>
        <w:t>;</w:t>
      </w:r>
      <w:r w:rsidR="00FE0BFC" w:rsidRPr="00B140F2">
        <w:rPr>
          <w:sz w:val="18"/>
          <w:szCs w:val="18"/>
          <w:lang w:val="de-DE"/>
        </w:rPr>
        <w:t xml:space="preserve"> </w:t>
      </w:r>
    </w:p>
    <w:p w14:paraId="167F1E05" w14:textId="3193FA87" w:rsidR="00214329" w:rsidRPr="00B140F2" w:rsidRDefault="00C52AE2" w:rsidP="00BD4986">
      <w:pPr>
        <w:pStyle w:val="ListParagraph"/>
        <w:keepNext/>
        <w:numPr>
          <w:ilvl w:val="0"/>
          <w:numId w:val="35"/>
        </w:numPr>
        <w:tabs>
          <w:tab w:val="left" w:pos="1710"/>
        </w:tabs>
        <w:spacing w:after="120"/>
        <w:ind w:left="1134" w:right="567" w:hanging="283"/>
        <w:rPr>
          <w:sz w:val="18"/>
          <w:szCs w:val="18"/>
          <w:u w:val="single"/>
          <w:lang w:val="de-DE"/>
        </w:rPr>
      </w:pPr>
      <w:r w:rsidRPr="00B140F2">
        <w:rPr>
          <w:sz w:val="18"/>
          <w:szCs w:val="18"/>
          <w:lang w:val="de-DE"/>
        </w:rPr>
        <w:t xml:space="preserve"> </w:t>
      </w:r>
      <w:r w:rsidR="008F4F4A" w:rsidRPr="00B140F2">
        <w:rPr>
          <w:sz w:val="18"/>
          <w:szCs w:val="18"/>
          <w:lang w:val="de-DE"/>
        </w:rPr>
        <w:t>das Sortenmaterial, bei dem Erzeugungsbedingungen und -art dem Zweck der Reproduktion neuer Pflanzen der Sorte, aber nicht dem Endverbrauch entsprechen</w:t>
      </w:r>
      <w:r w:rsidR="0060633E" w:rsidRPr="00B140F2">
        <w:rPr>
          <w:sz w:val="18"/>
          <w:szCs w:val="18"/>
          <w:lang w:val="de-DE"/>
        </w:rPr>
        <w:t>.</w:t>
      </w:r>
    </w:p>
    <w:p w14:paraId="25AF63C9" w14:textId="368A9AC5" w:rsidR="00214329" w:rsidRPr="00B140F2" w:rsidRDefault="0060633E" w:rsidP="00BD4986">
      <w:pPr>
        <w:ind w:left="567" w:right="567"/>
        <w:rPr>
          <w:sz w:val="18"/>
          <w:szCs w:val="18"/>
          <w:lang w:val="de-DE"/>
        </w:rPr>
      </w:pPr>
      <w:r w:rsidRPr="00B140F2">
        <w:rPr>
          <w:sz w:val="18"/>
          <w:szCs w:val="18"/>
          <w:lang w:val="de-DE"/>
        </w:rPr>
        <w:t xml:space="preserve">Der </w:t>
      </w:r>
      <w:r w:rsidR="00AD3CBE" w:rsidRPr="00B140F2">
        <w:rPr>
          <w:sz w:val="18"/>
          <w:szCs w:val="18"/>
          <w:lang w:val="de-DE"/>
        </w:rPr>
        <w:t>vorstehende</w:t>
      </w:r>
      <w:r w:rsidR="00E20002" w:rsidRPr="00B140F2">
        <w:rPr>
          <w:sz w:val="18"/>
          <w:szCs w:val="18"/>
          <w:lang w:val="de-DE"/>
        </w:rPr>
        <w:t xml:space="preserve"> </w:t>
      </w:r>
      <w:r w:rsidR="00571D7E">
        <w:rPr>
          <w:sz w:val="18"/>
          <w:szCs w:val="18"/>
          <w:lang w:val="de-DE"/>
        </w:rPr>
        <w:t>Text</w:t>
      </w:r>
      <w:r w:rsidR="00E20002" w:rsidRPr="00B140F2">
        <w:rPr>
          <w:sz w:val="18"/>
          <w:szCs w:val="18"/>
          <w:lang w:val="de-DE"/>
        </w:rPr>
        <w:t xml:space="preserve"> </w:t>
      </w:r>
      <w:r w:rsidRPr="00B140F2">
        <w:rPr>
          <w:sz w:val="18"/>
          <w:szCs w:val="18"/>
          <w:lang w:val="de-DE"/>
        </w:rPr>
        <w:t xml:space="preserve">ist nicht als </w:t>
      </w:r>
      <w:r w:rsidR="00AD3CBE" w:rsidRPr="00B140F2">
        <w:rPr>
          <w:sz w:val="18"/>
          <w:szCs w:val="18"/>
          <w:lang w:val="de-DE"/>
        </w:rPr>
        <w:t>Begriffsbestimmung</w:t>
      </w:r>
      <w:r w:rsidRPr="00B140F2">
        <w:rPr>
          <w:sz w:val="18"/>
          <w:szCs w:val="18"/>
          <w:lang w:val="de-DE"/>
        </w:rPr>
        <w:t xml:space="preserve"> von </w:t>
      </w:r>
      <w:r w:rsidR="001C4FD6" w:rsidRPr="00B140F2">
        <w:rPr>
          <w:sz w:val="18"/>
          <w:szCs w:val="18"/>
          <w:lang w:val="de-DE"/>
        </w:rPr>
        <w:t>„</w:t>
      </w:r>
      <w:r w:rsidR="00E20002" w:rsidRPr="00B140F2">
        <w:rPr>
          <w:sz w:val="18"/>
          <w:szCs w:val="18"/>
          <w:lang w:val="de-DE"/>
        </w:rPr>
        <w:t>Vermehrungsmaterial</w:t>
      </w:r>
      <w:r w:rsidR="001C4FD6" w:rsidRPr="00B140F2">
        <w:rPr>
          <w:sz w:val="18"/>
          <w:szCs w:val="18"/>
          <w:lang w:val="de-DE"/>
        </w:rPr>
        <w:t>“</w:t>
      </w:r>
      <w:r w:rsidRPr="00B140F2">
        <w:rPr>
          <w:sz w:val="18"/>
          <w:szCs w:val="18"/>
          <w:lang w:val="de-DE"/>
        </w:rPr>
        <w:t xml:space="preserve"> </w:t>
      </w:r>
      <w:r w:rsidR="00571D7E">
        <w:rPr>
          <w:sz w:val="18"/>
          <w:szCs w:val="18"/>
          <w:lang w:val="de-DE"/>
        </w:rPr>
        <w:t>zu verstehen</w:t>
      </w:r>
      <w:r w:rsidRPr="00B140F2">
        <w:rPr>
          <w:sz w:val="18"/>
          <w:szCs w:val="18"/>
          <w:lang w:val="de-DE"/>
        </w:rPr>
        <w:t>.</w:t>
      </w:r>
    </w:p>
    <w:p w14:paraId="5493D1D0" w14:textId="77777777" w:rsidR="00F51150" w:rsidRPr="00B140F2" w:rsidRDefault="00F51150" w:rsidP="00BD4986">
      <w:pPr>
        <w:rPr>
          <w:lang w:val="de-DE"/>
        </w:rPr>
      </w:pPr>
    </w:p>
    <w:p w14:paraId="45E4F074" w14:textId="67368CB0" w:rsidR="00214329" w:rsidRPr="00B140F2" w:rsidRDefault="0060633E" w:rsidP="00BD4986">
      <w:pPr>
        <w:rPr>
          <w:rFonts w:cs="Arial"/>
          <w:lang w:val="de-DE"/>
        </w:rPr>
      </w:pPr>
      <w:r w:rsidRPr="00E83514">
        <w:rPr>
          <w:rFonts w:cs="Arial"/>
          <w:lang w:val="de-DE"/>
        </w:rPr>
        <w:fldChar w:fldCharType="begin"/>
      </w:r>
      <w:r w:rsidRPr="00B140F2">
        <w:rPr>
          <w:rFonts w:cs="Arial"/>
          <w:lang w:val="de-DE"/>
        </w:rPr>
        <w:instrText xml:space="preserve"> AUTONUM  </w:instrText>
      </w:r>
      <w:r w:rsidRPr="00E83514">
        <w:rPr>
          <w:rFonts w:cs="Arial"/>
          <w:lang w:val="de-DE"/>
        </w:rPr>
        <w:fldChar w:fldCharType="end"/>
      </w:r>
      <w:r w:rsidRPr="00B140F2">
        <w:rPr>
          <w:rFonts w:cs="Arial"/>
          <w:lang w:val="de-DE"/>
        </w:rPr>
        <w:tab/>
        <w:t xml:space="preserve">Die WG-HRV vereinbarte, dem CAJ auf seiner einundachtzigsten Tagung im Oktober 2024 vorzuschlagen, die Überarbeitung der </w:t>
      </w:r>
      <w:r w:rsidR="001C4FD6" w:rsidRPr="00B140F2">
        <w:rPr>
          <w:rFonts w:cs="Arial"/>
          <w:lang w:val="de-DE"/>
        </w:rPr>
        <w:t>„</w:t>
      </w:r>
      <w:r w:rsidRPr="00B140F2">
        <w:rPr>
          <w:rFonts w:cs="Arial"/>
          <w:lang w:val="de-DE"/>
        </w:rPr>
        <w:t>Erläuterungen zu Vermehrungsmaterial nach dem UPOV-Übereinkommen</w:t>
      </w:r>
      <w:r w:rsidR="001C4FD6" w:rsidRPr="00B140F2">
        <w:rPr>
          <w:rFonts w:cs="Arial"/>
          <w:lang w:val="de-DE"/>
        </w:rPr>
        <w:t>“</w:t>
      </w:r>
      <w:r w:rsidRPr="00B140F2">
        <w:rPr>
          <w:rFonts w:cs="Arial"/>
          <w:lang w:val="de-DE"/>
        </w:rPr>
        <w:t xml:space="preserve"> (Dokument UPOV/EXN/PPM/1) zu billigen, wie in Absatz </w:t>
      </w:r>
      <w:r w:rsidR="00D43D9A" w:rsidRPr="00B140F2">
        <w:rPr>
          <w:rFonts w:cs="Arial"/>
          <w:lang w:val="de-DE"/>
        </w:rPr>
        <w:t>28</w:t>
      </w:r>
      <w:r w:rsidR="00E20002" w:rsidRPr="00B140F2">
        <w:rPr>
          <w:rFonts w:cs="Arial"/>
          <w:lang w:val="de-DE"/>
        </w:rPr>
        <w:t xml:space="preserve"> vorstehend </w:t>
      </w:r>
      <w:r w:rsidR="00102DB6" w:rsidRPr="00B140F2">
        <w:rPr>
          <w:rFonts w:cs="Arial"/>
          <w:lang w:val="de-DE"/>
        </w:rPr>
        <w:t xml:space="preserve">und in Dokument UPOV/EXN/PPM/2 Draft 1 </w:t>
      </w:r>
      <w:r w:rsidR="003C7D05" w:rsidRPr="00B140F2">
        <w:rPr>
          <w:rFonts w:cs="Arial"/>
          <w:lang w:val="de-DE"/>
        </w:rPr>
        <w:t xml:space="preserve">dargelegt </w:t>
      </w:r>
      <w:r w:rsidR="004E5A80" w:rsidRPr="00B140F2">
        <w:rPr>
          <w:rFonts w:cs="Arial"/>
          <w:lang w:val="de-DE"/>
        </w:rPr>
        <w:t xml:space="preserve">(vergleiche Dokument WG-HRV/4/3 </w:t>
      </w:r>
      <w:r w:rsidR="001C4FD6" w:rsidRPr="00B140F2">
        <w:rPr>
          <w:rFonts w:cs="Arial"/>
          <w:lang w:val="de-DE"/>
        </w:rPr>
        <w:t>„</w:t>
      </w:r>
      <w:r w:rsidR="003C7D05" w:rsidRPr="00B140F2">
        <w:rPr>
          <w:rFonts w:cs="Arial"/>
          <w:lang w:val="de-DE"/>
        </w:rPr>
        <w:t>Report</w:t>
      </w:r>
      <w:r w:rsidR="001C4FD6" w:rsidRPr="00B140F2">
        <w:rPr>
          <w:rFonts w:cs="Arial"/>
          <w:lang w:val="de-DE"/>
        </w:rPr>
        <w:t>“</w:t>
      </w:r>
      <w:r w:rsidR="004E5A80" w:rsidRPr="00B140F2">
        <w:rPr>
          <w:rFonts w:cs="Arial"/>
          <w:lang w:val="de-DE"/>
        </w:rPr>
        <w:t>, Absätze 6 und 7)</w:t>
      </w:r>
      <w:r w:rsidRPr="00B140F2">
        <w:rPr>
          <w:rFonts w:cs="Arial"/>
          <w:lang w:val="de-DE"/>
        </w:rPr>
        <w:t>.</w:t>
      </w:r>
    </w:p>
    <w:p w14:paraId="7AE96E73" w14:textId="77777777" w:rsidR="00F51150" w:rsidRPr="00B140F2" w:rsidRDefault="00F51150" w:rsidP="00BD4986">
      <w:pPr>
        <w:rPr>
          <w:rFonts w:cs="Arial"/>
          <w:spacing w:val="-4"/>
          <w:lang w:val="de-DE"/>
        </w:rPr>
      </w:pPr>
    </w:p>
    <w:p w14:paraId="683F2996" w14:textId="0D053D29" w:rsidR="00214329" w:rsidRPr="00B140F2" w:rsidRDefault="0060633E" w:rsidP="00BD4986">
      <w:pPr>
        <w:rPr>
          <w:sz w:val="18"/>
          <w:szCs w:val="18"/>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Vorbehaltlich </w:t>
      </w:r>
      <w:r w:rsidR="008C0A3D" w:rsidRPr="00B140F2">
        <w:rPr>
          <w:lang w:val="de-DE"/>
        </w:rPr>
        <w:t>der Zustimmung durch den</w:t>
      </w:r>
      <w:r w:rsidRPr="00B140F2">
        <w:rPr>
          <w:lang w:val="de-DE"/>
        </w:rPr>
        <w:t xml:space="preserve"> CAJ auf seiner einundachtzigsten </w:t>
      </w:r>
      <w:r w:rsidR="00464346">
        <w:rPr>
          <w:lang w:val="de-DE"/>
        </w:rPr>
        <w:t xml:space="preserve">Tagung soll dem Rat </w:t>
      </w:r>
      <w:r w:rsidRPr="00B140F2">
        <w:rPr>
          <w:lang w:val="de-DE"/>
        </w:rPr>
        <w:t xml:space="preserve">auf seiner achtundfünfzigsten ordentlichen Tagung eine vereinbarte Fassung des Dokuments UPOV/EXN/PPM </w:t>
      </w:r>
      <w:r w:rsidR="001C4FD6" w:rsidRPr="00B140F2">
        <w:rPr>
          <w:lang w:val="de-DE"/>
        </w:rPr>
        <w:t>„</w:t>
      </w:r>
      <w:r w:rsidRPr="00B140F2">
        <w:rPr>
          <w:rFonts w:cs="Arial"/>
          <w:spacing w:val="-4"/>
          <w:lang w:val="de-DE"/>
        </w:rPr>
        <w:t>Erläuterungen zu Vermehrungsmaterial nach dem UPOV-Übereinkommen</w:t>
      </w:r>
      <w:r w:rsidR="001C4FD6" w:rsidRPr="00B140F2">
        <w:rPr>
          <w:lang w:val="de-DE"/>
        </w:rPr>
        <w:t>“</w:t>
      </w:r>
      <w:r w:rsidR="000A4626" w:rsidRPr="00B140F2">
        <w:rPr>
          <w:lang w:val="de-DE"/>
        </w:rPr>
        <w:t xml:space="preserve"> a</w:t>
      </w:r>
      <w:r w:rsidRPr="00B140F2">
        <w:rPr>
          <w:lang w:val="de-DE"/>
        </w:rPr>
        <w:t xml:space="preserve">ufgrund der </w:t>
      </w:r>
      <w:r w:rsidRPr="00B140F2">
        <w:rPr>
          <w:spacing w:val="-2"/>
          <w:lang w:val="de-DE"/>
        </w:rPr>
        <w:t xml:space="preserve">in Dokument </w:t>
      </w:r>
      <w:r w:rsidRPr="00B140F2">
        <w:rPr>
          <w:rFonts w:cs="Arial"/>
          <w:lang w:val="de-DE"/>
        </w:rPr>
        <w:t xml:space="preserve">UPOV/EXN/PPM/2 Draft 1 </w:t>
      </w:r>
      <w:r w:rsidRPr="00B140F2">
        <w:rPr>
          <w:lang w:val="de-DE"/>
        </w:rPr>
        <w:t>enthaltenen Überarbeitungsvorschläge zur Annahme vorgelegt werden</w:t>
      </w:r>
      <w:r w:rsidRPr="00B140F2">
        <w:rPr>
          <w:rFonts w:cs="Arial"/>
          <w:lang w:val="de-DE"/>
        </w:rPr>
        <w:t>.</w:t>
      </w:r>
    </w:p>
    <w:p w14:paraId="5A2B4A6A" w14:textId="77777777" w:rsidR="00F51150" w:rsidRPr="00B140F2" w:rsidRDefault="00F51150" w:rsidP="00BD4986">
      <w:pPr>
        <w:rPr>
          <w:lang w:val="de-DE"/>
        </w:rPr>
      </w:pPr>
    </w:p>
    <w:p w14:paraId="49D2A610" w14:textId="105B38DF" w:rsidR="00214329" w:rsidRPr="004C65FA" w:rsidRDefault="0060633E" w:rsidP="004C65FA">
      <w:pPr>
        <w:pStyle w:val="DecisionParagraphs"/>
        <w:tabs>
          <w:tab w:val="clear" w:pos="5387"/>
          <w:tab w:val="left" w:pos="5245"/>
        </w:tabs>
        <w:ind w:left="4678"/>
        <w:rPr>
          <w:spacing w:val="-2"/>
          <w:lang w:val="de-DE"/>
        </w:rPr>
      </w:pPr>
      <w:r w:rsidRPr="004C65FA">
        <w:rPr>
          <w:spacing w:val="-2"/>
          <w:lang w:val="de-DE"/>
        </w:rPr>
        <w:fldChar w:fldCharType="begin"/>
      </w:r>
      <w:r w:rsidRPr="004C65FA">
        <w:rPr>
          <w:spacing w:val="-2"/>
          <w:lang w:val="de-DE"/>
        </w:rPr>
        <w:instrText xml:space="preserve"> AUTONUM  </w:instrText>
      </w:r>
      <w:r w:rsidRPr="004C65FA">
        <w:rPr>
          <w:spacing w:val="-2"/>
          <w:lang w:val="de-DE"/>
        </w:rPr>
        <w:fldChar w:fldCharType="end"/>
      </w:r>
      <w:r w:rsidRPr="004C65FA">
        <w:rPr>
          <w:spacing w:val="-2"/>
          <w:lang w:val="de-DE"/>
        </w:rPr>
        <w:tab/>
      </w:r>
      <w:bookmarkStart w:id="22" w:name="_Hlk176258973"/>
      <w:r w:rsidRPr="004C65FA">
        <w:rPr>
          <w:spacing w:val="-2"/>
          <w:lang w:val="de-DE"/>
        </w:rPr>
        <w:t xml:space="preserve">Der Rat wird ersucht, eine Überarbeitung des Dokuments UPOV/EXN/PPM/1 </w:t>
      </w:r>
      <w:r w:rsidR="001C4FD6" w:rsidRPr="004C65FA">
        <w:rPr>
          <w:spacing w:val="-2"/>
          <w:lang w:val="de-DE"/>
        </w:rPr>
        <w:t>„</w:t>
      </w:r>
      <w:r w:rsidRPr="004C65FA">
        <w:rPr>
          <w:spacing w:val="-2"/>
          <w:lang w:val="de-DE"/>
        </w:rPr>
        <w:t>Erläuterungen zu Vermehrungsmaterial nach dem UPOV-Übereinkommen</w:t>
      </w:r>
      <w:r w:rsidR="001C4FD6" w:rsidRPr="004C65FA">
        <w:rPr>
          <w:spacing w:val="-2"/>
          <w:lang w:val="de-DE"/>
        </w:rPr>
        <w:t>“</w:t>
      </w:r>
      <w:r w:rsidRPr="004C65FA">
        <w:rPr>
          <w:spacing w:val="-2"/>
          <w:lang w:val="de-DE"/>
        </w:rPr>
        <w:t xml:space="preserve"> </w:t>
      </w:r>
      <w:r w:rsidR="00464346" w:rsidRPr="004C65FA">
        <w:rPr>
          <w:spacing w:val="-2"/>
          <w:lang w:val="de-DE"/>
        </w:rPr>
        <w:t xml:space="preserve">aufgrund der </w:t>
      </w:r>
      <w:r w:rsidRPr="004C65FA">
        <w:rPr>
          <w:spacing w:val="-2"/>
          <w:lang w:val="de-DE"/>
        </w:rPr>
        <w:t xml:space="preserve">in Dokument </w:t>
      </w:r>
      <w:r w:rsidRPr="004C65FA">
        <w:rPr>
          <w:rFonts w:cs="Arial"/>
          <w:spacing w:val="-2"/>
          <w:lang w:val="de-DE"/>
        </w:rPr>
        <w:t>UPOV/EXN/PPM/2</w:t>
      </w:r>
      <w:r w:rsidR="00DF495C" w:rsidRPr="004C65FA">
        <w:rPr>
          <w:rFonts w:cs="Arial"/>
          <w:spacing w:val="-2"/>
          <w:lang w:val="de-DE"/>
        </w:rPr>
        <w:t> </w:t>
      </w:r>
      <w:r w:rsidRPr="004C65FA">
        <w:rPr>
          <w:rFonts w:cs="Arial"/>
          <w:spacing w:val="-2"/>
          <w:lang w:val="de-DE"/>
        </w:rPr>
        <w:t>Draft</w:t>
      </w:r>
      <w:r w:rsidR="00DF495C" w:rsidRPr="004C65FA">
        <w:rPr>
          <w:rFonts w:cs="Arial"/>
          <w:spacing w:val="-2"/>
          <w:lang w:val="de-DE"/>
        </w:rPr>
        <w:t> </w:t>
      </w:r>
      <w:r w:rsidRPr="004C65FA">
        <w:rPr>
          <w:rFonts w:cs="Arial"/>
          <w:spacing w:val="-2"/>
          <w:lang w:val="de-DE"/>
        </w:rPr>
        <w:t xml:space="preserve">1 </w:t>
      </w:r>
      <w:r w:rsidR="00096370" w:rsidRPr="004C65FA">
        <w:rPr>
          <w:spacing w:val="-2"/>
          <w:lang w:val="de-DE"/>
        </w:rPr>
        <w:t>enthaltenen Überarbeitungsvorschläge</w:t>
      </w:r>
      <w:r w:rsidRPr="004C65FA">
        <w:rPr>
          <w:spacing w:val="-2"/>
          <w:lang w:val="de-DE"/>
        </w:rPr>
        <w:t xml:space="preserve">, vorbehaltlich </w:t>
      </w:r>
      <w:r w:rsidR="008C0A3D" w:rsidRPr="004C65FA">
        <w:rPr>
          <w:spacing w:val="-2"/>
          <w:lang w:val="de-DE"/>
        </w:rPr>
        <w:t>der Zustimmung durch den</w:t>
      </w:r>
      <w:r w:rsidRPr="004C65FA">
        <w:rPr>
          <w:spacing w:val="-2"/>
          <w:lang w:val="de-DE"/>
        </w:rPr>
        <w:t xml:space="preserve"> CAJ </w:t>
      </w:r>
      <w:r w:rsidR="00CF484C" w:rsidRPr="004C65FA">
        <w:rPr>
          <w:spacing w:val="-2"/>
          <w:lang w:val="de-DE"/>
        </w:rPr>
        <w:t>auf seiner Tagung</w:t>
      </w:r>
      <w:r w:rsidRPr="004C65FA">
        <w:rPr>
          <w:spacing w:val="-2"/>
          <w:lang w:val="de-DE"/>
        </w:rPr>
        <w:t xml:space="preserve"> im Jahre</w:t>
      </w:r>
      <w:r w:rsidR="00094E35">
        <w:rPr>
          <w:spacing w:val="-2"/>
          <w:lang w:val="de-DE"/>
        </w:rPr>
        <w:t> </w:t>
      </w:r>
      <w:r w:rsidRPr="004C65FA">
        <w:rPr>
          <w:spacing w:val="-2"/>
          <w:lang w:val="de-DE"/>
        </w:rPr>
        <w:t>2024</w:t>
      </w:r>
      <w:r w:rsidR="003C7D05" w:rsidRPr="004C65FA">
        <w:rPr>
          <w:spacing w:val="-2"/>
          <w:lang w:val="de-DE"/>
        </w:rPr>
        <w:t>, anzunehmen</w:t>
      </w:r>
      <w:r w:rsidRPr="004C65FA">
        <w:rPr>
          <w:spacing w:val="-2"/>
          <w:lang w:val="de-DE"/>
        </w:rPr>
        <w:t>.</w:t>
      </w:r>
      <w:bookmarkEnd w:id="22"/>
    </w:p>
    <w:p w14:paraId="3139A0AF" w14:textId="77777777" w:rsidR="00D7688A" w:rsidRPr="00B140F2" w:rsidRDefault="00D7688A" w:rsidP="00BD4986">
      <w:pPr>
        <w:rPr>
          <w:lang w:val="de-DE"/>
        </w:rPr>
      </w:pPr>
    </w:p>
    <w:p w14:paraId="0AD6307F" w14:textId="5A9CC632" w:rsidR="00214329" w:rsidRPr="00B140F2" w:rsidRDefault="00AA447E" w:rsidP="00BD4986">
      <w:pPr>
        <w:pStyle w:val="Heading2"/>
        <w:rPr>
          <w:lang w:val="de-DE"/>
        </w:rPr>
      </w:pPr>
      <w:bookmarkStart w:id="23" w:name="_Toc177493444"/>
      <w:r>
        <w:rPr>
          <w:lang w:val="de-DE"/>
        </w:rPr>
        <w:t>Weitere Dokumente zur Annahme durch den Rat</w:t>
      </w:r>
      <w:bookmarkEnd w:id="23"/>
    </w:p>
    <w:p w14:paraId="560F2039" w14:textId="77777777" w:rsidR="00DB15A5" w:rsidRPr="00B140F2" w:rsidRDefault="00DB15A5" w:rsidP="00BD4986">
      <w:pPr>
        <w:keepNext/>
        <w:rPr>
          <w:lang w:val="de-DE"/>
        </w:rPr>
      </w:pPr>
    </w:p>
    <w:p w14:paraId="1D540B5E" w14:textId="2A929CC7" w:rsidR="00214329" w:rsidRPr="00B140F2" w:rsidRDefault="0060633E" w:rsidP="00BD4986">
      <w:pPr>
        <w:pStyle w:val="Heading3"/>
        <w:spacing w:line="240" w:lineRule="auto"/>
        <w:rPr>
          <w:lang w:val="de-DE"/>
        </w:rPr>
      </w:pPr>
      <w:bookmarkStart w:id="24" w:name="_Toc177493445"/>
      <w:r w:rsidRPr="00B140F2">
        <w:rPr>
          <w:lang w:val="de-DE"/>
        </w:rPr>
        <w:t>UPOV/INF/6:</w:t>
      </w:r>
      <w:bookmarkStart w:id="25" w:name="_Hlk176332921"/>
      <w:r w:rsidRPr="00B140F2">
        <w:rPr>
          <w:lang w:val="de-DE"/>
        </w:rPr>
        <w:t xml:space="preserve"> Anleitung zur Ausarbeitung von Rechtsvorschriften aufgrund der Akte von 1991 des UPOV</w:t>
      </w:r>
      <w:r w:rsidR="00D93345">
        <w:rPr>
          <w:lang w:val="de-DE"/>
        </w:rPr>
        <w:noBreakHyphen/>
      </w:r>
      <w:r w:rsidRPr="00B140F2">
        <w:rPr>
          <w:lang w:val="de-DE"/>
        </w:rPr>
        <w:t>Übereinkommens (</w:t>
      </w:r>
      <w:r w:rsidR="000B089C" w:rsidRPr="00B140F2">
        <w:rPr>
          <w:lang w:val="de-DE"/>
        </w:rPr>
        <w:t>Überarbeitung</w:t>
      </w:r>
      <w:r w:rsidRPr="00B140F2">
        <w:rPr>
          <w:lang w:val="de-DE"/>
        </w:rPr>
        <w:t>)</w:t>
      </w:r>
      <w:bookmarkEnd w:id="25"/>
      <w:r w:rsidRPr="00B140F2">
        <w:rPr>
          <w:lang w:val="de-DE"/>
        </w:rPr>
        <w:t xml:space="preserve"> (Dokument </w:t>
      </w:r>
      <w:r w:rsidR="002E1CDA" w:rsidRPr="00B140F2">
        <w:rPr>
          <w:lang w:val="de-DE"/>
        </w:rPr>
        <w:t>SESSIONS/2024/2</w:t>
      </w:r>
      <w:r w:rsidRPr="00B140F2">
        <w:rPr>
          <w:lang w:val="de-DE"/>
        </w:rPr>
        <w:t xml:space="preserve">, Anlage </w:t>
      </w:r>
      <w:r w:rsidR="002E1CDA" w:rsidRPr="00B140F2">
        <w:rPr>
          <w:lang w:val="de-DE"/>
        </w:rPr>
        <w:t>VI</w:t>
      </w:r>
      <w:r w:rsidRPr="00B140F2">
        <w:rPr>
          <w:lang w:val="de-DE"/>
        </w:rPr>
        <w:t>)</w:t>
      </w:r>
      <w:bookmarkEnd w:id="24"/>
    </w:p>
    <w:p w14:paraId="3C44D4C3" w14:textId="77777777" w:rsidR="48C6B086" w:rsidRPr="00B140F2" w:rsidRDefault="48C6B086" w:rsidP="00BD4986">
      <w:pPr>
        <w:rPr>
          <w:lang w:val="de-DE"/>
        </w:rPr>
      </w:pPr>
    </w:p>
    <w:p w14:paraId="37A31ED9" w14:textId="12C7762A" w:rsidR="00214329" w:rsidRPr="00B140F2" w:rsidRDefault="0060633E" w:rsidP="00BD4986">
      <w:pPr>
        <w:rPr>
          <w:lang w:val="de-DE"/>
        </w:rPr>
      </w:pPr>
      <w:r w:rsidRPr="00E83514">
        <w:rPr>
          <w:rFonts w:eastAsia="Arial" w:cs="Arial"/>
          <w:lang w:val="de-DE"/>
        </w:rPr>
        <w:fldChar w:fldCharType="begin"/>
      </w:r>
      <w:r w:rsidRPr="00B140F2">
        <w:rPr>
          <w:rFonts w:eastAsia="Arial" w:cs="Arial"/>
          <w:lang w:val="de-DE"/>
        </w:rPr>
        <w:instrText xml:space="preserve"> AUTONUM  </w:instrText>
      </w:r>
      <w:r w:rsidRPr="00E83514">
        <w:rPr>
          <w:rFonts w:eastAsia="Arial" w:cs="Arial"/>
          <w:lang w:val="de-DE"/>
        </w:rPr>
        <w:fldChar w:fldCharType="end"/>
      </w:r>
      <w:r w:rsidRPr="00B140F2">
        <w:rPr>
          <w:rFonts w:eastAsia="Arial" w:cs="Arial"/>
          <w:lang w:val="de-DE"/>
        </w:rPr>
        <w:tab/>
      </w:r>
      <w:r w:rsidR="15C6B563" w:rsidRPr="00B140F2">
        <w:rPr>
          <w:rFonts w:eastAsia="Arial" w:cs="Arial"/>
          <w:lang w:val="de-DE"/>
        </w:rPr>
        <w:t xml:space="preserve">Das Dokument UPOV/INF/6, Teil II </w:t>
      </w:r>
      <w:r w:rsidR="001C4FD6" w:rsidRPr="00B140F2">
        <w:rPr>
          <w:rFonts w:eastAsia="Arial" w:cs="Arial"/>
          <w:lang w:val="de-DE"/>
        </w:rPr>
        <w:t>„</w:t>
      </w:r>
      <w:r w:rsidR="003C7D05" w:rsidRPr="00B140F2">
        <w:rPr>
          <w:rFonts w:eastAsia="Arial" w:cs="Arial"/>
          <w:lang w:val="de-DE"/>
        </w:rPr>
        <w:t xml:space="preserve">Anmerkungen </w:t>
      </w:r>
      <w:r w:rsidR="009E2BCC" w:rsidRPr="00B140F2">
        <w:rPr>
          <w:rFonts w:eastAsia="Arial" w:cs="Arial"/>
          <w:lang w:val="de-DE"/>
        </w:rPr>
        <w:t>aufgrund von Informationsmaterial zu bestimmten Artikeln der Akte von 1991 des UPOV-Übereinkommens</w:t>
      </w:r>
      <w:r w:rsidR="001C4FD6" w:rsidRPr="00B140F2">
        <w:rPr>
          <w:rFonts w:eastAsia="Arial" w:cs="Arial"/>
          <w:lang w:val="de-DE"/>
        </w:rPr>
        <w:t>“</w:t>
      </w:r>
      <w:r w:rsidR="15C6B563" w:rsidRPr="00B140F2">
        <w:rPr>
          <w:rFonts w:eastAsia="Arial" w:cs="Arial"/>
          <w:lang w:val="de-DE"/>
        </w:rPr>
        <w:t xml:space="preserve"> enthält Auszüge aus den </w:t>
      </w:r>
      <w:r w:rsidR="00096C85" w:rsidRPr="00B140F2">
        <w:rPr>
          <w:rFonts w:eastAsia="Arial" w:cs="Arial"/>
          <w:lang w:val="de-DE"/>
        </w:rPr>
        <w:t>Erläuterungen</w:t>
      </w:r>
      <w:r w:rsidR="15C6B563" w:rsidRPr="00B140F2">
        <w:rPr>
          <w:rFonts w:eastAsia="Arial" w:cs="Arial"/>
          <w:lang w:val="de-DE"/>
        </w:rPr>
        <w:t>.</w:t>
      </w:r>
    </w:p>
    <w:p w14:paraId="07E334CA" w14:textId="77777777" w:rsidR="00C6434A" w:rsidRPr="00B140F2" w:rsidRDefault="00C6434A" w:rsidP="00BD4986">
      <w:pPr>
        <w:rPr>
          <w:lang w:val="de-DE"/>
        </w:rPr>
      </w:pPr>
    </w:p>
    <w:p w14:paraId="326CE793" w14:textId="4A65756E" w:rsidR="00214329" w:rsidRPr="00B140F2" w:rsidRDefault="0060633E" w:rsidP="00BD4986">
      <w:pPr>
        <w:rPr>
          <w:lang w:val="de-DE"/>
        </w:rPr>
      </w:pPr>
      <w:r w:rsidRPr="00E83514">
        <w:rPr>
          <w:rFonts w:eastAsia="Arial" w:cs="Arial"/>
          <w:lang w:val="de-DE"/>
        </w:rPr>
        <w:fldChar w:fldCharType="begin"/>
      </w:r>
      <w:r w:rsidRPr="00B140F2">
        <w:rPr>
          <w:rFonts w:eastAsia="Arial" w:cs="Arial"/>
          <w:lang w:val="de-DE"/>
        </w:rPr>
        <w:instrText xml:space="preserve"> AUTONUM  </w:instrText>
      </w:r>
      <w:r w:rsidRPr="00E83514">
        <w:rPr>
          <w:rFonts w:eastAsia="Arial" w:cs="Arial"/>
          <w:lang w:val="de-DE"/>
        </w:rPr>
        <w:fldChar w:fldCharType="end"/>
      </w:r>
      <w:r w:rsidRPr="00B140F2">
        <w:rPr>
          <w:rFonts w:eastAsia="Arial" w:cs="Arial"/>
          <w:lang w:val="de-DE"/>
        </w:rPr>
        <w:tab/>
      </w:r>
      <w:r w:rsidR="15C6B563" w:rsidRPr="00B140F2">
        <w:rPr>
          <w:rFonts w:eastAsia="Arial" w:cs="Arial"/>
          <w:lang w:val="de-DE"/>
        </w:rPr>
        <w:t xml:space="preserve">Der Rat nahm auf seiner siebenundfünfzigsten </w:t>
      </w:r>
      <w:r w:rsidR="002F3B66" w:rsidRPr="00B140F2">
        <w:rPr>
          <w:rFonts w:eastAsia="Arial" w:cs="Arial"/>
          <w:lang w:val="de-DE"/>
        </w:rPr>
        <w:t xml:space="preserve">ordentlichen </w:t>
      </w:r>
      <w:r w:rsidR="15C6B563" w:rsidRPr="00B140F2">
        <w:rPr>
          <w:rFonts w:eastAsia="Arial" w:cs="Arial"/>
          <w:lang w:val="de-DE"/>
        </w:rPr>
        <w:t xml:space="preserve">Tagung </w:t>
      </w:r>
      <w:r w:rsidR="00B02466" w:rsidRPr="00B140F2">
        <w:rPr>
          <w:rFonts w:eastAsia="Arial" w:cs="Arial"/>
          <w:lang w:val="de-DE"/>
        </w:rPr>
        <w:t xml:space="preserve">eine </w:t>
      </w:r>
      <w:r w:rsidR="15C6B563" w:rsidRPr="00B140F2">
        <w:rPr>
          <w:rFonts w:eastAsia="Arial" w:cs="Arial"/>
          <w:lang w:val="de-DE"/>
        </w:rPr>
        <w:t xml:space="preserve">Überarbeitung </w:t>
      </w:r>
      <w:r w:rsidR="00B02466" w:rsidRPr="00B140F2">
        <w:rPr>
          <w:rFonts w:eastAsia="Arial" w:cs="Arial"/>
          <w:lang w:val="de-DE"/>
        </w:rPr>
        <w:t xml:space="preserve">des </w:t>
      </w:r>
      <w:r w:rsidR="15C6B563" w:rsidRPr="00B140F2">
        <w:rPr>
          <w:rFonts w:eastAsia="Arial" w:cs="Arial"/>
          <w:lang w:val="de-DE"/>
        </w:rPr>
        <w:t xml:space="preserve">Dokuments UPOV/EXN/EDV/2 </w:t>
      </w:r>
      <w:r w:rsidR="001C4FD6" w:rsidRPr="00B140F2">
        <w:rPr>
          <w:rFonts w:eastAsia="Arial" w:cs="Arial"/>
          <w:lang w:val="de-DE"/>
        </w:rPr>
        <w:t>„</w:t>
      </w:r>
      <w:r w:rsidR="003C7D05" w:rsidRPr="00B140F2">
        <w:rPr>
          <w:rFonts w:eastAsia="Arial" w:cs="Arial"/>
          <w:lang w:val="de-DE"/>
        </w:rPr>
        <w:t>Erläuterungen zu den im wesentlichen</w:t>
      </w:r>
      <w:r w:rsidR="15C6B563" w:rsidRPr="00B140F2">
        <w:rPr>
          <w:rFonts w:eastAsia="Arial" w:cs="Arial"/>
          <w:lang w:val="de-DE"/>
        </w:rPr>
        <w:t xml:space="preserve"> abgeleiteten Sorten nach der </w:t>
      </w:r>
      <w:r w:rsidR="00094E35">
        <w:rPr>
          <w:rFonts w:eastAsia="Arial" w:cs="Arial"/>
          <w:lang w:val="de-DE"/>
        </w:rPr>
        <w:br/>
      </w:r>
      <w:r w:rsidR="15C6B563" w:rsidRPr="00B140F2">
        <w:rPr>
          <w:rFonts w:eastAsia="Arial" w:cs="Arial"/>
          <w:lang w:val="de-DE"/>
        </w:rPr>
        <w:t>Akte von 1991 des UPOV-Übereinkommens</w:t>
      </w:r>
      <w:r w:rsidR="001C4FD6" w:rsidRPr="00B140F2">
        <w:rPr>
          <w:rFonts w:eastAsia="Arial" w:cs="Arial"/>
          <w:lang w:val="de-DE"/>
        </w:rPr>
        <w:t>“</w:t>
      </w:r>
      <w:r w:rsidR="15C6B563" w:rsidRPr="00B140F2">
        <w:rPr>
          <w:rFonts w:eastAsia="Arial" w:cs="Arial"/>
          <w:lang w:val="de-DE"/>
        </w:rPr>
        <w:t xml:space="preserve"> </w:t>
      </w:r>
      <w:r w:rsidR="00967291" w:rsidRPr="00B140F2">
        <w:rPr>
          <w:rFonts w:eastAsia="Arial" w:cs="Arial"/>
          <w:lang w:val="de-DE"/>
        </w:rPr>
        <w:t xml:space="preserve">(Dokument UPOV/EXN/EDV/3) </w:t>
      </w:r>
      <w:r w:rsidR="00E911F3" w:rsidRPr="00B140F2">
        <w:rPr>
          <w:rFonts w:eastAsia="Arial" w:cs="Arial"/>
          <w:lang w:val="de-DE"/>
        </w:rPr>
        <w:t>aufgrund des Dokuments</w:t>
      </w:r>
      <w:r w:rsidR="15C6B563" w:rsidRPr="00B140F2">
        <w:rPr>
          <w:rFonts w:eastAsia="Arial" w:cs="Arial"/>
          <w:lang w:val="de-DE"/>
        </w:rPr>
        <w:t xml:space="preserve"> UPOV/EXN/EDV/3</w:t>
      </w:r>
      <w:r w:rsidR="004C65FA">
        <w:rPr>
          <w:rFonts w:eastAsia="Arial" w:cs="Arial"/>
          <w:lang w:val="de-DE"/>
        </w:rPr>
        <w:t> </w:t>
      </w:r>
      <w:r w:rsidR="15C6B563" w:rsidRPr="00B140F2">
        <w:rPr>
          <w:rFonts w:eastAsia="Arial" w:cs="Arial"/>
          <w:lang w:val="de-DE"/>
        </w:rPr>
        <w:t>Draft</w:t>
      </w:r>
      <w:r w:rsidR="004C65FA">
        <w:rPr>
          <w:rFonts w:eastAsia="Arial" w:cs="Arial"/>
          <w:lang w:val="de-DE"/>
        </w:rPr>
        <w:t> </w:t>
      </w:r>
      <w:r w:rsidR="15C6B563" w:rsidRPr="00B140F2">
        <w:rPr>
          <w:rFonts w:eastAsia="Arial" w:cs="Arial"/>
          <w:lang w:val="de-DE"/>
        </w:rPr>
        <w:t>4 an</w:t>
      </w:r>
      <w:r w:rsidR="001435BF" w:rsidRPr="00B140F2">
        <w:rPr>
          <w:rFonts w:eastAsia="Arial" w:cs="Arial"/>
          <w:lang w:val="de-DE"/>
        </w:rPr>
        <w:t>.</w:t>
      </w:r>
    </w:p>
    <w:p w14:paraId="16FCC31A" w14:textId="77777777" w:rsidR="00724212" w:rsidRPr="00B140F2" w:rsidRDefault="00724212" w:rsidP="00BD4986">
      <w:pPr>
        <w:rPr>
          <w:rFonts w:eastAsia="Arial" w:cs="Arial"/>
          <w:lang w:val="de-DE"/>
        </w:rPr>
      </w:pPr>
    </w:p>
    <w:p w14:paraId="79D587F8" w14:textId="264A2099" w:rsidR="00214329" w:rsidRPr="00B140F2" w:rsidRDefault="0060633E" w:rsidP="00BD4986">
      <w:pPr>
        <w:rPr>
          <w:rFonts w:eastAsia="Arial" w:cs="Arial"/>
          <w:lang w:val="de-DE"/>
        </w:rPr>
      </w:pPr>
      <w:r w:rsidRPr="00E83514">
        <w:rPr>
          <w:rFonts w:eastAsia="Arial" w:cs="Arial"/>
          <w:lang w:val="de-DE"/>
        </w:rPr>
        <w:fldChar w:fldCharType="begin"/>
      </w:r>
      <w:r w:rsidRPr="00B140F2">
        <w:rPr>
          <w:rFonts w:eastAsia="Arial" w:cs="Arial"/>
          <w:lang w:val="de-DE"/>
        </w:rPr>
        <w:instrText xml:space="preserve"> AUTONUM  </w:instrText>
      </w:r>
      <w:r w:rsidRPr="00E83514">
        <w:rPr>
          <w:rFonts w:eastAsia="Arial" w:cs="Arial"/>
          <w:lang w:val="de-DE"/>
        </w:rPr>
        <w:fldChar w:fldCharType="end"/>
      </w:r>
      <w:r w:rsidRPr="00B140F2">
        <w:rPr>
          <w:rFonts w:eastAsia="Arial" w:cs="Arial"/>
          <w:lang w:val="de-DE"/>
        </w:rPr>
        <w:tab/>
        <w:t xml:space="preserve">Der Rat wird </w:t>
      </w:r>
      <w:r w:rsidR="00AA447E">
        <w:rPr>
          <w:rFonts w:eastAsia="Arial" w:cs="Arial"/>
          <w:lang w:val="de-DE"/>
        </w:rPr>
        <w:t xml:space="preserve">auf seiner achtundfünfzigsten ordentlichen Tagung ersucht werden, </w:t>
      </w:r>
      <w:r w:rsidRPr="00B140F2">
        <w:rPr>
          <w:rFonts w:eastAsia="Arial" w:cs="Arial"/>
          <w:lang w:val="de-DE"/>
        </w:rPr>
        <w:t>eine Überarbeitung des Dokuments UPOV/EXN/DEN/</w:t>
      </w:r>
      <w:r w:rsidR="00931B39">
        <w:rPr>
          <w:rFonts w:eastAsia="Arial" w:cs="Arial"/>
          <w:lang w:val="de-DE"/>
        </w:rPr>
        <w:t>3</w:t>
      </w:r>
      <w:r w:rsidRPr="00B140F2">
        <w:rPr>
          <w:rFonts w:eastAsia="Arial" w:cs="Arial"/>
          <w:lang w:val="de-DE"/>
        </w:rPr>
        <w:t xml:space="preserve"> </w:t>
      </w:r>
      <w:r w:rsidR="001C4FD6" w:rsidRPr="00B140F2">
        <w:rPr>
          <w:rFonts w:eastAsia="Arial" w:cs="Arial"/>
          <w:lang w:val="de-DE"/>
        </w:rPr>
        <w:t>„</w:t>
      </w:r>
      <w:r w:rsidRPr="00B140F2">
        <w:rPr>
          <w:rFonts w:eastAsia="Arial" w:cs="Arial"/>
          <w:lang w:val="de-DE"/>
        </w:rPr>
        <w:t>Erläuterungen zu Sortenbezeichnungen nach dem UPOV-Übereinkommen</w:t>
      </w:r>
      <w:r w:rsidR="001C4FD6" w:rsidRPr="00B140F2">
        <w:rPr>
          <w:rFonts w:eastAsia="Arial" w:cs="Arial"/>
          <w:lang w:val="de-DE"/>
        </w:rPr>
        <w:t>“</w:t>
      </w:r>
      <w:r w:rsidRPr="00B140F2">
        <w:rPr>
          <w:rFonts w:eastAsia="Arial" w:cs="Arial"/>
          <w:lang w:val="de-DE"/>
        </w:rPr>
        <w:t xml:space="preserve"> </w:t>
      </w:r>
      <w:r w:rsidR="00931B39">
        <w:rPr>
          <w:rFonts w:eastAsia="Arial" w:cs="Arial"/>
          <w:lang w:val="de-DE"/>
        </w:rPr>
        <w:t xml:space="preserve">(Dokument </w:t>
      </w:r>
      <w:r w:rsidR="00931B39" w:rsidRPr="00B140F2">
        <w:rPr>
          <w:rFonts w:eastAsia="Arial" w:cs="Arial"/>
          <w:lang w:val="de-DE"/>
        </w:rPr>
        <w:t>UPOV/EXN/DEN/</w:t>
      </w:r>
      <w:r w:rsidR="00931B39">
        <w:rPr>
          <w:rFonts w:eastAsia="Arial" w:cs="Arial"/>
          <w:lang w:val="de-DE"/>
        </w:rPr>
        <w:t xml:space="preserve">4) </w:t>
      </w:r>
      <w:r w:rsidR="00464346">
        <w:rPr>
          <w:rFonts w:eastAsia="Arial" w:cs="Arial"/>
          <w:lang w:val="de-DE"/>
        </w:rPr>
        <w:t xml:space="preserve">aufgrund der </w:t>
      </w:r>
      <w:r w:rsidRPr="00B140F2">
        <w:rPr>
          <w:rFonts w:eastAsia="Arial" w:cs="Arial"/>
          <w:lang w:val="de-DE"/>
        </w:rPr>
        <w:t xml:space="preserve">in Anlage I, Abschnitt </w:t>
      </w:r>
      <w:r w:rsidR="001C4FD6" w:rsidRPr="00B140F2">
        <w:rPr>
          <w:rFonts w:eastAsia="Arial" w:cs="Arial"/>
          <w:lang w:val="de-DE"/>
        </w:rPr>
        <w:t>„</w:t>
      </w:r>
      <w:r w:rsidRPr="00B140F2">
        <w:rPr>
          <w:rFonts w:eastAsia="Arial" w:cs="Arial"/>
          <w:lang w:val="de-DE"/>
        </w:rPr>
        <w:t xml:space="preserve">Vorschlag: Neue Sortenbezeichnungsklassen für </w:t>
      </w:r>
      <w:r w:rsidRPr="00B9517C">
        <w:rPr>
          <w:rFonts w:eastAsia="Arial" w:cs="Arial"/>
          <w:lang w:val="de-DE"/>
        </w:rPr>
        <w:t>Prunus</w:t>
      </w:r>
      <w:r w:rsidR="001C4FD6" w:rsidRPr="00B9517C">
        <w:rPr>
          <w:rFonts w:eastAsia="Arial" w:cs="Arial"/>
          <w:lang w:val="de-DE"/>
        </w:rPr>
        <w:t>“</w:t>
      </w:r>
      <w:r w:rsidRPr="00B140F2">
        <w:rPr>
          <w:rFonts w:eastAsia="Arial" w:cs="Arial"/>
          <w:lang w:val="de-DE"/>
        </w:rPr>
        <w:t xml:space="preserve"> </w:t>
      </w:r>
      <w:r w:rsidR="001C6CCE" w:rsidRPr="00B140F2">
        <w:rPr>
          <w:rFonts w:eastAsia="Arial" w:cs="Arial"/>
          <w:lang w:val="de-DE"/>
        </w:rPr>
        <w:t>enthaltenen Überarbeitungsvorschläge</w:t>
      </w:r>
      <w:r w:rsidR="00CC2511" w:rsidRPr="00B140F2">
        <w:rPr>
          <w:rFonts w:eastAsia="Arial" w:cs="Arial"/>
          <w:lang w:val="de-DE"/>
        </w:rPr>
        <w:t>,</w:t>
      </w:r>
      <w:r w:rsidR="001C6CCE" w:rsidRPr="00B140F2">
        <w:rPr>
          <w:rFonts w:eastAsia="Arial" w:cs="Arial"/>
          <w:lang w:val="de-DE"/>
        </w:rPr>
        <w:t xml:space="preserve"> </w:t>
      </w:r>
      <w:r w:rsidRPr="00B140F2">
        <w:rPr>
          <w:rFonts w:eastAsia="Arial" w:cs="Arial"/>
          <w:lang w:val="de-DE"/>
        </w:rPr>
        <w:t xml:space="preserve">vorbehaltlich der </w:t>
      </w:r>
      <w:r w:rsidR="00345B74" w:rsidRPr="00B140F2">
        <w:rPr>
          <w:rFonts w:eastAsia="Arial" w:cs="Arial"/>
          <w:lang w:val="de-DE"/>
        </w:rPr>
        <w:t>Zustimmung durch den TC und den CAJ</w:t>
      </w:r>
      <w:r w:rsidRPr="00B140F2">
        <w:rPr>
          <w:rFonts w:eastAsia="Arial" w:cs="Arial"/>
          <w:lang w:val="de-DE"/>
        </w:rPr>
        <w:t xml:space="preserve"> auf ihren Tagungen im Jahre 2024</w:t>
      </w:r>
      <w:r w:rsidR="003C7D05" w:rsidRPr="00B140F2">
        <w:rPr>
          <w:rFonts w:eastAsia="Arial" w:cs="Arial"/>
          <w:lang w:val="de-DE"/>
        </w:rPr>
        <w:t>, anzunehmen</w:t>
      </w:r>
      <w:r w:rsidRPr="00B140F2">
        <w:rPr>
          <w:rFonts w:eastAsia="Arial" w:cs="Arial"/>
          <w:lang w:val="de-DE"/>
        </w:rPr>
        <w:t xml:space="preserve"> </w:t>
      </w:r>
      <w:r w:rsidR="000174E0" w:rsidRPr="00B140F2">
        <w:rPr>
          <w:rFonts w:eastAsia="Arial" w:cs="Arial"/>
          <w:lang w:val="de-DE"/>
        </w:rPr>
        <w:t>(vergleiche Absatz 19 oben).</w:t>
      </w:r>
    </w:p>
    <w:p w14:paraId="0FCE38E5" w14:textId="77777777" w:rsidR="00000500" w:rsidRPr="00B140F2" w:rsidRDefault="00000500" w:rsidP="00BD4986">
      <w:pPr>
        <w:rPr>
          <w:rFonts w:eastAsia="Arial" w:cs="Arial"/>
          <w:lang w:val="de-DE"/>
        </w:rPr>
      </w:pPr>
    </w:p>
    <w:p w14:paraId="75697025" w14:textId="5A8101EA" w:rsidR="00214329" w:rsidRPr="00B140F2" w:rsidRDefault="0060633E" w:rsidP="00BD4986">
      <w:pPr>
        <w:rPr>
          <w:rFonts w:eastAsia="Arial" w:cs="Arial"/>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00E80DBD" w:rsidRPr="00B140F2">
        <w:rPr>
          <w:rFonts w:eastAsia="Arial" w:cs="Arial"/>
          <w:lang w:val="de-DE"/>
        </w:rPr>
        <w:t xml:space="preserve">Der Rat wird </w:t>
      </w:r>
      <w:r w:rsidR="00AA447E">
        <w:rPr>
          <w:rFonts w:eastAsia="Arial" w:cs="Arial"/>
          <w:lang w:val="de-DE"/>
        </w:rPr>
        <w:t xml:space="preserve">auf seiner achtundfünfzigsten ordentlichen Tagung ersucht werden, </w:t>
      </w:r>
      <w:r w:rsidR="00E80DBD" w:rsidRPr="00B140F2">
        <w:rPr>
          <w:rFonts w:eastAsia="Arial" w:cs="Arial"/>
          <w:lang w:val="de-DE"/>
        </w:rPr>
        <w:t xml:space="preserve">eine Überarbeitung </w:t>
      </w:r>
      <w:r w:rsidR="00E80DBD" w:rsidRPr="004C65FA">
        <w:rPr>
          <w:rFonts w:eastAsia="Arial" w:cs="Arial"/>
          <w:spacing w:val="-2"/>
          <w:lang w:val="de-DE"/>
        </w:rPr>
        <w:t xml:space="preserve">des Dokuments UPOV/EXN/PPM/1 </w:t>
      </w:r>
      <w:r w:rsidR="001C4FD6" w:rsidRPr="004C65FA">
        <w:rPr>
          <w:rFonts w:eastAsia="Arial" w:cs="Arial"/>
          <w:spacing w:val="-2"/>
          <w:lang w:val="de-DE"/>
        </w:rPr>
        <w:t>„</w:t>
      </w:r>
      <w:r w:rsidR="00E80DBD" w:rsidRPr="004C65FA">
        <w:rPr>
          <w:rFonts w:eastAsia="Arial" w:cs="Arial"/>
          <w:spacing w:val="-2"/>
          <w:lang w:val="de-DE"/>
        </w:rPr>
        <w:t>Erläuterungen zu Vermehrungsmaterial nach dem UPOV-Übereinkommen</w:t>
      </w:r>
      <w:r w:rsidR="001C4FD6" w:rsidRPr="004C65FA">
        <w:rPr>
          <w:rFonts w:eastAsia="Arial" w:cs="Arial"/>
          <w:spacing w:val="-2"/>
          <w:lang w:val="de-DE"/>
        </w:rPr>
        <w:t>“</w:t>
      </w:r>
      <w:r w:rsidR="00E80DBD" w:rsidRPr="00B140F2">
        <w:rPr>
          <w:rFonts w:eastAsia="Arial" w:cs="Arial"/>
          <w:lang w:val="de-DE"/>
        </w:rPr>
        <w:t xml:space="preserve"> </w:t>
      </w:r>
      <w:r w:rsidR="00464346">
        <w:rPr>
          <w:rFonts w:eastAsia="Arial" w:cs="Arial"/>
          <w:lang w:val="de-DE"/>
        </w:rPr>
        <w:lastRenderedPageBreak/>
        <w:t xml:space="preserve">aufgrund der </w:t>
      </w:r>
      <w:r w:rsidR="00E80DBD" w:rsidRPr="00B140F2">
        <w:rPr>
          <w:rFonts w:eastAsia="Arial" w:cs="Arial"/>
          <w:lang w:val="de-DE"/>
        </w:rPr>
        <w:t xml:space="preserve">in Dokument UPOV/EXN/PPM/2 Draft 1 </w:t>
      </w:r>
      <w:r w:rsidR="00096370" w:rsidRPr="00B140F2">
        <w:rPr>
          <w:rFonts w:eastAsia="Arial" w:cs="Arial"/>
          <w:lang w:val="de-DE"/>
        </w:rPr>
        <w:t>enthaltenen Überarbeitungsvorschläge</w:t>
      </w:r>
      <w:r w:rsidR="00E80DBD" w:rsidRPr="00B140F2">
        <w:rPr>
          <w:rFonts w:eastAsia="Arial" w:cs="Arial"/>
          <w:lang w:val="de-DE"/>
        </w:rPr>
        <w:t xml:space="preserve">, vorbehaltlich </w:t>
      </w:r>
      <w:r w:rsidR="008C0A3D" w:rsidRPr="00B140F2">
        <w:rPr>
          <w:rFonts w:eastAsia="Arial" w:cs="Arial"/>
          <w:lang w:val="de-DE"/>
        </w:rPr>
        <w:t>der Zustimmung durch den</w:t>
      </w:r>
      <w:r w:rsidR="00E80DBD" w:rsidRPr="00B140F2">
        <w:rPr>
          <w:rFonts w:eastAsia="Arial" w:cs="Arial"/>
          <w:lang w:val="de-DE"/>
        </w:rPr>
        <w:t xml:space="preserve"> CAJ auf seiner Tagung im Jahre 2024</w:t>
      </w:r>
      <w:r w:rsidR="00E911F3" w:rsidRPr="00B140F2">
        <w:rPr>
          <w:rFonts w:eastAsia="Arial" w:cs="Arial"/>
          <w:lang w:val="de-DE"/>
        </w:rPr>
        <w:t>, anzunehmen</w:t>
      </w:r>
      <w:r w:rsidR="00E80DBD" w:rsidRPr="00B140F2">
        <w:rPr>
          <w:rFonts w:eastAsia="Arial" w:cs="Arial"/>
          <w:lang w:val="de-DE"/>
        </w:rPr>
        <w:t xml:space="preserve"> (vergleiche Absatz </w:t>
      </w:r>
      <w:r w:rsidR="00156AEB" w:rsidRPr="00B140F2">
        <w:rPr>
          <w:rFonts w:eastAsia="Arial" w:cs="Arial"/>
          <w:lang w:val="de-DE"/>
        </w:rPr>
        <w:t>31 oben).</w:t>
      </w:r>
    </w:p>
    <w:p w14:paraId="69003C2B" w14:textId="77777777" w:rsidR="225D4385" w:rsidRPr="00B140F2" w:rsidRDefault="225D4385" w:rsidP="00BD4986">
      <w:pPr>
        <w:rPr>
          <w:rFonts w:eastAsia="Arial" w:cs="Arial"/>
          <w:lang w:val="de-DE"/>
        </w:rPr>
      </w:pPr>
    </w:p>
    <w:p w14:paraId="491119DC" w14:textId="6DADC31C" w:rsidR="00214329" w:rsidRPr="00B140F2" w:rsidRDefault="0060633E" w:rsidP="00BD4986">
      <w:pPr>
        <w:rPr>
          <w:rFonts w:eastAsia="Arial" w:cs="Arial"/>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00270028" w:rsidRPr="00B140F2">
        <w:rPr>
          <w:rFonts w:eastAsia="Arial" w:cs="Arial"/>
          <w:lang w:val="de-DE"/>
        </w:rPr>
        <w:t xml:space="preserve">Die </w:t>
      </w:r>
      <w:r w:rsidR="00423AC3" w:rsidRPr="00B140F2">
        <w:rPr>
          <w:rFonts w:eastAsia="Arial" w:cs="Arial"/>
          <w:lang w:val="de-DE"/>
        </w:rPr>
        <w:t xml:space="preserve">vom Rat auf seiner Tagung im Jahre 2023 angenommenen </w:t>
      </w:r>
      <w:r w:rsidR="00270028" w:rsidRPr="00B140F2">
        <w:rPr>
          <w:rFonts w:eastAsia="Arial" w:cs="Arial"/>
          <w:lang w:val="de-DE"/>
        </w:rPr>
        <w:t xml:space="preserve">Überarbeitungen des Dokuments UPOV/EXN/EDV/3 </w:t>
      </w:r>
      <w:r w:rsidR="00904F28" w:rsidRPr="00B140F2">
        <w:rPr>
          <w:rFonts w:eastAsia="Arial" w:cs="Arial"/>
          <w:lang w:val="de-DE"/>
        </w:rPr>
        <w:t xml:space="preserve">und die </w:t>
      </w:r>
      <w:r w:rsidR="00B55B0F" w:rsidRPr="00B140F2">
        <w:rPr>
          <w:lang w:val="de-DE"/>
        </w:rPr>
        <w:t xml:space="preserve">vorgeschlagenen Überarbeitungen </w:t>
      </w:r>
      <w:r w:rsidR="00ED07CD" w:rsidRPr="00B140F2">
        <w:rPr>
          <w:lang w:val="de-DE"/>
        </w:rPr>
        <w:t>der Dokumente UPOV/EXN/DEN/</w:t>
      </w:r>
      <w:r w:rsidR="00931B39">
        <w:rPr>
          <w:lang w:val="de-DE"/>
        </w:rPr>
        <w:t>3</w:t>
      </w:r>
      <w:r w:rsidR="00ED07CD" w:rsidRPr="00B140F2">
        <w:rPr>
          <w:lang w:val="de-DE"/>
        </w:rPr>
        <w:t xml:space="preserve"> und UPOV/EXN/PPM/1</w:t>
      </w:r>
      <w:r w:rsidR="00AB0D08" w:rsidRPr="00B140F2">
        <w:rPr>
          <w:lang w:val="de-DE"/>
        </w:rPr>
        <w:t xml:space="preserve">, die vom Rat auf seiner Tagung im Jahre 2024 angenommen werden sollen, </w:t>
      </w:r>
      <w:r w:rsidR="00E911F3" w:rsidRPr="00B140F2">
        <w:rPr>
          <w:lang w:val="de-DE"/>
        </w:rPr>
        <w:t xml:space="preserve">sind </w:t>
      </w:r>
      <w:r w:rsidR="00ED07CD" w:rsidRPr="00B140F2">
        <w:rPr>
          <w:lang w:val="de-DE"/>
        </w:rPr>
        <w:t xml:space="preserve">in einer überarbeiteten Fassung des Dokuments </w:t>
      </w:r>
      <w:r w:rsidR="000D1052" w:rsidRPr="00B140F2">
        <w:rPr>
          <w:lang w:val="de-DE"/>
        </w:rPr>
        <w:t xml:space="preserve">UPOV/INF/6/6 </w:t>
      </w:r>
      <w:r w:rsidR="00A22471" w:rsidRPr="00B140F2">
        <w:rPr>
          <w:lang w:val="de-DE"/>
        </w:rPr>
        <w:t>(Dokument UPOV/INF/6/7)</w:t>
      </w:r>
      <w:r w:rsidR="00A42D4B" w:rsidRPr="00B140F2">
        <w:rPr>
          <w:lang w:val="de-DE"/>
        </w:rPr>
        <w:t xml:space="preserve">, wie </w:t>
      </w:r>
      <w:r w:rsidR="00A22471" w:rsidRPr="00B140F2">
        <w:rPr>
          <w:lang w:val="de-DE"/>
        </w:rPr>
        <w:t xml:space="preserve">in Anlage VI dieses Dokuments </w:t>
      </w:r>
      <w:r w:rsidR="00DB394D" w:rsidRPr="00B140F2">
        <w:rPr>
          <w:lang w:val="de-DE"/>
        </w:rPr>
        <w:t>dargelegt</w:t>
      </w:r>
      <w:r w:rsidR="00474B34" w:rsidRPr="00B140F2">
        <w:rPr>
          <w:lang w:val="de-DE"/>
        </w:rPr>
        <w:t xml:space="preserve">, </w:t>
      </w:r>
      <w:r w:rsidR="00E911F3" w:rsidRPr="00B140F2">
        <w:rPr>
          <w:lang w:val="de-DE"/>
        </w:rPr>
        <w:t>wiederzugeben</w:t>
      </w:r>
      <w:r w:rsidR="00474B34" w:rsidRPr="00B140F2">
        <w:rPr>
          <w:lang w:val="de-DE"/>
        </w:rPr>
        <w:t xml:space="preserve">. </w:t>
      </w:r>
    </w:p>
    <w:p w14:paraId="3019D767" w14:textId="77777777" w:rsidR="225D4385" w:rsidRPr="00B140F2" w:rsidRDefault="225D4385" w:rsidP="00BD4986">
      <w:pPr>
        <w:rPr>
          <w:rFonts w:eastAsia="Arial" w:cs="Arial"/>
          <w:lang w:val="de-DE"/>
        </w:rPr>
      </w:pPr>
    </w:p>
    <w:p w14:paraId="6A695305" w14:textId="5E4B9ABA" w:rsidR="00214329" w:rsidRPr="00B140F2" w:rsidRDefault="0060633E" w:rsidP="004C65FA">
      <w:pPr>
        <w:pStyle w:val="DecisionParagraphs"/>
        <w:tabs>
          <w:tab w:val="clear" w:pos="5387"/>
          <w:tab w:val="left" w:pos="5245"/>
        </w:tabs>
        <w:ind w:left="4678"/>
        <w:rPr>
          <w:lang w:val="de-DE"/>
        </w:rPr>
      </w:pPr>
      <w:r w:rsidRPr="00E83514">
        <w:rPr>
          <w:rFonts w:eastAsia="Arial"/>
          <w:lang w:val="de-DE"/>
        </w:rPr>
        <w:fldChar w:fldCharType="begin"/>
      </w:r>
      <w:r w:rsidRPr="00B140F2">
        <w:rPr>
          <w:rFonts w:eastAsia="Arial"/>
          <w:lang w:val="de-DE"/>
        </w:rPr>
        <w:instrText xml:space="preserve"> AUTONUM  </w:instrText>
      </w:r>
      <w:r w:rsidRPr="00E83514">
        <w:rPr>
          <w:rFonts w:eastAsia="Arial"/>
          <w:lang w:val="de-DE"/>
        </w:rPr>
        <w:fldChar w:fldCharType="end"/>
      </w:r>
      <w:r w:rsidRPr="00B140F2">
        <w:rPr>
          <w:rFonts w:eastAsia="Arial"/>
          <w:lang w:val="de-DE"/>
        </w:rPr>
        <w:tab/>
      </w:r>
      <w:r w:rsidR="15C6B563" w:rsidRPr="00B140F2">
        <w:rPr>
          <w:rFonts w:eastAsia="Arial"/>
          <w:lang w:val="de-DE"/>
        </w:rPr>
        <w:t xml:space="preserve">Der Rat wird ersucht, eine Überarbeitung des Dokuments UPOV/INF/6 </w:t>
      </w:r>
      <w:r w:rsidR="001C4FD6" w:rsidRPr="00B140F2">
        <w:rPr>
          <w:rFonts w:eastAsia="Arial"/>
          <w:lang w:val="de-DE"/>
        </w:rPr>
        <w:t>„</w:t>
      </w:r>
      <w:r w:rsidR="15C6B563" w:rsidRPr="00B140F2">
        <w:rPr>
          <w:rFonts w:eastAsia="Arial"/>
          <w:lang w:val="de-DE"/>
        </w:rPr>
        <w:t xml:space="preserve">Anleitung zur Ausarbeitung von Rechtsvorschriften aufgrund der Akte von 1991 </w:t>
      </w:r>
      <w:r w:rsidR="15C6B563" w:rsidRPr="004C65FA">
        <w:rPr>
          <w:rFonts w:eastAsia="Arial"/>
          <w:spacing w:val="-2"/>
          <w:lang w:val="de-DE"/>
        </w:rPr>
        <w:t>des UPOV-Übereinkommens</w:t>
      </w:r>
      <w:r w:rsidR="001C4FD6" w:rsidRPr="004C65FA">
        <w:rPr>
          <w:rFonts w:eastAsia="Arial"/>
          <w:spacing w:val="-2"/>
          <w:lang w:val="de-DE"/>
        </w:rPr>
        <w:t>“</w:t>
      </w:r>
      <w:r w:rsidR="15C6B563" w:rsidRPr="004C65FA">
        <w:rPr>
          <w:rFonts w:eastAsia="Arial"/>
          <w:spacing w:val="-2"/>
          <w:lang w:val="de-DE"/>
        </w:rPr>
        <w:t xml:space="preserve"> (Dokument </w:t>
      </w:r>
      <w:r w:rsidR="00474B34" w:rsidRPr="004C65FA">
        <w:rPr>
          <w:rFonts w:eastAsia="Arial"/>
          <w:spacing w:val="-2"/>
          <w:lang w:val="de-DE"/>
        </w:rPr>
        <w:t>UPOV/INF/6/7</w:t>
      </w:r>
      <w:r w:rsidR="15C6B563" w:rsidRPr="004C65FA">
        <w:rPr>
          <w:rFonts w:eastAsia="Arial"/>
          <w:spacing w:val="-2"/>
          <w:lang w:val="de-DE"/>
        </w:rPr>
        <w:t>)</w:t>
      </w:r>
      <w:r w:rsidR="15C6B563" w:rsidRPr="00B140F2">
        <w:rPr>
          <w:rFonts w:eastAsia="Arial"/>
          <w:lang w:val="de-DE"/>
        </w:rPr>
        <w:t xml:space="preserve"> </w:t>
      </w:r>
      <w:r w:rsidR="00464346">
        <w:rPr>
          <w:rFonts w:eastAsia="Arial"/>
          <w:lang w:val="de-DE"/>
        </w:rPr>
        <w:t xml:space="preserve">aufgrund der </w:t>
      </w:r>
      <w:r w:rsidR="00691A30" w:rsidRPr="00B140F2">
        <w:rPr>
          <w:rFonts w:eastAsia="Arial"/>
          <w:lang w:val="de-DE"/>
        </w:rPr>
        <w:t xml:space="preserve">Überarbeitungen in Dokument </w:t>
      </w:r>
      <w:r w:rsidR="00C70849" w:rsidRPr="00B140F2">
        <w:rPr>
          <w:rFonts w:eastAsia="Arial"/>
          <w:lang w:val="de-DE"/>
        </w:rPr>
        <w:t>UPOV/EXN/EDV/3</w:t>
      </w:r>
      <w:r w:rsidR="00E911F3" w:rsidRPr="00B140F2">
        <w:rPr>
          <w:rFonts w:eastAsia="Arial"/>
          <w:lang w:val="de-DE"/>
        </w:rPr>
        <w:t>, das</w:t>
      </w:r>
      <w:r w:rsidR="00C70849" w:rsidRPr="00B140F2">
        <w:rPr>
          <w:rFonts w:eastAsia="Arial"/>
          <w:lang w:val="de-DE"/>
        </w:rPr>
        <w:t xml:space="preserve"> vom Rat auf seiner Tagung </w:t>
      </w:r>
      <w:r w:rsidR="00D308B8" w:rsidRPr="00B140F2">
        <w:rPr>
          <w:rFonts w:eastAsia="Arial"/>
          <w:lang w:val="de-DE"/>
        </w:rPr>
        <w:t xml:space="preserve">im Jahre 2023 </w:t>
      </w:r>
      <w:r w:rsidR="00C70849" w:rsidRPr="00B140F2">
        <w:rPr>
          <w:rFonts w:eastAsia="Arial"/>
          <w:lang w:val="de-DE"/>
        </w:rPr>
        <w:t>angenommen wurde</w:t>
      </w:r>
      <w:r w:rsidR="00691A30" w:rsidRPr="00B140F2">
        <w:rPr>
          <w:rFonts w:eastAsia="Arial"/>
          <w:lang w:val="de-DE"/>
        </w:rPr>
        <w:t xml:space="preserve">, und </w:t>
      </w:r>
      <w:r w:rsidR="00920D2B">
        <w:rPr>
          <w:rFonts w:eastAsia="Arial"/>
          <w:lang w:val="de-DE"/>
        </w:rPr>
        <w:t>die</w:t>
      </w:r>
      <w:r w:rsidR="00691A30" w:rsidRPr="00B140F2">
        <w:rPr>
          <w:rFonts w:eastAsia="Arial"/>
          <w:lang w:val="de-DE"/>
        </w:rPr>
        <w:t xml:space="preserve"> vorgeschlagenen Überarbeitungen der Dokumente UPOV/EXN/DEN/</w:t>
      </w:r>
      <w:r w:rsidR="00931B39">
        <w:rPr>
          <w:rFonts w:eastAsia="Arial"/>
          <w:lang w:val="de-DE"/>
        </w:rPr>
        <w:t>3</w:t>
      </w:r>
      <w:r w:rsidR="00691A30" w:rsidRPr="00B140F2">
        <w:rPr>
          <w:rFonts w:eastAsia="Arial"/>
          <w:lang w:val="de-DE"/>
        </w:rPr>
        <w:t xml:space="preserve"> und UPOV/EXN/PPM/1</w:t>
      </w:r>
      <w:r w:rsidR="00D308B8" w:rsidRPr="00B140F2">
        <w:rPr>
          <w:rFonts w:eastAsia="Arial"/>
          <w:lang w:val="de-DE"/>
        </w:rPr>
        <w:t xml:space="preserve">, die vom Rat auf seiner Tagung im Jahre 2024 </w:t>
      </w:r>
      <w:r w:rsidR="00E911F3" w:rsidRPr="00B140F2">
        <w:rPr>
          <w:rFonts w:eastAsia="Arial"/>
          <w:lang w:val="de-DE"/>
        </w:rPr>
        <w:t>angenommen werden sollen</w:t>
      </w:r>
      <w:r w:rsidR="00D308B8" w:rsidRPr="00B140F2">
        <w:rPr>
          <w:rFonts w:eastAsia="Arial"/>
          <w:lang w:val="de-DE"/>
        </w:rPr>
        <w:t xml:space="preserve">, </w:t>
      </w:r>
      <w:r w:rsidR="00A03056" w:rsidRPr="00B140F2">
        <w:rPr>
          <w:rFonts w:eastAsia="Arial"/>
          <w:lang w:val="de-DE"/>
        </w:rPr>
        <w:t xml:space="preserve">vorbehaltlich </w:t>
      </w:r>
      <w:r w:rsidR="008C0A3D" w:rsidRPr="00B140F2">
        <w:rPr>
          <w:rFonts w:eastAsia="Arial"/>
          <w:lang w:val="de-DE"/>
        </w:rPr>
        <w:t>der Zustimmung durch den</w:t>
      </w:r>
      <w:r w:rsidR="00A03056" w:rsidRPr="00B140F2">
        <w:rPr>
          <w:lang w:val="de-DE"/>
        </w:rPr>
        <w:t xml:space="preserve"> CAJ auf seiner Tagung im Jahre 2024</w:t>
      </w:r>
      <w:r w:rsidR="4BB9C478" w:rsidRPr="00B140F2">
        <w:rPr>
          <w:rFonts w:eastAsia="Arial"/>
          <w:lang w:val="de-DE"/>
        </w:rPr>
        <w:t xml:space="preserve">, wie </w:t>
      </w:r>
      <w:r w:rsidR="15C6B563" w:rsidRPr="00B140F2">
        <w:rPr>
          <w:rFonts w:eastAsia="Arial"/>
          <w:lang w:val="de-DE"/>
        </w:rPr>
        <w:t xml:space="preserve">in Anlage </w:t>
      </w:r>
      <w:r w:rsidR="00474B34" w:rsidRPr="00B140F2">
        <w:rPr>
          <w:rFonts w:eastAsia="Arial"/>
          <w:lang w:val="de-DE"/>
        </w:rPr>
        <w:t xml:space="preserve">VI </w:t>
      </w:r>
      <w:r w:rsidR="15C6B563" w:rsidRPr="00B140F2">
        <w:rPr>
          <w:rFonts w:eastAsia="Arial"/>
          <w:lang w:val="de-DE"/>
        </w:rPr>
        <w:t>dieses Dokuments dargelegt</w:t>
      </w:r>
      <w:r w:rsidR="00E911F3" w:rsidRPr="00B140F2">
        <w:rPr>
          <w:rFonts w:eastAsia="Arial"/>
          <w:lang w:val="de-DE"/>
        </w:rPr>
        <w:t>, anzunehmen</w:t>
      </w:r>
      <w:r w:rsidR="15C6B563" w:rsidRPr="00B140F2">
        <w:rPr>
          <w:rFonts w:eastAsia="Arial"/>
          <w:lang w:val="de-DE"/>
        </w:rPr>
        <w:t>.</w:t>
      </w:r>
    </w:p>
    <w:p w14:paraId="3593DBD8" w14:textId="77777777" w:rsidR="00D555C2" w:rsidRPr="00B140F2" w:rsidRDefault="00D555C2" w:rsidP="00BD4986">
      <w:pPr>
        <w:rPr>
          <w:lang w:val="de-DE"/>
        </w:rPr>
      </w:pPr>
    </w:p>
    <w:p w14:paraId="0465B242" w14:textId="3156C6C4" w:rsidR="00214329" w:rsidRPr="00B140F2" w:rsidRDefault="0060633E" w:rsidP="00BD4986">
      <w:pPr>
        <w:pStyle w:val="Heading3"/>
        <w:spacing w:line="240" w:lineRule="auto"/>
        <w:rPr>
          <w:lang w:val="de-DE"/>
        </w:rPr>
      </w:pPr>
      <w:bookmarkStart w:id="26" w:name="_Toc177493446"/>
      <w:r w:rsidRPr="00B140F2">
        <w:rPr>
          <w:lang w:val="de-DE"/>
        </w:rPr>
        <w:t xml:space="preserve">UPOV/INF-EXN: Liste der UPOV/INF-EXN-Dokumente und </w:t>
      </w:r>
      <w:r w:rsidR="008A68FC" w:rsidRPr="00B140F2">
        <w:rPr>
          <w:lang w:val="de-DE"/>
        </w:rPr>
        <w:t xml:space="preserve">Datum der jüngsten Ausgabe </w:t>
      </w:r>
      <w:r w:rsidRPr="00B140F2">
        <w:rPr>
          <w:lang w:val="de-DE"/>
        </w:rPr>
        <w:t>(</w:t>
      </w:r>
      <w:r w:rsidR="000B089C" w:rsidRPr="00B140F2">
        <w:rPr>
          <w:lang w:val="de-DE"/>
        </w:rPr>
        <w:t>Überarbeitung</w:t>
      </w:r>
      <w:r w:rsidRPr="00B140F2">
        <w:rPr>
          <w:lang w:val="de-DE"/>
        </w:rPr>
        <w:t>)</w:t>
      </w:r>
      <w:r w:rsidRPr="00B140F2">
        <w:rPr>
          <w:lang w:val="de-DE"/>
        </w:rPr>
        <w:br/>
        <w:t xml:space="preserve">(Dokument </w:t>
      </w:r>
      <w:r w:rsidR="0092710B" w:rsidRPr="00B140F2">
        <w:rPr>
          <w:lang w:val="de-DE"/>
        </w:rPr>
        <w:t xml:space="preserve">UPOV/INF-EXN/18 </w:t>
      </w:r>
      <w:r w:rsidRPr="00B140F2">
        <w:rPr>
          <w:lang w:val="de-DE"/>
        </w:rPr>
        <w:t>Draft 1)</w:t>
      </w:r>
      <w:bookmarkEnd w:id="26"/>
    </w:p>
    <w:p w14:paraId="4C7437B6" w14:textId="77777777" w:rsidR="00DB15A5" w:rsidRPr="00B140F2" w:rsidRDefault="00DB15A5" w:rsidP="00BD4986">
      <w:pPr>
        <w:keepNext/>
        <w:rPr>
          <w:lang w:val="de-DE"/>
        </w:rPr>
      </w:pPr>
    </w:p>
    <w:p w14:paraId="218A21A1" w14:textId="5C09A97F"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In Verbindung mit den Informationsdokumenten, um deren Annahme der Rat im Jahre 2024 ersucht werden wird, wird vorgeschlagen, eine Überarbeitung des Dokuments UPOV/INF-EXN/17 </w:t>
      </w:r>
      <w:r w:rsidR="004C65FA">
        <w:rPr>
          <w:lang w:val="de-DE"/>
        </w:rPr>
        <w:br/>
      </w:r>
      <w:r w:rsidR="001C4FD6" w:rsidRPr="00B140F2">
        <w:rPr>
          <w:lang w:val="de-DE"/>
        </w:rPr>
        <w:t>„</w:t>
      </w:r>
      <w:r w:rsidRPr="00B140F2">
        <w:rPr>
          <w:lang w:val="de-DE"/>
        </w:rPr>
        <w:t xml:space="preserve">Liste der UPOV/INF-EXN-Dokumente und </w:t>
      </w:r>
      <w:r w:rsidR="003917CA" w:rsidRPr="00B140F2">
        <w:rPr>
          <w:lang w:val="de-DE"/>
        </w:rPr>
        <w:t>Datum der jüngsten Ausgabe</w:t>
      </w:r>
      <w:r w:rsidR="001C4FD6" w:rsidRPr="00B140F2">
        <w:rPr>
          <w:lang w:val="de-DE"/>
        </w:rPr>
        <w:t>“</w:t>
      </w:r>
      <w:r w:rsidRPr="00B140F2">
        <w:rPr>
          <w:lang w:val="de-DE"/>
        </w:rPr>
        <w:t xml:space="preserve"> </w:t>
      </w:r>
      <w:r w:rsidR="00E911F3" w:rsidRPr="00B140F2">
        <w:rPr>
          <w:lang w:val="de-DE"/>
        </w:rPr>
        <w:t>aufgrund des Dokuments</w:t>
      </w:r>
      <w:r w:rsidRPr="00B140F2">
        <w:rPr>
          <w:lang w:val="de-DE"/>
        </w:rPr>
        <w:t xml:space="preserve"> UPOV/INF</w:t>
      </w:r>
      <w:r w:rsidR="004C65FA">
        <w:rPr>
          <w:lang w:val="de-DE"/>
        </w:rPr>
        <w:noBreakHyphen/>
      </w:r>
      <w:r w:rsidRPr="00B140F2">
        <w:rPr>
          <w:lang w:val="de-DE"/>
        </w:rPr>
        <w:t>EXN/18</w:t>
      </w:r>
      <w:r w:rsidR="004C65FA">
        <w:rPr>
          <w:lang w:val="de-DE"/>
        </w:rPr>
        <w:t> </w:t>
      </w:r>
      <w:r w:rsidRPr="00B140F2">
        <w:rPr>
          <w:lang w:val="de-DE"/>
        </w:rPr>
        <w:t>Draft 1 anzunehmen.</w:t>
      </w:r>
    </w:p>
    <w:p w14:paraId="4B38CF2A" w14:textId="77777777" w:rsidR="00DB15A5" w:rsidRPr="00B140F2" w:rsidRDefault="00DB15A5" w:rsidP="00BD4986">
      <w:pPr>
        <w:rPr>
          <w:sz w:val="16"/>
          <w:lang w:val="de-DE"/>
        </w:rPr>
      </w:pPr>
    </w:p>
    <w:p w14:paraId="5D706881" w14:textId="505BB971" w:rsidR="00214329" w:rsidRPr="00B140F2" w:rsidRDefault="0060633E" w:rsidP="00BD4986">
      <w:pPr>
        <w:pStyle w:val="DecisionParagraphs"/>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Der Rat wird ersucht, eine Überarbeitung des Dokuments UPOV/INF-EXN/17 </w:t>
      </w:r>
      <w:r w:rsidR="00E911F3" w:rsidRPr="00B140F2">
        <w:rPr>
          <w:lang w:val="de-DE"/>
        </w:rPr>
        <w:t>aufgrund des Dokuments</w:t>
      </w:r>
      <w:r w:rsidRPr="00B140F2">
        <w:rPr>
          <w:lang w:val="de-DE"/>
        </w:rPr>
        <w:t xml:space="preserve"> UPOV/INF-EXN/18 Draft 1, vorbehaltlich der Annahme der betreffenden Dokumente</w:t>
      </w:r>
      <w:r w:rsidR="00E911F3" w:rsidRPr="00B140F2">
        <w:rPr>
          <w:lang w:val="de-DE"/>
        </w:rPr>
        <w:t>, anzunehmen</w:t>
      </w:r>
      <w:r w:rsidRPr="00B140F2">
        <w:rPr>
          <w:lang w:val="de-DE"/>
        </w:rPr>
        <w:t xml:space="preserve">. </w:t>
      </w:r>
    </w:p>
    <w:p w14:paraId="3C660C6F" w14:textId="77777777" w:rsidR="00DB15A5" w:rsidRPr="00B140F2" w:rsidRDefault="00DB15A5" w:rsidP="00BD4986">
      <w:pPr>
        <w:rPr>
          <w:lang w:val="de-DE"/>
        </w:rPr>
      </w:pPr>
    </w:p>
    <w:p w14:paraId="31F7C38F" w14:textId="6A9B2544" w:rsidR="00214329" w:rsidRPr="004C65FA" w:rsidRDefault="0060633E" w:rsidP="00BD4986">
      <w:pPr>
        <w:pStyle w:val="Heading3"/>
        <w:spacing w:line="240" w:lineRule="auto"/>
        <w:rPr>
          <w:snapToGrid w:val="0"/>
          <w:spacing w:val="-2"/>
          <w:lang w:val="de-DE"/>
        </w:rPr>
      </w:pPr>
      <w:bookmarkStart w:id="27" w:name="_Toc177493447"/>
      <w:r w:rsidRPr="004C65FA">
        <w:rPr>
          <w:spacing w:val="-2"/>
          <w:lang w:val="de-DE"/>
        </w:rPr>
        <w:t>TGP/0</w:t>
      </w:r>
      <w:r w:rsidRPr="004C65FA">
        <w:rPr>
          <w:snapToGrid w:val="0"/>
          <w:spacing w:val="-2"/>
          <w:lang w:val="de-DE"/>
        </w:rPr>
        <w:t xml:space="preserve">: Liste der TGP-Dokumente und </w:t>
      </w:r>
      <w:r w:rsidR="00A076BC" w:rsidRPr="004C65FA">
        <w:rPr>
          <w:snapToGrid w:val="0"/>
          <w:spacing w:val="-2"/>
          <w:lang w:val="de-DE"/>
        </w:rPr>
        <w:t>Datum der jüngsten Ausgabe</w:t>
      </w:r>
      <w:r w:rsidRPr="004C65FA">
        <w:rPr>
          <w:snapToGrid w:val="0"/>
          <w:spacing w:val="-2"/>
          <w:lang w:val="de-DE"/>
        </w:rPr>
        <w:t xml:space="preserve"> (</w:t>
      </w:r>
      <w:r w:rsidR="000B089C" w:rsidRPr="004C65FA">
        <w:rPr>
          <w:snapToGrid w:val="0"/>
          <w:spacing w:val="-2"/>
          <w:lang w:val="de-DE"/>
        </w:rPr>
        <w:t>Überarbeitung</w:t>
      </w:r>
      <w:r w:rsidRPr="004C65FA">
        <w:rPr>
          <w:snapToGrid w:val="0"/>
          <w:spacing w:val="-2"/>
          <w:lang w:val="de-DE"/>
        </w:rPr>
        <w:t>) (Dokument</w:t>
      </w:r>
      <w:r w:rsidR="00D93345">
        <w:rPr>
          <w:snapToGrid w:val="0"/>
          <w:spacing w:val="-2"/>
          <w:lang w:val="de-DE"/>
        </w:rPr>
        <w:t> </w:t>
      </w:r>
      <w:r w:rsidRPr="004C65FA">
        <w:rPr>
          <w:snapToGrid w:val="0"/>
          <w:spacing w:val="-2"/>
          <w:lang w:val="de-DE"/>
        </w:rPr>
        <w:t>TGP/0/16</w:t>
      </w:r>
      <w:r w:rsidR="004C65FA" w:rsidRPr="004C65FA">
        <w:rPr>
          <w:snapToGrid w:val="0"/>
          <w:spacing w:val="-2"/>
          <w:lang w:val="de-DE"/>
        </w:rPr>
        <w:t> </w:t>
      </w:r>
      <w:r w:rsidRPr="004C65FA">
        <w:rPr>
          <w:snapToGrid w:val="0"/>
          <w:spacing w:val="-2"/>
          <w:lang w:val="de-DE"/>
        </w:rPr>
        <w:t>Draft</w:t>
      </w:r>
      <w:r w:rsidR="004C65FA" w:rsidRPr="004C65FA">
        <w:rPr>
          <w:snapToGrid w:val="0"/>
          <w:spacing w:val="-2"/>
          <w:lang w:val="de-DE"/>
        </w:rPr>
        <w:t> </w:t>
      </w:r>
      <w:r w:rsidRPr="004C65FA">
        <w:rPr>
          <w:snapToGrid w:val="0"/>
          <w:spacing w:val="-2"/>
          <w:lang w:val="de-DE"/>
        </w:rPr>
        <w:t>1)</w:t>
      </w:r>
      <w:bookmarkEnd w:id="27"/>
    </w:p>
    <w:p w14:paraId="0916187F" w14:textId="77777777" w:rsidR="00DB15A5" w:rsidRPr="00B140F2" w:rsidRDefault="00DB15A5" w:rsidP="00BD4986">
      <w:pPr>
        <w:rPr>
          <w:lang w:val="de-DE"/>
        </w:rPr>
      </w:pPr>
    </w:p>
    <w:p w14:paraId="2FB687EB" w14:textId="39384F42"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In Verbindung mit der Annahme der überarbeiteten TGP-Dokumente durch den Rat im Jahre 2024 wird vorgeschlagen, eine </w:t>
      </w:r>
      <w:r w:rsidR="00E911F3" w:rsidRPr="00B140F2">
        <w:rPr>
          <w:lang w:val="de-DE"/>
        </w:rPr>
        <w:t>Überarbeitung des Dokuments</w:t>
      </w:r>
      <w:r w:rsidRPr="00B140F2">
        <w:rPr>
          <w:lang w:val="de-DE"/>
        </w:rPr>
        <w:t xml:space="preserve"> TGP/0 </w:t>
      </w:r>
      <w:r w:rsidR="001C4FD6" w:rsidRPr="00B140F2">
        <w:rPr>
          <w:lang w:val="de-DE"/>
        </w:rPr>
        <w:t>„</w:t>
      </w:r>
      <w:r w:rsidRPr="00B140F2">
        <w:rPr>
          <w:lang w:val="de-DE"/>
        </w:rPr>
        <w:t xml:space="preserve">Liste der TGP-Dokumente und </w:t>
      </w:r>
      <w:r w:rsidR="003917CA" w:rsidRPr="00B140F2">
        <w:rPr>
          <w:lang w:val="de-DE"/>
        </w:rPr>
        <w:t>Datum der jüngsten Ausgabe</w:t>
      </w:r>
      <w:r w:rsidR="001C4FD6" w:rsidRPr="00B140F2">
        <w:rPr>
          <w:lang w:val="de-DE"/>
        </w:rPr>
        <w:t>“</w:t>
      </w:r>
      <w:r w:rsidRPr="00B140F2">
        <w:rPr>
          <w:lang w:val="de-DE"/>
        </w:rPr>
        <w:t xml:space="preserve"> (Dokument </w:t>
      </w:r>
      <w:r w:rsidR="0092710B" w:rsidRPr="00B140F2">
        <w:rPr>
          <w:lang w:val="de-DE"/>
        </w:rPr>
        <w:t>TGP/0/15</w:t>
      </w:r>
      <w:r w:rsidRPr="00B140F2">
        <w:rPr>
          <w:lang w:val="de-DE"/>
        </w:rPr>
        <w:t xml:space="preserve">) </w:t>
      </w:r>
      <w:r w:rsidR="00E911F3" w:rsidRPr="00B140F2">
        <w:rPr>
          <w:lang w:val="de-DE"/>
        </w:rPr>
        <w:t xml:space="preserve">aufgrund des Dokuments </w:t>
      </w:r>
      <w:r w:rsidR="0092710B" w:rsidRPr="00B140F2">
        <w:rPr>
          <w:lang w:val="de-DE"/>
        </w:rPr>
        <w:t xml:space="preserve">TGP/0/16 </w:t>
      </w:r>
      <w:r w:rsidRPr="00B140F2">
        <w:rPr>
          <w:lang w:val="de-DE"/>
        </w:rPr>
        <w:t>Draft 1 anzunehmen.</w:t>
      </w:r>
    </w:p>
    <w:p w14:paraId="08891CAA" w14:textId="77777777" w:rsidR="00DB15A5" w:rsidRPr="00B140F2" w:rsidRDefault="00DB15A5" w:rsidP="00BD4986">
      <w:pPr>
        <w:rPr>
          <w:sz w:val="16"/>
          <w:lang w:val="de-DE"/>
        </w:rPr>
      </w:pPr>
    </w:p>
    <w:p w14:paraId="0F1D5484" w14:textId="403733EE" w:rsidR="00214329" w:rsidRPr="00B140F2" w:rsidRDefault="0060633E" w:rsidP="00BD4986">
      <w:pPr>
        <w:pStyle w:val="DecisionParagraphs"/>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Der Rat wird ersucht, </w:t>
      </w:r>
      <w:r w:rsidR="0092710B" w:rsidRPr="00B140F2">
        <w:rPr>
          <w:lang w:val="de-DE"/>
        </w:rPr>
        <w:t xml:space="preserve">eine Überarbeitung des Dokuments </w:t>
      </w:r>
      <w:r w:rsidRPr="00B140F2">
        <w:rPr>
          <w:lang w:val="de-DE"/>
        </w:rPr>
        <w:t xml:space="preserve">TGP/0/15 </w:t>
      </w:r>
      <w:r w:rsidR="00E911F3" w:rsidRPr="00B140F2">
        <w:rPr>
          <w:lang w:val="de-DE"/>
        </w:rPr>
        <w:t>aufgrund des Dokuments</w:t>
      </w:r>
      <w:r w:rsidR="0092710B" w:rsidRPr="00B140F2">
        <w:rPr>
          <w:lang w:val="de-DE"/>
        </w:rPr>
        <w:t xml:space="preserve"> TGP/0/16 </w:t>
      </w:r>
      <w:r w:rsidRPr="00B140F2">
        <w:rPr>
          <w:lang w:val="de-DE"/>
        </w:rPr>
        <w:t xml:space="preserve">Draft 1 </w:t>
      </w:r>
      <w:r w:rsidR="001C4FD6" w:rsidRPr="00B140F2">
        <w:rPr>
          <w:lang w:val="de-DE"/>
        </w:rPr>
        <w:t>„</w:t>
      </w:r>
      <w:r w:rsidRPr="00B140F2">
        <w:rPr>
          <w:lang w:val="de-DE"/>
        </w:rPr>
        <w:t xml:space="preserve">Liste der TGP-Dokumente und </w:t>
      </w:r>
      <w:r w:rsidR="003917CA" w:rsidRPr="00B140F2">
        <w:rPr>
          <w:lang w:val="de-DE"/>
        </w:rPr>
        <w:t>Datum der jüngsten Ausgabe</w:t>
      </w:r>
      <w:r w:rsidR="001C4FD6" w:rsidRPr="00B140F2">
        <w:rPr>
          <w:lang w:val="de-DE"/>
        </w:rPr>
        <w:t>“</w:t>
      </w:r>
      <w:r w:rsidRPr="00B140F2">
        <w:rPr>
          <w:lang w:val="de-DE"/>
        </w:rPr>
        <w:t>, vorbehaltlich der Annahme der betreffenden Dokumente</w:t>
      </w:r>
      <w:r w:rsidR="00E911F3" w:rsidRPr="00B140F2">
        <w:rPr>
          <w:lang w:val="de-DE"/>
        </w:rPr>
        <w:t>, anzunehmen</w:t>
      </w:r>
      <w:r w:rsidRPr="00B140F2">
        <w:rPr>
          <w:lang w:val="de-DE"/>
        </w:rPr>
        <w:t>.</w:t>
      </w:r>
    </w:p>
    <w:p w14:paraId="73400C9D" w14:textId="77777777" w:rsidR="00526F99" w:rsidRPr="00B140F2" w:rsidRDefault="00526F99" w:rsidP="00BD4986">
      <w:pPr>
        <w:pStyle w:val="DecisionParagraphs"/>
        <w:rPr>
          <w:lang w:val="de-DE"/>
        </w:rPr>
      </w:pPr>
    </w:p>
    <w:p w14:paraId="7B30D9DE" w14:textId="326F0A13" w:rsidR="00214329" w:rsidRPr="00B140F2" w:rsidRDefault="0060633E" w:rsidP="00BD4986">
      <w:pPr>
        <w:pStyle w:val="DecisionParagraphs"/>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Der Rat wird ersucht, die Entwicklungen </w:t>
      </w:r>
      <w:r w:rsidR="00527026" w:rsidRPr="00B140F2">
        <w:rPr>
          <w:lang w:val="de-DE"/>
        </w:rPr>
        <w:t>im Hinblick auf mögliche künftige</w:t>
      </w:r>
      <w:r w:rsidRPr="00B140F2">
        <w:rPr>
          <w:lang w:val="de-DE"/>
        </w:rPr>
        <w:t xml:space="preserve"> Überarbeitungen von </w:t>
      </w:r>
      <w:r w:rsidR="00A139A8">
        <w:rPr>
          <w:lang w:val="de-DE"/>
        </w:rPr>
        <w:t xml:space="preserve">Anleitung und Informationsmaterial </w:t>
      </w:r>
      <w:r w:rsidR="00EE37CE">
        <w:rPr>
          <w:lang w:val="de-DE"/>
        </w:rPr>
        <w:t>zur Erörterung im TC</w:t>
      </w:r>
      <w:r w:rsidRPr="00B140F2">
        <w:rPr>
          <w:lang w:val="de-DE"/>
        </w:rPr>
        <w:t xml:space="preserve">, wie in den Absätzen </w:t>
      </w:r>
      <w:r w:rsidR="004E65C0" w:rsidRPr="00B140F2">
        <w:rPr>
          <w:lang w:val="de-DE"/>
        </w:rPr>
        <w:t xml:space="preserve">43 bis 62 </w:t>
      </w:r>
      <w:r w:rsidRPr="00B140F2">
        <w:rPr>
          <w:lang w:val="de-DE"/>
        </w:rPr>
        <w:t>dargelegt, zur Kenntnis zu nehmen.</w:t>
      </w:r>
    </w:p>
    <w:p w14:paraId="1C231D26" w14:textId="77777777" w:rsidR="006C43FA" w:rsidRPr="00B140F2" w:rsidRDefault="006C43FA" w:rsidP="00BD4986">
      <w:pPr>
        <w:rPr>
          <w:lang w:val="de-DE"/>
        </w:rPr>
      </w:pPr>
    </w:p>
    <w:p w14:paraId="0A220C41" w14:textId="77777777" w:rsidR="00D7688A" w:rsidRPr="00B140F2" w:rsidRDefault="00D7688A" w:rsidP="00BD4986">
      <w:pPr>
        <w:rPr>
          <w:lang w:val="de-DE"/>
        </w:rPr>
      </w:pPr>
    </w:p>
    <w:p w14:paraId="5D7692C0" w14:textId="77777777" w:rsidR="000410DC" w:rsidRDefault="000410DC">
      <w:pPr>
        <w:jc w:val="left"/>
        <w:rPr>
          <w:caps/>
          <w:lang w:val="de-DE"/>
        </w:rPr>
      </w:pPr>
      <w:r>
        <w:rPr>
          <w:lang w:val="de-DE"/>
        </w:rPr>
        <w:br w:type="page"/>
      </w:r>
    </w:p>
    <w:p w14:paraId="573CDE19" w14:textId="2AE99143" w:rsidR="00214329" w:rsidRPr="00B140F2" w:rsidRDefault="0060633E" w:rsidP="000410DC">
      <w:pPr>
        <w:pStyle w:val="Heading1"/>
        <w:keepNext w:val="0"/>
        <w:rPr>
          <w:lang w:val="de-DE"/>
        </w:rPr>
      </w:pPr>
      <w:bookmarkStart w:id="28" w:name="_Toc177493448"/>
      <w:r w:rsidRPr="00B140F2">
        <w:rPr>
          <w:lang w:val="de-DE"/>
        </w:rPr>
        <w:lastRenderedPageBreak/>
        <w:t>II.</w:t>
      </w:r>
      <w:r w:rsidRPr="00B140F2">
        <w:rPr>
          <w:lang w:val="de-DE"/>
        </w:rPr>
        <w:tab/>
      </w:r>
      <w:r w:rsidR="00E911F3" w:rsidRPr="00B140F2">
        <w:rPr>
          <w:lang w:val="de-DE"/>
        </w:rPr>
        <w:t>VOM</w:t>
      </w:r>
      <w:r w:rsidR="00390A97" w:rsidRPr="00B140F2">
        <w:rPr>
          <w:lang w:val="de-DE"/>
        </w:rPr>
        <w:t xml:space="preserve"> TECHNISCHEN AUSSCHUSS ZU PRÜFENDE ANGELEGENHEITEN</w:t>
      </w:r>
      <w:bookmarkEnd w:id="28"/>
    </w:p>
    <w:p w14:paraId="55213FAB" w14:textId="77777777" w:rsidR="004C351B" w:rsidRPr="00B140F2" w:rsidRDefault="004C351B" w:rsidP="000410DC">
      <w:pPr>
        <w:rPr>
          <w:lang w:val="de-DE"/>
        </w:rPr>
      </w:pPr>
    </w:p>
    <w:p w14:paraId="7794741C" w14:textId="77777777" w:rsidR="00214329" w:rsidRPr="00B140F2" w:rsidRDefault="0060633E" w:rsidP="000410DC">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Der folgende Abschnitt befasst sich ausschließlich mit Fragen, die vom Technischen Ausschuss zu prüfen sind.</w:t>
      </w:r>
    </w:p>
    <w:p w14:paraId="15375315" w14:textId="77777777" w:rsidR="004C351B" w:rsidRPr="00B140F2" w:rsidRDefault="004C351B" w:rsidP="000410DC">
      <w:pPr>
        <w:rPr>
          <w:lang w:val="de-DE"/>
        </w:rPr>
      </w:pPr>
    </w:p>
    <w:p w14:paraId="067AF851" w14:textId="7DD934BE" w:rsidR="00214329" w:rsidRPr="00B140F2" w:rsidRDefault="0060633E" w:rsidP="00BD4986">
      <w:pPr>
        <w:pStyle w:val="Heading2"/>
        <w:rPr>
          <w:lang w:val="de-DE"/>
        </w:rPr>
      </w:pPr>
      <w:bookmarkStart w:id="29" w:name="_Hlk173427749"/>
      <w:bookmarkStart w:id="30" w:name="_Toc144995604"/>
      <w:bookmarkStart w:id="31" w:name="_Toc177493449"/>
      <w:r w:rsidRPr="00B140F2">
        <w:rPr>
          <w:lang w:val="de-DE"/>
        </w:rPr>
        <w:t xml:space="preserve">TGP/5 </w:t>
      </w:r>
      <w:r w:rsidR="001C4FD6" w:rsidRPr="00B140F2">
        <w:rPr>
          <w:lang w:val="de-DE"/>
        </w:rPr>
        <w:t>„</w:t>
      </w:r>
      <w:r w:rsidR="008B4CF2" w:rsidRPr="00B140F2">
        <w:rPr>
          <w:lang w:val="de-DE"/>
        </w:rPr>
        <w:t>Erfahrung und Zusammenarbeit bei der DUS-Prüfung</w:t>
      </w:r>
      <w:r w:rsidR="001C4FD6" w:rsidRPr="00B140F2">
        <w:rPr>
          <w:lang w:val="de-DE"/>
        </w:rPr>
        <w:t>“</w:t>
      </w:r>
      <w:r w:rsidR="008B4CF2" w:rsidRPr="00B140F2">
        <w:rPr>
          <w:lang w:val="de-DE"/>
        </w:rPr>
        <w:t xml:space="preserve">, </w:t>
      </w:r>
      <w:r w:rsidRPr="00B140F2">
        <w:rPr>
          <w:lang w:val="de-DE"/>
        </w:rPr>
        <w:t xml:space="preserve">Abschnitt 6 </w:t>
      </w:r>
      <w:r w:rsidR="001C4FD6" w:rsidRPr="00B140F2">
        <w:rPr>
          <w:lang w:val="de-DE"/>
        </w:rPr>
        <w:t>„</w:t>
      </w:r>
      <w:r w:rsidRPr="00B140F2">
        <w:rPr>
          <w:lang w:val="de-DE"/>
        </w:rPr>
        <w:t>UPOV-Bericht über die technische Prüfung und UPOV-Sortenbeschreibung</w:t>
      </w:r>
      <w:r w:rsidR="001C4FD6" w:rsidRPr="00B140F2">
        <w:rPr>
          <w:lang w:val="de-DE"/>
        </w:rPr>
        <w:t>“</w:t>
      </w:r>
      <w:bookmarkEnd w:id="29"/>
      <w:r w:rsidRPr="00B140F2">
        <w:rPr>
          <w:lang w:val="de-DE"/>
        </w:rPr>
        <w:t xml:space="preserve"> (</w:t>
      </w:r>
      <w:r w:rsidR="000B089C" w:rsidRPr="00B140F2">
        <w:rPr>
          <w:lang w:val="de-DE"/>
        </w:rPr>
        <w:t>Überarbeitung</w:t>
      </w:r>
      <w:r w:rsidRPr="00B140F2">
        <w:rPr>
          <w:lang w:val="de-DE"/>
        </w:rPr>
        <w:t>)</w:t>
      </w:r>
      <w:bookmarkEnd w:id="30"/>
      <w:bookmarkEnd w:id="31"/>
    </w:p>
    <w:p w14:paraId="3694EAEE" w14:textId="77777777" w:rsidR="004C351B" w:rsidRPr="00B140F2" w:rsidRDefault="004C351B" w:rsidP="00BD4986">
      <w:pPr>
        <w:pStyle w:val="Heading2"/>
        <w:rPr>
          <w:lang w:val="de-DE"/>
        </w:rPr>
      </w:pPr>
    </w:p>
    <w:p w14:paraId="0A058C73" w14:textId="3F27F88D" w:rsidR="00214329" w:rsidRPr="00B140F2" w:rsidRDefault="0060633E" w:rsidP="00BD4986">
      <w:pPr>
        <w:pStyle w:val="Heading3"/>
        <w:spacing w:line="240" w:lineRule="auto"/>
        <w:rPr>
          <w:lang w:val="de-DE"/>
        </w:rPr>
      </w:pPr>
      <w:bookmarkStart w:id="32" w:name="_Toc144995606"/>
      <w:bookmarkStart w:id="33" w:name="_Toc177493450"/>
      <w:r w:rsidRPr="00B140F2">
        <w:rPr>
          <w:lang w:val="de-DE"/>
        </w:rPr>
        <w:t xml:space="preserve">Unterabschnitt </w:t>
      </w:r>
      <w:r w:rsidR="001C4FD6" w:rsidRPr="00B140F2">
        <w:rPr>
          <w:lang w:val="de-DE"/>
        </w:rPr>
        <w:t>„</w:t>
      </w:r>
      <w:r w:rsidR="004C351B" w:rsidRPr="00B140F2">
        <w:rPr>
          <w:lang w:val="de-DE"/>
        </w:rPr>
        <w:t>UPOV-Sortenbeschreibung</w:t>
      </w:r>
      <w:r w:rsidR="001C4FD6" w:rsidRPr="00B140F2">
        <w:rPr>
          <w:lang w:val="de-DE"/>
        </w:rPr>
        <w:t>“</w:t>
      </w:r>
      <w:r w:rsidRPr="00B140F2">
        <w:rPr>
          <w:lang w:val="de-DE"/>
        </w:rPr>
        <w:t xml:space="preserve">, </w:t>
      </w:r>
      <w:r w:rsidR="004C351B" w:rsidRPr="00B140F2">
        <w:rPr>
          <w:lang w:val="de-DE"/>
        </w:rPr>
        <w:t xml:space="preserve">Punkt 16 </w:t>
      </w:r>
      <w:r w:rsidR="001C4FD6" w:rsidRPr="00B140F2">
        <w:rPr>
          <w:lang w:val="de-DE"/>
        </w:rPr>
        <w:t>„</w:t>
      </w:r>
      <w:r w:rsidR="00FE23CD" w:rsidRPr="00B140F2">
        <w:rPr>
          <w:lang w:val="de-DE"/>
        </w:rPr>
        <w:t>Ähnliche Sorten und Unterschiede zu diesen Sorten</w:t>
      </w:r>
      <w:r w:rsidR="001C4FD6" w:rsidRPr="00B140F2">
        <w:rPr>
          <w:lang w:val="de-DE"/>
        </w:rPr>
        <w:t>“</w:t>
      </w:r>
      <w:bookmarkEnd w:id="32"/>
      <w:bookmarkEnd w:id="33"/>
    </w:p>
    <w:p w14:paraId="11E9BF0B" w14:textId="77777777" w:rsidR="004C351B" w:rsidRPr="00B140F2" w:rsidRDefault="004C351B" w:rsidP="00BD4986">
      <w:pPr>
        <w:keepNext/>
        <w:rPr>
          <w:lang w:val="de-DE"/>
        </w:rPr>
      </w:pPr>
    </w:p>
    <w:p w14:paraId="4F52C35D" w14:textId="26C1C526" w:rsidR="00214329" w:rsidRPr="00B140F2" w:rsidRDefault="0060633E" w:rsidP="00BD4986">
      <w:pPr>
        <w:rPr>
          <w:lang w:val="de-DE"/>
        </w:rPr>
      </w:pPr>
      <w:r w:rsidRPr="00E83514">
        <w:rPr>
          <w:rFonts w:eastAsia="MS Mincho"/>
          <w:lang w:val="de-DE"/>
        </w:rPr>
        <w:fldChar w:fldCharType="begin"/>
      </w:r>
      <w:r w:rsidRPr="00B140F2">
        <w:rPr>
          <w:rFonts w:eastAsia="MS Mincho"/>
          <w:lang w:val="de-DE"/>
        </w:rPr>
        <w:instrText xml:space="preserve"> AUTONUM  </w:instrText>
      </w:r>
      <w:r w:rsidRPr="00E83514">
        <w:rPr>
          <w:rFonts w:eastAsia="MS Mincho"/>
          <w:lang w:val="de-DE"/>
        </w:rPr>
        <w:fldChar w:fldCharType="end"/>
      </w:r>
      <w:r w:rsidRPr="00B140F2">
        <w:rPr>
          <w:rFonts w:eastAsia="MS Mincho"/>
          <w:lang w:val="de-DE"/>
        </w:rPr>
        <w:tab/>
      </w:r>
      <w:r w:rsidRPr="00B140F2">
        <w:rPr>
          <w:lang w:val="de-DE"/>
        </w:rPr>
        <w:t>Der TC</w:t>
      </w:r>
      <w:r w:rsidRPr="00E83514">
        <w:rPr>
          <w:rStyle w:val="FootnoteReference"/>
          <w:lang w:val="de-DE"/>
        </w:rPr>
        <w:footnoteReference w:id="3"/>
      </w:r>
      <w:r w:rsidRPr="00B140F2">
        <w:rPr>
          <w:lang w:val="de-DE"/>
        </w:rPr>
        <w:t xml:space="preserve"> vereinbarte auf seiner Tagung im Jahr 2023, die TWP zu ersuchen, auf ihren Tagungen im Jahr 2024 den Vorschlag der TWF zu prüfen, zusätzliche Erläuterungen unter Punkt 16 </w:t>
      </w:r>
      <w:r w:rsidR="001C4FD6" w:rsidRPr="00B140F2">
        <w:rPr>
          <w:lang w:val="de-DE"/>
        </w:rPr>
        <w:t>„</w:t>
      </w:r>
      <w:r w:rsidR="00FE23CD" w:rsidRPr="00B140F2">
        <w:rPr>
          <w:lang w:val="de-DE"/>
        </w:rPr>
        <w:t>Ähnliche Sorten und Unterschiede zu diesen Sorten</w:t>
      </w:r>
      <w:r w:rsidR="001C4FD6" w:rsidRPr="00B140F2">
        <w:rPr>
          <w:lang w:val="de-DE"/>
        </w:rPr>
        <w:t>“</w:t>
      </w:r>
      <w:r w:rsidRPr="00B140F2">
        <w:rPr>
          <w:lang w:val="de-DE"/>
        </w:rPr>
        <w:t xml:space="preserve"> aufzunehmen</w:t>
      </w:r>
      <w:r w:rsidR="009C419F">
        <w:rPr>
          <w:lang w:val="de-DE"/>
        </w:rPr>
        <w:t>,</w:t>
      </w:r>
      <w:r w:rsidRPr="00B140F2">
        <w:rPr>
          <w:lang w:val="de-DE"/>
        </w:rPr>
        <w:t xml:space="preserve"> und </w:t>
      </w:r>
      <w:r w:rsidR="00D0781E">
        <w:rPr>
          <w:lang w:val="de-DE"/>
        </w:rPr>
        <w:t xml:space="preserve">zu prüfen, </w:t>
      </w:r>
      <w:r w:rsidRPr="00B140F2">
        <w:rPr>
          <w:lang w:val="de-DE"/>
        </w:rPr>
        <w:t>ob weitere Anleitung zu Informationen über ähnliche bei der Prüfung berücksichtigt</w:t>
      </w:r>
      <w:r w:rsidR="00D0781E">
        <w:rPr>
          <w:lang w:val="de-DE"/>
        </w:rPr>
        <w:t xml:space="preserve">e </w:t>
      </w:r>
      <w:r w:rsidR="00D0781E" w:rsidRPr="00B140F2">
        <w:rPr>
          <w:lang w:val="de-DE"/>
        </w:rPr>
        <w:t>Sorten</w:t>
      </w:r>
      <w:r w:rsidRPr="00B140F2">
        <w:rPr>
          <w:lang w:val="de-DE"/>
        </w:rPr>
        <w:t xml:space="preserve"> gegeben werden soll.</w:t>
      </w:r>
    </w:p>
    <w:p w14:paraId="351DB3BB" w14:textId="77777777" w:rsidR="004905CA" w:rsidRPr="00B140F2" w:rsidRDefault="004905CA" w:rsidP="00BD4986">
      <w:pPr>
        <w:rPr>
          <w:lang w:val="de-DE"/>
        </w:rPr>
      </w:pPr>
    </w:p>
    <w:p w14:paraId="4F84EAD1" w14:textId="56567206" w:rsidR="00214329" w:rsidRPr="00B140F2" w:rsidRDefault="0060633E" w:rsidP="00BD4986">
      <w:pPr>
        <w:rPr>
          <w:lang w:val="de-DE"/>
        </w:rPr>
      </w:pPr>
      <w:r w:rsidRPr="00E83514">
        <w:rPr>
          <w:rFonts w:eastAsia="MS Mincho"/>
          <w:lang w:val="de-DE"/>
        </w:rPr>
        <w:fldChar w:fldCharType="begin"/>
      </w:r>
      <w:r w:rsidRPr="00B140F2">
        <w:rPr>
          <w:rFonts w:eastAsia="MS Mincho"/>
          <w:lang w:val="de-DE"/>
        </w:rPr>
        <w:instrText xml:space="preserve"> AUTONUM  </w:instrText>
      </w:r>
      <w:r w:rsidRPr="00E83514">
        <w:rPr>
          <w:rFonts w:eastAsia="MS Mincho"/>
          <w:lang w:val="de-DE"/>
        </w:rPr>
        <w:fldChar w:fldCharType="end"/>
      </w:r>
      <w:r w:rsidRPr="00B140F2">
        <w:rPr>
          <w:rFonts w:eastAsia="MS Mincho"/>
          <w:lang w:val="de-DE"/>
        </w:rPr>
        <w:tab/>
      </w:r>
      <w:r w:rsidR="00295926" w:rsidRPr="00B140F2">
        <w:rPr>
          <w:rFonts w:eastAsia="MS Mincho"/>
          <w:lang w:val="de-DE"/>
        </w:rPr>
        <w:t xml:space="preserve">Anlage III dieses Dokuments enthält </w:t>
      </w:r>
      <w:r w:rsidR="0004556B" w:rsidRPr="00B140F2">
        <w:rPr>
          <w:rFonts w:eastAsia="MS Mincho"/>
          <w:lang w:val="de-DE"/>
        </w:rPr>
        <w:t xml:space="preserve">weitere </w:t>
      </w:r>
      <w:r w:rsidRPr="00B140F2">
        <w:rPr>
          <w:rFonts w:eastAsia="MS Mincho"/>
          <w:lang w:val="de-DE"/>
        </w:rPr>
        <w:t xml:space="preserve">Hintergrundinformationen zu diesem Thema und </w:t>
      </w:r>
      <w:r w:rsidR="007D62E7" w:rsidRPr="00B140F2">
        <w:rPr>
          <w:rFonts w:eastAsia="MS Mincho"/>
          <w:lang w:val="de-DE"/>
        </w:rPr>
        <w:t>Bemerkungen</w:t>
      </w:r>
      <w:r w:rsidR="002A54B4" w:rsidRPr="00B140F2">
        <w:rPr>
          <w:rFonts w:eastAsia="MS Mincho"/>
          <w:lang w:val="de-DE"/>
        </w:rPr>
        <w:t xml:space="preserve"> der </w:t>
      </w:r>
      <w:r w:rsidR="00AA1ED1" w:rsidRPr="00B140F2">
        <w:rPr>
          <w:rFonts w:eastAsia="MS Mincho"/>
          <w:lang w:val="de-DE"/>
        </w:rPr>
        <w:t>TWP auf ihren Tagungen im Jahr 2024</w:t>
      </w:r>
      <w:r w:rsidRPr="00B140F2">
        <w:rPr>
          <w:rFonts w:eastAsia="MS Mincho"/>
          <w:lang w:val="de-DE"/>
        </w:rPr>
        <w:t>.</w:t>
      </w:r>
    </w:p>
    <w:p w14:paraId="3931449E" w14:textId="77777777" w:rsidR="005C2D63" w:rsidRPr="00B140F2" w:rsidRDefault="005C2D63" w:rsidP="00BD4986">
      <w:pPr>
        <w:rPr>
          <w:lang w:val="de-DE"/>
        </w:rPr>
      </w:pPr>
    </w:p>
    <w:p w14:paraId="3222426F" w14:textId="77777777" w:rsidR="00214329" w:rsidRPr="00B140F2" w:rsidRDefault="0060633E" w:rsidP="00BD4986">
      <w:pPr>
        <w:pStyle w:val="Heading4"/>
        <w:rPr>
          <w:lang w:val="de-DE"/>
        </w:rPr>
      </w:pPr>
      <w:bookmarkStart w:id="34" w:name="_Toc177493451"/>
      <w:r w:rsidRPr="00B140F2">
        <w:rPr>
          <w:lang w:val="de-DE"/>
        </w:rPr>
        <w:t>Vorschlag</w:t>
      </w:r>
      <w:bookmarkEnd w:id="34"/>
    </w:p>
    <w:p w14:paraId="675B586A" w14:textId="77777777" w:rsidR="005C2D63" w:rsidRPr="00B140F2" w:rsidRDefault="005C2D63" w:rsidP="00BD4986">
      <w:pPr>
        <w:keepNext/>
        <w:rPr>
          <w:lang w:val="de-DE"/>
        </w:rPr>
      </w:pPr>
    </w:p>
    <w:p w14:paraId="365BCE46" w14:textId="62261876"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00CA3B96" w:rsidRPr="00B140F2">
        <w:rPr>
          <w:lang w:val="de-DE"/>
        </w:rPr>
        <w:t xml:space="preserve">Aufgrund der </w:t>
      </w:r>
      <w:r w:rsidR="007D62E7" w:rsidRPr="00B140F2">
        <w:rPr>
          <w:lang w:val="de-DE"/>
        </w:rPr>
        <w:t>Bemerkungen</w:t>
      </w:r>
      <w:r w:rsidR="00CA3B96" w:rsidRPr="00B140F2">
        <w:rPr>
          <w:lang w:val="de-DE"/>
        </w:rPr>
        <w:t xml:space="preserve"> der </w:t>
      </w:r>
      <w:r w:rsidR="00CA3B96" w:rsidRPr="00D60113">
        <w:rPr>
          <w:lang w:val="de-DE"/>
        </w:rPr>
        <w:t xml:space="preserve">TWP auf </w:t>
      </w:r>
      <w:r w:rsidR="009F6702" w:rsidRPr="00D60113">
        <w:rPr>
          <w:lang w:val="de-DE"/>
        </w:rPr>
        <w:t xml:space="preserve">ihren </w:t>
      </w:r>
      <w:r w:rsidR="00CA3B96" w:rsidRPr="00D60113">
        <w:rPr>
          <w:lang w:val="de-DE"/>
        </w:rPr>
        <w:t xml:space="preserve">Tagungen im Jahre 2024 </w:t>
      </w:r>
      <w:r w:rsidR="009F6702" w:rsidRPr="00D60113">
        <w:rPr>
          <w:lang w:val="de-DE"/>
        </w:rPr>
        <w:t xml:space="preserve">könnte der TC </w:t>
      </w:r>
      <w:r w:rsidR="00CA3B96" w:rsidRPr="00D60113">
        <w:rPr>
          <w:lang w:val="de-DE"/>
        </w:rPr>
        <w:t xml:space="preserve">die Aufnahme folgender zusätzlicher Erläuterungen zu Punkt 16 </w:t>
      </w:r>
      <w:r w:rsidR="001C4FD6" w:rsidRPr="00D60113">
        <w:rPr>
          <w:lang w:val="de-DE"/>
        </w:rPr>
        <w:t>„</w:t>
      </w:r>
      <w:r w:rsidR="00FE23CD" w:rsidRPr="00D60113">
        <w:rPr>
          <w:lang w:val="de-DE"/>
        </w:rPr>
        <w:t>Ähnliche Sorten und Unterschiede zu diesen Sorten</w:t>
      </w:r>
      <w:r w:rsidR="001C4FD6" w:rsidRPr="00D60113">
        <w:rPr>
          <w:lang w:val="de-DE"/>
        </w:rPr>
        <w:t>“</w:t>
      </w:r>
      <w:r w:rsidR="005C2D63" w:rsidRPr="00D60113">
        <w:rPr>
          <w:lang w:val="de-DE"/>
        </w:rPr>
        <w:t xml:space="preserve"> </w:t>
      </w:r>
      <w:r w:rsidR="00CA3B96" w:rsidRPr="00D60113">
        <w:rPr>
          <w:lang w:val="de-DE"/>
        </w:rPr>
        <w:t>in das Dokument TGP/5, Abschnitt 6</w:t>
      </w:r>
      <w:r w:rsidR="005C2D63" w:rsidRPr="00D60113">
        <w:rPr>
          <w:lang w:val="de-DE"/>
        </w:rPr>
        <w:t xml:space="preserve">, </w:t>
      </w:r>
      <w:r w:rsidR="00CA3B96" w:rsidRPr="00D60113">
        <w:rPr>
          <w:lang w:val="de-DE"/>
        </w:rPr>
        <w:t xml:space="preserve">prüfen wollen </w:t>
      </w:r>
      <w:r w:rsidR="005C2D63" w:rsidRPr="00D60113">
        <w:rPr>
          <w:lang w:val="de-DE"/>
        </w:rPr>
        <w:t>(</w:t>
      </w:r>
      <w:r w:rsidR="00D60113" w:rsidRPr="00B140F2">
        <w:rPr>
          <w:spacing w:val="-2"/>
          <w:lang w:val="de-DE"/>
        </w:rPr>
        <w:t xml:space="preserve">Zusätze sind durch Hervorhebung und </w:t>
      </w:r>
      <w:r w:rsidR="00D60113" w:rsidRPr="00B140F2">
        <w:rPr>
          <w:spacing w:val="-2"/>
          <w:highlight w:val="lightGray"/>
          <w:u w:val="single"/>
          <w:lang w:val="de-DE"/>
        </w:rPr>
        <w:t>Unterstreichung</w:t>
      </w:r>
      <w:r w:rsidR="00D60113" w:rsidRPr="00B140F2">
        <w:rPr>
          <w:spacing w:val="-2"/>
          <w:lang w:val="de-DE"/>
        </w:rPr>
        <w:t xml:space="preserve"> und Streichungen sind durch Hervorhebung und </w:t>
      </w:r>
      <w:r w:rsidR="00D60113" w:rsidRPr="00B140F2">
        <w:rPr>
          <w:strike/>
          <w:spacing w:val="-2"/>
          <w:highlight w:val="lightGray"/>
          <w:lang w:val="de-DE"/>
        </w:rPr>
        <w:t>Durchstreichen</w:t>
      </w:r>
      <w:r w:rsidR="00D60113" w:rsidRPr="00B140F2">
        <w:rPr>
          <w:spacing w:val="-2"/>
          <w:lang w:val="de-DE"/>
        </w:rPr>
        <w:t xml:space="preserve"> gekennzeichnet</w:t>
      </w:r>
      <w:r w:rsidR="005C2D63" w:rsidRPr="00D60113">
        <w:rPr>
          <w:lang w:val="de-DE"/>
        </w:rPr>
        <w:t>):</w:t>
      </w:r>
    </w:p>
    <w:p w14:paraId="7B051F41" w14:textId="77777777" w:rsidR="005C2D63" w:rsidRPr="00B140F2" w:rsidRDefault="005C2D63" w:rsidP="00BD4986">
      <w:pPr>
        <w:rPr>
          <w:lang w:val="de-DE"/>
        </w:rPr>
      </w:pPr>
    </w:p>
    <w:p w14:paraId="0E8CF9ED" w14:textId="26978846" w:rsidR="00214329" w:rsidRPr="00B140F2" w:rsidRDefault="0060633E" w:rsidP="00BD4986">
      <w:pPr>
        <w:ind w:right="425"/>
        <w:rPr>
          <w:rFonts w:cs="Arial"/>
          <w:sz w:val="18"/>
          <w:szCs w:val="18"/>
          <w:lang w:val="de-DE"/>
        </w:rPr>
      </w:pPr>
      <w:r w:rsidRPr="00B140F2">
        <w:rPr>
          <w:rFonts w:cs="Arial"/>
          <w:sz w:val="18"/>
          <w:szCs w:val="18"/>
          <w:lang w:val="de-DE"/>
        </w:rPr>
        <w:tab/>
      </w:r>
      <w:r w:rsidR="001C4FD6" w:rsidRPr="00B140F2">
        <w:rPr>
          <w:rFonts w:cs="Arial"/>
          <w:sz w:val="18"/>
          <w:szCs w:val="18"/>
          <w:lang w:val="de-DE"/>
        </w:rPr>
        <w:t>„</w:t>
      </w:r>
      <w:r w:rsidRPr="00B140F2">
        <w:rPr>
          <w:rFonts w:cs="Arial"/>
          <w:sz w:val="18"/>
          <w:szCs w:val="18"/>
          <w:lang w:val="de-DE"/>
        </w:rPr>
        <w:t xml:space="preserve">16. </w:t>
      </w:r>
      <w:r w:rsidRPr="00B140F2">
        <w:rPr>
          <w:rFonts w:cs="Arial"/>
          <w:sz w:val="18"/>
          <w:szCs w:val="18"/>
          <w:lang w:val="de-DE"/>
        </w:rPr>
        <w:tab/>
      </w:r>
      <w:r w:rsidR="00FE23CD" w:rsidRPr="00B140F2">
        <w:rPr>
          <w:rFonts w:cs="Arial"/>
          <w:sz w:val="18"/>
          <w:szCs w:val="18"/>
          <w:lang w:val="de-DE"/>
        </w:rPr>
        <w:t>Ähnliche Sorten und Unterschiede zu diesen Sorten</w:t>
      </w:r>
    </w:p>
    <w:p w14:paraId="515CAF92" w14:textId="77777777" w:rsidR="005C2D63" w:rsidRPr="00B140F2" w:rsidRDefault="005C2D63" w:rsidP="00BD4986">
      <w:pPr>
        <w:ind w:right="425"/>
        <w:rPr>
          <w:rFonts w:cs="Arial"/>
          <w:sz w:val="18"/>
          <w:szCs w:val="18"/>
          <w:lang w:val="de-DE"/>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5C2D63" w:rsidRPr="00223459" w14:paraId="1C116B31" w14:textId="77777777" w:rsidTr="000C3F61">
        <w:tc>
          <w:tcPr>
            <w:tcW w:w="1985" w:type="dxa"/>
            <w:vAlign w:val="center"/>
          </w:tcPr>
          <w:p w14:paraId="6BC84FE6" w14:textId="5C308FB1" w:rsidR="00214329" w:rsidRPr="00B140F2" w:rsidRDefault="006822A8" w:rsidP="00BD4986">
            <w:pPr>
              <w:ind w:right="73"/>
              <w:jc w:val="center"/>
              <w:rPr>
                <w:rFonts w:cs="Arial"/>
                <w:sz w:val="18"/>
                <w:szCs w:val="18"/>
                <w:lang w:val="de-DE"/>
              </w:rPr>
            </w:pPr>
            <w:r w:rsidRPr="00B140F2">
              <w:rPr>
                <w:rFonts w:cs="Arial"/>
                <w:sz w:val="18"/>
                <w:szCs w:val="18"/>
                <w:lang w:val="de-DE"/>
              </w:rPr>
              <w:t>Bezeichnung(en) der Sorte(n), die der Kandidatensorte ähnlich ist (sind)</w:t>
            </w:r>
          </w:p>
        </w:tc>
        <w:tc>
          <w:tcPr>
            <w:tcW w:w="2126" w:type="dxa"/>
            <w:vAlign w:val="center"/>
          </w:tcPr>
          <w:p w14:paraId="7EAE1EEA" w14:textId="5CD81D40" w:rsidR="00214329" w:rsidRPr="00B140F2" w:rsidRDefault="00EE4334" w:rsidP="00BD4986">
            <w:pPr>
              <w:jc w:val="center"/>
              <w:rPr>
                <w:rFonts w:cs="Arial"/>
                <w:sz w:val="18"/>
                <w:szCs w:val="18"/>
                <w:lang w:val="de-DE"/>
              </w:rPr>
            </w:pPr>
            <w:r w:rsidRPr="00B140F2">
              <w:rPr>
                <w:rFonts w:cs="Arial"/>
                <w:sz w:val="18"/>
                <w:szCs w:val="18"/>
                <w:lang w:val="de-DE"/>
              </w:rPr>
              <w:t>Merkmal(e), in dem (denen) die Kandidatensorte von der (den) ähnlichen Sorte(n) verschieden ist</w:t>
            </w:r>
            <w:r w:rsidR="00E911F3" w:rsidRPr="00E83514">
              <w:rPr>
                <w:rFonts w:cs="Arial"/>
                <w:sz w:val="18"/>
                <w:szCs w:val="18"/>
                <w:vertAlign w:val="superscript"/>
                <w:lang w:val="de-DE"/>
              </w:rPr>
              <w:t>1</w:t>
            </w:r>
            <w:r w:rsidR="0060633E" w:rsidRPr="00B140F2">
              <w:rPr>
                <w:rFonts w:cs="Arial"/>
                <w:sz w:val="18"/>
                <w:szCs w:val="18"/>
                <w:vertAlign w:val="superscript"/>
                <w:lang w:val="de-DE"/>
              </w:rPr>
              <w:t>)</w:t>
            </w:r>
          </w:p>
        </w:tc>
        <w:tc>
          <w:tcPr>
            <w:tcW w:w="2410" w:type="dxa"/>
            <w:vAlign w:val="center"/>
          </w:tcPr>
          <w:p w14:paraId="78E4FAA7" w14:textId="69E70388" w:rsidR="00214329" w:rsidRPr="00B140F2" w:rsidRDefault="0060633E" w:rsidP="00BD4986">
            <w:pPr>
              <w:ind w:right="171"/>
              <w:jc w:val="center"/>
              <w:rPr>
                <w:rFonts w:cs="Arial"/>
                <w:sz w:val="18"/>
                <w:szCs w:val="18"/>
                <w:lang w:val="de-DE"/>
              </w:rPr>
            </w:pPr>
            <w:r w:rsidRPr="00B140F2">
              <w:rPr>
                <w:rFonts w:cs="Arial"/>
                <w:sz w:val="18"/>
                <w:szCs w:val="18"/>
                <w:lang w:val="de-DE"/>
              </w:rPr>
              <w:t>Ausprägungsstufe des/der Merkmals/Merkmale für die ähnliche(n) Sorte(n)</w:t>
            </w:r>
            <w:r w:rsidRPr="00B140F2">
              <w:rPr>
                <w:rFonts w:cs="Arial"/>
                <w:sz w:val="18"/>
                <w:szCs w:val="18"/>
                <w:vertAlign w:val="superscript"/>
                <w:lang w:val="de-DE"/>
              </w:rPr>
              <w:t>2)</w:t>
            </w:r>
          </w:p>
        </w:tc>
        <w:tc>
          <w:tcPr>
            <w:tcW w:w="2126" w:type="dxa"/>
            <w:vAlign w:val="center"/>
          </w:tcPr>
          <w:p w14:paraId="0370DE6B" w14:textId="77777777" w:rsidR="00214329" w:rsidRPr="00B140F2" w:rsidRDefault="0060633E" w:rsidP="00BD4986">
            <w:pPr>
              <w:jc w:val="center"/>
              <w:rPr>
                <w:rFonts w:cs="Arial"/>
                <w:sz w:val="18"/>
                <w:szCs w:val="18"/>
                <w:lang w:val="de-DE"/>
              </w:rPr>
            </w:pPr>
            <w:r w:rsidRPr="00B140F2">
              <w:rPr>
                <w:rFonts w:cs="Arial"/>
                <w:sz w:val="18"/>
                <w:szCs w:val="18"/>
                <w:lang w:val="de-DE"/>
              </w:rPr>
              <w:t>Ausprägungsstufe des (der) Merkmals(e) für die Kandidatensorte</w:t>
            </w:r>
            <w:r w:rsidRPr="00B140F2">
              <w:rPr>
                <w:rFonts w:cs="Arial"/>
                <w:sz w:val="18"/>
                <w:szCs w:val="18"/>
                <w:vertAlign w:val="superscript"/>
                <w:lang w:val="de-DE"/>
              </w:rPr>
              <w:t>2)</w:t>
            </w:r>
          </w:p>
        </w:tc>
      </w:tr>
    </w:tbl>
    <w:p w14:paraId="6349F2BE" w14:textId="77777777" w:rsidR="005C2D63" w:rsidRPr="00B140F2" w:rsidRDefault="005C2D63" w:rsidP="00BD4986">
      <w:pPr>
        <w:ind w:right="425"/>
        <w:rPr>
          <w:rFonts w:cs="Arial"/>
          <w:sz w:val="18"/>
          <w:szCs w:val="18"/>
          <w:lang w:val="de-DE"/>
        </w:rPr>
      </w:pPr>
    </w:p>
    <w:p w14:paraId="26F248DA" w14:textId="0C7F0974" w:rsidR="00214329" w:rsidRPr="00D0781E" w:rsidRDefault="001C4FD6" w:rsidP="00BD4986">
      <w:pPr>
        <w:ind w:left="567" w:right="567"/>
        <w:rPr>
          <w:rFonts w:cs="Arial"/>
          <w:strike/>
          <w:sz w:val="18"/>
          <w:szCs w:val="18"/>
          <w:highlight w:val="lightGray"/>
          <w:lang w:val="de-DE"/>
        </w:rPr>
      </w:pPr>
      <w:r w:rsidRPr="00D0781E">
        <w:rPr>
          <w:rFonts w:cs="Arial"/>
          <w:strike/>
          <w:sz w:val="18"/>
          <w:szCs w:val="18"/>
          <w:highlight w:val="lightGray"/>
          <w:lang w:val="de-DE"/>
        </w:rPr>
        <w:t>„</w:t>
      </w:r>
      <w:r w:rsidR="0060633E" w:rsidRPr="00D0781E">
        <w:rPr>
          <w:rFonts w:cs="Arial"/>
          <w:strike/>
          <w:sz w:val="18"/>
          <w:szCs w:val="18"/>
          <w:highlight w:val="lightGray"/>
          <w:lang w:val="de-DE"/>
        </w:rPr>
        <w:t>1)</w:t>
      </w:r>
      <w:r w:rsidR="0060633E" w:rsidRPr="00D0781E">
        <w:rPr>
          <w:strike/>
          <w:lang w:val="de-DE"/>
        </w:rPr>
        <w:tab/>
      </w:r>
      <w:r w:rsidR="008B06C5">
        <w:rPr>
          <w:rFonts w:cs="Arial"/>
          <w:strike/>
          <w:sz w:val="18"/>
          <w:szCs w:val="18"/>
          <w:highlight w:val="lightGray"/>
          <w:u w:val="single"/>
          <w:lang w:val="de-DE"/>
        </w:rPr>
        <w:t>Eine ähnliche Sorte/Sorten sollte(n) angegeben werden</w:t>
      </w:r>
      <w:r w:rsidR="0060633E" w:rsidRPr="00D0781E">
        <w:rPr>
          <w:rFonts w:cs="Arial"/>
          <w:strike/>
          <w:sz w:val="18"/>
          <w:szCs w:val="18"/>
          <w:highlight w:val="lightGray"/>
          <w:u w:val="single"/>
          <w:lang w:val="de-DE"/>
        </w:rPr>
        <w:t xml:space="preserve">. Wenn keine ähnliche Sorte identifiziert wurde, sollte </w:t>
      </w:r>
      <w:r w:rsidRPr="00D0781E">
        <w:rPr>
          <w:rFonts w:cs="Arial"/>
          <w:strike/>
          <w:sz w:val="18"/>
          <w:szCs w:val="18"/>
          <w:highlight w:val="lightGray"/>
          <w:u w:val="single"/>
          <w:lang w:val="de-DE"/>
        </w:rPr>
        <w:t>„</w:t>
      </w:r>
      <w:r w:rsidR="0060633E" w:rsidRPr="00D0781E">
        <w:rPr>
          <w:rFonts w:cs="Arial"/>
          <w:strike/>
          <w:sz w:val="18"/>
          <w:szCs w:val="18"/>
          <w:highlight w:val="lightGray"/>
          <w:u w:val="single"/>
          <w:lang w:val="de-DE"/>
        </w:rPr>
        <w:t>keine</w:t>
      </w:r>
      <w:r w:rsidRPr="00D0781E">
        <w:rPr>
          <w:rFonts w:cs="Arial"/>
          <w:strike/>
          <w:sz w:val="18"/>
          <w:szCs w:val="18"/>
          <w:highlight w:val="lightGray"/>
          <w:u w:val="single"/>
          <w:lang w:val="de-DE"/>
        </w:rPr>
        <w:t>“</w:t>
      </w:r>
      <w:r w:rsidR="0060633E" w:rsidRPr="00D0781E">
        <w:rPr>
          <w:rFonts w:cs="Arial"/>
          <w:strike/>
          <w:sz w:val="18"/>
          <w:szCs w:val="18"/>
          <w:highlight w:val="lightGray"/>
          <w:u w:val="single"/>
          <w:lang w:val="de-DE"/>
        </w:rPr>
        <w:t xml:space="preserve"> angegeben werden.</w:t>
      </w:r>
    </w:p>
    <w:p w14:paraId="37E1A744" w14:textId="77777777" w:rsidR="005C2D63" w:rsidRPr="00D0781E" w:rsidRDefault="005C2D63" w:rsidP="00BD4986">
      <w:pPr>
        <w:ind w:left="567" w:right="567"/>
        <w:rPr>
          <w:rFonts w:cs="Arial"/>
          <w:strike/>
          <w:sz w:val="18"/>
          <w:szCs w:val="18"/>
          <w:highlight w:val="lightGray"/>
          <w:lang w:val="de-DE"/>
        </w:rPr>
      </w:pPr>
    </w:p>
    <w:p w14:paraId="6E4E345B" w14:textId="7040443F" w:rsidR="005C2D63" w:rsidRPr="00D0781E" w:rsidRDefault="001C4FD6" w:rsidP="00BD4986">
      <w:pPr>
        <w:ind w:left="567" w:right="567"/>
        <w:rPr>
          <w:rFonts w:cs="Arial"/>
          <w:strike/>
          <w:sz w:val="18"/>
          <w:szCs w:val="18"/>
          <w:lang w:val="de-DE"/>
        </w:rPr>
      </w:pPr>
      <w:r w:rsidRPr="00D0781E">
        <w:rPr>
          <w:strike/>
          <w:sz w:val="18"/>
          <w:szCs w:val="18"/>
          <w:highlight w:val="lightGray"/>
          <w:lang w:val="de-DE"/>
        </w:rPr>
        <w:t>„</w:t>
      </w:r>
      <w:r w:rsidR="0060633E" w:rsidRPr="00D0781E">
        <w:rPr>
          <w:strike/>
          <w:sz w:val="18"/>
          <w:szCs w:val="18"/>
          <w:highlight w:val="lightGray"/>
          <w:lang w:val="de-DE"/>
        </w:rPr>
        <w:t>2)</w:t>
      </w:r>
      <w:r w:rsidR="0060633E" w:rsidRPr="00D0781E">
        <w:rPr>
          <w:strike/>
          <w:lang w:val="de-DE"/>
        </w:rPr>
        <w:tab/>
      </w:r>
      <w:r w:rsidR="00314985" w:rsidRPr="00D0781E">
        <w:rPr>
          <w:strike/>
          <w:sz w:val="18"/>
          <w:szCs w:val="18"/>
          <w:highlight w:val="lightGray"/>
          <w:lang w:val="de-DE"/>
        </w:rPr>
        <w:t xml:space="preserve">Die Ausprägungsstufen der Kandidatensorte(n) und der ähnlichen Sorte(n) beziehen sich auf die DUS-Prüfung, die an der </w:t>
      </w:r>
      <w:r w:rsidR="005068FD" w:rsidRPr="00D0781E">
        <w:rPr>
          <w:strike/>
          <w:sz w:val="18"/>
          <w:szCs w:val="18"/>
          <w:highlight w:val="lightGray"/>
          <w:lang w:val="de-DE"/>
        </w:rPr>
        <w:t>Prüfungsstation</w:t>
      </w:r>
      <w:r w:rsidR="005068FD" w:rsidRPr="00D0781E">
        <w:rPr>
          <w:strike/>
          <w:sz w:val="18"/>
          <w:szCs w:val="18"/>
          <w:highlight w:val="lightGray"/>
          <w:u w:val="single"/>
          <w:lang w:val="de-DE"/>
        </w:rPr>
        <w:t>einrichtung</w:t>
      </w:r>
      <w:r w:rsidR="00314985" w:rsidRPr="00D0781E">
        <w:rPr>
          <w:strike/>
          <w:sz w:val="18"/>
          <w:szCs w:val="18"/>
          <w:highlight w:val="lightGray"/>
          <w:lang w:val="de-DE"/>
        </w:rPr>
        <w:t xml:space="preserve"> und der Prüfungsperiode, die unter den Punkten 11 und 12 aufgeführt sind, durchgeführt wurde</w:t>
      </w:r>
      <w:r w:rsidR="006316B1" w:rsidRPr="00D0781E">
        <w:rPr>
          <w:strike/>
          <w:sz w:val="18"/>
          <w:szCs w:val="18"/>
          <w:highlight w:val="lightGray"/>
          <w:lang w:val="de-DE"/>
        </w:rPr>
        <w:t>.</w:t>
      </w:r>
    </w:p>
    <w:p w14:paraId="2EBE81AE" w14:textId="77777777" w:rsidR="00515758" w:rsidRDefault="00515758" w:rsidP="00BD4986">
      <w:pPr>
        <w:ind w:left="567" w:right="567"/>
        <w:rPr>
          <w:sz w:val="18"/>
          <w:szCs w:val="18"/>
          <w:lang w:val="de-DE"/>
        </w:rPr>
      </w:pPr>
    </w:p>
    <w:p w14:paraId="493B852A" w14:textId="1CFCF137" w:rsidR="00214329" w:rsidRPr="00B140F2" w:rsidRDefault="0060633E" w:rsidP="00BD4986">
      <w:pPr>
        <w:ind w:left="567" w:right="567"/>
        <w:rPr>
          <w:sz w:val="18"/>
          <w:szCs w:val="18"/>
          <w:lang w:val="de-DE"/>
        </w:rPr>
      </w:pPr>
      <w:r w:rsidRPr="00B140F2">
        <w:rPr>
          <w:sz w:val="18"/>
          <w:szCs w:val="18"/>
          <w:lang w:val="de-DE"/>
        </w:rPr>
        <w:t>[...]</w:t>
      </w:r>
    </w:p>
    <w:p w14:paraId="0B706AB6" w14:textId="77777777" w:rsidR="005C2D63" w:rsidRPr="00B140F2" w:rsidRDefault="005C2D63" w:rsidP="00BD4986">
      <w:pPr>
        <w:ind w:left="567" w:right="567"/>
        <w:rPr>
          <w:sz w:val="18"/>
          <w:szCs w:val="18"/>
          <w:lang w:val="de-DE"/>
        </w:rPr>
      </w:pPr>
    </w:p>
    <w:p w14:paraId="72BA8269" w14:textId="3293EB38" w:rsidR="00214329" w:rsidRPr="009C419F" w:rsidRDefault="001C4FD6" w:rsidP="00BD4986">
      <w:pPr>
        <w:ind w:left="567" w:right="567"/>
        <w:rPr>
          <w:rFonts w:cs="Arial"/>
          <w:sz w:val="18"/>
          <w:szCs w:val="18"/>
          <w:lang w:val="de-DE"/>
        </w:rPr>
      </w:pPr>
      <w:r w:rsidRPr="009C419F">
        <w:rPr>
          <w:rFonts w:cs="Arial"/>
          <w:sz w:val="18"/>
          <w:szCs w:val="18"/>
          <w:lang w:val="de-DE"/>
        </w:rPr>
        <w:t>„</w:t>
      </w:r>
      <w:r w:rsidR="00CE6C38" w:rsidRPr="009C419F">
        <w:rPr>
          <w:rFonts w:cs="Arial"/>
          <w:sz w:val="18"/>
          <w:szCs w:val="18"/>
          <w:lang w:val="de-DE"/>
        </w:rPr>
        <w:t>d)</w:t>
      </w:r>
      <w:r w:rsidR="0060633E" w:rsidRPr="009C419F">
        <w:rPr>
          <w:lang w:val="de-DE"/>
        </w:rPr>
        <w:tab/>
      </w:r>
      <w:r w:rsidR="0060633E" w:rsidRPr="009C419F">
        <w:rPr>
          <w:rFonts w:cs="Arial"/>
          <w:sz w:val="18"/>
          <w:szCs w:val="18"/>
          <w:lang w:val="de-DE"/>
        </w:rPr>
        <w:t>Zu Nummer 16 (Anlage: UPOV-Sortenbeschreibung)</w:t>
      </w:r>
    </w:p>
    <w:p w14:paraId="7829DC1E" w14:textId="77777777" w:rsidR="005C2D63" w:rsidRPr="009C419F" w:rsidRDefault="005C2D63" w:rsidP="00BD4986">
      <w:pPr>
        <w:ind w:left="567" w:right="567"/>
        <w:rPr>
          <w:rFonts w:cs="Arial"/>
          <w:sz w:val="18"/>
          <w:szCs w:val="18"/>
          <w:lang w:val="de-DE"/>
        </w:rPr>
      </w:pPr>
    </w:p>
    <w:p w14:paraId="78EE7357" w14:textId="009A6423" w:rsidR="00214329" w:rsidRPr="009C419F" w:rsidRDefault="001C4FD6" w:rsidP="00BD4986">
      <w:pPr>
        <w:ind w:left="567" w:right="567"/>
        <w:rPr>
          <w:rFonts w:cs="Arial"/>
          <w:sz w:val="18"/>
          <w:szCs w:val="18"/>
          <w:highlight w:val="lightGray"/>
          <w:lang w:val="de-DE"/>
        </w:rPr>
      </w:pPr>
      <w:r w:rsidRPr="009C419F">
        <w:rPr>
          <w:rFonts w:cs="Arial"/>
          <w:sz w:val="18"/>
          <w:szCs w:val="18"/>
          <w:highlight w:val="lightGray"/>
          <w:u w:val="single"/>
          <w:lang w:val="de-DE"/>
        </w:rPr>
        <w:t>„</w:t>
      </w:r>
      <w:r w:rsidR="283D3DED" w:rsidRPr="009C419F">
        <w:rPr>
          <w:rFonts w:cs="Arial"/>
          <w:sz w:val="18"/>
          <w:szCs w:val="18"/>
          <w:highlight w:val="lightGray"/>
          <w:u w:val="single"/>
          <w:lang w:val="de-DE"/>
        </w:rPr>
        <w:t>1)</w:t>
      </w:r>
      <w:r w:rsidR="283D3DED" w:rsidRPr="009C419F">
        <w:rPr>
          <w:highlight w:val="lightGray"/>
          <w:lang w:val="de-DE"/>
        </w:rPr>
        <w:tab/>
      </w:r>
      <w:r w:rsidR="008B06C5">
        <w:rPr>
          <w:rFonts w:cs="Arial"/>
          <w:sz w:val="18"/>
          <w:szCs w:val="18"/>
          <w:highlight w:val="lightGray"/>
          <w:u w:val="single"/>
          <w:lang w:val="de-DE"/>
        </w:rPr>
        <w:t>Eine ähnliche Sorte/Sorten sollte(n) angegeben werden</w:t>
      </w:r>
      <w:r w:rsidR="283D3DED" w:rsidRPr="009C419F">
        <w:rPr>
          <w:rFonts w:cs="Arial"/>
          <w:sz w:val="18"/>
          <w:szCs w:val="18"/>
          <w:highlight w:val="lightGray"/>
          <w:u w:val="single"/>
          <w:lang w:val="de-DE"/>
        </w:rPr>
        <w:t xml:space="preserve">. Wenn keine ähnliche Sorte identifiziert wurde, sollte </w:t>
      </w:r>
      <w:r w:rsidRPr="009C419F">
        <w:rPr>
          <w:rFonts w:cs="Arial"/>
          <w:sz w:val="18"/>
          <w:szCs w:val="18"/>
          <w:highlight w:val="lightGray"/>
          <w:u w:val="single"/>
          <w:lang w:val="de-DE"/>
        </w:rPr>
        <w:t>„</w:t>
      </w:r>
      <w:r w:rsidR="283D3DED" w:rsidRPr="009C419F">
        <w:rPr>
          <w:rFonts w:cs="Arial"/>
          <w:sz w:val="18"/>
          <w:szCs w:val="18"/>
          <w:highlight w:val="lightGray"/>
          <w:u w:val="single"/>
          <w:lang w:val="de-DE"/>
        </w:rPr>
        <w:t>keine</w:t>
      </w:r>
      <w:r w:rsidRPr="009C419F">
        <w:rPr>
          <w:rFonts w:cs="Arial"/>
          <w:sz w:val="18"/>
          <w:szCs w:val="18"/>
          <w:highlight w:val="lightGray"/>
          <w:u w:val="single"/>
          <w:lang w:val="de-DE"/>
        </w:rPr>
        <w:t>“</w:t>
      </w:r>
      <w:r w:rsidR="283D3DED" w:rsidRPr="009C419F">
        <w:rPr>
          <w:rFonts w:cs="Arial"/>
          <w:sz w:val="18"/>
          <w:szCs w:val="18"/>
          <w:highlight w:val="lightGray"/>
          <w:u w:val="single"/>
          <w:lang w:val="de-DE"/>
        </w:rPr>
        <w:t xml:space="preserve"> angegeben werden.</w:t>
      </w:r>
    </w:p>
    <w:p w14:paraId="6ECBC7F7" w14:textId="77777777" w:rsidR="436BB483" w:rsidRPr="009C419F" w:rsidRDefault="436BB483" w:rsidP="00BD4986">
      <w:pPr>
        <w:ind w:left="567" w:right="567"/>
        <w:rPr>
          <w:rFonts w:cs="Arial"/>
          <w:sz w:val="18"/>
          <w:szCs w:val="18"/>
          <w:highlight w:val="lightGray"/>
          <w:lang w:val="de-DE"/>
        </w:rPr>
      </w:pPr>
    </w:p>
    <w:p w14:paraId="1AC33636" w14:textId="74728B86" w:rsidR="00214329" w:rsidRPr="009C419F" w:rsidRDefault="001C4FD6" w:rsidP="00BD4986">
      <w:pPr>
        <w:ind w:left="567" w:right="567"/>
        <w:rPr>
          <w:sz w:val="18"/>
          <w:szCs w:val="18"/>
          <w:lang w:val="de-DE"/>
        </w:rPr>
      </w:pPr>
      <w:r w:rsidRPr="009C419F">
        <w:rPr>
          <w:sz w:val="18"/>
          <w:szCs w:val="18"/>
          <w:highlight w:val="lightGray"/>
          <w:u w:val="single"/>
          <w:lang w:val="de-DE"/>
        </w:rPr>
        <w:t>„</w:t>
      </w:r>
      <w:r w:rsidR="0060633E" w:rsidRPr="009C419F">
        <w:rPr>
          <w:sz w:val="18"/>
          <w:szCs w:val="18"/>
          <w:highlight w:val="lightGray"/>
          <w:u w:val="single"/>
          <w:lang w:val="de-DE"/>
        </w:rPr>
        <w:t>2)</w:t>
      </w:r>
      <w:r w:rsidR="0060633E" w:rsidRPr="009C419F">
        <w:rPr>
          <w:highlight w:val="lightGray"/>
          <w:lang w:val="de-DE"/>
        </w:rPr>
        <w:tab/>
      </w:r>
      <w:r w:rsidR="00FA4389" w:rsidRPr="009C419F">
        <w:rPr>
          <w:sz w:val="18"/>
          <w:szCs w:val="18"/>
          <w:highlight w:val="lightGray"/>
          <w:u w:val="single"/>
          <w:lang w:val="de-DE"/>
        </w:rPr>
        <w:t>Die Ausprägungsstufen der Kandidatensorte(n) und der ähnlichen Sorte(n) beziehen sich auf die DUS-Prüfung, die an der Prüfungs</w:t>
      </w:r>
      <w:r w:rsidR="00FA4389" w:rsidRPr="009C419F">
        <w:rPr>
          <w:strike/>
          <w:sz w:val="18"/>
          <w:szCs w:val="18"/>
          <w:highlight w:val="lightGray"/>
          <w:u w:val="single"/>
          <w:lang w:val="de-DE"/>
        </w:rPr>
        <w:t>station, dem Prüfungsort</w:t>
      </w:r>
      <w:r w:rsidR="00C81F85" w:rsidRPr="009C419F">
        <w:rPr>
          <w:sz w:val="18"/>
          <w:szCs w:val="18"/>
          <w:highlight w:val="lightGray"/>
          <w:u w:val="single"/>
          <w:lang w:val="de-DE"/>
        </w:rPr>
        <w:t>einrichtung</w:t>
      </w:r>
      <w:r w:rsidR="00FA4389" w:rsidRPr="009C419F">
        <w:rPr>
          <w:sz w:val="18"/>
          <w:szCs w:val="18"/>
          <w:highlight w:val="lightGray"/>
          <w:u w:val="single"/>
          <w:lang w:val="de-DE"/>
        </w:rPr>
        <w:t xml:space="preserve"> und der Prüfungsperiode, die unter den Punkten 11 und 12 aufgeführt sind, durchgeführt wurden</w:t>
      </w:r>
      <w:r w:rsidR="0060633E" w:rsidRPr="009C419F">
        <w:rPr>
          <w:sz w:val="18"/>
          <w:szCs w:val="18"/>
          <w:highlight w:val="lightGray"/>
          <w:u w:val="single"/>
          <w:lang w:val="de-DE"/>
        </w:rPr>
        <w:t>.</w:t>
      </w:r>
    </w:p>
    <w:p w14:paraId="4E03633F" w14:textId="77777777" w:rsidR="436BB483" w:rsidRPr="00C81F85" w:rsidRDefault="436BB483" w:rsidP="00BD4986">
      <w:pPr>
        <w:ind w:left="567" w:right="567"/>
        <w:rPr>
          <w:rFonts w:cs="Arial"/>
          <w:sz w:val="18"/>
          <w:szCs w:val="18"/>
          <w:highlight w:val="yellow"/>
          <w:lang w:val="de-DE"/>
        </w:rPr>
      </w:pPr>
    </w:p>
    <w:p w14:paraId="7303597A" w14:textId="575FF43B" w:rsidR="00214329" w:rsidRPr="00B140F2" w:rsidRDefault="001C4FD6" w:rsidP="00BD4986">
      <w:pPr>
        <w:ind w:left="567" w:right="567"/>
        <w:rPr>
          <w:sz w:val="18"/>
          <w:szCs w:val="18"/>
          <w:lang w:val="de-DE"/>
        </w:rPr>
      </w:pPr>
      <w:r w:rsidRPr="005635F0">
        <w:rPr>
          <w:sz w:val="18"/>
          <w:szCs w:val="18"/>
          <w:highlight w:val="lightGray"/>
          <w:u w:val="single"/>
          <w:lang w:val="de-DE"/>
        </w:rPr>
        <w:t>„</w:t>
      </w:r>
      <w:r w:rsidR="0060633E" w:rsidRPr="005635F0">
        <w:rPr>
          <w:sz w:val="18"/>
          <w:szCs w:val="18"/>
          <w:highlight w:val="lightGray"/>
          <w:u w:val="single"/>
          <w:lang w:val="de-DE"/>
        </w:rPr>
        <w:t>3</w:t>
      </w:r>
      <w:r w:rsidR="0060633E" w:rsidRPr="005635F0">
        <w:rPr>
          <w:sz w:val="18"/>
          <w:szCs w:val="18"/>
          <w:highlight w:val="lightGray"/>
          <w:lang w:val="de-DE"/>
        </w:rPr>
        <w:t>)</w:t>
      </w:r>
      <w:r w:rsidR="0060633E" w:rsidRPr="006D5198">
        <w:rPr>
          <w:sz w:val="18"/>
          <w:szCs w:val="18"/>
          <w:lang w:val="de-DE"/>
        </w:rPr>
        <w:t xml:space="preserve"> </w:t>
      </w:r>
      <w:r w:rsidR="00C80059" w:rsidRPr="006D5198">
        <w:rPr>
          <w:sz w:val="18"/>
          <w:szCs w:val="18"/>
          <w:lang w:val="de-DE"/>
        </w:rPr>
        <w:tab/>
      </w:r>
      <w:r w:rsidR="00F9164B" w:rsidRPr="006D5198">
        <w:rPr>
          <w:sz w:val="18"/>
          <w:szCs w:val="18"/>
          <w:lang w:val="de-DE"/>
        </w:rPr>
        <w:t xml:space="preserve">Nur diejenigen Merkmale, die für die </w:t>
      </w:r>
      <w:r w:rsidR="005068FD" w:rsidRPr="006D5198">
        <w:rPr>
          <w:sz w:val="18"/>
          <w:szCs w:val="18"/>
          <w:lang w:val="de-DE"/>
        </w:rPr>
        <w:t xml:space="preserve">Begründung </w:t>
      </w:r>
      <w:r w:rsidR="00F9164B" w:rsidRPr="006D5198">
        <w:rPr>
          <w:sz w:val="18"/>
          <w:szCs w:val="18"/>
          <w:lang w:val="de-DE"/>
        </w:rPr>
        <w:t>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r w:rsidR="005C2D63" w:rsidRPr="006D5198">
        <w:rPr>
          <w:sz w:val="18"/>
          <w:szCs w:val="18"/>
          <w:lang w:val="de-DE"/>
        </w:rPr>
        <w:t>.</w:t>
      </w:r>
    </w:p>
    <w:p w14:paraId="628C853E" w14:textId="77777777" w:rsidR="00AD12A3" w:rsidRPr="00B140F2" w:rsidRDefault="00AD12A3" w:rsidP="00BD4986">
      <w:pPr>
        <w:ind w:left="567" w:right="567"/>
        <w:rPr>
          <w:sz w:val="18"/>
          <w:szCs w:val="18"/>
          <w:lang w:val="de-DE"/>
        </w:rPr>
      </w:pPr>
    </w:p>
    <w:p w14:paraId="43E09954" w14:textId="1D6F2E0E" w:rsidR="00214329" w:rsidRPr="00B140F2" w:rsidRDefault="001C4FD6" w:rsidP="00BD4986">
      <w:pPr>
        <w:ind w:left="567" w:right="567"/>
        <w:rPr>
          <w:rFonts w:cs="Arial"/>
          <w:sz w:val="18"/>
          <w:szCs w:val="18"/>
          <w:highlight w:val="lightGray"/>
          <w:lang w:val="de-DE"/>
        </w:rPr>
      </w:pPr>
      <w:r w:rsidRPr="00B140F2">
        <w:rPr>
          <w:rFonts w:cs="Arial"/>
          <w:sz w:val="18"/>
          <w:szCs w:val="18"/>
          <w:highlight w:val="lightGray"/>
          <w:lang w:val="de-DE"/>
        </w:rPr>
        <w:t>„</w:t>
      </w:r>
      <w:r w:rsidR="0060633E" w:rsidRPr="00B140F2">
        <w:rPr>
          <w:rFonts w:cs="Arial"/>
          <w:sz w:val="18"/>
          <w:szCs w:val="18"/>
          <w:highlight w:val="lightGray"/>
          <w:u w:val="single"/>
          <w:lang w:val="de-DE"/>
        </w:rPr>
        <w:t>4)</w:t>
      </w:r>
      <w:r w:rsidR="0060633E" w:rsidRPr="00B140F2">
        <w:rPr>
          <w:lang w:val="de-DE"/>
        </w:rPr>
        <w:tab/>
      </w:r>
      <w:r w:rsidR="00726C2A" w:rsidRPr="00B140F2">
        <w:rPr>
          <w:rFonts w:cs="Arial"/>
          <w:sz w:val="18"/>
          <w:szCs w:val="18"/>
          <w:highlight w:val="lightGray"/>
          <w:u w:val="single"/>
          <w:lang w:val="de-DE"/>
        </w:rPr>
        <w:t>Sofern die Ausprägungsstufen der beiden Sorten identisch sind, bitte die Größe des Unterschieds angeben</w:t>
      </w:r>
      <w:r w:rsidRPr="00B140F2">
        <w:rPr>
          <w:rFonts w:cs="Arial"/>
          <w:sz w:val="18"/>
          <w:szCs w:val="18"/>
          <w:highlight w:val="lightGray"/>
          <w:u w:val="single"/>
          <w:lang w:val="de-DE"/>
        </w:rPr>
        <w:t>“</w:t>
      </w:r>
      <w:r w:rsidR="0060633E" w:rsidRPr="00B140F2">
        <w:rPr>
          <w:rFonts w:cs="Arial"/>
          <w:sz w:val="18"/>
          <w:szCs w:val="18"/>
          <w:highlight w:val="lightGray"/>
          <w:u w:val="single"/>
          <w:lang w:val="de-DE"/>
        </w:rPr>
        <w:t>.</w:t>
      </w:r>
    </w:p>
    <w:p w14:paraId="1A670462" w14:textId="77777777" w:rsidR="00AD12A3" w:rsidRPr="00B140F2" w:rsidRDefault="00AD12A3" w:rsidP="00BD4986">
      <w:pPr>
        <w:ind w:left="567" w:right="567"/>
        <w:rPr>
          <w:sz w:val="18"/>
          <w:szCs w:val="18"/>
          <w:lang w:val="de-DE"/>
        </w:rPr>
      </w:pPr>
    </w:p>
    <w:p w14:paraId="7D1FE769" w14:textId="08ECC4A5" w:rsidR="00214329" w:rsidRPr="00B140F2" w:rsidRDefault="0060633E" w:rsidP="00515758">
      <w:pPr>
        <w:pStyle w:val="DecisionParagraphs"/>
        <w:keepLines/>
        <w:rPr>
          <w:lang w:val="de-DE"/>
        </w:rPr>
      </w:pPr>
      <w:r w:rsidRPr="00E83514">
        <w:rPr>
          <w:rFonts w:eastAsia="MS Mincho"/>
          <w:lang w:val="de-DE"/>
        </w:rPr>
        <w:fldChar w:fldCharType="begin"/>
      </w:r>
      <w:r w:rsidRPr="00B140F2">
        <w:rPr>
          <w:rFonts w:eastAsia="MS Mincho"/>
          <w:lang w:val="de-DE"/>
        </w:rPr>
        <w:instrText xml:space="preserve"> AUTONUM  </w:instrText>
      </w:r>
      <w:r w:rsidRPr="00E83514">
        <w:rPr>
          <w:rFonts w:eastAsia="MS Mincho"/>
          <w:lang w:val="de-DE"/>
        </w:rPr>
        <w:fldChar w:fldCharType="end"/>
      </w:r>
      <w:r w:rsidRPr="00B140F2">
        <w:rPr>
          <w:rFonts w:eastAsia="MS Mincho"/>
          <w:lang w:val="de-DE"/>
        </w:rPr>
        <w:tab/>
      </w:r>
      <w:r w:rsidRPr="00B140F2">
        <w:rPr>
          <w:lang w:val="de-DE"/>
        </w:rPr>
        <w:t xml:space="preserve">Der TC wird ersucht, zusätzliche Erläuterungen zu Dokument TGP/5, Abschnitt 6, Punkt 16 </w:t>
      </w:r>
      <w:r w:rsidR="001C4FD6" w:rsidRPr="00B140F2">
        <w:rPr>
          <w:lang w:val="de-DE"/>
        </w:rPr>
        <w:t>„</w:t>
      </w:r>
      <w:r w:rsidR="00FE23CD" w:rsidRPr="00B140F2">
        <w:rPr>
          <w:lang w:val="de-DE"/>
        </w:rPr>
        <w:t>Ähnliche Sorten und Unterschiede zu diesen Sorten</w:t>
      </w:r>
      <w:r w:rsidR="001C4FD6" w:rsidRPr="00B140F2">
        <w:rPr>
          <w:lang w:val="de-DE"/>
        </w:rPr>
        <w:t>“</w:t>
      </w:r>
      <w:r w:rsidR="00EF65F4" w:rsidRPr="00B140F2">
        <w:rPr>
          <w:lang w:val="de-DE"/>
        </w:rPr>
        <w:t xml:space="preserve">, wie in </w:t>
      </w:r>
      <w:r w:rsidRPr="00B140F2">
        <w:rPr>
          <w:lang w:val="de-DE"/>
        </w:rPr>
        <w:t xml:space="preserve">Absatz </w:t>
      </w:r>
      <w:r w:rsidR="00392499" w:rsidRPr="00B140F2">
        <w:rPr>
          <w:lang w:val="de-DE"/>
        </w:rPr>
        <w:t xml:space="preserve">46 </w:t>
      </w:r>
      <w:r w:rsidR="00997FE8" w:rsidRPr="00B140F2">
        <w:rPr>
          <w:lang w:val="de-DE"/>
        </w:rPr>
        <w:t xml:space="preserve">dieses Dokuments </w:t>
      </w:r>
      <w:r w:rsidR="00EF65F4" w:rsidRPr="00B140F2">
        <w:rPr>
          <w:lang w:val="de-DE"/>
        </w:rPr>
        <w:t>angegeben</w:t>
      </w:r>
      <w:r w:rsidRPr="00B140F2">
        <w:rPr>
          <w:lang w:val="de-DE"/>
        </w:rPr>
        <w:t>, zu prüfen.</w:t>
      </w:r>
    </w:p>
    <w:p w14:paraId="4BFD8FBE" w14:textId="77777777" w:rsidR="00CF1738" w:rsidRPr="00B140F2" w:rsidRDefault="00CF1738" w:rsidP="00BD4986">
      <w:pPr>
        <w:rPr>
          <w:lang w:val="de-DE"/>
        </w:rPr>
      </w:pPr>
    </w:p>
    <w:p w14:paraId="59805BBE" w14:textId="6FB18FFE" w:rsidR="00214329" w:rsidRPr="00B140F2" w:rsidRDefault="0060633E" w:rsidP="00BD4986">
      <w:pPr>
        <w:pStyle w:val="Heading3"/>
        <w:spacing w:line="240" w:lineRule="auto"/>
        <w:rPr>
          <w:lang w:val="de-DE"/>
        </w:rPr>
      </w:pPr>
      <w:bookmarkStart w:id="35" w:name="_Toc177493452"/>
      <w:r w:rsidRPr="00B140F2">
        <w:rPr>
          <w:lang w:val="de-DE"/>
        </w:rPr>
        <w:t xml:space="preserve">Unterabschnitt </w:t>
      </w:r>
      <w:r w:rsidR="001C4FD6" w:rsidRPr="00B140F2">
        <w:rPr>
          <w:lang w:val="de-DE"/>
        </w:rPr>
        <w:t>„</w:t>
      </w:r>
      <w:r w:rsidRPr="00B140F2">
        <w:rPr>
          <w:lang w:val="de-DE"/>
        </w:rPr>
        <w:t>UPOV-Sortenbeschreibung</w:t>
      </w:r>
      <w:r w:rsidR="001C4FD6" w:rsidRPr="00B140F2">
        <w:rPr>
          <w:lang w:val="de-DE"/>
        </w:rPr>
        <w:t>“</w:t>
      </w:r>
      <w:r w:rsidRPr="00B140F2">
        <w:rPr>
          <w:lang w:val="de-DE"/>
        </w:rPr>
        <w:t xml:space="preserve">, Punkt 17 </w:t>
      </w:r>
      <w:r w:rsidR="001C4FD6" w:rsidRPr="00B140F2">
        <w:rPr>
          <w:lang w:val="de-DE"/>
        </w:rPr>
        <w:t>„</w:t>
      </w:r>
      <w:r w:rsidRPr="00B140F2">
        <w:rPr>
          <w:lang w:val="de-DE"/>
        </w:rPr>
        <w:t>Zusätzliche Informationen</w:t>
      </w:r>
      <w:r w:rsidR="001C4FD6" w:rsidRPr="00B140F2">
        <w:rPr>
          <w:lang w:val="de-DE"/>
        </w:rPr>
        <w:t>“</w:t>
      </w:r>
      <w:bookmarkEnd w:id="35"/>
    </w:p>
    <w:p w14:paraId="2C4C5B32" w14:textId="77777777" w:rsidR="00A70B9C" w:rsidRPr="00B140F2" w:rsidRDefault="00A70B9C" w:rsidP="00BD4986">
      <w:pPr>
        <w:keepNext/>
        <w:rPr>
          <w:lang w:val="de-DE"/>
        </w:rPr>
      </w:pPr>
    </w:p>
    <w:p w14:paraId="08535879" w14:textId="7564B15D" w:rsidR="00214329" w:rsidRPr="00B140F2" w:rsidRDefault="0060633E" w:rsidP="00BD4986">
      <w:pPr>
        <w:spacing w:after="240"/>
        <w:rPr>
          <w:rFonts w:eastAsia="MS Mincho"/>
          <w:spacing w:val="-2"/>
          <w:lang w:val="de-DE"/>
        </w:rPr>
      </w:pPr>
      <w:r w:rsidRPr="00E83514">
        <w:rPr>
          <w:rFonts w:eastAsia="MS Mincho"/>
          <w:lang w:val="de-DE"/>
        </w:rPr>
        <w:fldChar w:fldCharType="begin"/>
      </w:r>
      <w:r w:rsidRPr="00B140F2">
        <w:rPr>
          <w:rFonts w:eastAsia="MS Mincho"/>
          <w:lang w:val="de-DE"/>
        </w:rPr>
        <w:instrText xml:space="preserve"> AUTONUM  </w:instrText>
      </w:r>
      <w:r w:rsidRPr="00E83514">
        <w:rPr>
          <w:rFonts w:eastAsia="MS Mincho"/>
          <w:lang w:val="de-DE"/>
        </w:rPr>
        <w:fldChar w:fldCharType="end"/>
      </w:r>
      <w:r w:rsidRPr="00B140F2">
        <w:rPr>
          <w:rFonts w:eastAsia="MS Mincho"/>
          <w:lang w:val="de-DE"/>
        </w:rPr>
        <w:tab/>
      </w:r>
      <w:r w:rsidR="0002193C" w:rsidRPr="00B140F2">
        <w:rPr>
          <w:lang w:val="de-DE"/>
        </w:rPr>
        <w:t xml:space="preserve">Der TC vereinbarte auf </w:t>
      </w:r>
      <w:r w:rsidR="005068FD" w:rsidRPr="00B140F2">
        <w:rPr>
          <w:lang w:val="de-DE"/>
        </w:rPr>
        <w:t xml:space="preserve">seiner </w:t>
      </w:r>
      <w:r w:rsidR="0002193C" w:rsidRPr="00B140F2">
        <w:rPr>
          <w:lang w:val="de-DE"/>
        </w:rPr>
        <w:t>Tagung im Jahr 2023</w:t>
      </w:r>
      <w:r w:rsidR="00C17733">
        <w:rPr>
          <w:lang w:val="de-DE"/>
        </w:rPr>
        <w:t>,</w:t>
      </w:r>
      <w:r w:rsidR="0002193C" w:rsidRPr="00B140F2">
        <w:rPr>
          <w:lang w:val="de-DE"/>
        </w:rPr>
        <w:t xml:space="preserve"> </w:t>
      </w:r>
      <w:r w:rsidR="006D6A93" w:rsidRPr="00B140F2">
        <w:rPr>
          <w:lang w:val="de-DE"/>
        </w:rPr>
        <w:t xml:space="preserve">die TWP </w:t>
      </w:r>
      <w:r w:rsidR="0002193C" w:rsidRPr="00B140F2">
        <w:rPr>
          <w:lang w:val="de-DE"/>
        </w:rPr>
        <w:t xml:space="preserve">auf ihren Tagungen im Jahr 2024 </w:t>
      </w:r>
      <w:r w:rsidR="006D6A93" w:rsidRPr="00B140F2">
        <w:rPr>
          <w:lang w:val="de-DE"/>
        </w:rPr>
        <w:t xml:space="preserve">zu ersuchen, </w:t>
      </w:r>
      <w:r w:rsidR="007E76A7" w:rsidRPr="00B140F2">
        <w:rPr>
          <w:lang w:val="de-DE"/>
        </w:rPr>
        <w:t xml:space="preserve">einen Vorschlag zur </w:t>
      </w:r>
      <w:r w:rsidR="00E911F3" w:rsidRPr="00B140F2">
        <w:rPr>
          <w:lang w:val="de-DE"/>
        </w:rPr>
        <w:t>Überarbeitung des Dokuments</w:t>
      </w:r>
      <w:r w:rsidR="0002193C" w:rsidRPr="00B140F2">
        <w:rPr>
          <w:lang w:val="de-DE"/>
        </w:rPr>
        <w:t xml:space="preserve"> TGP/5, Abschnitt 6, Punkt 17 </w:t>
      </w:r>
      <w:r w:rsidR="001C4FD6" w:rsidRPr="00B140F2">
        <w:rPr>
          <w:lang w:val="de-DE"/>
        </w:rPr>
        <w:t>„</w:t>
      </w:r>
      <w:r w:rsidRPr="00B140F2">
        <w:rPr>
          <w:lang w:val="de-DE"/>
        </w:rPr>
        <w:t>Zusätzliche Informationen</w:t>
      </w:r>
      <w:r w:rsidR="001C4FD6" w:rsidRPr="00B140F2">
        <w:rPr>
          <w:lang w:val="de-DE"/>
        </w:rPr>
        <w:t>“</w:t>
      </w:r>
      <w:r w:rsidRPr="00B140F2">
        <w:rPr>
          <w:lang w:val="de-DE"/>
        </w:rPr>
        <w:t xml:space="preserve"> </w:t>
      </w:r>
      <w:r w:rsidR="0002193C" w:rsidRPr="00B140F2">
        <w:rPr>
          <w:lang w:val="de-DE"/>
        </w:rPr>
        <w:t>zu prüfen</w:t>
      </w:r>
      <w:r w:rsidR="00D86E80">
        <w:rPr>
          <w:lang w:val="de-DE"/>
        </w:rPr>
        <w:t>,</w:t>
      </w:r>
      <w:r w:rsidR="0002193C" w:rsidRPr="00B140F2">
        <w:rPr>
          <w:lang w:val="de-DE"/>
        </w:rPr>
        <w:t xml:space="preserve"> und zu prüfen, ob weitere Anleitung zu </w:t>
      </w:r>
      <w:r w:rsidR="0002193C" w:rsidRPr="00B140F2">
        <w:rPr>
          <w:rFonts w:eastAsia="MS Mincho"/>
          <w:spacing w:val="-2"/>
          <w:lang w:val="de-DE"/>
        </w:rPr>
        <w:t xml:space="preserve">zusätzlichen Informationen, die mit Sortenbeschreibungen erteilt werden könnten, </w:t>
      </w:r>
      <w:r w:rsidR="0002193C" w:rsidRPr="00B140F2">
        <w:rPr>
          <w:lang w:val="de-DE"/>
        </w:rPr>
        <w:t>gegeben werden soll</w:t>
      </w:r>
      <w:r w:rsidRPr="00B140F2">
        <w:rPr>
          <w:rFonts w:eastAsia="MS Mincho"/>
          <w:spacing w:val="-2"/>
          <w:lang w:val="de-DE"/>
        </w:rPr>
        <w:t>.</w:t>
      </w:r>
    </w:p>
    <w:p w14:paraId="0075BC21" w14:textId="77777777" w:rsidR="00214329" w:rsidRPr="00B140F2" w:rsidRDefault="0060633E" w:rsidP="00BD4986">
      <w:pPr>
        <w:pStyle w:val="Heading4"/>
        <w:rPr>
          <w:rFonts w:eastAsia="MS Mincho"/>
          <w:lang w:val="de-DE"/>
        </w:rPr>
      </w:pPr>
      <w:bookmarkStart w:id="36" w:name="_Toc177493453"/>
      <w:r w:rsidRPr="00B140F2">
        <w:rPr>
          <w:rFonts w:eastAsia="MS Mincho"/>
          <w:lang w:val="de-DE"/>
        </w:rPr>
        <w:t>Vorschlag</w:t>
      </w:r>
      <w:bookmarkEnd w:id="36"/>
    </w:p>
    <w:p w14:paraId="3FBEEADF" w14:textId="77777777" w:rsidR="00762C20" w:rsidRPr="00B140F2" w:rsidRDefault="00762C20" w:rsidP="00BD4986">
      <w:pPr>
        <w:keepNext/>
        <w:rPr>
          <w:rFonts w:eastAsia="MS Mincho"/>
          <w:lang w:val="de-DE"/>
        </w:rPr>
      </w:pPr>
    </w:p>
    <w:p w14:paraId="1A453F49" w14:textId="618B4345" w:rsidR="00214329" w:rsidRPr="00D86E80"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Aufgrund der </w:t>
      </w:r>
      <w:r w:rsidR="007D62E7" w:rsidRPr="00B140F2">
        <w:rPr>
          <w:lang w:val="de-DE"/>
        </w:rPr>
        <w:t>Bemerkungen</w:t>
      </w:r>
      <w:r w:rsidRPr="00B140F2">
        <w:rPr>
          <w:lang w:val="de-DE"/>
        </w:rPr>
        <w:t xml:space="preserve"> der TWP auf </w:t>
      </w:r>
      <w:r w:rsidR="006D6A93" w:rsidRPr="00B140F2">
        <w:rPr>
          <w:lang w:val="de-DE"/>
        </w:rPr>
        <w:t xml:space="preserve">ihren </w:t>
      </w:r>
      <w:r w:rsidRPr="00B140F2">
        <w:rPr>
          <w:lang w:val="de-DE"/>
        </w:rPr>
        <w:t xml:space="preserve">Tagungen im Jahre 2024 </w:t>
      </w:r>
      <w:r w:rsidR="006D6A93" w:rsidRPr="00B140F2">
        <w:rPr>
          <w:lang w:val="de-DE"/>
        </w:rPr>
        <w:t xml:space="preserve">könnte der TC </w:t>
      </w:r>
      <w:r w:rsidRPr="00B140F2">
        <w:rPr>
          <w:lang w:val="de-DE"/>
        </w:rPr>
        <w:t xml:space="preserve">eine </w:t>
      </w:r>
      <w:r w:rsidR="00005CB0" w:rsidRPr="00B140F2">
        <w:rPr>
          <w:lang w:val="de-DE"/>
        </w:rPr>
        <w:t xml:space="preserve">Änderung des </w:t>
      </w:r>
      <w:r w:rsidRPr="00B140F2">
        <w:rPr>
          <w:lang w:val="de-DE"/>
        </w:rPr>
        <w:t xml:space="preserve">Dokuments TGP/5, Abschnitt 6, </w:t>
      </w:r>
      <w:r w:rsidR="004270B1">
        <w:rPr>
          <w:lang w:val="de-DE"/>
        </w:rPr>
        <w:t>prüfen</w:t>
      </w:r>
      <w:r w:rsidR="000E106C">
        <w:rPr>
          <w:lang w:val="de-DE"/>
        </w:rPr>
        <w:t xml:space="preserve"> wollen</w:t>
      </w:r>
      <w:r w:rsidR="00005CB0" w:rsidRPr="00B140F2">
        <w:rPr>
          <w:lang w:val="de-DE"/>
        </w:rPr>
        <w:t xml:space="preserve">, um </w:t>
      </w:r>
      <w:r w:rsidR="00E672D1" w:rsidRPr="00B140F2">
        <w:rPr>
          <w:lang w:val="de-DE"/>
        </w:rPr>
        <w:t xml:space="preserve">eine neue </w:t>
      </w:r>
      <w:r w:rsidR="001D37D6" w:rsidRPr="00B140F2">
        <w:rPr>
          <w:lang w:val="de-DE"/>
        </w:rPr>
        <w:t xml:space="preserve">Erläuterung zu </w:t>
      </w:r>
      <w:r w:rsidRPr="00B140F2">
        <w:rPr>
          <w:lang w:val="de-DE"/>
        </w:rPr>
        <w:t xml:space="preserve">Punkt 17 </w:t>
      </w:r>
      <w:r w:rsidR="001C4FD6" w:rsidRPr="00B140F2">
        <w:rPr>
          <w:lang w:val="de-DE"/>
        </w:rPr>
        <w:t>„</w:t>
      </w:r>
      <w:r w:rsidRPr="00B140F2">
        <w:rPr>
          <w:lang w:val="de-DE"/>
        </w:rPr>
        <w:t>Zusätzliche Informationen</w:t>
      </w:r>
      <w:r w:rsidR="001C4FD6" w:rsidRPr="00B140F2">
        <w:rPr>
          <w:lang w:val="de-DE"/>
        </w:rPr>
        <w:t>“</w:t>
      </w:r>
      <w:r w:rsidRPr="00B140F2">
        <w:rPr>
          <w:lang w:val="de-DE"/>
        </w:rPr>
        <w:t xml:space="preserve"> </w:t>
      </w:r>
      <w:r w:rsidR="00E672D1" w:rsidRPr="00B140F2">
        <w:rPr>
          <w:lang w:val="de-DE"/>
        </w:rPr>
        <w:t>einzuführen</w:t>
      </w:r>
      <w:r w:rsidR="0073609D" w:rsidRPr="00B140F2">
        <w:rPr>
          <w:lang w:val="de-DE"/>
        </w:rPr>
        <w:t xml:space="preserve">, die wie folgt lauten sollte </w:t>
      </w:r>
      <w:r w:rsidRPr="00D86E80">
        <w:rPr>
          <w:lang w:val="de-DE"/>
        </w:rPr>
        <w:t>(</w:t>
      </w:r>
      <w:r w:rsidR="00D86E80">
        <w:rPr>
          <w:lang w:val="de-DE"/>
        </w:rPr>
        <w:t xml:space="preserve">Zusätze sind durch </w:t>
      </w:r>
      <w:r w:rsidR="00D86E80" w:rsidRPr="00982309">
        <w:rPr>
          <w:lang w:val="de-DE"/>
        </w:rPr>
        <w:t>Hervorhebung</w:t>
      </w:r>
      <w:r w:rsidR="00D86E80">
        <w:rPr>
          <w:lang w:val="de-DE"/>
        </w:rPr>
        <w:t xml:space="preserve"> </w:t>
      </w:r>
      <w:r w:rsidRPr="00D86E80">
        <w:rPr>
          <w:lang w:val="de-DE"/>
        </w:rPr>
        <w:t xml:space="preserve">und </w:t>
      </w:r>
      <w:r w:rsidRPr="00982309">
        <w:rPr>
          <w:highlight w:val="lightGray"/>
          <w:u w:val="single"/>
          <w:lang w:val="de-DE"/>
        </w:rPr>
        <w:t>Unterstreichung</w:t>
      </w:r>
      <w:r w:rsidRPr="00D86E80">
        <w:rPr>
          <w:u w:val="single"/>
          <w:lang w:val="de-DE"/>
        </w:rPr>
        <w:t xml:space="preserve"> </w:t>
      </w:r>
      <w:r w:rsidRPr="00D86E80">
        <w:rPr>
          <w:lang w:val="de-DE"/>
        </w:rPr>
        <w:t xml:space="preserve">gekennzeichnet): </w:t>
      </w:r>
    </w:p>
    <w:p w14:paraId="6D99A364" w14:textId="77777777" w:rsidR="007B7DCF" w:rsidRPr="00D86E80" w:rsidRDefault="007B7DCF" w:rsidP="00BD4986">
      <w:pPr>
        <w:rPr>
          <w:lang w:val="de-DE"/>
        </w:rPr>
      </w:pPr>
    </w:p>
    <w:p w14:paraId="3A1E254B" w14:textId="2306849D" w:rsidR="00214329" w:rsidRPr="00B81878" w:rsidRDefault="001C4FD6" w:rsidP="00BD4986">
      <w:pPr>
        <w:ind w:left="567" w:right="567"/>
        <w:rPr>
          <w:rFonts w:cs="Arial"/>
          <w:color w:val="000000"/>
          <w:sz w:val="18"/>
          <w:szCs w:val="18"/>
          <w:highlight w:val="lightGray"/>
          <w:u w:val="single"/>
          <w:lang w:val="de-DE"/>
        </w:rPr>
      </w:pPr>
      <w:r w:rsidRPr="00B81878">
        <w:rPr>
          <w:rFonts w:cs="Arial"/>
          <w:color w:val="000000"/>
          <w:sz w:val="18"/>
          <w:szCs w:val="18"/>
          <w:highlight w:val="lightGray"/>
          <w:u w:val="single"/>
          <w:lang w:val="de-DE"/>
        </w:rPr>
        <w:t>„</w:t>
      </w:r>
      <w:r w:rsidR="0073609D" w:rsidRPr="00B81878">
        <w:rPr>
          <w:rFonts w:cs="Arial"/>
          <w:color w:val="000000"/>
          <w:sz w:val="18"/>
          <w:szCs w:val="18"/>
          <w:highlight w:val="lightGray"/>
          <w:u w:val="single"/>
          <w:lang w:val="de-DE"/>
        </w:rPr>
        <w:t>Zu Nummer 17 (</w:t>
      </w:r>
      <w:r w:rsidR="00EC5265" w:rsidRPr="00B81878">
        <w:rPr>
          <w:rFonts w:cs="Arial"/>
          <w:color w:val="000000"/>
          <w:sz w:val="18"/>
          <w:szCs w:val="18"/>
          <w:highlight w:val="lightGray"/>
          <w:u w:val="single"/>
          <w:lang w:val="de-DE"/>
        </w:rPr>
        <w:t>Anlage: UPOV-Sortenbeschreibung)</w:t>
      </w:r>
    </w:p>
    <w:p w14:paraId="318992BA" w14:textId="77777777" w:rsidR="00B60D18" w:rsidRPr="00B81878" w:rsidRDefault="00B60D18" w:rsidP="00BD4986">
      <w:pPr>
        <w:ind w:left="567" w:right="567"/>
        <w:rPr>
          <w:rFonts w:cs="Arial"/>
          <w:color w:val="000000"/>
          <w:sz w:val="18"/>
          <w:szCs w:val="18"/>
          <w:highlight w:val="lightGray"/>
          <w:u w:val="single"/>
          <w:lang w:val="de-DE"/>
        </w:rPr>
      </w:pPr>
    </w:p>
    <w:p w14:paraId="05CEB34E" w14:textId="4C1A309C" w:rsidR="00214329" w:rsidRPr="00B140F2" w:rsidRDefault="001C4FD6" w:rsidP="00BD4986">
      <w:pPr>
        <w:ind w:left="567" w:right="567"/>
        <w:rPr>
          <w:rFonts w:cs="Arial"/>
          <w:color w:val="000000"/>
          <w:sz w:val="18"/>
          <w:szCs w:val="18"/>
          <w:u w:val="single"/>
          <w:lang w:val="de-DE"/>
        </w:rPr>
      </w:pPr>
      <w:r w:rsidRPr="00B81878">
        <w:rPr>
          <w:rFonts w:cs="Arial"/>
          <w:color w:val="000000"/>
          <w:sz w:val="18"/>
          <w:szCs w:val="18"/>
          <w:highlight w:val="lightGray"/>
          <w:u w:val="single"/>
          <w:lang w:val="de-DE"/>
        </w:rPr>
        <w:t>„</w:t>
      </w:r>
      <w:r w:rsidR="007B7DCF" w:rsidRPr="00B81878">
        <w:rPr>
          <w:rFonts w:cs="Arial"/>
          <w:color w:val="000000"/>
          <w:sz w:val="18"/>
          <w:szCs w:val="18"/>
          <w:highlight w:val="lightGray"/>
          <w:u w:val="single"/>
          <w:lang w:val="de-DE"/>
        </w:rPr>
        <w:t xml:space="preserve">Weitere Situationen und die Art der zu erteilenden </w:t>
      </w:r>
      <w:r w:rsidR="006D6A93" w:rsidRPr="00B81878">
        <w:rPr>
          <w:rFonts w:cs="Arial"/>
          <w:color w:val="000000"/>
          <w:sz w:val="18"/>
          <w:szCs w:val="18"/>
          <w:highlight w:val="lightGray"/>
          <w:u w:val="single"/>
          <w:lang w:val="de-DE"/>
        </w:rPr>
        <w:t>zusätzliche</w:t>
      </w:r>
      <w:r w:rsidR="003770B2" w:rsidRPr="00B81878">
        <w:rPr>
          <w:rFonts w:cs="Arial"/>
          <w:color w:val="000000"/>
          <w:sz w:val="18"/>
          <w:szCs w:val="18"/>
          <w:highlight w:val="lightGray"/>
          <w:u w:val="single"/>
          <w:lang w:val="de-DE"/>
        </w:rPr>
        <w:t>n</w:t>
      </w:r>
      <w:r w:rsidR="006D6A93" w:rsidRPr="00B81878">
        <w:rPr>
          <w:rFonts w:cs="Arial"/>
          <w:color w:val="000000"/>
          <w:sz w:val="18"/>
          <w:szCs w:val="18"/>
          <w:highlight w:val="lightGray"/>
          <w:u w:val="single"/>
          <w:lang w:val="de-DE"/>
        </w:rPr>
        <w:t xml:space="preserve"> Informationen </w:t>
      </w:r>
      <w:r w:rsidR="007B7DCF" w:rsidRPr="00B81878">
        <w:rPr>
          <w:rFonts w:cs="Arial"/>
          <w:color w:val="000000"/>
          <w:sz w:val="18"/>
          <w:szCs w:val="18"/>
          <w:highlight w:val="lightGray"/>
          <w:u w:val="single"/>
          <w:lang w:val="de-DE"/>
        </w:rPr>
        <w:t xml:space="preserve">können je </w:t>
      </w:r>
      <w:r w:rsidR="00F356E3" w:rsidRPr="00B81878">
        <w:rPr>
          <w:rFonts w:cs="Arial"/>
          <w:color w:val="000000"/>
          <w:sz w:val="18"/>
          <w:szCs w:val="18"/>
          <w:highlight w:val="lightGray"/>
          <w:u w:val="single"/>
          <w:lang w:val="de-DE"/>
        </w:rPr>
        <w:t xml:space="preserve">nach </w:t>
      </w:r>
      <w:r w:rsidR="007B7DCF" w:rsidRPr="00B81878">
        <w:rPr>
          <w:rFonts w:cs="Arial"/>
          <w:color w:val="000000"/>
          <w:sz w:val="18"/>
          <w:szCs w:val="18"/>
          <w:highlight w:val="lightGray"/>
          <w:u w:val="single"/>
          <w:lang w:val="de-DE"/>
        </w:rPr>
        <w:t xml:space="preserve">geprüfter </w:t>
      </w:r>
      <w:r w:rsidR="00A305E4" w:rsidRPr="00B81878">
        <w:rPr>
          <w:rFonts w:cs="Arial"/>
          <w:color w:val="000000"/>
          <w:sz w:val="18"/>
          <w:szCs w:val="18"/>
          <w:highlight w:val="lightGray"/>
          <w:u w:val="single"/>
          <w:lang w:val="de-DE"/>
        </w:rPr>
        <w:t>Pflanzenart</w:t>
      </w:r>
      <w:r w:rsidR="007B7DCF" w:rsidRPr="00B81878">
        <w:rPr>
          <w:rFonts w:cs="Arial"/>
          <w:color w:val="000000"/>
          <w:sz w:val="18"/>
          <w:szCs w:val="18"/>
          <w:highlight w:val="lightGray"/>
          <w:u w:val="single"/>
          <w:lang w:val="de-DE"/>
        </w:rPr>
        <w:t xml:space="preserve"> und Sorte bilateral vereinbart werden.</w:t>
      </w:r>
      <w:r w:rsidRPr="00B81878">
        <w:rPr>
          <w:rFonts w:cs="Arial"/>
          <w:color w:val="000000"/>
          <w:sz w:val="18"/>
          <w:szCs w:val="18"/>
          <w:highlight w:val="lightGray"/>
          <w:u w:val="single"/>
          <w:lang w:val="de-DE"/>
        </w:rPr>
        <w:t>“</w:t>
      </w:r>
    </w:p>
    <w:p w14:paraId="65C1609F" w14:textId="77777777" w:rsidR="004C351B" w:rsidRPr="00B140F2" w:rsidRDefault="004C351B" w:rsidP="00BD4986">
      <w:pPr>
        <w:rPr>
          <w:highlight w:val="yellow"/>
          <w:lang w:val="de-DE"/>
        </w:rPr>
      </w:pPr>
    </w:p>
    <w:p w14:paraId="46A490D3" w14:textId="04342FB3" w:rsidR="00214329" w:rsidRPr="00B140F2" w:rsidRDefault="0060633E" w:rsidP="00BD4986">
      <w:pPr>
        <w:pStyle w:val="DecisionParagraphs"/>
        <w:rPr>
          <w:lang w:val="de-DE"/>
        </w:rPr>
      </w:pPr>
      <w:r w:rsidRPr="00E83514">
        <w:rPr>
          <w:rFonts w:eastAsia="MS Mincho"/>
          <w:lang w:val="de-DE"/>
        </w:rPr>
        <w:fldChar w:fldCharType="begin"/>
      </w:r>
      <w:r w:rsidRPr="00B140F2">
        <w:rPr>
          <w:rFonts w:eastAsia="MS Mincho"/>
          <w:lang w:val="de-DE"/>
        </w:rPr>
        <w:instrText xml:space="preserve"> AUTONUM  </w:instrText>
      </w:r>
      <w:r w:rsidRPr="00E83514">
        <w:rPr>
          <w:rFonts w:eastAsia="MS Mincho"/>
          <w:lang w:val="de-DE"/>
        </w:rPr>
        <w:fldChar w:fldCharType="end"/>
      </w:r>
      <w:r w:rsidRPr="00B140F2">
        <w:rPr>
          <w:rFonts w:eastAsia="MS Mincho"/>
          <w:lang w:val="de-DE"/>
        </w:rPr>
        <w:tab/>
      </w:r>
      <w:r w:rsidRPr="00B140F2">
        <w:rPr>
          <w:lang w:val="de-DE"/>
        </w:rPr>
        <w:t xml:space="preserve">Der TC wird ersucht, </w:t>
      </w:r>
      <w:r w:rsidR="00405E4D" w:rsidRPr="00B140F2">
        <w:rPr>
          <w:lang w:val="de-DE"/>
        </w:rPr>
        <w:t>einen Vorschlag zur Änderung des Dokuments TGP/5, Abschnitt 6, Punkt</w:t>
      </w:r>
      <w:r w:rsidR="000410DC">
        <w:rPr>
          <w:lang w:val="de-DE"/>
        </w:rPr>
        <w:t> </w:t>
      </w:r>
      <w:r w:rsidR="00405E4D" w:rsidRPr="00B140F2">
        <w:rPr>
          <w:lang w:val="de-DE"/>
        </w:rPr>
        <w:t xml:space="preserve">17 </w:t>
      </w:r>
      <w:r w:rsidR="001C4FD6" w:rsidRPr="00B140F2">
        <w:rPr>
          <w:lang w:val="de-DE"/>
        </w:rPr>
        <w:t>„</w:t>
      </w:r>
      <w:r w:rsidR="00405E4D" w:rsidRPr="00B140F2">
        <w:rPr>
          <w:lang w:val="de-DE"/>
        </w:rPr>
        <w:t>Zusätzliche Informationen</w:t>
      </w:r>
      <w:r w:rsidR="001C4FD6" w:rsidRPr="00B140F2">
        <w:rPr>
          <w:lang w:val="de-DE"/>
        </w:rPr>
        <w:t>“</w:t>
      </w:r>
      <w:r w:rsidRPr="00B140F2">
        <w:rPr>
          <w:lang w:val="de-DE"/>
        </w:rPr>
        <w:t xml:space="preserve">, </w:t>
      </w:r>
      <w:r w:rsidR="00405E4D" w:rsidRPr="00B140F2">
        <w:rPr>
          <w:lang w:val="de-DE"/>
        </w:rPr>
        <w:t xml:space="preserve">wie </w:t>
      </w:r>
      <w:r w:rsidR="007F423E" w:rsidRPr="00B140F2">
        <w:rPr>
          <w:lang w:val="de-DE"/>
        </w:rPr>
        <w:t xml:space="preserve">in </w:t>
      </w:r>
      <w:r w:rsidRPr="00B140F2">
        <w:rPr>
          <w:lang w:val="de-DE"/>
        </w:rPr>
        <w:t xml:space="preserve">Absatz </w:t>
      </w:r>
      <w:r w:rsidR="00360898" w:rsidRPr="00B140F2">
        <w:rPr>
          <w:lang w:val="de-DE"/>
        </w:rPr>
        <w:t xml:space="preserve">49 </w:t>
      </w:r>
      <w:r w:rsidR="007F423E" w:rsidRPr="00B140F2">
        <w:rPr>
          <w:lang w:val="de-DE"/>
        </w:rPr>
        <w:t>dieses Dokuments angegeben</w:t>
      </w:r>
      <w:r w:rsidRPr="00B140F2">
        <w:rPr>
          <w:lang w:val="de-DE"/>
        </w:rPr>
        <w:t xml:space="preserve">, </w:t>
      </w:r>
      <w:r w:rsidR="00405E4D" w:rsidRPr="00B140F2">
        <w:rPr>
          <w:lang w:val="de-DE"/>
        </w:rPr>
        <w:t>zu prüfen</w:t>
      </w:r>
      <w:r w:rsidRPr="00B140F2">
        <w:rPr>
          <w:lang w:val="de-DE"/>
        </w:rPr>
        <w:t>.</w:t>
      </w:r>
    </w:p>
    <w:p w14:paraId="3254B90F" w14:textId="77777777" w:rsidR="00477B1A" w:rsidRPr="00B140F2" w:rsidRDefault="00477B1A" w:rsidP="00BD4986">
      <w:pPr>
        <w:rPr>
          <w:lang w:val="de-DE"/>
        </w:rPr>
      </w:pPr>
    </w:p>
    <w:p w14:paraId="774C3615" w14:textId="10E4BCA7" w:rsidR="00214329" w:rsidRPr="00B140F2" w:rsidRDefault="0060633E" w:rsidP="00BD4986">
      <w:pPr>
        <w:pStyle w:val="Heading3"/>
        <w:spacing w:line="240" w:lineRule="auto"/>
        <w:rPr>
          <w:lang w:val="de-DE"/>
        </w:rPr>
      </w:pPr>
      <w:bookmarkStart w:id="37" w:name="_Toc177493454"/>
      <w:r w:rsidRPr="00B140F2">
        <w:rPr>
          <w:lang w:val="de-DE"/>
        </w:rPr>
        <w:t xml:space="preserve">Aufbau des Dokuments TGP/5, Abschnitt 6 </w:t>
      </w:r>
      <w:r w:rsidR="001C4FD6" w:rsidRPr="00B140F2">
        <w:rPr>
          <w:lang w:val="de-DE"/>
        </w:rPr>
        <w:t>„</w:t>
      </w:r>
      <w:r w:rsidRPr="00B140F2">
        <w:rPr>
          <w:lang w:val="de-DE"/>
        </w:rPr>
        <w:t>UPOV-Bericht über die technische Prüfung und UPOV-Sortenbeschreibung</w:t>
      </w:r>
      <w:r w:rsidR="001C4FD6" w:rsidRPr="00B140F2">
        <w:rPr>
          <w:lang w:val="de-DE"/>
        </w:rPr>
        <w:t>“</w:t>
      </w:r>
      <w:bookmarkEnd w:id="37"/>
    </w:p>
    <w:p w14:paraId="41C3C854" w14:textId="77777777" w:rsidR="00F236FD" w:rsidRPr="00B140F2" w:rsidRDefault="00F236FD" w:rsidP="00BD4986">
      <w:pPr>
        <w:keepNext/>
        <w:rPr>
          <w:lang w:val="de-DE"/>
        </w:rPr>
      </w:pPr>
    </w:p>
    <w:p w14:paraId="0EE90C5F" w14:textId="540C8227"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Die TWA</w:t>
      </w:r>
      <w:r w:rsidR="004B592E" w:rsidRPr="00E83514">
        <w:rPr>
          <w:rStyle w:val="FootnoteReference"/>
          <w:lang w:val="de-DE"/>
        </w:rPr>
        <w:footnoteReference w:id="4"/>
      </w:r>
      <w:r w:rsidRPr="00B140F2">
        <w:rPr>
          <w:lang w:val="de-DE"/>
        </w:rPr>
        <w:t xml:space="preserve"> nahm auf ihrer </w:t>
      </w:r>
      <w:r w:rsidR="00C13BB1" w:rsidRPr="00B140F2">
        <w:rPr>
          <w:lang w:val="de-DE"/>
        </w:rPr>
        <w:t xml:space="preserve">dreiundfünfzigsten Tagung </w:t>
      </w:r>
      <w:r w:rsidRPr="00B140F2">
        <w:rPr>
          <w:lang w:val="de-DE"/>
        </w:rPr>
        <w:t xml:space="preserve">zur Kenntnis, </w:t>
      </w:r>
      <w:r w:rsidR="00350639" w:rsidRPr="00B140F2">
        <w:rPr>
          <w:lang w:val="de-DE"/>
        </w:rPr>
        <w:t xml:space="preserve">dass </w:t>
      </w:r>
      <w:r w:rsidRPr="00B140F2">
        <w:rPr>
          <w:lang w:val="de-DE"/>
        </w:rPr>
        <w:t xml:space="preserve">der </w:t>
      </w:r>
      <w:r w:rsidR="001C4FD6" w:rsidRPr="00B140F2">
        <w:rPr>
          <w:lang w:val="de-DE"/>
        </w:rPr>
        <w:t>„</w:t>
      </w:r>
      <w:r w:rsidRPr="00B140F2">
        <w:rPr>
          <w:lang w:val="de-DE"/>
        </w:rPr>
        <w:t>UPOV-Bericht über die technische Prüfung</w:t>
      </w:r>
      <w:r w:rsidR="001C4FD6" w:rsidRPr="00B140F2">
        <w:rPr>
          <w:lang w:val="de-DE"/>
        </w:rPr>
        <w:t>“</w:t>
      </w:r>
      <w:r w:rsidRPr="00B140F2">
        <w:rPr>
          <w:lang w:val="de-DE"/>
        </w:rPr>
        <w:t xml:space="preserve"> die </w:t>
      </w:r>
      <w:r w:rsidR="001C4FD6" w:rsidRPr="00B140F2">
        <w:rPr>
          <w:lang w:val="de-DE"/>
        </w:rPr>
        <w:t>„</w:t>
      </w:r>
      <w:r w:rsidRPr="00B140F2">
        <w:rPr>
          <w:lang w:val="de-DE"/>
        </w:rPr>
        <w:t>UPOV-Sortenbeschreibung</w:t>
      </w:r>
      <w:r w:rsidR="001C4FD6" w:rsidRPr="00B140F2">
        <w:rPr>
          <w:lang w:val="de-DE"/>
        </w:rPr>
        <w:t>“</w:t>
      </w:r>
      <w:r w:rsidRPr="00B140F2">
        <w:rPr>
          <w:lang w:val="de-DE"/>
        </w:rPr>
        <w:t xml:space="preserve"> in seiner Anlage erwähnt.</w:t>
      </w:r>
      <w:r w:rsidR="00FE0BFC" w:rsidRPr="00B140F2">
        <w:rPr>
          <w:lang w:val="de-DE"/>
        </w:rPr>
        <w:t xml:space="preserve"> </w:t>
      </w:r>
      <w:r w:rsidRPr="00B140F2">
        <w:rPr>
          <w:lang w:val="de-DE"/>
        </w:rPr>
        <w:t xml:space="preserve">Die TWA vereinbarte, eine Überarbeitung des Aufbaus von Dokument TGP/5, Abschnitt 6, vorzuschlagen, um klarzustellen, </w:t>
      </w:r>
      <w:r w:rsidR="00350639" w:rsidRPr="00B140F2">
        <w:rPr>
          <w:lang w:val="de-DE"/>
        </w:rPr>
        <w:t xml:space="preserve">dass </w:t>
      </w:r>
      <w:r w:rsidRPr="00B140F2">
        <w:rPr>
          <w:lang w:val="de-DE"/>
        </w:rPr>
        <w:t xml:space="preserve">die </w:t>
      </w:r>
      <w:r w:rsidR="001C4FD6" w:rsidRPr="00B140F2">
        <w:rPr>
          <w:lang w:val="de-DE"/>
        </w:rPr>
        <w:t>„</w:t>
      </w:r>
      <w:r w:rsidRPr="00B140F2">
        <w:rPr>
          <w:lang w:val="de-DE"/>
        </w:rPr>
        <w:t>UPOV-Sortenbeschreibung</w:t>
      </w:r>
      <w:r w:rsidR="001C4FD6" w:rsidRPr="00B140F2">
        <w:rPr>
          <w:lang w:val="de-DE"/>
        </w:rPr>
        <w:t>“</w:t>
      </w:r>
      <w:r w:rsidRPr="00B140F2">
        <w:rPr>
          <w:lang w:val="de-DE"/>
        </w:rPr>
        <w:t xml:space="preserve"> eine Anlage des </w:t>
      </w:r>
      <w:r w:rsidR="001C4FD6" w:rsidRPr="00B140F2">
        <w:rPr>
          <w:lang w:val="de-DE"/>
        </w:rPr>
        <w:t>„</w:t>
      </w:r>
      <w:r w:rsidRPr="00B140F2">
        <w:rPr>
          <w:lang w:val="de-DE"/>
        </w:rPr>
        <w:t>UPOV-Berichts über die technische Prüfung</w:t>
      </w:r>
      <w:r w:rsidR="001C4FD6" w:rsidRPr="00B140F2">
        <w:rPr>
          <w:lang w:val="de-DE"/>
        </w:rPr>
        <w:t>“</w:t>
      </w:r>
      <w:r w:rsidRPr="00B140F2">
        <w:rPr>
          <w:lang w:val="de-DE"/>
        </w:rPr>
        <w:t xml:space="preserve"> sei und Punkt 18 </w:t>
      </w:r>
      <w:r w:rsidR="001C4FD6" w:rsidRPr="00B140F2">
        <w:rPr>
          <w:lang w:val="de-DE"/>
        </w:rPr>
        <w:t>„</w:t>
      </w:r>
      <w:r w:rsidR="00D416B6" w:rsidRPr="00B140F2">
        <w:rPr>
          <w:lang w:val="de-DE"/>
        </w:rPr>
        <w:t xml:space="preserve">Erläuterungen </w:t>
      </w:r>
      <w:r w:rsidRPr="00B140F2">
        <w:rPr>
          <w:lang w:val="de-DE"/>
        </w:rPr>
        <w:t>zur Anlage: UPOV-Sortenbeschreibung</w:t>
      </w:r>
      <w:r w:rsidR="001C4FD6" w:rsidRPr="00B140F2">
        <w:rPr>
          <w:lang w:val="de-DE"/>
        </w:rPr>
        <w:t>“</w:t>
      </w:r>
      <w:r w:rsidRPr="00B140F2">
        <w:rPr>
          <w:lang w:val="de-DE"/>
        </w:rPr>
        <w:t xml:space="preserve"> ein weiterer getrennter Abschnitt der Anleitung sei.</w:t>
      </w:r>
    </w:p>
    <w:p w14:paraId="1D8C416D" w14:textId="77777777" w:rsidR="00F236FD" w:rsidRPr="00B140F2" w:rsidRDefault="00F236FD" w:rsidP="00BD4986">
      <w:pPr>
        <w:rPr>
          <w:lang w:val="de-DE"/>
        </w:rPr>
      </w:pPr>
    </w:p>
    <w:p w14:paraId="28B6ACD2" w14:textId="4EF0149A"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Gemäß dem Vorschlag der TWA könnte der TC </w:t>
      </w:r>
      <w:r w:rsidR="002D2ADD" w:rsidRPr="00B140F2">
        <w:rPr>
          <w:lang w:val="de-DE"/>
        </w:rPr>
        <w:t>prüfen</w:t>
      </w:r>
      <w:r w:rsidR="00B81878">
        <w:rPr>
          <w:lang w:val="de-DE"/>
        </w:rPr>
        <w:t xml:space="preserve"> wollen</w:t>
      </w:r>
      <w:r w:rsidRPr="00B140F2">
        <w:rPr>
          <w:lang w:val="de-DE"/>
        </w:rPr>
        <w:t xml:space="preserve">, das Verbandsbüro zu ersuchen, </w:t>
      </w:r>
      <w:r w:rsidR="000F0243">
        <w:rPr>
          <w:lang w:val="de-DE"/>
        </w:rPr>
        <w:t>den</w:t>
      </w:r>
      <w:r w:rsidR="000F0243" w:rsidRPr="00B140F2">
        <w:rPr>
          <w:lang w:val="de-DE"/>
        </w:rPr>
        <w:t xml:space="preserve"> </w:t>
      </w:r>
      <w:r w:rsidR="002D2ADD" w:rsidRPr="00B140F2">
        <w:rPr>
          <w:lang w:val="de-DE"/>
        </w:rPr>
        <w:t>Aufbau des Dokuments</w:t>
      </w:r>
      <w:r w:rsidRPr="00B140F2">
        <w:rPr>
          <w:lang w:val="de-DE"/>
        </w:rPr>
        <w:t xml:space="preserve"> TGP/5, Abschnitt 6, zu überarbeiten, um klarzustellen, </w:t>
      </w:r>
      <w:r w:rsidR="00350639" w:rsidRPr="00B140F2">
        <w:rPr>
          <w:lang w:val="de-DE"/>
        </w:rPr>
        <w:t xml:space="preserve">dass </w:t>
      </w:r>
      <w:r w:rsidRPr="00B140F2">
        <w:rPr>
          <w:lang w:val="de-DE"/>
        </w:rPr>
        <w:t xml:space="preserve">die </w:t>
      </w:r>
      <w:r w:rsidR="001C4FD6" w:rsidRPr="00B140F2">
        <w:rPr>
          <w:lang w:val="de-DE"/>
        </w:rPr>
        <w:t>„</w:t>
      </w:r>
      <w:r w:rsidRPr="00B140F2">
        <w:rPr>
          <w:lang w:val="de-DE"/>
        </w:rPr>
        <w:t>UPOV-Sortenbeschreibung</w:t>
      </w:r>
      <w:r w:rsidR="001C4FD6" w:rsidRPr="00B140F2">
        <w:rPr>
          <w:lang w:val="de-DE"/>
        </w:rPr>
        <w:t>“</w:t>
      </w:r>
      <w:r w:rsidRPr="00B140F2">
        <w:rPr>
          <w:lang w:val="de-DE"/>
        </w:rPr>
        <w:t xml:space="preserve"> eine Anlage des </w:t>
      </w:r>
      <w:r w:rsidR="001C4FD6" w:rsidRPr="00B140F2">
        <w:rPr>
          <w:lang w:val="de-DE"/>
        </w:rPr>
        <w:t>„</w:t>
      </w:r>
      <w:r w:rsidRPr="00B140F2">
        <w:rPr>
          <w:lang w:val="de-DE"/>
        </w:rPr>
        <w:t>UPOV-Berichts über die technische Prüfung</w:t>
      </w:r>
      <w:r w:rsidR="001C4FD6" w:rsidRPr="00B140F2">
        <w:rPr>
          <w:lang w:val="de-DE"/>
        </w:rPr>
        <w:t>“</w:t>
      </w:r>
      <w:r w:rsidRPr="00B140F2">
        <w:rPr>
          <w:lang w:val="de-DE"/>
        </w:rPr>
        <w:t xml:space="preserve"> und Punkt 18 </w:t>
      </w:r>
      <w:r w:rsidR="001C4FD6" w:rsidRPr="00B140F2">
        <w:rPr>
          <w:lang w:val="de-DE"/>
        </w:rPr>
        <w:t>„</w:t>
      </w:r>
      <w:r w:rsidR="006A1956" w:rsidRPr="00B140F2">
        <w:rPr>
          <w:lang w:val="de-DE"/>
        </w:rPr>
        <w:t xml:space="preserve">Erläuterungen </w:t>
      </w:r>
      <w:r w:rsidRPr="00B140F2">
        <w:rPr>
          <w:lang w:val="de-DE"/>
        </w:rPr>
        <w:t>zur Anlage: UPOV-Sortenbeschreibung</w:t>
      </w:r>
      <w:r w:rsidR="001C4FD6" w:rsidRPr="00B140F2">
        <w:rPr>
          <w:lang w:val="de-DE"/>
        </w:rPr>
        <w:t>“</w:t>
      </w:r>
      <w:r w:rsidRPr="00B140F2">
        <w:rPr>
          <w:lang w:val="de-DE"/>
        </w:rPr>
        <w:t xml:space="preserve"> ein getrennter Abschnitt der Anleitung ist.</w:t>
      </w:r>
    </w:p>
    <w:p w14:paraId="0310ACF0" w14:textId="77777777" w:rsidR="00EA7809" w:rsidRPr="00B140F2" w:rsidRDefault="00EA7809" w:rsidP="00BD4986">
      <w:pPr>
        <w:rPr>
          <w:lang w:val="de-DE"/>
        </w:rPr>
      </w:pPr>
    </w:p>
    <w:p w14:paraId="31C732F4" w14:textId="77777777" w:rsidR="00214329" w:rsidRPr="00B140F2" w:rsidRDefault="0060633E" w:rsidP="00BD4986">
      <w:pPr>
        <w:pStyle w:val="DecisionParagraphs"/>
        <w:rPr>
          <w:lang w:val="de-DE"/>
        </w:rPr>
      </w:pPr>
      <w:r w:rsidRPr="00E83514">
        <w:rPr>
          <w:rFonts w:eastAsia="MS Mincho"/>
          <w:lang w:val="de-DE"/>
        </w:rPr>
        <w:fldChar w:fldCharType="begin"/>
      </w:r>
      <w:r w:rsidRPr="00B140F2">
        <w:rPr>
          <w:rFonts w:eastAsia="MS Mincho"/>
          <w:lang w:val="de-DE"/>
        </w:rPr>
        <w:instrText xml:space="preserve"> AUTONUM  </w:instrText>
      </w:r>
      <w:r w:rsidRPr="00E83514">
        <w:rPr>
          <w:rFonts w:eastAsia="MS Mincho"/>
          <w:lang w:val="de-DE"/>
        </w:rPr>
        <w:fldChar w:fldCharType="end"/>
      </w:r>
      <w:r w:rsidRPr="00B140F2">
        <w:rPr>
          <w:rFonts w:eastAsia="MS Mincho"/>
          <w:lang w:val="de-DE"/>
        </w:rPr>
        <w:tab/>
      </w:r>
      <w:r w:rsidR="005F064A" w:rsidRPr="00B140F2">
        <w:rPr>
          <w:lang w:val="de-DE"/>
        </w:rPr>
        <w:t xml:space="preserve">Der TC wird ersucht, den Vorschlag zu prüfen, den Aufbau des Dokuments TGP/5, Abschnitt 6, zu überarbeiten, wie in den </w:t>
      </w:r>
      <w:r w:rsidR="00151B04" w:rsidRPr="00B140F2">
        <w:rPr>
          <w:lang w:val="de-DE"/>
        </w:rPr>
        <w:t xml:space="preserve">Absätzen </w:t>
      </w:r>
      <w:r w:rsidR="004E2FA3" w:rsidRPr="00B140F2">
        <w:rPr>
          <w:lang w:val="de-DE"/>
        </w:rPr>
        <w:t xml:space="preserve">51 </w:t>
      </w:r>
      <w:r w:rsidR="00151B04" w:rsidRPr="00B140F2">
        <w:rPr>
          <w:lang w:val="de-DE"/>
        </w:rPr>
        <w:t xml:space="preserve">und </w:t>
      </w:r>
      <w:r w:rsidR="004E2FA3" w:rsidRPr="00B140F2">
        <w:rPr>
          <w:lang w:val="de-DE"/>
        </w:rPr>
        <w:t xml:space="preserve">52 </w:t>
      </w:r>
      <w:r w:rsidR="005F064A" w:rsidRPr="00B140F2">
        <w:rPr>
          <w:lang w:val="de-DE"/>
        </w:rPr>
        <w:t xml:space="preserve">dieses Dokuments </w:t>
      </w:r>
      <w:r w:rsidR="00151B04" w:rsidRPr="00B140F2">
        <w:rPr>
          <w:lang w:val="de-DE"/>
        </w:rPr>
        <w:t>dargelegt.</w:t>
      </w:r>
    </w:p>
    <w:p w14:paraId="41FA8439" w14:textId="77777777" w:rsidR="00477B1A" w:rsidRPr="00B140F2" w:rsidRDefault="00477B1A" w:rsidP="00BD4986">
      <w:pPr>
        <w:rPr>
          <w:lang w:val="de-DE"/>
        </w:rPr>
      </w:pPr>
    </w:p>
    <w:p w14:paraId="42AF576C" w14:textId="4B8212E1" w:rsidR="00214329" w:rsidRPr="00B140F2" w:rsidRDefault="0060633E" w:rsidP="00BD4986">
      <w:pPr>
        <w:pStyle w:val="Heading2"/>
        <w:rPr>
          <w:lang w:val="de-DE"/>
        </w:rPr>
      </w:pPr>
      <w:bookmarkStart w:id="38" w:name="_Toc177493455"/>
      <w:r w:rsidRPr="00B140F2">
        <w:rPr>
          <w:lang w:val="de-DE"/>
        </w:rPr>
        <w:t>TGP/7: Erstellung von Prüfungsrichtlinien (</w:t>
      </w:r>
      <w:r w:rsidR="000B089C" w:rsidRPr="00B140F2">
        <w:rPr>
          <w:lang w:val="de-DE"/>
        </w:rPr>
        <w:t>Überarbeitung</w:t>
      </w:r>
      <w:r w:rsidRPr="00B140F2">
        <w:rPr>
          <w:lang w:val="de-DE"/>
        </w:rPr>
        <w:t>)</w:t>
      </w:r>
      <w:bookmarkEnd w:id="38"/>
    </w:p>
    <w:p w14:paraId="5BB9A678" w14:textId="77777777" w:rsidR="004C351B" w:rsidRPr="00B140F2" w:rsidRDefault="004C351B" w:rsidP="00BD4986">
      <w:pPr>
        <w:rPr>
          <w:lang w:val="de-DE"/>
        </w:rPr>
      </w:pPr>
    </w:p>
    <w:p w14:paraId="7C343A6F" w14:textId="268ABFA7" w:rsidR="00214329" w:rsidRPr="00B140F2" w:rsidRDefault="0060633E" w:rsidP="00BD4986">
      <w:pPr>
        <w:keepNext/>
        <w:rPr>
          <w:lang w:val="de-DE"/>
        </w:rPr>
      </w:pPr>
      <w:r w:rsidRPr="00E83514">
        <w:rPr>
          <w:rFonts w:eastAsia="MS Mincho"/>
          <w:lang w:val="de-DE"/>
        </w:rPr>
        <w:fldChar w:fldCharType="begin"/>
      </w:r>
      <w:r w:rsidRPr="00B140F2">
        <w:rPr>
          <w:rFonts w:eastAsia="MS Mincho"/>
          <w:lang w:val="de-DE"/>
        </w:rPr>
        <w:instrText xml:space="preserve"> AUTONUM  </w:instrText>
      </w:r>
      <w:r w:rsidRPr="00E83514">
        <w:rPr>
          <w:rFonts w:eastAsia="MS Mincho"/>
          <w:lang w:val="de-DE"/>
        </w:rPr>
        <w:fldChar w:fldCharType="end"/>
      </w:r>
      <w:r w:rsidRPr="00B140F2">
        <w:rPr>
          <w:rFonts w:eastAsia="MS Mincho"/>
          <w:lang w:val="de-DE"/>
        </w:rPr>
        <w:tab/>
        <w:t xml:space="preserve">Der Hintergrund dieser Angelegenheit ist in </w:t>
      </w:r>
      <w:r w:rsidR="002006BE" w:rsidRPr="00B140F2">
        <w:rPr>
          <w:rFonts w:eastAsia="MS Mincho"/>
          <w:lang w:val="de-DE"/>
        </w:rPr>
        <w:t>Anlage</w:t>
      </w:r>
      <w:r w:rsidRPr="00B140F2">
        <w:rPr>
          <w:rFonts w:eastAsia="MS Mincho"/>
          <w:lang w:val="de-DE"/>
        </w:rPr>
        <w:t xml:space="preserve"> IV dieses Dokuments dargelegt.</w:t>
      </w:r>
    </w:p>
    <w:p w14:paraId="7AB2A34A" w14:textId="77777777" w:rsidR="00083EE9" w:rsidRPr="00B140F2" w:rsidRDefault="00083EE9" w:rsidP="00BD4986">
      <w:pPr>
        <w:keepNext/>
        <w:rPr>
          <w:lang w:val="de-DE"/>
        </w:rPr>
      </w:pPr>
    </w:p>
    <w:p w14:paraId="322F4E89" w14:textId="3D2A5DAB" w:rsidR="00214329" w:rsidRPr="00B140F2" w:rsidRDefault="0060633E" w:rsidP="00BD4986">
      <w:pPr>
        <w:pStyle w:val="Heading3"/>
        <w:spacing w:line="240" w:lineRule="auto"/>
        <w:rPr>
          <w:lang w:val="de-DE"/>
        </w:rPr>
      </w:pPr>
      <w:bookmarkStart w:id="39" w:name="_Toc144995610"/>
      <w:bookmarkStart w:id="40" w:name="_Toc177493456"/>
      <w:r w:rsidRPr="00B140F2">
        <w:rPr>
          <w:lang w:val="de-DE"/>
        </w:rPr>
        <w:t xml:space="preserve">Zusätzlicher Standardwortlaut (ASW) </w:t>
      </w:r>
      <w:r w:rsidR="003770B2" w:rsidRPr="00B140F2">
        <w:rPr>
          <w:lang w:val="de-DE"/>
        </w:rPr>
        <w:t>7b)</w:t>
      </w:r>
      <w:r w:rsidRPr="00B140F2">
        <w:rPr>
          <w:lang w:val="de-DE"/>
        </w:rPr>
        <w:t xml:space="preserve"> </w:t>
      </w:r>
      <w:r w:rsidR="001C4FD6" w:rsidRPr="00B140F2">
        <w:rPr>
          <w:lang w:val="de-DE"/>
        </w:rPr>
        <w:t>„</w:t>
      </w:r>
      <w:r w:rsidRPr="00B140F2">
        <w:rPr>
          <w:lang w:val="de-DE"/>
        </w:rPr>
        <w:t>Anzahl der zu prüfenden Pflanzen / Pflanzenteile</w:t>
      </w:r>
      <w:r w:rsidR="001C4FD6" w:rsidRPr="00B140F2">
        <w:rPr>
          <w:lang w:val="de-DE"/>
        </w:rPr>
        <w:t>“</w:t>
      </w:r>
      <w:bookmarkEnd w:id="39"/>
      <w:bookmarkEnd w:id="40"/>
    </w:p>
    <w:p w14:paraId="5BE4B2F6" w14:textId="77777777" w:rsidR="004C351B" w:rsidRPr="00B140F2" w:rsidRDefault="004C351B" w:rsidP="00BD4986">
      <w:pPr>
        <w:keepNext/>
        <w:rPr>
          <w:lang w:val="de-DE"/>
        </w:rPr>
      </w:pPr>
    </w:p>
    <w:p w14:paraId="6FB2755C" w14:textId="7FCF5EB8"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003434DE" w:rsidRPr="00B140F2">
        <w:rPr>
          <w:rFonts w:eastAsiaTheme="minorEastAsia"/>
          <w:lang w:val="de-DE"/>
        </w:rPr>
        <w:t xml:space="preserve">Die TWV, die TWO, die TWA und die TWF prüften auf ihren Tagungen im Jahre 2024 den Vorschlag zur Änderung des Dokuments TGP/7, ASW 7 b), </w:t>
      </w:r>
      <w:r w:rsidR="00B81878">
        <w:rPr>
          <w:rFonts w:eastAsiaTheme="minorEastAsia"/>
          <w:lang w:val="de-DE"/>
        </w:rPr>
        <w:t>bezüglich der</w:t>
      </w:r>
      <w:r w:rsidR="003434DE" w:rsidRPr="00B140F2">
        <w:rPr>
          <w:rFonts w:eastAsiaTheme="minorEastAsia"/>
          <w:lang w:val="de-DE"/>
        </w:rPr>
        <w:t xml:space="preserve"> Anzahl der von Einzelpflanzen zu prüfenden Teile</w:t>
      </w:r>
      <w:r w:rsidRPr="00B140F2">
        <w:rPr>
          <w:lang w:val="de-DE"/>
        </w:rPr>
        <w:t xml:space="preserve">, wie in Anlage </w:t>
      </w:r>
      <w:r w:rsidR="00C26193" w:rsidRPr="00B140F2">
        <w:rPr>
          <w:lang w:val="de-DE"/>
        </w:rPr>
        <w:t xml:space="preserve">IV </w:t>
      </w:r>
      <w:r w:rsidR="005934E5" w:rsidRPr="00B140F2">
        <w:rPr>
          <w:lang w:val="de-DE"/>
        </w:rPr>
        <w:t xml:space="preserve">dieses Dokuments, </w:t>
      </w:r>
      <w:r w:rsidRPr="00B140F2">
        <w:rPr>
          <w:lang w:val="de-DE"/>
        </w:rPr>
        <w:t xml:space="preserve">Absätze </w:t>
      </w:r>
      <w:r w:rsidR="005934E5" w:rsidRPr="00B140F2">
        <w:rPr>
          <w:lang w:val="de-DE"/>
        </w:rPr>
        <w:t xml:space="preserve">6 </w:t>
      </w:r>
      <w:r w:rsidRPr="00B140F2">
        <w:rPr>
          <w:lang w:val="de-DE"/>
        </w:rPr>
        <w:t xml:space="preserve">bis </w:t>
      </w:r>
      <w:r w:rsidR="005934E5" w:rsidRPr="00B140F2">
        <w:rPr>
          <w:lang w:val="de-DE"/>
        </w:rPr>
        <w:t>15</w:t>
      </w:r>
      <w:r w:rsidRPr="00B140F2">
        <w:rPr>
          <w:lang w:val="de-DE"/>
        </w:rPr>
        <w:t xml:space="preserve">, </w:t>
      </w:r>
      <w:r w:rsidR="00C81F85">
        <w:rPr>
          <w:lang w:val="de-DE"/>
        </w:rPr>
        <w:t>dargelegt</w:t>
      </w:r>
      <w:r w:rsidRPr="00B140F2">
        <w:rPr>
          <w:lang w:val="de-DE"/>
        </w:rPr>
        <w:t xml:space="preserve">. </w:t>
      </w:r>
    </w:p>
    <w:p w14:paraId="2C4D3D23" w14:textId="77777777" w:rsidR="00EC361C" w:rsidRPr="00B140F2" w:rsidRDefault="00EC361C" w:rsidP="00BD4986">
      <w:pPr>
        <w:pStyle w:val="EndnoteText"/>
        <w:rPr>
          <w:rFonts w:eastAsiaTheme="minorEastAsia"/>
          <w:lang w:val="de-DE"/>
        </w:rPr>
      </w:pPr>
    </w:p>
    <w:p w14:paraId="2A2F4527" w14:textId="49794F2B"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r>
      <w:r w:rsidRPr="00B140F2">
        <w:rPr>
          <w:rFonts w:eastAsiaTheme="minorEastAsia"/>
          <w:lang w:val="de-DE"/>
        </w:rPr>
        <w:t>Die TWF</w:t>
      </w:r>
      <w:r w:rsidR="003D4D58" w:rsidRPr="00E83514">
        <w:rPr>
          <w:rStyle w:val="FootnoteReference"/>
          <w:rFonts w:eastAsiaTheme="minorEastAsia"/>
          <w:lang w:val="de-DE"/>
        </w:rPr>
        <w:footnoteReference w:id="5"/>
      </w:r>
      <w:r w:rsidR="001015D3" w:rsidRPr="00B140F2">
        <w:rPr>
          <w:rFonts w:eastAsiaTheme="minorEastAsia"/>
          <w:lang w:val="de-DE"/>
        </w:rPr>
        <w:t xml:space="preserve"> vereinbarte </w:t>
      </w:r>
      <w:r w:rsidR="003D4D58" w:rsidRPr="00B140F2">
        <w:rPr>
          <w:rFonts w:eastAsiaTheme="minorEastAsia"/>
          <w:lang w:val="de-DE"/>
        </w:rPr>
        <w:t>auf ihrer fünfundfünfzigsten Tagung</w:t>
      </w:r>
      <w:r w:rsidRPr="00B140F2">
        <w:rPr>
          <w:rFonts w:eastAsiaTheme="minorEastAsia"/>
          <w:lang w:val="de-DE"/>
        </w:rPr>
        <w:t xml:space="preserve">, den Sachverständigen aus Frankreich zu ersuchen, Beispiele zusammenzustellen, wenn die Anzahl der </w:t>
      </w:r>
      <w:r w:rsidR="00C81F85">
        <w:rPr>
          <w:rFonts w:eastAsiaTheme="minorEastAsia"/>
          <w:lang w:val="de-DE"/>
        </w:rPr>
        <w:t xml:space="preserve">von </w:t>
      </w:r>
      <w:r w:rsidRPr="00B140F2">
        <w:rPr>
          <w:rFonts w:eastAsiaTheme="minorEastAsia"/>
          <w:lang w:val="de-DE"/>
        </w:rPr>
        <w:t>jeder Pflanze zu entnehmenden Teile höher sein könnte als in den Prüfungsrichtlinien festgelegt.</w:t>
      </w:r>
      <w:r w:rsidR="00FE0BFC" w:rsidRPr="00B140F2">
        <w:rPr>
          <w:rFonts w:eastAsiaTheme="minorEastAsia"/>
          <w:lang w:val="de-DE"/>
        </w:rPr>
        <w:t xml:space="preserve"> </w:t>
      </w:r>
      <w:r w:rsidRPr="00B140F2">
        <w:rPr>
          <w:rFonts w:eastAsiaTheme="minorEastAsia"/>
          <w:lang w:val="de-DE"/>
        </w:rPr>
        <w:t xml:space="preserve">Die TWF vereinbarte, den Sachverständigen aus Frankreich zu ersuchen, Optionen zu </w:t>
      </w:r>
      <w:r w:rsidR="003770B2" w:rsidRPr="00B140F2">
        <w:rPr>
          <w:rFonts w:eastAsiaTheme="minorEastAsia"/>
          <w:lang w:val="de-DE"/>
        </w:rPr>
        <w:t>sondieren</w:t>
      </w:r>
      <w:r w:rsidRPr="00B140F2">
        <w:rPr>
          <w:rFonts w:eastAsiaTheme="minorEastAsia"/>
          <w:lang w:val="de-DE"/>
        </w:rPr>
        <w:t xml:space="preserve">, um anzugeben, </w:t>
      </w:r>
      <w:r w:rsidR="00350639" w:rsidRPr="00B140F2">
        <w:rPr>
          <w:rFonts w:eastAsiaTheme="minorEastAsia"/>
          <w:lang w:val="de-DE"/>
        </w:rPr>
        <w:t xml:space="preserve">dass </w:t>
      </w:r>
      <w:r w:rsidRPr="00B140F2">
        <w:rPr>
          <w:rFonts w:eastAsiaTheme="minorEastAsia"/>
          <w:lang w:val="de-DE"/>
        </w:rPr>
        <w:t xml:space="preserve">die Prüfung von Merkmalen je nach dem erforderlichen Genauigkeitsgrad an verschiedenen Probengrößen durchgeführt werden könnte. </w:t>
      </w:r>
    </w:p>
    <w:p w14:paraId="727CB00C" w14:textId="77777777" w:rsidR="00EC361C" w:rsidRPr="00B140F2" w:rsidRDefault="00EC361C" w:rsidP="00BD4986">
      <w:pPr>
        <w:rPr>
          <w:spacing w:val="-2"/>
          <w:lang w:val="de-DE"/>
        </w:rPr>
      </w:pPr>
    </w:p>
    <w:p w14:paraId="347AB61E" w14:textId="3A7C0201" w:rsidR="00214329" w:rsidRPr="00B140F2" w:rsidRDefault="0060633E" w:rsidP="00BD4986">
      <w:pPr>
        <w:pStyle w:val="DecisionParagraphs"/>
        <w:keepLines/>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Der TC wird ersucht, die Erörterungen über </w:t>
      </w:r>
      <w:r w:rsidR="002D3EB7" w:rsidRPr="00B140F2">
        <w:rPr>
          <w:lang w:val="de-DE"/>
        </w:rPr>
        <w:t xml:space="preserve">etwaige Änderungen des Dokuments TGP/7, Zusätzlicher Standardwortlaut (ASW) 7 b) </w:t>
      </w:r>
      <w:r w:rsidR="001C4FD6" w:rsidRPr="00B140F2">
        <w:rPr>
          <w:lang w:val="de-DE"/>
        </w:rPr>
        <w:t>„</w:t>
      </w:r>
      <w:r w:rsidR="002D3EB7" w:rsidRPr="00B140F2">
        <w:rPr>
          <w:lang w:val="de-DE"/>
        </w:rPr>
        <w:t xml:space="preserve">Anzahl der zu prüfenden </w:t>
      </w:r>
      <w:r w:rsidR="005B75F4" w:rsidRPr="00B140F2">
        <w:rPr>
          <w:lang w:val="de-DE"/>
        </w:rPr>
        <w:t>Pflanzen / Pflanzenteile</w:t>
      </w:r>
      <w:r w:rsidR="001C4FD6" w:rsidRPr="00B140F2">
        <w:rPr>
          <w:lang w:val="de-DE"/>
        </w:rPr>
        <w:t>“</w:t>
      </w:r>
      <w:r w:rsidR="002D3EB7" w:rsidRPr="00B140F2">
        <w:rPr>
          <w:lang w:val="de-DE"/>
        </w:rPr>
        <w:t>, wie in Anlage</w:t>
      </w:r>
      <w:r w:rsidR="000410DC">
        <w:rPr>
          <w:lang w:val="de-DE"/>
        </w:rPr>
        <w:t> </w:t>
      </w:r>
      <w:r w:rsidR="002D3EB7" w:rsidRPr="00B140F2">
        <w:rPr>
          <w:lang w:val="de-DE"/>
        </w:rPr>
        <w:t xml:space="preserve">IV, </w:t>
      </w:r>
      <w:r w:rsidR="00CF302D" w:rsidRPr="00B140F2">
        <w:rPr>
          <w:lang w:val="de-DE"/>
        </w:rPr>
        <w:t>Absätze 6 bis 15</w:t>
      </w:r>
      <w:r w:rsidRPr="00B140F2">
        <w:rPr>
          <w:lang w:val="de-DE"/>
        </w:rPr>
        <w:t xml:space="preserve">, </w:t>
      </w:r>
      <w:r w:rsidR="002D3EB7" w:rsidRPr="00B140F2">
        <w:rPr>
          <w:lang w:val="de-DE"/>
        </w:rPr>
        <w:t>berichtet</w:t>
      </w:r>
      <w:r w:rsidRPr="00B140F2">
        <w:rPr>
          <w:lang w:val="de-DE"/>
        </w:rPr>
        <w:t>,</w:t>
      </w:r>
      <w:r w:rsidR="005B75F4" w:rsidRPr="00B140F2">
        <w:rPr>
          <w:lang w:val="de-DE"/>
        </w:rPr>
        <w:t xml:space="preserve"> </w:t>
      </w:r>
      <w:r w:rsidRPr="00B140F2">
        <w:rPr>
          <w:lang w:val="de-DE"/>
        </w:rPr>
        <w:t>zur Kenntnis zu nehmen.</w:t>
      </w:r>
    </w:p>
    <w:p w14:paraId="62A97D2E" w14:textId="77777777" w:rsidR="004C351B" w:rsidRPr="00B140F2" w:rsidRDefault="004C351B" w:rsidP="00BD4986">
      <w:pPr>
        <w:rPr>
          <w:spacing w:val="-2"/>
          <w:lang w:val="de-DE"/>
        </w:rPr>
      </w:pPr>
    </w:p>
    <w:p w14:paraId="1B343736" w14:textId="720E8FBA" w:rsidR="00214329" w:rsidRPr="00B140F2" w:rsidRDefault="005B75F4" w:rsidP="00BD4986">
      <w:pPr>
        <w:pStyle w:val="Heading3"/>
        <w:spacing w:line="240" w:lineRule="auto"/>
        <w:rPr>
          <w:highlight w:val="yellow"/>
          <w:lang w:val="de-DE"/>
        </w:rPr>
      </w:pPr>
      <w:bookmarkStart w:id="41" w:name="_Toc177493457"/>
      <w:r w:rsidRPr="00B140F2">
        <w:rPr>
          <w:lang w:val="de-DE"/>
        </w:rPr>
        <w:t xml:space="preserve">Erläuterung </w:t>
      </w:r>
      <w:r w:rsidR="0060633E" w:rsidRPr="00B140F2">
        <w:rPr>
          <w:lang w:val="de-DE"/>
        </w:rPr>
        <w:t xml:space="preserve">(GN) 28 </w:t>
      </w:r>
      <w:r w:rsidR="001C4FD6" w:rsidRPr="00B140F2">
        <w:rPr>
          <w:lang w:val="de-DE"/>
        </w:rPr>
        <w:t>„</w:t>
      </w:r>
      <w:r w:rsidR="0060633E" w:rsidRPr="00B140F2">
        <w:rPr>
          <w:lang w:val="de-DE"/>
        </w:rPr>
        <w:t>Beispielssorten</w:t>
      </w:r>
      <w:r w:rsidR="001C4FD6" w:rsidRPr="00B140F2">
        <w:rPr>
          <w:lang w:val="de-DE"/>
        </w:rPr>
        <w:t>“</w:t>
      </w:r>
      <w:r w:rsidR="0060633E" w:rsidRPr="00B140F2">
        <w:rPr>
          <w:lang w:val="de-DE"/>
        </w:rPr>
        <w:t xml:space="preserve"> - Beispielssorten für quantitative Merkmale</w:t>
      </w:r>
      <w:r w:rsidRPr="00B140F2">
        <w:rPr>
          <w:lang w:val="de-DE"/>
        </w:rPr>
        <w:t xml:space="preserve"> mit Sternchen</w:t>
      </w:r>
      <w:r w:rsidR="0060633E" w:rsidRPr="00B140F2">
        <w:rPr>
          <w:lang w:val="de-DE"/>
        </w:rPr>
        <w:t xml:space="preserve">, </w:t>
      </w:r>
      <w:r w:rsidR="00F43076" w:rsidRPr="00B140F2">
        <w:rPr>
          <w:lang w:val="de-DE"/>
        </w:rPr>
        <w:t>wenn Abbildungen vorgelegt werden</w:t>
      </w:r>
      <w:bookmarkEnd w:id="41"/>
    </w:p>
    <w:p w14:paraId="3D36E2DE" w14:textId="77777777" w:rsidR="004C351B" w:rsidRPr="00B140F2" w:rsidRDefault="004C351B" w:rsidP="00BD4986">
      <w:pPr>
        <w:rPr>
          <w:rFonts w:cs="Arial"/>
          <w:lang w:val="de-DE"/>
        </w:rPr>
      </w:pPr>
    </w:p>
    <w:p w14:paraId="7DAA26BA" w14:textId="1597AABC"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Die TWP </w:t>
      </w:r>
      <w:r w:rsidR="00014540" w:rsidRPr="00B140F2">
        <w:rPr>
          <w:lang w:val="de-DE"/>
        </w:rPr>
        <w:t xml:space="preserve">prüften </w:t>
      </w:r>
      <w:r w:rsidRPr="00B140F2">
        <w:rPr>
          <w:lang w:val="de-DE"/>
        </w:rPr>
        <w:t xml:space="preserve">auf ihren Tagungen im Jahr 2024 </w:t>
      </w:r>
      <w:r w:rsidR="00894B95" w:rsidRPr="00B140F2">
        <w:rPr>
          <w:lang w:val="de-DE"/>
        </w:rPr>
        <w:t xml:space="preserve">einen Vorschlag zur Änderung von </w:t>
      </w:r>
      <w:r w:rsidRPr="00B140F2">
        <w:rPr>
          <w:lang w:val="de-DE"/>
        </w:rPr>
        <w:t xml:space="preserve">Dokument TGP/7, </w:t>
      </w:r>
      <w:r w:rsidR="005B75F4" w:rsidRPr="00B140F2">
        <w:rPr>
          <w:lang w:val="de-DE"/>
        </w:rPr>
        <w:t>Erläuterung (GN)</w:t>
      </w:r>
      <w:r w:rsidR="004232D2" w:rsidRPr="00B140F2">
        <w:rPr>
          <w:lang w:val="de-DE"/>
        </w:rPr>
        <w:t xml:space="preserve"> 28 </w:t>
      </w:r>
      <w:r w:rsidR="001C4FD6" w:rsidRPr="00B140F2">
        <w:rPr>
          <w:lang w:val="de-DE"/>
        </w:rPr>
        <w:t>„</w:t>
      </w:r>
      <w:r w:rsidR="004232D2" w:rsidRPr="00B140F2">
        <w:rPr>
          <w:lang w:val="de-DE"/>
        </w:rPr>
        <w:t>Beispielssorten</w:t>
      </w:r>
      <w:r w:rsidR="001C4FD6" w:rsidRPr="00B140F2">
        <w:rPr>
          <w:lang w:val="de-DE"/>
        </w:rPr>
        <w:t>“</w:t>
      </w:r>
      <w:r w:rsidR="008D6305" w:rsidRPr="00B140F2">
        <w:rPr>
          <w:lang w:val="de-DE"/>
        </w:rPr>
        <w:t xml:space="preserve">, um </w:t>
      </w:r>
      <w:r w:rsidR="00894B95" w:rsidRPr="00B140F2">
        <w:rPr>
          <w:iCs/>
          <w:lang w:val="de-DE"/>
        </w:rPr>
        <w:t xml:space="preserve">Situationen </w:t>
      </w:r>
      <w:r w:rsidR="005B75F4" w:rsidRPr="00B140F2">
        <w:rPr>
          <w:lang w:val="de-DE"/>
        </w:rPr>
        <w:t>anzugehen</w:t>
      </w:r>
      <w:r w:rsidR="00894B95" w:rsidRPr="00B140F2">
        <w:rPr>
          <w:iCs/>
          <w:lang w:val="de-DE"/>
        </w:rPr>
        <w:t xml:space="preserve">, in denen Abbildungen Beispielssorten ersetzen könnten, sowie deren ergänzende Rolle zur </w:t>
      </w:r>
      <w:r w:rsidR="005B75F4" w:rsidRPr="00B140F2">
        <w:rPr>
          <w:iCs/>
          <w:lang w:val="de-DE"/>
        </w:rPr>
        <w:t>Klarstellung</w:t>
      </w:r>
      <w:r w:rsidR="00894B95" w:rsidRPr="00B140F2">
        <w:rPr>
          <w:iCs/>
          <w:lang w:val="de-DE"/>
        </w:rPr>
        <w:t xml:space="preserve"> der Ausprägungsstufen eines Merkmals</w:t>
      </w:r>
      <w:r w:rsidR="008D6305" w:rsidRPr="00B140F2">
        <w:rPr>
          <w:iCs/>
          <w:lang w:val="de-DE"/>
        </w:rPr>
        <w:t>.</w:t>
      </w:r>
      <w:r w:rsidR="00FE0BFC" w:rsidRPr="00B140F2">
        <w:rPr>
          <w:iCs/>
          <w:lang w:val="de-DE"/>
        </w:rPr>
        <w:t xml:space="preserve"> </w:t>
      </w:r>
      <w:r w:rsidR="008D6305" w:rsidRPr="00B140F2">
        <w:rPr>
          <w:iCs/>
          <w:lang w:val="de-DE"/>
        </w:rPr>
        <w:t xml:space="preserve">Der Bericht über die </w:t>
      </w:r>
      <w:r w:rsidR="007D62E7" w:rsidRPr="00B140F2">
        <w:rPr>
          <w:iCs/>
          <w:lang w:val="de-DE"/>
        </w:rPr>
        <w:t>Bemerkungen</w:t>
      </w:r>
      <w:r w:rsidR="008D6305" w:rsidRPr="00B140F2">
        <w:rPr>
          <w:iCs/>
          <w:lang w:val="de-DE"/>
        </w:rPr>
        <w:t xml:space="preserve"> </w:t>
      </w:r>
      <w:r w:rsidR="009A472F" w:rsidRPr="00B140F2">
        <w:rPr>
          <w:iCs/>
          <w:lang w:val="de-DE"/>
        </w:rPr>
        <w:t xml:space="preserve">der TWP auf ihren Tagungen im Jahr 2024 ist </w:t>
      </w:r>
      <w:r w:rsidRPr="00B140F2">
        <w:rPr>
          <w:lang w:val="de-DE"/>
        </w:rPr>
        <w:t xml:space="preserve">in Anlage IV </w:t>
      </w:r>
      <w:r w:rsidR="009A472F" w:rsidRPr="00B140F2">
        <w:rPr>
          <w:lang w:val="de-DE"/>
        </w:rPr>
        <w:t xml:space="preserve">dieses Dokuments, </w:t>
      </w:r>
      <w:r w:rsidRPr="00B140F2">
        <w:rPr>
          <w:lang w:val="de-DE"/>
        </w:rPr>
        <w:t xml:space="preserve">Absätze </w:t>
      </w:r>
      <w:r w:rsidR="00281449" w:rsidRPr="00B140F2">
        <w:rPr>
          <w:lang w:val="de-DE"/>
        </w:rPr>
        <w:t xml:space="preserve">15 </w:t>
      </w:r>
      <w:r w:rsidRPr="00B140F2">
        <w:rPr>
          <w:lang w:val="de-DE"/>
        </w:rPr>
        <w:t xml:space="preserve">bis </w:t>
      </w:r>
      <w:r w:rsidR="009A472F" w:rsidRPr="00B140F2">
        <w:rPr>
          <w:lang w:val="de-DE"/>
        </w:rPr>
        <w:t>25</w:t>
      </w:r>
      <w:r w:rsidRPr="00B140F2">
        <w:rPr>
          <w:lang w:val="de-DE"/>
        </w:rPr>
        <w:t xml:space="preserve">, </w:t>
      </w:r>
      <w:r w:rsidR="009A472F" w:rsidRPr="00B140F2">
        <w:rPr>
          <w:iCs/>
          <w:lang w:val="de-DE"/>
        </w:rPr>
        <w:t>enthalten</w:t>
      </w:r>
      <w:r w:rsidRPr="00B140F2">
        <w:rPr>
          <w:lang w:val="de-DE"/>
        </w:rPr>
        <w:t xml:space="preserve">. </w:t>
      </w:r>
    </w:p>
    <w:p w14:paraId="039CA3BC" w14:textId="77777777" w:rsidR="00C26193" w:rsidRPr="00B140F2" w:rsidRDefault="00C26193" w:rsidP="00BD4986">
      <w:pPr>
        <w:rPr>
          <w:spacing w:val="-2"/>
          <w:lang w:val="de-DE"/>
        </w:rPr>
      </w:pPr>
    </w:p>
    <w:p w14:paraId="2B422802" w14:textId="74509334" w:rsidR="00214329" w:rsidRPr="00B140F2" w:rsidRDefault="0060633E" w:rsidP="00BD4986">
      <w:pPr>
        <w:pStyle w:val="DecisionParagraphs"/>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Der TC wird ersucht, zur Kenntnis zu nehmen</w:t>
      </w:r>
      <w:r w:rsidR="00546FE7" w:rsidRPr="00B140F2">
        <w:rPr>
          <w:lang w:val="de-DE"/>
        </w:rPr>
        <w:t>:</w:t>
      </w:r>
    </w:p>
    <w:p w14:paraId="24059DDC" w14:textId="77777777" w:rsidR="00546FE7" w:rsidRPr="00B140F2" w:rsidRDefault="00546FE7" w:rsidP="00BD4986">
      <w:pPr>
        <w:pStyle w:val="DecisionParagraphs"/>
        <w:rPr>
          <w:lang w:val="de-DE"/>
        </w:rPr>
      </w:pPr>
    </w:p>
    <w:p w14:paraId="0685BF31" w14:textId="4FF658FB" w:rsidR="00214329" w:rsidRPr="00B140F2" w:rsidRDefault="005B75F4" w:rsidP="00BD4986">
      <w:pPr>
        <w:pStyle w:val="DecisionParagraphs"/>
        <w:numPr>
          <w:ilvl w:val="0"/>
          <w:numId w:val="32"/>
        </w:numPr>
        <w:ind w:left="4820" w:firstLine="567"/>
        <w:rPr>
          <w:lang w:val="de-DE"/>
        </w:rPr>
      </w:pPr>
      <w:r w:rsidRPr="00B140F2">
        <w:rPr>
          <w:lang w:val="de-DE"/>
        </w:rPr>
        <w:t xml:space="preserve">die </w:t>
      </w:r>
      <w:r w:rsidR="00767062" w:rsidRPr="00B140F2">
        <w:rPr>
          <w:lang w:val="de-DE"/>
        </w:rPr>
        <w:t xml:space="preserve">Erörterungen über einen Vorschlag zur Änderung des </w:t>
      </w:r>
      <w:r w:rsidR="00546FE7" w:rsidRPr="00B140F2">
        <w:rPr>
          <w:lang w:val="de-DE"/>
        </w:rPr>
        <w:t xml:space="preserve">Dokuments TGP/7, </w:t>
      </w:r>
      <w:r w:rsidRPr="00B140F2">
        <w:rPr>
          <w:lang w:val="de-DE"/>
        </w:rPr>
        <w:t>Erläuterung (GN)</w:t>
      </w:r>
      <w:r w:rsidR="00546FE7" w:rsidRPr="00B140F2">
        <w:rPr>
          <w:lang w:val="de-DE"/>
        </w:rPr>
        <w:t xml:space="preserve"> 28 </w:t>
      </w:r>
      <w:r w:rsidR="001C4FD6" w:rsidRPr="00B140F2">
        <w:rPr>
          <w:lang w:val="de-DE"/>
        </w:rPr>
        <w:t>„</w:t>
      </w:r>
      <w:r w:rsidR="00546FE7" w:rsidRPr="00B140F2">
        <w:rPr>
          <w:lang w:val="de-DE"/>
        </w:rPr>
        <w:t>Beispielssorten</w:t>
      </w:r>
      <w:r w:rsidR="001C4FD6" w:rsidRPr="00B140F2">
        <w:rPr>
          <w:lang w:val="de-DE"/>
        </w:rPr>
        <w:t>“</w:t>
      </w:r>
      <w:r w:rsidR="00386767" w:rsidRPr="00B140F2">
        <w:rPr>
          <w:lang w:val="de-DE"/>
        </w:rPr>
        <w:t xml:space="preserve">, um </w:t>
      </w:r>
      <w:r w:rsidR="00386767" w:rsidRPr="00B140F2">
        <w:rPr>
          <w:iCs/>
          <w:lang w:val="de-DE"/>
        </w:rPr>
        <w:t xml:space="preserve">Situationen </w:t>
      </w:r>
      <w:r w:rsidR="00C81F85" w:rsidRPr="00B140F2">
        <w:rPr>
          <w:lang w:val="de-DE"/>
        </w:rPr>
        <w:t>anzugehen</w:t>
      </w:r>
      <w:r w:rsidR="00386767" w:rsidRPr="00B140F2">
        <w:rPr>
          <w:iCs/>
          <w:lang w:val="de-DE"/>
        </w:rPr>
        <w:t>, in denen Abbildungen Beispielssorten ersetzen könnten</w:t>
      </w:r>
      <w:r w:rsidR="00546FE7" w:rsidRPr="00B140F2">
        <w:rPr>
          <w:lang w:val="de-DE"/>
        </w:rPr>
        <w:t xml:space="preserve">, </w:t>
      </w:r>
      <w:r w:rsidR="00386767" w:rsidRPr="00B140F2">
        <w:rPr>
          <w:lang w:val="de-DE"/>
        </w:rPr>
        <w:t xml:space="preserve">wie </w:t>
      </w:r>
      <w:r w:rsidR="00546FE7" w:rsidRPr="00B140F2">
        <w:rPr>
          <w:lang w:val="de-DE"/>
        </w:rPr>
        <w:t xml:space="preserve">in Anlage IV </w:t>
      </w:r>
      <w:r w:rsidR="00386767" w:rsidRPr="00B140F2">
        <w:rPr>
          <w:lang w:val="de-DE"/>
        </w:rPr>
        <w:t>dieses Dokuments</w:t>
      </w:r>
      <w:r w:rsidR="00546FE7" w:rsidRPr="00B140F2">
        <w:rPr>
          <w:lang w:val="de-DE"/>
        </w:rPr>
        <w:t>, Absätze</w:t>
      </w:r>
      <w:r w:rsidR="000410DC">
        <w:rPr>
          <w:lang w:val="de-DE"/>
        </w:rPr>
        <w:t> </w:t>
      </w:r>
      <w:r w:rsidR="00281449" w:rsidRPr="00B140F2">
        <w:rPr>
          <w:lang w:val="de-DE"/>
        </w:rPr>
        <w:t xml:space="preserve">15 </w:t>
      </w:r>
      <w:r w:rsidR="00546FE7" w:rsidRPr="00B140F2">
        <w:rPr>
          <w:lang w:val="de-DE"/>
        </w:rPr>
        <w:t xml:space="preserve">bis </w:t>
      </w:r>
      <w:r w:rsidR="00386767" w:rsidRPr="00B140F2">
        <w:rPr>
          <w:lang w:val="de-DE"/>
        </w:rPr>
        <w:t>25</w:t>
      </w:r>
      <w:r w:rsidR="00546FE7" w:rsidRPr="00B140F2">
        <w:rPr>
          <w:lang w:val="de-DE"/>
        </w:rPr>
        <w:t>, berichtet, und</w:t>
      </w:r>
    </w:p>
    <w:p w14:paraId="54046C1A" w14:textId="77777777" w:rsidR="00546FE7" w:rsidRPr="00B140F2" w:rsidRDefault="00546FE7" w:rsidP="00BD4986">
      <w:pPr>
        <w:pStyle w:val="DecisionParagraphs"/>
        <w:ind w:left="5387"/>
        <w:rPr>
          <w:lang w:val="de-DE"/>
        </w:rPr>
      </w:pPr>
    </w:p>
    <w:p w14:paraId="48B40F37" w14:textId="4CFEB73D" w:rsidR="00214329" w:rsidRPr="00B140F2" w:rsidRDefault="005B75F4" w:rsidP="00BD4986">
      <w:pPr>
        <w:pStyle w:val="DecisionParagraphs"/>
        <w:numPr>
          <w:ilvl w:val="0"/>
          <w:numId w:val="32"/>
        </w:numPr>
        <w:ind w:left="4820" w:firstLine="567"/>
        <w:rPr>
          <w:lang w:val="de-DE"/>
        </w:rPr>
      </w:pPr>
      <w:r w:rsidRPr="00B140F2">
        <w:rPr>
          <w:lang w:val="de-DE"/>
        </w:rPr>
        <w:t>das Gesuch</w:t>
      </w:r>
      <w:r w:rsidR="00546FE7" w:rsidRPr="00B140F2">
        <w:rPr>
          <w:lang w:val="de-DE"/>
        </w:rPr>
        <w:t xml:space="preserve"> an den Verfasser aus Deutschland, weitere </w:t>
      </w:r>
      <w:r w:rsidR="00386767" w:rsidRPr="00B140F2">
        <w:rPr>
          <w:lang w:val="de-DE"/>
        </w:rPr>
        <w:t xml:space="preserve">Erläuterungen </w:t>
      </w:r>
      <w:r w:rsidR="00546FE7" w:rsidRPr="00B140F2">
        <w:rPr>
          <w:lang w:val="de-DE"/>
        </w:rPr>
        <w:t xml:space="preserve">zu den Entscheidungskriterien </w:t>
      </w:r>
      <w:r w:rsidR="00BF7F8F" w:rsidRPr="00B140F2">
        <w:rPr>
          <w:lang w:val="de-DE"/>
        </w:rPr>
        <w:t xml:space="preserve">und </w:t>
      </w:r>
      <w:r w:rsidR="00546FE7" w:rsidRPr="00B140F2">
        <w:rPr>
          <w:lang w:val="de-DE"/>
        </w:rPr>
        <w:t>Beispiele zu geben, wenn Abbildungen Beispielssorten ersetzen könnten</w:t>
      </w:r>
      <w:r w:rsidR="00C26193" w:rsidRPr="00B140F2">
        <w:rPr>
          <w:lang w:val="de-DE"/>
        </w:rPr>
        <w:t>.</w:t>
      </w:r>
    </w:p>
    <w:p w14:paraId="3EB88ECB" w14:textId="77777777" w:rsidR="004C351B" w:rsidRPr="00B140F2" w:rsidRDefault="004C351B" w:rsidP="00BD4986">
      <w:pPr>
        <w:rPr>
          <w:lang w:val="de-DE"/>
        </w:rPr>
      </w:pPr>
    </w:p>
    <w:p w14:paraId="494AC51B" w14:textId="532FDFDF" w:rsidR="00214329" w:rsidRPr="00B140F2" w:rsidRDefault="00276289" w:rsidP="00BD4986">
      <w:pPr>
        <w:pStyle w:val="Heading2"/>
        <w:rPr>
          <w:lang w:val="de-DE"/>
        </w:rPr>
      </w:pPr>
      <w:bookmarkStart w:id="42" w:name="_Toc177493458"/>
      <w:r w:rsidRPr="00B140F2">
        <w:rPr>
          <w:lang w:val="de-DE"/>
        </w:rPr>
        <w:t>Zu</w:t>
      </w:r>
      <w:r w:rsidR="00BC1485" w:rsidRPr="00B140F2">
        <w:rPr>
          <w:lang w:val="de-DE"/>
        </w:rPr>
        <w:t>gang zu Pflanzenmaterial zum Zweck der Verwaltung von Sortensammlungen und der DUS-Prüfung</w:t>
      </w:r>
      <w:bookmarkEnd w:id="42"/>
    </w:p>
    <w:p w14:paraId="547881F6" w14:textId="77777777" w:rsidR="00050E16" w:rsidRPr="00B140F2" w:rsidRDefault="00050E16" w:rsidP="00BD4986">
      <w:pPr>
        <w:keepNext/>
        <w:rPr>
          <w:lang w:val="de-DE"/>
        </w:rPr>
      </w:pPr>
    </w:p>
    <w:p w14:paraId="2E1E9C73" w14:textId="4472A4D2" w:rsidR="00214329" w:rsidRPr="00B140F2" w:rsidRDefault="0060633E" w:rsidP="00BD4986">
      <w:pPr>
        <w:rPr>
          <w:lang w:val="de-DE"/>
        </w:rPr>
      </w:pPr>
      <w:r w:rsidRPr="00E83514">
        <w:rPr>
          <w:rFonts w:eastAsia="MS Mincho"/>
          <w:lang w:val="de-DE"/>
        </w:rPr>
        <w:fldChar w:fldCharType="begin"/>
      </w:r>
      <w:r w:rsidRPr="00B140F2">
        <w:rPr>
          <w:rFonts w:eastAsia="MS Mincho"/>
          <w:lang w:val="de-DE"/>
        </w:rPr>
        <w:instrText xml:space="preserve"> AUTONUM  </w:instrText>
      </w:r>
      <w:r w:rsidRPr="00E83514">
        <w:rPr>
          <w:rFonts w:eastAsia="MS Mincho"/>
          <w:lang w:val="de-DE"/>
        </w:rPr>
        <w:fldChar w:fldCharType="end"/>
      </w:r>
      <w:r w:rsidRPr="00B140F2">
        <w:rPr>
          <w:rFonts w:eastAsia="MS Mincho"/>
          <w:lang w:val="de-DE"/>
        </w:rPr>
        <w:tab/>
        <w:t xml:space="preserve">Der Hintergrund dieser Angelegenheit ist in </w:t>
      </w:r>
      <w:r w:rsidR="002006BE" w:rsidRPr="00B140F2">
        <w:rPr>
          <w:rFonts w:eastAsia="MS Mincho"/>
          <w:lang w:val="de-DE"/>
        </w:rPr>
        <w:t>Anlage</w:t>
      </w:r>
      <w:r w:rsidRPr="00B140F2">
        <w:rPr>
          <w:rFonts w:eastAsia="MS Mincho"/>
          <w:lang w:val="de-DE"/>
        </w:rPr>
        <w:t xml:space="preserve"> V dieses Dokuments dargelegt.</w:t>
      </w:r>
    </w:p>
    <w:p w14:paraId="6764B8B3" w14:textId="77777777" w:rsidR="007F42A7" w:rsidRPr="00B140F2" w:rsidRDefault="007F42A7" w:rsidP="00BD4986">
      <w:pPr>
        <w:rPr>
          <w:lang w:val="de-DE"/>
        </w:rPr>
      </w:pPr>
    </w:p>
    <w:p w14:paraId="1E0E8B76" w14:textId="4AB7BC1C" w:rsidR="00214329" w:rsidRPr="00B140F2" w:rsidRDefault="0060633E" w:rsidP="00BD4986">
      <w:pPr>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Die TWP </w:t>
      </w:r>
      <w:r w:rsidRPr="00B140F2">
        <w:rPr>
          <w:rFonts w:eastAsiaTheme="minorEastAsia"/>
          <w:lang w:val="de-DE"/>
        </w:rPr>
        <w:t xml:space="preserve">prüften </w:t>
      </w:r>
      <w:r w:rsidRPr="00B140F2">
        <w:rPr>
          <w:lang w:val="de-DE"/>
        </w:rPr>
        <w:t xml:space="preserve">auf ihren Tagungen im Jahr 2024 </w:t>
      </w:r>
      <w:r w:rsidRPr="00B140F2">
        <w:rPr>
          <w:rFonts w:eastAsia="Cambria"/>
          <w:lang w:val="de-DE"/>
        </w:rPr>
        <w:t xml:space="preserve">Elemente zur Aufnahme in </w:t>
      </w:r>
      <w:r w:rsidR="005F78BF" w:rsidRPr="00923AB5">
        <w:rPr>
          <w:rFonts w:eastAsia="Cambria"/>
          <w:lang w:val="de-DE"/>
        </w:rPr>
        <w:t>Anträge auf Einreichung</w:t>
      </w:r>
      <w:r w:rsidRPr="00B140F2">
        <w:rPr>
          <w:rFonts w:eastAsia="Cambria"/>
          <w:lang w:val="de-DE"/>
        </w:rPr>
        <w:t xml:space="preserve"> von Pflanzenmaterial von Kandidatensorten und allgemein bekannten Sorten zur DUS-Prüfung</w:t>
      </w:r>
      <w:r w:rsidRPr="00B140F2">
        <w:rPr>
          <w:lang w:val="de-DE"/>
        </w:rPr>
        <w:t>, wie in Anlage</w:t>
      </w:r>
      <w:r w:rsidR="000410DC">
        <w:rPr>
          <w:lang w:val="de-DE"/>
        </w:rPr>
        <w:t> </w:t>
      </w:r>
      <w:r w:rsidRPr="00B140F2">
        <w:rPr>
          <w:lang w:val="de-DE"/>
        </w:rPr>
        <w:t xml:space="preserve">V </w:t>
      </w:r>
      <w:r w:rsidR="00A70B67" w:rsidRPr="00B140F2">
        <w:rPr>
          <w:lang w:val="de-DE"/>
        </w:rPr>
        <w:t>dieses Dokuments</w:t>
      </w:r>
      <w:r w:rsidRPr="00B140F2">
        <w:rPr>
          <w:lang w:val="de-DE"/>
        </w:rPr>
        <w:t xml:space="preserve">, Absätze 4 bis 11, berichtet. </w:t>
      </w:r>
    </w:p>
    <w:p w14:paraId="2F08FEF1" w14:textId="77777777" w:rsidR="00A70B67" w:rsidRPr="00B140F2" w:rsidRDefault="00A70B67" w:rsidP="00BD4986">
      <w:pPr>
        <w:rPr>
          <w:spacing w:val="-2"/>
          <w:lang w:val="de-DE"/>
        </w:rPr>
      </w:pPr>
    </w:p>
    <w:p w14:paraId="07292B90" w14:textId="553DAC62" w:rsidR="00214329" w:rsidRPr="00B140F2" w:rsidRDefault="0060633E" w:rsidP="00BD4986">
      <w:pPr>
        <w:pStyle w:val="DecisionParagraphs"/>
        <w:rPr>
          <w:lang w:val="de-DE"/>
        </w:rPr>
      </w:pPr>
      <w:r w:rsidRPr="00E83514">
        <w:rPr>
          <w:lang w:val="de-DE"/>
        </w:rPr>
        <w:fldChar w:fldCharType="begin"/>
      </w:r>
      <w:r w:rsidRPr="00B140F2">
        <w:rPr>
          <w:lang w:val="de-DE"/>
        </w:rPr>
        <w:instrText xml:space="preserve"> AUTONUM  </w:instrText>
      </w:r>
      <w:r w:rsidRPr="00E83514">
        <w:rPr>
          <w:lang w:val="de-DE"/>
        </w:rPr>
        <w:fldChar w:fldCharType="end"/>
      </w:r>
      <w:r w:rsidRPr="00B140F2">
        <w:rPr>
          <w:lang w:val="de-DE"/>
        </w:rPr>
        <w:tab/>
        <w:t xml:space="preserve">Der TC wird ersucht, die Erörterungen über die Elemente zur </w:t>
      </w:r>
      <w:r w:rsidR="00B81878">
        <w:rPr>
          <w:lang w:val="de-DE"/>
        </w:rPr>
        <w:t xml:space="preserve">Aufnahme in Anträge </w:t>
      </w:r>
      <w:r w:rsidR="005F78BF">
        <w:rPr>
          <w:lang w:val="de-DE"/>
        </w:rPr>
        <w:t>auf Einreichung</w:t>
      </w:r>
      <w:r w:rsidRPr="00B140F2">
        <w:rPr>
          <w:lang w:val="de-DE"/>
        </w:rPr>
        <w:t xml:space="preserve"> von Pflanzenmaterial von Kandidatensorten und allgemein bekannten Sorten für die DUS-Prüfung, wie in Anlage V, Absätze 4 bis 11, berichtet</w:t>
      </w:r>
      <w:r w:rsidR="00C81F85">
        <w:rPr>
          <w:lang w:val="de-DE"/>
        </w:rPr>
        <w:t xml:space="preserve">, </w:t>
      </w:r>
      <w:r w:rsidR="00C81F85" w:rsidRPr="00B140F2">
        <w:rPr>
          <w:lang w:val="de-DE"/>
        </w:rPr>
        <w:t>zur Kenntnis zu nehmen</w:t>
      </w:r>
      <w:r w:rsidRPr="00B140F2">
        <w:rPr>
          <w:lang w:val="de-DE"/>
        </w:rPr>
        <w:t>.</w:t>
      </w:r>
    </w:p>
    <w:p w14:paraId="5178D5C7" w14:textId="77777777" w:rsidR="0086315D" w:rsidRPr="00B140F2" w:rsidRDefault="0086315D" w:rsidP="00BD4986">
      <w:pPr>
        <w:rPr>
          <w:highlight w:val="yellow"/>
          <w:lang w:val="de-DE"/>
        </w:rPr>
      </w:pPr>
    </w:p>
    <w:p w14:paraId="23AE226A" w14:textId="77777777" w:rsidR="00A43830" w:rsidRPr="00B140F2" w:rsidRDefault="00A43830" w:rsidP="00BD4986">
      <w:pPr>
        <w:rPr>
          <w:highlight w:val="yellow"/>
          <w:lang w:val="de-DE"/>
        </w:rPr>
      </w:pPr>
    </w:p>
    <w:p w14:paraId="6A6AFE4B" w14:textId="77777777" w:rsidR="0086315D" w:rsidRPr="00B140F2" w:rsidRDefault="0086315D" w:rsidP="00BD4986">
      <w:pPr>
        <w:rPr>
          <w:highlight w:val="yellow"/>
          <w:lang w:val="de-DE"/>
        </w:rPr>
      </w:pPr>
    </w:p>
    <w:p w14:paraId="25AA6F85" w14:textId="11FF4C7E" w:rsidR="00214329" w:rsidRPr="00B140F2" w:rsidRDefault="0060633E" w:rsidP="00BD4986">
      <w:pPr>
        <w:jc w:val="right"/>
        <w:rPr>
          <w:lang w:val="de-DE"/>
        </w:rPr>
      </w:pPr>
      <w:r w:rsidRPr="00B140F2">
        <w:rPr>
          <w:lang w:val="de-DE"/>
        </w:rPr>
        <w:t>[</w:t>
      </w:r>
      <w:r w:rsidR="00DC2392" w:rsidRPr="00B140F2">
        <w:rPr>
          <w:lang w:val="de-DE"/>
        </w:rPr>
        <w:t>Anlagen</w:t>
      </w:r>
      <w:r w:rsidRPr="00B140F2">
        <w:rPr>
          <w:lang w:val="de-DE"/>
        </w:rPr>
        <w:t xml:space="preserve"> folgen]</w:t>
      </w:r>
    </w:p>
    <w:p w14:paraId="168506DA" w14:textId="77777777" w:rsidR="00381E66" w:rsidRPr="00B140F2" w:rsidRDefault="00381E66" w:rsidP="00BD4986">
      <w:pPr>
        <w:jc w:val="left"/>
        <w:rPr>
          <w:lang w:val="de-DE"/>
        </w:rPr>
        <w:sectPr w:rsidR="00381E66" w:rsidRPr="00B140F2" w:rsidSect="003A2017">
          <w:headerReference w:type="default" r:id="rId14"/>
          <w:pgSz w:w="11907" w:h="16840" w:code="9"/>
          <w:pgMar w:top="510" w:right="1134" w:bottom="709" w:left="1134" w:header="510" w:footer="520" w:gutter="0"/>
          <w:pgNumType w:start="1"/>
          <w:cols w:space="720"/>
          <w:titlePg/>
        </w:sectPr>
      </w:pPr>
    </w:p>
    <w:p w14:paraId="0864A241" w14:textId="57D23BB5" w:rsidR="00214329" w:rsidRPr="00B140F2" w:rsidRDefault="002006BE" w:rsidP="00BD4986">
      <w:pPr>
        <w:jc w:val="center"/>
        <w:rPr>
          <w:lang w:val="de-DE"/>
        </w:rPr>
      </w:pPr>
      <w:r w:rsidRPr="00B140F2">
        <w:rPr>
          <w:lang w:val="de-DE"/>
        </w:rPr>
        <w:lastRenderedPageBreak/>
        <w:t>ANLAGE</w:t>
      </w:r>
      <w:r w:rsidR="0060633E" w:rsidRPr="00B140F2">
        <w:rPr>
          <w:lang w:val="de-DE"/>
        </w:rPr>
        <w:t xml:space="preserve"> I</w:t>
      </w:r>
    </w:p>
    <w:p w14:paraId="17B14EEA" w14:textId="77777777" w:rsidR="00381E66" w:rsidRPr="00B140F2" w:rsidRDefault="00381E66" w:rsidP="00BD4986">
      <w:pPr>
        <w:rPr>
          <w:lang w:val="de-DE"/>
        </w:rPr>
      </w:pPr>
    </w:p>
    <w:p w14:paraId="45A8955B" w14:textId="4F7F3216" w:rsidR="00214329" w:rsidRPr="00B140F2" w:rsidRDefault="00931B39" w:rsidP="00BD4986">
      <w:pPr>
        <w:jc w:val="center"/>
        <w:rPr>
          <w:lang w:val="de-DE"/>
        </w:rPr>
      </w:pPr>
      <w:r>
        <w:rPr>
          <w:lang w:val="de-DE"/>
        </w:rPr>
        <w:t xml:space="preserve">ÜBERARBEITUNG VON </w:t>
      </w:r>
      <w:r w:rsidR="0060633E" w:rsidRPr="00B140F2">
        <w:rPr>
          <w:lang w:val="de-DE"/>
        </w:rPr>
        <w:t>DOKUMENT UPOV/EXN/DEN</w:t>
      </w:r>
      <w:r>
        <w:rPr>
          <w:lang w:val="de-DE"/>
        </w:rPr>
        <w:t>/3 „</w:t>
      </w:r>
      <w:r w:rsidR="0060633E" w:rsidRPr="00B140F2">
        <w:rPr>
          <w:lang w:val="de-DE"/>
        </w:rPr>
        <w:t>ERLÄUTERUNGEN ZU SORTENBEZEICHNUNGEN NACH DEM UPOV-ÜBEREINKOMMEN</w:t>
      </w:r>
      <w:r>
        <w:rPr>
          <w:lang w:val="de-DE"/>
        </w:rPr>
        <w:t>“</w:t>
      </w:r>
      <w:r w:rsidR="0060633E" w:rsidRPr="00B140F2">
        <w:rPr>
          <w:lang w:val="de-DE"/>
        </w:rPr>
        <w:t xml:space="preserve"> (</w:t>
      </w:r>
      <w:r>
        <w:rPr>
          <w:lang w:val="de-DE"/>
        </w:rPr>
        <w:t>DOKUMENT UPOV/EXN/DEN/4</w:t>
      </w:r>
      <w:r w:rsidR="0060633E" w:rsidRPr="00B140F2">
        <w:rPr>
          <w:lang w:val="de-DE"/>
        </w:rPr>
        <w:t>)</w:t>
      </w:r>
    </w:p>
    <w:p w14:paraId="6F76A563" w14:textId="77777777" w:rsidR="00381E66" w:rsidRPr="00B140F2" w:rsidRDefault="00381E66" w:rsidP="00BD4986">
      <w:pPr>
        <w:jc w:val="left"/>
        <w:rPr>
          <w:lang w:val="de-DE"/>
        </w:rPr>
      </w:pPr>
    </w:p>
    <w:p w14:paraId="35B3C54B" w14:textId="0FC21CA7" w:rsidR="00214329" w:rsidRPr="00B140F2" w:rsidRDefault="0060633E" w:rsidP="00BD4986">
      <w:pPr>
        <w:jc w:val="center"/>
        <w:rPr>
          <w:u w:val="single"/>
          <w:lang w:val="de-DE"/>
        </w:rPr>
      </w:pPr>
      <w:r w:rsidRPr="00B140F2">
        <w:rPr>
          <w:u w:val="single"/>
          <w:lang w:val="de-DE"/>
        </w:rPr>
        <w:t xml:space="preserve">Neue Sortenbezeichnungsklassen für </w:t>
      </w:r>
      <w:r w:rsidRPr="00B140F2">
        <w:rPr>
          <w:i/>
          <w:iCs/>
          <w:u w:val="single"/>
          <w:lang w:val="de-DE"/>
        </w:rPr>
        <w:t xml:space="preserve">Prunus </w:t>
      </w:r>
      <w:r w:rsidRPr="00B140F2">
        <w:rPr>
          <w:u w:val="single"/>
          <w:lang w:val="de-DE"/>
        </w:rPr>
        <w:t>und Situationen</w:t>
      </w:r>
      <w:r w:rsidR="006F7916" w:rsidRPr="00B140F2">
        <w:rPr>
          <w:u w:val="single"/>
          <w:lang w:val="de-DE"/>
        </w:rPr>
        <w:t>,</w:t>
      </w:r>
      <w:r w:rsidRPr="00B140F2">
        <w:rPr>
          <w:u w:val="single"/>
          <w:lang w:val="de-DE"/>
        </w:rPr>
        <w:t xml:space="preserve"> </w:t>
      </w:r>
      <w:r w:rsidR="00A53EC1" w:rsidRPr="00B140F2">
        <w:rPr>
          <w:u w:val="single"/>
          <w:lang w:val="de-DE"/>
        </w:rPr>
        <w:br/>
      </w:r>
      <w:r w:rsidR="006F7916" w:rsidRPr="00B140F2">
        <w:rPr>
          <w:u w:val="single"/>
          <w:lang w:val="de-DE"/>
        </w:rPr>
        <w:t xml:space="preserve">in denen </w:t>
      </w:r>
      <w:r w:rsidRPr="00B140F2">
        <w:rPr>
          <w:u w:val="single"/>
          <w:lang w:val="de-DE"/>
        </w:rPr>
        <w:t xml:space="preserve">eine </w:t>
      </w:r>
      <w:r w:rsidR="00016776" w:rsidRPr="00B140F2">
        <w:rPr>
          <w:u w:val="single"/>
          <w:lang w:val="de-DE"/>
        </w:rPr>
        <w:t xml:space="preserve">Bezeichnung </w:t>
      </w:r>
      <w:r w:rsidRPr="00B140F2">
        <w:rPr>
          <w:u w:val="single"/>
          <w:lang w:val="de-DE"/>
        </w:rPr>
        <w:t>mit anderen Klassen innerhalb einer Gattung verglichen werden sollte</w:t>
      </w:r>
    </w:p>
    <w:p w14:paraId="4CA4B1AD" w14:textId="77777777" w:rsidR="002775A8" w:rsidRPr="00B140F2" w:rsidRDefault="002775A8" w:rsidP="00BD4986">
      <w:pPr>
        <w:rPr>
          <w:iCs/>
          <w:lang w:val="de-DE"/>
        </w:rPr>
      </w:pPr>
    </w:p>
    <w:p w14:paraId="6541151C" w14:textId="77777777" w:rsidR="00214329" w:rsidRPr="00B140F2" w:rsidRDefault="0060633E" w:rsidP="00BD4986">
      <w:pPr>
        <w:rPr>
          <w:i/>
          <w:lang w:val="de-DE"/>
        </w:rPr>
      </w:pPr>
      <w:r w:rsidRPr="00B140F2">
        <w:rPr>
          <w:i/>
          <w:lang w:val="de-DE"/>
        </w:rPr>
        <w:t>Hintergrund</w:t>
      </w:r>
    </w:p>
    <w:p w14:paraId="0CD3B628" w14:textId="77777777" w:rsidR="002775A8" w:rsidRPr="00B140F2" w:rsidRDefault="002775A8" w:rsidP="00BD4986">
      <w:pPr>
        <w:rPr>
          <w:i/>
          <w:lang w:val="de-DE"/>
        </w:rPr>
      </w:pPr>
    </w:p>
    <w:p w14:paraId="30FFCDFC" w14:textId="24D1E8B1" w:rsidR="00214329" w:rsidRPr="00B140F2" w:rsidRDefault="0060633E" w:rsidP="00BD4986">
      <w:pPr>
        <w:rPr>
          <w:lang w:val="de-DE"/>
        </w:rPr>
      </w:pPr>
      <w:r w:rsidRPr="00E83514">
        <w:rPr>
          <w:lang w:val="de-DE"/>
        </w:rPr>
        <w:fldChar w:fldCharType="begin"/>
      </w:r>
      <w:r w:rsidRPr="00B140F2">
        <w:rPr>
          <w:lang w:val="de-DE"/>
        </w:rPr>
        <w:instrText xml:space="preserve"> LISTNUM  LegalDefault \l 1 \s 1 </w:instrText>
      </w:r>
      <w:r w:rsidRPr="00E83514">
        <w:rPr>
          <w:lang w:val="de-DE"/>
        </w:rPr>
        <w:fldChar w:fldCharType="end"/>
      </w:r>
      <w:r w:rsidRPr="00B140F2">
        <w:rPr>
          <w:lang w:val="de-DE"/>
        </w:rPr>
        <w:tab/>
      </w:r>
      <w:r w:rsidR="00741B3F" w:rsidRPr="00B140F2">
        <w:rPr>
          <w:lang w:val="de-DE"/>
        </w:rPr>
        <w:t xml:space="preserve">Die Gattung </w:t>
      </w:r>
      <w:r w:rsidR="00741B3F" w:rsidRPr="00B140F2">
        <w:rPr>
          <w:i/>
          <w:lang w:val="de-DE"/>
        </w:rPr>
        <w:t xml:space="preserve">Prunus </w:t>
      </w:r>
      <w:r w:rsidR="00741B3F" w:rsidRPr="00B140F2">
        <w:rPr>
          <w:lang w:val="de-DE"/>
        </w:rPr>
        <w:t>folgt derzeit der Allgemeinen Regel (eine Gattung/eine Bezeichnungsklasse)</w:t>
      </w:r>
      <w:r w:rsidR="00741B3F" w:rsidRPr="00E83514">
        <w:rPr>
          <w:rStyle w:val="FootnoteReference"/>
          <w:sz w:val="18"/>
          <w:lang w:val="de-DE"/>
        </w:rPr>
        <w:footnoteReference w:id="6"/>
      </w:r>
      <w:r w:rsidR="00741B3F" w:rsidRPr="00B140F2">
        <w:rPr>
          <w:lang w:val="de-DE"/>
        </w:rPr>
        <w:t>.</w:t>
      </w:r>
    </w:p>
    <w:p w14:paraId="608E11E3" w14:textId="77777777" w:rsidR="00741B3F" w:rsidRPr="00B140F2" w:rsidRDefault="00741B3F" w:rsidP="00BD4986">
      <w:pPr>
        <w:pStyle w:val="EndnoteText"/>
        <w:rPr>
          <w:lang w:val="de-DE"/>
        </w:rPr>
      </w:pPr>
    </w:p>
    <w:p w14:paraId="45512D65" w14:textId="66B54937"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Auf seiner Tagung im Jahre 2023 prüfte der TC die Schaffung neuer Sortenbezeichnungsklassen innerhalb der Gattung </w:t>
      </w:r>
      <w:r w:rsidRPr="00B140F2">
        <w:rPr>
          <w:i/>
          <w:iCs/>
          <w:lang w:val="de-DE"/>
        </w:rPr>
        <w:t>Prunus</w:t>
      </w:r>
      <w:r w:rsidRPr="00B140F2">
        <w:rPr>
          <w:lang w:val="de-DE"/>
        </w:rPr>
        <w:t>.</w:t>
      </w:r>
      <w:r w:rsidR="00FE0BFC" w:rsidRPr="00B140F2">
        <w:rPr>
          <w:lang w:val="de-DE"/>
        </w:rPr>
        <w:t xml:space="preserve"> </w:t>
      </w:r>
      <w:r w:rsidRPr="00B140F2">
        <w:rPr>
          <w:lang w:val="de-DE"/>
        </w:rPr>
        <w:t xml:space="preserve">Der TC prüfte die vorgeschlagene </w:t>
      </w:r>
      <w:r w:rsidR="005B75F4" w:rsidRPr="00B140F2">
        <w:rPr>
          <w:lang w:val="de-DE"/>
        </w:rPr>
        <w:t>Erklärung</w:t>
      </w:r>
      <w:r w:rsidRPr="00B140F2">
        <w:rPr>
          <w:lang w:val="de-DE"/>
        </w:rPr>
        <w:t xml:space="preserve">, </w:t>
      </w:r>
      <w:r w:rsidR="00350639" w:rsidRPr="00B140F2">
        <w:rPr>
          <w:lang w:val="de-DE"/>
        </w:rPr>
        <w:t xml:space="preserve">dass </w:t>
      </w:r>
      <w:r w:rsidR="001C4FD6" w:rsidRPr="00B140F2">
        <w:rPr>
          <w:lang w:val="de-DE"/>
        </w:rPr>
        <w:t>„</w:t>
      </w:r>
      <w:r w:rsidRPr="00B140F2">
        <w:rPr>
          <w:lang w:val="de-DE"/>
        </w:rPr>
        <w:t xml:space="preserve">Bezeichnungen von </w:t>
      </w:r>
      <w:r w:rsidR="00514572" w:rsidRPr="00B140F2">
        <w:rPr>
          <w:lang w:val="de-DE"/>
        </w:rPr>
        <w:t>Arthybrid</w:t>
      </w:r>
      <w:r w:rsidRPr="00B140F2">
        <w:rPr>
          <w:lang w:val="de-DE"/>
        </w:rPr>
        <w:t>en sich von Bezeichnungen in den Bezeichnungsklassen aller Elternarten unterscheiden müssen</w:t>
      </w:r>
      <w:r w:rsidR="001C4FD6" w:rsidRPr="00B140F2">
        <w:rPr>
          <w:lang w:val="de-DE"/>
        </w:rPr>
        <w:t>“</w:t>
      </w:r>
      <w:r w:rsidRPr="00B140F2">
        <w:rPr>
          <w:lang w:val="de-DE"/>
        </w:rPr>
        <w:t xml:space="preserve">, und vereinbarte, </w:t>
      </w:r>
      <w:r w:rsidR="00350639" w:rsidRPr="00B140F2">
        <w:rPr>
          <w:lang w:val="de-DE"/>
        </w:rPr>
        <w:t xml:space="preserve">dass </w:t>
      </w:r>
      <w:r w:rsidRPr="00B140F2">
        <w:rPr>
          <w:lang w:val="de-DE"/>
        </w:rPr>
        <w:t xml:space="preserve">die Situation auf alle Gattungen in der </w:t>
      </w:r>
      <w:r w:rsidR="00E70F57" w:rsidRPr="00B140F2">
        <w:rPr>
          <w:lang w:val="de-DE"/>
        </w:rPr>
        <w:t>Klassenliste</w:t>
      </w:r>
      <w:r w:rsidRPr="00B140F2">
        <w:rPr>
          <w:lang w:val="de-DE"/>
        </w:rPr>
        <w:t xml:space="preserve"> innerhalb einer Gattung und nicht nur auf </w:t>
      </w:r>
      <w:r w:rsidRPr="00B140F2">
        <w:rPr>
          <w:i/>
          <w:iCs/>
          <w:lang w:val="de-DE"/>
        </w:rPr>
        <w:t xml:space="preserve">Prunus </w:t>
      </w:r>
      <w:r w:rsidRPr="00B140F2">
        <w:rPr>
          <w:lang w:val="de-DE"/>
        </w:rPr>
        <w:t>anwendbar sei.</w:t>
      </w:r>
      <w:r w:rsidR="00FE0BFC" w:rsidRPr="00B140F2">
        <w:rPr>
          <w:lang w:val="de-DE"/>
        </w:rPr>
        <w:t xml:space="preserve"> </w:t>
      </w:r>
      <w:r w:rsidRPr="00B140F2">
        <w:rPr>
          <w:lang w:val="de-DE"/>
        </w:rPr>
        <w:t xml:space="preserve">Der TC vereinbarte, die TWP zu ersuchen, auf ihren Tagungen im Jahr 2024 </w:t>
      </w:r>
      <w:r w:rsidR="00016776" w:rsidRPr="00B140F2">
        <w:rPr>
          <w:lang w:val="de-DE"/>
        </w:rPr>
        <w:t xml:space="preserve">weitere </w:t>
      </w:r>
      <w:r w:rsidRPr="00B140F2">
        <w:rPr>
          <w:lang w:val="de-DE"/>
        </w:rPr>
        <w:t xml:space="preserve">Situationen zu prüfen, in denen eine Bezeichnung mit Bezeichnungen in anderen Klassen innerhalb einer Gattung oder der gesamten Gattung verglichen werden sollte </w:t>
      </w:r>
      <w:r w:rsidR="003476F3" w:rsidRPr="00B140F2">
        <w:rPr>
          <w:lang w:val="de-DE"/>
        </w:rPr>
        <w:t xml:space="preserve">(vergleiche Dokument TC/59/28 </w:t>
      </w:r>
      <w:r w:rsidR="001C4FD6" w:rsidRPr="00B140F2">
        <w:rPr>
          <w:lang w:val="de-DE"/>
        </w:rPr>
        <w:t>„</w:t>
      </w:r>
      <w:r w:rsidR="004A0171" w:rsidRPr="00B140F2">
        <w:rPr>
          <w:lang w:val="de-DE"/>
        </w:rPr>
        <w:t>Bericht</w:t>
      </w:r>
      <w:r w:rsidR="001C4FD6" w:rsidRPr="00B140F2">
        <w:rPr>
          <w:lang w:val="de-DE"/>
        </w:rPr>
        <w:t>“</w:t>
      </w:r>
      <w:r w:rsidR="003476F3" w:rsidRPr="00B140F2">
        <w:rPr>
          <w:lang w:val="de-DE"/>
        </w:rPr>
        <w:t>, Absätze 23 bis 25)</w:t>
      </w:r>
      <w:r w:rsidRPr="00B140F2">
        <w:rPr>
          <w:lang w:val="de-DE"/>
        </w:rPr>
        <w:t>.</w:t>
      </w:r>
    </w:p>
    <w:p w14:paraId="5647662A" w14:textId="77777777" w:rsidR="00F52D7C" w:rsidRPr="00B140F2" w:rsidRDefault="00F52D7C" w:rsidP="00BD4986">
      <w:pPr>
        <w:pStyle w:val="EndnoteText"/>
        <w:rPr>
          <w:lang w:val="de-DE"/>
        </w:rPr>
      </w:pPr>
    </w:p>
    <w:p w14:paraId="0C27375F" w14:textId="77777777" w:rsidR="00214329" w:rsidRPr="00B140F2" w:rsidRDefault="0060633E" w:rsidP="00BD4986">
      <w:pPr>
        <w:rPr>
          <w:i/>
          <w:lang w:val="de-DE"/>
        </w:rPr>
      </w:pPr>
      <w:r w:rsidRPr="00B140F2">
        <w:rPr>
          <w:i/>
          <w:lang w:val="de-DE"/>
        </w:rPr>
        <w:t>Erörterungen der TWP im Jahr 2024</w:t>
      </w:r>
    </w:p>
    <w:p w14:paraId="5783F062" w14:textId="77777777" w:rsidR="002775A8" w:rsidRPr="00B140F2" w:rsidRDefault="002775A8" w:rsidP="00BD4986">
      <w:pPr>
        <w:rPr>
          <w:lang w:val="de-DE"/>
        </w:rPr>
      </w:pPr>
    </w:p>
    <w:p w14:paraId="7BA9B444" w14:textId="54E10109"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 xml:space="preserve">Auf ihren Tagungen im Jahre 2024 vereinbarten die TWV, die TWO, die TWA und die TWF, </w:t>
      </w:r>
      <w:r w:rsidR="00350639" w:rsidRPr="00B140F2">
        <w:rPr>
          <w:rFonts w:eastAsiaTheme="minorEastAsia"/>
          <w:lang w:val="de-DE"/>
        </w:rPr>
        <w:t xml:space="preserve">dass </w:t>
      </w:r>
      <w:r w:rsidRPr="00B140F2">
        <w:rPr>
          <w:rFonts w:eastAsiaTheme="minorEastAsia"/>
          <w:lang w:val="de-DE"/>
        </w:rPr>
        <w:t xml:space="preserve">die für </w:t>
      </w:r>
      <w:r w:rsidRPr="00B140F2">
        <w:rPr>
          <w:rFonts w:eastAsiaTheme="minorEastAsia"/>
          <w:i/>
          <w:iCs/>
          <w:lang w:val="de-DE"/>
        </w:rPr>
        <w:t xml:space="preserve">Prunus </w:t>
      </w:r>
      <w:r w:rsidRPr="00B140F2">
        <w:rPr>
          <w:rFonts w:eastAsiaTheme="minorEastAsia"/>
          <w:lang w:val="de-DE"/>
        </w:rPr>
        <w:t xml:space="preserve">beschriebene Situation auch auf die Bezeichnungen in anderen Klassen innerhalb einer Gattung anwendbar sei, d. h. Bezeichnungen von </w:t>
      </w:r>
      <w:r w:rsidR="00514572" w:rsidRPr="00B140F2">
        <w:rPr>
          <w:rFonts w:eastAsiaTheme="minorEastAsia"/>
          <w:lang w:val="de-DE"/>
        </w:rPr>
        <w:t>Arthybrid</w:t>
      </w:r>
      <w:r w:rsidRPr="00B140F2">
        <w:rPr>
          <w:rFonts w:eastAsiaTheme="minorEastAsia"/>
          <w:lang w:val="de-DE"/>
        </w:rPr>
        <w:t xml:space="preserve">en sollten sich von denen in den Klassen aller Elternarten unterscheiden; und Bezeichnungen für Sorten aus einer der </w:t>
      </w:r>
      <w:r w:rsidR="001C4FD6" w:rsidRPr="00B140F2">
        <w:rPr>
          <w:rFonts w:eastAsiaTheme="minorEastAsia"/>
          <w:lang w:val="de-DE"/>
        </w:rPr>
        <w:t>„</w:t>
      </w:r>
      <w:r w:rsidRPr="00B140F2">
        <w:rPr>
          <w:rFonts w:eastAsiaTheme="minorEastAsia"/>
          <w:lang w:val="de-DE"/>
        </w:rPr>
        <w:t>Klassen innerhalb einer Gattung</w:t>
      </w:r>
      <w:r w:rsidR="001C4FD6" w:rsidRPr="00B140F2">
        <w:rPr>
          <w:rFonts w:eastAsiaTheme="minorEastAsia"/>
          <w:lang w:val="de-DE"/>
        </w:rPr>
        <w:t>“</w:t>
      </w:r>
      <w:r w:rsidRPr="00B140F2">
        <w:rPr>
          <w:rFonts w:eastAsiaTheme="minorEastAsia"/>
          <w:lang w:val="de-DE"/>
        </w:rPr>
        <w:t xml:space="preserve"> sollten sich von Bezeichnungen von </w:t>
      </w:r>
      <w:r w:rsidR="00514572" w:rsidRPr="00B140F2">
        <w:rPr>
          <w:rFonts w:eastAsiaTheme="minorEastAsia"/>
          <w:lang w:val="de-DE"/>
        </w:rPr>
        <w:t>Arthybrid</w:t>
      </w:r>
      <w:r w:rsidRPr="00B140F2">
        <w:rPr>
          <w:rFonts w:eastAsiaTheme="minorEastAsia"/>
          <w:lang w:val="de-DE"/>
        </w:rPr>
        <w:t xml:space="preserve">en mit einem Elternteil in dieser Klasse unterscheiden </w:t>
      </w:r>
      <w:r w:rsidR="007A70CD" w:rsidRPr="00B140F2">
        <w:rPr>
          <w:rFonts w:eastAsiaTheme="minorEastAsia"/>
          <w:lang w:val="de-DE"/>
        </w:rPr>
        <w:t xml:space="preserve">(vergleiche Dokumente TWV/58/11 </w:t>
      </w:r>
      <w:r w:rsidR="001C4FD6" w:rsidRPr="00B140F2">
        <w:rPr>
          <w:rFonts w:eastAsiaTheme="minorEastAsia"/>
          <w:lang w:val="de-DE"/>
        </w:rPr>
        <w:t>„</w:t>
      </w:r>
      <w:r w:rsidR="007A70CD" w:rsidRPr="00B140F2">
        <w:rPr>
          <w:rFonts w:eastAsiaTheme="minorEastAsia"/>
          <w:lang w:val="de-DE"/>
        </w:rPr>
        <w:t>Report</w:t>
      </w:r>
      <w:r w:rsidR="001C4FD6" w:rsidRPr="00B140F2">
        <w:rPr>
          <w:rFonts w:eastAsiaTheme="minorEastAsia"/>
          <w:lang w:val="de-DE"/>
        </w:rPr>
        <w:t>“</w:t>
      </w:r>
      <w:r w:rsidR="007A70CD" w:rsidRPr="00B140F2">
        <w:rPr>
          <w:rFonts w:eastAsiaTheme="minorEastAsia"/>
          <w:lang w:val="de-DE"/>
        </w:rPr>
        <w:t xml:space="preserve">, Absätze </w:t>
      </w:r>
      <w:r w:rsidR="00533C59" w:rsidRPr="00B140F2">
        <w:rPr>
          <w:rFonts w:eastAsiaTheme="minorEastAsia"/>
          <w:lang w:val="de-DE"/>
        </w:rPr>
        <w:t xml:space="preserve">6 und </w:t>
      </w:r>
      <w:r w:rsidR="007A70CD" w:rsidRPr="00B140F2">
        <w:rPr>
          <w:rFonts w:eastAsiaTheme="minorEastAsia"/>
          <w:lang w:val="de-DE"/>
        </w:rPr>
        <w:t xml:space="preserve">7; TWO/56/9 </w:t>
      </w:r>
      <w:r w:rsidR="001C4FD6" w:rsidRPr="00B140F2">
        <w:rPr>
          <w:rFonts w:eastAsiaTheme="minorEastAsia"/>
          <w:lang w:val="de-DE"/>
        </w:rPr>
        <w:t>„</w:t>
      </w:r>
      <w:r w:rsidR="007A70CD" w:rsidRPr="00B140F2">
        <w:rPr>
          <w:rFonts w:eastAsiaTheme="minorEastAsia"/>
          <w:lang w:val="de-DE"/>
        </w:rPr>
        <w:t>Report</w:t>
      </w:r>
      <w:r w:rsidR="001C4FD6" w:rsidRPr="00B140F2">
        <w:rPr>
          <w:rFonts w:eastAsiaTheme="minorEastAsia"/>
          <w:lang w:val="de-DE"/>
        </w:rPr>
        <w:t>“</w:t>
      </w:r>
      <w:r w:rsidR="007A70CD" w:rsidRPr="00B140F2">
        <w:rPr>
          <w:rFonts w:eastAsiaTheme="minorEastAsia"/>
          <w:lang w:val="de-DE"/>
        </w:rPr>
        <w:t xml:space="preserve">, Absätze </w:t>
      </w:r>
      <w:r w:rsidR="00647380" w:rsidRPr="00B140F2">
        <w:rPr>
          <w:rFonts w:eastAsiaTheme="minorEastAsia"/>
          <w:lang w:val="de-DE"/>
        </w:rPr>
        <w:t xml:space="preserve">6 bis </w:t>
      </w:r>
      <w:r w:rsidR="007A70CD" w:rsidRPr="00B140F2">
        <w:rPr>
          <w:rFonts w:eastAsiaTheme="minorEastAsia"/>
          <w:lang w:val="de-DE"/>
        </w:rPr>
        <w:t xml:space="preserve">9; TWA/53/9 </w:t>
      </w:r>
      <w:r w:rsidR="001C4FD6" w:rsidRPr="00B140F2">
        <w:rPr>
          <w:rFonts w:eastAsiaTheme="minorEastAsia"/>
          <w:lang w:val="de-DE"/>
        </w:rPr>
        <w:t>„</w:t>
      </w:r>
      <w:r w:rsidR="007A70CD" w:rsidRPr="00B140F2">
        <w:rPr>
          <w:rFonts w:eastAsiaTheme="minorEastAsia"/>
          <w:lang w:val="de-DE"/>
        </w:rPr>
        <w:t>Report</w:t>
      </w:r>
      <w:r w:rsidR="001C4FD6" w:rsidRPr="00B140F2">
        <w:rPr>
          <w:rFonts w:eastAsiaTheme="minorEastAsia"/>
          <w:lang w:val="de-DE"/>
        </w:rPr>
        <w:t>“</w:t>
      </w:r>
      <w:r w:rsidR="007A70CD" w:rsidRPr="00B140F2">
        <w:rPr>
          <w:rFonts w:eastAsiaTheme="minorEastAsia"/>
          <w:lang w:val="de-DE"/>
        </w:rPr>
        <w:t xml:space="preserve">, Absätze </w:t>
      </w:r>
      <w:r w:rsidR="001507FD" w:rsidRPr="00B140F2">
        <w:rPr>
          <w:rFonts w:eastAsiaTheme="minorEastAsia"/>
          <w:lang w:val="de-DE"/>
        </w:rPr>
        <w:t xml:space="preserve">6 </w:t>
      </w:r>
      <w:r w:rsidR="007A70CD" w:rsidRPr="00B140F2">
        <w:rPr>
          <w:rFonts w:eastAsiaTheme="minorEastAsia"/>
          <w:lang w:val="de-DE"/>
        </w:rPr>
        <w:t>bis</w:t>
      </w:r>
      <w:r w:rsidR="00515758">
        <w:rPr>
          <w:rFonts w:eastAsiaTheme="minorEastAsia"/>
          <w:lang w:val="de-DE"/>
        </w:rPr>
        <w:t> </w:t>
      </w:r>
      <w:r w:rsidR="001507FD" w:rsidRPr="00B140F2">
        <w:rPr>
          <w:rFonts w:eastAsiaTheme="minorEastAsia"/>
          <w:lang w:val="de-DE"/>
        </w:rPr>
        <w:t xml:space="preserve">8 </w:t>
      </w:r>
      <w:r w:rsidR="007A70CD" w:rsidRPr="00B140F2">
        <w:rPr>
          <w:rFonts w:eastAsiaTheme="minorEastAsia"/>
          <w:lang w:val="de-DE"/>
        </w:rPr>
        <w:t xml:space="preserve">und </w:t>
      </w:r>
      <w:r w:rsidR="007268E7" w:rsidRPr="00B140F2">
        <w:rPr>
          <w:rFonts w:eastAsiaTheme="minorEastAsia"/>
          <w:lang w:val="de-DE"/>
        </w:rPr>
        <w:t xml:space="preserve">TWF/55/9 </w:t>
      </w:r>
      <w:r w:rsidR="001C4FD6" w:rsidRPr="00B140F2">
        <w:rPr>
          <w:rFonts w:eastAsiaTheme="minorEastAsia"/>
          <w:lang w:val="de-DE"/>
        </w:rPr>
        <w:t>„</w:t>
      </w:r>
      <w:r w:rsidR="0019150B" w:rsidRPr="00B140F2">
        <w:rPr>
          <w:rFonts w:eastAsiaTheme="minorEastAsia"/>
          <w:lang w:val="de-DE"/>
        </w:rPr>
        <w:t>Report</w:t>
      </w:r>
      <w:r w:rsidR="001C4FD6" w:rsidRPr="00B140F2">
        <w:rPr>
          <w:rFonts w:eastAsiaTheme="minorEastAsia"/>
          <w:lang w:val="de-DE"/>
        </w:rPr>
        <w:t>“</w:t>
      </w:r>
      <w:r w:rsidR="0019150B" w:rsidRPr="00B140F2">
        <w:rPr>
          <w:rFonts w:eastAsiaTheme="minorEastAsia"/>
          <w:lang w:val="de-DE"/>
        </w:rPr>
        <w:t xml:space="preserve">, Absätze </w:t>
      </w:r>
      <w:r w:rsidR="00A052D2" w:rsidRPr="00B140F2">
        <w:rPr>
          <w:rFonts w:eastAsiaTheme="minorEastAsia"/>
          <w:lang w:val="de-DE"/>
        </w:rPr>
        <w:t>6 bis 10</w:t>
      </w:r>
      <w:r w:rsidR="007A70CD" w:rsidRPr="00B140F2">
        <w:rPr>
          <w:rFonts w:eastAsiaTheme="minorEastAsia"/>
          <w:lang w:val="de-DE"/>
        </w:rPr>
        <w:t>)</w:t>
      </w:r>
      <w:r w:rsidR="007268E7" w:rsidRPr="00B140F2">
        <w:rPr>
          <w:rFonts w:eastAsiaTheme="minorEastAsia"/>
          <w:lang w:val="de-DE"/>
        </w:rPr>
        <w:t xml:space="preserve">. </w:t>
      </w:r>
    </w:p>
    <w:p w14:paraId="38759EA6" w14:textId="77777777" w:rsidR="00F52D7C" w:rsidRPr="00B140F2" w:rsidRDefault="00F52D7C" w:rsidP="00BD4986">
      <w:pPr>
        <w:rPr>
          <w:lang w:val="de-DE"/>
        </w:rPr>
      </w:pPr>
    </w:p>
    <w:p w14:paraId="13540938" w14:textId="53C6B073"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TWO nahm zur Kenntnis, </w:t>
      </w:r>
      <w:r w:rsidR="00350639" w:rsidRPr="00B140F2">
        <w:rPr>
          <w:lang w:val="de-DE"/>
        </w:rPr>
        <w:t xml:space="preserve">dass </w:t>
      </w:r>
      <w:r w:rsidRPr="00B140F2">
        <w:rPr>
          <w:lang w:val="de-DE"/>
        </w:rPr>
        <w:t xml:space="preserve">Anträge für Ziersorten häufig nur mit Informationen über die Gattung eingereicht würden, und vereinbarte, </w:t>
      </w:r>
      <w:r w:rsidR="00350639" w:rsidRPr="00B140F2">
        <w:rPr>
          <w:lang w:val="de-DE"/>
        </w:rPr>
        <w:t xml:space="preserve">dass </w:t>
      </w:r>
      <w:r w:rsidRPr="00B140F2">
        <w:rPr>
          <w:lang w:val="de-DE"/>
        </w:rPr>
        <w:t>sich in diesem Fall die Sortenbezeichnungen von anderen Bezeichnungen innerhalb dieser Gattung unterscheiden sollten.</w:t>
      </w:r>
      <w:r w:rsidR="00FE0BFC" w:rsidRPr="00B140F2">
        <w:rPr>
          <w:lang w:val="de-DE"/>
        </w:rPr>
        <w:t xml:space="preserve"> </w:t>
      </w:r>
      <w:r w:rsidRPr="00B140F2">
        <w:rPr>
          <w:rFonts w:eastAsiaTheme="minorEastAsia"/>
          <w:lang w:val="de-DE"/>
        </w:rPr>
        <w:t xml:space="preserve">Die TWA und die TWF vereinbarten, </w:t>
      </w:r>
      <w:r w:rsidR="00350639" w:rsidRPr="00B140F2">
        <w:rPr>
          <w:rFonts w:eastAsiaTheme="minorEastAsia"/>
          <w:lang w:val="de-DE"/>
        </w:rPr>
        <w:t xml:space="preserve">dass </w:t>
      </w:r>
      <w:r w:rsidR="00016776" w:rsidRPr="00B140F2">
        <w:rPr>
          <w:rFonts w:eastAsiaTheme="minorEastAsia"/>
          <w:lang w:val="de-DE"/>
        </w:rPr>
        <w:t xml:space="preserve">sich </w:t>
      </w:r>
      <w:r w:rsidRPr="00B140F2">
        <w:rPr>
          <w:rFonts w:eastAsiaTheme="minorEastAsia"/>
          <w:lang w:val="de-DE"/>
        </w:rPr>
        <w:t xml:space="preserve">Anträge, die nur mit Informationen über die Gattung für die </w:t>
      </w:r>
      <w:r w:rsidRPr="00B140F2">
        <w:rPr>
          <w:lang w:val="de-DE"/>
        </w:rPr>
        <w:t xml:space="preserve">in der Liste der </w:t>
      </w:r>
      <w:r w:rsidR="001C4FD6" w:rsidRPr="00B140F2">
        <w:rPr>
          <w:lang w:val="de-DE"/>
        </w:rPr>
        <w:t>„</w:t>
      </w:r>
      <w:r w:rsidRPr="00B140F2">
        <w:rPr>
          <w:lang w:val="de-DE"/>
        </w:rPr>
        <w:t>Klassen innerhalb einer Gattung</w:t>
      </w:r>
      <w:r w:rsidR="001C4FD6" w:rsidRPr="00B140F2">
        <w:rPr>
          <w:lang w:val="de-DE"/>
        </w:rPr>
        <w:t>“</w:t>
      </w:r>
      <w:r w:rsidRPr="00B140F2">
        <w:rPr>
          <w:lang w:val="de-DE"/>
        </w:rPr>
        <w:t xml:space="preserve"> enthaltenen Gattungen </w:t>
      </w:r>
      <w:r w:rsidRPr="00B140F2">
        <w:rPr>
          <w:rFonts w:eastAsiaTheme="minorEastAsia"/>
          <w:lang w:val="de-DE"/>
        </w:rPr>
        <w:t>eingereicht werden, von anderen Bezeichnungen innerhalb dieser Gattung unterscheiden sollten.</w:t>
      </w:r>
    </w:p>
    <w:p w14:paraId="19F264B1" w14:textId="77777777" w:rsidR="00F52D7C" w:rsidRPr="00B140F2" w:rsidRDefault="00F52D7C" w:rsidP="00BD4986">
      <w:pPr>
        <w:rPr>
          <w:lang w:val="de-DE"/>
        </w:rPr>
      </w:pPr>
    </w:p>
    <w:p w14:paraId="030D8863" w14:textId="0AC0E04C"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TWO erinnerte daran, </w:t>
      </w:r>
      <w:r w:rsidR="00350639" w:rsidRPr="00B140F2">
        <w:rPr>
          <w:lang w:val="de-DE"/>
        </w:rPr>
        <w:t xml:space="preserve">dass </w:t>
      </w:r>
      <w:r w:rsidRPr="00B140F2">
        <w:rPr>
          <w:lang w:val="de-DE"/>
        </w:rPr>
        <w:t xml:space="preserve">die UPOV-Anleitung zu Sortenbezeichnungen die allgemeine Regel </w:t>
      </w:r>
      <w:r w:rsidR="001C4FD6" w:rsidRPr="00B140F2">
        <w:rPr>
          <w:lang w:val="de-DE"/>
        </w:rPr>
        <w:t>„</w:t>
      </w:r>
      <w:r w:rsidRPr="00B140F2">
        <w:rPr>
          <w:lang w:val="de-DE"/>
        </w:rPr>
        <w:t>eine Gattung/eine Klasse</w:t>
      </w:r>
      <w:r w:rsidR="001C4FD6" w:rsidRPr="00B140F2">
        <w:rPr>
          <w:lang w:val="de-DE"/>
        </w:rPr>
        <w:t>“</w:t>
      </w:r>
      <w:r w:rsidRPr="00B140F2">
        <w:rPr>
          <w:lang w:val="de-DE"/>
        </w:rPr>
        <w:t xml:space="preserve"> befolge.</w:t>
      </w:r>
      <w:r w:rsidR="00FE0BFC" w:rsidRPr="00B140F2">
        <w:rPr>
          <w:lang w:val="de-DE"/>
        </w:rPr>
        <w:t xml:space="preserve"> </w:t>
      </w:r>
      <w:r w:rsidRPr="00B140F2">
        <w:rPr>
          <w:lang w:val="de-DE"/>
        </w:rPr>
        <w:t>Die TWO vereinbarte, die Niederlande (Königreich</w:t>
      </w:r>
      <w:r w:rsidR="00E52645">
        <w:rPr>
          <w:lang w:val="de-DE"/>
        </w:rPr>
        <w:t xml:space="preserve"> der</w:t>
      </w:r>
      <w:r w:rsidRPr="00B140F2">
        <w:rPr>
          <w:lang w:val="de-DE"/>
        </w:rPr>
        <w:t xml:space="preserve">) zu ersuchen, die für den </w:t>
      </w:r>
      <w:r w:rsidR="000C2B53" w:rsidRPr="00B140F2">
        <w:rPr>
          <w:lang w:val="de-DE"/>
        </w:rPr>
        <w:t xml:space="preserve">Internationalen Kodex für die Nomenklatur der Kulturpflanzen </w:t>
      </w:r>
      <w:r w:rsidRPr="00B140F2">
        <w:rPr>
          <w:lang w:val="de-DE"/>
        </w:rPr>
        <w:t>(ICNCP) zuständige IUBS-Kommission über die zum Zwecke des Sortenschutzes eingeführten Ausnahmen von der allgemeinen Regel zu informieren.</w:t>
      </w:r>
    </w:p>
    <w:p w14:paraId="3935E647" w14:textId="77777777" w:rsidR="00F52D7C" w:rsidRPr="00B140F2" w:rsidRDefault="00F52D7C" w:rsidP="00BD4986">
      <w:pPr>
        <w:rPr>
          <w:lang w:val="de-DE"/>
        </w:rPr>
      </w:pPr>
    </w:p>
    <w:p w14:paraId="63D000FE" w14:textId="0CDECC16" w:rsidR="00214329" w:rsidRPr="00B140F2" w:rsidRDefault="0060633E" w:rsidP="00BD4986">
      <w:pPr>
        <w:rPr>
          <w:rFonts w:cs="Arial"/>
          <w:color w:val="000000"/>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TWF nahm das Vorhandensein anderer Arten, die als Pflaume angesehen werden, zur Kenntnis und vereinbarte, </w:t>
      </w:r>
      <w:r w:rsidR="00350639" w:rsidRPr="00B140F2">
        <w:rPr>
          <w:lang w:val="de-DE"/>
        </w:rPr>
        <w:t xml:space="preserve">dass </w:t>
      </w:r>
      <w:r w:rsidRPr="00B140F2">
        <w:rPr>
          <w:lang w:val="de-DE"/>
        </w:rPr>
        <w:t xml:space="preserve">die neue Bezeichnungsklasse 6.2 </w:t>
      </w:r>
      <w:r w:rsidRPr="00B140F2">
        <w:rPr>
          <w:rFonts w:cs="Arial"/>
          <w:i/>
          <w:iCs/>
          <w:color w:val="000000"/>
          <w:lang w:val="de-DE"/>
        </w:rPr>
        <w:t xml:space="preserve">Prunus cerasifera, P. insititia, P. maritima </w:t>
      </w:r>
      <w:r w:rsidRPr="00B140F2">
        <w:rPr>
          <w:rFonts w:cs="Arial"/>
          <w:color w:val="000000"/>
          <w:lang w:val="de-DE"/>
        </w:rPr>
        <w:t xml:space="preserve">und </w:t>
      </w:r>
      <w:r w:rsidRPr="00B140F2">
        <w:rPr>
          <w:rFonts w:cs="Arial"/>
          <w:i/>
          <w:iCs/>
          <w:color w:val="000000"/>
          <w:lang w:val="de-DE"/>
        </w:rPr>
        <w:t>P.</w:t>
      </w:r>
      <w:r w:rsidR="00515758">
        <w:rPr>
          <w:rFonts w:cs="Arial"/>
          <w:i/>
          <w:iCs/>
          <w:color w:val="000000"/>
          <w:lang w:val="de-DE"/>
        </w:rPr>
        <w:t> </w:t>
      </w:r>
      <w:r w:rsidRPr="00B140F2">
        <w:rPr>
          <w:rFonts w:cs="Arial"/>
          <w:i/>
          <w:iCs/>
          <w:color w:val="000000"/>
          <w:lang w:val="de-DE"/>
        </w:rPr>
        <w:t xml:space="preserve">subcordata </w:t>
      </w:r>
      <w:r w:rsidRPr="00B140F2">
        <w:rPr>
          <w:lang w:val="de-DE"/>
        </w:rPr>
        <w:t>umfassen sollte</w:t>
      </w:r>
      <w:r w:rsidRPr="00B140F2">
        <w:rPr>
          <w:rFonts w:cs="Arial"/>
          <w:color w:val="000000"/>
          <w:lang w:val="de-DE"/>
        </w:rPr>
        <w:t>.</w:t>
      </w:r>
    </w:p>
    <w:p w14:paraId="3DC300E4" w14:textId="77777777" w:rsidR="00B04A21" w:rsidRPr="00B140F2" w:rsidRDefault="00B04A21" w:rsidP="00BD4986">
      <w:pPr>
        <w:rPr>
          <w:rFonts w:cs="Arial"/>
          <w:color w:val="000000"/>
          <w:lang w:val="de-DE"/>
        </w:rPr>
      </w:pPr>
    </w:p>
    <w:p w14:paraId="7D0604E3" w14:textId="77832CD6"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TWF vereinbarte, </w:t>
      </w:r>
      <w:r w:rsidR="00350639" w:rsidRPr="00B140F2">
        <w:rPr>
          <w:lang w:val="de-DE"/>
        </w:rPr>
        <w:t xml:space="preserve">dass </w:t>
      </w:r>
      <w:r w:rsidRPr="00B140F2">
        <w:rPr>
          <w:lang w:val="de-DE"/>
        </w:rPr>
        <w:t xml:space="preserve">die </w:t>
      </w:r>
      <w:r w:rsidRPr="00B140F2">
        <w:rPr>
          <w:rFonts w:cs="Arial"/>
          <w:color w:val="000000"/>
          <w:lang w:val="de-DE"/>
        </w:rPr>
        <w:t xml:space="preserve">UPOV-Codes für </w:t>
      </w:r>
      <w:r w:rsidR="00514572" w:rsidRPr="00B140F2">
        <w:rPr>
          <w:rFonts w:cs="Arial"/>
          <w:color w:val="000000"/>
          <w:lang w:val="de-DE"/>
        </w:rPr>
        <w:t>Arthybrid</w:t>
      </w:r>
      <w:r w:rsidRPr="00B140F2">
        <w:rPr>
          <w:rFonts w:cs="Arial"/>
          <w:color w:val="000000"/>
          <w:lang w:val="de-DE"/>
        </w:rPr>
        <w:t xml:space="preserve">en </w:t>
      </w:r>
      <w:r w:rsidR="0091551E" w:rsidRPr="00B140F2">
        <w:rPr>
          <w:rFonts w:cs="Arial"/>
          <w:color w:val="000000"/>
          <w:lang w:val="de-DE"/>
        </w:rPr>
        <w:t xml:space="preserve">von </w:t>
      </w:r>
      <w:r w:rsidRPr="00B140F2">
        <w:rPr>
          <w:rFonts w:cs="Arial"/>
          <w:i/>
          <w:iCs/>
          <w:color w:val="000000"/>
          <w:lang w:val="de-DE"/>
        </w:rPr>
        <w:t xml:space="preserve">Prunus </w:t>
      </w:r>
      <w:r w:rsidRPr="00B140F2">
        <w:rPr>
          <w:rFonts w:cs="Arial"/>
          <w:color w:val="000000"/>
          <w:lang w:val="de-DE"/>
        </w:rPr>
        <w:t>in der GENIE-Datenbank als zu den Bezeichnungsklassen aller Elternarten gehörend angegeben werden sollten.</w:t>
      </w:r>
    </w:p>
    <w:p w14:paraId="6AF68567" w14:textId="77777777" w:rsidR="00741B3F" w:rsidRPr="00B140F2" w:rsidRDefault="00741B3F" w:rsidP="00BD4986">
      <w:pPr>
        <w:rPr>
          <w:lang w:val="de-DE"/>
        </w:rPr>
      </w:pPr>
    </w:p>
    <w:p w14:paraId="0E68B3E3" w14:textId="77777777" w:rsidR="00214329" w:rsidRPr="00B140F2" w:rsidRDefault="0060633E" w:rsidP="00BD4986">
      <w:pPr>
        <w:keepNext/>
        <w:rPr>
          <w:i/>
          <w:iCs/>
          <w:lang w:val="de-DE"/>
        </w:rPr>
      </w:pPr>
      <w:r w:rsidRPr="00B140F2">
        <w:rPr>
          <w:i/>
          <w:iCs/>
          <w:lang w:val="de-DE"/>
        </w:rPr>
        <w:t>Vorschlag</w:t>
      </w:r>
      <w:r w:rsidR="00741B3F" w:rsidRPr="00B140F2">
        <w:rPr>
          <w:i/>
          <w:iCs/>
          <w:lang w:val="de-DE"/>
        </w:rPr>
        <w:t xml:space="preserve">: Neue Sortenbezeichnungsklassen für </w:t>
      </w:r>
      <w:r w:rsidR="00741B3F" w:rsidRPr="00B140F2">
        <w:rPr>
          <w:lang w:val="de-DE"/>
        </w:rPr>
        <w:t>Prunus</w:t>
      </w:r>
    </w:p>
    <w:p w14:paraId="61C9BB7E" w14:textId="77777777" w:rsidR="00741B3F" w:rsidRPr="00B140F2" w:rsidRDefault="00741B3F" w:rsidP="00BD4986">
      <w:pPr>
        <w:keepNext/>
        <w:rPr>
          <w:i/>
          <w:iCs/>
          <w:lang w:val="de-DE"/>
        </w:rPr>
      </w:pPr>
    </w:p>
    <w:p w14:paraId="132ABB2D" w14:textId="18F6C722" w:rsidR="00214329" w:rsidRPr="00B140F2" w:rsidRDefault="0060633E" w:rsidP="00D24C16">
      <w:pPr>
        <w:rPr>
          <w:rFonts w:cs="Maiandra GD"/>
          <w:color w:val="000000"/>
          <w:lang w:val="de-DE" w:eastAsia="nl-NL"/>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464346">
        <w:rPr>
          <w:lang w:val="de-DE"/>
        </w:rPr>
        <w:t xml:space="preserve">Aufgrund der </w:t>
      </w:r>
      <w:r w:rsidR="007D62E7" w:rsidRPr="00B140F2">
        <w:rPr>
          <w:lang w:val="de-DE"/>
        </w:rPr>
        <w:t>Bemerkungen</w:t>
      </w:r>
      <w:r w:rsidR="00AF7EC0" w:rsidRPr="00B140F2">
        <w:rPr>
          <w:lang w:val="de-DE"/>
        </w:rPr>
        <w:t xml:space="preserve"> der TWP auf ihren Tagungen im Jahr 2024 wird vorgeschlagen</w:t>
      </w:r>
      <w:r w:rsidR="00BE41F2" w:rsidRPr="00B140F2">
        <w:rPr>
          <w:lang w:val="de-DE"/>
        </w:rPr>
        <w:t xml:space="preserve">, </w:t>
      </w:r>
      <w:r w:rsidRPr="00B140F2">
        <w:rPr>
          <w:lang w:val="de-DE"/>
        </w:rPr>
        <w:t xml:space="preserve">Sortenbezeichnungsklassen für </w:t>
      </w:r>
      <w:r w:rsidRPr="00B140F2">
        <w:rPr>
          <w:i/>
          <w:lang w:val="de-DE"/>
        </w:rPr>
        <w:t xml:space="preserve">Prunus </w:t>
      </w:r>
      <w:r w:rsidR="00BE41F2" w:rsidRPr="00B140F2">
        <w:rPr>
          <w:lang w:val="de-DE"/>
        </w:rPr>
        <w:t>zu schaffen</w:t>
      </w:r>
      <w:r w:rsidR="001A76D7" w:rsidRPr="00B140F2">
        <w:rPr>
          <w:iCs/>
          <w:lang w:val="de-DE"/>
        </w:rPr>
        <w:t xml:space="preserve">, </w:t>
      </w:r>
      <w:r w:rsidR="009E192C" w:rsidRPr="00B140F2">
        <w:rPr>
          <w:iCs/>
          <w:lang w:val="de-DE"/>
        </w:rPr>
        <w:t xml:space="preserve">wie </w:t>
      </w:r>
      <w:r w:rsidR="00717867" w:rsidRPr="00B140F2">
        <w:rPr>
          <w:iCs/>
          <w:lang w:val="de-DE"/>
        </w:rPr>
        <w:t xml:space="preserve">nachstehend </w:t>
      </w:r>
      <w:r w:rsidR="00D108AF" w:rsidRPr="00B140F2">
        <w:rPr>
          <w:iCs/>
          <w:lang w:val="de-DE"/>
        </w:rPr>
        <w:t>angegeben</w:t>
      </w:r>
      <w:r w:rsidR="00717867" w:rsidRPr="00B140F2">
        <w:rPr>
          <w:iCs/>
          <w:lang w:val="de-DE"/>
        </w:rPr>
        <w:t>.</w:t>
      </w:r>
      <w:r w:rsidR="00FE0BFC" w:rsidRPr="00B140F2">
        <w:rPr>
          <w:iCs/>
          <w:lang w:val="de-DE"/>
        </w:rPr>
        <w:t xml:space="preserve"> </w:t>
      </w:r>
      <w:r w:rsidR="00DD70A3" w:rsidRPr="00B140F2">
        <w:rPr>
          <w:iCs/>
          <w:lang w:val="de-DE"/>
        </w:rPr>
        <w:t xml:space="preserve">Der Vorschlag enthält den </w:t>
      </w:r>
      <w:r w:rsidR="00E06D16" w:rsidRPr="00B140F2">
        <w:rPr>
          <w:iCs/>
          <w:lang w:val="de-DE"/>
        </w:rPr>
        <w:t xml:space="preserve">Entwurf einer Anleitung für </w:t>
      </w:r>
      <w:r w:rsidR="00090ED9" w:rsidRPr="00B140F2">
        <w:rPr>
          <w:iCs/>
          <w:lang w:val="de-DE"/>
        </w:rPr>
        <w:t xml:space="preserve">Situationen, in denen eine Sortenbezeichnung mit </w:t>
      </w:r>
      <w:r w:rsidR="00E06D16" w:rsidRPr="00B140F2">
        <w:rPr>
          <w:iCs/>
          <w:lang w:val="de-DE"/>
        </w:rPr>
        <w:t xml:space="preserve">anderen Klassen </w:t>
      </w:r>
      <w:r w:rsidR="00C51AC7" w:rsidRPr="00B140F2">
        <w:rPr>
          <w:iCs/>
          <w:lang w:val="de-DE"/>
        </w:rPr>
        <w:t xml:space="preserve">innerhalb einer Gattung </w:t>
      </w:r>
      <w:r w:rsidR="00090ED9" w:rsidRPr="00B140F2">
        <w:rPr>
          <w:iCs/>
          <w:lang w:val="de-DE"/>
        </w:rPr>
        <w:t>verglichen werden sollte</w:t>
      </w:r>
      <w:r w:rsidR="00FF2629" w:rsidRPr="00B140F2">
        <w:rPr>
          <w:iCs/>
          <w:lang w:val="de-DE"/>
        </w:rPr>
        <w:t>, wie folgt:</w:t>
      </w:r>
    </w:p>
    <w:p w14:paraId="695B5E20" w14:textId="77777777" w:rsidR="00741B3F" w:rsidRPr="00B140F2" w:rsidRDefault="00741B3F" w:rsidP="00BD4986">
      <w:pPr>
        <w:rPr>
          <w:rFonts w:eastAsia="MS Mincho"/>
          <w:lang w:val="de-DE"/>
        </w:rPr>
      </w:pPr>
    </w:p>
    <w:p w14:paraId="7136D4FA" w14:textId="64D4604E" w:rsidR="00214329" w:rsidRPr="00B140F2" w:rsidRDefault="00E70F57" w:rsidP="00BD4986">
      <w:pPr>
        <w:keepNext/>
        <w:jc w:val="center"/>
        <w:rPr>
          <w:rFonts w:eastAsia="MS Mincho"/>
          <w:lang w:val="de-DE"/>
        </w:rPr>
      </w:pPr>
      <w:r w:rsidRPr="00B140F2">
        <w:rPr>
          <w:rFonts w:eastAsia="MS Mincho"/>
          <w:lang w:val="de-DE"/>
        </w:rPr>
        <w:t>KLASSENLISTE</w:t>
      </w:r>
    </w:p>
    <w:p w14:paraId="5F95757A" w14:textId="77777777" w:rsidR="00741B3F" w:rsidRPr="00B140F2" w:rsidRDefault="00741B3F" w:rsidP="00BD4986">
      <w:pPr>
        <w:keepNext/>
        <w:rPr>
          <w:rFonts w:eastAsia="MS Mincho"/>
          <w:lang w:val="de-DE"/>
        </w:rPr>
      </w:pPr>
    </w:p>
    <w:p w14:paraId="03C8B080" w14:textId="77777777" w:rsidR="00214329" w:rsidRPr="00B140F2" w:rsidRDefault="0060633E" w:rsidP="00BD4986">
      <w:pPr>
        <w:keepNext/>
        <w:jc w:val="center"/>
        <w:outlineLvl w:val="7"/>
        <w:rPr>
          <w:rFonts w:eastAsia="MS Mincho"/>
          <w:u w:val="single"/>
          <w:lang w:val="de-DE"/>
        </w:rPr>
      </w:pPr>
      <w:r w:rsidRPr="00B140F2">
        <w:rPr>
          <w:rFonts w:eastAsia="MS Mincho"/>
          <w:u w:val="single"/>
          <w:lang w:val="de-DE"/>
        </w:rPr>
        <w:t>Teil I</w:t>
      </w:r>
    </w:p>
    <w:p w14:paraId="245E8D9B" w14:textId="77777777" w:rsidR="1CD3AC13" w:rsidRPr="00B140F2" w:rsidRDefault="1CD3AC13" w:rsidP="00BD4986">
      <w:pPr>
        <w:pStyle w:val="BasistekstNaktuinbouw"/>
        <w:keepNext/>
        <w:spacing w:line="240" w:lineRule="auto"/>
        <w:ind w:left="567" w:right="567"/>
        <w:jc w:val="both"/>
        <w:rPr>
          <w:lang w:val="de-DE"/>
        </w:rPr>
      </w:pPr>
    </w:p>
    <w:p w14:paraId="5A6B377E" w14:textId="77777777" w:rsidR="00214329" w:rsidRPr="00B140F2" w:rsidRDefault="0060633E" w:rsidP="00BD4986">
      <w:pPr>
        <w:keepNext/>
        <w:jc w:val="center"/>
        <w:rPr>
          <w:rFonts w:eastAsia="MS Mincho"/>
          <w:i/>
          <w:iCs/>
          <w:lang w:val="de-DE"/>
        </w:rPr>
      </w:pPr>
      <w:r w:rsidRPr="00B140F2">
        <w:rPr>
          <w:rFonts w:eastAsia="MS Mincho"/>
          <w:i/>
          <w:iCs/>
          <w:lang w:val="de-DE"/>
        </w:rPr>
        <w:t>Klassen innerhalb einer Gattung</w:t>
      </w:r>
    </w:p>
    <w:p w14:paraId="5E3CC1DA" w14:textId="77777777" w:rsidR="1CD3AC13" w:rsidRPr="00B140F2" w:rsidRDefault="1CD3AC13" w:rsidP="00BD4986">
      <w:pPr>
        <w:pStyle w:val="BasistekstNaktuinbouw"/>
        <w:keepNext/>
        <w:spacing w:line="240" w:lineRule="auto"/>
        <w:jc w:val="both"/>
        <w:rPr>
          <w:highlight w:val="lightGray"/>
          <w:u w:val="single"/>
          <w:lang w:val="de-DE"/>
        </w:rPr>
      </w:pPr>
    </w:p>
    <w:p w14:paraId="5BE5A34F" w14:textId="086C1415" w:rsidR="00214329" w:rsidRPr="00E83514" w:rsidRDefault="001C4FD6" w:rsidP="00BD4986">
      <w:pPr>
        <w:pStyle w:val="BasistekstNaktuinbouw"/>
        <w:keepNext/>
        <w:spacing w:line="240" w:lineRule="auto"/>
        <w:ind w:left="567" w:right="567"/>
        <w:jc w:val="both"/>
        <w:rPr>
          <w:lang w:val="de-DE"/>
        </w:rPr>
      </w:pPr>
      <w:r w:rsidRPr="00E83514">
        <w:rPr>
          <w:lang w:val="de-DE"/>
        </w:rPr>
        <w:t>„</w:t>
      </w:r>
      <w:r w:rsidR="0060633E" w:rsidRPr="00E83514">
        <w:rPr>
          <w:lang w:val="de-DE"/>
        </w:rPr>
        <w:t xml:space="preserve">Das Folgende gilt für Bezeichnungen in der </w:t>
      </w:r>
      <w:r w:rsidR="00E70F57" w:rsidRPr="00E83514">
        <w:rPr>
          <w:lang w:val="de-DE"/>
        </w:rPr>
        <w:t>Klassenliste</w:t>
      </w:r>
      <w:r w:rsidR="0060633E" w:rsidRPr="00E83514">
        <w:rPr>
          <w:lang w:val="de-DE"/>
        </w:rPr>
        <w:t xml:space="preserve"> innerhalb einer Gattung:</w:t>
      </w:r>
    </w:p>
    <w:p w14:paraId="13B6E2BF" w14:textId="77777777" w:rsidR="1CD3AC13" w:rsidRPr="00B140F2" w:rsidRDefault="1CD3AC13" w:rsidP="00BD4986">
      <w:pPr>
        <w:pStyle w:val="BasistekstNaktuinbouw"/>
        <w:keepNext/>
        <w:spacing w:line="240" w:lineRule="auto"/>
        <w:ind w:left="567" w:right="567"/>
        <w:rPr>
          <w:lang w:val="de-DE"/>
        </w:rPr>
      </w:pPr>
    </w:p>
    <w:p w14:paraId="6A257314" w14:textId="78B69F83" w:rsidR="00214329" w:rsidRPr="00B140F2" w:rsidRDefault="001C4FD6" w:rsidP="00BD4986">
      <w:pPr>
        <w:pStyle w:val="BasistekstNaktuinbouw"/>
        <w:keepNext/>
        <w:spacing w:line="240" w:lineRule="auto"/>
        <w:ind w:left="567" w:right="567"/>
        <w:jc w:val="both"/>
        <w:rPr>
          <w:lang w:val="de-DE"/>
        </w:rPr>
      </w:pPr>
      <w:r w:rsidRPr="00B140F2">
        <w:rPr>
          <w:lang w:val="de-DE"/>
        </w:rPr>
        <w:t>„</w:t>
      </w:r>
      <w:r w:rsidR="0060633E" w:rsidRPr="00B140F2">
        <w:rPr>
          <w:lang w:val="de-DE"/>
        </w:rPr>
        <w:t>a)</w:t>
      </w:r>
      <w:r w:rsidR="0060633E" w:rsidRPr="00E83514">
        <w:rPr>
          <w:lang w:val="de-DE"/>
        </w:rPr>
        <w:tab/>
      </w:r>
      <w:r w:rsidR="0060633E" w:rsidRPr="00B140F2">
        <w:rPr>
          <w:lang w:val="de-DE"/>
        </w:rPr>
        <w:t xml:space="preserve">Die allgemeine Regel </w:t>
      </w:r>
      <w:r w:rsidRPr="00B140F2">
        <w:rPr>
          <w:lang w:val="de-DE"/>
        </w:rPr>
        <w:t>„</w:t>
      </w:r>
      <w:r w:rsidR="0060633E" w:rsidRPr="00B140F2">
        <w:rPr>
          <w:lang w:val="de-DE"/>
        </w:rPr>
        <w:t>eine Gattung / eine Klasse</w:t>
      </w:r>
      <w:r w:rsidRPr="00B140F2">
        <w:rPr>
          <w:lang w:val="de-DE"/>
        </w:rPr>
        <w:t>“</w:t>
      </w:r>
      <w:r w:rsidR="0060633E" w:rsidRPr="00B140F2">
        <w:rPr>
          <w:lang w:val="de-DE"/>
        </w:rPr>
        <w:t xml:space="preserve"> sollte nur für auf Gattungsebene identifiziert</w:t>
      </w:r>
      <w:r w:rsidR="00673DF2">
        <w:rPr>
          <w:lang w:val="de-DE"/>
        </w:rPr>
        <w:t xml:space="preserve">e </w:t>
      </w:r>
      <w:r w:rsidR="00673DF2" w:rsidRPr="00B140F2">
        <w:rPr>
          <w:lang w:val="de-DE"/>
        </w:rPr>
        <w:t>Sorten gelten</w:t>
      </w:r>
      <w:r w:rsidR="0060633E" w:rsidRPr="00B140F2">
        <w:rPr>
          <w:lang w:val="de-DE"/>
        </w:rPr>
        <w:t xml:space="preserve">: </w:t>
      </w:r>
      <w:r w:rsidR="7A76EFE1" w:rsidRPr="00B140F2">
        <w:rPr>
          <w:lang w:val="de-DE"/>
        </w:rPr>
        <w:t xml:space="preserve">Die vorgeschlagene Bezeichnung </w:t>
      </w:r>
      <w:r w:rsidR="0060633E" w:rsidRPr="00B140F2">
        <w:rPr>
          <w:lang w:val="de-DE"/>
        </w:rPr>
        <w:t xml:space="preserve">sollte sich von allen Bezeichnungen </w:t>
      </w:r>
      <w:r w:rsidR="7D5A6121" w:rsidRPr="00B140F2">
        <w:rPr>
          <w:lang w:val="de-DE"/>
        </w:rPr>
        <w:t xml:space="preserve">in allen Klassen innerhalb </w:t>
      </w:r>
      <w:r w:rsidR="0060633E" w:rsidRPr="00B140F2">
        <w:rPr>
          <w:lang w:val="de-DE"/>
        </w:rPr>
        <w:t>dieser Gattung unterscheiden.</w:t>
      </w:r>
    </w:p>
    <w:p w14:paraId="39BCC139" w14:textId="77777777" w:rsidR="1CD3AC13" w:rsidRPr="00B140F2" w:rsidRDefault="1CD3AC13" w:rsidP="00BD4986">
      <w:pPr>
        <w:pStyle w:val="BasistekstNaktuinbouw"/>
        <w:keepNext/>
        <w:spacing w:line="240" w:lineRule="auto"/>
        <w:ind w:left="567" w:right="567"/>
        <w:jc w:val="both"/>
        <w:rPr>
          <w:lang w:val="de-DE"/>
        </w:rPr>
      </w:pPr>
    </w:p>
    <w:p w14:paraId="194D8452" w14:textId="354B171D" w:rsidR="00214329" w:rsidRPr="00E83514" w:rsidRDefault="001C4FD6" w:rsidP="00BD4986">
      <w:pPr>
        <w:pStyle w:val="BasistekstNaktuinbouw"/>
        <w:keepNext/>
        <w:spacing w:line="240" w:lineRule="auto"/>
        <w:ind w:left="567" w:right="567"/>
        <w:jc w:val="both"/>
        <w:rPr>
          <w:lang w:val="de-DE"/>
        </w:rPr>
      </w:pPr>
      <w:r w:rsidRPr="00E83514">
        <w:rPr>
          <w:lang w:val="de-DE"/>
        </w:rPr>
        <w:t>„</w:t>
      </w:r>
      <w:r w:rsidR="0060633E" w:rsidRPr="00E83514">
        <w:rPr>
          <w:lang w:val="de-DE"/>
        </w:rPr>
        <w:t>b)</w:t>
      </w:r>
      <w:r w:rsidR="0060633E" w:rsidRPr="00E83514">
        <w:rPr>
          <w:lang w:val="de-DE"/>
        </w:rPr>
        <w:tab/>
        <w:t xml:space="preserve">Die </w:t>
      </w:r>
      <w:r w:rsidR="7D7E2CAF" w:rsidRPr="00E83514">
        <w:rPr>
          <w:lang w:val="de-DE"/>
        </w:rPr>
        <w:t xml:space="preserve">vorgeschlagene </w:t>
      </w:r>
      <w:r w:rsidR="0060633E" w:rsidRPr="00E83514">
        <w:rPr>
          <w:lang w:val="de-DE"/>
        </w:rPr>
        <w:t xml:space="preserve">Bezeichnung von </w:t>
      </w:r>
      <w:r w:rsidR="00514572" w:rsidRPr="00E83514">
        <w:rPr>
          <w:rFonts w:eastAsiaTheme="minorEastAsia"/>
          <w:lang w:val="de-DE"/>
        </w:rPr>
        <w:t>Arthybrid</w:t>
      </w:r>
      <w:r w:rsidR="0060633E" w:rsidRPr="00E83514">
        <w:rPr>
          <w:rFonts w:eastAsiaTheme="minorEastAsia"/>
          <w:lang w:val="de-DE"/>
        </w:rPr>
        <w:t xml:space="preserve">en </w:t>
      </w:r>
      <w:r w:rsidR="0060633E" w:rsidRPr="00E83514">
        <w:rPr>
          <w:lang w:val="de-DE"/>
        </w:rPr>
        <w:t xml:space="preserve">mit Eltern aus verschiedenen Klassen </w:t>
      </w:r>
      <w:r w:rsidR="2436B5DC" w:rsidRPr="00E83514">
        <w:rPr>
          <w:lang w:val="de-DE"/>
        </w:rPr>
        <w:t xml:space="preserve">innerhalb einer Gattung </w:t>
      </w:r>
      <w:r w:rsidR="0060633E" w:rsidRPr="00E83514">
        <w:rPr>
          <w:lang w:val="de-DE"/>
        </w:rPr>
        <w:t xml:space="preserve">muss </w:t>
      </w:r>
      <w:r w:rsidR="0060633E" w:rsidRPr="00E83514">
        <w:rPr>
          <w:rFonts w:eastAsiaTheme="minorEastAsia"/>
          <w:lang w:val="de-DE"/>
        </w:rPr>
        <w:t xml:space="preserve">sich von den </w:t>
      </w:r>
      <w:r w:rsidR="0060633E" w:rsidRPr="00E83514">
        <w:rPr>
          <w:lang w:val="de-DE"/>
        </w:rPr>
        <w:t xml:space="preserve">Bezeichnungen </w:t>
      </w:r>
      <w:r w:rsidR="00B140F2">
        <w:rPr>
          <w:lang w:val="de-DE"/>
        </w:rPr>
        <w:t>in den</w:t>
      </w:r>
      <w:r w:rsidR="00B140F2" w:rsidRPr="00E83514">
        <w:rPr>
          <w:lang w:val="de-DE"/>
        </w:rPr>
        <w:t xml:space="preserve"> </w:t>
      </w:r>
      <w:r w:rsidR="0060633E" w:rsidRPr="00E83514">
        <w:rPr>
          <w:rFonts w:eastAsiaTheme="minorEastAsia"/>
          <w:lang w:val="de-DE"/>
        </w:rPr>
        <w:t xml:space="preserve">Klassen </w:t>
      </w:r>
      <w:r w:rsidR="034CA295" w:rsidRPr="00E83514">
        <w:rPr>
          <w:rFonts w:eastAsiaTheme="minorEastAsia"/>
          <w:lang w:val="de-DE"/>
        </w:rPr>
        <w:t xml:space="preserve">innerhalb einer Gattung </w:t>
      </w:r>
      <w:r w:rsidR="0060633E" w:rsidRPr="00E83514">
        <w:rPr>
          <w:rFonts w:eastAsiaTheme="minorEastAsia"/>
          <w:lang w:val="de-DE"/>
        </w:rPr>
        <w:t xml:space="preserve">aller </w:t>
      </w:r>
      <w:r w:rsidR="7C2A6BA5" w:rsidRPr="00E83514">
        <w:rPr>
          <w:rFonts w:eastAsiaTheme="minorEastAsia"/>
          <w:lang w:val="de-DE"/>
        </w:rPr>
        <w:t xml:space="preserve">Eltern der </w:t>
      </w:r>
      <w:r w:rsidR="00514572" w:rsidRPr="00E83514">
        <w:rPr>
          <w:rFonts w:eastAsiaTheme="minorEastAsia"/>
          <w:lang w:val="de-DE"/>
        </w:rPr>
        <w:t>Arthybrid</w:t>
      </w:r>
      <w:r w:rsidR="7C2A6BA5" w:rsidRPr="00E83514">
        <w:rPr>
          <w:rFonts w:eastAsiaTheme="minorEastAsia"/>
          <w:lang w:val="de-DE"/>
        </w:rPr>
        <w:t xml:space="preserve">e </w:t>
      </w:r>
      <w:r w:rsidR="0060633E" w:rsidRPr="00E83514">
        <w:rPr>
          <w:rFonts w:eastAsiaTheme="minorEastAsia"/>
          <w:lang w:val="de-DE"/>
        </w:rPr>
        <w:t>unterscheiden</w:t>
      </w:r>
      <w:r w:rsidR="0060633E" w:rsidRPr="00E83514">
        <w:rPr>
          <w:lang w:val="de-DE"/>
        </w:rPr>
        <w:t>.</w:t>
      </w:r>
      <w:r w:rsidR="00FE0BFC" w:rsidRPr="00E83514">
        <w:rPr>
          <w:lang w:val="de-DE"/>
        </w:rPr>
        <w:t xml:space="preserve"> </w:t>
      </w:r>
    </w:p>
    <w:p w14:paraId="4DDA04BF" w14:textId="77777777" w:rsidR="1CD3AC13" w:rsidRPr="00B140F2" w:rsidRDefault="1CD3AC13" w:rsidP="00BD4986">
      <w:pPr>
        <w:pStyle w:val="BasistekstNaktuinbouw"/>
        <w:keepNext/>
        <w:spacing w:line="240" w:lineRule="auto"/>
        <w:ind w:left="567" w:right="567"/>
        <w:jc w:val="both"/>
        <w:rPr>
          <w:lang w:val="de-DE"/>
        </w:rPr>
      </w:pPr>
    </w:p>
    <w:p w14:paraId="3FF4EDC0" w14:textId="6A6F3ED1" w:rsidR="00214329" w:rsidRPr="00B140F2" w:rsidRDefault="001C4FD6" w:rsidP="00BD4986">
      <w:pPr>
        <w:pStyle w:val="BasistekstNaktuinbouw"/>
        <w:keepNext/>
        <w:spacing w:line="240" w:lineRule="auto"/>
        <w:ind w:left="567" w:right="567"/>
        <w:jc w:val="both"/>
        <w:rPr>
          <w:rFonts w:eastAsiaTheme="minorEastAsia"/>
          <w:lang w:val="de-DE"/>
        </w:rPr>
      </w:pPr>
      <w:r w:rsidRPr="00B140F2">
        <w:rPr>
          <w:lang w:val="de-DE"/>
        </w:rPr>
        <w:t>„</w:t>
      </w:r>
      <w:r w:rsidR="0060633E" w:rsidRPr="00B140F2">
        <w:rPr>
          <w:lang w:val="de-DE"/>
        </w:rPr>
        <w:t>c)</w:t>
      </w:r>
      <w:r w:rsidR="0060633E" w:rsidRPr="00E83514">
        <w:rPr>
          <w:lang w:val="de-DE"/>
        </w:rPr>
        <w:tab/>
      </w:r>
      <w:r w:rsidR="00D046D9" w:rsidRPr="00E83514">
        <w:rPr>
          <w:rFonts w:eastAsiaTheme="minorEastAsia"/>
          <w:lang w:val="de-DE"/>
        </w:rPr>
        <w:t xml:space="preserve">Die </w:t>
      </w:r>
      <w:r w:rsidR="00DB28E7" w:rsidRPr="00E83514">
        <w:rPr>
          <w:rFonts w:eastAsiaTheme="minorEastAsia"/>
          <w:lang w:val="de-DE"/>
        </w:rPr>
        <w:t xml:space="preserve">eingetragene </w:t>
      </w:r>
      <w:r w:rsidR="00D046D9" w:rsidRPr="00E83514">
        <w:rPr>
          <w:rFonts w:eastAsiaTheme="minorEastAsia"/>
          <w:lang w:val="de-DE"/>
        </w:rPr>
        <w:t xml:space="preserve">Sortenbezeichnung </w:t>
      </w:r>
      <w:r w:rsidR="00DB28E7" w:rsidRPr="00E83514">
        <w:rPr>
          <w:rFonts w:eastAsiaTheme="minorEastAsia"/>
          <w:lang w:val="de-DE"/>
        </w:rPr>
        <w:t xml:space="preserve">einer </w:t>
      </w:r>
      <w:r w:rsidR="00514572" w:rsidRPr="00E83514">
        <w:rPr>
          <w:rFonts w:eastAsiaTheme="minorEastAsia"/>
          <w:lang w:val="de-DE"/>
        </w:rPr>
        <w:t>Arthybrid</w:t>
      </w:r>
      <w:r w:rsidR="00D046D9" w:rsidRPr="00B140F2">
        <w:rPr>
          <w:rFonts w:eastAsiaTheme="minorEastAsia"/>
          <w:lang w:val="de-DE"/>
        </w:rPr>
        <w:t xml:space="preserve">sorte </w:t>
      </w:r>
      <w:r w:rsidR="00DB28E7" w:rsidRPr="00B140F2">
        <w:rPr>
          <w:rFonts w:eastAsiaTheme="minorEastAsia"/>
          <w:lang w:val="de-DE"/>
        </w:rPr>
        <w:t xml:space="preserve">mit Eltern aus verschiedenen </w:t>
      </w:r>
      <w:r w:rsidR="00D046D9" w:rsidRPr="00B140F2">
        <w:rPr>
          <w:rFonts w:eastAsiaTheme="minorEastAsia"/>
          <w:lang w:val="de-DE"/>
        </w:rPr>
        <w:t xml:space="preserve">Klassen innerhalb </w:t>
      </w:r>
      <w:r w:rsidR="00DB28E7" w:rsidRPr="00B140F2">
        <w:rPr>
          <w:rFonts w:eastAsiaTheme="minorEastAsia"/>
          <w:lang w:val="de-DE"/>
        </w:rPr>
        <w:t xml:space="preserve">einer </w:t>
      </w:r>
      <w:r w:rsidR="00D046D9" w:rsidRPr="00B140F2">
        <w:rPr>
          <w:rFonts w:eastAsiaTheme="minorEastAsia"/>
          <w:lang w:val="de-DE"/>
        </w:rPr>
        <w:t xml:space="preserve">Gattung </w:t>
      </w:r>
      <w:r w:rsidR="00F74C40" w:rsidRPr="00B140F2">
        <w:rPr>
          <w:rFonts w:eastAsiaTheme="minorEastAsia"/>
          <w:lang w:val="de-DE"/>
        </w:rPr>
        <w:t xml:space="preserve">sollte </w:t>
      </w:r>
      <w:r w:rsidR="008B472B" w:rsidRPr="00B140F2">
        <w:rPr>
          <w:rFonts w:eastAsiaTheme="minorEastAsia"/>
          <w:lang w:val="de-DE"/>
        </w:rPr>
        <w:t xml:space="preserve">in alle Klassen innerhalb einer Gattung </w:t>
      </w:r>
      <w:r w:rsidR="00907915" w:rsidRPr="00B140F2">
        <w:rPr>
          <w:rFonts w:eastAsiaTheme="minorEastAsia"/>
          <w:lang w:val="de-DE"/>
        </w:rPr>
        <w:t xml:space="preserve">der Elternarten </w:t>
      </w:r>
      <w:r w:rsidR="00F74C40" w:rsidRPr="00B140F2">
        <w:rPr>
          <w:rFonts w:eastAsiaTheme="minorEastAsia"/>
          <w:lang w:val="de-DE"/>
        </w:rPr>
        <w:t>eingeführt werden</w:t>
      </w:r>
      <w:r w:rsidR="00675F88" w:rsidRPr="00B140F2">
        <w:rPr>
          <w:rFonts w:eastAsiaTheme="minorEastAsia"/>
          <w:lang w:val="de-DE"/>
        </w:rPr>
        <w:t>.</w:t>
      </w:r>
      <w:r w:rsidR="00FE0BFC" w:rsidRPr="00B140F2">
        <w:rPr>
          <w:rFonts w:eastAsiaTheme="minorEastAsia"/>
          <w:lang w:val="de-DE"/>
        </w:rPr>
        <w:t xml:space="preserve"> </w:t>
      </w:r>
      <w:r w:rsidR="00493EEA" w:rsidRPr="00B140F2">
        <w:rPr>
          <w:rFonts w:eastAsiaTheme="minorEastAsia"/>
          <w:lang w:val="de-DE"/>
        </w:rPr>
        <w:t xml:space="preserve">Der UPOV-Code für </w:t>
      </w:r>
      <w:r w:rsidR="00C30393" w:rsidRPr="00B140F2">
        <w:rPr>
          <w:rFonts w:eastAsiaTheme="minorEastAsia"/>
          <w:lang w:val="de-DE"/>
        </w:rPr>
        <w:t xml:space="preserve">eine </w:t>
      </w:r>
      <w:r w:rsidR="00514572" w:rsidRPr="00E83514">
        <w:rPr>
          <w:rFonts w:eastAsiaTheme="minorEastAsia"/>
          <w:lang w:val="de-DE"/>
        </w:rPr>
        <w:t>Arthybrid</w:t>
      </w:r>
      <w:r w:rsidR="00063935" w:rsidRPr="00B140F2">
        <w:rPr>
          <w:rFonts w:eastAsiaTheme="minorEastAsia"/>
          <w:lang w:val="de-DE"/>
        </w:rPr>
        <w:t xml:space="preserve">sorte mit Eltern aus verschiedenen Klassen innerhalb einer Gattung sollte </w:t>
      </w:r>
      <w:r w:rsidR="00896E39" w:rsidRPr="00B140F2">
        <w:rPr>
          <w:rFonts w:eastAsiaTheme="minorEastAsia"/>
          <w:lang w:val="de-DE"/>
        </w:rPr>
        <w:t xml:space="preserve">den Sortenbezeichnungsklassen </w:t>
      </w:r>
      <w:r w:rsidR="00C44745" w:rsidRPr="00B140F2">
        <w:rPr>
          <w:rFonts w:eastAsiaTheme="minorEastAsia"/>
          <w:lang w:val="de-DE"/>
        </w:rPr>
        <w:t xml:space="preserve">aller Elternarten </w:t>
      </w:r>
      <w:r w:rsidR="00B140F2">
        <w:rPr>
          <w:rFonts w:eastAsiaTheme="minorEastAsia"/>
          <w:lang w:val="de-DE"/>
        </w:rPr>
        <w:t>zugeordnet</w:t>
      </w:r>
      <w:r w:rsidR="00B140F2" w:rsidRPr="00B140F2">
        <w:rPr>
          <w:rFonts w:eastAsiaTheme="minorEastAsia"/>
          <w:lang w:val="de-DE"/>
        </w:rPr>
        <w:t xml:space="preserve"> </w:t>
      </w:r>
      <w:r w:rsidR="00896E39" w:rsidRPr="00B140F2">
        <w:rPr>
          <w:rFonts w:eastAsiaTheme="minorEastAsia"/>
          <w:lang w:val="de-DE"/>
        </w:rPr>
        <w:t>werden</w:t>
      </w:r>
      <w:r w:rsidR="00D046D9" w:rsidRPr="00B140F2">
        <w:rPr>
          <w:rFonts w:eastAsiaTheme="minorEastAsia"/>
          <w:lang w:val="de-DE"/>
        </w:rPr>
        <w:t>.</w:t>
      </w:r>
      <w:r w:rsidR="00FE0BFC" w:rsidRPr="00B140F2">
        <w:rPr>
          <w:rFonts w:eastAsiaTheme="minorEastAsia"/>
          <w:lang w:val="de-DE"/>
        </w:rPr>
        <w:t xml:space="preserve"> </w:t>
      </w:r>
    </w:p>
    <w:p w14:paraId="5E5840EB" w14:textId="77777777" w:rsidR="00741B3F" w:rsidRPr="00B140F2" w:rsidRDefault="00741B3F" w:rsidP="00BD4986">
      <w:pPr>
        <w:pStyle w:val="EndnoteText"/>
        <w:rPr>
          <w:rFonts w:eastAsia="MS Mincho"/>
          <w:lang w:val="de-DE" w:eastAsia="ja-JP"/>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60"/>
        <w:gridCol w:w="5386"/>
        <w:gridCol w:w="2693"/>
      </w:tblGrid>
      <w:tr w:rsidR="00741B3F" w:rsidRPr="00E83514" w14:paraId="638A000B" w14:textId="77777777" w:rsidTr="00D24C16">
        <w:trPr>
          <w:cantSplit/>
          <w:tblHeader/>
        </w:trPr>
        <w:tc>
          <w:tcPr>
            <w:tcW w:w="1560" w:type="dxa"/>
            <w:shd w:val="clear" w:color="auto" w:fill="D9D9D9" w:themeFill="background1" w:themeFillShade="D9"/>
            <w:vAlign w:val="center"/>
          </w:tcPr>
          <w:p w14:paraId="047986A7" w14:textId="77777777" w:rsidR="00741B3F" w:rsidRPr="00B140F2" w:rsidRDefault="00741B3F" w:rsidP="00BD4986">
            <w:pPr>
              <w:spacing w:before="40" w:after="60"/>
              <w:jc w:val="left"/>
              <w:rPr>
                <w:rFonts w:eastAsia="MS Mincho"/>
                <w:sz w:val="18"/>
                <w:u w:val="single"/>
                <w:lang w:val="de-DE"/>
              </w:rPr>
            </w:pPr>
          </w:p>
        </w:tc>
        <w:tc>
          <w:tcPr>
            <w:tcW w:w="5386" w:type="dxa"/>
            <w:shd w:val="clear" w:color="auto" w:fill="D9D9D9" w:themeFill="background1" w:themeFillShade="D9"/>
            <w:vAlign w:val="center"/>
          </w:tcPr>
          <w:p w14:paraId="452F5F27" w14:textId="77777777" w:rsidR="00214329" w:rsidRPr="00E83514" w:rsidRDefault="0060633E" w:rsidP="00BD4986">
            <w:pPr>
              <w:spacing w:before="40" w:after="60"/>
              <w:jc w:val="center"/>
              <w:rPr>
                <w:rFonts w:eastAsia="MS Mincho"/>
                <w:sz w:val="18"/>
                <w:u w:val="single"/>
                <w:lang w:val="de-DE"/>
              </w:rPr>
            </w:pPr>
            <w:r w:rsidRPr="00E83514">
              <w:rPr>
                <w:rFonts w:eastAsia="MS Mincho"/>
                <w:sz w:val="18"/>
                <w:u w:val="single"/>
                <w:lang w:val="de-DE"/>
              </w:rPr>
              <w:t>Botanische Namen</w:t>
            </w:r>
          </w:p>
        </w:tc>
        <w:tc>
          <w:tcPr>
            <w:tcW w:w="2693" w:type="dxa"/>
            <w:shd w:val="clear" w:color="auto" w:fill="D9D9D9" w:themeFill="background1" w:themeFillShade="D9"/>
            <w:vAlign w:val="center"/>
          </w:tcPr>
          <w:p w14:paraId="456234A2" w14:textId="77777777" w:rsidR="00214329" w:rsidRPr="00E83514" w:rsidRDefault="0060633E" w:rsidP="00BD4986">
            <w:pPr>
              <w:spacing w:before="40" w:after="60"/>
              <w:jc w:val="center"/>
              <w:rPr>
                <w:rFonts w:eastAsia="MS Mincho"/>
                <w:sz w:val="18"/>
                <w:u w:val="single"/>
                <w:lang w:val="de-DE"/>
              </w:rPr>
            </w:pPr>
            <w:r w:rsidRPr="00E83514">
              <w:rPr>
                <w:rFonts w:eastAsia="MS Mincho"/>
                <w:sz w:val="18"/>
                <w:u w:val="single"/>
                <w:lang w:val="de-DE"/>
              </w:rPr>
              <w:t>UPOV-Codes</w:t>
            </w:r>
          </w:p>
        </w:tc>
      </w:tr>
    </w:tbl>
    <w:p w14:paraId="403093FE" w14:textId="77777777" w:rsidR="00214329" w:rsidRPr="00E83514" w:rsidRDefault="0060633E" w:rsidP="00BD4986">
      <w:pPr>
        <w:pStyle w:val="Header"/>
        <w:rPr>
          <w:lang w:val="de-DE"/>
        </w:rPr>
      </w:pPr>
      <w:r w:rsidRPr="00E83514">
        <w:rPr>
          <w:lang w:val="de-DE"/>
        </w:rPr>
        <w:t>[...]</w:t>
      </w:r>
    </w:p>
    <w:p w14:paraId="22AA43A1" w14:textId="77777777" w:rsidR="00AB3D7E" w:rsidRPr="00E83514" w:rsidRDefault="00AB3D7E" w:rsidP="00BD4986">
      <w:pPr>
        <w:pStyle w:val="Header"/>
        <w:rPr>
          <w:lang w:val="de-DE"/>
        </w:rPr>
      </w:pPr>
    </w:p>
    <w:tbl>
      <w:tblPr>
        <w:tblW w:w="9634" w:type="dxa"/>
        <w:tblCellMar>
          <w:left w:w="0" w:type="dxa"/>
          <w:right w:w="0" w:type="dxa"/>
        </w:tblCellMar>
        <w:tblLook w:val="04A0" w:firstRow="1" w:lastRow="0" w:firstColumn="1" w:lastColumn="0" w:noHBand="0" w:noVBand="1"/>
      </w:tblPr>
      <w:tblGrid>
        <w:gridCol w:w="1555"/>
        <w:gridCol w:w="5386"/>
        <w:gridCol w:w="2693"/>
      </w:tblGrid>
      <w:tr w:rsidR="00741B3F" w:rsidRPr="00223459" w14:paraId="5EAA2E8C" w14:textId="77777777" w:rsidTr="00673DF2">
        <w:trPr>
          <w:cantSplit/>
        </w:trPr>
        <w:tc>
          <w:tcPr>
            <w:tcW w:w="1555"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8F12E7C" w14:textId="77777777" w:rsidR="00214329" w:rsidRPr="00E83514" w:rsidRDefault="0060633E" w:rsidP="00BD4986">
            <w:pPr>
              <w:keepNext/>
              <w:spacing w:before="40" w:after="40"/>
              <w:ind w:left="-1529" w:firstLine="1529"/>
              <w:jc w:val="left"/>
              <w:rPr>
                <w:rFonts w:cs="Arial"/>
                <w:sz w:val="18"/>
                <w:szCs w:val="18"/>
                <w:lang w:val="de-DE"/>
              </w:rPr>
            </w:pPr>
            <w:r w:rsidRPr="00E83514">
              <w:rPr>
                <w:rFonts w:cs="Arial"/>
                <w:sz w:val="18"/>
                <w:szCs w:val="18"/>
                <w:lang w:val="de-DE"/>
              </w:rPr>
              <w:t>Neue Klasse 6.1</w:t>
            </w:r>
          </w:p>
        </w:tc>
        <w:tc>
          <w:tcPr>
            <w:tcW w:w="538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7913153" w14:textId="77777777" w:rsidR="00214329" w:rsidRPr="00223459" w:rsidRDefault="0060633E" w:rsidP="00BD4986">
            <w:pPr>
              <w:keepNext/>
              <w:spacing w:before="40" w:after="40"/>
              <w:jc w:val="left"/>
              <w:rPr>
                <w:rFonts w:cs="Arial"/>
                <w:sz w:val="18"/>
                <w:szCs w:val="18"/>
                <w:lang w:val="fr-FR"/>
              </w:rPr>
            </w:pPr>
            <w:r w:rsidRPr="00223459">
              <w:rPr>
                <w:rFonts w:cs="Arial"/>
                <w:i/>
                <w:sz w:val="18"/>
                <w:szCs w:val="18"/>
                <w:lang w:val="fr-FR"/>
              </w:rPr>
              <w:t xml:space="preserve">Prunus avium </w:t>
            </w:r>
            <w:r w:rsidRPr="00223459">
              <w:rPr>
                <w:rFonts w:cs="Arial"/>
                <w:sz w:val="18"/>
                <w:szCs w:val="18"/>
                <w:lang w:val="fr-FR"/>
              </w:rPr>
              <w:t>(L.) L.</w:t>
            </w:r>
          </w:p>
          <w:p w14:paraId="781E14BE" w14:textId="77777777" w:rsidR="00214329" w:rsidRPr="00223459" w:rsidRDefault="0060633E" w:rsidP="00BD4986">
            <w:pPr>
              <w:keepNext/>
              <w:spacing w:before="40" w:after="40"/>
              <w:jc w:val="left"/>
              <w:rPr>
                <w:rFonts w:cs="Arial"/>
                <w:sz w:val="18"/>
                <w:szCs w:val="18"/>
                <w:lang w:val="fr-FR"/>
              </w:rPr>
            </w:pPr>
            <w:r w:rsidRPr="00223459">
              <w:rPr>
                <w:rFonts w:cs="Arial"/>
                <w:i/>
                <w:sz w:val="18"/>
                <w:szCs w:val="18"/>
                <w:lang w:val="fr-FR"/>
              </w:rPr>
              <w:t xml:space="preserve">Prunus cerasus </w:t>
            </w:r>
            <w:r w:rsidRPr="00223459">
              <w:rPr>
                <w:rFonts w:cs="Arial"/>
                <w:sz w:val="18"/>
                <w:szCs w:val="18"/>
                <w:lang w:val="fr-FR"/>
              </w:rPr>
              <w:t>L.</w:t>
            </w:r>
          </w:p>
          <w:p w14:paraId="350EA3D3" w14:textId="77777777" w:rsidR="00741B3F" w:rsidRPr="00223459" w:rsidRDefault="00741B3F" w:rsidP="00BD4986">
            <w:pPr>
              <w:keepNext/>
              <w:spacing w:before="40" w:after="40"/>
              <w:jc w:val="left"/>
              <w:rPr>
                <w:rFonts w:cs="Arial"/>
                <w:sz w:val="18"/>
                <w:szCs w:val="18"/>
                <w:lang w:val="fr-FR"/>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DAFB796" w14:textId="77777777" w:rsidR="00214329" w:rsidRPr="00B140F2" w:rsidRDefault="0060633E" w:rsidP="00BD4986">
            <w:pPr>
              <w:keepNext/>
              <w:spacing w:before="40" w:after="40"/>
              <w:jc w:val="left"/>
              <w:rPr>
                <w:rFonts w:cs="Arial"/>
                <w:sz w:val="18"/>
                <w:szCs w:val="18"/>
                <w:lang w:val="de-DE"/>
              </w:rPr>
            </w:pPr>
            <w:r w:rsidRPr="00B140F2">
              <w:rPr>
                <w:rFonts w:cs="Arial"/>
                <w:sz w:val="18"/>
                <w:szCs w:val="18"/>
                <w:lang w:val="de-DE"/>
              </w:rPr>
              <w:t>PRUNU_AVI</w:t>
            </w:r>
          </w:p>
          <w:p w14:paraId="2922B87B" w14:textId="77777777" w:rsidR="00214329" w:rsidRPr="00B140F2" w:rsidRDefault="0060633E" w:rsidP="00BD4986">
            <w:pPr>
              <w:keepNext/>
              <w:spacing w:before="40" w:after="40"/>
              <w:jc w:val="left"/>
              <w:rPr>
                <w:rFonts w:cs="Arial"/>
                <w:sz w:val="18"/>
                <w:szCs w:val="18"/>
                <w:lang w:val="de-DE"/>
              </w:rPr>
            </w:pPr>
            <w:r w:rsidRPr="00B140F2">
              <w:rPr>
                <w:rFonts w:cs="Arial"/>
                <w:sz w:val="18"/>
                <w:szCs w:val="18"/>
                <w:lang w:val="de-DE"/>
              </w:rPr>
              <w:t>PRUNU_CSS</w:t>
            </w:r>
          </w:p>
          <w:p w14:paraId="340C08FF" w14:textId="77777777" w:rsidR="00BB481A" w:rsidRPr="00B140F2" w:rsidRDefault="00BB481A" w:rsidP="00BD4986">
            <w:pPr>
              <w:keepNext/>
              <w:spacing w:before="40" w:after="40"/>
              <w:jc w:val="left"/>
              <w:rPr>
                <w:rFonts w:cs="Arial"/>
                <w:sz w:val="18"/>
                <w:szCs w:val="18"/>
                <w:lang w:val="de-DE"/>
              </w:rPr>
            </w:pPr>
          </w:p>
          <w:p w14:paraId="4CC1EEF6" w14:textId="2CC885C0" w:rsidR="00214329" w:rsidRPr="00B140F2" w:rsidRDefault="00726387" w:rsidP="00BD4986">
            <w:pPr>
              <w:keepNext/>
              <w:spacing w:before="40" w:after="40"/>
              <w:jc w:val="left"/>
              <w:rPr>
                <w:sz w:val="18"/>
                <w:szCs w:val="18"/>
                <w:lang w:val="de-DE"/>
              </w:rPr>
            </w:pPr>
            <w:r w:rsidRPr="00B140F2">
              <w:rPr>
                <w:sz w:val="18"/>
                <w:szCs w:val="18"/>
                <w:lang w:val="de-DE"/>
              </w:rPr>
              <w:t xml:space="preserve">Bei Arthybriden </w:t>
            </w:r>
            <w:r w:rsidR="00BB481A" w:rsidRPr="00B140F2">
              <w:rPr>
                <w:sz w:val="18"/>
                <w:szCs w:val="18"/>
                <w:lang w:val="de-DE"/>
              </w:rPr>
              <w:t xml:space="preserve">sollten </w:t>
            </w:r>
            <w:r w:rsidR="0060633E" w:rsidRPr="00B140F2">
              <w:rPr>
                <w:sz w:val="18"/>
                <w:szCs w:val="18"/>
                <w:lang w:val="de-DE"/>
              </w:rPr>
              <w:t xml:space="preserve">die Klassen aller Elternarten </w:t>
            </w:r>
            <w:r w:rsidR="00BB481A" w:rsidRPr="00B140F2">
              <w:rPr>
                <w:sz w:val="18"/>
                <w:szCs w:val="18"/>
                <w:lang w:val="de-DE"/>
              </w:rPr>
              <w:t>berücksichtigt werden</w:t>
            </w:r>
            <w:r w:rsidR="0060633E" w:rsidRPr="00B140F2">
              <w:rPr>
                <w:sz w:val="18"/>
                <w:szCs w:val="18"/>
                <w:lang w:val="de-DE"/>
              </w:rPr>
              <w:t>.</w:t>
            </w:r>
          </w:p>
          <w:p w14:paraId="46F9226B" w14:textId="77777777" w:rsidR="00BB481A" w:rsidRPr="00B140F2" w:rsidRDefault="00BB481A" w:rsidP="00BD4986">
            <w:pPr>
              <w:keepNext/>
              <w:spacing w:before="40" w:after="40"/>
              <w:jc w:val="left"/>
              <w:rPr>
                <w:rFonts w:cs="Arial"/>
                <w:sz w:val="18"/>
                <w:szCs w:val="18"/>
                <w:lang w:val="de-DE"/>
              </w:rPr>
            </w:pPr>
          </w:p>
        </w:tc>
      </w:tr>
      <w:tr w:rsidR="00741B3F" w:rsidRPr="00223459" w14:paraId="40B4604B" w14:textId="77777777" w:rsidTr="00673DF2">
        <w:trPr>
          <w:cantSplit/>
        </w:trPr>
        <w:tc>
          <w:tcPr>
            <w:tcW w:w="1555"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1C89C3B" w14:textId="77777777" w:rsidR="00214329" w:rsidRPr="00E83514" w:rsidRDefault="0060633E" w:rsidP="00BD4986">
            <w:pPr>
              <w:keepNext/>
              <w:spacing w:before="40" w:after="40"/>
              <w:ind w:left="-1529" w:firstLine="1529"/>
              <w:jc w:val="left"/>
              <w:rPr>
                <w:rFonts w:cs="Arial"/>
                <w:sz w:val="18"/>
                <w:szCs w:val="18"/>
                <w:lang w:val="de-DE"/>
              </w:rPr>
            </w:pPr>
            <w:r w:rsidRPr="00E83514">
              <w:rPr>
                <w:rFonts w:cs="Arial"/>
                <w:sz w:val="18"/>
                <w:szCs w:val="18"/>
                <w:lang w:val="de-DE"/>
              </w:rPr>
              <w:t>Neue Klasse 6.2</w:t>
            </w:r>
          </w:p>
        </w:tc>
        <w:tc>
          <w:tcPr>
            <w:tcW w:w="538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81E6870" w14:textId="77777777" w:rsidR="00214329" w:rsidRPr="00E83514" w:rsidRDefault="0060633E" w:rsidP="00BD4986">
            <w:pPr>
              <w:keepNext/>
              <w:spacing w:before="40" w:after="40"/>
              <w:jc w:val="left"/>
              <w:rPr>
                <w:rFonts w:cs="Arial"/>
                <w:sz w:val="18"/>
                <w:szCs w:val="18"/>
                <w:lang w:val="de-DE"/>
              </w:rPr>
            </w:pPr>
            <w:r w:rsidRPr="00E83514">
              <w:rPr>
                <w:rFonts w:cs="Arial"/>
                <w:i/>
                <w:sz w:val="18"/>
                <w:szCs w:val="18"/>
                <w:lang w:val="de-DE"/>
              </w:rPr>
              <w:t xml:space="preserve">Prunus armeniaca </w:t>
            </w:r>
            <w:r w:rsidRPr="00E83514">
              <w:rPr>
                <w:rFonts w:cs="Arial"/>
                <w:sz w:val="18"/>
                <w:szCs w:val="18"/>
                <w:lang w:val="de-DE"/>
              </w:rPr>
              <w:t>L.</w:t>
            </w:r>
          </w:p>
          <w:p w14:paraId="519964D5" w14:textId="77777777" w:rsidR="00214329" w:rsidRPr="00E83514" w:rsidRDefault="0060633E" w:rsidP="00BD4986">
            <w:pPr>
              <w:keepNext/>
              <w:spacing w:before="40" w:after="40"/>
              <w:jc w:val="left"/>
              <w:rPr>
                <w:rFonts w:cs="Arial"/>
                <w:color w:val="000000"/>
                <w:sz w:val="18"/>
                <w:szCs w:val="18"/>
                <w:lang w:val="de-DE"/>
              </w:rPr>
            </w:pPr>
            <w:r w:rsidRPr="00E83514">
              <w:rPr>
                <w:rFonts w:cs="Arial"/>
                <w:i/>
                <w:color w:val="000000"/>
                <w:sz w:val="18"/>
                <w:szCs w:val="18"/>
                <w:lang w:val="de-DE"/>
              </w:rPr>
              <w:t xml:space="preserve">Prunus cerasifera </w:t>
            </w:r>
            <w:r w:rsidR="00540C01" w:rsidRPr="00E83514">
              <w:rPr>
                <w:rFonts w:cs="Arial"/>
                <w:color w:val="000000"/>
                <w:sz w:val="18"/>
                <w:szCs w:val="18"/>
                <w:lang w:val="de-DE"/>
              </w:rPr>
              <w:t>Ehrh</w:t>
            </w:r>
          </w:p>
          <w:p w14:paraId="04BE188C" w14:textId="77777777" w:rsidR="00214329" w:rsidRPr="00E83514" w:rsidRDefault="0060633E" w:rsidP="00BD4986">
            <w:pPr>
              <w:keepNext/>
              <w:spacing w:before="40" w:after="40"/>
              <w:jc w:val="left"/>
              <w:rPr>
                <w:rFonts w:cs="Arial"/>
                <w:sz w:val="18"/>
                <w:szCs w:val="18"/>
                <w:lang w:val="de-DE"/>
              </w:rPr>
            </w:pPr>
            <w:r w:rsidRPr="00E83514">
              <w:rPr>
                <w:rFonts w:cs="Arial"/>
                <w:i/>
                <w:sz w:val="18"/>
                <w:szCs w:val="18"/>
                <w:lang w:val="de-DE"/>
              </w:rPr>
              <w:t xml:space="preserve">Prunus domestica </w:t>
            </w:r>
            <w:r w:rsidRPr="00E83514">
              <w:rPr>
                <w:rFonts w:cs="Arial"/>
                <w:sz w:val="18"/>
                <w:szCs w:val="18"/>
                <w:lang w:val="de-DE"/>
              </w:rPr>
              <w:t>L.</w:t>
            </w:r>
          </w:p>
          <w:p w14:paraId="0BC06C2F" w14:textId="77777777" w:rsidR="00214329" w:rsidRPr="00E83514" w:rsidRDefault="0060633E" w:rsidP="00BD4986">
            <w:pPr>
              <w:keepNext/>
              <w:spacing w:before="40" w:after="40"/>
              <w:jc w:val="left"/>
              <w:rPr>
                <w:rFonts w:cs="Arial"/>
                <w:color w:val="000000"/>
                <w:sz w:val="18"/>
                <w:szCs w:val="18"/>
                <w:lang w:val="de-DE"/>
              </w:rPr>
            </w:pPr>
            <w:r w:rsidRPr="00E83514">
              <w:rPr>
                <w:rFonts w:cs="Arial"/>
                <w:i/>
                <w:color w:val="000000"/>
                <w:sz w:val="18"/>
                <w:szCs w:val="18"/>
                <w:lang w:val="de-DE"/>
              </w:rPr>
              <w:t xml:space="preserve">Prunus maritima </w:t>
            </w:r>
            <w:r w:rsidRPr="00E83514">
              <w:rPr>
                <w:rFonts w:cs="Arial"/>
                <w:color w:val="000000"/>
                <w:sz w:val="18"/>
                <w:szCs w:val="18"/>
                <w:lang w:val="de-DE"/>
              </w:rPr>
              <w:t>Marschall</w:t>
            </w:r>
          </w:p>
          <w:p w14:paraId="7002F8D3" w14:textId="77777777" w:rsidR="00214329" w:rsidRPr="00E83514" w:rsidRDefault="0060633E" w:rsidP="00BD4986">
            <w:pPr>
              <w:keepNext/>
              <w:spacing w:before="40" w:after="40"/>
              <w:jc w:val="left"/>
              <w:rPr>
                <w:rFonts w:cs="Arial"/>
                <w:sz w:val="18"/>
                <w:szCs w:val="18"/>
                <w:lang w:val="de-DE"/>
              </w:rPr>
            </w:pPr>
            <w:r w:rsidRPr="00E83514">
              <w:rPr>
                <w:rFonts w:cs="Arial"/>
                <w:i/>
                <w:sz w:val="18"/>
                <w:szCs w:val="18"/>
                <w:lang w:val="de-DE"/>
              </w:rPr>
              <w:t xml:space="preserve">Prunus mume </w:t>
            </w:r>
            <w:r w:rsidRPr="00E83514">
              <w:rPr>
                <w:rFonts w:cs="Arial"/>
                <w:sz w:val="18"/>
                <w:szCs w:val="18"/>
                <w:lang w:val="de-DE"/>
              </w:rPr>
              <w:t>Siebold &amp; Zucc.</w:t>
            </w:r>
          </w:p>
          <w:p w14:paraId="3D10A7DF" w14:textId="77777777" w:rsidR="00214329" w:rsidRPr="00EE37CE" w:rsidRDefault="0060633E" w:rsidP="00BD4986">
            <w:pPr>
              <w:keepNext/>
              <w:spacing w:before="40" w:after="40"/>
              <w:jc w:val="left"/>
              <w:rPr>
                <w:rFonts w:cs="Arial"/>
                <w:sz w:val="18"/>
                <w:szCs w:val="18"/>
              </w:rPr>
            </w:pPr>
            <w:r w:rsidRPr="00EE37CE">
              <w:rPr>
                <w:rFonts w:cs="Arial"/>
                <w:i/>
                <w:sz w:val="18"/>
                <w:szCs w:val="18"/>
              </w:rPr>
              <w:t xml:space="preserve">Prunus salicina </w:t>
            </w:r>
            <w:r w:rsidRPr="00EE37CE">
              <w:rPr>
                <w:rFonts w:cs="Arial"/>
                <w:sz w:val="18"/>
                <w:szCs w:val="18"/>
              </w:rPr>
              <w:t>Lindley</w:t>
            </w:r>
          </w:p>
          <w:p w14:paraId="4304DB2C" w14:textId="77777777" w:rsidR="00214329" w:rsidRPr="00EE37CE" w:rsidRDefault="0060633E" w:rsidP="00BD4986">
            <w:pPr>
              <w:keepNext/>
              <w:spacing w:before="40" w:after="40"/>
              <w:jc w:val="left"/>
              <w:rPr>
                <w:rFonts w:cs="Arial"/>
                <w:color w:val="000000"/>
                <w:sz w:val="18"/>
                <w:szCs w:val="18"/>
              </w:rPr>
            </w:pPr>
            <w:r w:rsidRPr="00EE37CE">
              <w:rPr>
                <w:rFonts w:cs="Arial"/>
                <w:i/>
                <w:iCs/>
                <w:color w:val="000000"/>
                <w:sz w:val="18"/>
                <w:szCs w:val="18"/>
              </w:rPr>
              <w:t xml:space="preserve">Prunus subcordata </w:t>
            </w:r>
            <w:r w:rsidRPr="00EE37CE">
              <w:rPr>
                <w:rFonts w:cs="Arial"/>
                <w:color w:val="000000"/>
                <w:sz w:val="18"/>
                <w:szCs w:val="18"/>
              </w:rPr>
              <w:t>Benth.</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C58F390" w14:textId="77777777" w:rsidR="00214329" w:rsidRPr="00223459" w:rsidRDefault="0060633E" w:rsidP="00BD4986">
            <w:pPr>
              <w:keepNext/>
              <w:spacing w:before="40" w:after="40"/>
              <w:jc w:val="left"/>
              <w:rPr>
                <w:rFonts w:cs="Arial"/>
                <w:sz w:val="18"/>
                <w:szCs w:val="18"/>
                <w:lang w:val="fr-FR"/>
              </w:rPr>
            </w:pPr>
            <w:r w:rsidRPr="00223459">
              <w:rPr>
                <w:rFonts w:cs="Arial"/>
                <w:sz w:val="18"/>
                <w:szCs w:val="18"/>
                <w:lang w:val="fr-FR"/>
              </w:rPr>
              <w:t>PRUNU_ARM</w:t>
            </w:r>
          </w:p>
          <w:p w14:paraId="6B84A736" w14:textId="77777777" w:rsidR="00214329" w:rsidRPr="00223459" w:rsidRDefault="0060633E" w:rsidP="00BD4986">
            <w:pPr>
              <w:keepNext/>
              <w:spacing w:before="40" w:after="40"/>
              <w:jc w:val="left"/>
              <w:rPr>
                <w:rFonts w:cs="Arial"/>
                <w:sz w:val="18"/>
                <w:szCs w:val="18"/>
                <w:lang w:val="fr-FR"/>
              </w:rPr>
            </w:pPr>
            <w:r w:rsidRPr="00223459">
              <w:rPr>
                <w:rFonts w:cs="Arial"/>
                <w:sz w:val="18"/>
                <w:szCs w:val="18"/>
                <w:lang w:val="fr-FR"/>
              </w:rPr>
              <w:t>PRUNU_CSF</w:t>
            </w:r>
          </w:p>
          <w:p w14:paraId="5B0FC2E5" w14:textId="77777777" w:rsidR="00214329" w:rsidRPr="00223459" w:rsidRDefault="0060633E" w:rsidP="00BD4986">
            <w:pPr>
              <w:keepNext/>
              <w:spacing w:before="40" w:after="40"/>
              <w:jc w:val="left"/>
              <w:rPr>
                <w:rFonts w:cs="Arial"/>
                <w:sz w:val="18"/>
                <w:szCs w:val="18"/>
                <w:lang w:val="fr-FR"/>
              </w:rPr>
            </w:pPr>
            <w:r w:rsidRPr="00223459">
              <w:rPr>
                <w:rFonts w:cs="Arial"/>
                <w:sz w:val="18"/>
                <w:szCs w:val="18"/>
                <w:lang w:val="fr-FR"/>
              </w:rPr>
              <w:t>PRUNU_DOM</w:t>
            </w:r>
          </w:p>
          <w:p w14:paraId="06B4A3D6" w14:textId="77777777" w:rsidR="00214329" w:rsidRPr="00223459" w:rsidRDefault="0060633E" w:rsidP="00BD4986">
            <w:pPr>
              <w:keepNext/>
              <w:spacing w:before="40" w:after="40"/>
              <w:jc w:val="left"/>
              <w:rPr>
                <w:rFonts w:cs="Arial"/>
                <w:sz w:val="18"/>
                <w:szCs w:val="18"/>
                <w:lang w:val="de-DE"/>
              </w:rPr>
            </w:pPr>
            <w:r w:rsidRPr="00223459">
              <w:rPr>
                <w:rFonts w:cs="Arial"/>
                <w:sz w:val="18"/>
                <w:szCs w:val="18"/>
                <w:lang w:val="de-DE"/>
              </w:rPr>
              <w:t>PRUNU_MAR</w:t>
            </w:r>
          </w:p>
          <w:p w14:paraId="5AFDF7A5" w14:textId="77777777" w:rsidR="00214329" w:rsidRPr="00E83514" w:rsidRDefault="0060633E" w:rsidP="00BD4986">
            <w:pPr>
              <w:keepNext/>
              <w:spacing w:before="40" w:after="40"/>
              <w:jc w:val="left"/>
              <w:rPr>
                <w:rFonts w:cs="Arial"/>
                <w:sz w:val="18"/>
                <w:szCs w:val="18"/>
                <w:lang w:val="de-DE"/>
              </w:rPr>
            </w:pPr>
            <w:r w:rsidRPr="00E83514">
              <w:rPr>
                <w:rFonts w:cs="Arial"/>
                <w:sz w:val="18"/>
                <w:szCs w:val="18"/>
                <w:lang w:val="de-DE"/>
              </w:rPr>
              <w:t>PRUNU_MUM</w:t>
            </w:r>
          </w:p>
          <w:p w14:paraId="5C1269E7" w14:textId="77777777" w:rsidR="00214329" w:rsidRPr="00E83514" w:rsidRDefault="0060633E" w:rsidP="00BD4986">
            <w:pPr>
              <w:keepNext/>
              <w:spacing w:before="40" w:after="40"/>
              <w:jc w:val="left"/>
              <w:rPr>
                <w:rFonts w:cs="Arial"/>
                <w:sz w:val="18"/>
                <w:szCs w:val="18"/>
                <w:lang w:val="de-DE"/>
              </w:rPr>
            </w:pPr>
            <w:r w:rsidRPr="00E83514">
              <w:rPr>
                <w:rFonts w:cs="Arial"/>
                <w:sz w:val="18"/>
                <w:szCs w:val="18"/>
                <w:lang w:val="de-DE"/>
              </w:rPr>
              <w:t>PRUNU_SAL</w:t>
            </w:r>
          </w:p>
          <w:p w14:paraId="4975B183" w14:textId="77777777" w:rsidR="009F4D63" w:rsidRPr="00E83514" w:rsidRDefault="009F4D63" w:rsidP="00BD4986">
            <w:pPr>
              <w:keepNext/>
              <w:spacing w:before="40" w:after="40"/>
              <w:jc w:val="left"/>
              <w:rPr>
                <w:rFonts w:cs="Arial"/>
                <w:sz w:val="18"/>
                <w:szCs w:val="18"/>
                <w:lang w:val="de-DE"/>
              </w:rPr>
            </w:pPr>
          </w:p>
          <w:p w14:paraId="4327CC53" w14:textId="77777777" w:rsidR="0049698A" w:rsidRPr="00E83514" w:rsidRDefault="0049698A" w:rsidP="00BD4986">
            <w:pPr>
              <w:keepNext/>
              <w:spacing w:before="40" w:after="40"/>
              <w:jc w:val="left"/>
              <w:rPr>
                <w:rFonts w:cs="Arial"/>
                <w:sz w:val="18"/>
                <w:szCs w:val="18"/>
                <w:lang w:val="de-DE"/>
              </w:rPr>
            </w:pPr>
          </w:p>
          <w:p w14:paraId="68D66EE8" w14:textId="10F456C7" w:rsidR="00214329" w:rsidRPr="00B140F2" w:rsidRDefault="00726387" w:rsidP="00BD4986">
            <w:pPr>
              <w:keepNext/>
              <w:spacing w:before="40" w:after="40"/>
              <w:jc w:val="left"/>
              <w:rPr>
                <w:sz w:val="18"/>
                <w:szCs w:val="18"/>
                <w:lang w:val="de-DE"/>
              </w:rPr>
            </w:pPr>
            <w:r w:rsidRPr="00B140F2">
              <w:rPr>
                <w:sz w:val="18"/>
                <w:szCs w:val="18"/>
                <w:lang w:val="de-DE"/>
              </w:rPr>
              <w:t xml:space="preserve">Bei Arthybriden </w:t>
            </w:r>
            <w:r w:rsidR="0060633E" w:rsidRPr="00B140F2">
              <w:rPr>
                <w:sz w:val="18"/>
                <w:szCs w:val="18"/>
                <w:lang w:val="de-DE"/>
              </w:rPr>
              <w:t>sollten die Klassen aller Elternarten berücksichtigt werden</w:t>
            </w:r>
            <w:r w:rsidR="00F16B77" w:rsidRPr="00B140F2">
              <w:rPr>
                <w:sz w:val="18"/>
                <w:szCs w:val="18"/>
                <w:lang w:val="de-DE"/>
              </w:rPr>
              <w:t>.</w:t>
            </w:r>
          </w:p>
          <w:p w14:paraId="0569A38F" w14:textId="77777777" w:rsidR="00BB481A" w:rsidRPr="00B140F2" w:rsidRDefault="00BB481A" w:rsidP="00BD4986">
            <w:pPr>
              <w:keepNext/>
              <w:spacing w:before="40" w:after="40"/>
              <w:jc w:val="left"/>
              <w:rPr>
                <w:rFonts w:cs="Arial"/>
                <w:sz w:val="18"/>
                <w:szCs w:val="18"/>
                <w:lang w:val="de-DE"/>
              </w:rPr>
            </w:pPr>
          </w:p>
        </w:tc>
      </w:tr>
      <w:tr w:rsidR="00741B3F" w:rsidRPr="00223459" w14:paraId="16528831" w14:textId="77777777" w:rsidTr="00673DF2">
        <w:trPr>
          <w:cantSplit/>
        </w:trPr>
        <w:tc>
          <w:tcPr>
            <w:tcW w:w="1555"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2DEF1B0" w14:textId="77777777" w:rsidR="00214329" w:rsidRPr="00E83514" w:rsidRDefault="0060633E" w:rsidP="00BD4986">
            <w:pPr>
              <w:keepNext/>
              <w:spacing w:before="40" w:after="40"/>
              <w:ind w:left="-1529" w:firstLine="1529"/>
              <w:jc w:val="left"/>
              <w:rPr>
                <w:rFonts w:cs="Arial"/>
                <w:sz w:val="18"/>
                <w:szCs w:val="18"/>
                <w:lang w:val="de-DE"/>
              </w:rPr>
            </w:pPr>
            <w:r w:rsidRPr="00E83514">
              <w:rPr>
                <w:rFonts w:cs="Arial"/>
                <w:sz w:val="18"/>
                <w:szCs w:val="18"/>
                <w:lang w:val="de-DE"/>
              </w:rPr>
              <w:t>Neue Klasse 6.3</w:t>
            </w:r>
          </w:p>
        </w:tc>
        <w:tc>
          <w:tcPr>
            <w:tcW w:w="538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DEAE1FA" w14:textId="77777777" w:rsidR="00214329" w:rsidRPr="00E83514" w:rsidRDefault="0060633E" w:rsidP="00BD4986">
            <w:pPr>
              <w:keepNext/>
              <w:spacing w:before="40" w:after="40"/>
              <w:jc w:val="left"/>
              <w:rPr>
                <w:rFonts w:cs="Arial"/>
                <w:i/>
                <w:sz w:val="18"/>
                <w:szCs w:val="18"/>
                <w:lang w:val="de-DE"/>
              </w:rPr>
            </w:pPr>
            <w:r w:rsidRPr="00E83514">
              <w:rPr>
                <w:rFonts w:eastAsia="Yu Gothic" w:cs="Arial"/>
                <w:i/>
                <w:sz w:val="18"/>
                <w:szCs w:val="18"/>
                <w:lang w:val="de-DE" w:eastAsia="ja-JP"/>
              </w:rPr>
              <w:t xml:space="preserve">Prunus dulcis </w:t>
            </w:r>
            <w:r w:rsidRPr="00E83514">
              <w:rPr>
                <w:rFonts w:eastAsia="Yu Gothic" w:cs="Arial"/>
                <w:sz w:val="18"/>
                <w:szCs w:val="18"/>
                <w:lang w:val="de-DE" w:eastAsia="ja-JP"/>
              </w:rPr>
              <w:t xml:space="preserve">(Mill.) D. A. </w:t>
            </w:r>
            <w:r w:rsidRPr="00E83514">
              <w:rPr>
                <w:rFonts w:cs="Arial"/>
                <w:i/>
                <w:sz w:val="18"/>
                <w:szCs w:val="18"/>
                <w:lang w:val="de-DE"/>
              </w:rPr>
              <w:t xml:space="preserve">Webb </w:t>
            </w:r>
          </w:p>
          <w:p w14:paraId="56EC0305" w14:textId="77777777" w:rsidR="00214329" w:rsidRPr="00E83514" w:rsidRDefault="0060633E" w:rsidP="00BD4986">
            <w:pPr>
              <w:keepNext/>
              <w:spacing w:before="40" w:after="40"/>
              <w:jc w:val="left"/>
              <w:rPr>
                <w:rFonts w:cs="Arial"/>
                <w:sz w:val="18"/>
                <w:szCs w:val="18"/>
                <w:lang w:val="de-DE"/>
              </w:rPr>
            </w:pPr>
            <w:r w:rsidRPr="00E83514">
              <w:rPr>
                <w:rFonts w:cs="Arial"/>
                <w:i/>
                <w:sz w:val="18"/>
                <w:szCs w:val="18"/>
                <w:lang w:val="de-DE"/>
              </w:rPr>
              <w:t xml:space="preserve">Prunus persica </w:t>
            </w:r>
            <w:r w:rsidRPr="00E83514">
              <w:rPr>
                <w:rFonts w:cs="Arial"/>
                <w:sz w:val="18"/>
                <w:szCs w:val="18"/>
                <w:lang w:val="de-DE"/>
              </w:rPr>
              <w:t>(L.) Batsch.</w:t>
            </w:r>
          </w:p>
          <w:p w14:paraId="373CB06E" w14:textId="77777777" w:rsidR="00741B3F" w:rsidRPr="00E83514" w:rsidRDefault="00741B3F" w:rsidP="00BD4986">
            <w:pPr>
              <w:keepNext/>
              <w:spacing w:before="40" w:after="40"/>
              <w:jc w:val="left"/>
              <w:rPr>
                <w:rFonts w:cs="Arial"/>
                <w:sz w:val="18"/>
                <w:szCs w:val="18"/>
                <w:lang w:val="de-DE"/>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E494F18" w14:textId="77777777" w:rsidR="00214329" w:rsidRPr="00B140F2" w:rsidRDefault="0060633E" w:rsidP="00BD4986">
            <w:pPr>
              <w:keepNext/>
              <w:spacing w:before="40" w:after="40"/>
              <w:jc w:val="left"/>
              <w:rPr>
                <w:rFonts w:cs="Arial"/>
                <w:sz w:val="18"/>
                <w:szCs w:val="18"/>
                <w:lang w:val="de-DE"/>
              </w:rPr>
            </w:pPr>
            <w:r w:rsidRPr="00B140F2">
              <w:rPr>
                <w:rFonts w:cs="Arial"/>
                <w:sz w:val="18"/>
                <w:szCs w:val="18"/>
                <w:lang w:val="de-DE"/>
              </w:rPr>
              <w:t>PRUNU_DUL</w:t>
            </w:r>
          </w:p>
          <w:p w14:paraId="4D6C0B1C" w14:textId="77777777" w:rsidR="00214329" w:rsidRPr="00B140F2" w:rsidRDefault="0060633E" w:rsidP="00BD4986">
            <w:pPr>
              <w:keepNext/>
              <w:spacing w:before="40" w:after="40"/>
              <w:jc w:val="left"/>
              <w:rPr>
                <w:rFonts w:cs="Arial"/>
                <w:sz w:val="18"/>
                <w:szCs w:val="18"/>
                <w:lang w:val="de-DE"/>
              </w:rPr>
            </w:pPr>
            <w:r w:rsidRPr="00B140F2">
              <w:rPr>
                <w:rFonts w:cs="Arial"/>
                <w:sz w:val="18"/>
                <w:szCs w:val="18"/>
                <w:lang w:val="de-DE"/>
              </w:rPr>
              <w:t>PRUNU_PER</w:t>
            </w:r>
          </w:p>
          <w:p w14:paraId="44F2FE46" w14:textId="77777777" w:rsidR="00BB481A" w:rsidRPr="00B140F2" w:rsidRDefault="00BB481A" w:rsidP="00BD4986">
            <w:pPr>
              <w:keepNext/>
              <w:spacing w:before="40" w:after="40"/>
              <w:jc w:val="left"/>
              <w:rPr>
                <w:rFonts w:cs="Arial"/>
                <w:sz w:val="18"/>
                <w:szCs w:val="18"/>
                <w:lang w:val="de-DE"/>
              </w:rPr>
            </w:pPr>
          </w:p>
          <w:p w14:paraId="391199BF" w14:textId="28E954A2" w:rsidR="00214329" w:rsidRPr="00B140F2" w:rsidRDefault="00726387" w:rsidP="00BD4986">
            <w:pPr>
              <w:keepNext/>
              <w:spacing w:before="40" w:after="40"/>
              <w:jc w:val="left"/>
              <w:rPr>
                <w:sz w:val="18"/>
                <w:szCs w:val="18"/>
                <w:lang w:val="de-DE"/>
              </w:rPr>
            </w:pPr>
            <w:r w:rsidRPr="00B140F2">
              <w:rPr>
                <w:sz w:val="18"/>
                <w:szCs w:val="18"/>
                <w:lang w:val="de-DE"/>
              </w:rPr>
              <w:t xml:space="preserve">Bei Arthybriden </w:t>
            </w:r>
            <w:r w:rsidR="0060633E" w:rsidRPr="00B140F2">
              <w:rPr>
                <w:sz w:val="18"/>
                <w:szCs w:val="18"/>
                <w:lang w:val="de-DE"/>
              </w:rPr>
              <w:t>sollten die Klassen aller Elternarten berücksichtigt werden</w:t>
            </w:r>
            <w:r w:rsidR="00F16B77" w:rsidRPr="00B140F2">
              <w:rPr>
                <w:sz w:val="18"/>
                <w:szCs w:val="18"/>
                <w:lang w:val="de-DE"/>
              </w:rPr>
              <w:t>.</w:t>
            </w:r>
          </w:p>
          <w:p w14:paraId="734417D0" w14:textId="77777777" w:rsidR="00BB481A" w:rsidRPr="00B140F2" w:rsidRDefault="00BB481A" w:rsidP="00BD4986">
            <w:pPr>
              <w:keepNext/>
              <w:spacing w:before="40" w:after="40"/>
              <w:jc w:val="left"/>
              <w:rPr>
                <w:rFonts w:cs="Arial"/>
                <w:sz w:val="18"/>
                <w:szCs w:val="18"/>
                <w:lang w:val="de-DE"/>
              </w:rPr>
            </w:pPr>
          </w:p>
        </w:tc>
      </w:tr>
      <w:tr w:rsidR="00741B3F" w:rsidRPr="00223459" w14:paraId="2CFB8CDF" w14:textId="77777777" w:rsidTr="00673DF2">
        <w:trPr>
          <w:cantSplit/>
          <w:trHeight w:val="1056"/>
        </w:trPr>
        <w:tc>
          <w:tcPr>
            <w:tcW w:w="1555"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73F7C91" w14:textId="77777777" w:rsidR="00214329" w:rsidRPr="00E83514" w:rsidRDefault="0060633E" w:rsidP="00BD4986">
            <w:pPr>
              <w:keepNext/>
              <w:spacing w:before="40" w:after="40"/>
              <w:ind w:left="-1529" w:firstLine="1529"/>
              <w:jc w:val="left"/>
              <w:rPr>
                <w:rFonts w:cs="Arial"/>
                <w:sz w:val="18"/>
                <w:szCs w:val="18"/>
                <w:lang w:val="de-DE"/>
              </w:rPr>
            </w:pPr>
            <w:r w:rsidRPr="00E83514">
              <w:rPr>
                <w:rFonts w:cs="Arial"/>
                <w:sz w:val="18"/>
                <w:szCs w:val="18"/>
                <w:lang w:val="de-DE"/>
              </w:rPr>
              <w:t>Neue Klasse 6.4</w:t>
            </w:r>
          </w:p>
        </w:tc>
        <w:tc>
          <w:tcPr>
            <w:tcW w:w="5386"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99AAC6D" w14:textId="01F9A13A" w:rsidR="00214329" w:rsidRPr="00B140F2" w:rsidRDefault="0060633E" w:rsidP="00BD4986">
            <w:pPr>
              <w:keepNext/>
              <w:spacing w:before="40" w:after="40"/>
              <w:jc w:val="left"/>
              <w:rPr>
                <w:rFonts w:cs="Arial"/>
                <w:sz w:val="18"/>
                <w:szCs w:val="18"/>
                <w:lang w:val="de-DE"/>
              </w:rPr>
            </w:pPr>
            <w:r w:rsidRPr="00B140F2">
              <w:rPr>
                <w:rFonts w:cs="Arial"/>
                <w:i/>
                <w:sz w:val="18"/>
                <w:szCs w:val="18"/>
                <w:lang w:val="de-DE"/>
              </w:rPr>
              <w:t>Prunus</w:t>
            </w:r>
            <w:r w:rsidRPr="00B140F2">
              <w:rPr>
                <w:rFonts w:cs="Arial"/>
                <w:sz w:val="18"/>
                <w:szCs w:val="18"/>
                <w:lang w:val="de-DE"/>
              </w:rPr>
              <w:t xml:space="preserve"> </w:t>
            </w:r>
            <w:r w:rsidR="00B140F2">
              <w:rPr>
                <w:rFonts w:cs="Arial"/>
                <w:sz w:val="18"/>
                <w:szCs w:val="18"/>
                <w:lang w:val="de-DE"/>
              </w:rPr>
              <w:t>anderer</w:t>
            </w:r>
            <w:r w:rsidR="00B140F2" w:rsidRPr="00B140F2">
              <w:rPr>
                <w:rFonts w:cs="Arial"/>
                <w:sz w:val="18"/>
                <w:szCs w:val="18"/>
                <w:lang w:val="de-DE"/>
              </w:rPr>
              <w:t xml:space="preserve"> </w:t>
            </w:r>
            <w:r w:rsidRPr="00B140F2">
              <w:rPr>
                <w:rFonts w:cs="Arial"/>
                <w:sz w:val="18"/>
                <w:szCs w:val="18"/>
                <w:lang w:val="de-DE"/>
              </w:rPr>
              <w:t xml:space="preserve">Klassen </w:t>
            </w:r>
            <w:r w:rsidR="00B140F2">
              <w:rPr>
                <w:rFonts w:cs="Arial"/>
                <w:sz w:val="18"/>
                <w:szCs w:val="18"/>
                <w:lang w:val="de-DE"/>
              </w:rPr>
              <w:t xml:space="preserve">als </w:t>
            </w:r>
            <w:r w:rsidRPr="00B140F2">
              <w:rPr>
                <w:rFonts w:cs="Arial"/>
                <w:sz w:val="18"/>
                <w:szCs w:val="18"/>
                <w:lang w:val="de-DE"/>
              </w:rPr>
              <w:t>6.1, 6.2 und 6.3, einschließlich PRUNU in mehr als einer Klasse.</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DD5C537" w14:textId="1AE4FD7C" w:rsidR="00214329" w:rsidRPr="00B140F2" w:rsidRDefault="0060633E" w:rsidP="00BD4986">
            <w:pPr>
              <w:jc w:val="left"/>
              <w:rPr>
                <w:rFonts w:cs="Arial"/>
                <w:sz w:val="18"/>
                <w:szCs w:val="18"/>
                <w:lang w:val="de-DE"/>
              </w:rPr>
            </w:pPr>
            <w:r w:rsidRPr="00B140F2">
              <w:rPr>
                <w:rFonts w:cs="Arial"/>
                <w:sz w:val="18"/>
                <w:szCs w:val="18"/>
                <w:lang w:val="de-DE"/>
              </w:rPr>
              <w:t>andere als die Klassen 6.1, 6.2 und 6.3, einschließlich PRUNU in mehr als einer Klasse.</w:t>
            </w:r>
            <w:r w:rsidR="00FE0BFC" w:rsidRPr="00B140F2">
              <w:rPr>
                <w:rFonts w:cs="Arial"/>
                <w:sz w:val="18"/>
                <w:szCs w:val="18"/>
                <w:lang w:val="de-DE"/>
              </w:rPr>
              <w:t xml:space="preserve"> </w:t>
            </w:r>
          </w:p>
        </w:tc>
      </w:tr>
    </w:tbl>
    <w:p w14:paraId="49582233" w14:textId="77777777" w:rsidR="00741B3F" w:rsidRPr="00B140F2" w:rsidRDefault="00741B3F" w:rsidP="00BD4986">
      <w:pPr>
        <w:rPr>
          <w:i/>
          <w:lang w:val="de-DE"/>
        </w:rPr>
      </w:pPr>
    </w:p>
    <w:p w14:paraId="5524DA8A" w14:textId="3B2AAFF5" w:rsidR="00214329" w:rsidRPr="00B140F2" w:rsidRDefault="0060633E" w:rsidP="00BD4986">
      <w:pPr>
        <w:keepLines/>
        <w:rPr>
          <w:rFonts w:cs="Arial"/>
          <w:color w:val="000000"/>
          <w:lang w:val="de-DE"/>
        </w:rPr>
      </w:pPr>
      <w:r w:rsidRPr="00E83514">
        <w:rPr>
          <w:lang w:val="de-DE"/>
        </w:rPr>
        <w:lastRenderedPageBreak/>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F15238" w:rsidRPr="00B140F2">
        <w:rPr>
          <w:lang w:val="de-DE"/>
        </w:rPr>
        <w:t xml:space="preserve">Der </w:t>
      </w:r>
      <w:r w:rsidR="00814DAF" w:rsidRPr="00B140F2">
        <w:rPr>
          <w:lang w:val="de-DE"/>
        </w:rPr>
        <w:t xml:space="preserve">Vorschlag erwähnt </w:t>
      </w:r>
      <w:r w:rsidR="00F15238" w:rsidRPr="00B140F2">
        <w:rPr>
          <w:rFonts w:cs="Arial"/>
          <w:i/>
          <w:iCs/>
          <w:color w:val="000000"/>
          <w:lang w:val="de-DE"/>
        </w:rPr>
        <w:t xml:space="preserve">Prunus </w:t>
      </w:r>
      <w:r w:rsidR="00B04A21" w:rsidRPr="00B140F2">
        <w:rPr>
          <w:rFonts w:cs="Arial"/>
          <w:i/>
          <w:iCs/>
          <w:color w:val="000000"/>
          <w:lang w:val="de-DE"/>
        </w:rPr>
        <w:t xml:space="preserve">insititia </w:t>
      </w:r>
      <w:r w:rsidR="00F15238" w:rsidRPr="00B140F2">
        <w:rPr>
          <w:lang w:val="de-DE"/>
        </w:rPr>
        <w:t>nicht</w:t>
      </w:r>
      <w:r w:rsidR="00E21AF2" w:rsidRPr="00B140F2">
        <w:rPr>
          <w:rFonts w:cs="Arial"/>
          <w:color w:val="000000"/>
          <w:lang w:val="de-DE"/>
        </w:rPr>
        <w:t xml:space="preserve">, da </w:t>
      </w:r>
      <w:r w:rsidR="001B6CF4">
        <w:rPr>
          <w:rFonts w:cs="Arial"/>
          <w:color w:val="000000"/>
          <w:lang w:val="de-DE"/>
        </w:rPr>
        <w:t>dies</w:t>
      </w:r>
      <w:r w:rsidR="00E21AF2" w:rsidRPr="00B140F2">
        <w:rPr>
          <w:rFonts w:cs="Arial"/>
          <w:color w:val="000000"/>
          <w:lang w:val="de-DE"/>
        </w:rPr>
        <w:t xml:space="preserve"> als </w:t>
      </w:r>
      <w:r w:rsidR="007D5452" w:rsidRPr="00B140F2">
        <w:rPr>
          <w:rFonts w:cs="Arial"/>
          <w:color w:val="000000"/>
          <w:lang w:val="de-DE"/>
        </w:rPr>
        <w:t xml:space="preserve">Synonym von </w:t>
      </w:r>
      <w:r w:rsidR="00E21AF2" w:rsidRPr="00B140F2">
        <w:rPr>
          <w:rFonts w:cs="Arial"/>
          <w:i/>
          <w:iCs/>
          <w:color w:val="000000"/>
          <w:lang w:val="de-DE"/>
        </w:rPr>
        <w:t>P</w:t>
      </w:r>
      <w:r w:rsidR="007D5452" w:rsidRPr="00B140F2">
        <w:rPr>
          <w:rFonts w:cs="Arial"/>
          <w:i/>
          <w:iCs/>
          <w:color w:val="000000"/>
          <w:lang w:val="de-DE"/>
        </w:rPr>
        <w:t xml:space="preserve">. </w:t>
      </w:r>
      <w:r w:rsidR="00E21AF2" w:rsidRPr="00B140F2">
        <w:rPr>
          <w:rFonts w:cs="Arial"/>
          <w:i/>
          <w:iCs/>
          <w:color w:val="000000"/>
          <w:lang w:val="de-DE"/>
        </w:rPr>
        <w:t xml:space="preserve">domestica </w:t>
      </w:r>
      <w:r w:rsidR="00E21AF2" w:rsidRPr="00B140F2">
        <w:rPr>
          <w:rFonts w:cs="Arial"/>
          <w:color w:val="000000"/>
          <w:lang w:val="de-DE"/>
        </w:rPr>
        <w:t xml:space="preserve">L. subsp. </w:t>
      </w:r>
      <w:r w:rsidR="00E21AF2" w:rsidRPr="00B140F2">
        <w:rPr>
          <w:rFonts w:cs="Arial"/>
          <w:i/>
          <w:iCs/>
          <w:color w:val="000000"/>
          <w:lang w:val="de-DE"/>
        </w:rPr>
        <w:t xml:space="preserve">insititia </w:t>
      </w:r>
      <w:r w:rsidR="00E21AF2" w:rsidRPr="00B140F2">
        <w:rPr>
          <w:rFonts w:cs="Arial"/>
          <w:color w:val="000000"/>
          <w:lang w:val="de-DE"/>
        </w:rPr>
        <w:t xml:space="preserve">(L.) C. K. Schneid neu eingestuft wurde </w:t>
      </w:r>
      <w:r w:rsidR="007D5452" w:rsidRPr="00B140F2">
        <w:rPr>
          <w:rFonts w:cs="Arial"/>
          <w:color w:val="000000"/>
          <w:lang w:val="de-DE"/>
        </w:rPr>
        <w:t xml:space="preserve">und daher </w:t>
      </w:r>
      <w:r w:rsidR="00DA3E90" w:rsidRPr="00B140F2">
        <w:rPr>
          <w:rFonts w:cs="Arial"/>
          <w:color w:val="000000"/>
          <w:lang w:val="de-DE"/>
        </w:rPr>
        <w:t xml:space="preserve">in </w:t>
      </w:r>
      <w:r w:rsidR="00DA3E90" w:rsidRPr="00B140F2">
        <w:rPr>
          <w:rFonts w:cs="Arial"/>
          <w:i/>
          <w:iCs/>
          <w:color w:val="000000"/>
          <w:lang w:val="de-DE"/>
        </w:rPr>
        <w:t xml:space="preserve">P. domestica </w:t>
      </w:r>
      <w:r w:rsidR="00B20D62" w:rsidRPr="00B140F2">
        <w:rPr>
          <w:rFonts w:cs="Arial"/>
          <w:color w:val="000000"/>
          <w:lang w:val="de-DE"/>
        </w:rPr>
        <w:t xml:space="preserve">L. </w:t>
      </w:r>
      <w:r w:rsidR="00861A04" w:rsidRPr="00B140F2">
        <w:rPr>
          <w:rFonts w:cs="Arial"/>
          <w:color w:val="000000"/>
          <w:lang w:val="de-DE"/>
        </w:rPr>
        <w:t xml:space="preserve">(PRUNU_DOM) </w:t>
      </w:r>
      <w:r w:rsidR="00DA3E90" w:rsidRPr="00B140F2">
        <w:rPr>
          <w:rFonts w:cs="Arial"/>
          <w:color w:val="000000"/>
          <w:lang w:val="de-DE"/>
        </w:rPr>
        <w:t xml:space="preserve">enthalten </w:t>
      </w:r>
      <w:r w:rsidR="007D5452" w:rsidRPr="00B140F2">
        <w:rPr>
          <w:rFonts w:cs="Arial"/>
          <w:color w:val="000000"/>
          <w:lang w:val="de-DE"/>
        </w:rPr>
        <w:t>ist</w:t>
      </w:r>
      <w:r w:rsidR="0065123C" w:rsidRPr="00B140F2">
        <w:rPr>
          <w:rFonts w:cs="Arial"/>
          <w:color w:val="000000"/>
          <w:lang w:val="de-DE"/>
        </w:rPr>
        <w:t>.</w:t>
      </w:r>
      <w:r w:rsidR="00FE0BFC" w:rsidRPr="00B140F2">
        <w:rPr>
          <w:rFonts w:cs="Arial"/>
          <w:color w:val="000000"/>
          <w:lang w:val="de-DE"/>
        </w:rPr>
        <w:t xml:space="preserve"> </w:t>
      </w:r>
      <w:r w:rsidR="00C9525B" w:rsidRPr="00B140F2">
        <w:rPr>
          <w:rFonts w:cs="Arial"/>
          <w:color w:val="000000"/>
          <w:lang w:val="de-DE"/>
        </w:rPr>
        <w:t xml:space="preserve">Derzeit gibt es keinen UPOV-Code für </w:t>
      </w:r>
      <w:r w:rsidR="00020E3E" w:rsidRPr="00B140F2">
        <w:rPr>
          <w:rFonts w:cs="Arial"/>
          <w:i/>
          <w:iCs/>
          <w:color w:val="000000"/>
          <w:lang w:val="de-DE"/>
        </w:rPr>
        <w:t>Prunus subcordata</w:t>
      </w:r>
      <w:r w:rsidR="00020E3E" w:rsidRPr="00B140F2">
        <w:rPr>
          <w:rFonts w:cs="Arial"/>
          <w:color w:val="000000"/>
          <w:lang w:val="de-DE"/>
        </w:rPr>
        <w:t xml:space="preserve">, da </w:t>
      </w:r>
      <w:r w:rsidR="00C9525B" w:rsidRPr="00B140F2">
        <w:rPr>
          <w:rFonts w:cs="Arial"/>
          <w:color w:val="000000"/>
          <w:lang w:val="de-DE"/>
        </w:rPr>
        <w:t xml:space="preserve">keine </w:t>
      </w:r>
      <w:r w:rsidR="00020E3E" w:rsidRPr="00B140F2">
        <w:rPr>
          <w:rFonts w:cs="Arial"/>
          <w:color w:val="000000"/>
          <w:lang w:val="de-DE"/>
        </w:rPr>
        <w:t xml:space="preserve">Sorten von Datenlieferanten an die PLUTO-Datenbank gemeldet </w:t>
      </w:r>
      <w:r w:rsidR="00E76EAF" w:rsidRPr="00B140F2">
        <w:rPr>
          <w:rFonts w:cs="Arial"/>
          <w:color w:val="000000"/>
          <w:lang w:val="de-DE"/>
        </w:rPr>
        <w:t>wurden</w:t>
      </w:r>
      <w:r w:rsidR="00020E3E" w:rsidRPr="00B140F2">
        <w:rPr>
          <w:rFonts w:cs="Arial"/>
          <w:color w:val="000000"/>
          <w:lang w:val="de-DE"/>
        </w:rPr>
        <w:t>.</w:t>
      </w:r>
      <w:r w:rsidR="00FE0BFC" w:rsidRPr="00B140F2">
        <w:rPr>
          <w:rFonts w:cs="Arial"/>
          <w:color w:val="000000"/>
          <w:lang w:val="de-DE"/>
        </w:rPr>
        <w:t xml:space="preserve"> </w:t>
      </w:r>
    </w:p>
    <w:p w14:paraId="01E0BC13" w14:textId="77777777" w:rsidR="004B58BE" w:rsidRPr="00B140F2" w:rsidRDefault="004B58BE" w:rsidP="00BD4986">
      <w:pPr>
        <w:pStyle w:val="EndnoteText"/>
        <w:rPr>
          <w:rFonts w:eastAsiaTheme="minorEastAsia"/>
          <w:lang w:val="de-DE"/>
        </w:rPr>
      </w:pPr>
    </w:p>
    <w:p w14:paraId="259BD382" w14:textId="346D4456"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006D540F" w:rsidRPr="00B140F2">
        <w:rPr>
          <w:lang w:val="de-DE"/>
        </w:rPr>
        <w:tab/>
      </w:r>
      <w:r w:rsidR="00AD285C" w:rsidRPr="00B140F2">
        <w:rPr>
          <w:lang w:val="de-DE"/>
        </w:rPr>
        <w:t xml:space="preserve">Der </w:t>
      </w:r>
      <w:r w:rsidR="000D0259" w:rsidRPr="00B140F2">
        <w:rPr>
          <w:lang w:val="de-DE"/>
        </w:rPr>
        <w:t xml:space="preserve">Schaffung von </w:t>
      </w:r>
      <w:r w:rsidR="002E47FA" w:rsidRPr="00B140F2">
        <w:rPr>
          <w:lang w:val="de-DE"/>
        </w:rPr>
        <w:t xml:space="preserve">Sortenbezeichnungsklassen für </w:t>
      </w:r>
      <w:r w:rsidR="002E47FA" w:rsidRPr="001B6CF4">
        <w:rPr>
          <w:i/>
          <w:iCs/>
          <w:lang w:val="de-DE"/>
        </w:rPr>
        <w:t>Prunu</w:t>
      </w:r>
      <w:r w:rsidR="002E47FA" w:rsidRPr="001B6CF4">
        <w:rPr>
          <w:lang w:val="de-DE"/>
        </w:rPr>
        <w:t>s</w:t>
      </w:r>
      <w:r w:rsidR="002E47FA" w:rsidRPr="00B140F2">
        <w:rPr>
          <w:lang w:val="de-DE"/>
        </w:rPr>
        <w:t xml:space="preserve"> </w:t>
      </w:r>
      <w:r w:rsidR="00AD285C" w:rsidRPr="00B140F2">
        <w:rPr>
          <w:lang w:val="de-DE"/>
        </w:rPr>
        <w:t xml:space="preserve">sollte eine </w:t>
      </w:r>
      <w:r w:rsidR="00B05E95" w:rsidRPr="00B140F2">
        <w:rPr>
          <w:lang w:val="de-DE"/>
        </w:rPr>
        <w:t xml:space="preserve">Aktualisierung der </w:t>
      </w:r>
      <w:r w:rsidR="00387809" w:rsidRPr="00B140F2">
        <w:rPr>
          <w:lang w:val="de-DE"/>
        </w:rPr>
        <w:t xml:space="preserve">Sortenbezeichnungsklassen </w:t>
      </w:r>
      <w:r w:rsidR="0071033A" w:rsidRPr="00B140F2">
        <w:rPr>
          <w:lang w:val="de-DE"/>
        </w:rPr>
        <w:t xml:space="preserve">der </w:t>
      </w:r>
      <w:r w:rsidRPr="00B140F2">
        <w:rPr>
          <w:lang w:val="de-DE"/>
        </w:rPr>
        <w:t xml:space="preserve">UPOV-Codes für </w:t>
      </w:r>
      <w:r w:rsidR="001329DB" w:rsidRPr="00B140F2">
        <w:rPr>
          <w:lang w:val="de-DE"/>
        </w:rPr>
        <w:t xml:space="preserve">die </w:t>
      </w:r>
      <w:r w:rsidR="00514572" w:rsidRPr="00B140F2">
        <w:rPr>
          <w:lang w:val="de-DE"/>
        </w:rPr>
        <w:t>Arthybrid</w:t>
      </w:r>
      <w:r w:rsidRPr="00B140F2">
        <w:rPr>
          <w:lang w:val="de-DE"/>
        </w:rPr>
        <w:t xml:space="preserve">en von </w:t>
      </w:r>
      <w:r w:rsidRPr="00B140F2">
        <w:rPr>
          <w:i/>
          <w:iCs/>
          <w:lang w:val="de-DE"/>
        </w:rPr>
        <w:t xml:space="preserve">Prunus </w:t>
      </w:r>
      <w:r w:rsidR="00AD285C" w:rsidRPr="00B140F2">
        <w:rPr>
          <w:lang w:val="de-DE"/>
        </w:rPr>
        <w:t>folgen</w:t>
      </w:r>
      <w:r w:rsidR="001329DB" w:rsidRPr="00B140F2">
        <w:rPr>
          <w:i/>
          <w:iCs/>
          <w:lang w:val="de-DE"/>
        </w:rPr>
        <w:t xml:space="preserve">, </w:t>
      </w:r>
      <w:r w:rsidR="00270F03" w:rsidRPr="00B140F2">
        <w:rPr>
          <w:lang w:val="de-DE"/>
        </w:rPr>
        <w:t xml:space="preserve">die </w:t>
      </w:r>
      <w:r w:rsidRPr="00B140F2">
        <w:rPr>
          <w:lang w:val="de-DE"/>
        </w:rPr>
        <w:t xml:space="preserve">in der GENIE-Datenbank als zu den Bezeichnungsklassen aller </w:t>
      </w:r>
      <w:r w:rsidR="00270F03" w:rsidRPr="00B140F2">
        <w:rPr>
          <w:lang w:val="de-DE"/>
        </w:rPr>
        <w:t xml:space="preserve">in den </w:t>
      </w:r>
      <w:r w:rsidR="002E57C0" w:rsidRPr="00B140F2">
        <w:rPr>
          <w:lang w:val="de-DE"/>
        </w:rPr>
        <w:t xml:space="preserve">jeweiligen </w:t>
      </w:r>
      <w:r w:rsidR="00270F03" w:rsidRPr="00B140F2">
        <w:rPr>
          <w:lang w:val="de-DE"/>
        </w:rPr>
        <w:t xml:space="preserve">Kreuzungen verwendeten </w:t>
      </w:r>
      <w:r w:rsidRPr="00B140F2">
        <w:rPr>
          <w:lang w:val="de-DE"/>
        </w:rPr>
        <w:t>Elternarten gehörend angegeben werden sollten.</w:t>
      </w:r>
    </w:p>
    <w:p w14:paraId="660DFB51" w14:textId="77777777" w:rsidR="001F4EB9" w:rsidRPr="00B140F2" w:rsidRDefault="001F4EB9" w:rsidP="00BD4986">
      <w:pPr>
        <w:rPr>
          <w:rFonts w:cs="Arial"/>
          <w:color w:val="000000"/>
          <w:lang w:val="de-DE"/>
        </w:rPr>
      </w:pPr>
    </w:p>
    <w:p w14:paraId="416F4225" w14:textId="77777777" w:rsidR="00741B3F" w:rsidRPr="00B140F2" w:rsidRDefault="00741B3F" w:rsidP="00BD4986">
      <w:pPr>
        <w:pStyle w:val="EndnoteText"/>
        <w:rPr>
          <w:lang w:val="de-DE"/>
        </w:rPr>
      </w:pPr>
    </w:p>
    <w:p w14:paraId="6449589C" w14:textId="77777777" w:rsidR="007B057D" w:rsidRPr="00B140F2" w:rsidRDefault="007B057D" w:rsidP="00BD4986">
      <w:pPr>
        <w:pStyle w:val="EndnoteText"/>
        <w:rPr>
          <w:lang w:val="de-DE"/>
        </w:rPr>
      </w:pPr>
    </w:p>
    <w:p w14:paraId="6CD94A56" w14:textId="192F9603" w:rsidR="00214329" w:rsidRPr="00B140F2" w:rsidRDefault="0060633E" w:rsidP="00BD4986">
      <w:pPr>
        <w:jc w:val="right"/>
        <w:rPr>
          <w:lang w:val="de-DE"/>
        </w:rPr>
      </w:pPr>
      <w:r w:rsidRPr="00B140F2">
        <w:rPr>
          <w:lang w:val="de-DE"/>
        </w:rPr>
        <w:t>[</w:t>
      </w:r>
      <w:r w:rsidR="002006BE" w:rsidRPr="00B140F2">
        <w:rPr>
          <w:lang w:val="de-DE"/>
        </w:rPr>
        <w:t>Anlage</w:t>
      </w:r>
      <w:r w:rsidRPr="00B140F2">
        <w:rPr>
          <w:lang w:val="de-DE"/>
        </w:rPr>
        <w:t xml:space="preserve"> II folgt]</w:t>
      </w:r>
    </w:p>
    <w:p w14:paraId="6705B422" w14:textId="77777777" w:rsidR="009239FF" w:rsidRPr="00B140F2" w:rsidRDefault="009239FF" w:rsidP="00BD4986">
      <w:pPr>
        <w:rPr>
          <w:lang w:val="de-DE"/>
        </w:rPr>
        <w:sectPr w:rsidR="009239FF" w:rsidRPr="00B140F2" w:rsidSect="007B057D">
          <w:headerReference w:type="default" r:id="rId15"/>
          <w:footerReference w:type="even" r:id="rId16"/>
          <w:footerReference w:type="default" r:id="rId17"/>
          <w:headerReference w:type="first" r:id="rId18"/>
          <w:footerReference w:type="first" r:id="rId19"/>
          <w:footnotePr>
            <w:numRestart w:val="eachSect"/>
          </w:footnotePr>
          <w:pgSz w:w="11907" w:h="16840" w:code="9"/>
          <w:pgMar w:top="510" w:right="1134" w:bottom="1134" w:left="1134" w:header="510" w:footer="680" w:gutter="0"/>
          <w:pgNumType w:start="1"/>
          <w:cols w:space="720"/>
          <w:titlePg/>
        </w:sectPr>
      </w:pPr>
    </w:p>
    <w:p w14:paraId="60DC75F5" w14:textId="38261821" w:rsidR="00214329" w:rsidRPr="00B140F2" w:rsidRDefault="002006BE" w:rsidP="00BD4986">
      <w:pPr>
        <w:jc w:val="center"/>
        <w:rPr>
          <w:lang w:val="de-DE"/>
        </w:rPr>
      </w:pPr>
      <w:r w:rsidRPr="00B140F2">
        <w:rPr>
          <w:lang w:val="de-DE"/>
        </w:rPr>
        <w:lastRenderedPageBreak/>
        <w:t>ANLAGE</w:t>
      </w:r>
      <w:r w:rsidR="0060633E" w:rsidRPr="00B140F2">
        <w:rPr>
          <w:lang w:val="de-DE"/>
        </w:rPr>
        <w:t xml:space="preserve"> II</w:t>
      </w:r>
    </w:p>
    <w:p w14:paraId="04A630A4" w14:textId="77777777" w:rsidR="009239FF" w:rsidRPr="00B140F2" w:rsidRDefault="009239FF" w:rsidP="00BD4986">
      <w:pPr>
        <w:rPr>
          <w:lang w:val="de-DE"/>
        </w:rPr>
      </w:pPr>
    </w:p>
    <w:p w14:paraId="76A4C7FC" w14:textId="17F086F0" w:rsidR="00214329" w:rsidRPr="00B140F2" w:rsidRDefault="0060633E" w:rsidP="00BC74B6">
      <w:pPr>
        <w:jc w:val="center"/>
        <w:rPr>
          <w:lang w:val="de-DE"/>
        </w:rPr>
      </w:pPr>
      <w:r w:rsidRPr="00B140F2">
        <w:rPr>
          <w:lang w:val="de-DE"/>
        </w:rPr>
        <w:t xml:space="preserve">DOKUMENT TGP/12: </w:t>
      </w:r>
      <w:r w:rsidR="00276665" w:rsidRPr="00B140F2">
        <w:rPr>
          <w:lang w:val="de-DE"/>
        </w:rPr>
        <w:t>ANLEITUNG ZU BESTIMMTEN PHYSIOLOGISCHEN MERKMALEN</w:t>
      </w:r>
      <w:r w:rsidRPr="00B140F2">
        <w:rPr>
          <w:lang w:val="de-DE"/>
        </w:rPr>
        <w:t xml:space="preserve"> (ÜBERARBEITUNG)</w:t>
      </w:r>
    </w:p>
    <w:p w14:paraId="2A990888" w14:textId="77777777" w:rsidR="009239FF" w:rsidRPr="00B140F2" w:rsidRDefault="009239FF" w:rsidP="00BD4986">
      <w:pPr>
        <w:rPr>
          <w:lang w:val="de-DE"/>
        </w:rPr>
      </w:pPr>
    </w:p>
    <w:p w14:paraId="4BE91828" w14:textId="079496E0" w:rsidR="00214329" w:rsidRPr="00B140F2" w:rsidRDefault="00923263" w:rsidP="00BD4986">
      <w:pPr>
        <w:jc w:val="center"/>
        <w:rPr>
          <w:lang w:val="de-DE"/>
        </w:rPr>
      </w:pPr>
      <w:r w:rsidRPr="00B140F2">
        <w:rPr>
          <w:u w:val="single"/>
          <w:lang w:val="de-DE"/>
        </w:rPr>
        <w:t>Gleichwertigkeitstabelle</w:t>
      </w:r>
      <w:r w:rsidR="0060633E" w:rsidRPr="00B140F2">
        <w:rPr>
          <w:u w:val="single"/>
          <w:lang w:val="de-DE"/>
        </w:rPr>
        <w:t xml:space="preserve"> für Ausprägungsstufen bei quantitativen Krankheitsresistenzmerkmalen </w:t>
      </w:r>
      <w:r w:rsidR="0060633E" w:rsidRPr="00B140F2">
        <w:rPr>
          <w:u w:val="single"/>
          <w:lang w:val="de-DE"/>
        </w:rPr>
        <w:br/>
        <w:t>in den Prüfungsrichtlinien</w:t>
      </w:r>
    </w:p>
    <w:p w14:paraId="48508CB3" w14:textId="77777777" w:rsidR="00EA6171" w:rsidRPr="00B140F2" w:rsidRDefault="00EA6171" w:rsidP="00BD4986">
      <w:pPr>
        <w:rPr>
          <w:lang w:val="de-DE"/>
        </w:rPr>
      </w:pPr>
    </w:p>
    <w:p w14:paraId="55328485" w14:textId="77777777" w:rsidR="00214329" w:rsidRPr="00B140F2" w:rsidRDefault="0060633E" w:rsidP="00BD4986">
      <w:pPr>
        <w:rPr>
          <w:i/>
          <w:lang w:val="de-DE"/>
        </w:rPr>
      </w:pPr>
      <w:r w:rsidRPr="00B140F2">
        <w:rPr>
          <w:i/>
          <w:lang w:val="de-DE"/>
        </w:rPr>
        <w:t>Hintergrund</w:t>
      </w:r>
    </w:p>
    <w:p w14:paraId="0E12C5D3" w14:textId="77777777" w:rsidR="009239FF" w:rsidRPr="00B140F2" w:rsidRDefault="009239FF" w:rsidP="00BD4986">
      <w:pPr>
        <w:rPr>
          <w:i/>
          <w:lang w:val="de-DE"/>
        </w:rPr>
      </w:pPr>
    </w:p>
    <w:p w14:paraId="013BEB86" w14:textId="1D9F3ADE" w:rsidR="00214329" w:rsidRPr="00B140F2" w:rsidRDefault="0060633E" w:rsidP="00BD4986">
      <w:pPr>
        <w:rPr>
          <w:lang w:val="de-DE"/>
        </w:rPr>
      </w:pPr>
      <w:r w:rsidRPr="00E83514">
        <w:rPr>
          <w:lang w:val="de-DE"/>
        </w:rPr>
        <w:fldChar w:fldCharType="begin"/>
      </w:r>
      <w:r w:rsidRPr="00B140F2">
        <w:rPr>
          <w:lang w:val="de-DE"/>
        </w:rPr>
        <w:instrText xml:space="preserve"> LISTNUM  LegalDefault \l 1 \s 1 </w:instrText>
      </w:r>
      <w:r w:rsidRPr="00E83514">
        <w:rPr>
          <w:lang w:val="de-DE"/>
        </w:rPr>
        <w:fldChar w:fldCharType="end"/>
      </w:r>
      <w:r w:rsidRPr="00B140F2">
        <w:rPr>
          <w:lang w:val="de-DE"/>
        </w:rPr>
        <w:tab/>
        <w:t>Auf ihrer Tagung im Jahre 2023 hörte die TWV</w:t>
      </w:r>
      <w:bookmarkStart w:id="43" w:name="_Ref164159912"/>
      <w:r w:rsidRPr="00E83514">
        <w:rPr>
          <w:rStyle w:val="FootnoteReference"/>
          <w:lang w:val="de-DE"/>
        </w:rPr>
        <w:footnoteReference w:id="7"/>
      </w:r>
      <w:bookmarkEnd w:id="43"/>
      <w:r w:rsidRPr="00B140F2">
        <w:rPr>
          <w:lang w:val="de-DE"/>
        </w:rPr>
        <w:t xml:space="preserve"> ein Referat über </w:t>
      </w:r>
      <w:r w:rsidR="001C4FD6" w:rsidRPr="00B140F2">
        <w:rPr>
          <w:lang w:val="de-DE"/>
        </w:rPr>
        <w:t>„</w:t>
      </w:r>
      <w:r w:rsidRPr="00B140F2">
        <w:rPr>
          <w:lang w:val="de-DE"/>
        </w:rPr>
        <w:t>Krankheitsresistenzmerkmale</w:t>
      </w:r>
      <w:r w:rsidR="001C4FD6" w:rsidRPr="00B140F2">
        <w:rPr>
          <w:lang w:val="de-DE"/>
        </w:rPr>
        <w:t>“</w:t>
      </w:r>
      <w:r w:rsidRPr="00B140F2">
        <w:rPr>
          <w:lang w:val="de-DE"/>
        </w:rPr>
        <w:t xml:space="preserve"> von einem Sachverständigen von Euroseeds im </w:t>
      </w:r>
      <w:r w:rsidR="00B10D2E" w:rsidRPr="00B140F2">
        <w:rPr>
          <w:lang w:val="de-DE"/>
        </w:rPr>
        <w:t xml:space="preserve">Auftrag </w:t>
      </w:r>
      <w:r w:rsidRPr="00B140F2">
        <w:rPr>
          <w:lang w:val="de-DE"/>
        </w:rPr>
        <w:t xml:space="preserve">von CropLife International, Euroseeds und dem </w:t>
      </w:r>
      <w:r w:rsidR="00BC74B6">
        <w:rPr>
          <w:lang w:val="de-DE"/>
        </w:rPr>
        <w:t>International Seed Federation</w:t>
      </w:r>
      <w:r w:rsidRPr="00B140F2">
        <w:rPr>
          <w:lang w:val="de-DE"/>
        </w:rPr>
        <w:t xml:space="preserve"> (ISF).</w:t>
      </w:r>
      <w:r w:rsidR="00FE0BFC" w:rsidRPr="00B140F2">
        <w:rPr>
          <w:lang w:val="de-DE"/>
        </w:rPr>
        <w:t xml:space="preserve"> </w:t>
      </w:r>
      <w:r w:rsidRPr="00B140F2">
        <w:rPr>
          <w:lang w:val="de-DE"/>
        </w:rPr>
        <w:t>Eine Kopie des Referats ist in Dokument TWV/57/10 Add</w:t>
      </w:r>
      <w:r w:rsidR="001B6CF4">
        <w:rPr>
          <w:lang w:val="de-DE"/>
        </w:rPr>
        <w:t>.</w:t>
      </w:r>
      <w:r w:rsidRPr="00B140F2">
        <w:rPr>
          <w:lang w:val="de-DE"/>
        </w:rPr>
        <w:t xml:space="preserve"> enthalten </w:t>
      </w:r>
      <w:r w:rsidRPr="00B140F2">
        <w:rPr>
          <w:rFonts w:eastAsia="MS Mincho"/>
          <w:lang w:val="de-DE"/>
        </w:rPr>
        <w:t xml:space="preserve">(siehe Dokument TWV/57/26 </w:t>
      </w:r>
      <w:r w:rsidR="001C4FD6" w:rsidRPr="00B140F2">
        <w:rPr>
          <w:rFonts w:eastAsia="MS Mincho"/>
          <w:lang w:val="de-DE"/>
        </w:rPr>
        <w:t>„</w:t>
      </w:r>
      <w:r w:rsidR="00712646" w:rsidRPr="00B140F2">
        <w:rPr>
          <w:rFonts w:eastAsia="MS Mincho"/>
          <w:lang w:val="de-DE"/>
        </w:rPr>
        <w:t>Report</w:t>
      </w:r>
      <w:r w:rsidR="001C4FD6" w:rsidRPr="00B140F2">
        <w:rPr>
          <w:rFonts w:eastAsia="MS Mincho"/>
          <w:lang w:val="de-DE"/>
        </w:rPr>
        <w:t>“</w:t>
      </w:r>
      <w:r w:rsidRPr="00B140F2">
        <w:rPr>
          <w:rFonts w:eastAsia="MS Mincho"/>
          <w:lang w:val="de-DE"/>
        </w:rPr>
        <w:t>, Absätze 25 bis 28)</w:t>
      </w:r>
      <w:r w:rsidRPr="00B140F2">
        <w:rPr>
          <w:lang w:val="de-DE"/>
        </w:rPr>
        <w:t>.</w:t>
      </w:r>
    </w:p>
    <w:p w14:paraId="72C72C2C" w14:textId="77777777" w:rsidR="00B1181F" w:rsidRPr="00B140F2" w:rsidRDefault="00B1181F" w:rsidP="00BD4986">
      <w:pPr>
        <w:rPr>
          <w:lang w:val="de-DE"/>
        </w:rPr>
      </w:pPr>
    </w:p>
    <w:p w14:paraId="5DF6928A" w14:textId="195B907F"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1C7394" w:rsidRPr="00B140F2">
        <w:rPr>
          <w:lang w:val="de-DE"/>
        </w:rPr>
        <w:t>Die TWV nahm zur Kenntnis, dass sich die in der komprimierten Notenskala (Noten 1, 2, 3) verwendete Terminologie in den UPOV-Prüfungsrichtlinien für quantitative Krankheitsresistenzmerkmale von der Terminologie unterscheidet, die im Sektor Saatgut für Gemüsepflanzen verwendet wird</w:t>
      </w:r>
      <w:r w:rsidRPr="00B140F2">
        <w:rPr>
          <w:lang w:val="de-DE"/>
        </w:rPr>
        <w:t>.</w:t>
      </w:r>
      <w:r w:rsidR="00FE0BFC" w:rsidRPr="00B140F2">
        <w:rPr>
          <w:lang w:val="de-DE"/>
        </w:rPr>
        <w:t xml:space="preserve"> </w:t>
      </w:r>
      <w:bookmarkStart w:id="44" w:name="_Ref164159577"/>
      <w:r w:rsidR="00C12977" w:rsidRPr="00B140F2">
        <w:rPr>
          <w:lang w:val="de-DE"/>
        </w:rPr>
        <w:t xml:space="preserve">Die TWV vereinbarte, dass die folgende Tabelle in den UPOV-Prüfungsrichtlinien, unter Verwendung der im Sektor Saatgut für Gemüsepflanzen verwendeten Terminologie </w:t>
      </w:r>
      <w:r w:rsidR="001B6CF4">
        <w:rPr>
          <w:lang w:val="de-DE"/>
        </w:rPr>
        <w:t>gleichwertig</w:t>
      </w:r>
      <w:r w:rsidR="00C12977" w:rsidRPr="00B140F2">
        <w:rPr>
          <w:lang w:val="de-DE"/>
        </w:rPr>
        <w:t>e Ausprägungsstufen bietet</w:t>
      </w:r>
      <w:r w:rsidR="00C12977" w:rsidRPr="00B140F2">
        <w:rPr>
          <w:rStyle w:val="FootnoteReference"/>
          <w:lang w:val="de-DE"/>
        </w:rPr>
        <w:t xml:space="preserve"> </w:t>
      </w:r>
      <w:r w:rsidRPr="00E83514">
        <w:rPr>
          <w:rStyle w:val="FootnoteReference"/>
          <w:lang w:val="de-DE"/>
        </w:rPr>
        <w:footnoteReference w:id="8"/>
      </w:r>
      <w:bookmarkEnd w:id="44"/>
      <w:r w:rsidRPr="00B140F2">
        <w:rPr>
          <w:lang w:val="de-DE"/>
        </w:rPr>
        <w:t>:</w:t>
      </w:r>
    </w:p>
    <w:p w14:paraId="57609591" w14:textId="77777777" w:rsidR="00B1181F" w:rsidRPr="00B140F2" w:rsidRDefault="00B1181F" w:rsidP="00BD4986">
      <w:pPr>
        <w:rPr>
          <w:lang w:val="de-DE"/>
        </w:rPr>
      </w:pPr>
    </w:p>
    <w:tbl>
      <w:tblPr>
        <w:tblpPr w:leftFromText="180" w:rightFromText="180" w:vertAnchor="text" w:horzAnchor="margin" w:tblpXSpec="center" w:tblpY="22"/>
        <w:tblW w:w="9717" w:type="dxa"/>
        <w:tblLook w:val="04A0" w:firstRow="1" w:lastRow="0" w:firstColumn="1" w:lastColumn="0" w:noHBand="0" w:noVBand="1"/>
      </w:tblPr>
      <w:tblGrid>
        <w:gridCol w:w="787"/>
        <w:gridCol w:w="4311"/>
        <w:gridCol w:w="4619"/>
      </w:tblGrid>
      <w:tr w:rsidR="00566EEA" w:rsidRPr="00223459" w14:paraId="38DFF90A" w14:textId="77777777" w:rsidTr="00E83514">
        <w:trPr>
          <w:cantSplit/>
          <w:trHeight w:val="416"/>
        </w:trPr>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844E4" w14:textId="77777777" w:rsidR="00566EEA" w:rsidRPr="00B140F2" w:rsidRDefault="00566EEA" w:rsidP="00BD4986">
            <w:pPr>
              <w:ind w:left="-536" w:firstLine="536"/>
              <w:jc w:val="left"/>
              <w:rPr>
                <w:rFonts w:cs="Arial"/>
                <w:color w:val="000000"/>
                <w:sz w:val="18"/>
                <w:lang w:val="de-DE"/>
              </w:rPr>
            </w:pPr>
            <w:r w:rsidRPr="00B140F2">
              <w:rPr>
                <w:rFonts w:cs="Arial"/>
                <w:color w:val="000000"/>
                <w:sz w:val="18"/>
                <w:lang w:val="de-DE"/>
              </w:rPr>
              <w:t> </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14:paraId="60E7D4EA" w14:textId="68C31EB8" w:rsidR="00566EEA" w:rsidRPr="00B140F2" w:rsidRDefault="00566EEA" w:rsidP="00BD4986">
            <w:pPr>
              <w:ind w:left="-819" w:firstLine="819"/>
              <w:jc w:val="center"/>
              <w:rPr>
                <w:rFonts w:cs="Arial"/>
                <w:color w:val="000000"/>
                <w:sz w:val="18"/>
                <w:lang w:val="de-DE"/>
              </w:rPr>
            </w:pPr>
            <w:r w:rsidRPr="00B140F2">
              <w:rPr>
                <w:rFonts w:cs="Arial"/>
                <w:color w:val="000000"/>
                <w:sz w:val="18"/>
                <w:lang w:val="de-DE"/>
              </w:rPr>
              <w:t>Gleichwertige Ausprägungsstufen in den UPOV-Prüfungsrichtlinien unter Verwendung der im Sektor Saatgut für Gemüsepflanzen verwendeten Terminologie</w:t>
            </w:r>
          </w:p>
        </w:tc>
      </w:tr>
      <w:tr w:rsidR="00566EEA" w:rsidRPr="00223459" w14:paraId="4D52070A" w14:textId="77777777" w:rsidTr="00BC74B6">
        <w:trPr>
          <w:cantSplit/>
          <w:trHeight w:val="269"/>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14:paraId="0361BAEB" w14:textId="77777777" w:rsidR="00566EEA" w:rsidRPr="00B140F2" w:rsidRDefault="00566EEA" w:rsidP="00BD4986">
            <w:pPr>
              <w:ind w:left="-536" w:firstLine="536"/>
              <w:jc w:val="left"/>
              <w:rPr>
                <w:rFonts w:cs="Arial"/>
                <w:sz w:val="18"/>
                <w:lang w:val="de-DE"/>
              </w:rPr>
            </w:pPr>
            <w:r w:rsidRPr="00B140F2">
              <w:rPr>
                <w:rFonts w:cs="Arial"/>
                <w:sz w:val="18"/>
                <w:lang w:val="de-DE"/>
              </w:rPr>
              <w:t> </w:t>
            </w:r>
          </w:p>
        </w:tc>
        <w:tc>
          <w:tcPr>
            <w:tcW w:w="4311" w:type="dxa"/>
            <w:tcBorders>
              <w:top w:val="nil"/>
              <w:left w:val="nil"/>
              <w:bottom w:val="single" w:sz="4" w:space="0" w:color="auto"/>
              <w:right w:val="single" w:sz="4" w:space="0" w:color="auto"/>
            </w:tcBorders>
            <w:shd w:val="clear" w:color="auto" w:fill="auto"/>
            <w:noWrap/>
            <w:vAlign w:val="center"/>
            <w:hideMark/>
          </w:tcPr>
          <w:p w14:paraId="574C8B62" w14:textId="77777777" w:rsidR="00566EEA" w:rsidRPr="00E83514" w:rsidRDefault="00566EEA" w:rsidP="00BD4986">
            <w:pPr>
              <w:ind w:left="-819" w:firstLine="819"/>
              <w:jc w:val="center"/>
              <w:rPr>
                <w:rFonts w:cs="Arial"/>
                <w:bCs/>
                <w:sz w:val="18"/>
                <w:lang w:val="de-DE"/>
              </w:rPr>
            </w:pPr>
            <w:r w:rsidRPr="00E83514">
              <w:rPr>
                <w:rFonts w:cs="Arial"/>
                <w:bCs/>
                <w:sz w:val="18"/>
                <w:lang w:val="de-DE"/>
              </w:rPr>
              <w:t>Ausprägungsstufen in UPOV-Prüfungsrichtlinien</w:t>
            </w:r>
          </w:p>
        </w:tc>
        <w:tc>
          <w:tcPr>
            <w:tcW w:w="4619" w:type="dxa"/>
            <w:tcBorders>
              <w:top w:val="nil"/>
              <w:left w:val="nil"/>
              <w:bottom w:val="single" w:sz="4" w:space="0" w:color="auto"/>
              <w:right w:val="single" w:sz="4" w:space="0" w:color="auto"/>
            </w:tcBorders>
            <w:shd w:val="clear" w:color="auto" w:fill="auto"/>
            <w:vAlign w:val="center"/>
            <w:hideMark/>
          </w:tcPr>
          <w:p w14:paraId="2E8C096B" w14:textId="77777777" w:rsidR="00566EEA" w:rsidRPr="00B140F2" w:rsidRDefault="00566EEA" w:rsidP="00BD4986">
            <w:pPr>
              <w:ind w:left="-819" w:firstLine="819"/>
              <w:jc w:val="center"/>
              <w:rPr>
                <w:rFonts w:cs="Arial"/>
                <w:bCs/>
                <w:sz w:val="18"/>
                <w:lang w:val="de-DE"/>
              </w:rPr>
            </w:pPr>
            <w:r w:rsidRPr="00B140F2">
              <w:rPr>
                <w:rFonts w:cs="Arial"/>
                <w:bCs/>
                <w:sz w:val="18"/>
                <w:lang w:val="de-DE"/>
              </w:rPr>
              <w:t>Im Sektor Saatgut für Gemüsepflanzen verwendete Terminologie</w:t>
            </w:r>
            <w:r w:rsidRPr="00E83514">
              <w:rPr>
                <w:rStyle w:val="FootnoteReference"/>
                <w:rFonts w:cs="Arial"/>
                <w:bCs/>
                <w:sz w:val="18"/>
                <w:lang w:val="de-DE"/>
              </w:rPr>
              <w:footnoteReference w:id="9"/>
            </w:r>
          </w:p>
        </w:tc>
      </w:tr>
      <w:tr w:rsidR="00566EEA" w:rsidRPr="00223459" w14:paraId="66322766" w14:textId="77777777" w:rsidTr="00BC74B6">
        <w:trPr>
          <w:cantSplit/>
          <w:trHeight w:val="250"/>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14:paraId="5EE4FB2C" w14:textId="1FA69B16" w:rsidR="00566EEA" w:rsidRPr="00E83514" w:rsidRDefault="00566EEA" w:rsidP="00BD4986">
            <w:pPr>
              <w:ind w:left="-536" w:firstLine="536"/>
              <w:jc w:val="right"/>
              <w:rPr>
                <w:rFonts w:cs="Arial"/>
                <w:sz w:val="18"/>
                <w:lang w:val="de-DE"/>
              </w:rPr>
            </w:pPr>
            <w:r w:rsidRPr="00E83514">
              <w:rPr>
                <w:rFonts w:cs="Arial"/>
                <w:sz w:val="18"/>
                <w:lang w:val="de-DE"/>
              </w:rPr>
              <w:t>UPOV-</w:t>
            </w:r>
            <w:r w:rsidR="00BB77AA" w:rsidRPr="00BB77AA" w:rsidDel="00BB77AA">
              <w:rPr>
                <w:rFonts w:cs="Arial"/>
                <w:sz w:val="18"/>
                <w:highlight w:val="yellow"/>
                <w:lang w:val="de-DE"/>
              </w:rPr>
              <w:t xml:space="preserve"> </w:t>
            </w:r>
            <w:r w:rsidR="00BB77AA" w:rsidRPr="00673DF2">
              <w:rPr>
                <w:rFonts w:cs="Arial"/>
                <w:sz w:val="18"/>
                <w:lang w:val="de-DE"/>
              </w:rPr>
              <w:t>Noten</w:t>
            </w:r>
            <w:r w:rsidRPr="00E83514">
              <w:rPr>
                <w:rFonts w:cs="Arial"/>
                <w:sz w:val="18"/>
                <w:lang w:val="de-DE"/>
              </w:rPr>
              <w:t> </w:t>
            </w:r>
          </w:p>
        </w:tc>
        <w:tc>
          <w:tcPr>
            <w:tcW w:w="4311" w:type="dxa"/>
            <w:tcBorders>
              <w:top w:val="nil"/>
              <w:left w:val="nil"/>
              <w:bottom w:val="single" w:sz="4" w:space="0" w:color="auto"/>
              <w:right w:val="single" w:sz="4" w:space="0" w:color="auto"/>
            </w:tcBorders>
            <w:shd w:val="clear" w:color="auto" w:fill="auto"/>
            <w:vAlign w:val="center"/>
            <w:hideMark/>
          </w:tcPr>
          <w:p w14:paraId="1184C072" w14:textId="1767338F" w:rsidR="00566EEA" w:rsidRPr="00B140F2" w:rsidRDefault="00566EEA" w:rsidP="00BD4986">
            <w:pPr>
              <w:ind w:left="-819" w:firstLine="819"/>
              <w:jc w:val="left"/>
              <w:rPr>
                <w:rFonts w:cs="Arial"/>
                <w:sz w:val="18"/>
                <w:lang w:val="de-DE"/>
              </w:rPr>
            </w:pPr>
            <w:r w:rsidRPr="00B140F2">
              <w:rPr>
                <w:rFonts w:cs="Arial"/>
                <w:sz w:val="18"/>
                <w:lang w:val="de-DE"/>
              </w:rPr>
              <w:t>Resistenz gegen (Name der Krankheit</w:t>
            </w:r>
            <w:r w:rsidR="00E47CF2">
              <w:rPr>
                <w:rFonts w:cs="Arial"/>
                <w:sz w:val="18"/>
                <w:lang w:val="de-DE"/>
              </w:rPr>
              <w:t>)</w:t>
            </w:r>
            <w:r w:rsidR="006817CB">
              <w:rPr>
                <w:rFonts w:cs="Arial"/>
                <w:sz w:val="18"/>
                <w:lang w:val="de-DE"/>
              </w:rPr>
              <w:t xml:space="preserve"> ist</w:t>
            </w:r>
            <w:r w:rsidR="008F0D1A">
              <w:rPr>
                <w:rFonts w:cs="Arial"/>
                <w:sz w:val="18"/>
                <w:lang w:val="de-DE"/>
              </w:rPr>
              <w:t>:</w:t>
            </w:r>
            <w:r w:rsidR="00602881">
              <w:rPr>
                <w:rFonts w:cs="Arial"/>
                <w:sz w:val="18"/>
                <w:lang w:val="de-DE"/>
              </w:rPr>
              <w:t xml:space="preserve"> </w:t>
            </w:r>
          </w:p>
        </w:tc>
        <w:tc>
          <w:tcPr>
            <w:tcW w:w="4619" w:type="dxa"/>
            <w:tcBorders>
              <w:top w:val="nil"/>
              <w:left w:val="nil"/>
              <w:bottom w:val="single" w:sz="4" w:space="0" w:color="auto"/>
              <w:right w:val="single" w:sz="4" w:space="0" w:color="auto"/>
            </w:tcBorders>
            <w:shd w:val="clear" w:color="auto" w:fill="auto"/>
            <w:vAlign w:val="center"/>
            <w:hideMark/>
          </w:tcPr>
          <w:p w14:paraId="2CD799C0" w14:textId="5CBAE6EA" w:rsidR="00566EEA" w:rsidRPr="00B140F2" w:rsidRDefault="00E47CF2" w:rsidP="00BD4986">
            <w:pPr>
              <w:jc w:val="left"/>
              <w:rPr>
                <w:rFonts w:cs="Arial"/>
                <w:sz w:val="18"/>
                <w:lang w:val="de-DE"/>
              </w:rPr>
            </w:pPr>
            <w:r>
              <w:rPr>
                <w:rFonts w:cs="Arial"/>
                <w:sz w:val="18"/>
                <w:lang w:val="de-DE"/>
              </w:rPr>
              <w:t xml:space="preserve">Die </w:t>
            </w:r>
            <w:r w:rsidR="00566EEA" w:rsidRPr="00B140F2">
              <w:rPr>
                <w:rFonts w:cs="Arial"/>
                <w:sz w:val="18"/>
                <w:lang w:val="de-DE"/>
              </w:rPr>
              <w:t>Reaktion einer Pflanzensorte auf eine bestimmte Krankheit ist:</w:t>
            </w:r>
          </w:p>
        </w:tc>
      </w:tr>
      <w:tr w:rsidR="00566EEA" w:rsidRPr="00E83514" w14:paraId="3A45EE09" w14:textId="77777777" w:rsidTr="00BC74B6">
        <w:trPr>
          <w:cantSplit/>
          <w:trHeight w:val="250"/>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14:paraId="2D1E6D4A" w14:textId="77777777" w:rsidR="00566EEA" w:rsidRPr="00E83514" w:rsidRDefault="00566EEA" w:rsidP="00D24C16">
            <w:pPr>
              <w:ind w:left="-536" w:firstLine="536"/>
              <w:jc w:val="center"/>
              <w:rPr>
                <w:rFonts w:cs="Arial"/>
                <w:sz w:val="18"/>
                <w:lang w:val="de-DE"/>
              </w:rPr>
            </w:pPr>
            <w:r w:rsidRPr="00E83514">
              <w:rPr>
                <w:rFonts w:cs="Arial"/>
                <w:sz w:val="18"/>
                <w:lang w:val="de-DE"/>
              </w:rPr>
              <w:t>1</w:t>
            </w:r>
          </w:p>
        </w:tc>
        <w:tc>
          <w:tcPr>
            <w:tcW w:w="4311" w:type="dxa"/>
            <w:tcBorders>
              <w:top w:val="nil"/>
              <w:left w:val="nil"/>
              <w:bottom w:val="single" w:sz="4" w:space="0" w:color="auto"/>
              <w:right w:val="single" w:sz="4" w:space="0" w:color="auto"/>
            </w:tcBorders>
            <w:shd w:val="clear" w:color="auto" w:fill="auto"/>
            <w:noWrap/>
            <w:vAlign w:val="center"/>
            <w:hideMark/>
          </w:tcPr>
          <w:p w14:paraId="035385AE" w14:textId="77777777" w:rsidR="00566EEA" w:rsidRPr="00E83514" w:rsidRDefault="00566EEA" w:rsidP="00BD4986">
            <w:pPr>
              <w:ind w:left="-819" w:firstLine="819"/>
              <w:jc w:val="left"/>
              <w:rPr>
                <w:rFonts w:cs="Arial"/>
                <w:sz w:val="18"/>
                <w:lang w:val="de-DE"/>
              </w:rPr>
            </w:pPr>
            <w:r w:rsidRPr="00E83514">
              <w:rPr>
                <w:rFonts w:cs="Arial"/>
                <w:sz w:val="18"/>
                <w:lang w:val="de-DE"/>
              </w:rPr>
              <w:t>fehlend oder gering</w:t>
            </w:r>
          </w:p>
        </w:tc>
        <w:tc>
          <w:tcPr>
            <w:tcW w:w="4619" w:type="dxa"/>
            <w:tcBorders>
              <w:top w:val="nil"/>
              <w:left w:val="nil"/>
              <w:bottom w:val="single" w:sz="4" w:space="0" w:color="auto"/>
              <w:right w:val="single" w:sz="4" w:space="0" w:color="auto"/>
            </w:tcBorders>
            <w:shd w:val="clear" w:color="auto" w:fill="auto"/>
            <w:noWrap/>
            <w:vAlign w:val="center"/>
            <w:hideMark/>
          </w:tcPr>
          <w:p w14:paraId="363C16DD" w14:textId="77777777" w:rsidR="00566EEA" w:rsidRPr="00E83514" w:rsidRDefault="00566EEA" w:rsidP="00BD4986">
            <w:pPr>
              <w:ind w:left="-819" w:firstLine="819"/>
              <w:jc w:val="left"/>
              <w:rPr>
                <w:rFonts w:cs="Arial"/>
                <w:sz w:val="18"/>
                <w:lang w:val="de-DE"/>
              </w:rPr>
            </w:pPr>
            <w:r w:rsidRPr="00E83514">
              <w:rPr>
                <w:rFonts w:cs="Arial"/>
                <w:sz w:val="18"/>
                <w:lang w:val="de-DE"/>
              </w:rPr>
              <w:t>Anfälligkeit (S)</w:t>
            </w:r>
          </w:p>
        </w:tc>
      </w:tr>
      <w:tr w:rsidR="00566EEA" w:rsidRPr="00E83514" w14:paraId="5622714B" w14:textId="77777777" w:rsidTr="00BC74B6">
        <w:trPr>
          <w:cantSplit/>
          <w:trHeight w:val="250"/>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14:paraId="27C9A045" w14:textId="77777777" w:rsidR="00566EEA" w:rsidRPr="00E83514" w:rsidRDefault="00566EEA" w:rsidP="00D24C16">
            <w:pPr>
              <w:ind w:left="-536" w:firstLine="536"/>
              <w:jc w:val="center"/>
              <w:rPr>
                <w:rFonts w:cs="Arial"/>
                <w:sz w:val="18"/>
                <w:lang w:val="de-DE"/>
              </w:rPr>
            </w:pPr>
            <w:r w:rsidRPr="00E83514">
              <w:rPr>
                <w:rFonts w:cs="Arial"/>
                <w:sz w:val="18"/>
                <w:lang w:val="de-DE"/>
              </w:rPr>
              <w:t>2</w:t>
            </w:r>
          </w:p>
        </w:tc>
        <w:tc>
          <w:tcPr>
            <w:tcW w:w="4311" w:type="dxa"/>
            <w:tcBorders>
              <w:top w:val="nil"/>
              <w:left w:val="nil"/>
              <w:bottom w:val="single" w:sz="4" w:space="0" w:color="auto"/>
              <w:right w:val="single" w:sz="4" w:space="0" w:color="auto"/>
            </w:tcBorders>
            <w:shd w:val="clear" w:color="auto" w:fill="auto"/>
            <w:noWrap/>
            <w:vAlign w:val="center"/>
            <w:hideMark/>
          </w:tcPr>
          <w:p w14:paraId="7D16381A" w14:textId="77777777" w:rsidR="00566EEA" w:rsidRPr="00E83514" w:rsidRDefault="00566EEA" w:rsidP="00BD4986">
            <w:pPr>
              <w:ind w:left="-819" w:firstLine="819"/>
              <w:jc w:val="left"/>
              <w:rPr>
                <w:rFonts w:cs="Arial"/>
                <w:sz w:val="18"/>
                <w:lang w:val="de-DE"/>
              </w:rPr>
            </w:pPr>
            <w:r w:rsidRPr="00E83514">
              <w:rPr>
                <w:rFonts w:cs="Arial"/>
                <w:sz w:val="18"/>
                <w:lang w:val="de-DE"/>
              </w:rPr>
              <w:t>mittel</w:t>
            </w:r>
          </w:p>
        </w:tc>
        <w:tc>
          <w:tcPr>
            <w:tcW w:w="4619" w:type="dxa"/>
            <w:tcBorders>
              <w:top w:val="nil"/>
              <w:left w:val="nil"/>
              <w:bottom w:val="single" w:sz="4" w:space="0" w:color="auto"/>
              <w:right w:val="single" w:sz="4" w:space="0" w:color="auto"/>
            </w:tcBorders>
            <w:shd w:val="clear" w:color="auto" w:fill="auto"/>
            <w:noWrap/>
            <w:vAlign w:val="center"/>
            <w:hideMark/>
          </w:tcPr>
          <w:p w14:paraId="587330C2" w14:textId="77777777" w:rsidR="00566EEA" w:rsidRPr="00E83514" w:rsidRDefault="00566EEA" w:rsidP="00BD4986">
            <w:pPr>
              <w:ind w:left="-819" w:firstLine="819"/>
              <w:jc w:val="left"/>
              <w:rPr>
                <w:rFonts w:cs="Arial"/>
                <w:sz w:val="18"/>
                <w:lang w:val="de-DE"/>
              </w:rPr>
            </w:pPr>
            <w:r w:rsidRPr="00E83514">
              <w:rPr>
                <w:rFonts w:cs="Arial"/>
                <w:sz w:val="18"/>
                <w:lang w:val="de-DE"/>
              </w:rPr>
              <w:t>Intermediäre Resistenz (IR)</w:t>
            </w:r>
          </w:p>
        </w:tc>
      </w:tr>
      <w:tr w:rsidR="00566EEA" w:rsidRPr="00E83514" w14:paraId="5011EA26" w14:textId="77777777" w:rsidTr="00BC74B6">
        <w:trPr>
          <w:cantSplit/>
          <w:trHeight w:val="250"/>
        </w:trPr>
        <w:tc>
          <w:tcPr>
            <w:tcW w:w="787" w:type="dxa"/>
            <w:tcBorders>
              <w:top w:val="nil"/>
              <w:left w:val="single" w:sz="4" w:space="0" w:color="auto"/>
              <w:bottom w:val="single" w:sz="4" w:space="0" w:color="auto"/>
              <w:right w:val="single" w:sz="4" w:space="0" w:color="auto"/>
            </w:tcBorders>
            <w:shd w:val="clear" w:color="auto" w:fill="auto"/>
            <w:noWrap/>
            <w:vAlign w:val="bottom"/>
            <w:hideMark/>
          </w:tcPr>
          <w:p w14:paraId="02613CE4" w14:textId="77777777" w:rsidR="00566EEA" w:rsidRPr="00E83514" w:rsidRDefault="00566EEA" w:rsidP="00D24C16">
            <w:pPr>
              <w:ind w:left="-536" w:firstLine="536"/>
              <w:jc w:val="center"/>
              <w:rPr>
                <w:rFonts w:cs="Arial"/>
                <w:sz w:val="18"/>
                <w:lang w:val="de-DE"/>
              </w:rPr>
            </w:pPr>
            <w:r w:rsidRPr="00E83514">
              <w:rPr>
                <w:rFonts w:cs="Arial"/>
                <w:sz w:val="18"/>
                <w:lang w:val="de-DE"/>
              </w:rPr>
              <w:t>3</w:t>
            </w:r>
          </w:p>
        </w:tc>
        <w:tc>
          <w:tcPr>
            <w:tcW w:w="4311" w:type="dxa"/>
            <w:tcBorders>
              <w:top w:val="nil"/>
              <w:left w:val="nil"/>
              <w:bottom w:val="single" w:sz="4" w:space="0" w:color="auto"/>
              <w:right w:val="single" w:sz="4" w:space="0" w:color="auto"/>
            </w:tcBorders>
            <w:shd w:val="clear" w:color="auto" w:fill="auto"/>
            <w:noWrap/>
            <w:vAlign w:val="center"/>
            <w:hideMark/>
          </w:tcPr>
          <w:p w14:paraId="6769A6DB" w14:textId="77777777" w:rsidR="00566EEA" w:rsidRPr="00E83514" w:rsidRDefault="00566EEA" w:rsidP="00BD4986">
            <w:pPr>
              <w:ind w:left="-819" w:firstLine="819"/>
              <w:jc w:val="left"/>
              <w:rPr>
                <w:rFonts w:cs="Arial"/>
                <w:sz w:val="18"/>
                <w:lang w:val="de-DE"/>
              </w:rPr>
            </w:pPr>
            <w:r w:rsidRPr="00E83514">
              <w:rPr>
                <w:rFonts w:cs="Arial"/>
                <w:sz w:val="18"/>
                <w:lang w:val="de-DE"/>
              </w:rPr>
              <w:t>hoch</w:t>
            </w:r>
          </w:p>
        </w:tc>
        <w:tc>
          <w:tcPr>
            <w:tcW w:w="4619" w:type="dxa"/>
            <w:tcBorders>
              <w:top w:val="nil"/>
              <w:left w:val="nil"/>
              <w:bottom w:val="single" w:sz="4" w:space="0" w:color="auto"/>
              <w:right w:val="single" w:sz="4" w:space="0" w:color="auto"/>
            </w:tcBorders>
            <w:shd w:val="clear" w:color="auto" w:fill="auto"/>
            <w:noWrap/>
            <w:vAlign w:val="center"/>
            <w:hideMark/>
          </w:tcPr>
          <w:p w14:paraId="5B3309F5" w14:textId="77777777" w:rsidR="00566EEA" w:rsidRPr="00E83514" w:rsidRDefault="00566EEA" w:rsidP="00BD4986">
            <w:pPr>
              <w:ind w:left="-819" w:firstLine="819"/>
              <w:jc w:val="left"/>
              <w:rPr>
                <w:rFonts w:cs="Arial"/>
                <w:sz w:val="18"/>
                <w:lang w:val="de-DE"/>
              </w:rPr>
            </w:pPr>
            <w:r w:rsidRPr="00E83514">
              <w:rPr>
                <w:rFonts w:cs="Arial"/>
                <w:sz w:val="18"/>
                <w:lang w:val="de-DE"/>
              </w:rPr>
              <w:t>Hohe Resistenz (HR)</w:t>
            </w:r>
          </w:p>
        </w:tc>
      </w:tr>
    </w:tbl>
    <w:p w14:paraId="543A3618" w14:textId="77777777" w:rsidR="00B1181F" w:rsidRPr="00E83514" w:rsidRDefault="00B1181F" w:rsidP="00BD4986">
      <w:pPr>
        <w:rPr>
          <w:lang w:val="de-DE"/>
        </w:rPr>
      </w:pPr>
    </w:p>
    <w:p w14:paraId="583A2456" w14:textId="7855AAAA"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923263" w:rsidRPr="00B140F2">
        <w:rPr>
          <w:lang w:val="de-DE"/>
        </w:rPr>
        <w:t>Die TWV vereinbarte vorzuschlagen, die Gleichwertigkeitstabelle dem Dokument TGP/12 „Anleitung zu bestimmten physiologischen Merkmalen“, und darin den Erläuterungen zum Standard-Resistenzprüfungsprotokoll hinzuzufügen. Die TWV vereinbarte, dass die</w:t>
      </w:r>
      <w:r w:rsidR="005B006A">
        <w:rPr>
          <w:lang w:val="de-DE"/>
        </w:rPr>
        <w:t xml:space="preserve"> gleiche</w:t>
      </w:r>
      <w:r w:rsidR="00923263" w:rsidRPr="00B140F2">
        <w:rPr>
          <w:lang w:val="de-DE"/>
        </w:rPr>
        <w:t xml:space="preserve"> Tabelle</w:t>
      </w:r>
      <w:r w:rsidR="005B006A">
        <w:rPr>
          <w:lang w:val="de-DE"/>
        </w:rPr>
        <w:t xml:space="preserve"> </w:t>
      </w:r>
      <w:r w:rsidR="00923263" w:rsidRPr="00B140F2">
        <w:rPr>
          <w:lang w:val="de-DE"/>
        </w:rPr>
        <w:t>in die Erläuterungen der quantitativen Krankheitsresistenzmerkmale aufgenommen werden sollten</w:t>
      </w:r>
      <w:r w:rsidR="005B006A" w:rsidRPr="00B140F2">
        <w:rPr>
          <w:lang w:val="de-DE"/>
        </w:rPr>
        <w:t>, wenn die komprimierte Notenskala verwendet wird</w:t>
      </w:r>
      <w:r w:rsidR="00B1181F" w:rsidRPr="00B140F2">
        <w:rPr>
          <w:lang w:val="de-DE"/>
        </w:rPr>
        <w:t>.</w:t>
      </w:r>
    </w:p>
    <w:p w14:paraId="4990ED7B" w14:textId="77777777" w:rsidR="00B1181F" w:rsidRPr="00B140F2" w:rsidRDefault="00B1181F" w:rsidP="00BD4986">
      <w:pPr>
        <w:rPr>
          <w:lang w:val="de-DE"/>
        </w:rPr>
      </w:pPr>
    </w:p>
    <w:p w14:paraId="57F35349" w14:textId="027A2191"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5014D2" w:rsidRPr="00B140F2">
        <w:rPr>
          <w:lang w:val="de-DE"/>
        </w:rPr>
        <w:t xml:space="preserve">Auf seiner Tagung im Jahr 2023 </w:t>
      </w:r>
      <w:r w:rsidR="00B1181F" w:rsidRPr="00B140F2">
        <w:rPr>
          <w:lang w:val="de-DE"/>
        </w:rPr>
        <w:t xml:space="preserve">prüfte der TC </w:t>
      </w:r>
      <w:r w:rsidR="00B1181F" w:rsidRPr="00E83514">
        <w:rPr>
          <w:rStyle w:val="FootnoteReference"/>
          <w:lang w:val="de-DE"/>
        </w:rPr>
        <w:footnoteReference w:id="10"/>
      </w:r>
      <w:bookmarkStart w:id="45" w:name="_Hlk162621603"/>
      <w:r w:rsidR="00B1181F" w:rsidRPr="00B140F2">
        <w:rPr>
          <w:lang w:val="de-DE"/>
        </w:rPr>
        <w:t xml:space="preserve"> den Vorschlag der TWV.</w:t>
      </w:r>
      <w:r w:rsidR="00FE0BFC" w:rsidRPr="00B140F2">
        <w:rPr>
          <w:lang w:val="de-DE"/>
        </w:rPr>
        <w:t xml:space="preserve"> </w:t>
      </w:r>
      <w:r w:rsidR="00B1181F" w:rsidRPr="00B140F2">
        <w:rPr>
          <w:lang w:val="de-DE"/>
        </w:rPr>
        <w:t xml:space="preserve">Der TC vereinbarte, die TWP zu ersuchen, auf ihren Tagungen im Jahr 2024 zu prüfen, ob das Dokument TGP/12 geändert werden soll, um eine </w:t>
      </w:r>
      <w:r w:rsidR="00923263" w:rsidRPr="00B140F2">
        <w:rPr>
          <w:lang w:val="de-DE"/>
        </w:rPr>
        <w:t>Gleichwertigkeitstabelle</w:t>
      </w:r>
      <w:r w:rsidR="00DE2B42" w:rsidRPr="00B140F2">
        <w:rPr>
          <w:lang w:val="de-DE"/>
        </w:rPr>
        <w:t xml:space="preserve"> für</w:t>
      </w:r>
      <w:r w:rsidR="00B1181F" w:rsidRPr="00B140F2">
        <w:rPr>
          <w:lang w:val="de-DE"/>
        </w:rPr>
        <w:t xml:space="preserve"> Ausprägungsstufen in den Prüfungsrichtlinien mit der im </w:t>
      </w:r>
      <w:r w:rsidR="00873050" w:rsidRPr="00B140F2">
        <w:rPr>
          <w:lang w:val="de-DE"/>
        </w:rPr>
        <w:t>Sektor Saatgut für Gemüsepflanzen</w:t>
      </w:r>
      <w:r w:rsidR="00B1181F" w:rsidRPr="00B140F2">
        <w:rPr>
          <w:lang w:val="de-DE"/>
        </w:rPr>
        <w:t xml:space="preserve"> verwendeten Terminologie aufzunehmen.</w:t>
      </w:r>
    </w:p>
    <w:p w14:paraId="2CCEFBED" w14:textId="77777777" w:rsidR="00B1181F" w:rsidRPr="00B140F2" w:rsidRDefault="00B1181F" w:rsidP="00BD4986">
      <w:pPr>
        <w:rPr>
          <w:lang w:val="de-DE"/>
        </w:rPr>
      </w:pPr>
    </w:p>
    <w:p w14:paraId="1BA375DC" w14:textId="593639B9"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B1181F" w:rsidRPr="00B140F2">
        <w:rPr>
          <w:lang w:val="de-DE"/>
        </w:rPr>
        <w:t xml:space="preserve">Der TC vereinbarte, die TWP zu ersuchen, zu prüfen, ob eine Erläuterung hinzugefügt werden soll, </w:t>
      </w:r>
      <w:r w:rsidR="00350639" w:rsidRPr="00B140F2">
        <w:rPr>
          <w:lang w:val="de-DE"/>
        </w:rPr>
        <w:t xml:space="preserve">dass </w:t>
      </w:r>
      <w:r w:rsidR="00B1181F" w:rsidRPr="00B140F2">
        <w:rPr>
          <w:lang w:val="de-DE"/>
        </w:rPr>
        <w:t>die Tabelle im Falle der Gleichwertigkeit zwischen den Ausprägungsstufen gemäß dem in der Erläuterung des Merkmals beschriebenen Verfahren verwendet werden kann (Abschnitt 8.2 der Prüfungsrichtlinien).</w:t>
      </w:r>
      <w:bookmarkEnd w:id="45"/>
    </w:p>
    <w:p w14:paraId="68ED4CB1" w14:textId="77777777" w:rsidR="009239FF" w:rsidRPr="00B140F2" w:rsidRDefault="009239FF" w:rsidP="00BD4986">
      <w:pPr>
        <w:rPr>
          <w:lang w:val="de-DE"/>
        </w:rPr>
      </w:pPr>
    </w:p>
    <w:p w14:paraId="72A3FEFC" w14:textId="00030A62" w:rsidR="00214329" w:rsidRPr="00B140F2" w:rsidRDefault="0060633E" w:rsidP="00BD4986">
      <w:pPr>
        <w:rPr>
          <w:i/>
          <w:lang w:val="de-DE"/>
        </w:rPr>
      </w:pPr>
      <w:r w:rsidRPr="00B140F2">
        <w:rPr>
          <w:i/>
          <w:lang w:val="de-DE"/>
        </w:rPr>
        <w:t xml:space="preserve">Prüfung durch </w:t>
      </w:r>
      <w:r w:rsidR="009239FF" w:rsidRPr="00B140F2">
        <w:rPr>
          <w:i/>
          <w:lang w:val="de-DE"/>
        </w:rPr>
        <w:t>die</w:t>
      </w:r>
      <w:r w:rsidR="001F146A" w:rsidRPr="00B140F2">
        <w:rPr>
          <w:i/>
          <w:lang w:val="de-DE"/>
        </w:rPr>
        <w:t xml:space="preserve"> Technischen Arbeitsgruppen </w:t>
      </w:r>
      <w:r w:rsidRPr="00B140F2">
        <w:rPr>
          <w:i/>
          <w:lang w:val="de-DE"/>
        </w:rPr>
        <w:t>(</w:t>
      </w:r>
      <w:r w:rsidR="009239FF" w:rsidRPr="00B140F2">
        <w:rPr>
          <w:i/>
          <w:lang w:val="de-DE"/>
        </w:rPr>
        <w:t>TWP</w:t>
      </w:r>
      <w:r w:rsidRPr="00B140F2">
        <w:rPr>
          <w:i/>
          <w:lang w:val="de-DE"/>
        </w:rPr>
        <w:t xml:space="preserve">) </w:t>
      </w:r>
      <w:r w:rsidR="009239FF" w:rsidRPr="00B140F2">
        <w:rPr>
          <w:i/>
          <w:lang w:val="de-DE"/>
        </w:rPr>
        <w:t>im Jahr 2024</w:t>
      </w:r>
    </w:p>
    <w:p w14:paraId="1879FDD7" w14:textId="77777777" w:rsidR="009239FF" w:rsidRPr="00B140F2" w:rsidRDefault="009239FF" w:rsidP="00BD4986">
      <w:pPr>
        <w:rPr>
          <w:lang w:val="de-DE"/>
        </w:rPr>
      </w:pPr>
    </w:p>
    <w:p w14:paraId="1B0BD0FD" w14:textId="76636C12"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A67FA5" w:rsidRPr="00B140F2">
        <w:rPr>
          <w:rFonts w:eastAsiaTheme="minorEastAsia"/>
          <w:lang w:val="de-DE"/>
        </w:rPr>
        <w:t>Die TWV</w:t>
      </w:r>
      <w:r w:rsidR="004964F1" w:rsidRPr="00B140F2">
        <w:rPr>
          <w:rFonts w:eastAsiaTheme="minorEastAsia"/>
          <w:lang w:val="de-DE"/>
        </w:rPr>
        <w:t xml:space="preserve">, die </w:t>
      </w:r>
      <w:r w:rsidR="00A67FA5" w:rsidRPr="00B140F2">
        <w:rPr>
          <w:rFonts w:eastAsiaTheme="minorEastAsia"/>
          <w:lang w:val="de-DE"/>
        </w:rPr>
        <w:t xml:space="preserve">TWA </w:t>
      </w:r>
      <w:r w:rsidR="004964F1" w:rsidRPr="00B140F2">
        <w:rPr>
          <w:rFonts w:eastAsiaTheme="minorEastAsia"/>
          <w:lang w:val="de-DE"/>
        </w:rPr>
        <w:t xml:space="preserve">und die TWF </w:t>
      </w:r>
      <w:r w:rsidR="00A67FA5" w:rsidRPr="00B140F2">
        <w:rPr>
          <w:rFonts w:eastAsiaTheme="minorEastAsia"/>
          <w:lang w:val="de-DE"/>
        </w:rPr>
        <w:t xml:space="preserve">stimmten auf ihren Tagungen im Jahr 2024 dem Vorschlag zu, das Dokument TGP/12 </w:t>
      </w:r>
      <w:r w:rsidR="001C4FD6" w:rsidRPr="00B140F2">
        <w:rPr>
          <w:rFonts w:eastAsiaTheme="minorEastAsia"/>
          <w:lang w:val="de-DE"/>
        </w:rPr>
        <w:t>„</w:t>
      </w:r>
      <w:r w:rsidR="00A67FA5" w:rsidRPr="00B140F2">
        <w:rPr>
          <w:rFonts w:eastAsiaTheme="minorEastAsia"/>
          <w:lang w:val="de-DE"/>
        </w:rPr>
        <w:t>Anleitung zu bestimmten physiologischen Merkmalen</w:t>
      </w:r>
      <w:r w:rsidR="001C4FD6" w:rsidRPr="00B140F2">
        <w:rPr>
          <w:rFonts w:eastAsiaTheme="minorEastAsia"/>
          <w:lang w:val="de-DE"/>
        </w:rPr>
        <w:t>“</w:t>
      </w:r>
      <w:r w:rsidR="00A67FA5" w:rsidRPr="00B140F2">
        <w:rPr>
          <w:rFonts w:eastAsiaTheme="minorEastAsia"/>
          <w:lang w:val="de-DE"/>
        </w:rPr>
        <w:t xml:space="preserve"> zu ändern, um eine </w:t>
      </w:r>
      <w:r w:rsidR="00923263" w:rsidRPr="00B140F2">
        <w:rPr>
          <w:rFonts w:eastAsiaTheme="minorEastAsia"/>
          <w:lang w:val="de-DE"/>
        </w:rPr>
        <w:t>Gleichwertigkeitstabelle</w:t>
      </w:r>
      <w:r w:rsidR="00DE2B42" w:rsidRPr="00B140F2">
        <w:rPr>
          <w:rFonts w:eastAsiaTheme="minorEastAsia"/>
          <w:lang w:val="de-DE"/>
        </w:rPr>
        <w:t xml:space="preserve"> für</w:t>
      </w:r>
      <w:r w:rsidR="00A67FA5" w:rsidRPr="00B140F2">
        <w:rPr>
          <w:rFonts w:eastAsiaTheme="minorEastAsia"/>
          <w:lang w:val="de-DE"/>
        </w:rPr>
        <w:t xml:space="preserve"> Ausprägungsstufen in den Prüfungsrichtlinien mit der im </w:t>
      </w:r>
      <w:r w:rsidR="005B006A">
        <w:rPr>
          <w:rFonts w:eastAsiaTheme="minorEastAsia"/>
          <w:lang w:val="de-DE"/>
        </w:rPr>
        <w:t>Sektor Saatgut für Gemüsepflanzen</w:t>
      </w:r>
      <w:r w:rsidR="00A67FA5" w:rsidRPr="00B140F2">
        <w:rPr>
          <w:rFonts w:eastAsiaTheme="minorEastAsia"/>
          <w:lang w:val="de-DE"/>
        </w:rPr>
        <w:t xml:space="preserve"> verwendeten Terminologie aufzunehmen, wie </w:t>
      </w:r>
      <w:r w:rsidR="00F764BC" w:rsidRPr="00B140F2">
        <w:rPr>
          <w:rFonts w:eastAsiaTheme="minorEastAsia"/>
          <w:lang w:val="de-DE"/>
        </w:rPr>
        <w:t>in Absatz 2</w:t>
      </w:r>
      <w:r w:rsidR="00E20002" w:rsidRPr="00B140F2">
        <w:rPr>
          <w:rFonts w:eastAsiaTheme="minorEastAsia"/>
          <w:lang w:val="de-DE"/>
        </w:rPr>
        <w:t xml:space="preserve"> vorstehend </w:t>
      </w:r>
      <w:r w:rsidR="00F764BC" w:rsidRPr="00B140F2">
        <w:rPr>
          <w:rFonts w:eastAsiaTheme="minorEastAsia"/>
          <w:lang w:val="de-DE"/>
        </w:rPr>
        <w:t>dargelegt.</w:t>
      </w:r>
    </w:p>
    <w:p w14:paraId="2F5D3002" w14:textId="77777777" w:rsidR="00A67FA5" w:rsidRPr="00B140F2" w:rsidRDefault="00A67FA5" w:rsidP="00BD4986">
      <w:pPr>
        <w:rPr>
          <w:rFonts w:eastAsiaTheme="minorEastAsia"/>
          <w:lang w:val="de-DE"/>
        </w:rPr>
      </w:pPr>
    </w:p>
    <w:p w14:paraId="25079C1D" w14:textId="3638E3A6"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A67FA5" w:rsidRPr="00B140F2">
        <w:rPr>
          <w:rFonts w:eastAsiaTheme="minorEastAsia"/>
          <w:lang w:val="de-DE"/>
        </w:rPr>
        <w:t xml:space="preserve">Die TWV stimmte dem Vorschlag zu, in Dokument TGP/12 eine Erläuterung hinzuzufügen, </w:t>
      </w:r>
      <w:r w:rsidR="00350639" w:rsidRPr="00B140F2">
        <w:rPr>
          <w:rFonts w:eastAsiaTheme="minorEastAsia"/>
          <w:lang w:val="de-DE"/>
        </w:rPr>
        <w:t xml:space="preserve">dass </w:t>
      </w:r>
      <w:r w:rsidR="00A67FA5" w:rsidRPr="00B140F2">
        <w:rPr>
          <w:rFonts w:eastAsiaTheme="minorEastAsia"/>
          <w:lang w:val="de-DE"/>
        </w:rPr>
        <w:t xml:space="preserve">die Tabelle im Falle der Gleichwertigkeit zwischen den Ausprägungsstufen gemäß dem in der </w:t>
      </w:r>
      <w:r w:rsidR="000E106C">
        <w:rPr>
          <w:rFonts w:eastAsiaTheme="minorEastAsia"/>
          <w:lang w:val="de-DE"/>
        </w:rPr>
        <w:t xml:space="preserve">Erläuterung zu den Merkmalen in Abschnitt </w:t>
      </w:r>
      <w:r w:rsidR="00A67FA5" w:rsidRPr="00B140F2">
        <w:rPr>
          <w:rFonts w:eastAsiaTheme="minorEastAsia"/>
          <w:lang w:val="de-DE"/>
        </w:rPr>
        <w:t xml:space="preserve">8.2 der Prüfungsrichtlinien beschriebenen Verfahren als </w:t>
      </w:r>
      <w:r w:rsidR="00E47CF2">
        <w:rPr>
          <w:rFonts w:eastAsiaTheme="minorEastAsia"/>
          <w:lang w:val="de-DE"/>
        </w:rPr>
        <w:t>Referenz</w:t>
      </w:r>
      <w:r w:rsidR="00A67FA5" w:rsidRPr="00B140F2">
        <w:rPr>
          <w:rFonts w:eastAsiaTheme="minorEastAsia"/>
          <w:lang w:val="de-DE"/>
        </w:rPr>
        <w:t xml:space="preserve"> verwendet werden könne.</w:t>
      </w:r>
    </w:p>
    <w:p w14:paraId="2FFCC0C7" w14:textId="77777777" w:rsidR="00A67FA5" w:rsidRPr="00B140F2" w:rsidRDefault="00A67FA5" w:rsidP="00BD4986">
      <w:pPr>
        <w:rPr>
          <w:rFonts w:cs="Arial"/>
          <w:color w:val="000000"/>
          <w:sz w:val="18"/>
          <w:lang w:val="de-DE"/>
        </w:rPr>
      </w:pPr>
    </w:p>
    <w:p w14:paraId="0E7C6DA2" w14:textId="54A464C5" w:rsidR="00214329" w:rsidRPr="00B140F2" w:rsidRDefault="0060633E" w:rsidP="00BD4986">
      <w:pPr>
        <w:rPr>
          <w:lang w:val="de-DE"/>
        </w:rPr>
      </w:pPr>
      <w:r w:rsidRPr="00E83514">
        <w:rPr>
          <w:lang w:val="de-DE"/>
        </w:rPr>
        <w:lastRenderedPageBreak/>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A67FA5" w:rsidRPr="00B140F2">
        <w:rPr>
          <w:lang w:val="de-DE"/>
        </w:rPr>
        <w:t xml:space="preserve">Die TWA stimmte dem Vorschlag zu, eine Erläuterung hinzuzufügen, </w:t>
      </w:r>
      <w:r w:rsidR="00350639" w:rsidRPr="00B140F2">
        <w:rPr>
          <w:lang w:val="de-DE"/>
        </w:rPr>
        <w:t xml:space="preserve">dass </w:t>
      </w:r>
      <w:r w:rsidR="00A67FA5" w:rsidRPr="00B140F2">
        <w:rPr>
          <w:lang w:val="de-DE"/>
        </w:rPr>
        <w:t xml:space="preserve">die Tabelle nur im Falle einer bekannten </w:t>
      </w:r>
      <w:r w:rsidR="00450831" w:rsidRPr="00B140F2">
        <w:rPr>
          <w:lang w:val="de-DE"/>
        </w:rPr>
        <w:t>Gleichwertigkeit</w:t>
      </w:r>
      <w:r w:rsidR="00A67FA5" w:rsidRPr="00B140F2">
        <w:rPr>
          <w:lang w:val="de-DE"/>
        </w:rPr>
        <w:t xml:space="preserve"> zwischen den Ausprägungsstufen gemäß </w:t>
      </w:r>
      <w:r w:rsidR="00873050" w:rsidRPr="00B140F2">
        <w:rPr>
          <w:lang w:val="de-DE"/>
        </w:rPr>
        <w:t>de</w:t>
      </w:r>
      <w:r w:rsidR="00873050">
        <w:rPr>
          <w:lang w:val="de-DE"/>
        </w:rPr>
        <w:t>m</w:t>
      </w:r>
      <w:r w:rsidR="00873050" w:rsidRPr="00B140F2">
        <w:rPr>
          <w:lang w:val="de-DE"/>
        </w:rPr>
        <w:t xml:space="preserve"> </w:t>
      </w:r>
      <w:r w:rsidR="00A67FA5" w:rsidRPr="00B140F2">
        <w:rPr>
          <w:lang w:val="de-DE"/>
        </w:rPr>
        <w:t xml:space="preserve">in der </w:t>
      </w:r>
      <w:r w:rsidR="000E106C">
        <w:rPr>
          <w:lang w:val="de-DE"/>
        </w:rPr>
        <w:t xml:space="preserve">Erläuterung zu den Merkmalen in Abschnitt </w:t>
      </w:r>
      <w:r w:rsidR="00A67FA5" w:rsidRPr="00B140F2">
        <w:rPr>
          <w:lang w:val="de-DE"/>
        </w:rPr>
        <w:t xml:space="preserve">8.2 der Prüfungsrichtlinien beschriebenen </w:t>
      </w:r>
      <w:r w:rsidR="00873050">
        <w:rPr>
          <w:lang w:val="de-DE"/>
        </w:rPr>
        <w:t>Verfahren</w:t>
      </w:r>
      <w:r w:rsidR="00873050" w:rsidRPr="00B140F2">
        <w:rPr>
          <w:lang w:val="de-DE"/>
        </w:rPr>
        <w:t xml:space="preserve"> </w:t>
      </w:r>
      <w:r w:rsidR="00A67FA5" w:rsidRPr="00B140F2">
        <w:rPr>
          <w:lang w:val="de-DE"/>
        </w:rPr>
        <w:t>verwendet werden könne.</w:t>
      </w:r>
    </w:p>
    <w:p w14:paraId="5686A370" w14:textId="77777777" w:rsidR="00A67FA5" w:rsidRPr="00B140F2" w:rsidRDefault="00A67FA5" w:rsidP="00BD4986">
      <w:pPr>
        <w:rPr>
          <w:lang w:val="de-DE"/>
        </w:rPr>
      </w:pPr>
    </w:p>
    <w:p w14:paraId="0638D363" w14:textId="04B09758"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TWO nahm zur Kenntnis, </w:t>
      </w:r>
      <w:r w:rsidR="00350639" w:rsidRPr="00B140F2">
        <w:rPr>
          <w:lang w:val="de-DE"/>
        </w:rPr>
        <w:t xml:space="preserve">dass </w:t>
      </w:r>
      <w:r w:rsidRPr="00B140F2">
        <w:rPr>
          <w:lang w:val="de-DE"/>
        </w:rPr>
        <w:t xml:space="preserve">Krankheitsresistenzmerkmale </w:t>
      </w:r>
      <w:r w:rsidR="00873050">
        <w:rPr>
          <w:lang w:val="de-DE"/>
        </w:rPr>
        <w:t>im Allgemeinen</w:t>
      </w:r>
      <w:r w:rsidRPr="00B140F2">
        <w:rPr>
          <w:lang w:val="de-DE"/>
        </w:rPr>
        <w:t xml:space="preserve"> bei Zierpflanzen nicht verwendet würden, und vereinbarte, </w:t>
      </w:r>
      <w:r w:rsidR="00350639" w:rsidRPr="00B140F2">
        <w:rPr>
          <w:lang w:val="de-DE"/>
        </w:rPr>
        <w:t xml:space="preserve">dass </w:t>
      </w:r>
      <w:r w:rsidRPr="00B140F2">
        <w:rPr>
          <w:lang w:val="de-DE"/>
        </w:rPr>
        <w:t xml:space="preserve">die Sachverständigen auf der </w:t>
      </w:r>
      <w:r w:rsidR="005B006A">
        <w:rPr>
          <w:lang w:val="de-DE"/>
        </w:rPr>
        <w:t xml:space="preserve">Sitzung </w:t>
      </w:r>
      <w:r w:rsidRPr="00B140F2">
        <w:rPr>
          <w:lang w:val="de-DE"/>
        </w:rPr>
        <w:t>nicht über genügend Erfahrung verfügten, um eine bestimmte Ansicht zu dem Vorschlag zu vertreten.</w:t>
      </w:r>
    </w:p>
    <w:p w14:paraId="4D122C52" w14:textId="77777777" w:rsidR="00E32884" w:rsidRPr="00B140F2" w:rsidRDefault="00E32884" w:rsidP="00BD4986">
      <w:pPr>
        <w:rPr>
          <w:lang w:val="de-DE"/>
        </w:rPr>
      </w:pPr>
    </w:p>
    <w:p w14:paraId="4D3B17D6" w14:textId="7141F845"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A67FA5" w:rsidRPr="00B140F2">
        <w:rPr>
          <w:rFonts w:cs="Arial"/>
          <w:color w:val="000000"/>
          <w:lang w:val="de-DE"/>
        </w:rPr>
        <w:t xml:space="preserve">Die </w:t>
      </w:r>
      <w:r w:rsidR="00E32884" w:rsidRPr="00B140F2">
        <w:rPr>
          <w:rFonts w:cs="Arial"/>
          <w:color w:val="000000"/>
          <w:lang w:val="de-DE"/>
        </w:rPr>
        <w:t xml:space="preserve">TWF </w:t>
      </w:r>
      <w:r w:rsidR="005B006A">
        <w:rPr>
          <w:rFonts w:cs="Arial"/>
          <w:color w:val="000000"/>
          <w:lang w:val="de-DE"/>
        </w:rPr>
        <w:t>stimmte</w:t>
      </w:r>
      <w:r w:rsidR="00E32884" w:rsidRPr="00B140F2">
        <w:rPr>
          <w:rFonts w:cs="Arial"/>
          <w:color w:val="000000"/>
          <w:lang w:val="de-DE"/>
        </w:rPr>
        <w:t xml:space="preserve"> der </w:t>
      </w:r>
      <w:r w:rsidR="00A67FA5" w:rsidRPr="00B140F2">
        <w:rPr>
          <w:rFonts w:cs="Arial"/>
          <w:color w:val="000000"/>
          <w:lang w:val="de-DE"/>
        </w:rPr>
        <w:t>TWA</w:t>
      </w:r>
      <w:r w:rsidR="005B006A">
        <w:rPr>
          <w:rFonts w:cs="Arial"/>
          <w:color w:val="000000"/>
          <w:lang w:val="de-DE"/>
        </w:rPr>
        <w:t xml:space="preserve"> zu</w:t>
      </w:r>
      <w:r w:rsidR="00A67FA5" w:rsidRPr="00B140F2">
        <w:rPr>
          <w:rFonts w:cs="Arial"/>
          <w:color w:val="000000"/>
          <w:lang w:val="de-DE"/>
        </w:rPr>
        <w:t xml:space="preserve">, </w:t>
      </w:r>
      <w:r w:rsidR="00350639" w:rsidRPr="00B140F2">
        <w:rPr>
          <w:rFonts w:cs="Arial"/>
          <w:color w:val="000000"/>
          <w:lang w:val="de-DE"/>
        </w:rPr>
        <w:t xml:space="preserve">dass </w:t>
      </w:r>
      <w:r w:rsidR="00A67FA5" w:rsidRPr="00B140F2">
        <w:rPr>
          <w:rFonts w:cs="Arial"/>
          <w:color w:val="000000"/>
          <w:lang w:val="de-DE"/>
        </w:rPr>
        <w:t xml:space="preserve">die Anleitung in Dokument TGP/12 klarstellen sollte, </w:t>
      </w:r>
      <w:r w:rsidR="00350639" w:rsidRPr="00B140F2">
        <w:rPr>
          <w:rFonts w:cs="Arial"/>
          <w:color w:val="000000"/>
          <w:lang w:val="de-DE"/>
        </w:rPr>
        <w:t xml:space="preserve">dass </w:t>
      </w:r>
      <w:r w:rsidR="00A67FA5" w:rsidRPr="00B140F2">
        <w:rPr>
          <w:rFonts w:cs="Arial"/>
          <w:color w:val="000000"/>
          <w:lang w:val="de-DE"/>
        </w:rPr>
        <w:t xml:space="preserve">die Verwendung der Tabelle von Fall zu Fall </w:t>
      </w:r>
      <w:r w:rsidR="00873050">
        <w:rPr>
          <w:rFonts w:cs="Arial"/>
          <w:color w:val="000000"/>
          <w:lang w:val="de-DE"/>
        </w:rPr>
        <w:t>bestimmt</w:t>
      </w:r>
      <w:r w:rsidR="00873050" w:rsidRPr="00B140F2">
        <w:rPr>
          <w:rFonts w:cs="Arial"/>
          <w:color w:val="000000"/>
          <w:lang w:val="de-DE"/>
        </w:rPr>
        <w:t xml:space="preserve"> </w:t>
      </w:r>
      <w:r w:rsidR="00A67FA5" w:rsidRPr="00B140F2">
        <w:rPr>
          <w:rFonts w:cs="Arial"/>
          <w:color w:val="000000"/>
          <w:lang w:val="de-DE"/>
        </w:rPr>
        <w:t xml:space="preserve">werden sollte und die im </w:t>
      </w:r>
      <w:r w:rsidR="00873050" w:rsidRPr="00B140F2">
        <w:rPr>
          <w:lang w:val="de-DE"/>
        </w:rPr>
        <w:t>Sektor Saatgut für Gemüsepflanzen</w:t>
      </w:r>
      <w:r w:rsidR="00873050">
        <w:rPr>
          <w:lang w:val="de-DE"/>
        </w:rPr>
        <w:t xml:space="preserve"> </w:t>
      </w:r>
      <w:r w:rsidR="00A67FA5" w:rsidRPr="00B140F2">
        <w:rPr>
          <w:rFonts w:cs="Arial"/>
          <w:color w:val="000000"/>
          <w:lang w:val="de-DE"/>
        </w:rPr>
        <w:t>verwendete Terminologie keine allgemeine Gleichwertigkeit der Ausprägungsstufen in den Prüfungsrichtlinien darstellen würde.</w:t>
      </w:r>
    </w:p>
    <w:p w14:paraId="6F0E429C" w14:textId="77777777" w:rsidR="00A67FA5" w:rsidRPr="00B140F2" w:rsidRDefault="00A67FA5" w:rsidP="00BD4986">
      <w:pPr>
        <w:rPr>
          <w:lang w:val="de-DE"/>
        </w:rPr>
      </w:pPr>
    </w:p>
    <w:p w14:paraId="111E3AA9" w14:textId="77777777" w:rsidR="00A67FA5" w:rsidRPr="00B140F2" w:rsidRDefault="00A67FA5" w:rsidP="00BD4986">
      <w:pPr>
        <w:rPr>
          <w:lang w:val="de-DE"/>
        </w:rPr>
      </w:pPr>
    </w:p>
    <w:p w14:paraId="4FBD0CBB" w14:textId="77777777" w:rsidR="00214329" w:rsidRPr="00B140F2" w:rsidRDefault="0060633E" w:rsidP="00BD4986">
      <w:pPr>
        <w:rPr>
          <w:lang w:val="de-DE"/>
        </w:rPr>
      </w:pPr>
      <w:r w:rsidRPr="00B140F2">
        <w:rPr>
          <w:i/>
          <w:iCs/>
          <w:lang w:val="de-DE"/>
        </w:rPr>
        <w:t>Vorschlag</w:t>
      </w:r>
    </w:p>
    <w:p w14:paraId="229E49A3" w14:textId="77777777" w:rsidR="00B06392" w:rsidRPr="00B140F2" w:rsidRDefault="00B06392" w:rsidP="00BD4986">
      <w:pPr>
        <w:rPr>
          <w:lang w:val="de-DE"/>
        </w:rPr>
      </w:pPr>
    </w:p>
    <w:p w14:paraId="2D7BB4AD" w14:textId="3168741E"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Aufgrund der </w:t>
      </w:r>
      <w:r w:rsidR="007D62E7" w:rsidRPr="00B140F2">
        <w:rPr>
          <w:lang w:val="de-DE"/>
        </w:rPr>
        <w:t>Bemerkungen</w:t>
      </w:r>
      <w:r w:rsidRPr="00B140F2">
        <w:rPr>
          <w:lang w:val="de-DE"/>
        </w:rPr>
        <w:t xml:space="preserve"> der TWP auf ihren Tagungen im Jahre </w:t>
      </w:r>
      <w:r w:rsidR="00B105A4" w:rsidRPr="00B140F2">
        <w:rPr>
          <w:lang w:val="de-DE"/>
        </w:rPr>
        <w:t xml:space="preserve">2024 </w:t>
      </w:r>
      <w:r w:rsidRPr="00B140F2">
        <w:rPr>
          <w:lang w:val="de-DE"/>
        </w:rPr>
        <w:t xml:space="preserve">wird vorgeschlagen, </w:t>
      </w:r>
      <w:r w:rsidR="00B62B60" w:rsidRPr="00B140F2">
        <w:rPr>
          <w:lang w:val="de-DE"/>
        </w:rPr>
        <w:t xml:space="preserve">folgende Tabelle </w:t>
      </w:r>
      <w:r w:rsidR="00C05B7F" w:rsidRPr="00B140F2">
        <w:rPr>
          <w:lang w:val="de-DE"/>
        </w:rPr>
        <w:t xml:space="preserve">und Erläuterungen zur </w:t>
      </w:r>
      <w:r w:rsidR="001C4FD6" w:rsidRPr="00B140F2">
        <w:rPr>
          <w:lang w:val="de-DE"/>
        </w:rPr>
        <w:t>„</w:t>
      </w:r>
      <w:r w:rsidR="00B62B60" w:rsidRPr="00B140F2">
        <w:rPr>
          <w:lang w:val="de-DE"/>
        </w:rPr>
        <w:t xml:space="preserve">Gleichwertigkeit der Ausprägungsstufen in den Prüfungsrichtlinien mit der im </w:t>
      </w:r>
      <w:r w:rsidR="005B006A">
        <w:rPr>
          <w:lang w:val="de-DE"/>
        </w:rPr>
        <w:t>Sektor Saatgut für Gemüsepflanzen</w:t>
      </w:r>
      <w:r w:rsidR="00B62B60" w:rsidRPr="00B140F2">
        <w:rPr>
          <w:lang w:val="de-DE"/>
        </w:rPr>
        <w:t xml:space="preserve"> verwendeten Terminologie</w:t>
      </w:r>
      <w:r w:rsidR="001C4FD6" w:rsidRPr="00B140F2">
        <w:rPr>
          <w:lang w:val="de-DE"/>
        </w:rPr>
        <w:t>“</w:t>
      </w:r>
      <w:r w:rsidR="008730FA" w:rsidRPr="00B140F2">
        <w:rPr>
          <w:lang w:val="de-DE"/>
        </w:rPr>
        <w:t xml:space="preserve"> </w:t>
      </w:r>
      <w:r w:rsidR="009C4B7A" w:rsidRPr="00B140F2">
        <w:rPr>
          <w:lang w:val="de-DE"/>
        </w:rPr>
        <w:t xml:space="preserve">in das Dokument TGP/12, </w:t>
      </w:r>
      <w:r w:rsidR="00B62B60" w:rsidRPr="00B140F2">
        <w:rPr>
          <w:lang w:val="de-DE"/>
        </w:rPr>
        <w:t xml:space="preserve">Abschnitt 2.3.2 </w:t>
      </w:r>
      <w:r w:rsidR="001C4FD6" w:rsidRPr="00B140F2">
        <w:rPr>
          <w:lang w:val="de-DE"/>
        </w:rPr>
        <w:t>„</w:t>
      </w:r>
      <w:r w:rsidR="00B62B60" w:rsidRPr="00B140F2">
        <w:rPr>
          <w:lang w:val="de-DE"/>
        </w:rPr>
        <w:t>Quantitative Merkmale</w:t>
      </w:r>
      <w:r w:rsidR="001C4FD6" w:rsidRPr="00B140F2">
        <w:rPr>
          <w:lang w:val="de-DE"/>
        </w:rPr>
        <w:t>“</w:t>
      </w:r>
      <w:r w:rsidR="00B738EB" w:rsidRPr="00B140F2">
        <w:rPr>
          <w:lang w:val="de-DE"/>
        </w:rPr>
        <w:t xml:space="preserve"> </w:t>
      </w:r>
      <w:r w:rsidR="00B62B60" w:rsidRPr="00B140F2">
        <w:rPr>
          <w:lang w:val="de-DE"/>
        </w:rPr>
        <w:t xml:space="preserve">aufzunehmen: </w:t>
      </w:r>
    </w:p>
    <w:p w14:paraId="7DCF2F1B" w14:textId="77777777" w:rsidR="00B62B60" w:rsidRPr="00B140F2" w:rsidRDefault="00B62B60" w:rsidP="00BD4986">
      <w:pPr>
        <w:rPr>
          <w:lang w:val="de-DE"/>
        </w:rPr>
      </w:pPr>
    </w:p>
    <w:p w14:paraId="104F0BFB" w14:textId="13CDD904" w:rsidR="00214329" w:rsidRPr="00B140F2" w:rsidRDefault="001C4FD6" w:rsidP="00BD4986">
      <w:pPr>
        <w:tabs>
          <w:tab w:val="left" w:pos="1276"/>
        </w:tabs>
        <w:ind w:left="567" w:right="567"/>
        <w:rPr>
          <w:lang w:val="de-DE"/>
        </w:rPr>
      </w:pPr>
      <w:bookmarkStart w:id="46" w:name="_Toc131520064"/>
      <w:r w:rsidRPr="00B140F2">
        <w:rPr>
          <w:u w:val="single"/>
          <w:lang w:val="de-DE"/>
        </w:rPr>
        <w:t>„</w:t>
      </w:r>
      <w:r w:rsidR="0060633E" w:rsidRPr="00B140F2">
        <w:rPr>
          <w:u w:val="single"/>
          <w:lang w:val="de-DE"/>
        </w:rPr>
        <w:t>2.3.2</w:t>
      </w:r>
      <w:r w:rsidR="00A41520" w:rsidRPr="00B140F2">
        <w:rPr>
          <w:u w:val="single"/>
          <w:lang w:val="de-DE"/>
        </w:rPr>
        <w:t xml:space="preserve"> </w:t>
      </w:r>
      <w:r w:rsidR="0060633E" w:rsidRPr="00B140F2">
        <w:rPr>
          <w:u w:val="single"/>
          <w:lang w:val="de-DE"/>
        </w:rPr>
        <w:t xml:space="preserve">Quantitative </w:t>
      </w:r>
      <w:r w:rsidR="0060633E" w:rsidRPr="00B140F2">
        <w:rPr>
          <w:u w:val="single"/>
          <w:lang w:val="de-DE"/>
        </w:rPr>
        <w:tab/>
        <w:t>Merkmale</w:t>
      </w:r>
      <w:bookmarkEnd w:id="46"/>
    </w:p>
    <w:p w14:paraId="438B68AF" w14:textId="77777777" w:rsidR="00214329" w:rsidRPr="00B140F2" w:rsidRDefault="0060633E" w:rsidP="00BD4986">
      <w:pPr>
        <w:ind w:left="567" w:right="567"/>
        <w:rPr>
          <w:rFonts w:cs="Arial"/>
          <w:lang w:val="de-DE"/>
        </w:rPr>
      </w:pPr>
      <w:r w:rsidRPr="00B140F2">
        <w:rPr>
          <w:rFonts w:cs="Arial"/>
          <w:lang w:val="de-DE"/>
        </w:rPr>
        <w:t xml:space="preserve">[...] </w:t>
      </w:r>
    </w:p>
    <w:p w14:paraId="563BECDF" w14:textId="77777777" w:rsidR="00AB2438" w:rsidRPr="00B140F2" w:rsidRDefault="00AB2438" w:rsidP="00BD4986">
      <w:pPr>
        <w:ind w:left="567" w:right="567"/>
        <w:rPr>
          <w:rFonts w:cs="Arial"/>
          <w:lang w:val="de-DE"/>
        </w:rPr>
      </w:pPr>
    </w:p>
    <w:p w14:paraId="53FB050C" w14:textId="2827DCCB" w:rsidR="00214329" w:rsidRPr="00E47CF2" w:rsidRDefault="001C4FD6" w:rsidP="00BD4986">
      <w:pPr>
        <w:ind w:left="567" w:right="567"/>
        <w:rPr>
          <w:rFonts w:cs="Arial"/>
          <w:lang w:val="de-DE"/>
        </w:rPr>
      </w:pPr>
      <w:r w:rsidRPr="00E47CF2">
        <w:rPr>
          <w:lang w:val="de-DE"/>
        </w:rPr>
        <w:t>„</w:t>
      </w:r>
      <w:r w:rsidR="003C7108" w:rsidRPr="00E47CF2">
        <w:rPr>
          <w:lang w:val="de-DE"/>
        </w:rPr>
        <w:t xml:space="preserve">Die </w:t>
      </w:r>
      <w:r w:rsidR="0084689B" w:rsidRPr="00E47CF2">
        <w:rPr>
          <w:lang w:val="de-DE"/>
        </w:rPr>
        <w:t xml:space="preserve">in den Prüfungsrichtlinien </w:t>
      </w:r>
      <w:r w:rsidR="003C7108" w:rsidRPr="00E47CF2">
        <w:rPr>
          <w:lang w:val="de-DE"/>
        </w:rPr>
        <w:t xml:space="preserve">für quantitative Krankheitsresistenzmerkmale verwendete Terminologie kann von der </w:t>
      </w:r>
      <w:r w:rsidR="008B7E4C" w:rsidRPr="00E47CF2">
        <w:rPr>
          <w:lang w:val="de-DE"/>
        </w:rPr>
        <w:t>des Sektors Saatgut für Gemüsepflanzen</w:t>
      </w:r>
      <w:r w:rsidR="003C7108" w:rsidRPr="00E47CF2">
        <w:rPr>
          <w:lang w:val="de-DE"/>
        </w:rPr>
        <w:t xml:space="preserve"> abweichen</w:t>
      </w:r>
      <w:r w:rsidR="00932098" w:rsidRPr="00E47CF2">
        <w:rPr>
          <w:lang w:val="de-DE"/>
        </w:rPr>
        <w:t xml:space="preserve">. Dies kann </w:t>
      </w:r>
      <w:r w:rsidR="001A10B5" w:rsidRPr="00E47CF2">
        <w:rPr>
          <w:lang w:val="de-DE"/>
        </w:rPr>
        <w:t xml:space="preserve">sich </w:t>
      </w:r>
      <w:r w:rsidR="00932098" w:rsidRPr="00E47CF2">
        <w:rPr>
          <w:lang w:val="de-DE"/>
        </w:rPr>
        <w:t xml:space="preserve">auf die </w:t>
      </w:r>
      <w:r w:rsidR="00955915" w:rsidRPr="00E47CF2">
        <w:rPr>
          <w:rFonts w:cs="Arial"/>
          <w:lang w:val="de-DE"/>
        </w:rPr>
        <w:t xml:space="preserve">Aufteilung der Spanne </w:t>
      </w:r>
      <w:r w:rsidR="008D0149" w:rsidRPr="00E47CF2">
        <w:rPr>
          <w:rFonts w:cs="Arial"/>
          <w:lang w:val="de-DE"/>
        </w:rPr>
        <w:t xml:space="preserve">oder </w:t>
      </w:r>
      <w:r w:rsidR="00E52645" w:rsidRPr="00E47CF2">
        <w:rPr>
          <w:rFonts w:cs="Arial"/>
          <w:lang w:val="de-DE"/>
        </w:rPr>
        <w:t xml:space="preserve">den </w:t>
      </w:r>
      <w:r w:rsidR="009400D4" w:rsidRPr="00E47CF2">
        <w:rPr>
          <w:rFonts w:cs="Arial"/>
          <w:lang w:val="de-DE"/>
        </w:rPr>
        <w:t>Wortlaut</w:t>
      </w:r>
      <w:r w:rsidR="00955915" w:rsidRPr="00E47CF2">
        <w:rPr>
          <w:rFonts w:cs="Arial"/>
          <w:lang w:val="de-DE"/>
        </w:rPr>
        <w:t xml:space="preserve"> </w:t>
      </w:r>
      <w:r w:rsidR="00D5622C" w:rsidRPr="00E47CF2">
        <w:rPr>
          <w:rFonts w:cs="Arial"/>
          <w:lang w:val="de-DE"/>
        </w:rPr>
        <w:t xml:space="preserve">der Ausprägungsstufen </w:t>
      </w:r>
      <w:r w:rsidR="001A10B5" w:rsidRPr="00E47CF2">
        <w:rPr>
          <w:lang w:val="de-DE"/>
        </w:rPr>
        <w:t>beziehen</w:t>
      </w:r>
      <w:r w:rsidR="0029680E" w:rsidRPr="00E47CF2">
        <w:rPr>
          <w:rFonts w:cs="Arial"/>
          <w:lang w:val="de-DE"/>
        </w:rPr>
        <w:t xml:space="preserve">. </w:t>
      </w:r>
    </w:p>
    <w:p w14:paraId="5FFD75A0" w14:textId="77777777" w:rsidR="00087C47" w:rsidRPr="00E47CF2" w:rsidRDefault="00087C47" w:rsidP="00BD4986">
      <w:pPr>
        <w:ind w:left="567" w:right="567"/>
        <w:rPr>
          <w:lang w:val="de-DE"/>
        </w:rPr>
      </w:pPr>
    </w:p>
    <w:p w14:paraId="199653EB" w14:textId="052C159F" w:rsidR="00214329" w:rsidRPr="00E47CF2" w:rsidRDefault="001C4FD6" w:rsidP="00BD4986">
      <w:pPr>
        <w:ind w:left="567" w:right="567"/>
        <w:rPr>
          <w:lang w:val="de-DE"/>
        </w:rPr>
      </w:pPr>
      <w:r w:rsidRPr="00E47CF2">
        <w:rPr>
          <w:lang w:val="de-DE"/>
        </w:rPr>
        <w:t>„</w:t>
      </w:r>
      <w:r w:rsidR="00DC6066" w:rsidRPr="00E47CF2">
        <w:rPr>
          <w:lang w:val="de-DE"/>
        </w:rPr>
        <w:t xml:space="preserve">Es besteht keine allgemeine Gleichwertigkeit zwischen den Ausprägungsstufen in den Prüfungsrichtlinien und der im </w:t>
      </w:r>
      <w:r w:rsidR="00873050" w:rsidRPr="00E47CF2">
        <w:rPr>
          <w:lang w:val="de-DE"/>
        </w:rPr>
        <w:t>Sektor Saatgut für Gemüsepflanzen</w:t>
      </w:r>
      <w:r w:rsidR="00DC6066" w:rsidRPr="00E47CF2">
        <w:rPr>
          <w:lang w:val="de-DE"/>
        </w:rPr>
        <w:t xml:space="preserve"> verwendeten Terminologie.</w:t>
      </w:r>
      <w:r w:rsidR="00FE0BFC" w:rsidRPr="00E47CF2">
        <w:rPr>
          <w:lang w:val="de-DE"/>
        </w:rPr>
        <w:t xml:space="preserve"> </w:t>
      </w:r>
      <w:r w:rsidR="00C66A87" w:rsidRPr="00E47CF2">
        <w:rPr>
          <w:lang w:val="de-DE"/>
        </w:rPr>
        <w:t xml:space="preserve">Die </w:t>
      </w:r>
      <w:r w:rsidR="00450831" w:rsidRPr="00E47CF2">
        <w:rPr>
          <w:lang w:val="de-DE"/>
        </w:rPr>
        <w:t>Gleichwertigkeit</w:t>
      </w:r>
      <w:r w:rsidR="00C66A87" w:rsidRPr="00E47CF2">
        <w:rPr>
          <w:lang w:val="de-DE"/>
        </w:rPr>
        <w:t xml:space="preserve"> </w:t>
      </w:r>
      <w:r w:rsidR="005D470B" w:rsidRPr="00E47CF2">
        <w:rPr>
          <w:lang w:val="de-DE"/>
        </w:rPr>
        <w:t xml:space="preserve">kann </w:t>
      </w:r>
      <w:r w:rsidR="00FA581A" w:rsidRPr="00E47CF2">
        <w:rPr>
          <w:lang w:val="de-DE"/>
        </w:rPr>
        <w:t xml:space="preserve">von Fall zu Fall </w:t>
      </w:r>
      <w:r w:rsidR="00906752" w:rsidRPr="00E47CF2">
        <w:rPr>
          <w:lang w:val="de-DE"/>
        </w:rPr>
        <w:t xml:space="preserve">gemäß </w:t>
      </w:r>
      <w:r w:rsidR="00873050" w:rsidRPr="00E47CF2">
        <w:rPr>
          <w:lang w:val="de-DE"/>
        </w:rPr>
        <w:t xml:space="preserve">dem </w:t>
      </w:r>
      <w:r w:rsidR="002E7AB2" w:rsidRPr="00E47CF2">
        <w:rPr>
          <w:lang w:val="de-DE"/>
        </w:rPr>
        <w:t xml:space="preserve">in </w:t>
      </w:r>
      <w:r w:rsidR="00FA581A" w:rsidRPr="00E47CF2">
        <w:rPr>
          <w:lang w:val="de-DE"/>
        </w:rPr>
        <w:t xml:space="preserve">Abschnitt 8.2 der Prüfungsrichtlinien </w:t>
      </w:r>
      <w:r w:rsidR="002E7AB2" w:rsidRPr="00E47CF2">
        <w:rPr>
          <w:lang w:val="de-DE"/>
        </w:rPr>
        <w:t>(</w:t>
      </w:r>
      <w:r w:rsidRPr="00E47CF2">
        <w:rPr>
          <w:lang w:val="de-DE"/>
        </w:rPr>
        <w:t>„</w:t>
      </w:r>
      <w:r w:rsidR="00906752" w:rsidRPr="00E47CF2">
        <w:rPr>
          <w:lang w:val="de-DE"/>
        </w:rPr>
        <w:t>Erläuterung zu einzelnen Merkmalen</w:t>
      </w:r>
      <w:r w:rsidRPr="00E47CF2">
        <w:rPr>
          <w:lang w:val="de-DE"/>
        </w:rPr>
        <w:t>“</w:t>
      </w:r>
      <w:r w:rsidR="002E7AB2" w:rsidRPr="00E47CF2">
        <w:rPr>
          <w:lang w:val="de-DE"/>
        </w:rPr>
        <w:t xml:space="preserve">) angegebenen </w:t>
      </w:r>
      <w:r w:rsidR="00873050" w:rsidRPr="00E47CF2">
        <w:rPr>
          <w:lang w:val="de-DE"/>
        </w:rPr>
        <w:t xml:space="preserve">Verfahren </w:t>
      </w:r>
      <w:r w:rsidR="00906752" w:rsidRPr="00E47CF2">
        <w:rPr>
          <w:lang w:val="de-DE"/>
        </w:rPr>
        <w:t xml:space="preserve">zur Bewertung </w:t>
      </w:r>
      <w:r w:rsidR="00DC6066" w:rsidRPr="00E47CF2">
        <w:rPr>
          <w:lang w:val="de-DE"/>
        </w:rPr>
        <w:t xml:space="preserve">des Merkmals </w:t>
      </w:r>
      <w:r w:rsidR="00873050" w:rsidRPr="00E47CF2">
        <w:rPr>
          <w:lang w:val="de-DE"/>
        </w:rPr>
        <w:t xml:space="preserve">bestimmt </w:t>
      </w:r>
      <w:r w:rsidR="0015474A" w:rsidRPr="00E47CF2">
        <w:rPr>
          <w:lang w:val="de-DE"/>
        </w:rPr>
        <w:t>werden</w:t>
      </w:r>
      <w:r w:rsidR="00906752" w:rsidRPr="00E47CF2">
        <w:rPr>
          <w:lang w:val="de-DE"/>
        </w:rPr>
        <w:t>.</w:t>
      </w:r>
      <w:r w:rsidR="00FE0BFC" w:rsidRPr="00E47CF2">
        <w:rPr>
          <w:lang w:val="de-DE"/>
        </w:rPr>
        <w:t xml:space="preserve"> </w:t>
      </w:r>
    </w:p>
    <w:p w14:paraId="371E1B37" w14:textId="77777777" w:rsidR="0029680E" w:rsidRPr="00E47CF2" w:rsidRDefault="0029680E" w:rsidP="00BD4986">
      <w:pPr>
        <w:ind w:left="567" w:right="567"/>
        <w:rPr>
          <w:lang w:val="de-DE"/>
        </w:rPr>
      </w:pPr>
    </w:p>
    <w:p w14:paraId="1906D357" w14:textId="34D2C266" w:rsidR="00214329" w:rsidRPr="00B140F2" w:rsidRDefault="001C4FD6" w:rsidP="00BD4986">
      <w:pPr>
        <w:ind w:left="567" w:right="567"/>
        <w:rPr>
          <w:lang w:val="de-DE"/>
        </w:rPr>
      </w:pPr>
      <w:r w:rsidRPr="00E47CF2">
        <w:rPr>
          <w:lang w:val="de-DE"/>
        </w:rPr>
        <w:t>„</w:t>
      </w:r>
      <w:r w:rsidR="0029680E" w:rsidRPr="00E47CF2">
        <w:rPr>
          <w:lang w:val="de-DE"/>
        </w:rPr>
        <w:t xml:space="preserve">Die nachstehende Tabelle </w:t>
      </w:r>
      <w:r w:rsidR="00FB4CB5" w:rsidRPr="00E47CF2">
        <w:rPr>
          <w:lang w:val="de-DE"/>
        </w:rPr>
        <w:t xml:space="preserve">gibt </w:t>
      </w:r>
      <w:r w:rsidR="0029680E" w:rsidRPr="00E47CF2">
        <w:rPr>
          <w:lang w:val="de-DE"/>
        </w:rPr>
        <w:t xml:space="preserve">eine </w:t>
      </w:r>
      <w:r w:rsidR="00873050" w:rsidRPr="00E47CF2">
        <w:rPr>
          <w:lang w:val="de-DE"/>
        </w:rPr>
        <w:t xml:space="preserve">Referenz im Fall von </w:t>
      </w:r>
      <w:r w:rsidR="0029680E" w:rsidRPr="00E47CF2">
        <w:rPr>
          <w:lang w:val="de-DE"/>
        </w:rPr>
        <w:t xml:space="preserve">Gleichwertigkeit zwischen den Ausprägungsstufen </w:t>
      </w:r>
      <w:r w:rsidR="007B2997" w:rsidRPr="00E47CF2">
        <w:rPr>
          <w:lang w:val="de-DE"/>
        </w:rPr>
        <w:t xml:space="preserve">für </w:t>
      </w:r>
      <w:r w:rsidR="007C0A0F" w:rsidRPr="00E47CF2">
        <w:rPr>
          <w:lang w:val="de-DE"/>
        </w:rPr>
        <w:t xml:space="preserve">quantitative Krankheitsresistenzmerkmale in den Prüfungsrichtlinien </w:t>
      </w:r>
      <w:r w:rsidR="004F6D03" w:rsidRPr="00E47CF2">
        <w:rPr>
          <w:lang w:val="de-DE"/>
        </w:rPr>
        <w:t xml:space="preserve">und der </w:t>
      </w:r>
      <w:r w:rsidR="007C0A0F" w:rsidRPr="00E47CF2">
        <w:rPr>
          <w:lang w:val="de-DE"/>
        </w:rPr>
        <w:t xml:space="preserve">im </w:t>
      </w:r>
      <w:r w:rsidR="005B006A" w:rsidRPr="00E47CF2">
        <w:rPr>
          <w:lang w:val="de-DE"/>
        </w:rPr>
        <w:t>Sektor Saatgut für Gemüsepflanzen</w:t>
      </w:r>
      <w:r w:rsidR="007C0A0F" w:rsidRPr="00E47CF2">
        <w:rPr>
          <w:lang w:val="de-DE"/>
        </w:rPr>
        <w:t xml:space="preserve"> verwendeten </w:t>
      </w:r>
      <w:r w:rsidR="004F6D03" w:rsidRPr="00E47CF2">
        <w:rPr>
          <w:lang w:val="de-DE"/>
        </w:rPr>
        <w:t>Terminologie</w:t>
      </w:r>
      <w:r w:rsidR="00E47CF2">
        <w:rPr>
          <w:lang w:val="de-DE"/>
        </w:rPr>
        <w:t xml:space="preserve"> an</w:t>
      </w:r>
      <w:r w:rsidR="0029680E" w:rsidRPr="00E47CF2">
        <w:rPr>
          <w:lang w:val="de-DE"/>
        </w:rPr>
        <w:t>:</w:t>
      </w:r>
      <w:r w:rsidR="00FE0BFC" w:rsidRPr="00B140F2">
        <w:rPr>
          <w:lang w:val="de-DE"/>
        </w:rPr>
        <w:t xml:space="preserve"> </w:t>
      </w:r>
    </w:p>
    <w:p w14:paraId="35E67996" w14:textId="77777777" w:rsidR="00651D78" w:rsidRPr="00B140F2" w:rsidRDefault="00651D78" w:rsidP="00BD4986">
      <w:pPr>
        <w:ind w:left="567" w:right="567"/>
        <w:rPr>
          <w:lang w:val="de-DE"/>
        </w:rPr>
      </w:pPr>
    </w:p>
    <w:p w14:paraId="65D3462F" w14:textId="61133FC2" w:rsidR="00214329" w:rsidRPr="00B140F2" w:rsidRDefault="001C4FD6" w:rsidP="00BD4986">
      <w:pPr>
        <w:keepNext/>
        <w:ind w:left="567" w:right="567"/>
        <w:rPr>
          <w:lang w:val="de-DE"/>
        </w:rPr>
      </w:pPr>
      <w:r w:rsidRPr="00B140F2">
        <w:rPr>
          <w:rFonts w:cs="Arial"/>
          <w:color w:val="000000"/>
          <w:sz w:val="18"/>
          <w:lang w:val="de-DE"/>
        </w:rPr>
        <w:t>„</w:t>
      </w:r>
      <w:r w:rsidR="0076391C" w:rsidRPr="00B140F2">
        <w:rPr>
          <w:rFonts w:cs="Arial"/>
          <w:color w:val="000000"/>
          <w:sz w:val="18"/>
          <w:lang w:val="de-DE"/>
        </w:rPr>
        <w:t xml:space="preserve">Tabelle </w:t>
      </w:r>
      <w:r w:rsidR="006F132B" w:rsidRPr="00B140F2">
        <w:rPr>
          <w:rFonts w:cs="Arial"/>
          <w:color w:val="000000"/>
          <w:sz w:val="18"/>
          <w:lang w:val="de-DE"/>
        </w:rPr>
        <w:t>2</w:t>
      </w:r>
      <w:r w:rsidR="0076391C" w:rsidRPr="00B140F2">
        <w:rPr>
          <w:rFonts w:cs="Arial"/>
          <w:color w:val="000000"/>
          <w:sz w:val="18"/>
          <w:lang w:val="de-DE"/>
        </w:rPr>
        <w:t xml:space="preserve">: </w:t>
      </w:r>
      <w:r w:rsidR="00651D78" w:rsidRPr="00B140F2">
        <w:rPr>
          <w:rFonts w:cs="Arial"/>
          <w:color w:val="000000"/>
          <w:sz w:val="18"/>
          <w:lang w:val="de-DE"/>
        </w:rPr>
        <w:t xml:space="preserve">Ausprägungsstufen in den Prüfungsrichtlinien und die im </w:t>
      </w:r>
      <w:r w:rsidR="005B006A">
        <w:rPr>
          <w:rFonts w:cs="Arial"/>
          <w:color w:val="000000"/>
          <w:sz w:val="18"/>
          <w:lang w:val="de-DE"/>
        </w:rPr>
        <w:t>Sektor Saatgut für Gemüsepflanzen</w:t>
      </w:r>
      <w:r w:rsidR="00651D78" w:rsidRPr="00B140F2">
        <w:rPr>
          <w:rFonts w:cs="Arial"/>
          <w:color w:val="000000"/>
          <w:sz w:val="18"/>
          <w:lang w:val="de-DE"/>
        </w:rPr>
        <w:t xml:space="preserve"> verwendete Terminologie</w:t>
      </w:r>
      <w:r w:rsidR="0076391C" w:rsidRPr="00B140F2">
        <w:rPr>
          <w:rFonts w:cs="Arial"/>
          <w:color w:val="000000"/>
          <w:sz w:val="18"/>
          <w:lang w:val="de-DE"/>
        </w:rPr>
        <w:t>:</w:t>
      </w:r>
    </w:p>
    <w:tbl>
      <w:tblPr>
        <w:tblpPr w:leftFromText="180" w:rightFromText="180" w:vertAnchor="text" w:horzAnchor="margin" w:tblpXSpec="center" w:tblpY="22"/>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828"/>
        <w:gridCol w:w="4423"/>
      </w:tblGrid>
      <w:tr w:rsidR="0076391C" w:rsidRPr="00223459" w14:paraId="7B13EA76" w14:textId="77777777" w:rsidTr="00D870D5">
        <w:trPr>
          <w:cantSplit/>
          <w:trHeight w:val="412"/>
        </w:trPr>
        <w:tc>
          <w:tcPr>
            <w:tcW w:w="850" w:type="dxa"/>
            <w:shd w:val="clear" w:color="auto" w:fill="auto"/>
            <w:noWrap/>
            <w:vAlign w:val="center"/>
            <w:hideMark/>
          </w:tcPr>
          <w:p w14:paraId="753858FB" w14:textId="77777777" w:rsidR="0076391C" w:rsidRPr="00B140F2" w:rsidRDefault="0076391C" w:rsidP="00D870D5">
            <w:pPr>
              <w:ind w:left="-115" w:right="-102"/>
              <w:jc w:val="center"/>
              <w:rPr>
                <w:rFonts w:cs="Arial"/>
                <w:sz w:val="18"/>
                <w:lang w:val="de-DE"/>
              </w:rPr>
            </w:pPr>
          </w:p>
        </w:tc>
        <w:tc>
          <w:tcPr>
            <w:tcW w:w="3828" w:type="dxa"/>
            <w:shd w:val="clear" w:color="auto" w:fill="auto"/>
            <w:noWrap/>
            <w:vAlign w:val="center"/>
            <w:hideMark/>
          </w:tcPr>
          <w:p w14:paraId="0DBA8235" w14:textId="77777777" w:rsidR="00214329" w:rsidRPr="00E83514" w:rsidRDefault="0060633E" w:rsidP="00D870D5">
            <w:pPr>
              <w:ind w:left="-194" w:right="-104"/>
              <w:jc w:val="center"/>
              <w:rPr>
                <w:rFonts w:cs="Arial"/>
                <w:bCs/>
                <w:sz w:val="18"/>
                <w:lang w:val="de-DE"/>
              </w:rPr>
            </w:pPr>
            <w:r w:rsidRPr="00E83514">
              <w:rPr>
                <w:rFonts w:cs="Arial"/>
                <w:bCs/>
                <w:sz w:val="18"/>
                <w:lang w:val="de-DE"/>
              </w:rPr>
              <w:t>Ausprägungsstufen in den Prüfungsrichtlinien</w:t>
            </w:r>
          </w:p>
        </w:tc>
        <w:tc>
          <w:tcPr>
            <w:tcW w:w="4423" w:type="dxa"/>
            <w:shd w:val="clear" w:color="auto" w:fill="auto"/>
            <w:vAlign w:val="center"/>
            <w:hideMark/>
          </w:tcPr>
          <w:p w14:paraId="4721E9D2" w14:textId="21AA8036" w:rsidR="00214329" w:rsidRPr="00E83514" w:rsidRDefault="0060633E" w:rsidP="00D870D5">
            <w:pPr>
              <w:ind w:left="33" w:right="-42"/>
              <w:jc w:val="center"/>
              <w:rPr>
                <w:rFonts w:cs="Arial"/>
                <w:bCs/>
                <w:sz w:val="18"/>
                <w:lang w:val="de-DE"/>
              </w:rPr>
            </w:pPr>
            <w:r w:rsidRPr="00E83514">
              <w:rPr>
                <w:rFonts w:cs="Arial"/>
                <w:bCs/>
                <w:sz w:val="18"/>
                <w:lang w:val="de-DE"/>
              </w:rPr>
              <w:t xml:space="preserve">Im </w:t>
            </w:r>
            <w:r w:rsidR="005B006A">
              <w:rPr>
                <w:rFonts w:cs="Arial"/>
                <w:bCs/>
                <w:sz w:val="18"/>
                <w:lang w:val="de-DE"/>
              </w:rPr>
              <w:t>Sektor Saatgut für Gemüsepflanzen</w:t>
            </w:r>
            <w:r w:rsidRPr="00E83514">
              <w:rPr>
                <w:rFonts w:cs="Arial"/>
                <w:bCs/>
                <w:sz w:val="18"/>
                <w:lang w:val="de-DE"/>
              </w:rPr>
              <w:t xml:space="preserve"> verwendete Terminologie</w:t>
            </w:r>
            <w:r w:rsidRPr="00E83514">
              <w:rPr>
                <w:rStyle w:val="FootnoteReference"/>
                <w:rFonts w:cs="Arial"/>
                <w:bCs/>
                <w:sz w:val="18"/>
                <w:lang w:val="de-DE"/>
              </w:rPr>
              <w:footnoteReference w:id="11"/>
            </w:r>
          </w:p>
        </w:tc>
      </w:tr>
      <w:tr w:rsidR="00D60762" w:rsidRPr="00223459" w14:paraId="3EC7942C" w14:textId="77777777" w:rsidTr="00D870D5">
        <w:trPr>
          <w:cantSplit/>
          <w:trHeight w:val="412"/>
        </w:trPr>
        <w:tc>
          <w:tcPr>
            <w:tcW w:w="850" w:type="dxa"/>
            <w:shd w:val="clear" w:color="auto" w:fill="auto"/>
            <w:noWrap/>
            <w:vAlign w:val="center"/>
          </w:tcPr>
          <w:p w14:paraId="4616B484" w14:textId="58BBF4EB" w:rsidR="00214329" w:rsidRPr="00E83514" w:rsidRDefault="00873050" w:rsidP="00D870D5">
            <w:pPr>
              <w:ind w:left="-115" w:right="-102"/>
              <w:jc w:val="center"/>
              <w:rPr>
                <w:rFonts w:cs="Arial"/>
                <w:sz w:val="18"/>
                <w:lang w:val="de-DE"/>
              </w:rPr>
            </w:pPr>
            <w:r>
              <w:rPr>
                <w:rFonts w:cs="Arial"/>
                <w:sz w:val="18"/>
                <w:lang w:val="de-DE"/>
              </w:rPr>
              <w:t>Noten</w:t>
            </w:r>
          </w:p>
        </w:tc>
        <w:tc>
          <w:tcPr>
            <w:tcW w:w="3828" w:type="dxa"/>
            <w:shd w:val="clear" w:color="auto" w:fill="auto"/>
            <w:noWrap/>
            <w:vAlign w:val="center"/>
          </w:tcPr>
          <w:p w14:paraId="70180B56" w14:textId="2AD07A9E" w:rsidR="00214329" w:rsidRPr="00B140F2" w:rsidRDefault="0060633E" w:rsidP="00D870D5">
            <w:pPr>
              <w:ind w:right="-104"/>
              <w:jc w:val="left"/>
              <w:rPr>
                <w:rFonts w:cs="Arial"/>
                <w:sz w:val="18"/>
                <w:lang w:val="de-DE"/>
              </w:rPr>
            </w:pPr>
            <w:r w:rsidRPr="00B140F2">
              <w:rPr>
                <w:rFonts w:cs="Arial"/>
                <w:sz w:val="18"/>
                <w:lang w:val="de-DE"/>
              </w:rPr>
              <w:t>Resistenz gegen [Name der Krankheit]</w:t>
            </w:r>
            <w:r w:rsidR="00873050">
              <w:rPr>
                <w:rFonts w:cs="Arial"/>
                <w:sz w:val="18"/>
                <w:lang w:val="de-DE"/>
              </w:rPr>
              <w:t xml:space="preserve"> ist</w:t>
            </w:r>
            <w:r w:rsidRPr="00B140F2">
              <w:rPr>
                <w:rFonts w:cs="Arial"/>
                <w:sz w:val="18"/>
                <w:lang w:val="de-DE"/>
              </w:rPr>
              <w:t>:</w:t>
            </w:r>
          </w:p>
        </w:tc>
        <w:tc>
          <w:tcPr>
            <w:tcW w:w="4423" w:type="dxa"/>
            <w:shd w:val="clear" w:color="auto" w:fill="auto"/>
            <w:vAlign w:val="center"/>
          </w:tcPr>
          <w:p w14:paraId="6577C4D9" w14:textId="51A2D253" w:rsidR="00214329" w:rsidRPr="00B140F2" w:rsidRDefault="00192A58" w:rsidP="00D870D5">
            <w:pPr>
              <w:jc w:val="left"/>
              <w:rPr>
                <w:rFonts w:cs="Arial"/>
                <w:bCs/>
                <w:sz w:val="18"/>
                <w:lang w:val="de-DE"/>
              </w:rPr>
            </w:pPr>
            <w:r>
              <w:rPr>
                <w:rFonts w:cs="Arial"/>
                <w:sz w:val="18"/>
                <w:lang w:val="de-DE"/>
              </w:rPr>
              <w:t xml:space="preserve">Die </w:t>
            </w:r>
            <w:r w:rsidRPr="00B140F2">
              <w:rPr>
                <w:rFonts w:cs="Arial"/>
                <w:sz w:val="18"/>
                <w:lang w:val="de-DE"/>
              </w:rPr>
              <w:t>Reaktion einer Pflanzensorte auf eine bestimmte Krankheit ist:</w:t>
            </w:r>
          </w:p>
        </w:tc>
      </w:tr>
      <w:tr w:rsidR="00873050" w:rsidRPr="00E83514" w14:paraId="7D57147F" w14:textId="77777777" w:rsidTr="00D870D5">
        <w:trPr>
          <w:cantSplit/>
          <w:trHeight w:val="418"/>
        </w:trPr>
        <w:tc>
          <w:tcPr>
            <w:tcW w:w="850" w:type="dxa"/>
            <w:shd w:val="clear" w:color="auto" w:fill="auto"/>
            <w:noWrap/>
            <w:vAlign w:val="center"/>
            <w:hideMark/>
          </w:tcPr>
          <w:p w14:paraId="098C1F93" w14:textId="3DAFD069" w:rsidR="00873050" w:rsidRPr="00E83514" w:rsidRDefault="00873050" w:rsidP="00D870D5">
            <w:pPr>
              <w:ind w:left="-115" w:right="-102"/>
              <w:jc w:val="center"/>
              <w:rPr>
                <w:rFonts w:cs="Arial"/>
                <w:sz w:val="18"/>
                <w:lang w:val="de-DE"/>
              </w:rPr>
            </w:pPr>
            <w:r w:rsidRPr="00657061">
              <w:rPr>
                <w:rFonts w:cs="Arial"/>
                <w:sz w:val="18"/>
                <w:lang w:val="de-DE"/>
              </w:rPr>
              <w:t>1</w:t>
            </w:r>
          </w:p>
        </w:tc>
        <w:tc>
          <w:tcPr>
            <w:tcW w:w="3828" w:type="dxa"/>
            <w:shd w:val="clear" w:color="auto" w:fill="auto"/>
            <w:vAlign w:val="center"/>
            <w:hideMark/>
          </w:tcPr>
          <w:p w14:paraId="5FA3F7BB" w14:textId="1CDB1B59" w:rsidR="00873050" w:rsidRPr="00E83514" w:rsidRDefault="00873050" w:rsidP="00D870D5">
            <w:pPr>
              <w:jc w:val="left"/>
              <w:rPr>
                <w:rFonts w:cs="Arial"/>
                <w:sz w:val="18"/>
                <w:lang w:val="de-DE"/>
              </w:rPr>
            </w:pPr>
            <w:r w:rsidRPr="00657061">
              <w:rPr>
                <w:rFonts w:cs="Arial"/>
                <w:sz w:val="18"/>
                <w:lang w:val="de-DE"/>
              </w:rPr>
              <w:t>fehlend oder gering</w:t>
            </w:r>
          </w:p>
        </w:tc>
        <w:tc>
          <w:tcPr>
            <w:tcW w:w="4423" w:type="dxa"/>
            <w:shd w:val="clear" w:color="auto" w:fill="auto"/>
            <w:vAlign w:val="center"/>
          </w:tcPr>
          <w:p w14:paraId="3063BD04" w14:textId="1CB4D896" w:rsidR="00873050" w:rsidRPr="00E83514" w:rsidRDefault="00873050" w:rsidP="00D870D5">
            <w:pPr>
              <w:jc w:val="left"/>
              <w:rPr>
                <w:rFonts w:cs="Arial"/>
                <w:sz w:val="18"/>
                <w:lang w:val="de-DE"/>
              </w:rPr>
            </w:pPr>
            <w:r w:rsidRPr="00657061">
              <w:rPr>
                <w:rFonts w:cs="Arial"/>
                <w:sz w:val="18"/>
                <w:lang w:val="de-DE"/>
              </w:rPr>
              <w:t>Anfälligkeit (S)</w:t>
            </w:r>
          </w:p>
        </w:tc>
      </w:tr>
      <w:tr w:rsidR="00873050" w:rsidRPr="00E83514" w14:paraId="62E9EA55" w14:textId="77777777" w:rsidTr="00D870D5">
        <w:trPr>
          <w:cantSplit/>
          <w:trHeight w:val="418"/>
        </w:trPr>
        <w:tc>
          <w:tcPr>
            <w:tcW w:w="850" w:type="dxa"/>
            <w:shd w:val="clear" w:color="auto" w:fill="auto"/>
            <w:noWrap/>
            <w:vAlign w:val="center"/>
            <w:hideMark/>
          </w:tcPr>
          <w:p w14:paraId="10BA485F" w14:textId="60E5AF42" w:rsidR="00873050" w:rsidRPr="00E83514" w:rsidRDefault="00873050" w:rsidP="00D870D5">
            <w:pPr>
              <w:ind w:left="-115" w:right="-102"/>
              <w:jc w:val="center"/>
              <w:rPr>
                <w:rFonts w:cs="Arial"/>
                <w:sz w:val="18"/>
                <w:lang w:val="de-DE"/>
              </w:rPr>
            </w:pPr>
            <w:r w:rsidRPr="00657061">
              <w:rPr>
                <w:rFonts w:cs="Arial"/>
                <w:sz w:val="18"/>
                <w:lang w:val="de-DE"/>
              </w:rPr>
              <w:t>2</w:t>
            </w:r>
          </w:p>
        </w:tc>
        <w:tc>
          <w:tcPr>
            <w:tcW w:w="3828" w:type="dxa"/>
            <w:shd w:val="clear" w:color="auto" w:fill="auto"/>
            <w:noWrap/>
            <w:vAlign w:val="center"/>
            <w:hideMark/>
          </w:tcPr>
          <w:p w14:paraId="55771E48" w14:textId="66815CBA" w:rsidR="00873050" w:rsidRPr="00E83514" w:rsidRDefault="00873050" w:rsidP="00D870D5">
            <w:pPr>
              <w:ind w:right="567"/>
              <w:jc w:val="left"/>
              <w:rPr>
                <w:rFonts w:cs="Arial"/>
                <w:sz w:val="18"/>
                <w:lang w:val="de-DE"/>
              </w:rPr>
            </w:pPr>
            <w:r w:rsidRPr="00657061">
              <w:rPr>
                <w:rFonts w:cs="Arial"/>
                <w:sz w:val="18"/>
                <w:lang w:val="de-DE"/>
              </w:rPr>
              <w:t>mittel</w:t>
            </w:r>
          </w:p>
        </w:tc>
        <w:tc>
          <w:tcPr>
            <w:tcW w:w="4423" w:type="dxa"/>
            <w:shd w:val="clear" w:color="auto" w:fill="auto"/>
            <w:noWrap/>
            <w:vAlign w:val="center"/>
          </w:tcPr>
          <w:p w14:paraId="55D18BB8" w14:textId="28B21297" w:rsidR="00873050" w:rsidRPr="00E83514" w:rsidRDefault="00873050" w:rsidP="00D870D5">
            <w:pPr>
              <w:jc w:val="left"/>
              <w:rPr>
                <w:rFonts w:cs="Arial"/>
                <w:sz w:val="18"/>
                <w:lang w:val="de-DE"/>
              </w:rPr>
            </w:pPr>
            <w:r w:rsidRPr="00657061">
              <w:rPr>
                <w:rFonts w:cs="Arial"/>
                <w:sz w:val="18"/>
                <w:lang w:val="de-DE"/>
              </w:rPr>
              <w:t>Intermediäre Resistenz (IR)</w:t>
            </w:r>
          </w:p>
        </w:tc>
      </w:tr>
      <w:tr w:rsidR="00873050" w:rsidRPr="00E83514" w14:paraId="3D31FCED" w14:textId="77777777" w:rsidTr="00D870D5">
        <w:trPr>
          <w:cantSplit/>
          <w:trHeight w:val="410"/>
        </w:trPr>
        <w:tc>
          <w:tcPr>
            <w:tcW w:w="850" w:type="dxa"/>
            <w:shd w:val="clear" w:color="auto" w:fill="auto"/>
            <w:noWrap/>
            <w:vAlign w:val="center"/>
            <w:hideMark/>
          </w:tcPr>
          <w:p w14:paraId="42CFAC93" w14:textId="527FE7EC" w:rsidR="00873050" w:rsidRPr="00E83514" w:rsidRDefault="00873050" w:rsidP="00D870D5">
            <w:pPr>
              <w:ind w:left="-115" w:right="-102"/>
              <w:jc w:val="center"/>
              <w:rPr>
                <w:rFonts w:cs="Arial"/>
                <w:sz w:val="18"/>
                <w:lang w:val="de-DE"/>
              </w:rPr>
            </w:pPr>
            <w:r w:rsidRPr="00657061">
              <w:rPr>
                <w:rFonts w:cs="Arial"/>
                <w:sz w:val="18"/>
                <w:lang w:val="de-DE"/>
              </w:rPr>
              <w:t>3</w:t>
            </w:r>
          </w:p>
        </w:tc>
        <w:tc>
          <w:tcPr>
            <w:tcW w:w="3828" w:type="dxa"/>
            <w:shd w:val="clear" w:color="auto" w:fill="auto"/>
            <w:noWrap/>
            <w:vAlign w:val="center"/>
            <w:hideMark/>
          </w:tcPr>
          <w:p w14:paraId="341C5A3F" w14:textId="0FF12400" w:rsidR="00873050" w:rsidRPr="00E83514" w:rsidRDefault="00873050" w:rsidP="00D870D5">
            <w:pPr>
              <w:ind w:right="567"/>
              <w:jc w:val="left"/>
              <w:rPr>
                <w:rFonts w:cs="Arial"/>
                <w:sz w:val="18"/>
                <w:lang w:val="de-DE"/>
              </w:rPr>
            </w:pPr>
            <w:r w:rsidRPr="00657061">
              <w:rPr>
                <w:rFonts w:cs="Arial"/>
                <w:sz w:val="18"/>
                <w:lang w:val="de-DE"/>
              </w:rPr>
              <w:t>hoch</w:t>
            </w:r>
          </w:p>
        </w:tc>
        <w:tc>
          <w:tcPr>
            <w:tcW w:w="4423" w:type="dxa"/>
            <w:shd w:val="clear" w:color="auto" w:fill="auto"/>
            <w:noWrap/>
            <w:vAlign w:val="center"/>
          </w:tcPr>
          <w:p w14:paraId="3EBEEA5E" w14:textId="507A02C3" w:rsidR="00873050" w:rsidRPr="00E83514" w:rsidRDefault="00873050" w:rsidP="00D870D5">
            <w:pPr>
              <w:jc w:val="left"/>
              <w:rPr>
                <w:rFonts w:cs="Arial"/>
                <w:sz w:val="18"/>
                <w:lang w:val="de-DE"/>
              </w:rPr>
            </w:pPr>
            <w:r w:rsidRPr="00657061">
              <w:rPr>
                <w:rFonts w:cs="Arial"/>
                <w:sz w:val="18"/>
                <w:lang w:val="de-DE"/>
              </w:rPr>
              <w:t>Hohe Resistenz (HR)</w:t>
            </w:r>
            <w:r w:rsidR="00FB57EF">
              <w:rPr>
                <w:rFonts w:cs="Arial"/>
                <w:sz w:val="18"/>
                <w:lang w:val="de-DE"/>
              </w:rPr>
              <w:t>“</w:t>
            </w:r>
          </w:p>
        </w:tc>
      </w:tr>
    </w:tbl>
    <w:p w14:paraId="41C0F5B3" w14:textId="77777777" w:rsidR="00C24253" w:rsidRPr="00E83514" w:rsidRDefault="00C24253" w:rsidP="00BD4986">
      <w:pPr>
        <w:ind w:left="567" w:right="567"/>
        <w:rPr>
          <w:lang w:val="de-DE"/>
        </w:rPr>
      </w:pPr>
    </w:p>
    <w:p w14:paraId="229EB98F" w14:textId="77777777" w:rsidR="00C44DBB" w:rsidRPr="00E83514" w:rsidRDefault="00C44DBB" w:rsidP="00BD4986">
      <w:pPr>
        <w:rPr>
          <w:lang w:val="de-DE"/>
        </w:rPr>
      </w:pPr>
    </w:p>
    <w:p w14:paraId="3E415B25" w14:textId="77777777" w:rsidR="009835E3" w:rsidRPr="00E83514" w:rsidRDefault="009835E3" w:rsidP="00BD4986">
      <w:pPr>
        <w:rPr>
          <w:lang w:val="de-DE"/>
        </w:rPr>
      </w:pPr>
    </w:p>
    <w:p w14:paraId="6C527D1F" w14:textId="2FFC297E" w:rsidR="00214329" w:rsidRPr="00E83514" w:rsidRDefault="0060633E" w:rsidP="00BD4986">
      <w:pPr>
        <w:jc w:val="right"/>
        <w:rPr>
          <w:lang w:val="de-DE"/>
        </w:rPr>
      </w:pPr>
      <w:r w:rsidRPr="00E83514">
        <w:rPr>
          <w:lang w:val="de-DE"/>
        </w:rPr>
        <w:t>[</w:t>
      </w:r>
      <w:r w:rsidR="002006BE" w:rsidRPr="00E83514">
        <w:rPr>
          <w:lang w:val="de-DE"/>
        </w:rPr>
        <w:t>Anlage</w:t>
      </w:r>
      <w:r w:rsidRPr="00E83514">
        <w:rPr>
          <w:lang w:val="de-DE"/>
        </w:rPr>
        <w:t xml:space="preserve"> III folgt]</w:t>
      </w:r>
    </w:p>
    <w:p w14:paraId="3396F092" w14:textId="77777777" w:rsidR="009835E3" w:rsidRPr="00E83514" w:rsidRDefault="009835E3" w:rsidP="00BD4986">
      <w:pPr>
        <w:rPr>
          <w:lang w:val="de-DE"/>
        </w:rPr>
        <w:sectPr w:rsidR="009835E3" w:rsidRPr="00E83514" w:rsidSect="00A67FA5">
          <w:headerReference w:type="default" r:id="rId20"/>
          <w:footerReference w:type="even" r:id="rId21"/>
          <w:footerReference w:type="default" r:id="rId22"/>
          <w:footerReference w:type="first" r:id="rId23"/>
          <w:footnotePr>
            <w:numRestart w:val="eachSect"/>
          </w:footnotePr>
          <w:pgSz w:w="11907" w:h="16840" w:code="9"/>
          <w:pgMar w:top="510" w:right="1134" w:bottom="851" w:left="1134" w:header="510" w:footer="680" w:gutter="0"/>
          <w:pgNumType w:start="1"/>
          <w:cols w:space="720"/>
          <w:titlePg/>
        </w:sectPr>
      </w:pPr>
    </w:p>
    <w:p w14:paraId="4097D081" w14:textId="1A2A1326" w:rsidR="00214329" w:rsidRPr="00E83514" w:rsidRDefault="002006BE" w:rsidP="00BD4986">
      <w:pPr>
        <w:jc w:val="center"/>
        <w:rPr>
          <w:lang w:val="de-DE"/>
        </w:rPr>
      </w:pPr>
      <w:r w:rsidRPr="00E83514">
        <w:rPr>
          <w:lang w:val="de-DE"/>
        </w:rPr>
        <w:lastRenderedPageBreak/>
        <w:t>ANLAGE</w:t>
      </w:r>
      <w:r w:rsidR="0060633E" w:rsidRPr="00E83514">
        <w:rPr>
          <w:lang w:val="de-DE"/>
        </w:rPr>
        <w:t xml:space="preserve"> III</w:t>
      </w:r>
    </w:p>
    <w:p w14:paraId="1B26B8EF" w14:textId="77777777" w:rsidR="009835E3" w:rsidRPr="00E83514" w:rsidRDefault="009835E3" w:rsidP="00BD4986">
      <w:pPr>
        <w:rPr>
          <w:lang w:val="de-DE"/>
        </w:rPr>
      </w:pPr>
    </w:p>
    <w:p w14:paraId="37917B05" w14:textId="1F78DF3E" w:rsidR="00214329" w:rsidRPr="00A7539A" w:rsidRDefault="0060633E" w:rsidP="00BD4986">
      <w:pPr>
        <w:jc w:val="center"/>
        <w:rPr>
          <w:lang w:val="de-DE"/>
        </w:rPr>
      </w:pPr>
      <w:r w:rsidRPr="00A7539A">
        <w:rPr>
          <w:lang w:val="de-DE"/>
        </w:rPr>
        <w:t xml:space="preserve">DOKUMENT TGP/5 </w:t>
      </w:r>
      <w:r w:rsidR="001C4FD6" w:rsidRPr="00A7539A">
        <w:rPr>
          <w:lang w:val="de-DE"/>
        </w:rPr>
        <w:t>„</w:t>
      </w:r>
      <w:r w:rsidRPr="00A7539A">
        <w:rPr>
          <w:lang w:val="de-DE"/>
        </w:rPr>
        <w:t>ERFAHRUNG UND ZUSAMMENARBEIT BEI DER DUS-PRÜFUNG</w:t>
      </w:r>
      <w:r w:rsidR="001C4FD6" w:rsidRPr="00A7539A">
        <w:rPr>
          <w:lang w:val="de-DE"/>
        </w:rPr>
        <w:t>“</w:t>
      </w:r>
      <w:r w:rsidRPr="00A7539A">
        <w:rPr>
          <w:lang w:val="de-DE"/>
        </w:rPr>
        <w:t xml:space="preserve">, ABSCHNITT 6 </w:t>
      </w:r>
      <w:r w:rsidR="001C4FD6" w:rsidRPr="00A7539A">
        <w:rPr>
          <w:lang w:val="de-DE"/>
        </w:rPr>
        <w:t>„</w:t>
      </w:r>
      <w:r w:rsidRPr="00A7539A">
        <w:rPr>
          <w:lang w:val="de-DE"/>
        </w:rPr>
        <w:t>UPOV-BERICHT ÜBER DIE TECHNISCHE PRÜFUNG UND UPOV-SORTENBESCHREIBUNG</w:t>
      </w:r>
      <w:r w:rsidR="001C4FD6" w:rsidRPr="00A7539A">
        <w:rPr>
          <w:lang w:val="de-DE"/>
        </w:rPr>
        <w:t>“</w:t>
      </w:r>
      <w:r w:rsidRPr="00A7539A">
        <w:rPr>
          <w:lang w:val="de-DE"/>
        </w:rPr>
        <w:t xml:space="preserve"> (ÜBERARBEITUNG)</w:t>
      </w:r>
    </w:p>
    <w:p w14:paraId="6329529E" w14:textId="77777777" w:rsidR="009835E3" w:rsidRPr="00A7539A" w:rsidRDefault="009835E3" w:rsidP="00BD4986">
      <w:pPr>
        <w:rPr>
          <w:lang w:val="de-DE"/>
        </w:rPr>
      </w:pPr>
    </w:p>
    <w:p w14:paraId="43537581" w14:textId="11F306BC" w:rsidR="00214329" w:rsidRPr="00B140F2" w:rsidRDefault="0060633E" w:rsidP="00BD4986">
      <w:pPr>
        <w:jc w:val="center"/>
        <w:rPr>
          <w:snapToGrid w:val="0"/>
          <w:u w:val="single"/>
          <w:lang w:val="de-DE"/>
        </w:rPr>
      </w:pPr>
      <w:bookmarkStart w:id="47" w:name="_Toc162975792"/>
      <w:r w:rsidRPr="00A7539A">
        <w:rPr>
          <w:snapToGrid w:val="0"/>
          <w:u w:val="single"/>
          <w:lang w:val="de-DE"/>
        </w:rPr>
        <w:t xml:space="preserve">UNTERABSCHNITT </w:t>
      </w:r>
      <w:r w:rsidR="001C4FD6" w:rsidRPr="00A7539A">
        <w:rPr>
          <w:snapToGrid w:val="0"/>
          <w:u w:val="single"/>
          <w:lang w:val="de-DE"/>
        </w:rPr>
        <w:t>„</w:t>
      </w:r>
      <w:r w:rsidRPr="00A7539A">
        <w:rPr>
          <w:snapToGrid w:val="0"/>
          <w:u w:val="single"/>
          <w:lang w:val="de-DE"/>
        </w:rPr>
        <w:t>UPOV-SORTENBESCHREIBUNG</w:t>
      </w:r>
      <w:r w:rsidR="001C4FD6" w:rsidRPr="00A7539A">
        <w:rPr>
          <w:snapToGrid w:val="0"/>
          <w:u w:val="single"/>
          <w:lang w:val="de-DE"/>
        </w:rPr>
        <w:t>“</w:t>
      </w:r>
      <w:r w:rsidRPr="00A7539A">
        <w:rPr>
          <w:snapToGrid w:val="0"/>
          <w:u w:val="single"/>
          <w:lang w:val="de-DE"/>
        </w:rPr>
        <w:t xml:space="preserve">, </w:t>
      </w:r>
      <w:r w:rsidRPr="00A7539A">
        <w:rPr>
          <w:snapToGrid w:val="0"/>
          <w:u w:val="single"/>
          <w:lang w:val="de-DE"/>
        </w:rPr>
        <w:br/>
        <w:t xml:space="preserve">PUNKT 16 </w:t>
      </w:r>
      <w:r w:rsidR="001C4FD6" w:rsidRPr="00A7539A">
        <w:rPr>
          <w:snapToGrid w:val="0"/>
          <w:u w:val="single"/>
          <w:lang w:val="de-DE"/>
        </w:rPr>
        <w:t>„</w:t>
      </w:r>
      <w:r w:rsidR="00FE23CD" w:rsidRPr="00A7539A">
        <w:rPr>
          <w:snapToGrid w:val="0"/>
          <w:u w:val="single"/>
          <w:lang w:val="de-DE"/>
        </w:rPr>
        <w:t>ÄHNLICHE SORTEN UND UNTERSCHIEDE ZU DIESEN SORTEN</w:t>
      </w:r>
      <w:r w:rsidR="001C4FD6" w:rsidRPr="00A7539A">
        <w:rPr>
          <w:snapToGrid w:val="0"/>
          <w:u w:val="single"/>
          <w:lang w:val="de-DE"/>
        </w:rPr>
        <w:t>“</w:t>
      </w:r>
      <w:bookmarkEnd w:id="47"/>
    </w:p>
    <w:p w14:paraId="73CFA43C" w14:textId="77777777" w:rsidR="00980219" w:rsidRPr="00B140F2" w:rsidRDefault="00980219" w:rsidP="00BD4986">
      <w:pPr>
        <w:rPr>
          <w:lang w:val="de-DE"/>
        </w:rPr>
      </w:pPr>
    </w:p>
    <w:p w14:paraId="7FDC91D9" w14:textId="77777777" w:rsidR="00214329" w:rsidRPr="00B140F2" w:rsidRDefault="0060633E" w:rsidP="00BD4986">
      <w:pPr>
        <w:rPr>
          <w:i/>
          <w:lang w:val="de-DE"/>
        </w:rPr>
      </w:pPr>
      <w:r w:rsidRPr="00B140F2">
        <w:rPr>
          <w:i/>
          <w:lang w:val="de-DE"/>
        </w:rPr>
        <w:t>Hintergrund</w:t>
      </w:r>
    </w:p>
    <w:p w14:paraId="4BD41C01" w14:textId="77777777" w:rsidR="009835E3" w:rsidRPr="00B140F2" w:rsidRDefault="009835E3" w:rsidP="00BD4986">
      <w:pPr>
        <w:rPr>
          <w:iCs/>
          <w:lang w:val="de-DE"/>
        </w:rPr>
      </w:pPr>
    </w:p>
    <w:p w14:paraId="23433B0A" w14:textId="677DE251" w:rsidR="00214329" w:rsidRPr="00B140F2" w:rsidRDefault="0060633E" w:rsidP="00BD4986">
      <w:pPr>
        <w:rPr>
          <w:lang w:val="de-DE"/>
        </w:rPr>
      </w:pPr>
      <w:r w:rsidRPr="00E83514">
        <w:rPr>
          <w:lang w:val="de-DE"/>
        </w:rPr>
        <w:fldChar w:fldCharType="begin"/>
      </w:r>
      <w:r w:rsidRPr="00B140F2">
        <w:rPr>
          <w:lang w:val="de-DE"/>
        </w:rPr>
        <w:instrText xml:space="preserve"> LISTNUM  LegalDefault \l 1 \s 1 </w:instrText>
      </w:r>
      <w:r w:rsidRPr="00E83514">
        <w:rPr>
          <w:lang w:val="de-DE"/>
        </w:rPr>
        <w:fldChar w:fldCharType="end"/>
      </w:r>
      <w:r w:rsidRPr="00B140F2">
        <w:rPr>
          <w:lang w:val="de-DE"/>
        </w:rPr>
        <w:tab/>
        <w:t xml:space="preserve">Zur Erleichterung der von den Verbandsmitgliedern als zweckmäßig erachteten Zusammenarbeit bei der DUS-Prüfung erarbeitete die UPOV das Dokument TGP/5 </w:t>
      </w:r>
      <w:r w:rsidR="001C4FD6" w:rsidRPr="00B140F2">
        <w:rPr>
          <w:lang w:val="de-DE"/>
        </w:rPr>
        <w:t>„</w:t>
      </w:r>
      <w:r w:rsidRPr="00B140F2">
        <w:rPr>
          <w:lang w:val="de-DE"/>
        </w:rPr>
        <w:t>Erfahrung und Zusammenarbeit bei der DUS-Prüfung</w:t>
      </w:r>
      <w:r w:rsidR="001C4FD6" w:rsidRPr="00B140F2">
        <w:rPr>
          <w:lang w:val="de-DE"/>
        </w:rPr>
        <w:t>“</w:t>
      </w:r>
      <w:r w:rsidRPr="00B140F2">
        <w:rPr>
          <w:lang w:val="de-DE"/>
        </w:rPr>
        <w:t xml:space="preserve">, das Abschnitt 6 </w:t>
      </w:r>
      <w:r w:rsidR="001C4FD6" w:rsidRPr="00B140F2">
        <w:rPr>
          <w:lang w:val="de-DE"/>
        </w:rPr>
        <w:t>„</w:t>
      </w:r>
      <w:r w:rsidRPr="00B140F2">
        <w:rPr>
          <w:lang w:val="de-DE"/>
        </w:rPr>
        <w:t>UPOV-Bericht über die technische Prüfung und UPOV-Sortenbeschreibung</w:t>
      </w:r>
      <w:r w:rsidR="001C4FD6" w:rsidRPr="00B140F2">
        <w:rPr>
          <w:lang w:val="de-DE"/>
        </w:rPr>
        <w:t>“</w:t>
      </w:r>
      <w:r w:rsidRPr="00B140F2">
        <w:rPr>
          <w:lang w:val="de-DE"/>
        </w:rPr>
        <w:t xml:space="preserve"> enthält.</w:t>
      </w:r>
      <w:r w:rsidR="00FE0BFC" w:rsidRPr="00B140F2">
        <w:rPr>
          <w:lang w:val="de-DE"/>
        </w:rPr>
        <w:t xml:space="preserve"> </w:t>
      </w:r>
      <w:r w:rsidRPr="00B140F2">
        <w:rPr>
          <w:lang w:val="de-DE"/>
        </w:rPr>
        <w:t xml:space="preserve">Das Dokument TGP/5, Abschnitt 6, enthält eine </w:t>
      </w:r>
      <w:r w:rsidR="00710CFE">
        <w:rPr>
          <w:lang w:val="de-DE"/>
        </w:rPr>
        <w:t>Auskunftsmustervorlage</w:t>
      </w:r>
      <w:r w:rsidRPr="00B140F2">
        <w:rPr>
          <w:lang w:val="de-DE"/>
        </w:rPr>
        <w:t xml:space="preserve"> für Behörden zur Berücksichtigung der Ergebnisse von Anbauprüfungen oder </w:t>
      </w:r>
      <w:r w:rsidRPr="008B7E4C">
        <w:rPr>
          <w:lang w:val="de-DE"/>
        </w:rPr>
        <w:t xml:space="preserve">sonstigen </w:t>
      </w:r>
      <w:r w:rsidR="00710CFE" w:rsidRPr="008B7E4C">
        <w:rPr>
          <w:lang w:val="de-DE"/>
        </w:rPr>
        <w:t>Tests</w:t>
      </w:r>
      <w:r w:rsidRPr="008B7E4C">
        <w:rPr>
          <w:lang w:val="de-DE"/>
        </w:rPr>
        <w:t>, die</w:t>
      </w:r>
      <w:r w:rsidRPr="00B140F2">
        <w:rPr>
          <w:lang w:val="de-DE"/>
        </w:rPr>
        <w:t xml:space="preserve"> bereits von einem anderen Verbandsmitglied durchgeführt wurden.</w:t>
      </w:r>
    </w:p>
    <w:p w14:paraId="653CBEF4" w14:textId="77777777" w:rsidR="009835E3" w:rsidRPr="00B140F2" w:rsidRDefault="009835E3" w:rsidP="00BD4986">
      <w:pPr>
        <w:rPr>
          <w:rFonts w:cs="Arial"/>
          <w:lang w:val="de-DE"/>
        </w:rPr>
      </w:pPr>
    </w:p>
    <w:p w14:paraId="66768C0D" w14:textId="0ADD9909" w:rsidR="00214329" w:rsidRPr="00B140F2" w:rsidRDefault="0060633E" w:rsidP="00BD4986">
      <w:pPr>
        <w:rPr>
          <w:rFonts w:cs="Arial"/>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9835E3" w:rsidRPr="00B140F2">
        <w:rPr>
          <w:rFonts w:cs="Arial"/>
          <w:lang w:val="de-DE"/>
        </w:rPr>
        <w:t xml:space="preserve">Die </w:t>
      </w:r>
      <w:r w:rsidR="001C4FD6" w:rsidRPr="00B140F2">
        <w:rPr>
          <w:rFonts w:cs="Arial"/>
          <w:lang w:val="de-DE"/>
        </w:rPr>
        <w:t>„</w:t>
      </w:r>
      <w:r w:rsidR="009835E3" w:rsidRPr="00B140F2">
        <w:rPr>
          <w:rFonts w:cs="Arial"/>
          <w:lang w:val="de-DE"/>
        </w:rPr>
        <w:t>UPOV-Sortenbeschreibung</w:t>
      </w:r>
      <w:r w:rsidR="001C4FD6" w:rsidRPr="00B140F2">
        <w:rPr>
          <w:rFonts w:cs="Arial"/>
          <w:lang w:val="de-DE"/>
        </w:rPr>
        <w:t>“</w:t>
      </w:r>
      <w:r w:rsidR="009835E3" w:rsidRPr="00B140F2">
        <w:rPr>
          <w:rFonts w:cs="Arial"/>
          <w:lang w:val="de-DE"/>
        </w:rPr>
        <w:t xml:space="preserve"> in Dokument TGP/5, Abschnitt 6, </w:t>
      </w:r>
      <w:r w:rsidR="00710CFE">
        <w:rPr>
          <w:rFonts w:cs="Arial"/>
          <w:lang w:val="de-DE"/>
        </w:rPr>
        <w:t>ersucht</w:t>
      </w:r>
      <w:r w:rsidR="00710CFE" w:rsidRPr="00B140F2">
        <w:rPr>
          <w:rFonts w:cs="Arial"/>
          <w:lang w:val="de-DE"/>
        </w:rPr>
        <w:t xml:space="preserve"> </w:t>
      </w:r>
      <w:r w:rsidR="009835E3" w:rsidRPr="00B140F2">
        <w:rPr>
          <w:rFonts w:cs="Arial"/>
          <w:lang w:val="de-DE"/>
        </w:rPr>
        <w:t xml:space="preserve">die berichtende Behörde, unter Punkt 16 die folgenden </w:t>
      </w:r>
      <w:r w:rsidR="00710CFE">
        <w:rPr>
          <w:rFonts w:cs="Arial"/>
          <w:lang w:val="de-DE"/>
        </w:rPr>
        <w:t>Auskünfte</w:t>
      </w:r>
      <w:r w:rsidR="00710CFE" w:rsidRPr="00B140F2">
        <w:rPr>
          <w:rFonts w:cs="Arial"/>
          <w:lang w:val="de-DE"/>
        </w:rPr>
        <w:t xml:space="preserve"> </w:t>
      </w:r>
      <w:r w:rsidR="009835E3" w:rsidRPr="00B140F2">
        <w:rPr>
          <w:rFonts w:cs="Arial"/>
          <w:lang w:val="de-DE"/>
        </w:rPr>
        <w:t xml:space="preserve">zu erteilen: </w:t>
      </w:r>
    </w:p>
    <w:p w14:paraId="6CE7C0C3" w14:textId="77777777" w:rsidR="009835E3" w:rsidRPr="00B140F2" w:rsidRDefault="009835E3" w:rsidP="00BD4986">
      <w:pPr>
        <w:rPr>
          <w:rFonts w:cs="Arial"/>
          <w:lang w:val="de-DE"/>
        </w:rPr>
      </w:pPr>
    </w:p>
    <w:p w14:paraId="11DAE437" w14:textId="3E6CF474" w:rsidR="00214329" w:rsidRPr="00B140F2" w:rsidRDefault="0060633E" w:rsidP="00BD4986">
      <w:pPr>
        <w:ind w:right="425"/>
        <w:rPr>
          <w:rFonts w:cs="Arial"/>
          <w:sz w:val="18"/>
          <w:szCs w:val="18"/>
          <w:lang w:val="de-DE"/>
        </w:rPr>
      </w:pPr>
      <w:r w:rsidRPr="00B140F2">
        <w:rPr>
          <w:rFonts w:cs="Arial"/>
          <w:sz w:val="18"/>
          <w:szCs w:val="18"/>
          <w:lang w:val="de-DE"/>
        </w:rPr>
        <w:tab/>
      </w:r>
      <w:r w:rsidR="001C4FD6" w:rsidRPr="00B140F2">
        <w:rPr>
          <w:rFonts w:cs="Arial"/>
          <w:sz w:val="18"/>
          <w:szCs w:val="18"/>
          <w:lang w:val="de-DE"/>
        </w:rPr>
        <w:t>„</w:t>
      </w:r>
      <w:r w:rsidRPr="00B140F2">
        <w:rPr>
          <w:rFonts w:cs="Arial"/>
          <w:sz w:val="18"/>
          <w:szCs w:val="18"/>
          <w:lang w:val="de-DE"/>
        </w:rPr>
        <w:t>16.</w:t>
      </w:r>
      <w:r w:rsidRPr="00B140F2">
        <w:rPr>
          <w:rFonts w:cs="Arial"/>
          <w:sz w:val="18"/>
          <w:szCs w:val="18"/>
          <w:lang w:val="de-DE"/>
        </w:rPr>
        <w:tab/>
      </w:r>
      <w:r w:rsidRPr="00B140F2">
        <w:rPr>
          <w:rFonts w:cs="Arial"/>
          <w:sz w:val="18"/>
          <w:szCs w:val="18"/>
          <w:u w:val="single"/>
          <w:lang w:val="de-DE"/>
        </w:rPr>
        <w:t xml:space="preserve">Ähnliche </w:t>
      </w:r>
      <w:r w:rsidR="0062557A" w:rsidRPr="00B140F2">
        <w:rPr>
          <w:rFonts w:cs="Arial"/>
          <w:sz w:val="18"/>
          <w:szCs w:val="18"/>
          <w:u w:val="single"/>
          <w:lang w:val="de-DE"/>
        </w:rPr>
        <w:t>Sorten</w:t>
      </w:r>
      <w:r w:rsidRPr="00B140F2">
        <w:rPr>
          <w:rFonts w:cs="Arial"/>
          <w:sz w:val="18"/>
          <w:szCs w:val="18"/>
          <w:u w:val="single"/>
          <w:lang w:val="de-DE"/>
        </w:rPr>
        <w:t xml:space="preserve"> und Unterschiede zu diesen </w:t>
      </w:r>
      <w:r w:rsidR="0062557A" w:rsidRPr="00B140F2">
        <w:rPr>
          <w:rFonts w:cs="Arial"/>
          <w:sz w:val="18"/>
          <w:szCs w:val="18"/>
          <w:u w:val="single"/>
          <w:lang w:val="de-DE"/>
        </w:rPr>
        <w:t>Sorten</w:t>
      </w:r>
    </w:p>
    <w:p w14:paraId="1571D0B3" w14:textId="77777777" w:rsidR="009835E3" w:rsidRPr="00B140F2" w:rsidRDefault="009835E3" w:rsidP="00BD4986">
      <w:pPr>
        <w:ind w:right="425"/>
        <w:rPr>
          <w:rFonts w:cs="Arial"/>
          <w:sz w:val="18"/>
          <w:szCs w:val="18"/>
          <w:lang w:val="de-DE"/>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F17772" w:rsidRPr="00223459" w14:paraId="1B22E24A" w14:textId="77777777">
        <w:tc>
          <w:tcPr>
            <w:tcW w:w="1985" w:type="dxa"/>
            <w:vAlign w:val="center"/>
          </w:tcPr>
          <w:p w14:paraId="4A6017C7" w14:textId="7244AB7C" w:rsidR="00F17772" w:rsidRPr="00B140F2" w:rsidRDefault="00F17772" w:rsidP="00BD4986">
            <w:pPr>
              <w:ind w:right="73"/>
              <w:jc w:val="center"/>
              <w:rPr>
                <w:rFonts w:cs="Arial"/>
                <w:sz w:val="18"/>
                <w:szCs w:val="18"/>
                <w:lang w:val="de-DE"/>
              </w:rPr>
            </w:pPr>
            <w:r w:rsidRPr="00B140F2">
              <w:rPr>
                <w:rFonts w:cs="Arial"/>
                <w:sz w:val="18"/>
                <w:szCs w:val="18"/>
                <w:lang w:val="de-DE"/>
              </w:rPr>
              <w:t>Bezeichnung(en) der Sorte(n), die der Kandidatensorte ähnlich ist (sind)</w:t>
            </w:r>
          </w:p>
        </w:tc>
        <w:tc>
          <w:tcPr>
            <w:tcW w:w="2126" w:type="dxa"/>
            <w:vAlign w:val="center"/>
          </w:tcPr>
          <w:p w14:paraId="637D0256" w14:textId="216454A1" w:rsidR="00F17772" w:rsidRPr="00B140F2" w:rsidRDefault="00F17772" w:rsidP="00BD4986">
            <w:pPr>
              <w:jc w:val="center"/>
              <w:rPr>
                <w:rFonts w:cs="Arial"/>
                <w:sz w:val="18"/>
                <w:szCs w:val="18"/>
                <w:lang w:val="de-DE"/>
              </w:rPr>
            </w:pPr>
            <w:r w:rsidRPr="00B140F2">
              <w:rPr>
                <w:rFonts w:cs="Arial"/>
                <w:sz w:val="18"/>
                <w:szCs w:val="18"/>
                <w:lang w:val="de-DE"/>
              </w:rPr>
              <w:t>Merkmal(e), in dem (denen) die Kandidatensorte von der (den) ähnlichen Sorte(n) verschieden ist</w:t>
            </w:r>
            <w:r w:rsidRPr="00657061">
              <w:rPr>
                <w:rFonts w:cs="Arial"/>
                <w:sz w:val="18"/>
                <w:szCs w:val="18"/>
                <w:vertAlign w:val="superscript"/>
                <w:lang w:val="de-DE"/>
              </w:rPr>
              <w:t>1</w:t>
            </w:r>
            <w:r w:rsidRPr="00B140F2">
              <w:rPr>
                <w:rFonts w:cs="Arial"/>
                <w:sz w:val="18"/>
                <w:szCs w:val="18"/>
                <w:vertAlign w:val="superscript"/>
                <w:lang w:val="de-DE"/>
              </w:rPr>
              <w:t>)</w:t>
            </w:r>
          </w:p>
        </w:tc>
        <w:tc>
          <w:tcPr>
            <w:tcW w:w="2410" w:type="dxa"/>
            <w:vAlign w:val="center"/>
          </w:tcPr>
          <w:p w14:paraId="4DCF7D4D" w14:textId="647D9299" w:rsidR="00F17772" w:rsidRPr="00B140F2" w:rsidRDefault="00F17772" w:rsidP="00BD4986">
            <w:pPr>
              <w:ind w:right="171"/>
              <w:jc w:val="center"/>
              <w:rPr>
                <w:rFonts w:cs="Arial"/>
                <w:sz w:val="18"/>
                <w:szCs w:val="18"/>
                <w:lang w:val="de-DE"/>
              </w:rPr>
            </w:pPr>
            <w:r w:rsidRPr="00B140F2">
              <w:rPr>
                <w:rFonts w:cs="Arial"/>
                <w:sz w:val="18"/>
                <w:szCs w:val="18"/>
                <w:lang w:val="de-DE"/>
              </w:rPr>
              <w:t>Ausprägungsstufe des/der Merkmals/Merkmale für die ähnliche(n) Sorte(n)</w:t>
            </w:r>
            <w:r w:rsidRPr="00B140F2">
              <w:rPr>
                <w:rFonts w:cs="Arial"/>
                <w:sz w:val="18"/>
                <w:szCs w:val="18"/>
                <w:vertAlign w:val="superscript"/>
                <w:lang w:val="de-DE"/>
              </w:rPr>
              <w:t xml:space="preserve"> 2)</w:t>
            </w:r>
          </w:p>
        </w:tc>
        <w:tc>
          <w:tcPr>
            <w:tcW w:w="2126" w:type="dxa"/>
            <w:vAlign w:val="center"/>
          </w:tcPr>
          <w:p w14:paraId="2C06C791" w14:textId="54B697FA" w:rsidR="00F17772" w:rsidRPr="00B140F2" w:rsidRDefault="00F17772" w:rsidP="00BD4986">
            <w:pPr>
              <w:jc w:val="center"/>
              <w:rPr>
                <w:rFonts w:cs="Arial"/>
                <w:sz w:val="18"/>
                <w:szCs w:val="18"/>
                <w:lang w:val="de-DE"/>
              </w:rPr>
            </w:pPr>
            <w:r w:rsidRPr="00B140F2">
              <w:rPr>
                <w:rFonts w:cs="Arial"/>
                <w:sz w:val="18"/>
                <w:szCs w:val="18"/>
                <w:lang w:val="de-DE"/>
              </w:rPr>
              <w:t>Ausprägungsstufe des (der) Merkmals(e) für die Kandidatensorte</w:t>
            </w:r>
            <w:r w:rsidRPr="00B140F2">
              <w:rPr>
                <w:rFonts w:cs="Arial"/>
                <w:sz w:val="18"/>
                <w:szCs w:val="18"/>
                <w:vertAlign w:val="superscript"/>
                <w:lang w:val="de-DE"/>
              </w:rPr>
              <w:t>2)</w:t>
            </w:r>
          </w:p>
        </w:tc>
      </w:tr>
    </w:tbl>
    <w:p w14:paraId="244FF7D8" w14:textId="77777777" w:rsidR="009835E3" w:rsidRPr="00B140F2" w:rsidRDefault="009835E3" w:rsidP="00BD4986">
      <w:pPr>
        <w:ind w:right="425"/>
        <w:rPr>
          <w:rFonts w:cs="Arial"/>
          <w:sz w:val="18"/>
          <w:szCs w:val="18"/>
          <w:lang w:val="de-DE"/>
        </w:rPr>
      </w:pPr>
    </w:p>
    <w:p w14:paraId="2AE3CD78" w14:textId="37B707B3" w:rsidR="00214329" w:rsidRPr="00B140F2" w:rsidRDefault="001C4FD6" w:rsidP="00BD4986">
      <w:pPr>
        <w:ind w:left="567" w:right="425"/>
        <w:rPr>
          <w:rFonts w:cs="Arial"/>
          <w:sz w:val="18"/>
          <w:szCs w:val="18"/>
          <w:lang w:val="de-DE"/>
        </w:rPr>
      </w:pPr>
      <w:r w:rsidRPr="00B140F2">
        <w:rPr>
          <w:rFonts w:cs="Arial"/>
          <w:sz w:val="18"/>
          <w:szCs w:val="18"/>
          <w:lang w:val="de-DE"/>
        </w:rPr>
        <w:t>„</w:t>
      </w:r>
      <w:r w:rsidR="0060633E" w:rsidRPr="00B140F2">
        <w:rPr>
          <w:rFonts w:cs="Arial"/>
          <w:sz w:val="18"/>
          <w:szCs w:val="18"/>
          <w:lang w:val="de-DE"/>
        </w:rPr>
        <w:t xml:space="preserve">1) </w:t>
      </w:r>
      <w:r w:rsidR="0060633E" w:rsidRPr="00B140F2">
        <w:rPr>
          <w:rFonts w:cs="Arial"/>
          <w:sz w:val="18"/>
          <w:szCs w:val="18"/>
          <w:lang w:val="de-DE"/>
        </w:rPr>
        <w:tab/>
      </w:r>
      <w:r w:rsidR="008E3169" w:rsidRPr="00B140F2">
        <w:rPr>
          <w:rFonts w:cs="Arial"/>
          <w:sz w:val="18"/>
          <w:szCs w:val="18"/>
          <w:lang w:val="de-DE"/>
        </w:rPr>
        <w:t>Sofern die Ausprägungsstufen der beiden Sorten identisch sind, bitte die Größe des Unterschieds angeben</w:t>
      </w:r>
      <w:r w:rsidR="0060633E" w:rsidRPr="00B140F2">
        <w:rPr>
          <w:rFonts w:cs="Arial"/>
          <w:sz w:val="18"/>
          <w:szCs w:val="18"/>
          <w:lang w:val="de-DE"/>
        </w:rPr>
        <w:t>.</w:t>
      </w:r>
    </w:p>
    <w:p w14:paraId="004E50AF" w14:textId="77777777" w:rsidR="009835E3" w:rsidRPr="00B140F2" w:rsidRDefault="009835E3" w:rsidP="00BD4986">
      <w:pPr>
        <w:ind w:left="567" w:right="425"/>
        <w:rPr>
          <w:rFonts w:cs="Arial"/>
          <w:sz w:val="18"/>
          <w:szCs w:val="18"/>
          <w:lang w:val="de-DE"/>
        </w:rPr>
      </w:pPr>
    </w:p>
    <w:p w14:paraId="577A061D" w14:textId="039713F8" w:rsidR="00214329" w:rsidRPr="00B140F2" w:rsidRDefault="001C4FD6" w:rsidP="00BD4986">
      <w:pPr>
        <w:ind w:left="567" w:right="425"/>
        <w:rPr>
          <w:sz w:val="18"/>
          <w:szCs w:val="18"/>
          <w:lang w:val="de-DE"/>
        </w:rPr>
      </w:pPr>
      <w:r w:rsidRPr="00B140F2">
        <w:rPr>
          <w:sz w:val="18"/>
          <w:szCs w:val="18"/>
          <w:lang w:val="de-DE"/>
        </w:rPr>
        <w:t>„</w:t>
      </w:r>
      <w:r w:rsidR="0060633E" w:rsidRPr="00B140F2">
        <w:rPr>
          <w:sz w:val="18"/>
          <w:szCs w:val="18"/>
          <w:lang w:val="de-DE"/>
        </w:rPr>
        <w:t xml:space="preserve">2) </w:t>
      </w:r>
      <w:r w:rsidR="0060633E" w:rsidRPr="00B140F2">
        <w:rPr>
          <w:sz w:val="18"/>
          <w:szCs w:val="18"/>
          <w:lang w:val="de-DE"/>
        </w:rPr>
        <w:tab/>
      </w:r>
      <w:r w:rsidR="001B2D52" w:rsidRPr="00B140F2">
        <w:rPr>
          <w:sz w:val="18"/>
          <w:szCs w:val="18"/>
          <w:lang w:val="de-DE"/>
        </w:rPr>
        <w:t>Die Ausprägungsstufen der Kandidatensorte(n) und der ähnlichen Sorte(n) beziehen sich auf die DUS-Prüfung, die an der Prüfungsstation, dem Prüfungsort und der Prüfungsperiode, die unter den Punkten 11 und 12 aufgeführt sind, durchgeführt wurden</w:t>
      </w:r>
      <w:r w:rsidR="0060633E" w:rsidRPr="00B140F2">
        <w:rPr>
          <w:sz w:val="18"/>
          <w:szCs w:val="18"/>
          <w:lang w:val="de-DE"/>
        </w:rPr>
        <w:t>.</w:t>
      </w:r>
      <w:r w:rsidRPr="00B140F2">
        <w:rPr>
          <w:sz w:val="18"/>
          <w:szCs w:val="18"/>
          <w:lang w:val="de-DE"/>
        </w:rPr>
        <w:t>“</w:t>
      </w:r>
    </w:p>
    <w:p w14:paraId="7F497DBE" w14:textId="77777777" w:rsidR="009835E3" w:rsidRPr="00B140F2" w:rsidRDefault="009835E3" w:rsidP="00BD4986">
      <w:pPr>
        <w:ind w:left="567" w:right="425"/>
        <w:rPr>
          <w:sz w:val="18"/>
          <w:szCs w:val="18"/>
          <w:lang w:val="de-DE"/>
        </w:rPr>
      </w:pPr>
    </w:p>
    <w:p w14:paraId="4169F03D" w14:textId="77777777" w:rsidR="009835E3" w:rsidRPr="00B140F2" w:rsidRDefault="009835E3" w:rsidP="00BD4986">
      <w:pPr>
        <w:ind w:left="567" w:right="425"/>
        <w:rPr>
          <w:sz w:val="18"/>
          <w:szCs w:val="18"/>
          <w:lang w:val="de-DE"/>
        </w:rPr>
      </w:pPr>
    </w:p>
    <w:p w14:paraId="183224B6" w14:textId="3BC7F59E" w:rsidR="00214329" w:rsidRPr="00B140F2" w:rsidRDefault="0060633E" w:rsidP="00BD4986">
      <w:pPr>
        <w:ind w:right="425"/>
        <w:rPr>
          <w:rFonts w:cs="Arial"/>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9835E3" w:rsidRPr="00B140F2">
        <w:rPr>
          <w:rFonts w:cs="Arial"/>
          <w:lang w:val="de-DE"/>
        </w:rPr>
        <w:t xml:space="preserve">Zu Punkt 16 </w:t>
      </w:r>
      <w:r w:rsidR="001C4FD6" w:rsidRPr="00B140F2">
        <w:rPr>
          <w:rFonts w:cs="Arial"/>
          <w:lang w:val="de-DE"/>
        </w:rPr>
        <w:t>„</w:t>
      </w:r>
      <w:r w:rsidR="00FE23CD" w:rsidRPr="00B140F2">
        <w:rPr>
          <w:rFonts w:cs="Arial"/>
          <w:lang w:val="de-DE"/>
        </w:rPr>
        <w:t>Ähnliche Sorten und Unterschiede zu diesen Sorten</w:t>
      </w:r>
      <w:r w:rsidR="001C4FD6" w:rsidRPr="00B140F2">
        <w:rPr>
          <w:rFonts w:cs="Arial"/>
          <w:lang w:val="de-DE"/>
        </w:rPr>
        <w:t>“</w:t>
      </w:r>
      <w:r w:rsidR="009835E3" w:rsidRPr="00B140F2">
        <w:rPr>
          <w:rFonts w:cs="Arial"/>
          <w:lang w:val="de-DE"/>
        </w:rPr>
        <w:t xml:space="preserve"> wird die folgende Erläuterung gegeben:</w:t>
      </w:r>
    </w:p>
    <w:p w14:paraId="56B717B5" w14:textId="77777777" w:rsidR="009835E3" w:rsidRPr="00B140F2" w:rsidRDefault="009835E3" w:rsidP="00BD4986">
      <w:pPr>
        <w:ind w:right="425"/>
        <w:rPr>
          <w:rFonts w:cs="Arial"/>
          <w:lang w:val="de-DE"/>
        </w:rPr>
      </w:pPr>
    </w:p>
    <w:p w14:paraId="4915606E" w14:textId="7BF13313" w:rsidR="00214329" w:rsidRPr="00B140F2" w:rsidRDefault="001C4FD6" w:rsidP="00BD4986">
      <w:pPr>
        <w:ind w:left="567" w:right="567"/>
        <w:rPr>
          <w:rFonts w:cs="Arial"/>
          <w:sz w:val="18"/>
          <w:szCs w:val="18"/>
          <w:lang w:val="de-DE"/>
        </w:rPr>
      </w:pPr>
      <w:r w:rsidRPr="00B140F2">
        <w:rPr>
          <w:rFonts w:cs="Arial"/>
          <w:sz w:val="18"/>
          <w:szCs w:val="18"/>
          <w:lang w:val="de-DE"/>
        </w:rPr>
        <w:t>„</w:t>
      </w:r>
      <w:r w:rsidR="0060633E" w:rsidRPr="00B140F2">
        <w:rPr>
          <w:rFonts w:cs="Arial"/>
          <w:sz w:val="18"/>
          <w:szCs w:val="18"/>
          <w:lang w:val="de-DE"/>
        </w:rPr>
        <w:t>d)</w:t>
      </w:r>
      <w:r w:rsidR="0060633E" w:rsidRPr="00B140F2">
        <w:rPr>
          <w:rFonts w:cs="Arial"/>
          <w:sz w:val="18"/>
          <w:szCs w:val="18"/>
          <w:lang w:val="de-DE"/>
        </w:rPr>
        <w:tab/>
      </w:r>
      <w:r w:rsidR="0060633E" w:rsidRPr="00B140F2">
        <w:rPr>
          <w:rFonts w:cs="Arial"/>
          <w:sz w:val="18"/>
          <w:szCs w:val="18"/>
          <w:u w:val="single"/>
          <w:lang w:val="de-DE"/>
        </w:rPr>
        <w:t>Zu Nummer 16 (Anlage: UPOV-Sortenbeschreibung)</w:t>
      </w:r>
    </w:p>
    <w:p w14:paraId="54214875" w14:textId="77777777" w:rsidR="009835E3" w:rsidRPr="00B140F2" w:rsidRDefault="009835E3" w:rsidP="00BD4986">
      <w:pPr>
        <w:ind w:left="567" w:right="567"/>
        <w:rPr>
          <w:rFonts w:cs="Arial"/>
          <w:sz w:val="18"/>
          <w:szCs w:val="18"/>
          <w:lang w:val="de-DE"/>
        </w:rPr>
      </w:pPr>
    </w:p>
    <w:p w14:paraId="1BE58AF2" w14:textId="4F5D7AFD" w:rsidR="00214329" w:rsidRPr="00B140F2" w:rsidRDefault="001C4FD6" w:rsidP="00BD4986">
      <w:pPr>
        <w:ind w:left="567"/>
        <w:rPr>
          <w:sz w:val="18"/>
          <w:szCs w:val="18"/>
          <w:lang w:val="de-DE"/>
        </w:rPr>
      </w:pPr>
      <w:r w:rsidRPr="00B140F2">
        <w:rPr>
          <w:sz w:val="18"/>
          <w:szCs w:val="18"/>
          <w:lang w:val="de-DE"/>
        </w:rPr>
        <w:t>„</w:t>
      </w:r>
      <w:r w:rsidR="00CA5539" w:rsidRPr="00B140F2">
        <w:rPr>
          <w:sz w:val="18"/>
          <w:szCs w:val="18"/>
          <w:lang w:val="de-DE"/>
        </w:rPr>
        <w:t>Nur diejenigen Merkmale, die für die Erstellung 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r w:rsidR="0060633E" w:rsidRPr="00B140F2">
        <w:rPr>
          <w:sz w:val="18"/>
          <w:szCs w:val="18"/>
          <w:lang w:val="de-DE"/>
        </w:rPr>
        <w:t>.</w:t>
      </w:r>
      <w:r w:rsidR="00D203CD">
        <w:rPr>
          <w:sz w:val="18"/>
          <w:szCs w:val="18"/>
          <w:lang w:val="de-DE"/>
        </w:rPr>
        <w:t>“</w:t>
      </w:r>
    </w:p>
    <w:p w14:paraId="5010229B" w14:textId="77777777" w:rsidR="009835E3" w:rsidRPr="00B140F2" w:rsidRDefault="009835E3" w:rsidP="00BD4986">
      <w:pPr>
        <w:ind w:left="567"/>
        <w:rPr>
          <w:sz w:val="18"/>
          <w:szCs w:val="18"/>
          <w:lang w:val="de-DE"/>
        </w:rPr>
      </w:pPr>
    </w:p>
    <w:p w14:paraId="160C7319" w14:textId="04508167"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Auf ihrer Tagung im Jahre 2023 prüfte die TWF</w:t>
      </w:r>
      <w:r w:rsidRPr="00E83514">
        <w:rPr>
          <w:rStyle w:val="FootnoteReference"/>
          <w:lang w:val="de-DE"/>
        </w:rPr>
        <w:footnoteReference w:id="12"/>
      </w:r>
      <w:r w:rsidRPr="00B140F2">
        <w:rPr>
          <w:lang w:val="de-DE"/>
        </w:rPr>
        <w:t xml:space="preserve"> das Dokument TWF/54/7</w:t>
      </w:r>
      <w:bookmarkStart w:id="48" w:name="_Hlk145584363"/>
      <w:r w:rsidRPr="00B140F2">
        <w:rPr>
          <w:lang w:val="de-DE"/>
        </w:rPr>
        <w:t xml:space="preserve"> </w:t>
      </w:r>
      <w:r w:rsidR="001C4FD6" w:rsidRPr="00B140F2">
        <w:rPr>
          <w:lang w:val="de-DE"/>
        </w:rPr>
        <w:t>„</w:t>
      </w:r>
      <w:r w:rsidR="004270B1">
        <w:rPr>
          <w:lang w:val="de-DE"/>
        </w:rPr>
        <w:t>Cooperation in examination</w:t>
      </w:r>
      <w:r w:rsidR="001C4FD6" w:rsidRPr="00B140F2">
        <w:rPr>
          <w:lang w:val="de-DE"/>
        </w:rPr>
        <w:t>“</w:t>
      </w:r>
      <w:bookmarkEnd w:id="48"/>
      <w:r w:rsidRPr="00B140F2">
        <w:rPr>
          <w:lang w:val="de-DE"/>
        </w:rPr>
        <w:t xml:space="preserve">, das von einem Sachverständigen aus Neuseeland vorgelegt wurde (vergleiche Dokument TWF/54/13 </w:t>
      </w:r>
      <w:r w:rsidR="001C4FD6" w:rsidRPr="00B140F2">
        <w:rPr>
          <w:lang w:val="de-DE"/>
        </w:rPr>
        <w:t>„</w:t>
      </w:r>
      <w:r w:rsidR="004270B1">
        <w:rPr>
          <w:lang w:val="de-DE"/>
        </w:rPr>
        <w:t>Report</w:t>
      </w:r>
      <w:r w:rsidR="001C4FD6" w:rsidRPr="00B140F2">
        <w:rPr>
          <w:lang w:val="de-DE"/>
        </w:rPr>
        <w:t>“</w:t>
      </w:r>
      <w:r w:rsidRPr="00B140F2">
        <w:rPr>
          <w:lang w:val="de-DE"/>
        </w:rPr>
        <w:t>, Absätze 17 und 18).</w:t>
      </w:r>
    </w:p>
    <w:p w14:paraId="76A830F0" w14:textId="77777777" w:rsidR="001E2B1C" w:rsidRPr="00B140F2" w:rsidRDefault="001E2B1C" w:rsidP="00BD4986">
      <w:pPr>
        <w:rPr>
          <w:lang w:val="de-DE"/>
        </w:rPr>
      </w:pPr>
    </w:p>
    <w:p w14:paraId="2D6A637F" w14:textId="642D4F36"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3D7D19" w:rsidRPr="00B140F2">
        <w:rPr>
          <w:lang w:val="de-DE"/>
        </w:rPr>
        <w:t>Die TWF vereinbarte, die Änderung von Dokument TGP/5, Abschnitt 6 „UPOV-Bericht über die technische Prüfung und UPOV-Sortenbeschreibung“ vorzuschlagen, um weitere Anleitung zu Informationen über bei der Prüfung berücksichtigt</w:t>
      </w:r>
      <w:r w:rsidR="000E106C">
        <w:rPr>
          <w:lang w:val="de-DE"/>
        </w:rPr>
        <w:t xml:space="preserve">e </w:t>
      </w:r>
      <w:r w:rsidR="000E106C" w:rsidRPr="00B140F2">
        <w:rPr>
          <w:lang w:val="de-DE"/>
        </w:rPr>
        <w:t>ähnliche Sorten zu geben</w:t>
      </w:r>
      <w:r w:rsidRPr="00B140F2">
        <w:rPr>
          <w:lang w:val="de-DE"/>
        </w:rPr>
        <w:t>.</w:t>
      </w:r>
    </w:p>
    <w:p w14:paraId="6577BFCC" w14:textId="77777777" w:rsidR="001E2B1C" w:rsidRPr="00B140F2" w:rsidRDefault="001E2B1C" w:rsidP="00BD4986">
      <w:pPr>
        <w:rPr>
          <w:lang w:val="de-DE"/>
        </w:rPr>
      </w:pPr>
    </w:p>
    <w:p w14:paraId="3E05EBF2" w14:textId="78261255"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03384C" w:rsidRPr="00B140F2">
        <w:rPr>
          <w:lang w:val="de-DE"/>
        </w:rPr>
        <w:t xml:space="preserve">Die TWF vereinbarte, folgende zusätzliche Erläuterungen in </w:t>
      </w:r>
      <w:r w:rsidR="004270B1">
        <w:rPr>
          <w:lang w:val="de-DE"/>
        </w:rPr>
        <w:t>Punkt</w:t>
      </w:r>
      <w:r w:rsidR="004270B1" w:rsidRPr="00B140F2">
        <w:rPr>
          <w:lang w:val="de-DE"/>
        </w:rPr>
        <w:t xml:space="preserve"> </w:t>
      </w:r>
      <w:r w:rsidR="0003384C" w:rsidRPr="00B140F2">
        <w:rPr>
          <w:lang w:val="de-DE"/>
        </w:rPr>
        <w:t xml:space="preserve">16 „Ähnliche Sorten und Unterschiede zu diesen Sorten“ aufzunehmen, um </w:t>
      </w:r>
      <w:r w:rsidR="006D5198">
        <w:rPr>
          <w:lang w:val="de-DE"/>
        </w:rPr>
        <w:t>klarzustellen</w:t>
      </w:r>
      <w:r w:rsidR="0003384C" w:rsidRPr="00B140F2">
        <w:rPr>
          <w:lang w:val="de-DE"/>
        </w:rPr>
        <w:t>, welche Sorten in der UPOV-Sortenbeschreibung angegeben werden sollten (</w:t>
      </w:r>
      <w:r w:rsidR="0003384C" w:rsidRPr="00B140F2">
        <w:rPr>
          <w:spacing w:val="-2"/>
          <w:lang w:val="de-DE"/>
        </w:rPr>
        <w:t xml:space="preserve">Zusätze sind durch Hervorhebung und </w:t>
      </w:r>
      <w:r w:rsidR="0003384C" w:rsidRPr="00B140F2">
        <w:rPr>
          <w:spacing w:val="-2"/>
          <w:highlight w:val="lightGray"/>
          <w:u w:val="single"/>
          <w:lang w:val="de-DE"/>
        </w:rPr>
        <w:t>Unterstreichung</w:t>
      </w:r>
      <w:r w:rsidR="0003384C" w:rsidRPr="00B140F2">
        <w:rPr>
          <w:spacing w:val="-2"/>
          <w:lang w:val="de-DE"/>
        </w:rPr>
        <w:t xml:space="preserve"> und Streichungen sind durch Hervorhebung und </w:t>
      </w:r>
      <w:r w:rsidR="0003384C" w:rsidRPr="00B140F2">
        <w:rPr>
          <w:strike/>
          <w:spacing w:val="-2"/>
          <w:highlight w:val="lightGray"/>
          <w:lang w:val="de-DE"/>
        </w:rPr>
        <w:t>Durchstreichen</w:t>
      </w:r>
      <w:r w:rsidR="0003384C" w:rsidRPr="00B140F2">
        <w:rPr>
          <w:spacing w:val="-2"/>
          <w:lang w:val="de-DE"/>
        </w:rPr>
        <w:t xml:space="preserve"> gekennzeichnet</w:t>
      </w:r>
      <w:r w:rsidR="0003384C" w:rsidRPr="00B140F2">
        <w:rPr>
          <w:lang w:val="de-DE"/>
        </w:rPr>
        <w:t>):</w:t>
      </w:r>
    </w:p>
    <w:p w14:paraId="04397FE7" w14:textId="77777777" w:rsidR="001E2B1C" w:rsidRPr="00B140F2" w:rsidRDefault="001E2B1C" w:rsidP="00BD4986">
      <w:pPr>
        <w:rPr>
          <w:lang w:val="de-DE"/>
        </w:rPr>
      </w:pPr>
    </w:p>
    <w:p w14:paraId="3B0C2B49" w14:textId="77777777" w:rsidR="002E55E9" w:rsidRPr="00B140F2" w:rsidRDefault="002E55E9" w:rsidP="00BD4986">
      <w:pPr>
        <w:numPr>
          <w:ilvl w:val="0"/>
          <w:numId w:val="6"/>
        </w:numPr>
        <w:rPr>
          <w:rFonts w:eastAsia="Calibri" w:cs="Arial"/>
          <w:snapToGrid w:val="0"/>
          <w:highlight w:val="lightGray"/>
          <w:u w:val="single"/>
          <w:lang w:val="de-DE"/>
        </w:rPr>
      </w:pPr>
      <w:r w:rsidRPr="00B140F2">
        <w:rPr>
          <w:rFonts w:eastAsia="Calibri" w:cs="Arial"/>
          <w:snapToGrid w:val="0"/>
          <w:highlight w:val="lightGray"/>
          <w:u w:val="single"/>
          <w:lang w:val="de-DE"/>
        </w:rPr>
        <w:lastRenderedPageBreak/>
        <w:t>Alle vom Prüfer befundenen Sorten, die der Vergleichssorte am ähnlichsten/nächsten sind. Ist/sind keine solche Sorte(n) vorhanden, sollte ein Zusatz wie „Es konnte keine ähnliche bzw. nächste Sorte in der Anbauprüfung festgestellt werden“ vermerkt werden.</w:t>
      </w:r>
    </w:p>
    <w:p w14:paraId="7030F2CC" w14:textId="77777777" w:rsidR="002E55E9" w:rsidRPr="00B140F2" w:rsidRDefault="002E55E9" w:rsidP="00BD4986">
      <w:pPr>
        <w:ind w:left="720"/>
        <w:rPr>
          <w:rFonts w:eastAsia="Calibri" w:cs="Arial"/>
          <w:snapToGrid w:val="0"/>
          <w:highlight w:val="lightGray"/>
          <w:u w:val="single"/>
          <w:lang w:val="de-DE"/>
        </w:rPr>
      </w:pPr>
    </w:p>
    <w:p w14:paraId="5CE567DC" w14:textId="77777777" w:rsidR="002E55E9" w:rsidRPr="00B140F2" w:rsidRDefault="002E55E9" w:rsidP="00BD4986">
      <w:pPr>
        <w:numPr>
          <w:ilvl w:val="0"/>
          <w:numId w:val="6"/>
        </w:numPr>
        <w:rPr>
          <w:rFonts w:eastAsia="Calibri" w:cs="Arial"/>
          <w:snapToGrid w:val="0"/>
          <w:highlight w:val="lightGray"/>
          <w:u w:val="single"/>
          <w:lang w:val="de-DE"/>
        </w:rPr>
      </w:pPr>
      <w:r w:rsidRPr="00B140F2">
        <w:rPr>
          <w:rFonts w:eastAsia="Calibri" w:cs="Arial"/>
          <w:snapToGrid w:val="0"/>
          <w:highlight w:val="lightGray"/>
          <w:u w:val="single"/>
          <w:lang w:val="de-DE"/>
        </w:rPr>
        <w:t xml:space="preserve">Nur Sorten, die unter denselben Anbaubedingungen wie die Kandidatensorte geprüft wurden. </w:t>
      </w:r>
    </w:p>
    <w:p w14:paraId="3769298E" w14:textId="77777777" w:rsidR="002E55E9" w:rsidRPr="00B140F2" w:rsidRDefault="002E55E9" w:rsidP="00BD4986">
      <w:pPr>
        <w:ind w:left="720"/>
        <w:rPr>
          <w:rFonts w:eastAsia="Calibri" w:cs="Arial"/>
          <w:snapToGrid w:val="0"/>
          <w:highlight w:val="lightGray"/>
          <w:u w:val="single"/>
          <w:lang w:val="de-DE"/>
        </w:rPr>
      </w:pPr>
    </w:p>
    <w:p w14:paraId="67CE42AE" w14:textId="77777777" w:rsidR="002E55E9" w:rsidRPr="00B140F2" w:rsidRDefault="002E55E9" w:rsidP="00BD4986">
      <w:pPr>
        <w:numPr>
          <w:ilvl w:val="0"/>
          <w:numId w:val="6"/>
        </w:numPr>
        <w:rPr>
          <w:rFonts w:eastAsia="Calibri" w:cs="Arial"/>
          <w:snapToGrid w:val="0"/>
          <w:highlight w:val="lightGray"/>
          <w:u w:val="single"/>
          <w:lang w:val="de-DE"/>
        </w:rPr>
      </w:pPr>
      <w:r w:rsidRPr="00B140F2">
        <w:rPr>
          <w:rFonts w:eastAsia="Calibri" w:cs="Arial"/>
          <w:snapToGrid w:val="0"/>
          <w:highlight w:val="lightGray"/>
          <w:u w:val="single"/>
          <w:lang w:val="de-DE"/>
        </w:rPr>
        <w:t xml:space="preserve">Sorten, die die wenigsten Merkmalsunterschiede gegenüber der Kandidatensorte aufweisen. </w:t>
      </w:r>
    </w:p>
    <w:p w14:paraId="23796426" w14:textId="77777777" w:rsidR="002E55E9" w:rsidRPr="00B140F2" w:rsidRDefault="002E55E9" w:rsidP="00BD4986">
      <w:pPr>
        <w:ind w:left="720"/>
        <w:rPr>
          <w:rFonts w:eastAsia="Calibri" w:cs="Arial"/>
          <w:snapToGrid w:val="0"/>
          <w:highlight w:val="lightGray"/>
          <w:u w:val="single"/>
          <w:lang w:val="de-DE"/>
        </w:rPr>
      </w:pPr>
    </w:p>
    <w:p w14:paraId="6EE0EC4B" w14:textId="77777777" w:rsidR="002E55E9" w:rsidRPr="00B140F2" w:rsidRDefault="002E55E9" w:rsidP="00BD4986">
      <w:pPr>
        <w:numPr>
          <w:ilvl w:val="0"/>
          <w:numId w:val="6"/>
        </w:numPr>
        <w:rPr>
          <w:rFonts w:eastAsia="Calibri" w:cs="Arial"/>
          <w:snapToGrid w:val="0"/>
          <w:highlight w:val="lightGray"/>
          <w:u w:val="single"/>
          <w:lang w:val="de-DE"/>
        </w:rPr>
      </w:pPr>
      <w:r w:rsidRPr="00B140F2">
        <w:rPr>
          <w:rFonts w:eastAsia="Calibri" w:cs="Arial"/>
          <w:snapToGrid w:val="0"/>
          <w:highlight w:val="lightGray"/>
          <w:u w:val="single"/>
          <w:lang w:val="de-DE"/>
        </w:rPr>
        <w:t>Alle Merkmale werden gleich bewertet, wobei für jede ähnliche Sorte alle Merkmale für die Unterscheidbarkeit zu beinhalten sind.</w:t>
      </w:r>
    </w:p>
    <w:p w14:paraId="2C9D563C" w14:textId="77777777" w:rsidR="002E55E9" w:rsidRPr="00B140F2" w:rsidRDefault="002E55E9" w:rsidP="00BD4986">
      <w:pPr>
        <w:pStyle w:val="ListParagraph"/>
        <w:rPr>
          <w:rFonts w:eastAsia="Calibri" w:cs="Arial"/>
          <w:snapToGrid w:val="0"/>
          <w:highlight w:val="lightGray"/>
          <w:u w:val="single"/>
          <w:lang w:val="de-DE"/>
        </w:rPr>
      </w:pPr>
    </w:p>
    <w:p w14:paraId="2B2729C1" w14:textId="332FBDC3"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00B143DC" w:rsidRPr="00B140F2">
        <w:rPr>
          <w:lang w:val="de-DE"/>
        </w:rPr>
        <w:tab/>
      </w:r>
      <w:r w:rsidRPr="00B140F2">
        <w:rPr>
          <w:lang w:val="de-DE"/>
        </w:rPr>
        <w:t>Der TC</w:t>
      </w:r>
      <w:bookmarkStart w:id="49" w:name="_Ref162970555"/>
      <w:r w:rsidRPr="00E83514">
        <w:rPr>
          <w:rStyle w:val="FootnoteReference"/>
          <w:lang w:val="de-DE"/>
        </w:rPr>
        <w:footnoteReference w:id="13"/>
      </w:r>
      <w:bookmarkEnd w:id="49"/>
      <w:r w:rsidRPr="00B140F2">
        <w:rPr>
          <w:lang w:val="de-DE"/>
        </w:rPr>
        <w:t xml:space="preserve"> vereinbarte auf seiner Tagung im Jahr 2023, die TWP zu ersuchen, auf ihren Tagungen im Jahr 2024 den Vorschlag der TWF zu prüfen, zusätzliche Erläuterungen unter Punkt 16 </w:t>
      </w:r>
      <w:r w:rsidR="001C4FD6" w:rsidRPr="00B140F2">
        <w:rPr>
          <w:lang w:val="de-DE"/>
        </w:rPr>
        <w:t>„</w:t>
      </w:r>
      <w:r w:rsidR="00FE23CD" w:rsidRPr="00B140F2">
        <w:rPr>
          <w:lang w:val="de-DE"/>
        </w:rPr>
        <w:t>Ähnliche Sorten und Unterschiede zu diesen Sorten</w:t>
      </w:r>
      <w:r w:rsidR="001C4FD6" w:rsidRPr="00B140F2">
        <w:rPr>
          <w:lang w:val="de-DE"/>
        </w:rPr>
        <w:t>“</w:t>
      </w:r>
      <w:r w:rsidRPr="00B140F2">
        <w:rPr>
          <w:lang w:val="de-DE"/>
        </w:rPr>
        <w:t xml:space="preserve"> aufzunehmen</w:t>
      </w:r>
      <w:r w:rsidR="006D5198">
        <w:rPr>
          <w:lang w:val="de-DE"/>
        </w:rPr>
        <w:t>,</w:t>
      </w:r>
      <w:r w:rsidRPr="00B140F2">
        <w:rPr>
          <w:lang w:val="de-DE"/>
        </w:rPr>
        <w:t xml:space="preserve"> und </w:t>
      </w:r>
      <w:r w:rsidR="004270B1">
        <w:rPr>
          <w:lang w:val="de-DE"/>
        </w:rPr>
        <w:t xml:space="preserve">zu prüfen, </w:t>
      </w:r>
      <w:r w:rsidRPr="00B140F2">
        <w:rPr>
          <w:lang w:val="de-DE"/>
        </w:rPr>
        <w:t>ob weitere Anleitung zu Informationen über ähnliche bei der Prüfung berücksichtigt</w:t>
      </w:r>
      <w:r w:rsidR="006D5198">
        <w:rPr>
          <w:lang w:val="de-DE"/>
        </w:rPr>
        <w:t xml:space="preserve">e </w:t>
      </w:r>
      <w:r w:rsidR="006D5198" w:rsidRPr="00B140F2">
        <w:rPr>
          <w:lang w:val="de-DE"/>
        </w:rPr>
        <w:t>Sorten</w:t>
      </w:r>
      <w:r w:rsidRPr="00B140F2">
        <w:rPr>
          <w:lang w:val="de-DE"/>
        </w:rPr>
        <w:t xml:space="preserve"> gegeben werden soll.</w:t>
      </w:r>
    </w:p>
    <w:p w14:paraId="18798D95" w14:textId="77777777" w:rsidR="001E2B1C" w:rsidRPr="00B140F2" w:rsidRDefault="001E2B1C" w:rsidP="00BD4986">
      <w:pPr>
        <w:rPr>
          <w:lang w:val="de-DE"/>
        </w:rPr>
      </w:pPr>
    </w:p>
    <w:p w14:paraId="0A395703" w14:textId="3BDB5D8B" w:rsidR="00214329" w:rsidRPr="00B140F2" w:rsidRDefault="007D62E7" w:rsidP="00BD4986">
      <w:pPr>
        <w:rPr>
          <w:i/>
          <w:lang w:val="de-DE"/>
        </w:rPr>
      </w:pPr>
      <w:r w:rsidRPr="00B140F2">
        <w:rPr>
          <w:i/>
          <w:lang w:val="de-DE"/>
        </w:rPr>
        <w:t>Bemerkungen</w:t>
      </w:r>
      <w:r w:rsidR="0060633E" w:rsidRPr="00B140F2">
        <w:rPr>
          <w:i/>
          <w:lang w:val="de-DE"/>
        </w:rPr>
        <w:t xml:space="preserve"> der</w:t>
      </w:r>
      <w:r w:rsidR="001F146A" w:rsidRPr="00B140F2">
        <w:rPr>
          <w:i/>
          <w:lang w:val="de-DE"/>
        </w:rPr>
        <w:t xml:space="preserve"> Technischen Arbeitsgruppen </w:t>
      </w:r>
      <w:r w:rsidR="00030D7E" w:rsidRPr="00B140F2">
        <w:rPr>
          <w:i/>
          <w:lang w:val="de-DE"/>
        </w:rPr>
        <w:t>im Jahr 2024</w:t>
      </w:r>
    </w:p>
    <w:p w14:paraId="54CBC550" w14:textId="77777777" w:rsidR="00030D7E" w:rsidRPr="00B140F2" w:rsidRDefault="00030D7E" w:rsidP="00BD4986">
      <w:pPr>
        <w:rPr>
          <w:lang w:val="de-DE"/>
        </w:rPr>
      </w:pPr>
    </w:p>
    <w:p w14:paraId="285D62E2" w14:textId="6272A33C" w:rsidR="00214329" w:rsidRPr="00B140F2" w:rsidRDefault="0060633E" w:rsidP="00BD4986">
      <w:pPr>
        <w:keepNext/>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 xml:space="preserve">Die TWV, die TWO, die TWA und die TWF prüften </w:t>
      </w:r>
      <w:r w:rsidR="00ED72AC" w:rsidRPr="00B140F2">
        <w:rPr>
          <w:rFonts w:eastAsiaTheme="minorEastAsia"/>
          <w:lang w:val="de-DE"/>
        </w:rPr>
        <w:t xml:space="preserve">auf ihren Tagungen im Jahr 2024 </w:t>
      </w:r>
      <w:r w:rsidRPr="00B140F2">
        <w:rPr>
          <w:rFonts w:eastAsiaTheme="minorEastAsia"/>
          <w:lang w:val="de-DE"/>
        </w:rPr>
        <w:t xml:space="preserve">die zusätzlichen Erläuterungen, die zur Aufnahme in Punkt 16 </w:t>
      </w:r>
      <w:r w:rsidR="001C4FD6" w:rsidRPr="00B140F2">
        <w:rPr>
          <w:rFonts w:eastAsiaTheme="minorEastAsia"/>
          <w:lang w:val="de-DE"/>
        </w:rPr>
        <w:t>„</w:t>
      </w:r>
      <w:r w:rsidR="00FE23CD" w:rsidRPr="00B140F2">
        <w:rPr>
          <w:rFonts w:eastAsiaTheme="minorEastAsia"/>
          <w:lang w:val="de-DE"/>
        </w:rPr>
        <w:t>Ähnliche Sorten und Unterschiede zu diesen Sorten</w:t>
      </w:r>
      <w:r w:rsidR="001C4FD6" w:rsidRPr="00B140F2">
        <w:rPr>
          <w:rFonts w:eastAsiaTheme="minorEastAsia"/>
          <w:lang w:val="de-DE"/>
        </w:rPr>
        <w:t>“</w:t>
      </w:r>
      <w:r w:rsidRPr="00B140F2">
        <w:rPr>
          <w:rFonts w:eastAsiaTheme="minorEastAsia"/>
          <w:lang w:val="de-DE"/>
        </w:rPr>
        <w:t xml:space="preserve"> in die </w:t>
      </w:r>
      <w:r w:rsidR="001C4FD6" w:rsidRPr="00B140F2">
        <w:rPr>
          <w:rFonts w:eastAsiaTheme="minorEastAsia"/>
          <w:lang w:val="de-DE"/>
        </w:rPr>
        <w:t>„</w:t>
      </w:r>
      <w:r w:rsidR="00046939" w:rsidRPr="00B140F2">
        <w:rPr>
          <w:rFonts w:eastAsiaTheme="minorEastAsia"/>
          <w:lang w:val="de-DE"/>
        </w:rPr>
        <w:t>UPOV-Sortenbeschreibung</w:t>
      </w:r>
      <w:r w:rsidR="001C4FD6" w:rsidRPr="00B140F2">
        <w:rPr>
          <w:rFonts w:eastAsiaTheme="minorEastAsia"/>
          <w:lang w:val="de-DE"/>
        </w:rPr>
        <w:t>“</w:t>
      </w:r>
      <w:r w:rsidRPr="00B140F2">
        <w:rPr>
          <w:rFonts w:eastAsiaTheme="minorEastAsia"/>
          <w:lang w:val="de-DE"/>
        </w:rPr>
        <w:t xml:space="preserve"> vorgeschlagen wurden </w:t>
      </w:r>
      <w:r w:rsidR="00046939" w:rsidRPr="00B140F2">
        <w:rPr>
          <w:rFonts w:eastAsiaTheme="minorEastAsia"/>
          <w:lang w:val="de-DE"/>
        </w:rPr>
        <w:t>(vergleiche Dokument TWP/8/1</w:t>
      </w:r>
      <w:r w:rsidR="004270B1">
        <w:rPr>
          <w:rFonts w:eastAsiaTheme="minorEastAsia"/>
          <w:lang w:val="de-DE"/>
        </w:rPr>
        <w:t>,</w:t>
      </w:r>
      <w:r w:rsidR="00046939" w:rsidRPr="00B140F2">
        <w:rPr>
          <w:rFonts w:eastAsiaTheme="minorEastAsia"/>
          <w:lang w:val="de-DE"/>
        </w:rPr>
        <w:t xml:space="preserve"> Absätze 15 bis 18).</w:t>
      </w:r>
    </w:p>
    <w:p w14:paraId="21A74342" w14:textId="77777777" w:rsidR="00030D7E" w:rsidRPr="00B140F2" w:rsidRDefault="00030D7E" w:rsidP="00BD4986">
      <w:pPr>
        <w:rPr>
          <w:rFonts w:eastAsiaTheme="minorEastAsia"/>
          <w:lang w:val="de-DE"/>
        </w:rPr>
      </w:pPr>
    </w:p>
    <w:p w14:paraId="28CBF592" w14:textId="66E4ED97"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 xml:space="preserve">Die TWV vereinbarte, </w:t>
      </w:r>
      <w:r w:rsidR="00350639" w:rsidRPr="00B140F2">
        <w:rPr>
          <w:rFonts w:eastAsiaTheme="minorEastAsia"/>
          <w:lang w:val="de-DE"/>
        </w:rPr>
        <w:t xml:space="preserve">dass </w:t>
      </w:r>
      <w:r w:rsidRPr="00B140F2">
        <w:rPr>
          <w:rFonts w:eastAsiaTheme="minorEastAsia"/>
          <w:lang w:val="de-DE"/>
        </w:rPr>
        <w:t>Informationen über ähnliche Sorten und Unterschiede zur Kandidatensorte wichtig seien, um die Zusammenarbeit und den Austausch von DUS-Prüfungsberichten zu erleichtern.</w:t>
      </w:r>
    </w:p>
    <w:p w14:paraId="3398BD87" w14:textId="77777777" w:rsidR="00030D7E" w:rsidRPr="00B140F2" w:rsidRDefault="00030D7E" w:rsidP="00BD4986">
      <w:pPr>
        <w:rPr>
          <w:rFonts w:eastAsiaTheme="minorEastAsia"/>
          <w:lang w:val="de-DE"/>
        </w:rPr>
      </w:pPr>
    </w:p>
    <w:p w14:paraId="05ABB592" w14:textId="0DFDF72A"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 xml:space="preserve">Die TWV vereinbarte, </w:t>
      </w:r>
      <w:r w:rsidR="00350639" w:rsidRPr="00B140F2">
        <w:rPr>
          <w:rFonts w:eastAsiaTheme="minorEastAsia"/>
          <w:lang w:val="de-DE"/>
        </w:rPr>
        <w:t xml:space="preserve">dass </w:t>
      </w:r>
      <w:r w:rsidRPr="00B140F2">
        <w:rPr>
          <w:rFonts w:eastAsiaTheme="minorEastAsia"/>
          <w:lang w:val="de-DE"/>
        </w:rPr>
        <w:t>Sortenbeschreibungen stets Informationen über die ähnlichsten Sorten liefern sollten, selbst wenn es sich um einen Elternteil oder Geschwister der Kandidatensorte handelt.</w:t>
      </w:r>
      <w:r w:rsidR="00FE0BFC" w:rsidRPr="00B140F2">
        <w:rPr>
          <w:rFonts w:eastAsiaTheme="minorEastAsia"/>
          <w:lang w:val="de-DE"/>
        </w:rPr>
        <w:t xml:space="preserve"> </w:t>
      </w:r>
      <w:r w:rsidRPr="00B140F2">
        <w:rPr>
          <w:rFonts w:eastAsiaTheme="minorEastAsia"/>
          <w:lang w:val="de-DE"/>
        </w:rPr>
        <w:t xml:space="preserve">Die TWV vereinbarte, </w:t>
      </w:r>
      <w:r w:rsidR="00350639" w:rsidRPr="00B140F2">
        <w:rPr>
          <w:rFonts w:eastAsiaTheme="minorEastAsia"/>
          <w:lang w:val="de-DE"/>
        </w:rPr>
        <w:t xml:space="preserve">dass </w:t>
      </w:r>
      <w:r w:rsidRPr="00B140F2">
        <w:rPr>
          <w:rFonts w:eastAsiaTheme="minorEastAsia"/>
          <w:lang w:val="de-DE"/>
        </w:rPr>
        <w:t>das Fehlen von Informationen in Punkt 16 zu Ungewi</w:t>
      </w:r>
      <w:r w:rsidR="00F3283E" w:rsidRPr="00B140F2">
        <w:rPr>
          <w:rFonts w:eastAsiaTheme="minorEastAsia"/>
          <w:lang w:val="de-DE"/>
        </w:rPr>
        <w:t>ss</w:t>
      </w:r>
      <w:r w:rsidRPr="00B140F2">
        <w:rPr>
          <w:rFonts w:eastAsiaTheme="minorEastAsia"/>
          <w:lang w:val="de-DE"/>
        </w:rPr>
        <w:t>heit darüber führe, ob die Sortenbeschreibung ordnungsgemäß ausgefüllt worden sei.</w:t>
      </w:r>
      <w:r w:rsidR="00FE0BFC" w:rsidRPr="00B140F2">
        <w:rPr>
          <w:rFonts w:eastAsiaTheme="minorEastAsia"/>
          <w:lang w:val="de-DE"/>
        </w:rPr>
        <w:t xml:space="preserve"> </w:t>
      </w:r>
      <w:r w:rsidRPr="00B140F2">
        <w:rPr>
          <w:rFonts w:eastAsiaTheme="minorEastAsia"/>
          <w:lang w:val="de-DE"/>
        </w:rPr>
        <w:t xml:space="preserve">Die TWV vereinbarte, </w:t>
      </w:r>
      <w:r w:rsidR="00350639" w:rsidRPr="00B140F2">
        <w:rPr>
          <w:rFonts w:eastAsiaTheme="minorEastAsia"/>
          <w:lang w:val="de-DE"/>
        </w:rPr>
        <w:t xml:space="preserve">dass </w:t>
      </w:r>
      <w:r w:rsidRPr="00B140F2">
        <w:rPr>
          <w:rFonts w:eastAsiaTheme="minorEastAsia"/>
          <w:lang w:val="de-DE"/>
        </w:rPr>
        <w:t>ein Standardwortlaut für solche Situationen entwickelt werden sollte.</w:t>
      </w:r>
    </w:p>
    <w:p w14:paraId="27614721" w14:textId="77777777" w:rsidR="00550B73" w:rsidRPr="00B140F2" w:rsidRDefault="00550B73" w:rsidP="00BD4986">
      <w:pPr>
        <w:rPr>
          <w:rFonts w:eastAsiaTheme="minorEastAsia"/>
          <w:lang w:val="de-DE"/>
        </w:rPr>
      </w:pPr>
    </w:p>
    <w:p w14:paraId="59F29374" w14:textId="70F4E5BF"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 xml:space="preserve">Die TWO </w:t>
      </w:r>
      <w:r w:rsidR="004270B1">
        <w:rPr>
          <w:rFonts w:eastAsiaTheme="minorEastAsia"/>
          <w:lang w:val="de-DE"/>
        </w:rPr>
        <w:t>stimmte</w:t>
      </w:r>
      <w:r w:rsidRPr="00B140F2">
        <w:rPr>
          <w:rFonts w:eastAsiaTheme="minorEastAsia"/>
          <w:lang w:val="de-DE"/>
        </w:rPr>
        <w:t xml:space="preserve"> der TWV</w:t>
      </w:r>
      <w:r w:rsidR="004270B1">
        <w:rPr>
          <w:rFonts w:eastAsiaTheme="minorEastAsia"/>
          <w:lang w:val="de-DE"/>
        </w:rPr>
        <w:t xml:space="preserve"> zu</w:t>
      </w:r>
      <w:r w:rsidRPr="00B140F2">
        <w:rPr>
          <w:rFonts w:eastAsiaTheme="minorEastAsia"/>
          <w:lang w:val="de-DE"/>
        </w:rPr>
        <w:t xml:space="preserve">, </w:t>
      </w:r>
      <w:r w:rsidR="00350639" w:rsidRPr="00B140F2">
        <w:rPr>
          <w:rFonts w:eastAsiaTheme="minorEastAsia"/>
          <w:lang w:val="de-DE"/>
        </w:rPr>
        <w:t xml:space="preserve">dass </w:t>
      </w:r>
      <w:r w:rsidRPr="00B140F2">
        <w:rPr>
          <w:rFonts w:eastAsiaTheme="minorEastAsia"/>
          <w:lang w:val="de-DE"/>
        </w:rPr>
        <w:t>es nicht zweckmäßig wäre, in einer Sortenbeschreibung alle Sorten in einer Sammlung oder eine</w:t>
      </w:r>
      <w:r w:rsidR="006D5198">
        <w:rPr>
          <w:rFonts w:eastAsiaTheme="minorEastAsia"/>
          <w:lang w:val="de-DE"/>
        </w:rPr>
        <w:t>r</w:t>
      </w:r>
      <w:r w:rsidRPr="00B140F2">
        <w:rPr>
          <w:rFonts w:eastAsiaTheme="minorEastAsia"/>
          <w:lang w:val="de-DE"/>
        </w:rPr>
        <w:t xml:space="preserve"> Liste der zusammen mit einer Kandidatensorte </w:t>
      </w:r>
      <w:r w:rsidR="006D5198" w:rsidRPr="00B140F2">
        <w:rPr>
          <w:rFonts w:eastAsiaTheme="minorEastAsia"/>
          <w:lang w:val="de-DE"/>
        </w:rPr>
        <w:t xml:space="preserve">geprüften Sorten </w:t>
      </w:r>
      <w:r w:rsidRPr="00B140F2">
        <w:rPr>
          <w:rFonts w:eastAsiaTheme="minorEastAsia"/>
          <w:lang w:val="de-DE"/>
        </w:rPr>
        <w:t>anzugeben.</w:t>
      </w:r>
    </w:p>
    <w:p w14:paraId="4A0FBA82" w14:textId="77777777" w:rsidR="00030D7E" w:rsidRPr="00B140F2" w:rsidRDefault="00030D7E" w:rsidP="00BD4986">
      <w:pPr>
        <w:rPr>
          <w:lang w:val="de-DE"/>
        </w:rPr>
      </w:pPr>
    </w:p>
    <w:p w14:paraId="5872E03F" w14:textId="2214BC71" w:rsidR="00214329" w:rsidRPr="00B140F2" w:rsidRDefault="0060633E" w:rsidP="00BD4986">
      <w:pPr>
        <w:pStyle w:val="EndnoteText"/>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TWO vereinbarte, </w:t>
      </w:r>
      <w:r w:rsidR="00350639" w:rsidRPr="00B140F2">
        <w:rPr>
          <w:lang w:val="de-DE"/>
        </w:rPr>
        <w:t xml:space="preserve">dass </w:t>
      </w:r>
      <w:r w:rsidRPr="00B140F2">
        <w:rPr>
          <w:lang w:val="de-DE"/>
        </w:rPr>
        <w:t xml:space="preserve">Punkt 16 in den Sortenbeschreibungen nicht unbeantwortet bleiben sollte, und vereinbarte vorzuschlagen, </w:t>
      </w:r>
      <w:r w:rsidR="00350639" w:rsidRPr="00B140F2">
        <w:rPr>
          <w:lang w:val="de-DE"/>
        </w:rPr>
        <w:t xml:space="preserve">dass </w:t>
      </w:r>
      <w:r w:rsidRPr="00B140F2">
        <w:rPr>
          <w:lang w:val="de-DE"/>
        </w:rPr>
        <w:t xml:space="preserve">der erste </w:t>
      </w:r>
      <w:r w:rsidR="004270B1">
        <w:rPr>
          <w:lang w:val="de-DE"/>
        </w:rPr>
        <w:t>Aufzählungsp</w:t>
      </w:r>
      <w:r w:rsidRPr="00B140F2">
        <w:rPr>
          <w:lang w:val="de-DE"/>
        </w:rPr>
        <w:t>unkt wie folgt lauten solle:</w:t>
      </w:r>
    </w:p>
    <w:p w14:paraId="4A11B49E" w14:textId="77777777" w:rsidR="00030D7E" w:rsidRPr="00B140F2" w:rsidRDefault="00030D7E" w:rsidP="00BD4986">
      <w:pPr>
        <w:rPr>
          <w:lang w:val="de-DE"/>
        </w:rPr>
      </w:pPr>
    </w:p>
    <w:p w14:paraId="244AE22C" w14:textId="11FDC9A0" w:rsidR="00214329" w:rsidRPr="00B063F3" w:rsidRDefault="002365A5" w:rsidP="00BD4986">
      <w:pPr>
        <w:keepNext/>
        <w:numPr>
          <w:ilvl w:val="0"/>
          <w:numId w:val="6"/>
        </w:numPr>
        <w:ind w:left="851" w:hanging="284"/>
        <w:rPr>
          <w:rFonts w:eastAsia="Calibri" w:cs="Arial"/>
          <w:snapToGrid w:val="0"/>
          <w:lang w:val="de-DE"/>
        </w:rPr>
      </w:pPr>
      <w:r w:rsidRPr="00B063F3">
        <w:rPr>
          <w:rFonts w:eastAsia="Calibri" w:cs="Arial"/>
          <w:snapToGrid w:val="0"/>
          <w:lang w:val="de-DE"/>
        </w:rPr>
        <w:t xml:space="preserve">Alle </w:t>
      </w:r>
      <w:r w:rsidRPr="00B063F3">
        <w:rPr>
          <w:rFonts w:eastAsia="Calibri" w:cs="Arial"/>
          <w:strike/>
          <w:snapToGrid w:val="0"/>
          <w:highlight w:val="lightGray"/>
          <w:lang w:val="de-DE"/>
        </w:rPr>
        <w:t>vom Prüfer befundenen</w:t>
      </w:r>
      <w:r w:rsidRPr="00B063F3">
        <w:rPr>
          <w:rFonts w:eastAsia="Calibri" w:cs="Arial"/>
          <w:snapToGrid w:val="0"/>
          <w:highlight w:val="lightGray"/>
          <w:lang w:val="de-DE"/>
        </w:rPr>
        <w:t xml:space="preserve"> </w:t>
      </w:r>
      <w:r w:rsidRPr="00B063F3">
        <w:rPr>
          <w:rFonts w:eastAsia="Calibri" w:cs="Arial"/>
          <w:strike/>
          <w:snapToGrid w:val="0"/>
          <w:highlight w:val="lightGray"/>
          <w:lang w:val="de-DE"/>
        </w:rPr>
        <w:t>die der Vergleichssorte am ähnlichsten/nächsten</w:t>
      </w:r>
      <w:r w:rsidR="008504B9" w:rsidRPr="00B063F3">
        <w:rPr>
          <w:rFonts w:eastAsia="Calibri" w:cs="Arial"/>
          <w:snapToGrid w:val="0"/>
          <w:lang w:val="de-DE"/>
        </w:rPr>
        <w:t xml:space="preserve"> </w:t>
      </w:r>
      <w:r w:rsidR="008504B9" w:rsidRPr="00B063F3">
        <w:rPr>
          <w:rFonts w:eastAsia="Calibri" w:cs="Arial"/>
          <w:snapToGrid w:val="0"/>
          <w:highlight w:val="lightGray"/>
          <w:u w:val="single"/>
          <w:lang w:val="de-DE"/>
        </w:rPr>
        <w:t>ähnlichen/nahen</w:t>
      </w:r>
      <w:r w:rsidRPr="00B063F3">
        <w:rPr>
          <w:rFonts w:eastAsia="Calibri" w:cs="Arial"/>
          <w:snapToGrid w:val="0"/>
          <w:highlight w:val="lightGray"/>
          <w:lang w:val="de-DE"/>
        </w:rPr>
        <w:t xml:space="preserve"> </w:t>
      </w:r>
      <w:r w:rsidR="00801A48" w:rsidRPr="00B063F3">
        <w:rPr>
          <w:rFonts w:eastAsia="Calibri" w:cs="Arial"/>
          <w:snapToGrid w:val="0"/>
          <w:highlight w:val="lightGray"/>
          <w:lang w:val="de-DE"/>
        </w:rPr>
        <w:t>Sorten</w:t>
      </w:r>
      <w:r w:rsidR="00801A48" w:rsidRPr="00B063F3">
        <w:rPr>
          <w:rFonts w:eastAsia="Calibri" w:cs="Arial"/>
          <w:strike/>
          <w:snapToGrid w:val="0"/>
          <w:highlight w:val="lightGray"/>
          <w:lang w:val="de-DE"/>
        </w:rPr>
        <w:t xml:space="preserve">, </w:t>
      </w:r>
      <w:r w:rsidRPr="00B063F3">
        <w:rPr>
          <w:rFonts w:eastAsia="Calibri" w:cs="Arial"/>
          <w:strike/>
          <w:snapToGrid w:val="0"/>
          <w:highlight w:val="lightGray"/>
          <w:lang w:val="de-DE"/>
        </w:rPr>
        <w:t>sind</w:t>
      </w:r>
      <w:r w:rsidR="00CF484C" w:rsidRPr="00B063F3">
        <w:rPr>
          <w:rFonts w:eastAsia="Calibri" w:cs="Arial"/>
          <w:strike/>
          <w:snapToGrid w:val="0"/>
          <w:highlight w:val="lightGray"/>
          <w:lang w:val="de-DE"/>
        </w:rPr>
        <w:t xml:space="preserve"> </w:t>
      </w:r>
      <w:r w:rsidR="008504B9" w:rsidRPr="00B063F3">
        <w:rPr>
          <w:rFonts w:eastAsia="Calibri" w:cs="Arial"/>
          <w:snapToGrid w:val="0"/>
          <w:highlight w:val="lightGray"/>
          <w:u w:val="single"/>
          <w:lang w:val="de-DE"/>
        </w:rPr>
        <w:t>sollten geprüft werden</w:t>
      </w:r>
      <w:r w:rsidRPr="00B063F3">
        <w:rPr>
          <w:rFonts w:eastAsia="Calibri" w:cs="Arial"/>
          <w:snapToGrid w:val="0"/>
          <w:lang w:val="de-DE"/>
        </w:rPr>
        <w:t xml:space="preserve">. Ist/sind keine solche Sorte(n) vorhanden, sollte ein Zusatz wie „Es konnte keine ähnliche bzw. </w:t>
      </w:r>
      <w:r w:rsidRPr="00B063F3">
        <w:rPr>
          <w:rFonts w:eastAsia="Calibri" w:cs="Arial"/>
          <w:strike/>
          <w:snapToGrid w:val="0"/>
          <w:highlight w:val="lightGray"/>
          <w:lang w:val="de-DE"/>
        </w:rPr>
        <w:t>nächste</w:t>
      </w:r>
      <w:r w:rsidR="008504B9" w:rsidRPr="00B063F3">
        <w:rPr>
          <w:rFonts w:eastAsia="Calibri" w:cs="Arial"/>
          <w:strike/>
          <w:snapToGrid w:val="0"/>
          <w:highlight w:val="lightGray"/>
          <w:lang w:val="de-DE"/>
        </w:rPr>
        <w:t xml:space="preserve"> </w:t>
      </w:r>
      <w:r w:rsidR="008504B9" w:rsidRPr="00B063F3">
        <w:rPr>
          <w:rFonts w:eastAsia="Calibri" w:cs="Arial"/>
          <w:snapToGrid w:val="0"/>
          <w:highlight w:val="lightGray"/>
          <w:u w:val="single"/>
          <w:lang w:val="de-DE"/>
        </w:rPr>
        <w:t>nahe</w:t>
      </w:r>
      <w:r w:rsidRPr="00B063F3">
        <w:rPr>
          <w:rFonts w:eastAsia="Calibri" w:cs="Arial"/>
          <w:snapToGrid w:val="0"/>
          <w:lang w:val="de-DE"/>
        </w:rPr>
        <w:t xml:space="preserve"> Sorte in der Anbauprüfung festgestellt werden“ vermerkt werden</w:t>
      </w:r>
      <w:r w:rsidR="0060633E" w:rsidRPr="00B063F3">
        <w:rPr>
          <w:rFonts w:eastAsia="Calibri" w:cs="Arial"/>
          <w:snapToGrid w:val="0"/>
          <w:lang w:val="de-DE"/>
        </w:rPr>
        <w:t>.</w:t>
      </w:r>
    </w:p>
    <w:p w14:paraId="67D3847A" w14:textId="77777777" w:rsidR="000E2BED" w:rsidRPr="00B140F2" w:rsidRDefault="000E2BED" w:rsidP="00BD4986">
      <w:pPr>
        <w:rPr>
          <w:lang w:val="de-DE"/>
        </w:rPr>
      </w:pPr>
    </w:p>
    <w:p w14:paraId="388E3C00" w14:textId="108DFC3E" w:rsidR="00214329" w:rsidRPr="00B140F2" w:rsidRDefault="0060633E" w:rsidP="00BD4986">
      <w:pPr>
        <w:rPr>
          <w:rFonts w:eastAsia="Calibri" w:cs="Arial"/>
          <w:snapToGrid w:val="0"/>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Calibri" w:cs="Arial"/>
          <w:snapToGrid w:val="0"/>
          <w:lang w:val="de-DE"/>
        </w:rPr>
        <w:t xml:space="preserve">Die TWA </w:t>
      </w:r>
      <w:r w:rsidR="004270B1">
        <w:rPr>
          <w:rFonts w:eastAsia="Calibri" w:cs="Arial"/>
          <w:snapToGrid w:val="0"/>
          <w:lang w:val="de-DE"/>
        </w:rPr>
        <w:t>stimmte</w:t>
      </w:r>
      <w:r w:rsidRPr="00B140F2">
        <w:rPr>
          <w:rFonts w:eastAsia="Calibri" w:cs="Arial"/>
          <w:snapToGrid w:val="0"/>
          <w:lang w:val="de-DE"/>
        </w:rPr>
        <w:t xml:space="preserve"> der TWO</w:t>
      </w:r>
      <w:r w:rsidR="004270B1">
        <w:rPr>
          <w:rFonts w:eastAsia="Calibri" w:cs="Arial"/>
          <w:snapToGrid w:val="0"/>
          <w:lang w:val="de-DE"/>
        </w:rPr>
        <w:t xml:space="preserve"> zu</w:t>
      </w:r>
      <w:r w:rsidRPr="00B140F2">
        <w:rPr>
          <w:rFonts w:eastAsia="Calibri" w:cs="Arial"/>
          <w:snapToGrid w:val="0"/>
          <w:lang w:val="de-DE"/>
        </w:rPr>
        <w:t xml:space="preserve">, </w:t>
      </w:r>
      <w:r w:rsidR="00350639" w:rsidRPr="00B140F2">
        <w:rPr>
          <w:rFonts w:eastAsia="Calibri" w:cs="Arial"/>
          <w:snapToGrid w:val="0"/>
          <w:lang w:val="de-DE"/>
        </w:rPr>
        <w:t xml:space="preserve">dass </w:t>
      </w:r>
      <w:r w:rsidRPr="00B140F2">
        <w:rPr>
          <w:rFonts w:eastAsia="Calibri" w:cs="Arial"/>
          <w:snapToGrid w:val="0"/>
          <w:lang w:val="de-DE"/>
        </w:rPr>
        <w:t xml:space="preserve">Punkt 16 </w:t>
      </w:r>
      <w:r w:rsidR="001C4FD6" w:rsidRPr="00B140F2">
        <w:rPr>
          <w:rFonts w:eastAsia="Calibri" w:cs="Arial"/>
          <w:snapToGrid w:val="0"/>
          <w:lang w:val="de-DE"/>
        </w:rPr>
        <w:t>„</w:t>
      </w:r>
      <w:r w:rsidR="00FE23CD" w:rsidRPr="00B140F2">
        <w:rPr>
          <w:rFonts w:eastAsia="Calibri" w:cs="Arial"/>
          <w:snapToGrid w:val="0"/>
          <w:lang w:val="de-DE"/>
        </w:rPr>
        <w:t>Ähnliche Sorten und Unterschiede zu diesen Sorten</w:t>
      </w:r>
      <w:r w:rsidR="001C4FD6" w:rsidRPr="00B140F2">
        <w:rPr>
          <w:rFonts w:eastAsia="Calibri" w:cs="Arial"/>
          <w:snapToGrid w:val="0"/>
          <w:lang w:val="de-DE"/>
        </w:rPr>
        <w:t>“</w:t>
      </w:r>
      <w:r w:rsidRPr="00B140F2">
        <w:rPr>
          <w:rFonts w:eastAsia="Calibri" w:cs="Arial"/>
          <w:snapToGrid w:val="0"/>
          <w:lang w:val="de-DE"/>
        </w:rPr>
        <w:t xml:space="preserve"> in den Sortenbeschreibungen nicht unbeantwortet bleiben sollte.</w:t>
      </w:r>
    </w:p>
    <w:p w14:paraId="43A09342" w14:textId="77777777" w:rsidR="00030D7E" w:rsidRPr="00B140F2" w:rsidRDefault="00030D7E" w:rsidP="00BD4986">
      <w:pPr>
        <w:rPr>
          <w:lang w:val="de-DE"/>
        </w:rPr>
      </w:pPr>
    </w:p>
    <w:p w14:paraId="023E1ADB" w14:textId="32128B0D"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48204F" w:rsidRPr="00B140F2">
        <w:rPr>
          <w:lang w:val="de-DE"/>
        </w:rPr>
        <w:t xml:space="preserve">Die TWF </w:t>
      </w:r>
      <w:r w:rsidR="004270B1">
        <w:rPr>
          <w:rFonts w:eastAsia="Calibri" w:cs="Arial"/>
          <w:snapToGrid w:val="0"/>
          <w:lang w:val="de-DE"/>
        </w:rPr>
        <w:t>stimmte</w:t>
      </w:r>
      <w:r w:rsidR="004270B1" w:rsidRPr="00B140F2">
        <w:rPr>
          <w:rFonts w:eastAsia="Calibri" w:cs="Arial"/>
          <w:snapToGrid w:val="0"/>
          <w:lang w:val="de-DE"/>
        </w:rPr>
        <w:t xml:space="preserve"> </w:t>
      </w:r>
      <w:r w:rsidR="0048204F" w:rsidRPr="00B140F2">
        <w:rPr>
          <w:lang w:val="de-DE"/>
        </w:rPr>
        <w:t>der TWA</w:t>
      </w:r>
      <w:r w:rsidR="004270B1">
        <w:rPr>
          <w:lang w:val="de-DE"/>
        </w:rPr>
        <w:t xml:space="preserve"> zu</w:t>
      </w:r>
      <w:r w:rsidR="0048204F" w:rsidRPr="00B140F2">
        <w:rPr>
          <w:lang w:val="de-DE"/>
        </w:rPr>
        <w:t xml:space="preserve">, </w:t>
      </w:r>
      <w:r w:rsidR="00350639" w:rsidRPr="00B140F2">
        <w:rPr>
          <w:lang w:val="de-DE"/>
        </w:rPr>
        <w:t xml:space="preserve">dass </w:t>
      </w:r>
      <w:r w:rsidRPr="00B140F2">
        <w:rPr>
          <w:lang w:val="de-DE"/>
        </w:rPr>
        <w:t xml:space="preserve">die erste vorgeschlagene zusätzliche Erläuterung zu Punkt 16 lauten sollte: </w:t>
      </w:r>
    </w:p>
    <w:p w14:paraId="2398E8CD" w14:textId="77777777" w:rsidR="00030D7E" w:rsidRPr="00B140F2" w:rsidRDefault="00030D7E" w:rsidP="00BD4986">
      <w:pPr>
        <w:rPr>
          <w:lang w:val="de-DE"/>
        </w:rPr>
      </w:pPr>
    </w:p>
    <w:p w14:paraId="3C27BE84" w14:textId="63FD487C" w:rsidR="00214329" w:rsidRPr="008B06C5" w:rsidRDefault="001C4FD6" w:rsidP="00BD4986">
      <w:pPr>
        <w:ind w:left="567" w:right="567"/>
        <w:rPr>
          <w:lang w:val="de-DE"/>
        </w:rPr>
      </w:pPr>
      <w:r w:rsidRPr="008B06C5">
        <w:rPr>
          <w:lang w:val="de-DE"/>
        </w:rPr>
        <w:t>„</w:t>
      </w:r>
      <w:bookmarkStart w:id="50" w:name="_Hlk176373631"/>
      <w:r w:rsidR="0060633E" w:rsidRPr="008B06C5">
        <w:rPr>
          <w:lang w:val="de-DE"/>
        </w:rPr>
        <w:t xml:space="preserve">Eine ähnliche Sorte/Sorten sollte(n) angegeben werden. Wenn keine ähnliche Sorte identifiziert wurde, sollte </w:t>
      </w:r>
      <w:r w:rsidR="00FE6DA3" w:rsidRPr="008B06C5">
        <w:rPr>
          <w:lang w:val="de-DE"/>
        </w:rPr>
        <w:t>‚</w:t>
      </w:r>
      <w:r w:rsidR="0060633E" w:rsidRPr="008B06C5">
        <w:rPr>
          <w:lang w:val="de-DE"/>
        </w:rPr>
        <w:t>keine</w:t>
      </w:r>
      <w:r w:rsidR="00FE6DA3" w:rsidRPr="008B06C5">
        <w:rPr>
          <w:lang w:val="de-DE"/>
        </w:rPr>
        <w:t>‘</w:t>
      </w:r>
      <w:r w:rsidR="0060633E" w:rsidRPr="008B06C5">
        <w:rPr>
          <w:lang w:val="de-DE"/>
        </w:rPr>
        <w:t xml:space="preserve"> angegeben werden</w:t>
      </w:r>
      <w:bookmarkEnd w:id="50"/>
      <w:r w:rsidR="0060633E" w:rsidRPr="008B06C5">
        <w:rPr>
          <w:lang w:val="de-DE"/>
        </w:rPr>
        <w:t>.</w:t>
      </w:r>
      <w:r w:rsidR="00D203CD">
        <w:rPr>
          <w:lang w:val="de-DE"/>
        </w:rPr>
        <w:t>“</w:t>
      </w:r>
    </w:p>
    <w:p w14:paraId="5BC4A7B7" w14:textId="77777777" w:rsidR="00030D7E" w:rsidRPr="008B06C5" w:rsidRDefault="00030D7E" w:rsidP="00BD4986">
      <w:pPr>
        <w:pStyle w:val="EndnoteText"/>
        <w:rPr>
          <w:lang w:val="de-DE"/>
        </w:rPr>
      </w:pPr>
    </w:p>
    <w:p w14:paraId="2263088D" w14:textId="637AA12A" w:rsidR="00214329" w:rsidRPr="008B06C5" w:rsidRDefault="0060633E" w:rsidP="00BD4986">
      <w:pPr>
        <w:pStyle w:val="EndnoteText"/>
        <w:rPr>
          <w:lang w:val="de-DE"/>
        </w:rPr>
      </w:pPr>
      <w:r w:rsidRPr="008B06C5">
        <w:rPr>
          <w:lang w:val="de-DE"/>
        </w:rPr>
        <w:fldChar w:fldCharType="begin"/>
      </w:r>
      <w:r w:rsidRPr="008B06C5">
        <w:rPr>
          <w:lang w:val="de-DE"/>
        </w:rPr>
        <w:instrText xml:space="preserve"> LISTNUM  LegalDefault \l 1 </w:instrText>
      </w:r>
      <w:r w:rsidRPr="008B06C5">
        <w:rPr>
          <w:lang w:val="de-DE"/>
        </w:rPr>
        <w:fldChar w:fldCharType="end"/>
      </w:r>
      <w:r w:rsidRPr="008B06C5">
        <w:rPr>
          <w:lang w:val="de-DE"/>
        </w:rPr>
        <w:tab/>
        <w:t xml:space="preserve">Die TWO erinnerte daran, </w:t>
      </w:r>
      <w:r w:rsidR="00350639" w:rsidRPr="008B06C5">
        <w:rPr>
          <w:lang w:val="de-DE"/>
        </w:rPr>
        <w:t xml:space="preserve">dass </w:t>
      </w:r>
      <w:r w:rsidRPr="008B06C5">
        <w:rPr>
          <w:lang w:val="de-DE"/>
        </w:rPr>
        <w:t xml:space="preserve">die derzeitige Erläuterung in Abschnitt 16, Absatz 2, folgendes vorsehe </w:t>
      </w:r>
    </w:p>
    <w:p w14:paraId="4C4BC05F" w14:textId="77777777" w:rsidR="00030D7E" w:rsidRPr="008B06C5" w:rsidRDefault="00030D7E" w:rsidP="00BD4986">
      <w:pPr>
        <w:pStyle w:val="EndnoteText"/>
        <w:rPr>
          <w:lang w:val="de-DE"/>
        </w:rPr>
      </w:pPr>
    </w:p>
    <w:p w14:paraId="111FCA5E" w14:textId="2266911D" w:rsidR="00214329" w:rsidRPr="00B140F2" w:rsidRDefault="001C4FD6" w:rsidP="00BD4986">
      <w:pPr>
        <w:pStyle w:val="EndnoteText"/>
        <w:ind w:left="567" w:right="567"/>
        <w:rPr>
          <w:lang w:val="de-DE"/>
        </w:rPr>
      </w:pPr>
      <w:r w:rsidRPr="008B06C5">
        <w:rPr>
          <w:lang w:val="de-DE"/>
        </w:rPr>
        <w:t>„</w:t>
      </w:r>
      <w:r w:rsidR="0060633E" w:rsidRPr="008B06C5">
        <w:rPr>
          <w:lang w:val="de-DE"/>
        </w:rPr>
        <w:t xml:space="preserve">2) </w:t>
      </w:r>
      <w:r w:rsidR="0060633E" w:rsidRPr="008B06C5">
        <w:rPr>
          <w:lang w:val="de-DE"/>
        </w:rPr>
        <w:tab/>
      </w:r>
      <w:r w:rsidR="00C417D0" w:rsidRPr="008B06C5">
        <w:rPr>
          <w:lang w:val="de-DE"/>
        </w:rPr>
        <w:t xml:space="preserve">Die Ausprägungsstufen der Kandidatensorte(n) und der ähnlichen Sorte(n) beziehen sich auf die DUS-Prüfung, die an der Prüfungsstation, dem Prüfungsort </w:t>
      </w:r>
      <w:r w:rsidR="007B6206" w:rsidRPr="008B06C5">
        <w:rPr>
          <w:lang w:val="de-DE"/>
        </w:rPr>
        <w:t xml:space="preserve">und -Einrichtung(en) </w:t>
      </w:r>
      <w:r w:rsidR="00C417D0" w:rsidRPr="008B06C5">
        <w:rPr>
          <w:lang w:val="de-DE"/>
        </w:rPr>
        <w:t xml:space="preserve">und der Prüfungsperiode, die unter den Punkten 11 </w:t>
      </w:r>
      <w:r w:rsidR="00563078">
        <w:rPr>
          <w:lang w:val="de-DE"/>
        </w:rPr>
        <w:t>[</w:t>
      </w:r>
      <w:r w:rsidR="00563078" w:rsidRPr="008B06C5">
        <w:rPr>
          <w:lang w:val="de-DE"/>
        </w:rPr>
        <w:t>Prüfungs</w:t>
      </w:r>
      <w:r w:rsidR="007D4ADD">
        <w:rPr>
          <w:lang w:val="de-DE"/>
        </w:rPr>
        <w:t>einrichtung(en) und</w:t>
      </w:r>
      <w:r w:rsidR="00563078" w:rsidRPr="008B06C5">
        <w:rPr>
          <w:lang w:val="de-DE"/>
        </w:rPr>
        <w:t xml:space="preserve"> Prüfungsort</w:t>
      </w:r>
      <w:r w:rsidR="00A23724">
        <w:rPr>
          <w:lang w:val="de-DE"/>
        </w:rPr>
        <w:t>(e)</w:t>
      </w:r>
      <w:r w:rsidR="00563078">
        <w:rPr>
          <w:lang w:val="de-DE"/>
        </w:rPr>
        <w:t>]</w:t>
      </w:r>
      <w:r w:rsidR="00563078" w:rsidRPr="008B06C5">
        <w:rPr>
          <w:lang w:val="de-DE"/>
        </w:rPr>
        <w:t xml:space="preserve"> </w:t>
      </w:r>
      <w:r w:rsidR="00C417D0" w:rsidRPr="008B06C5">
        <w:rPr>
          <w:lang w:val="de-DE"/>
        </w:rPr>
        <w:t>und 12</w:t>
      </w:r>
      <w:r w:rsidR="007D4ADD">
        <w:rPr>
          <w:lang w:val="de-DE"/>
        </w:rPr>
        <w:t xml:space="preserve"> [</w:t>
      </w:r>
      <w:r w:rsidR="007D4ADD" w:rsidRPr="008B06C5">
        <w:rPr>
          <w:lang w:val="de-DE"/>
        </w:rPr>
        <w:t>Prüfungsperiode</w:t>
      </w:r>
      <w:r w:rsidR="007D4ADD">
        <w:rPr>
          <w:lang w:val="de-DE"/>
        </w:rPr>
        <w:t>]</w:t>
      </w:r>
      <w:r w:rsidR="00C417D0" w:rsidRPr="008B06C5">
        <w:rPr>
          <w:lang w:val="de-DE"/>
        </w:rPr>
        <w:t xml:space="preserve"> aufgeführt sind, durchgeführt wurden</w:t>
      </w:r>
      <w:r w:rsidR="0060633E" w:rsidRPr="008B06C5">
        <w:rPr>
          <w:rFonts w:cs="Arial"/>
          <w:lang w:val="de-DE"/>
        </w:rPr>
        <w:t>.</w:t>
      </w:r>
      <w:r w:rsidRPr="008B06C5">
        <w:rPr>
          <w:rFonts w:cs="Arial"/>
          <w:lang w:val="de-DE"/>
        </w:rPr>
        <w:t>“</w:t>
      </w:r>
    </w:p>
    <w:p w14:paraId="0BA32110" w14:textId="77777777" w:rsidR="00030D7E" w:rsidRPr="00B140F2" w:rsidRDefault="00030D7E" w:rsidP="00BD4986">
      <w:pPr>
        <w:pStyle w:val="EndnoteText"/>
        <w:rPr>
          <w:lang w:val="de-DE"/>
        </w:rPr>
      </w:pPr>
    </w:p>
    <w:p w14:paraId="0C381D09" w14:textId="442C03FD" w:rsidR="00214329" w:rsidRPr="00B140F2" w:rsidRDefault="0060633E" w:rsidP="00BD4986">
      <w:pPr>
        <w:pStyle w:val="EndnoteText"/>
        <w:rPr>
          <w:lang w:val="de-DE"/>
        </w:rPr>
      </w:pPr>
      <w:r w:rsidRPr="00E83514">
        <w:rPr>
          <w:lang w:val="de-DE"/>
        </w:rPr>
        <w:lastRenderedPageBreak/>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TWO vereinbarte, </w:t>
      </w:r>
      <w:r w:rsidR="00350639" w:rsidRPr="00B140F2">
        <w:rPr>
          <w:lang w:val="de-DE"/>
        </w:rPr>
        <w:t xml:space="preserve">dass </w:t>
      </w:r>
      <w:r w:rsidRPr="00B140F2">
        <w:rPr>
          <w:lang w:val="de-DE"/>
        </w:rPr>
        <w:t xml:space="preserve">die folgende vorgeschlagene Erläuterung im zweiten Aufzählungspunkt nicht in die Anleitung aufgenommen werden sollte, da sie </w:t>
      </w:r>
      <w:r w:rsidR="004270B1">
        <w:rPr>
          <w:lang w:val="de-DE"/>
        </w:rPr>
        <w:t>in Bezug</w:t>
      </w:r>
      <w:r w:rsidRPr="00B140F2">
        <w:rPr>
          <w:lang w:val="de-DE"/>
        </w:rPr>
        <w:t xml:space="preserve"> auf Sorten, die nicht in derselben Anbauprüfung angebaut werden, Verwirrung stiften könnte:</w:t>
      </w:r>
    </w:p>
    <w:p w14:paraId="5FBE9AEA" w14:textId="77777777" w:rsidR="00030D7E" w:rsidRPr="00B140F2" w:rsidRDefault="00030D7E" w:rsidP="00BD4986">
      <w:pPr>
        <w:rPr>
          <w:lang w:val="de-DE"/>
        </w:rPr>
      </w:pPr>
    </w:p>
    <w:p w14:paraId="2E49E923" w14:textId="5354C5BF" w:rsidR="00214329" w:rsidRPr="00D870D5" w:rsidRDefault="001C4FD6" w:rsidP="00D870D5">
      <w:pPr>
        <w:pStyle w:val="ListParagraph"/>
        <w:numPr>
          <w:ilvl w:val="0"/>
          <w:numId w:val="6"/>
        </w:numPr>
        <w:tabs>
          <w:tab w:val="left" w:pos="851"/>
        </w:tabs>
        <w:rPr>
          <w:lang w:val="de-DE"/>
        </w:rPr>
      </w:pPr>
      <w:r w:rsidRPr="00D870D5">
        <w:rPr>
          <w:lang w:val="de-DE"/>
        </w:rPr>
        <w:t>„</w:t>
      </w:r>
      <w:r w:rsidR="0060633E" w:rsidRPr="00D870D5">
        <w:rPr>
          <w:lang w:val="de-DE"/>
        </w:rPr>
        <w:t xml:space="preserve">Nur Sorten, die unter denselben Anbaubedingungen wie die Kandidatensorte geprüft </w:t>
      </w:r>
      <w:r w:rsidR="004A29AF" w:rsidRPr="00D870D5">
        <w:rPr>
          <w:lang w:val="de-DE"/>
        </w:rPr>
        <w:t>wurden</w:t>
      </w:r>
      <w:r w:rsidRPr="00D870D5">
        <w:rPr>
          <w:lang w:val="de-DE"/>
        </w:rPr>
        <w:t>“</w:t>
      </w:r>
    </w:p>
    <w:p w14:paraId="6481AD4B" w14:textId="77777777" w:rsidR="00601EFE" w:rsidRPr="00B140F2" w:rsidRDefault="00601EFE" w:rsidP="00BD4986">
      <w:pPr>
        <w:rPr>
          <w:rFonts w:eastAsiaTheme="minorEastAsia"/>
          <w:lang w:val="de-DE"/>
        </w:rPr>
      </w:pPr>
    </w:p>
    <w:p w14:paraId="5DE1FE52" w14:textId="1112FA8D" w:rsidR="00214329" w:rsidRPr="00B140F2" w:rsidRDefault="0060633E" w:rsidP="00BD4986">
      <w:pPr>
        <w:pStyle w:val="EndnoteText"/>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TWF vereinbarte, </w:t>
      </w:r>
      <w:r w:rsidR="00350639" w:rsidRPr="00B140F2">
        <w:rPr>
          <w:lang w:val="de-DE"/>
        </w:rPr>
        <w:t xml:space="preserve">dass </w:t>
      </w:r>
      <w:r w:rsidRPr="00B140F2">
        <w:rPr>
          <w:lang w:val="de-DE"/>
        </w:rPr>
        <w:t>die in der zweiten vorgeschlagenen zusätzlichen Erläuterung beschriebene Situation bereits in Abschnitt 16, Absatz 2 behandelt werde und nicht in die Anleitung aufgenommen werden sollte.</w:t>
      </w:r>
    </w:p>
    <w:p w14:paraId="41E67518" w14:textId="77777777" w:rsidR="00030D7E" w:rsidRPr="00B140F2" w:rsidRDefault="00030D7E" w:rsidP="00BD4986">
      <w:pPr>
        <w:rPr>
          <w:lang w:val="de-DE"/>
        </w:rPr>
      </w:pPr>
    </w:p>
    <w:p w14:paraId="4126E360" w14:textId="4DCD5E46" w:rsidR="00214329" w:rsidRPr="00FD7240" w:rsidRDefault="0060633E" w:rsidP="00BD4986">
      <w:pPr>
        <w:rPr>
          <w:lang w:val="de-DE"/>
        </w:rPr>
      </w:pPr>
      <w:r w:rsidRPr="00FD7240">
        <w:rPr>
          <w:lang w:val="de-DE"/>
        </w:rPr>
        <w:fldChar w:fldCharType="begin"/>
      </w:r>
      <w:r w:rsidRPr="00FD7240">
        <w:rPr>
          <w:lang w:val="de-DE"/>
        </w:rPr>
        <w:instrText xml:space="preserve"> LISTNUM  LegalDefault \l 1 </w:instrText>
      </w:r>
      <w:r w:rsidRPr="00FD7240">
        <w:rPr>
          <w:lang w:val="de-DE"/>
        </w:rPr>
        <w:fldChar w:fldCharType="end"/>
      </w:r>
      <w:r w:rsidRPr="00FD7240">
        <w:rPr>
          <w:lang w:val="de-DE"/>
        </w:rPr>
        <w:tab/>
        <w:t xml:space="preserve">Die TWO vereinbarte, </w:t>
      </w:r>
      <w:r w:rsidR="00350639" w:rsidRPr="00FD7240">
        <w:rPr>
          <w:lang w:val="de-DE"/>
        </w:rPr>
        <w:t xml:space="preserve">dass </w:t>
      </w:r>
      <w:r w:rsidRPr="00FD7240">
        <w:rPr>
          <w:lang w:val="de-DE"/>
        </w:rPr>
        <w:t xml:space="preserve">der Wortlaut des dritten Aufzählungspunkts verbessert werden sollte, um zu erläutern, </w:t>
      </w:r>
      <w:r w:rsidR="00350639" w:rsidRPr="00FD7240">
        <w:rPr>
          <w:lang w:val="de-DE"/>
        </w:rPr>
        <w:t xml:space="preserve">dass </w:t>
      </w:r>
      <w:r w:rsidR="001C4FD6" w:rsidRPr="00FD7240">
        <w:rPr>
          <w:lang w:val="de-DE"/>
        </w:rPr>
        <w:t>„</w:t>
      </w:r>
      <w:r w:rsidRPr="00FD7240">
        <w:rPr>
          <w:lang w:val="de-DE"/>
        </w:rPr>
        <w:t>Informationen über die der Kandidatensorte am nächst(n) ähnliche(n) Sorte(n)</w:t>
      </w:r>
      <w:r w:rsidR="00A23724">
        <w:rPr>
          <w:lang w:val="de-DE"/>
        </w:rPr>
        <w:t>“</w:t>
      </w:r>
      <w:r w:rsidR="00754334" w:rsidRPr="00FD7240">
        <w:rPr>
          <w:lang w:val="de-DE"/>
        </w:rPr>
        <w:t xml:space="preserve"> </w:t>
      </w:r>
      <w:r w:rsidRPr="00FD7240">
        <w:rPr>
          <w:lang w:val="de-DE"/>
        </w:rPr>
        <w:t xml:space="preserve">anstelle von </w:t>
      </w:r>
      <w:r w:rsidR="001C4FD6" w:rsidRPr="00FD7240">
        <w:rPr>
          <w:lang w:val="de-DE"/>
        </w:rPr>
        <w:t>„</w:t>
      </w:r>
      <w:r w:rsidR="004270B1" w:rsidRPr="00FD7240">
        <w:rPr>
          <w:lang w:val="de-DE"/>
        </w:rPr>
        <w:t>Sorten, die die wenigsten Merkmalsunterschiede gegenüber der Kandidatensorte aufweisen</w:t>
      </w:r>
      <w:r w:rsidR="001C4FD6" w:rsidRPr="00FD7240">
        <w:rPr>
          <w:lang w:val="de-DE"/>
        </w:rPr>
        <w:t>“</w:t>
      </w:r>
      <w:r w:rsidRPr="00FD7240">
        <w:rPr>
          <w:lang w:val="de-DE"/>
        </w:rPr>
        <w:t xml:space="preserve"> </w:t>
      </w:r>
      <w:r w:rsidR="00A23724">
        <w:rPr>
          <w:lang w:val="de-DE"/>
        </w:rPr>
        <w:t>angegeben</w:t>
      </w:r>
      <w:r w:rsidRPr="00FD7240">
        <w:rPr>
          <w:lang w:val="de-DE"/>
        </w:rPr>
        <w:t xml:space="preserve"> werden sollten. </w:t>
      </w:r>
    </w:p>
    <w:p w14:paraId="0BEDA28F" w14:textId="77777777" w:rsidR="00030D7E" w:rsidRPr="00FD7240" w:rsidRDefault="00030D7E" w:rsidP="00BD4986">
      <w:pPr>
        <w:rPr>
          <w:lang w:val="de-DE"/>
        </w:rPr>
      </w:pPr>
    </w:p>
    <w:p w14:paraId="368202C5" w14:textId="3CCD1929" w:rsidR="00214329" w:rsidRPr="00FD7240" w:rsidRDefault="0060633E" w:rsidP="00BD4986">
      <w:pPr>
        <w:rPr>
          <w:lang w:val="de-DE"/>
        </w:rPr>
      </w:pPr>
      <w:r w:rsidRPr="00FD7240">
        <w:rPr>
          <w:lang w:val="de-DE"/>
        </w:rPr>
        <w:fldChar w:fldCharType="begin"/>
      </w:r>
      <w:r w:rsidRPr="00FD7240">
        <w:rPr>
          <w:lang w:val="de-DE"/>
        </w:rPr>
        <w:instrText xml:space="preserve"> LISTNUM  LegalDefault \l 1 </w:instrText>
      </w:r>
      <w:r w:rsidRPr="00FD7240">
        <w:rPr>
          <w:lang w:val="de-DE"/>
        </w:rPr>
        <w:fldChar w:fldCharType="end"/>
      </w:r>
      <w:r w:rsidRPr="00FD7240">
        <w:rPr>
          <w:lang w:val="de-DE"/>
        </w:rPr>
        <w:tab/>
        <w:t xml:space="preserve">Die TWO vereinbarte, </w:t>
      </w:r>
      <w:r w:rsidR="00350639" w:rsidRPr="00FD7240">
        <w:rPr>
          <w:lang w:val="de-DE"/>
        </w:rPr>
        <w:t xml:space="preserve">dass </w:t>
      </w:r>
      <w:r w:rsidRPr="00FD7240">
        <w:rPr>
          <w:lang w:val="de-DE"/>
        </w:rPr>
        <w:t xml:space="preserve">die unter Punkt 16 erteilten Informationen die relevantesten Merkmale auflisten sollten, </w:t>
      </w:r>
      <w:r w:rsidR="004270B1" w:rsidRPr="00FD7240">
        <w:rPr>
          <w:lang w:val="de-DE"/>
        </w:rPr>
        <w:t xml:space="preserve">in </w:t>
      </w:r>
      <w:r w:rsidRPr="00FD7240">
        <w:rPr>
          <w:lang w:val="de-DE"/>
        </w:rPr>
        <w:t>denen sich die Kandidatensorte von den ähnlichsten Sorten unterscheidet.</w:t>
      </w:r>
      <w:r w:rsidR="00FE0BFC" w:rsidRPr="00FD7240">
        <w:rPr>
          <w:lang w:val="de-DE"/>
        </w:rPr>
        <w:t xml:space="preserve"> </w:t>
      </w:r>
      <w:r w:rsidRPr="00FD7240">
        <w:rPr>
          <w:lang w:val="de-DE"/>
        </w:rPr>
        <w:t xml:space="preserve">Die TWO vereinbarte, </w:t>
      </w:r>
      <w:r w:rsidR="00350639" w:rsidRPr="00FD7240">
        <w:rPr>
          <w:lang w:val="de-DE"/>
        </w:rPr>
        <w:t xml:space="preserve">dass </w:t>
      </w:r>
      <w:r w:rsidRPr="00FD7240">
        <w:rPr>
          <w:lang w:val="de-DE"/>
        </w:rPr>
        <w:t xml:space="preserve">der Vorschlag im letzten Aufzählungspunkt (nachstehend </w:t>
      </w:r>
      <w:r w:rsidR="00C81F85" w:rsidRPr="00FD7240">
        <w:rPr>
          <w:lang w:val="de-DE"/>
        </w:rPr>
        <w:t>dargelegt</w:t>
      </w:r>
      <w:r w:rsidRPr="00FD7240">
        <w:rPr>
          <w:lang w:val="de-DE"/>
        </w:rPr>
        <w:t xml:space="preserve">) nicht in die Anleitung aufgenommen werden sollte, da er zu </w:t>
      </w:r>
      <w:r w:rsidR="008868B2" w:rsidRPr="00FD7240">
        <w:rPr>
          <w:lang w:val="de-DE"/>
        </w:rPr>
        <w:t>komplexen</w:t>
      </w:r>
      <w:r w:rsidRPr="00FD7240">
        <w:rPr>
          <w:lang w:val="de-DE"/>
        </w:rPr>
        <w:t xml:space="preserve"> Listen mit Merkmalen mit nur geringen Unterschieden zwischen der Kandidatensorte und den ähnlichsten Sorten führen könnte.</w:t>
      </w:r>
    </w:p>
    <w:p w14:paraId="34B10999" w14:textId="77777777" w:rsidR="00030D7E" w:rsidRPr="00FD7240" w:rsidRDefault="00030D7E" w:rsidP="00BD4986">
      <w:pPr>
        <w:rPr>
          <w:lang w:val="de-DE"/>
        </w:rPr>
      </w:pPr>
    </w:p>
    <w:p w14:paraId="06C9F7BF" w14:textId="59FB394D" w:rsidR="00214329" w:rsidRPr="00D870D5" w:rsidRDefault="001C4FD6" w:rsidP="00D870D5">
      <w:pPr>
        <w:pStyle w:val="ListParagraph"/>
        <w:numPr>
          <w:ilvl w:val="0"/>
          <w:numId w:val="6"/>
        </w:numPr>
        <w:tabs>
          <w:tab w:val="left" w:pos="851"/>
        </w:tabs>
        <w:rPr>
          <w:lang w:val="de-DE"/>
        </w:rPr>
      </w:pPr>
      <w:r w:rsidRPr="00D870D5">
        <w:rPr>
          <w:lang w:val="de-DE"/>
        </w:rPr>
        <w:t>„</w:t>
      </w:r>
      <w:r w:rsidR="004270B1" w:rsidRPr="00D870D5">
        <w:rPr>
          <w:lang w:val="de-DE"/>
        </w:rPr>
        <w:t>Alle Merkmale werden gleich bewertet, wobei für jede ähnliche Sorte alle Merkmale für die Unterscheidbarkeit zu beinhalten sind</w:t>
      </w:r>
      <w:r w:rsidRPr="00D870D5">
        <w:rPr>
          <w:lang w:val="de-DE"/>
        </w:rPr>
        <w:t>“</w:t>
      </w:r>
      <w:r w:rsidR="0060633E" w:rsidRPr="00D870D5">
        <w:rPr>
          <w:lang w:val="de-DE"/>
        </w:rPr>
        <w:t>.</w:t>
      </w:r>
    </w:p>
    <w:p w14:paraId="0D32009B" w14:textId="77777777" w:rsidR="00030D7E" w:rsidRPr="00D870D5" w:rsidRDefault="00030D7E" w:rsidP="00BD4986">
      <w:pPr>
        <w:rPr>
          <w:rFonts w:eastAsiaTheme="minorEastAsia"/>
          <w:lang w:val="de-DE"/>
        </w:rPr>
      </w:pPr>
    </w:p>
    <w:p w14:paraId="524DDFD9" w14:textId="41955579" w:rsidR="00214329" w:rsidRPr="00FD7240" w:rsidRDefault="0060633E" w:rsidP="00BD4986">
      <w:pPr>
        <w:pStyle w:val="EndnoteText"/>
        <w:rPr>
          <w:lang w:val="de-DE"/>
        </w:rPr>
      </w:pPr>
      <w:r w:rsidRPr="00FD7240">
        <w:rPr>
          <w:lang w:val="de-DE"/>
        </w:rPr>
        <w:fldChar w:fldCharType="begin"/>
      </w:r>
      <w:r w:rsidRPr="00FD7240">
        <w:rPr>
          <w:lang w:val="de-DE"/>
        </w:rPr>
        <w:instrText xml:space="preserve"> LISTNUM  LegalDefault \l 1 </w:instrText>
      </w:r>
      <w:r w:rsidRPr="00FD7240">
        <w:rPr>
          <w:lang w:val="de-DE"/>
        </w:rPr>
        <w:fldChar w:fldCharType="end"/>
      </w:r>
      <w:r w:rsidRPr="00FD7240">
        <w:rPr>
          <w:lang w:val="de-DE"/>
        </w:rPr>
        <w:tab/>
        <w:t xml:space="preserve">Die TWA vereinbarte, </w:t>
      </w:r>
      <w:r w:rsidR="00350639" w:rsidRPr="00FD7240">
        <w:rPr>
          <w:lang w:val="de-DE"/>
        </w:rPr>
        <w:t xml:space="preserve">dass </w:t>
      </w:r>
      <w:r w:rsidRPr="00FD7240">
        <w:rPr>
          <w:lang w:val="de-DE"/>
        </w:rPr>
        <w:t>die zweite und dritte vorgeschlagene zusätzliche Erläuterung nicht in die Anleitung aufgenommen werden sollten.</w:t>
      </w:r>
      <w:r w:rsidR="00FE0BFC" w:rsidRPr="00FD7240">
        <w:rPr>
          <w:lang w:val="de-DE"/>
        </w:rPr>
        <w:t xml:space="preserve"> </w:t>
      </w:r>
      <w:r w:rsidRPr="00FD7240">
        <w:rPr>
          <w:lang w:val="de-DE"/>
        </w:rPr>
        <w:t xml:space="preserve">Die TWA vereinbarte, </w:t>
      </w:r>
      <w:r w:rsidR="00350639" w:rsidRPr="00FD7240">
        <w:rPr>
          <w:lang w:val="de-DE"/>
        </w:rPr>
        <w:t xml:space="preserve">dass </w:t>
      </w:r>
      <w:r w:rsidRPr="00FD7240">
        <w:rPr>
          <w:lang w:val="de-DE"/>
        </w:rPr>
        <w:t xml:space="preserve">die letzte vorgeschlagene zusätzliche Erläuterung und der letzte Aufzählungspunkt wie folgt geändert werden sollten: </w:t>
      </w:r>
    </w:p>
    <w:p w14:paraId="109161C0" w14:textId="77777777" w:rsidR="00030D7E" w:rsidRPr="00FD7240" w:rsidRDefault="00030D7E" w:rsidP="00BD4986">
      <w:pPr>
        <w:pStyle w:val="EndnoteText"/>
        <w:rPr>
          <w:lang w:val="de-DE"/>
        </w:rPr>
      </w:pPr>
    </w:p>
    <w:p w14:paraId="345FB507" w14:textId="619FEA01" w:rsidR="00214329" w:rsidRPr="00FD7240" w:rsidRDefault="001C4FD6" w:rsidP="00BD4986">
      <w:pPr>
        <w:pStyle w:val="EndnoteText"/>
        <w:ind w:left="567"/>
        <w:rPr>
          <w:lang w:val="de-DE"/>
        </w:rPr>
      </w:pPr>
      <w:r w:rsidRPr="00FD7240">
        <w:rPr>
          <w:rFonts w:eastAsia="Calibri" w:cs="Arial"/>
          <w:snapToGrid w:val="0"/>
          <w:lang w:val="de-DE"/>
        </w:rPr>
        <w:t>„</w:t>
      </w:r>
      <w:r w:rsidR="0060633E" w:rsidRPr="00FD7240">
        <w:rPr>
          <w:rFonts w:eastAsia="Calibri" w:cs="Arial"/>
          <w:snapToGrid w:val="0"/>
          <w:lang w:val="de-DE"/>
        </w:rPr>
        <w:t>Alle Merkmale, bei denen Unterschiede festgestellt wurden, sollten angegeben werden.</w:t>
      </w:r>
      <w:r w:rsidR="00D203CD">
        <w:rPr>
          <w:rFonts w:eastAsia="Calibri" w:cs="Arial"/>
          <w:snapToGrid w:val="0"/>
          <w:lang w:val="de-DE"/>
        </w:rPr>
        <w:t>“</w:t>
      </w:r>
    </w:p>
    <w:p w14:paraId="56B0A2CF" w14:textId="77777777" w:rsidR="00B13101" w:rsidRPr="00FD7240" w:rsidRDefault="00B13101" w:rsidP="00BD4986">
      <w:pPr>
        <w:rPr>
          <w:lang w:val="de-DE"/>
        </w:rPr>
      </w:pPr>
    </w:p>
    <w:p w14:paraId="5162D429" w14:textId="3B523983" w:rsidR="00214329" w:rsidRPr="00B140F2" w:rsidRDefault="0060633E" w:rsidP="00BD4986">
      <w:pPr>
        <w:rPr>
          <w:lang w:val="de-DE"/>
        </w:rPr>
      </w:pPr>
      <w:r w:rsidRPr="00FD7240">
        <w:rPr>
          <w:lang w:val="de-DE"/>
        </w:rPr>
        <w:fldChar w:fldCharType="begin"/>
      </w:r>
      <w:r w:rsidRPr="00FD7240">
        <w:rPr>
          <w:lang w:val="de-DE"/>
        </w:rPr>
        <w:instrText xml:space="preserve"> LISTNUM  LegalDefault \l 1 </w:instrText>
      </w:r>
      <w:r w:rsidRPr="00FD7240">
        <w:rPr>
          <w:lang w:val="de-DE"/>
        </w:rPr>
        <w:fldChar w:fldCharType="end"/>
      </w:r>
      <w:r w:rsidRPr="00FD7240">
        <w:rPr>
          <w:lang w:val="de-DE"/>
        </w:rPr>
        <w:tab/>
        <w:t xml:space="preserve">Die TWF vereinbarte, </w:t>
      </w:r>
      <w:r w:rsidR="00350639" w:rsidRPr="00FD7240">
        <w:rPr>
          <w:lang w:val="de-DE"/>
        </w:rPr>
        <w:t xml:space="preserve">dass </w:t>
      </w:r>
      <w:r w:rsidRPr="00FD7240">
        <w:rPr>
          <w:lang w:val="de-DE"/>
        </w:rPr>
        <w:t xml:space="preserve">die </w:t>
      </w:r>
      <w:r w:rsidR="004270B1" w:rsidRPr="00FD7240">
        <w:rPr>
          <w:lang w:val="de-DE"/>
        </w:rPr>
        <w:t xml:space="preserve">restlichen </w:t>
      </w:r>
      <w:r w:rsidRPr="00FD7240">
        <w:rPr>
          <w:lang w:val="de-DE"/>
        </w:rPr>
        <w:t xml:space="preserve">zwei vorgeschlagenen zusätzlichen </w:t>
      </w:r>
      <w:r w:rsidR="005B75F4" w:rsidRPr="00FD7240">
        <w:rPr>
          <w:lang w:val="de-DE"/>
        </w:rPr>
        <w:t>Erklärung</w:t>
      </w:r>
      <w:r w:rsidRPr="00FD7240">
        <w:rPr>
          <w:lang w:val="de-DE"/>
        </w:rPr>
        <w:t xml:space="preserve">en durch folgende ersetzt werden sollten: </w:t>
      </w:r>
      <w:r w:rsidR="001C4FD6" w:rsidRPr="00FD7240">
        <w:rPr>
          <w:lang w:val="de-DE"/>
        </w:rPr>
        <w:t>„</w:t>
      </w:r>
      <w:r w:rsidRPr="00FD7240">
        <w:rPr>
          <w:rFonts w:eastAsia="Calibri" w:cs="Arial"/>
          <w:snapToGrid w:val="0"/>
          <w:lang w:val="de-DE"/>
        </w:rPr>
        <w:t xml:space="preserve">Alle Merkmale, die Unterscheidbarkeit zwischen </w:t>
      </w:r>
      <w:r w:rsidRPr="00FD7240">
        <w:rPr>
          <w:lang w:val="de-DE"/>
        </w:rPr>
        <w:t xml:space="preserve">der (den) </w:t>
      </w:r>
      <w:r w:rsidR="00893E31" w:rsidRPr="00FD7240">
        <w:rPr>
          <w:lang w:val="de-DE"/>
        </w:rPr>
        <w:t xml:space="preserve">der Kandidatensorte </w:t>
      </w:r>
      <w:r w:rsidRPr="00FD7240">
        <w:rPr>
          <w:lang w:val="de-DE"/>
        </w:rPr>
        <w:t xml:space="preserve">nächsten/ähnlichen Sorte(n) </w:t>
      </w:r>
      <w:r w:rsidR="00971704">
        <w:rPr>
          <w:rFonts w:eastAsia="Calibri" w:cs="Arial"/>
          <w:snapToGrid w:val="0"/>
          <w:lang w:val="de-DE"/>
        </w:rPr>
        <w:t>schaffen</w:t>
      </w:r>
      <w:r w:rsidRPr="00FD7240">
        <w:rPr>
          <w:lang w:val="de-DE"/>
        </w:rPr>
        <w:t>, sollten angegeben werden.</w:t>
      </w:r>
      <w:r w:rsidR="001C4FD6" w:rsidRPr="00FD7240">
        <w:rPr>
          <w:lang w:val="de-DE"/>
        </w:rPr>
        <w:t>“</w:t>
      </w:r>
    </w:p>
    <w:p w14:paraId="5772177D" w14:textId="77777777" w:rsidR="00DC188B" w:rsidRPr="00B140F2" w:rsidRDefault="00DC188B" w:rsidP="00BD4986">
      <w:pPr>
        <w:rPr>
          <w:lang w:val="de-DE"/>
        </w:rPr>
      </w:pPr>
    </w:p>
    <w:p w14:paraId="4EFBF425" w14:textId="77777777" w:rsidR="00214329" w:rsidRPr="00B140F2" w:rsidRDefault="0060633E" w:rsidP="00BD4986">
      <w:pPr>
        <w:rPr>
          <w:lang w:val="de-DE"/>
        </w:rPr>
      </w:pPr>
      <w:r w:rsidRPr="00B140F2">
        <w:rPr>
          <w:i/>
          <w:iCs/>
          <w:lang w:val="de-DE"/>
        </w:rPr>
        <w:t>Vorschlag</w:t>
      </w:r>
    </w:p>
    <w:p w14:paraId="32D21233" w14:textId="77777777" w:rsidR="00DC188B" w:rsidRPr="00B140F2" w:rsidRDefault="00DC188B" w:rsidP="00BD4986">
      <w:pPr>
        <w:rPr>
          <w:lang w:val="de-DE"/>
        </w:rPr>
      </w:pPr>
    </w:p>
    <w:p w14:paraId="4010F170" w14:textId="4428FC78"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Aufgrund der </w:t>
      </w:r>
      <w:r w:rsidR="007D62E7" w:rsidRPr="00B140F2">
        <w:rPr>
          <w:lang w:val="de-DE"/>
        </w:rPr>
        <w:t>Bemerkungen</w:t>
      </w:r>
      <w:r w:rsidRPr="00B140F2">
        <w:rPr>
          <w:lang w:val="de-DE"/>
        </w:rPr>
        <w:t xml:space="preserve"> der TWP </w:t>
      </w:r>
      <w:r w:rsidR="004270B1" w:rsidRPr="00B140F2">
        <w:rPr>
          <w:lang w:val="de-DE"/>
        </w:rPr>
        <w:t xml:space="preserve">auf </w:t>
      </w:r>
      <w:r w:rsidR="004270B1">
        <w:rPr>
          <w:lang w:val="de-DE"/>
        </w:rPr>
        <w:t>ihren</w:t>
      </w:r>
      <w:r w:rsidR="004270B1" w:rsidRPr="00B140F2">
        <w:rPr>
          <w:lang w:val="de-DE"/>
        </w:rPr>
        <w:t xml:space="preserve"> Tagungen im Jahre 2024 </w:t>
      </w:r>
      <w:r w:rsidRPr="00B140F2">
        <w:rPr>
          <w:lang w:val="de-DE"/>
        </w:rPr>
        <w:t xml:space="preserve">könnte der TC </w:t>
      </w:r>
      <w:r w:rsidR="002D2ADD" w:rsidRPr="00B140F2">
        <w:rPr>
          <w:lang w:val="de-DE"/>
        </w:rPr>
        <w:t>prüfen</w:t>
      </w:r>
      <w:r w:rsidRPr="00B140F2">
        <w:rPr>
          <w:lang w:val="de-DE"/>
        </w:rPr>
        <w:t xml:space="preserve">, </w:t>
      </w:r>
      <w:r w:rsidR="00F0118C" w:rsidRPr="00B140F2">
        <w:rPr>
          <w:lang w:val="de-DE"/>
        </w:rPr>
        <w:t xml:space="preserve">die Erläuterung zu Punkt 16 </w:t>
      </w:r>
      <w:r w:rsidR="001C4FD6" w:rsidRPr="00B140F2">
        <w:rPr>
          <w:lang w:val="de-DE"/>
        </w:rPr>
        <w:t>„</w:t>
      </w:r>
      <w:r w:rsidR="00FE23CD" w:rsidRPr="00B140F2">
        <w:rPr>
          <w:lang w:val="de-DE"/>
        </w:rPr>
        <w:t>Ähnliche Sorten und Unterschiede zu diesen Sorten</w:t>
      </w:r>
      <w:r w:rsidR="001C4FD6" w:rsidRPr="00B140F2">
        <w:rPr>
          <w:lang w:val="de-DE"/>
        </w:rPr>
        <w:t>“</w:t>
      </w:r>
      <w:r w:rsidR="008A24AE" w:rsidRPr="00B140F2">
        <w:rPr>
          <w:lang w:val="de-DE"/>
        </w:rPr>
        <w:t xml:space="preserve"> in </w:t>
      </w:r>
      <w:r w:rsidR="00F0118C" w:rsidRPr="00B140F2">
        <w:rPr>
          <w:lang w:val="de-DE"/>
        </w:rPr>
        <w:t>Dokument TGP/5, Abschnitt 6</w:t>
      </w:r>
      <w:r w:rsidR="00934B68" w:rsidRPr="00B140F2">
        <w:rPr>
          <w:lang w:val="de-DE"/>
        </w:rPr>
        <w:t xml:space="preserve">, </w:t>
      </w:r>
      <w:r w:rsidR="0007491D" w:rsidRPr="00B140F2">
        <w:rPr>
          <w:lang w:val="de-DE"/>
        </w:rPr>
        <w:t xml:space="preserve">wie </w:t>
      </w:r>
      <w:r w:rsidR="00934B68" w:rsidRPr="00B140F2">
        <w:rPr>
          <w:lang w:val="de-DE"/>
        </w:rPr>
        <w:t xml:space="preserve">folgt </w:t>
      </w:r>
      <w:r w:rsidR="00F0118C" w:rsidRPr="00B140F2">
        <w:rPr>
          <w:lang w:val="de-DE"/>
        </w:rPr>
        <w:t xml:space="preserve">zu ändern </w:t>
      </w:r>
      <w:r w:rsidR="00DB1A82" w:rsidRPr="00B140F2">
        <w:rPr>
          <w:lang w:val="de-DE"/>
        </w:rPr>
        <w:t>(</w:t>
      </w:r>
      <w:r w:rsidR="004270B1">
        <w:rPr>
          <w:lang w:val="de-DE"/>
        </w:rPr>
        <w:t>Zusätze</w:t>
      </w:r>
      <w:r w:rsidR="004270B1" w:rsidRPr="00B140F2">
        <w:rPr>
          <w:lang w:val="de-DE"/>
        </w:rPr>
        <w:t xml:space="preserve"> </w:t>
      </w:r>
      <w:r w:rsidR="00DB1A82" w:rsidRPr="00B140F2">
        <w:rPr>
          <w:lang w:val="de-DE"/>
        </w:rPr>
        <w:t xml:space="preserve">sind durch Hervorhebung und </w:t>
      </w:r>
      <w:r w:rsidR="00DB1A82" w:rsidRPr="00B140F2">
        <w:rPr>
          <w:highlight w:val="lightGray"/>
          <w:u w:val="single"/>
          <w:lang w:val="de-DE"/>
        </w:rPr>
        <w:t>Unterstreichung</w:t>
      </w:r>
      <w:r w:rsidR="004270B1">
        <w:rPr>
          <w:lang w:val="de-DE"/>
        </w:rPr>
        <w:t xml:space="preserve"> und</w:t>
      </w:r>
      <w:r w:rsidR="004270B1" w:rsidRPr="00B140F2">
        <w:rPr>
          <w:lang w:val="de-DE"/>
        </w:rPr>
        <w:t xml:space="preserve"> </w:t>
      </w:r>
      <w:r w:rsidR="00DB1A82" w:rsidRPr="00B140F2">
        <w:rPr>
          <w:lang w:val="de-DE"/>
        </w:rPr>
        <w:t xml:space="preserve">Streichungen </w:t>
      </w:r>
      <w:r w:rsidR="004270B1">
        <w:rPr>
          <w:lang w:val="de-DE"/>
        </w:rPr>
        <w:t xml:space="preserve">sind </w:t>
      </w:r>
      <w:r w:rsidR="00DB1A82" w:rsidRPr="00B140F2">
        <w:rPr>
          <w:lang w:val="de-DE"/>
        </w:rPr>
        <w:t xml:space="preserve">durch Hervorhebung und </w:t>
      </w:r>
      <w:r w:rsidR="004270B1" w:rsidRPr="00B140F2">
        <w:rPr>
          <w:strike/>
          <w:highlight w:val="lightGray"/>
          <w:lang w:val="de-DE"/>
        </w:rPr>
        <w:t>Durchstreich</w:t>
      </w:r>
      <w:r w:rsidR="004270B1">
        <w:rPr>
          <w:strike/>
          <w:highlight w:val="lightGray"/>
          <w:lang w:val="de-DE"/>
        </w:rPr>
        <w:t>en</w:t>
      </w:r>
      <w:r w:rsidR="004270B1" w:rsidRPr="00B140F2">
        <w:rPr>
          <w:strike/>
          <w:highlight w:val="lightGray"/>
          <w:lang w:val="de-DE"/>
        </w:rPr>
        <w:t xml:space="preserve"> </w:t>
      </w:r>
      <w:r w:rsidR="00DB1A82" w:rsidRPr="00B140F2">
        <w:rPr>
          <w:lang w:val="de-DE"/>
        </w:rPr>
        <w:t>gekennzeichnet)</w:t>
      </w:r>
      <w:r w:rsidR="00934B68" w:rsidRPr="00B140F2">
        <w:rPr>
          <w:lang w:val="de-DE"/>
        </w:rPr>
        <w:t>:</w:t>
      </w:r>
    </w:p>
    <w:p w14:paraId="650B3764" w14:textId="77777777" w:rsidR="00422307" w:rsidRPr="00B140F2" w:rsidRDefault="00422307" w:rsidP="00BD4986">
      <w:pPr>
        <w:rPr>
          <w:lang w:val="de-DE"/>
        </w:rPr>
      </w:pPr>
    </w:p>
    <w:p w14:paraId="7A58F222" w14:textId="111B28A9" w:rsidR="00214329" w:rsidRPr="00B140F2" w:rsidRDefault="0060633E" w:rsidP="00BD4986">
      <w:pPr>
        <w:ind w:right="425"/>
        <w:rPr>
          <w:rFonts w:cs="Arial"/>
          <w:sz w:val="18"/>
          <w:szCs w:val="18"/>
          <w:lang w:val="de-DE"/>
        </w:rPr>
      </w:pPr>
      <w:r w:rsidRPr="00B140F2">
        <w:rPr>
          <w:rFonts w:cs="Arial"/>
          <w:sz w:val="18"/>
          <w:szCs w:val="18"/>
          <w:lang w:val="de-DE"/>
        </w:rPr>
        <w:tab/>
      </w:r>
      <w:r w:rsidR="001C4FD6" w:rsidRPr="00B140F2">
        <w:rPr>
          <w:rFonts w:cs="Arial"/>
          <w:sz w:val="18"/>
          <w:szCs w:val="18"/>
          <w:lang w:val="de-DE"/>
        </w:rPr>
        <w:t>„</w:t>
      </w:r>
      <w:r w:rsidRPr="00B140F2">
        <w:rPr>
          <w:rFonts w:cs="Arial"/>
          <w:sz w:val="18"/>
          <w:szCs w:val="18"/>
          <w:lang w:val="de-DE"/>
        </w:rPr>
        <w:t xml:space="preserve">16. </w:t>
      </w:r>
      <w:r w:rsidRPr="00B140F2">
        <w:rPr>
          <w:rFonts w:cs="Arial"/>
          <w:sz w:val="18"/>
          <w:szCs w:val="18"/>
          <w:lang w:val="de-DE"/>
        </w:rPr>
        <w:tab/>
      </w:r>
      <w:r w:rsidR="00FE23CD" w:rsidRPr="00B140F2">
        <w:rPr>
          <w:rFonts w:cs="Arial"/>
          <w:sz w:val="18"/>
          <w:szCs w:val="18"/>
          <w:lang w:val="de-DE"/>
        </w:rPr>
        <w:t>Ähnliche Sorten und Unterschiede zu diesen Sorten</w:t>
      </w:r>
    </w:p>
    <w:p w14:paraId="414DF764" w14:textId="77777777" w:rsidR="00723398" w:rsidRPr="00B140F2" w:rsidRDefault="00723398" w:rsidP="00BD4986">
      <w:pPr>
        <w:ind w:right="425"/>
        <w:rPr>
          <w:rFonts w:cs="Arial"/>
          <w:sz w:val="18"/>
          <w:szCs w:val="18"/>
          <w:lang w:val="de-DE"/>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4270B1" w:rsidRPr="00223459" w14:paraId="50B55825" w14:textId="77777777" w:rsidTr="000C3F61">
        <w:tc>
          <w:tcPr>
            <w:tcW w:w="1985" w:type="dxa"/>
            <w:vAlign w:val="center"/>
          </w:tcPr>
          <w:p w14:paraId="671886AD" w14:textId="5325D120" w:rsidR="004270B1" w:rsidRPr="00B140F2" w:rsidRDefault="004270B1" w:rsidP="00BD4986">
            <w:pPr>
              <w:ind w:right="73"/>
              <w:jc w:val="center"/>
              <w:rPr>
                <w:rFonts w:cs="Arial"/>
                <w:sz w:val="18"/>
                <w:szCs w:val="18"/>
                <w:lang w:val="de-DE"/>
              </w:rPr>
            </w:pPr>
            <w:r w:rsidRPr="00B140F2">
              <w:rPr>
                <w:rFonts w:cs="Arial"/>
                <w:sz w:val="18"/>
                <w:szCs w:val="18"/>
                <w:lang w:val="de-DE"/>
              </w:rPr>
              <w:t>Bezeichnung(en) der Sorte(n), die der Kandidatensorte ähnlich ist (sind)</w:t>
            </w:r>
          </w:p>
        </w:tc>
        <w:tc>
          <w:tcPr>
            <w:tcW w:w="2126" w:type="dxa"/>
            <w:vAlign w:val="center"/>
          </w:tcPr>
          <w:p w14:paraId="32F38266" w14:textId="32936A70" w:rsidR="004270B1" w:rsidRPr="00B140F2" w:rsidRDefault="004270B1" w:rsidP="00BD4986">
            <w:pPr>
              <w:jc w:val="center"/>
              <w:rPr>
                <w:rFonts w:cs="Arial"/>
                <w:sz w:val="18"/>
                <w:szCs w:val="18"/>
                <w:lang w:val="de-DE"/>
              </w:rPr>
            </w:pPr>
            <w:r w:rsidRPr="00B140F2">
              <w:rPr>
                <w:rFonts w:cs="Arial"/>
                <w:sz w:val="18"/>
                <w:szCs w:val="18"/>
                <w:lang w:val="de-DE"/>
              </w:rPr>
              <w:t>Merkmal(e), in dem (denen) die Kandidatensorte von der (den) ähnlichen Sorte(n) verschieden ist</w:t>
            </w:r>
            <w:r w:rsidRPr="00657061">
              <w:rPr>
                <w:rFonts w:cs="Arial"/>
                <w:sz w:val="18"/>
                <w:szCs w:val="18"/>
                <w:vertAlign w:val="superscript"/>
                <w:lang w:val="de-DE"/>
              </w:rPr>
              <w:t>1</w:t>
            </w:r>
            <w:r w:rsidRPr="00B140F2">
              <w:rPr>
                <w:rFonts w:cs="Arial"/>
                <w:sz w:val="18"/>
                <w:szCs w:val="18"/>
                <w:vertAlign w:val="superscript"/>
                <w:lang w:val="de-DE"/>
              </w:rPr>
              <w:t>)</w:t>
            </w:r>
          </w:p>
        </w:tc>
        <w:tc>
          <w:tcPr>
            <w:tcW w:w="2410" w:type="dxa"/>
            <w:vAlign w:val="center"/>
          </w:tcPr>
          <w:p w14:paraId="42DE5DF1" w14:textId="79BDBA0F" w:rsidR="004270B1" w:rsidRPr="00B140F2" w:rsidRDefault="004270B1" w:rsidP="00BD4986">
            <w:pPr>
              <w:ind w:right="171"/>
              <w:jc w:val="center"/>
              <w:rPr>
                <w:rFonts w:cs="Arial"/>
                <w:sz w:val="18"/>
                <w:szCs w:val="18"/>
                <w:lang w:val="de-DE"/>
              </w:rPr>
            </w:pPr>
            <w:r w:rsidRPr="00B140F2">
              <w:rPr>
                <w:rFonts w:cs="Arial"/>
                <w:sz w:val="18"/>
                <w:szCs w:val="18"/>
                <w:lang w:val="de-DE"/>
              </w:rPr>
              <w:t>Ausprägungsstufe des/der Merkmals/Merkmale für die ähnliche(n) Sorte(n)</w:t>
            </w:r>
            <w:r w:rsidRPr="00B140F2">
              <w:rPr>
                <w:rFonts w:cs="Arial"/>
                <w:sz w:val="18"/>
                <w:szCs w:val="18"/>
                <w:vertAlign w:val="superscript"/>
                <w:lang w:val="de-DE"/>
              </w:rPr>
              <w:t xml:space="preserve"> 2)</w:t>
            </w:r>
          </w:p>
        </w:tc>
        <w:tc>
          <w:tcPr>
            <w:tcW w:w="2126" w:type="dxa"/>
            <w:vAlign w:val="center"/>
          </w:tcPr>
          <w:p w14:paraId="67C6CD0D" w14:textId="21920292" w:rsidR="004270B1" w:rsidRPr="00B140F2" w:rsidRDefault="004270B1" w:rsidP="00BD4986">
            <w:pPr>
              <w:jc w:val="center"/>
              <w:rPr>
                <w:rFonts w:cs="Arial"/>
                <w:sz w:val="18"/>
                <w:szCs w:val="18"/>
                <w:lang w:val="de-DE"/>
              </w:rPr>
            </w:pPr>
            <w:r w:rsidRPr="00B140F2">
              <w:rPr>
                <w:rFonts w:cs="Arial"/>
                <w:sz w:val="18"/>
                <w:szCs w:val="18"/>
                <w:lang w:val="de-DE"/>
              </w:rPr>
              <w:t>Ausprägungsstufe des (der) Merkmals(e) für die Kandidatensorte</w:t>
            </w:r>
            <w:r w:rsidRPr="00B140F2">
              <w:rPr>
                <w:rFonts w:cs="Arial"/>
                <w:sz w:val="18"/>
                <w:szCs w:val="18"/>
                <w:vertAlign w:val="superscript"/>
                <w:lang w:val="de-DE"/>
              </w:rPr>
              <w:t>2)</w:t>
            </w:r>
          </w:p>
        </w:tc>
      </w:tr>
    </w:tbl>
    <w:p w14:paraId="580356E9" w14:textId="77777777" w:rsidR="00723398" w:rsidRPr="00B140F2" w:rsidRDefault="00723398" w:rsidP="00BD4986">
      <w:pPr>
        <w:ind w:right="425"/>
        <w:rPr>
          <w:rFonts w:cs="Arial"/>
          <w:sz w:val="18"/>
          <w:szCs w:val="18"/>
          <w:lang w:val="de-DE"/>
        </w:rPr>
      </w:pPr>
    </w:p>
    <w:p w14:paraId="132A0FD3" w14:textId="72FBBF02" w:rsidR="00214329" w:rsidRPr="00B140F2" w:rsidRDefault="001C4FD6" w:rsidP="00BD4986">
      <w:pPr>
        <w:ind w:left="567" w:right="567"/>
        <w:rPr>
          <w:rFonts w:cs="Arial"/>
          <w:sz w:val="18"/>
          <w:szCs w:val="18"/>
          <w:lang w:val="de-DE"/>
        </w:rPr>
      </w:pPr>
      <w:r w:rsidRPr="00B140F2">
        <w:rPr>
          <w:rFonts w:cs="Arial"/>
          <w:sz w:val="18"/>
          <w:szCs w:val="18"/>
          <w:lang w:val="de-DE"/>
        </w:rPr>
        <w:t>„</w:t>
      </w:r>
      <w:r w:rsidR="0060633E" w:rsidRPr="00B140F2">
        <w:rPr>
          <w:rFonts w:cs="Arial"/>
          <w:sz w:val="18"/>
          <w:szCs w:val="18"/>
          <w:lang w:val="de-DE"/>
        </w:rPr>
        <w:t>1)</w:t>
      </w:r>
      <w:r w:rsidR="0060633E" w:rsidRPr="00B140F2">
        <w:rPr>
          <w:rFonts w:cs="Arial"/>
          <w:sz w:val="18"/>
          <w:szCs w:val="18"/>
          <w:lang w:val="de-DE"/>
        </w:rPr>
        <w:tab/>
      </w:r>
      <w:r w:rsidR="00876537" w:rsidRPr="00B140F2">
        <w:rPr>
          <w:rFonts w:cs="Arial"/>
          <w:sz w:val="18"/>
          <w:szCs w:val="18"/>
          <w:highlight w:val="lightGray"/>
          <w:u w:val="single"/>
          <w:lang w:val="de-DE"/>
        </w:rPr>
        <w:t>Eine ähnliche Sorte/Sorten sollte(n) angegeben werden. Wenn keine ähnliche Sorte identifiziert wurde, sollte 'keine' angegeben werden</w:t>
      </w:r>
      <w:r w:rsidR="00A011D6" w:rsidRPr="00B140F2">
        <w:rPr>
          <w:rFonts w:cs="Arial"/>
          <w:sz w:val="18"/>
          <w:szCs w:val="18"/>
          <w:highlight w:val="lightGray"/>
          <w:u w:val="single"/>
          <w:lang w:val="de-DE"/>
        </w:rPr>
        <w:t>.</w:t>
      </w:r>
    </w:p>
    <w:p w14:paraId="4FADC9B3" w14:textId="77777777" w:rsidR="00F45901" w:rsidRPr="00B140F2" w:rsidRDefault="00F45901" w:rsidP="00BD4986">
      <w:pPr>
        <w:ind w:left="567" w:right="567"/>
        <w:rPr>
          <w:rFonts w:cs="Arial"/>
          <w:sz w:val="18"/>
          <w:szCs w:val="18"/>
          <w:lang w:val="de-DE"/>
        </w:rPr>
      </w:pPr>
    </w:p>
    <w:p w14:paraId="591FACC5" w14:textId="4D2E3B8A" w:rsidR="00214329" w:rsidRPr="00B140F2" w:rsidRDefault="001C4FD6" w:rsidP="00BD4986">
      <w:pPr>
        <w:ind w:left="567" w:right="567"/>
        <w:rPr>
          <w:sz w:val="18"/>
          <w:szCs w:val="18"/>
          <w:lang w:val="de-DE"/>
        </w:rPr>
      </w:pPr>
      <w:r w:rsidRPr="00B140F2">
        <w:rPr>
          <w:sz w:val="18"/>
          <w:szCs w:val="18"/>
          <w:lang w:val="de-DE"/>
        </w:rPr>
        <w:t>„</w:t>
      </w:r>
      <w:r w:rsidR="00AC47CE" w:rsidRPr="00B140F2">
        <w:rPr>
          <w:sz w:val="18"/>
          <w:szCs w:val="18"/>
          <w:lang w:val="de-DE"/>
        </w:rPr>
        <w:t>2</w:t>
      </w:r>
      <w:r w:rsidR="0060633E" w:rsidRPr="00B140F2">
        <w:rPr>
          <w:sz w:val="18"/>
          <w:szCs w:val="18"/>
          <w:lang w:val="de-DE"/>
        </w:rPr>
        <w:t xml:space="preserve">) </w:t>
      </w:r>
      <w:r w:rsidR="0060633E" w:rsidRPr="00B140F2">
        <w:rPr>
          <w:sz w:val="18"/>
          <w:szCs w:val="18"/>
          <w:lang w:val="de-DE"/>
        </w:rPr>
        <w:tab/>
      </w:r>
      <w:r w:rsidR="008C406C" w:rsidRPr="00B140F2">
        <w:rPr>
          <w:sz w:val="18"/>
          <w:szCs w:val="18"/>
          <w:lang w:val="de-DE"/>
        </w:rPr>
        <w:t>Die Ausprägungsstufen der Kandidatensorte(n) und der ähnlichen Sorte(n) beziehen sich auf die DUS-Prüfung, die an der Prüfungs</w:t>
      </w:r>
      <w:r w:rsidR="008C406C" w:rsidRPr="00B140F2">
        <w:rPr>
          <w:strike/>
          <w:sz w:val="18"/>
          <w:szCs w:val="18"/>
          <w:highlight w:val="lightGray"/>
          <w:lang w:val="de-DE"/>
        </w:rPr>
        <w:t>station, dem Prüfungsort</w:t>
      </w:r>
      <w:r w:rsidR="001A03FA" w:rsidRPr="00E83514">
        <w:rPr>
          <w:sz w:val="18"/>
          <w:szCs w:val="18"/>
          <w:highlight w:val="lightGray"/>
          <w:u w:val="single"/>
          <w:lang w:val="de-DE"/>
        </w:rPr>
        <w:t>einrichtung</w:t>
      </w:r>
      <w:r w:rsidR="008C406C" w:rsidRPr="00B140F2">
        <w:rPr>
          <w:sz w:val="18"/>
          <w:szCs w:val="18"/>
          <w:lang w:val="de-DE"/>
        </w:rPr>
        <w:t xml:space="preserve"> und der Prüfungsperiode, die unter den Punkten 11 und 12 aufgeführt sind, durchgeführt wurden</w:t>
      </w:r>
      <w:r w:rsidR="0060633E" w:rsidRPr="00B140F2">
        <w:rPr>
          <w:sz w:val="18"/>
          <w:szCs w:val="18"/>
          <w:lang w:val="de-DE"/>
        </w:rPr>
        <w:t>.</w:t>
      </w:r>
      <w:r w:rsidRPr="00B140F2">
        <w:rPr>
          <w:sz w:val="18"/>
          <w:szCs w:val="18"/>
          <w:lang w:val="de-DE"/>
        </w:rPr>
        <w:t>“</w:t>
      </w:r>
    </w:p>
    <w:p w14:paraId="2F33EC1E" w14:textId="77777777" w:rsidR="002F3ED4" w:rsidRPr="00B140F2" w:rsidRDefault="002F3ED4" w:rsidP="00BD4986">
      <w:pPr>
        <w:ind w:left="567" w:right="567"/>
        <w:rPr>
          <w:rFonts w:cs="Arial"/>
          <w:sz w:val="18"/>
          <w:szCs w:val="18"/>
          <w:lang w:val="de-DE"/>
        </w:rPr>
      </w:pPr>
    </w:p>
    <w:p w14:paraId="75F5F99C" w14:textId="3513841D" w:rsidR="00214329" w:rsidRPr="00B140F2" w:rsidRDefault="001C4FD6" w:rsidP="00BD4986">
      <w:pPr>
        <w:ind w:left="567" w:right="567"/>
        <w:rPr>
          <w:sz w:val="18"/>
          <w:szCs w:val="18"/>
          <w:u w:val="single"/>
          <w:lang w:val="de-DE"/>
        </w:rPr>
      </w:pPr>
      <w:r w:rsidRPr="00B140F2">
        <w:rPr>
          <w:sz w:val="18"/>
          <w:szCs w:val="18"/>
          <w:highlight w:val="lightGray"/>
          <w:u w:val="single"/>
          <w:lang w:val="de-DE"/>
        </w:rPr>
        <w:t>„</w:t>
      </w:r>
      <w:r w:rsidR="00AC47CE" w:rsidRPr="00B140F2">
        <w:rPr>
          <w:sz w:val="18"/>
          <w:szCs w:val="18"/>
          <w:highlight w:val="lightGray"/>
          <w:u w:val="single"/>
          <w:lang w:val="de-DE"/>
        </w:rPr>
        <w:t>3</w:t>
      </w:r>
      <w:r w:rsidR="0060633E" w:rsidRPr="00B140F2">
        <w:rPr>
          <w:sz w:val="18"/>
          <w:szCs w:val="18"/>
          <w:highlight w:val="lightGray"/>
          <w:u w:val="single"/>
          <w:lang w:val="de-DE"/>
        </w:rPr>
        <w:t xml:space="preserve">) </w:t>
      </w:r>
      <w:r w:rsidR="0060633E" w:rsidRPr="00B140F2">
        <w:rPr>
          <w:sz w:val="18"/>
          <w:szCs w:val="18"/>
          <w:highlight w:val="lightGray"/>
          <w:u w:val="single"/>
          <w:lang w:val="de-DE"/>
        </w:rPr>
        <w:tab/>
      </w:r>
      <w:r w:rsidR="00B86E73" w:rsidRPr="00B140F2">
        <w:rPr>
          <w:sz w:val="18"/>
          <w:szCs w:val="18"/>
          <w:highlight w:val="lightGray"/>
          <w:u w:val="single"/>
          <w:lang w:val="de-DE"/>
        </w:rPr>
        <w:t>Nur diejenigen Merkmale, die für die Erstellung 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r w:rsidR="0060633E" w:rsidRPr="00B140F2">
        <w:rPr>
          <w:sz w:val="18"/>
          <w:szCs w:val="18"/>
          <w:highlight w:val="lightGray"/>
          <w:u w:val="single"/>
          <w:lang w:val="de-DE"/>
        </w:rPr>
        <w:t>.</w:t>
      </w:r>
      <w:r w:rsidR="00D203CD" w:rsidRPr="00D203CD">
        <w:rPr>
          <w:sz w:val="18"/>
          <w:szCs w:val="18"/>
          <w:highlight w:val="lightGray"/>
          <w:u w:val="single"/>
          <w:lang w:val="de-DE"/>
        </w:rPr>
        <w:t>“</w:t>
      </w:r>
    </w:p>
    <w:p w14:paraId="7875D725" w14:textId="77777777" w:rsidR="000F4ACF" w:rsidRPr="00B140F2" w:rsidRDefault="000F4ACF" w:rsidP="00BD4986">
      <w:pPr>
        <w:ind w:left="567" w:right="567"/>
        <w:rPr>
          <w:rFonts w:cs="Arial"/>
          <w:sz w:val="18"/>
          <w:szCs w:val="18"/>
          <w:lang w:val="de-DE"/>
        </w:rPr>
      </w:pPr>
    </w:p>
    <w:p w14:paraId="5BCBA1D9" w14:textId="77777777" w:rsidR="00214329" w:rsidRPr="00B140F2" w:rsidRDefault="0060633E" w:rsidP="00BD4986">
      <w:pPr>
        <w:ind w:left="567" w:right="567"/>
        <w:rPr>
          <w:sz w:val="18"/>
          <w:szCs w:val="18"/>
          <w:lang w:val="de-DE"/>
        </w:rPr>
      </w:pPr>
      <w:r w:rsidRPr="00B140F2">
        <w:rPr>
          <w:sz w:val="18"/>
          <w:szCs w:val="18"/>
          <w:lang w:val="de-DE"/>
        </w:rPr>
        <w:t>[...]</w:t>
      </w:r>
    </w:p>
    <w:p w14:paraId="2E0CE1F7" w14:textId="77777777" w:rsidR="00AA1655" w:rsidRPr="00B140F2" w:rsidRDefault="00AA1655" w:rsidP="00BD4986">
      <w:pPr>
        <w:ind w:left="567" w:right="567"/>
        <w:rPr>
          <w:sz w:val="18"/>
          <w:szCs w:val="18"/>
          <w:lang w:val="de-DE"/>
        </w:rPr>
      </w:pPr>
    </w:p>
    <w:p w14:paraId="3F459C4B" w14:textId="79796D88" w:rsidR="00214329" w:rsidRPr="00B140F2" w:rsidRDefault="001C4FD6" w:rsidP="00BD4986">
      <w:pPr>
        <w:ind w:left="567" w:right="567"/>
        <w:rPr>
          <w:rFonts w:cs="Arial"/>
          <w:strike/>
          <w:sz w:val="18"/>
          <w:szCs w:val="18"/>
          <w:highlight w:val="lightGray"/>
          <w:lang w:val="de-DE"/>
        </w:rPr>
      </w:pPr>
      <w:r w:rsidRPr="00B140F2">
        <w:rPr>
          <w:rFonts w:cs="Arial"/>
          <w:strike/>
          <w:sz w:val="18"/>
          <w:szCs w:val="18"/>
          <w:highlight w:val="lightGray"/>
          <w:lang w:val="de-DE"/>
        </w:rPr>
        <w:t>„</w:t>
      </w:r>
      <w:r w:rsidR="00CE6C38">
        <w:rPr>
          <w:rFonts w:cs="Arial"/>
          <w:strike/>
          <w:sz w:val="18"/>
          <w:szCs w:val="18"/>
          <w:highlight w:val="lightGray"/>
          <w:lang w:val="de-DE"/>
        </w:rPr>
        <w:t>d)</w:t>
      </w:r>
      <w:r w:rsidR="0060633E" w:rsidRPr="00B140F2">
        <w:rPr>
          <w:rFonts w:cs="Arial"/>
          <w:strike/>
          <w:sz w:val="18"/>
          <w:szCs w:val="18"/>
          <w:highlight w:val="lightGray"/>
          <w:lang w:val="de-DE"/>
        </w:rPr>
        <w:tab/>
      </w:r>
      <w:r w:rsidR="0060633E" w:rsidRPr="00B140F2">
        <w:rPr>
          <w:rFonts w:cs="Arial"/>
          <w:strike/>
          <w:sz w:val="18"/>
          <w:szCs w:val="18"/>
          <w:highlight w:val="lightGray"/>
          <w:u w:val="single"/>
          <w:lang w:val="de-DE"/>
        </w:rPr>
        <w:t>Zu Nummer 16 (Anlage: UPOV-Sortenbeschreibung)</w:t>
      </w:r>
    </w:p>
    <w:p w14:paraId="6C89C1BC" w14:textId="77777777" w:rsidR="00723398" w:rsidRPr="00B140F2" w:rsidRDefault="00723398" w:rsidP="00BD4986">
      <w:pPr>
        <w:ind w:left="567" w:right="567"/>
        <w:rPr>
          <w:rFonts w:cs="Arial"/>
          <w:strike/>
          <w:sz w:val="18"/>
          <w:szCs w:val="18"/>
          <w:highlight w:val="lightGray"/>
          <w:lang w:val="de-DE"/>
        </w:rPr>
      </w:pPr>
    </w:p>
    <w:p w14:paraId="7BDA36FD" w14:textId="042C0984" w:rsidR="00214329" w:rsidRPr="00B140F2" w:rsidRDefault="001C4FD6" w:rsidP="00BD4986">
      <w:pPr>
        <w:ind w:left="567" w:right="567"/>
        <w:rPr>
          <w:strike/>
          <w:sz w:val="18"/>
          <w:szCs w:val="18"/>
          <w:lang w:val="de-DE"/>
        </w:rPr>
      </w:pPr>
      <w:r w:rsidRPr="00B140F2">
        <w:rPr>
          <w:strike/>
          <w:sz w:val="18"/>
          <w:szCs w:val="18"/>
          <w:highlight w:val="lightGray"/>
          <w:lang w:val="de-DE"/>
        </w:rPr>
        <w:lastRenderedPageBreak/>
        <w:t>„</w:t>
      </w:r>
      <w:r w:rsidR="0083292B" w:rsidRPr="00B140F2">
        <w:rPr>
          <w:strike/>
          <w:sz w:val="18"/>
          <w:szCs w:val="18"/>
          <w:highlight w:val="lightGray"/>
          <w:lang w:val="de-DE"/>
        </w:rPr>
        <w:t>Nur diejenigen Merkmale, die für die Erstellung 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r w:rsidR="0060633E" w:rsidRPr="00B140F2">
        <w:rPr>
          <w:strike/>
          <w:sz w:val="18"/>
          <w:szCs w:val="18"/>
          <w:highlight w:val="lightGray"/>
          <w:lang w:val="de-DE"/>
        </w:rPr>
        <w:t>.</w:t>
      </w:r>
      <w:r w:rsidR="00D203CD" w:rsidRPr="00D203CD">
        <w:rPr>
          <w:strike/>
          <w:sz w:val="18"/>
          <w:szCs w:val="18"/>
          <w:highlight w:val="lightGray"/>
          <w:lang w:val="de-DE"/>
        </w:rPr>
        <w:t>“</w:t>
      </w:r>
    </w:p>
    <w:p w14:paraId="7D7C851D" w14:textId="77777777" w:rsidR="00723398" w:rsidRPr="00B140F2" w:rsidRDefault="00723398" w:rsidP="00BD4986">
      <w:pPr>
        <w:ind w:left="567" w:right="567"/>
        <w:rPr>
          <w:sz w:val="18"/>
          <w:szCs w:val="18"/>
          <w:lang w:val="de-DE"/>
        </w:rPr>
      </w:pPr>
    </w:p>
    <w:p w14:paraId="2D0B9775" w14:textId="37189820"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073889" w:rsidRPr="00B140F2">
        <w:rPr>
          <w:lang w:val="de-DE"/>
        </w:rPr>
        <w:t xml:space="preserve">Gemäß dem Vorschlag der TWA </w:t>
      </w:r>
      <w:r w:rsidR="00FF3C9E" w:rsidRPr="00B140F2">
        <w:rPr>
          <w:lang w:val="de-DE"/>
        </w:rPr>
        <w:t xml:space="preserve">könnte der TC </w:t>
      </w:r>
      <w:r w:rsidR="004270B1">
        <w:rPr>
          <w:lang w:val="de-DE"/>
        </w:rPr>
        <w:t>prüfen</w:t>
      </w:r>
      <w:r w:rsidR="00FF3C9E" w:rsidRPr="00B140F2">
        <w:rPr>
          <w:lang w:val="de-DE"/>
        </w:rPr>
        <w:t xml:space="preserve">, das </w:t>
      </w:r>
      <w:r w:rsidR="00906E9A" w:rsidRPr="00B140F2">
        <w:rPr>
          <w:lang w:val="de-DE"/>
        </w:rPr>
        <w:t xml:space="preserve">Verbandsbüro </w:t>
      </w:r>
      <w:r w:rsidR="00FF3C9E" w:rsidRPr="00B140F2">
        <w:rPr>
          <w:lang w:val="de-DE"/>
        </w:rPr>
        <w:t xml:space="preserve">zu ersuchen, </w:t>
      </w:r>
      <w:r w:rsidR="004270B1">
        <w:rPr>
          <w:lang w:val="de-DE"/>
        </w:rPr>
        <w:t>den</w:t>
      </w:r>
      <w:r w:rsidR="004270B1" w:rsidRPr="00B140F2">
        <w:rPr>
          <w:lang w:val="de-DE"/>
        </w:rPr>
        <w:t xml:space="preserve"> </w:t>
      </w:r>
      <w:r w:rsidR="002D2ADD" w:rsidRPr="00B140F2">
        <w:rPr>
          <w:lang w:val="de-DE"/>
        </w:rPr>
        <w:t>Aufbau des Dokuments</w:t>
      </w:r>
      <w:r w:rsidR="00FF31D8" w:rsidRPr="00B140F2">
        <w:rPr>
          <w:lang w:val="de-DE"/>
        </w:rPr>
        <w:t xml:space="preserve"> TGP/5, Abschnitt 6, </w:t>
      </w:r>
      <w:r w:rsidR="00995F2B" w:rsidRPr="00B140F2">
        <w:rPr>
          <w:lang w:val="de-DE"/>
        </w:rPr>
        <w:t>zu überarbeiten</w:t>
      </w:r>
      <w:r w:rsidR="00FF31D8" w:rsidRPr="00B140F2">
        <w:rPr>
          <w:lang w:val="de-DE"/>
        </w:rPr>
        <w:t xml:space="preserve">, um klarzustellen, </w:t>
      </w:r>
      <w:r w:rsidR="00350639" w:rsidRPr="00B140F2">
        <w:rPr>
          <w:lang w:val="de-DE"/>
        </w:rPr>
        <w:t xml:space="preserve">dass </w:t>
      </w:r>
      <w:r w:rsidR="00FF31D8" w:rsidRPr="00B140F2">
        <w:rPr>
          <w:lang w:val="de-DE"/>
        </w:rPr>
        <w:t xml:space="preserve">die </w:t>
      </w:r>
      <w:r w:rsidR="001C4FD6" w:rsidRPr="00B140F2">
        <w:rPr>
          <w:lang w:val="de-DE"/>
        </w:rPr>
        <w:t>„</w:t>
      </w:r>
      <w:r w:rsidR="00FF31D8" w:rsidRPr="00B140F2">
        <w:rPr>
          <w:lang w:val="de-DE"/>
        </w:rPr>
        <w:t>UPOV-Sortenbeschreibung</w:t>
      </w:r>
      <w:r w:rsidR="001C4FD6" w:rsidRPr="00B140F2">
        <w:rPr>
          <w:lang w:val="de-DE"/>
        </w:rPr>
        <w:t>“</w:t>
      </w:r>
      <w:r w:rsidR="00FF31D8" w:rsidRPr="00B140F2">
        <w:rPr>
          <w:lang w:val="de-DE"/>
        </w:rPr>
        <w:t xml:space="preserve"> eine Anlage des </w:t>
      </w:r>
      <w:r w:rsidR="001C4FD6" w:rsidRPr="00B140F2">
        <w:rPr>
          <w:lang w:val="de-DE"/>
        </w:rPr>
        <w:t>„</w:t>
      </w:r>
      <w:r w:rsidR="00FF31D8" w:rsidRPr="00B140F2">
        <w:rPr>
          <w:lang w:val="de-DE"/>
        </w:rPr>
        <w:t>UPOV-Berichts über die technische Prüfung</w:t>
      </w:r>
      <w:r w:rsidR="001C4FD6" w:rsidRPr="00B140F2">
        <w:rPr>
          <w:lang w:val="de-DE"/>
        </w:rPr>
        <w:t>“</w:t>
      </w:r>
      <w:r w:rsidR="00FF31D8" w:rsidRPr="00B140F2">
        <w:rPr>
          <w:lang w:val="de-DE"/>
        </w:rPr>
        <w:t xml:space="preserve"> und Punkt 18 </w:t>
      </w:r>
      <w:r w:rsidR="001C4FD6" w:rsidRPr="00B140F2">
        <w:rPr>
          <w:lang w:val="de-DE"/>
        </w:rPr>
        <w:t>„</w:t>
      </w:r>
      <w:r w:rsidR="004270B1" w:rsidRPr="00B140F2">
        <w:rPr>
          <w:lang w:val="de-DE"/>
        </w:rPr>
        <w:t>Erläuter</w:t>
      </w:r>
      <w:r w:rsidR="004270B1">
        <w:rPr>
          <w:lang w:val="de-DE"/>
        </w:rPr>
        <w:t>nde Bemerkungen</w:t>
      </w:r>
      <w:r w:rsidR="004270B1" w:rsidRPr="00B140F2">
        <w:rPr>
          <w:lang w:val="de-DE"/>
        </w:rPr>
        <w:t xml:space="preserve"> </w:t>
      </w:r>
      <w:r w:rsidR="00FF31D8" w:rsidRPr="00B140F2">
        <w:rPr>
          <w:lang w:val="de-DE"/>
        </w:rPr>
        <w:t>zur Anlage: UPOV-Sortenbeschreibung</w:t>
      </w:r>
      <w:r w:rsidR="004270B1">
        <w:rPr>
          <w:lang w:val="de-DE"/>
        </w:rPr>
        <w:t>en</w:t>
      </w:r>
      <w:r w:rsidR="001C4FD6" w:rsidRPr="00B140F2">
        <w:rPr>
          <w:lang w:val="de-DE"/>
        </w:rPr>
        <w:t>“</w:t>
      </w:r>
      <w:r w:rsidR="00FF31D8" w:rsidRPr="00B140F2">
        <w:rPr>
          <w:lang w:val="de-DE"/>
        </w:rPr>
        <w:t xml:space="preserve"> </w:t>
      </w:r>
      <w:r w:rsidR="00C75402" w:rsidRPr="00B140F2">
        <w:rPr>
          <w:lang w:val="de-DE"/>
        </w:rPr>
        <w:t xml:space="preserve">ein </w:t>
      </w:r>
      <w:r w:rsidR="00FF31D8" w:rsidRPr="00B140F2">
        <w:rPr>
          <w:lang w:val="de-DE"/>
        </w:rPr>
        <w:t xml:space="preserve">getrennter Abschnitt der Anleitung </w:t>
      </w:r>
      <w:r w:rsidR="00A96DDE" w:rsidRPr="00B140F2">
        <w:rPr>
          <w:lang w:val="de-DE"/>
        </w:rPr>
        <w:t>ist</w:t>
      </w:r>
      <w:r w:rsidR="00FF31D8" w:rsidRPr="00B140F2">
        <w:rPr>
          <w:lang w:val="de-DE"/>
        </w:rPr>
        <w:t>.</w:t>
      </w:r>
    </w:p>
    <w:p w14:paraId="30BE28F7" w14:textId="77777777" w:rsidR="004C7388" w:rsidRPr="00B140F2" w:rsidRDefault="004C7388" w:rsidP="00BD4986">
      <w:pPr>
        <w:rPr>
          <w:rFonts w:eastAsiaTheme="minorEastAsia"/>
          <w:lang w:val="de-DE"/>
        </w:rPr>
      </w:pPr>
    </w:p>
    <w:p w14:paraId="0A364DD2" w14:textId="77777777" w:rsidR="00B13101" w:rsidRPr="00B140F2" w:rsidRDefault="00B13101" w:rsidP="00BD4986">
      <w:pPr>
        <w:rPr>
          <w:lang w:val="de-DE"/>
        </w:rPr>
      </w:pPr>
    </w:p>
    <w:p w14:paraId="60542CB5" w14:textId="6D5D8DEF" w:rsidR="00214329" w:rsidRPr="00B140F2" w:rsidRDefault="0060633E" w:rsidP="00BD4986">
      <w:pPr>
        <w:jc w:val="center"/>
        <w:rPr>
          <w:snapToGrid w:val="0"/>
          <w:u w:val="single"/>
          <w:lang w:val="de-DE"/>
        </w:rPr>
      </w:pPr>
      <w:r w:rsidRPr="00B140F2">
        <w:rPr>
          <w:snapToGrid w:val="0"/>
          <w:u w:val="single"/>
          <w:lang w:val="de-DE"/>
        </w:rPr>
        <w:t xml:space="preserve">UNTERABSCHNITT </w:t>
      </w:r>
      <w:r w:rsidR="001C4FD6" w:rsidRPr="00B140F2">
        <w:rPr>
          <w:snapToGrid w:val="0"/>
          <w:u w:val="single"/>
          <w:lang w:val="de-DE"/>
        </w:rPr>
        <w:t>„</w:t>
      </w:r>
      <w:r w:rsidRPr="00B140F2">
        <w:rPr>
          <w:snapToGrid w:val="0"/>
          <w:u w:val="single"/>
          <w:lang w:val="de-DE"/>
        </w:rPr>
        <w:t>UPOV-SORTENBESCHREIBUNG</w:t>
      </w:r>
      <w:r w:rsidR="001C4FD6" w:rsidRPr="00B140F2">
        <w:rPr>
          <w:snapToGrid w:val="0"/>
          <w:u w:val="single"/>
          <w:lang w:val="de-DE"/>
        </w:rPr>
        <w:t>“</w:t>
      </w:r>
      <w:r w:rsidRPr="00B140F2">
        <w:rPr>
          <w:snapToGrid w:val="0"/>
          <w:u w:val="single"/>
          <w:lang w:val="de-DE"/>
        </w:rPr>
        <w:t xml:space="preserve">, </w:t>
      </w:r>
      <w:r w:rsidRPr="00B140F2">
        <w:rPr>
          <w:snapToGrid w:val="0"/>
          <w:u w:val="single"/>
          <w:lang w:val="de-DE"/>
        </w:rPr>
        <w:br/>
        <w:t xml:space="preserve">PUNKT 17 </w:t>
      </w:r>
      <w:r w:rsidR="001C4FD6" w:rsidRPr="00B140F2">
        <w:rPr>
          <w:snapToGrid w:val="0"/>
          <w:u w:val="single"/>
          <w:lang w:val="de-DE"/>
        </w:rPr>
        <w:t>„</w:t>
      </w:r>
      <w:r w:rsidRPr="00B140F2">
        <w:rPr>
          <w:snapToGrid w:val="0"/>
          <w:u w:val="single"/>
          <w:lang w:val="de-DE"/>
        </w:rPr>
        <w:t>ZUSÄTZLICHE INFORMATIONEN</w:t>
      </w:r>
      <w:r w:rsidR="001C4FD6" w:rsidRPr="00B140F2">
        <w:rPr>
          <w:snapToGrid w:val="0"/>
          <w:u w:val="single"/>
          <w:lang w:val="de-DE"/>
        </w:rPr>
        <w:t>“</w:t>
      </w:r>
    </w:p>
    <w:p w14:paraId="1843F72B" w14:textId="77777777" w:rsidR="009835E3" w:rsidRPr="00B140F2" w:rsidRDefault="009835E3" w:rsidP="00BD4986">
      <w:pPr>
        <w:rPr>
          <w:lang w:val="de-DE"/>
        </w:rPr>
      </w:pPr>
    </w:p>
    <w:p w14:paraId="026DF72E" w14:textId="77777777" w:rsidR="00214329" w:rsidRPr="00B140F2" w:rsidRDefault="0060633E" w:rsidP="00BD4986">
      <w:pPr>
        <w:rPr>
          <w:i/>
          <w:lang w:val="de-DE"/>
        </w:rPr>
      </w:pPr>
      <w:r w:rsidRPr="00B140F2">
        <w:rPr>
          <w:i/>
          <w:lang w:val="de-DE"/>
        </w:rPr>
        <w:t>Hintergrund</w:t>
      </w:r>
    </w:p>
    <w:p w14:paraId="4FB048EC" w14:textId="77777777" w:rsidR="000456CB" w:rsidRPr="00B140F2" w:rsidRDefault="000456CB" w:rsidP="00BD4986">
      <w:pPr>
        <w:rPr>
          <w:iCs/>
          <w:lang w:val="de-DE"/>
        </w:rPr>
      </w:pPr>
    </w:p>
    <w:p w14:paraId="38EA5BD5" w14:textId="5F6AC879" w:rsidR="00214329" w:rsidRPr="00B140F2" w:rsidRDefault="0060633E" w:rsidP="00BD4986">
      <w:pPr>
        <w:rPr>
          <w:rFonts w:cs="Arial"/>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cs="Arial"/>
          <w:lang w:val="de-DE"/>
        </w:rPr>
        <w:t xml:space="preserve">Die </w:t>
      </w:r>
      <w:r w:rsidR="001C4FD6" w:rsidRPr="00B140F2">
        <w:rPr>
          <w:rFonts w:cs="Arial"/>
          <w:lang w:val="de-DE"/>
        </w:rPr>
        <w:t>„</w:t>
      </w:r>
      <w:r w:rsidRPr="00B140F2">
        <w:rPr>
          <w:rFonts w:cs="Arial"/>
          <w:lang w:val="de-DE"/>
        </w:rPr>
        <w:t>UPOV-Sortenbeschreibung</w:t>
      </w:r>
      <w:r w:rsidR="001C4FD6" w:rsidRPr="00B140F2">
        <w:rPr>
          <w:rFonts w:cs="Arial"/>
          <w:lang w:val="de-DE"/>
        </w:rPr>
        <w:t>“</w:t>
      </w:r>
      <w:r w:rsidRPr="00B140F2">
        <w:rPr>
          <w:rFonts w:cs="Arial"/>
          <w:lang w:val="de-DE"/>
        </w:rPr>
        <w:t xml:space="preserve"> in Dokument TGP/5, Abschnitt 6, </w:t>
      </w:r>
      <w:r w:rsidR="004270B1">
        <w:rPr>
          <w:rFonts w:cs="Arial"/>
          <w:lang w:val="de-DE"/>
        </w:rPr>
        <w:t>ersucht</w:t>
      </w:r>
      <w:r w:rsidR="004270B1" w:rsidRPr="00B140F2">
        <w:rPr>
          <w:rFonts w:cs="Arial"/>
          <w:lang w:val="de-DE"/>
        </w:rPr>
        <w:t xml:space="preserve"> </w:t>
      </w:r>
      <w:r w:rsidRPr="00B140F2">
        <w:rPr>
          <w:rFonts w:cs="Arial"/>
          <w:lang w:val="de-DE"/>
        </w:rPr>
        <w:t xml:space="preserve">die berichtende Behörde, unter Punkt 17 </w:t>
      </w:r>
      <w:r w:rsidR="001C4FD6" w:rsidRPr="00B140F2">
        <w:rPr>
          <w:rFonts w:cs="Arial"/>
          <w:lang w:val="de-DE"/>
        </w:rPr>
        <w:t>„</w:t>
      </w:r>
      <w:r w:rsidR="00722D0A" w:rsidRPr="00B140F2">
        <w:rPr>
          <w:rFonts w:cs="Arial"/>
          <w:lang w:val="de-DE"/>
        </w:rPr>
        <w:t>Zusätzliche Informationen</w:t>
      </w:r>
      <w:r w:rsidR="001C4FD6" w:rsidRPr="00B140F2">
        <w:rPr>
          <w:rFonts w:cs="Arial"/>
          <w:lang w:val="de-DE"/>
        </w:rPr>
        <w:t>“</w:t>
      </w:r>
      <w:r w:rsidRPr="00B140F2">
        <w:rPr>
          <w:rFonts w:cs="Arial"/>
          <w:lang w:val="de-DE"/>
        </w:rPr>
        <w:t xml:space="preserve"> </w:t>
      </w:r>
      <w:r w:rsidRPr="00DE2AFE">
        <w:rPr>
          <w:rFonts w:cs="Arial"/>
          <w:lang w:val="de-DE"/>
        </w:rPr>
        <w:t>folgende Angaben zu machen:</w:t>
      </w:r>
      <w:r w:rsidRPr="00B140F2">
        <w:rPr>
          <w:rFonts w:cs="Arial"/>
          <w:lang w:val="de-DE"/>
        </w:rPr>
        <w:t xml:space="preserve"> </w:t>
      </w:r>
    </w:p>
    <w:p w14:paraId="11D1B98C" w14:textId="77777777" w:rsidR="00DE2A52" w:rsidRPr="00B140F2" w:rsidRDefault="00DE2A52" w:rsidP="00BD4986">
      <w:pPr>
        <w:rPr>
          <w:rFonts w:cs="Arial"/>
          <w:lang w:val="de-DE"/>
        </w:rPr>
      </w:pPr>
    </w:p>
    <w:p w14:paraId="35C7E80E" w14:textId="03733407" w:rsidR="00214329" w:rsidRPr="00B140F2" w:rsidRDefault="001C4FD6" w:rsidP="00FB1BFC">
      <w:pPr>
        <w:spacing w:after="120"/>
        <w:ind w:left="567"/>
        <w:rPr>
          <w:rFonts w:cs="Arial"/>
          <w:sz w:val="18"/>
          <w:szCs w:val="18"/>
          <w:lang w:val="de-DE"/>
        </w:rPr>
      </w:pPr>
      <w:r w:rsidRPr="00B140F2">
        <w:rPr>
          <w:rFonts w:cs="Arial"/>
          <w:sz w:val="18"/>
          <w:szCs w:val="18"/>
          <w:lang w:val="de-DE"/>
        </w:rPr>
        <w:t>„</w:t>
      </w:r>
      <w:r w:rsidR="0060633E" w:rsidRPr="00B140F2">
        <w:rPr>
          <w:rFonts w:cs="Arial"/>
          <w:sz w:val="18"/>
          <w:szCs w:val="18"/>
          <w:lang w:val="de-DE"/>
        </w:rPr>
        <w:t>17.</w:t>
      </w:r>
      <w:r w:rsidR="0060633E" w:rsidRPr="00B140F2">
        <w:rPr>
          <w:rFonts w:cs="Arial"/>
          <w:sz w:val="18"/>
          <w:szCs w:val="18"/>
          <w:lang w:val="de-DE"/>
        </w:rPr>
        <w:tab/>
      </w:r>
      <w:r w:rsidR="0060633E" w:rsidRPr="00B140F2">
        <w:rPr>
          <w:rFonts w:cs="Arial"/>
          <w:sz w:val="18"/>
          <w:szCs w:val="18"/>
          <w:u w:val="single"/>
          <w:lang w:val="de-DE"/>
        </w:rPr>
        <w:t>Zusätzliche Informationen</w:t>
      </w:r>
    </w:p>
    <w:p w14:paraId="111A9883" w14:textId="1E99B315" w:rsidR="00214329" w:rsidRPr="00B140F2" w:rsidRDefault="0060633E" w:rsidP="00FB1BFC">
      <w:pPr>
        <w:spacing w:after="120"/>
        <w:ind w:left="567"/>
        <w:rPr>
          <w:rFonts w:cs="Arial"/>
          <w:sz w:val="18"/>
          <w:szCs w:val="18"/>
          <w:lang w:val="de-DE"/>
        </w:rPr>
      </w:pPr>
      <w:r w:rsidRPr="00B140F2">
        <w:rPr>
          <w:rFonts w:cs="Arial"/>
          <w:sz w:val="18"/>
          <w:szCs w:val="18"/>
          <w:lang w:val="de-DE"/>
        </w:rPr>
        <w:tab/>
      </w:r>
      <w:r w:rsidR="001C4FD6" w:rsidRPr="00B140F2">
        <w:rPr>
          <w:rFonts w:cs="Arial"/>
          <w:sz w:val="18"/>
          <w:szCs w:val="18"/>
          <w:lang w:val="de-DE"/>
        </w:rPr>
        <w:t>„</w:t>
      </w:r>
      <w:r w:rsidRPr="00B140F2">
        <w:rPr>
          <w:rFonts w:cs="Arial"/>
          <w:sz w:val="18"/>
          <w:szCs w:val="18"/>
          <w:lang w:val="de-DE"/>
        </w:rPr>
        <w:t xml:space="preserve">a) </w:t>
      </w:r>
      <w:r w:rsidRPr="00B140F2">
        <w:rPr>
          <w:rFonts w:cs="Arial"/>
          <w:sz w:val="18"/>
          <w:szCs w:val="18"/>
          <w:lang w:val="de-DE"/>
        </w:rPr>
        <w:tab/>
        <w:t>Zusätzliche Daten</w:t>
      </w:r>
    </w:p>
    <w:p w14:paraId="3C518228" w14:textId="58CFE048" w:rsidR="00214329" w:rsidRPr="00B140F2" w:rsidRDefault="0060633E" w:rsidP="00FB1BFC">
      <w:pPr>
        <w:spacing w:after="120"/>
        <w:ind w:left="567"/>
        <w:rPr>
          <w:rFonts w:cs="Arial"/>
          <w:color w:val="000000"/>
          <w:sz w:val="18"/>
          <w:szCs w:val="18"/>
          <w:lang w:val="de-DE"/>
        </w:rPr>
      </w:pPr>
      <w:r w:rsidRPr="00B140F2">
        <w:rPr>
          <w:rFonts w:cs="Arial"/>
          <w:sz w:val="18"/>
          <w:szCs w:val="18"/>
          <w:lang w:val="de-DE"/>
        </w:rPr>
        <w:tab/>
      </w:r>
      <w:r w:rsidR="001C4FD6" w:rsidRPr="00B140F2">
        <w:rPr>
          <w:rFonts w:cs="Arial"/>
          <w:sz w:val="18"/>
          <w:szCs w:val="18"/>
          <w:lang w:val="de-DE"/>
        </w:rPr>
        <w:t>„</w:t>
      </w:r>
      <w:r w:rsidRPr="00B140F2">
        <w:rPr>
          <w:rFonts w:cs="Arial"/>
          <w:color w:val="000000"/>
          <w:sz w:val="18"/>
          <w:szCs w:val="18"/>
          <w:lang w:val="de-DE"/>
        </w:rPr>
        <w:t xml:space="preserve">b) </w:t>
      </w:r>
      <w:r w:rsidRPr="00B140F2">
        <w:rPr>
          <w:rFonts w:cs="Arial"/>
          <w:color w:val="000000"/>
          <w:sz w:val="18"/>
          <w:szCs w:val="18"/>
          <w:lang w:val="de-DE"/>
        </w:rPr>
        <w:tab/>
      </w:r>
      <w:r w:rsidR="008D0C17" w:rsidRPr="00B140F2">
        <w:rPr>
          <w:rFonts w:cs="Arial"/>
          <w:color w:val="000000"/>
          <w:sz w:val="18"/>
          <w:szCs w:val="18"/>
          <w:lang w:val="de-DE"/>
        </w:rPr>
        <w:t>Fotoaufnahme (falls zweckmäßig)</w:t>
      </w:r>
    </w:p>
    <w:p w14:paraId="42D76560" w14:textId="30F19107" w:rsidR="00214329" w:rsidRPr="00B140F2" w:rsidRDefault="0060633E" w:rsidP="00FB1BFC">
      <w:pPr>
        <w:spacing w:after="120"/>
        <w:ind w:left="567"/>
        <w:rPr>
          <w:rFonts w:cs="Arial"/>
          <w:color w:val="000000"/>
          <w:sz w:val="18"/>
          <w:szCs w:val="18"/>
          <w:lang w:val="de-DE"/>
        </w:rPr>
      </w:pPr>
      <w:r w:rsidRPr="00B140F2">
        <w:rPr>
          <w:rFonts w:cs="Arial"/>
          <w:sz w:val="18"/>
          <w:szCs w:val="18"/>
          <w:lang w:val="de-DE"/>
        </w:rPr>
        <w:tab/>
      </w:r>
      <w:r w:rsidR="001C4FD6" w:rsidRPr="00B140F2">
        <w:rPr>
          <w:rFonts w:cs="Arial"/>
          <w:sz w:val="18"/>
          <w:szCs w:val="18"/>
          <w:lang w:val="de-DE"/>
        </w:rPr>
        <w:t>„</w:t>
      </w:r>
      <w:r w:rsidRPr="00B140F2">
        <w:rPr>
          <w:rFonts w:cs="Arial"/>
          <w:color w:val="000000"/>
          <w:sz w:val="18"/>
          <w:szCs w:val="18"/>
          <w:lang w:val="de-DE"/>
        </w:rPr>
        <w:t xml:space="preserve">c) </w:t>
      </w:r>
      <w:r w:rsidR="008D0C17" w:rsidRPr="00B140F2">
        <w:rPr>
          <w:rFonts w:cs="Arial"/>
          <w:color w:val="000000"/>
          <w:sz w:val="18"/>
          <w:szCs w:val="18"/>
          <w:lang w:val="de-DE"/>
        </w:rPr>
        <w:tab/>
      </w:r>
      <w:r w:rsidR="009156BC" w:rsidRPr="00B140F2">
        <w:rPr>
          <w:rFonts w:cs="Arial"/>
          <w:color w:val="000000"/>
          <w:sz w:val="18"/>
          <w:szCs w:val="18"/>
          <w:lang w:val="de-DE"/>
        </w:rPr>
        <w:t>Version der verwendeten RHS-Farbkarte (falls zweckmäßig)</w:t>
      </w:r>
    </w:p>
    <w:p w14:paraId="5A53DAC6" w14:textId="09780067" w:rsidR="00214329" w:rsidRPr="00B140F2" w:rsidRDefault="0060633E" w:rsidP="00BD4986">
      <w:pPr>
        <w:tabs>
          <w:tab w:val="left" w:pos="284"/>
        </w:tabs>
        <w:spacing w:after="240"/>
        <w:ind w:left="567"/>
        <w:rPr>
          <w:rFonts w:cs="Arial"/>
          <w:sz w:val="18"/>
          <w:szCs w:val="18"/>
          <w:lang w:val="de-DE"/>
        </w:rPr>
      </w:pPr>
      <w:r w:rsidRPr="00B140F2">
        <w:rPr>
          <w:rFonts w:cs="Arial"/>
          <w:sz w:val="18"/>
          <w:szCs w:val="18"/>
          <w:lang w:val="de-DE"/>
        </w:rPr>
        <w:tab/>
      </w:r>
      <w:r w:rsidR="001C4FD6" w:rsidRPr="00B140F2">
        <w:rPr>
          <w:rFonts w:cs="Arial"/>
          <w:sz w:val="18"/>
          <w:szCs w:val="18"/>
          <w:lang w:val="de-DE"/>
        </w:rPr>
        <w:t>„</w:t>
      </w:r>
      <w:r w:rsidRPr="00B140F2">
        <w:rPr>
          <w:rFonts w:cs="Arial"/>
          <w:sz w:val="18"/>
          <w:szCs w:val="18"/>
          <w:lang w:val="de-DE"/>
        </w:rPr>
        <w:t>d)</w:t>
      </w:r>
      <w:r w:rsidRPr="00B140F2">
        <w:rPr>
          <w:rFonts w:cs="Arial"/>
          <w:sz w:val="18"/>
          <w:szCs w:val="18"/>
          <w:lang w:val="de-DE"/>
        </w:rPr>
        <w:tab/>
      </w:r>
      <w:r w:rsidR="007D62E7" w:rsidRPr="00B140F2">
        <w:rPr>
          <w:rFonts w:cs="Arial"/>
          <w:sz w:val="18"/>
          <w:szCs w:val="18"/>
          <w:lang w:val="de-DE"/>
        </w:rPr>
        <w:t>Bemerkungen</w:t>
      </w:r>
      <w:r w:rsidR="001C4FD6" w:rsidRPr="00B140F2">
        <w:rPr>
          <w:rFonts w:cs="Arial"/>
          <w:sz w:val="18"/>
          <w:szCs w:val="18"/>
          <w:lang w:val="de-DE"/>
        </w:rPr>
        <w:t>“</w:t>
      </w:r>
    </w:p>
    <w:p w14:paraId="5DFCB79E" w14:textId="1F1F276C" w:rsidR="00214329" w:rsidRPr="00B140F2" w:rsidRDefault="0060633E" w:rsidP="00BD4986">
      <w:pPr>
        <w:pStyle w:val="Annexparagraphnumbering"/>
        <w:numPr>
          <w:ilvl w:val="0"/>
          <w:numId w:val="0"/>
        </w:numPr>
        <w:spacing w:after="0"/>
        <w:rPr>
          <w:rFonts w:eastAsia="MS Mincho"/>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009156BC" w:rsidRPr="00B140F2">
        <w:rPr>
          <w:lang w:val="de-DE"/>
        </w:rPr>
        <w:tab/>
      </w:r>
      <w:r w:rsidRPr="00B140F2">
        <w:rPr>
          <w:rFonts w:eastAsia="MS Mincho"/>
          <w:lang w:val="de-DE"/>
        </w:rPr>
        <w:t>Die TWO</w:t>
      </w:r>
      <w:bookmarkStart w:id="51" w:name="_Ref158811121"/>
      <w:r w:rsidRPr="00E83514">
        <w:rPr>
          <w:rStyle w:val="FootnoteReference"/>
          <w:rFonts w:eastAsia="MS Mincho"/>
          <w:lang w:val="de-DE"/>
        </w:rPr>
        <w:footnoteReference w:id="14"/>
      </w:r>
      <w:bookmarkEnd w:id="51"/>
      <w:r w:rsidRPr="00B140F2">
        <w:rPr>
          <w:rFonts w:eastAsia="MS Mincho"/>
          <w:lang w:val="de-DE"/>
        </w:rPr>
        <w:t xml:space="preserve"> prüfte </w:t>
      </w:r>
      <w:r w:rsidRPr="00B140F2">
        <w:rPr>
          <w:lang w:val="de-DE"/>
        </w:rPr>
        <w:t xml:space="preserve">auf ihrer Tagung im Jahre 2023 </w:t>
      </w:r>
      <w:r w:rsidRPr="00B140F2">
        <w:rPr>
          <w:rFonts w:eastAsia="MS Mincho"/>
          <w:lang w:val="de-DE"/>
        </w:rPr>
        <w:t xml:space="preserve">das von einem Sachverständigen aus Neuseeland vorgelegte Dokument TWO/55/6 (vergleiche Dokument TWO/55/11 </w:t>
      </w:r>
      <w:r w:rsidR="001C4FD6" w:rsidRPr="00B140F2">
        <w:rPr>
          <w:rFonts w:eastAsia="MS Mincho"/>
          <w:lang w:val="de-DE"/>
        </w:rPr>
        <w:t>„</w:t>
      </w:r>
      <w:r w:rsidR="009156BC" w:rsidRPr="00B140F2">
        <w:rPr>
          <w:rFonts w:eastAsia="MS Mincho"/>
          <w:lang w:val="de-DE"/>
        </w:rPr>
        <w:t>Report</w:t>
      </w:r>
      <w:r w:rsidR="001C4FD6" w:rsidRPr="00B140F2">
        <w:rPr>
          <w:rFonts w:eastAsia="MS Mincho"/>
          <w:lang w:val="de-DE"/>
        </w:rPr>
        <w:t>“</w:t>
      </w:r>
      <w:r w:rsidRPr="00B140F2">
        <w:rPr>
          <w:rFonts w:eastAsia="MS Mincho"/>
          <w:lang w:val="de-DE"/>
        </w:rPr>
        <w:t>, Absätze 21 bis 25).</w:t>
      </w:r>
      <w:r w:rsidR="00FE0BFC" w:rsidRPr="00B140F2">
        <w:rPr>
          <w:rFonts w:eastAsia="MS Mincho"/>
          <w:lang w:val="de-DE"/>
        </w:rPr>
        <w:t xml:space="preserve"> </w:t>
      </w:r>
      <w:r w:rsidRPr="00B140F2">
        <w:rPr>
          <w:rFonts w:eastAsia="MS Mincho"/>
          <w:lang w:val="de-DE"/>
        </w:rPr>
        <w:t>Die TWO prüfte den in Dokument TWO/55/6</w:t>
      </w:r>
      <w:r w:rsidR="00FE0BFC" w:rsidRPr="00B140F2">
        <w:rPr>
          <w:rFonts w:eastAsia="MS Mincho"/>
          <w:lang w:val="de-DE"/>
        </w:rPr>
        <w:t xml:space="preserve"> </w:t>
      </w:r>
      <w:bookmarkStart w:id="52" w:name="_Hlk145586199"/>
      <w:bookmarkStart w:id="53" w:name="_Hlk145584469"/>
      <w:r w:rsidR="001C4FD6" w:rsidRPr="00B140F2">
        <w:rPr>
          <w:rFonts w:eastAsia="MS Mincho"/>
          <w:lang w:val="de-DE"/>
        </w:rPr>
        <w:t>„</w:t>
      </w:r>
      <w:r w:rsidR="00CE6C38" w:rsidRPr="00EE37CE">
        <w:rPr>
          <w:rFonts w:eastAsia="MS Mincho"/>
          <w:lang w:val="de-DE"/>
        </w:rPr>
        <w:t>Information required to enhance the use of existing DUS test reports</w:t>
      </w:r>
      <w:r w:rsidR="001C4FD6" w:rsidRPr="00B140F2">
        <w:rPr>
          <w:rFonts w:eastAsia="MS Mincho"/>
          <w:lang w:val="de-DE"/>
        </w:rPr>
        <w:t>“</w:t>
      </w:r>
      <w:bookmarkEnd w:id="52"/>
      <w:bookmarkEnd w:id="53"/>
      <w:r w:rsidRPr="00B140F2">
        <w:rPr>
          <w:rFonts w:eastAsia="MS Mincho"/>
          <w:lang w:val="de-DE"/>
        </w:rPr>
        <w:t xml:space="preserve"> vorgelegten Vorschlag, das Dokument TGP/5, Abschnitt 6 </w:t>
      </w:r>
      <w:r w:rsidR="001C4FD6" w:rsidRPr="00B140F2">
        <w:rPr>
          <w:rFonts w:eastAsia="MS Mincho"/>
          <w:lang w:val="de-DE"/>
        </w:rPr>
        <w:t>„</w:t>
      </w:r>
      <w:r w:rsidRPr="00B140F2">
        <w:rPr>
          <w:rFonts w:eastAsia="MS Mincho"/>
          <w:lang w:val="de-DE"/>
        </w:rPr>
        <w:t>UPOV-Sortenbeschreibung</w:t>
      </w:r>
      <w:r w:rsidR="001C4FD6" w:rsidRPr="00B140F2">
        <w:rPr>
          <w:rFonts w:eastAsia="MS Mincho"/>
          <w:lang w:val="de-DE"/>
        </w:rPr>
        <w:t>“</w:t>
      </w:r>
      <w:r w:rsidRPr="00B140F2">
        <w:rPr>
          <w:rFonts w:eastAsia="MS Mincho"/>
          <w:lang w:val="de-DE"/>
        </w:rPr>
        <w:t xml:space="preserve">, Punkt 17 </w:t>
      </w:r>
      <w:r w:rsidR="001C4FD6" w:rsidRPr="00B140F2">
        <w:rPr>
          <w:rFonts w:eastAsia="MS Mincho"/>
          <w:lang w:val="de-DE"/>
        </w:rPr>
        <w:t>„</w:t>
      </w:r>
      <w:r w:rsidRPr="00B140F2">
        <w:rPr>
          <w:rFonts w:eastAsia="MS Mincho"/>
          <w:lang w:val="de-DE"/>
        </w:rPr>
        <w:t>Zusätzliche Informationen</w:t>
      </w:r>
      <w:r w:rsidR="001C4FD6" w:rsidRPr="00B140F2">
        <w:rPr>
          <w:rFonts w:eastAsia="MS Mincho"/>
          <w:lang w:val="de-DE"/>
        </w:rPr>
        <w:t>“</w:t>
      </w:r>
      <w:r w:rsidRPr="00B140F2">
        <w:rPr>
          <w:rFonts w:eastAsia="MS Mincho"/>
          <w:lang w:val="de-DE"/>
        </w:rPr>
        <w:t xml:space="preserve"> zu ändern, um Beispiele für </w:t>
      </w:r>
      <w:r w:rsidR="001C4FD6" w:rsidRPr="00B140F2">
        <w:rPr>
          <w:rFonts w:eastAsia="MS Mincho"/>
          <w:lang w:val="de-DE"/>
        </w:rPr>
        <w:t>„</w:t>
      </w:r>
      <w:r w:rsidR="00CE6C38">
        <w:rPr>
          <w:rFonts w:eastAsia="MS Mincho"/>
          <w:lang w:val="de-DE"/>
        </w:rPr>
        <w:t>a)</w:t>
      </w:r>
      <w:r w:rsidRPr="00B140F2">
        <w:rPr>
          <w:rFonts w:eastAsia="MS Mincho"/>
          <w:lang w:val="de-DE"/>
        </w:rPr>
        <w:t xml:space="preserve"> zusätzliche Daten</w:t>
      </w:r>
      <w:r w:rsidR="001C4FD6" w:rsidRPr="00B140F2">
        <w:rPr>
          <w:rFonts w:eastAsia="MS Mincho"/>
          <w:lang w:val="de-DE"/>
        </w:rPr>
        <w:t>“</w:t>
      </w:r>
      <w:r w:rsidRPr="00B140F2">
        <w:rPr>
          <w:rFonts w:eastAsia="MS Mincho"/>
          <w:lang w:val="de-DE"/>
        </w:rPr>
        <w:t xml:space="preserve"> aufzunehmen, die mit Sortenbeschreibungen bereitgestellt werden könnten.</w:t>
      </w:r>
      <w:r w:rsidR="00FE0BFC" w:rsidRPr="00B140F2">
        <w:rPr>
          <w:rFonts w:eastAsia="MS Mincho"/>
          <w:lang w:val="de-DE"/>
        </w:rPr>
        <w:t xml:space="preserve"> </w:t>
      </w:r>
    </w:p>
    <w:p w14:paraId="431D127F" w14:textId="77777777" w:rsidR="0017630C" w:rsidRPr="00B140F2" w:rsidRDefault="0017630C" w:rsidP="00BD4986">
      <w:pPr>
        <w:pStyle w:val="Annexparagraphnumbering"/>
        <w:numPr>
          <w:ilvl w:val="0"/>
          <w:numId w:val="0"/>
        </w:numPr>
        <w:spacing w:after="0"/>
        <w:rPr>
          <w:lang w:val="de-DE"/>
        </w:rPr>
      </w:pPr>
    </w:p>
    <w:p w14:paraId="70E8221D" w14:textId="5BF92228" w:rsidR="00EE0EB0" w:rsidRPr="00B140F2" w:rsidRDefault="0060633E" w:rsidP="00BD4986">
      <w:pPr>
        <w:keepNext/>
        <w:keepLines/>
        <w:rPr>
          <w:rFonts w:eastAsia="MS Mincho"/>
          <w:spacing w:val="-2"/>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EE0EB0" w:rsidRPr="00B140F2">
        <w:rPr>
          <w:rFonts w:eastAsia="MS Mincho"/>
          <w:spacing w:val="-2"/>
          <w:lang w:val="de-DE"/>
        </w:rPr>
        <w:t xml:space="preserve">Die TWO vereinbarte vorzuschlagen, die folgende nicht erschöpfende Liste von Beispielen für </w:t>
      </w:r>
      <w:r w:rsidR="006D6A93" w:rsidRPr="00B140F2">
        <w:rPr>
          <w:rFonts w:eastAsia="MS Mincho"/>
          <w:spacing w:val="-2"/>
          <w:lang w:val="de-DE"/>
        </w:rPr>
        <w:t xml:space="preserve">zusätzliche </w:t>
      </w:r>
      <w:r w:rsidR="00754334">
        <w:rPr>
          <w:rFonts w:eastAsia="MS Mincho"/>
          <w:spacing w:val="-2"/>
          <w:lang w:val="de-DE"/>
        </w:rPr>
        <w:t>Daten</w:t>
      </w:r>
      <w:r w:rsidR="00EE0EB0" w:rsidRPr="00B140F2">
        <w:rPr>
          <w:rFonts w:eastAsia="MS Mincho"/>
          <w:spacing w:val="-2"/>
          <w:lang w:val="de-DE"/>
        </w:rPr>
        <w:t xml:space="preserve"> zur Aufnahme in das Dokument TGP/5, Abschnitt 6 zu prüfen </w:t>
      </w:r>
      <w:r w:rsidR="00EE0EB0" w:rsidRPr="00B140F2">
        <w:rPr>
          <w:spacing w:val="-2"/>
          <w:lang w:val="de-DE"/>
        </w:rPr>
        <w:t xml:space="preserve">(Zusätze sind durch Hervorhebung und </w:t>
      </w:r>
      <w:r w:rsidR="00EE0EB0" w:rsidRPr="00B140F2">
        <w:rPr>
          <w:spacing w:val="-2"/>
          <w:highlight w:val="lightGray"/>
          <w:u w:val="single"/>
          <w:lang w:val="de-DE"/>
        </w:rPr>
        <w:t>Unterstreichung</w:t>
      </w:r>
      <w:r w:rsidR="00EE0EB0" w:rsidRPr="00B140F2">
        <w:rPr>
          <w:spacing w:val="-2"/>
          <w:lang w:val="de-DE"/>
        </w:rPr>
        <w:t xml:space="preserve"> und Streichungen sind durch Hervorhebung und </w:t>
      </w:r>
      <w:r w:rsidR="00EE0EB0" w:rsidRPr="00B140F2">
        <w:rPr>
          <w:strike/>
          <w:spacing w:val="-2"/>
          <w:highlight w:val="lightGray"/>
          <w:lang w:val="de-DE"/>
        </w:rPr>
        <w:t>Durchstreichen</w:t>
      </w:r>
      <w:r w:rsidR="00EE0EB0" w:rsidRPr="00B140F2">
        <w:rPr>
          <w:spacing w:val="-2"/>
          <w:lang w:val="de-DE"/>
        </w:rPr>
        <w:t xml:space="preserve"> gekennzeichnet):</w:t>
      </w:r>
    </w:p>
    <w:p w14:paraId="1471AEC5" w14:textId="77777777" w:rsidR="00EE0EB0" w:rsidRPr="00B140F2" w:rsidRDefault="00EE0EB0" w:rsidP="00BD4986">
      <w:pPr>
        <w:rPr>
          <w:rFonts w:eastAsia="MS Mincho"/>
          <w:lang w:val="de-DE"/>
        </w:rPr>
      </w:pPr>
    </w:p>
    <w:p w14:paraId="684A7556" w14:textId="364A7F6E" w:rsidR="00EE0EB0" w:rsidRPr="00B140F2" w:rsidRDefault="00EE0EB0" w:rsidP="00FB1BFC">
      <w:pPr>
        <w:ind w:left="993" w:right="567" w:hanging="426"/>
        <w:rPr>
          <w:rFonts w:eastAsia="MS Mincho"/>
          <w:sz w:val="18"/>
          <w:szCs w:val="18"/>
          <w:lang w:val="de-DE"/>
        </w:rPr>
      </w:pPr>
      <w:r w:rsidRPr="00B140F2">
        <w:rPr>
          <w:rFonts w:eastAsia="MS Mincho"/>
          <w:sz w:val="18"/>
          <w:szCs w:val="18"/>
          <w:lang w:val="de-DE"/>
        </w:rPr>
        <w:t>„a)</w:t>
      </w:r>
      <w:r w:rsidR="00FB1BFC">
        <w:rPr>
          <w:rFonts w:eastAsia="MS Mincho"/>
          <w:sz w:val="18"/>
          <w:szCs w:val="18"/>
          <w:lang w:val="de-DE"/>
        </w:rPr>
        <w:tab/>
      </w:r>
      <w:r w:rsidR="00152C86" w:rsidRPr="00B140F2">
        <w:rPr>
          <w:rFonts w:eastAsia="MS Mincho"/>
          <w:sz w:val="18"/>
          <w:szCs w:val="18"/>
          <w:lang w:val="de-DE"/>
        </w:rPr>
        <w:t>Z</w:t>
      </w:r>
      <w:r w:rsidR="006D6A93" w:rsidRPr="00B140F2">
        <w:rPr>
          <w:rFonts w:eastAsia="MS Mincho"/>
          <w:sz w:val="18"/>
          <w:szCs w:val="18"/>
          <w:lang w:val="de-DE"/>
        </w:rPr>
        <w:t xml:space="preserve">usätzliche </w:t>
      </w:r>
      <w:r w:rsidR="00754334">
        <w:rPr>
          <w:rFonts w:eastAsia="MS Mincho"/>
          <w:sz w:val="18"/>
          <w:szCs w:val="18"/>
          <w:lang w:val="de-DE"/>
        </w:rPr>
        <w:t>Daten</w:t>
      </w:r>
      <w:r w:rsidRPr="00B140F2">
        <w:rPr>
          <w:rFonts w:eastAsia="MS Mincho"/>
          <w:sz w:val="18"/>
          <w:szCs w:val="18"/>
          <w:lang w:val="de-DE"/>
        </w:rPr>
        <w:t xml:space="preserve"> </w:t>
      </w:r>
      <w:r w:rsidR="00BF498A" w:rsidRPr="00B140F2">
        <w:rPr>
          <w:rFonts w:eastAsia="Calibri"/>
          <w:snapToGrid w:val="0"/>
          <w:sz w:val="18"/>
          <w:highlight w:val="lightGray"/>
          <w:u w:val="single"/>
          <w:lang w:val="de-DE"/>
        </w:rPr>
        <w:t>(</w:t>
      </w:r>
      <w:r w:rsidR="00981B9A" w:rsidRPr="00981B9A">
        <w:rPr>
          <w:rFonts w:eastAsia="Calibri"/>
          <w:snapToGrid w:val="0"/>
          <w:sz w:val="18"/>
          <w:highlight w:val="lightGray"/>
          <w:u w:val="single"/>
          <w:lang w:val="de-DE"/>
        </w:rPr>
        <w:t>z. B. COYU- oder COYD-Ergebnisse, bestimmte Merkmale unterstützende Messdaten, Skalen für gemessene Merkmale für Beispielssorten</w:t>
      </w:r>
      <w:r w:rsidR="00BF498A" w:rsidRPr="00E83514">
        <w:rPr>
          <w:rFonts w:eastAsia="Calibri"/>
          <w:snapToGrid w:val="0"/>
          <w:sz w:val="18"/>
          <w:highlight w:val="lightGray"/>
          <w:lang w:val="de-DE"/>
        </w:rPr>
        <w:t>)</w:t>
      </w:r>
      <w:r w:rsidRPr="00B140F2">
        <w:rPr>
          <w:rFonts w:eastAsia="MS Mincho"/>
          <w:sz w:val="18"/>
          <w:szCs w:val="18"/>
          <w:lang w:val="de-DE"/>
        </w:rPr>
        <w:t>“</w:t>
      </w:r>
    </w:p>
    <w:p w14:paraId="53603C92" w14:textId="0B843FCF" w:rsidR="001A56C6" w:rsidRPr="00B140F2" w:rsidRDefault="001A56C6" w:rsidP="00BD4986">
      <w:pPr>
        <w:pStyle w:val="Annexparagraphnumbering"/>
        <w:numPr>
          <w:ilvl w:val="0"/>
          <w:numId w:val="0"/>
        </w:numPr>
        <w:spacing w:after="0"/>
        <w:rPr>
          <w:lang w:val="de-DE"/>
        </w:rPr>
      </w:pPr>
    </w:p>
    <w:p w14:paraId="3724BF2D" w14:textId="1A3A38B6" w:rsidR="0048717D"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48717D" w:rsidRPr="00B140F2">
        <w:rPr>
          <w:lang w:val="de-DE"/>
        </w:rPr>
        <w:t xml:space="preserve">Die TWO vereinbarte, die Aufnahme des folgenden </w:t>
      </w:r>
      <w:r w:rsidR="00CE6C38">
        <w:rPr>
          <w:lang w:val="de-DE"/>
        </w:rPr>
        <w:t>z</w:t>
      </w:r>
      <w:r w:rsidR="00CE6C38" w:rsidRPr="00B140F2">
        <w:rPr>
          <w:lang w:val="de-DE"/>
        </w:rPr>
        <w:t>us</w:t>
      </w:r>
      <w:r w:rsidR="00CE6C38">
        <w:rPr>
          <w:lang w:val="de-DE"/>
        </w:rPr>
        <w:t>ä</w:t>
      </w:r>
      <w:r w:rsidR="00CE6C38" w:rsidRPr="00B140F2">
        <w:rPr>
          <w:lang w:val="de-DE"/>
        </w:rPr>
        <w:t>tz</w:t>
      </w:r>
      <w:r w:rsidR="00CE6C38">
        <w:rPr>
          <w:lang w:val="de-DE"/>
        </w:rPr>
        <w:t>lichen E</w:t>
      </w:r>
      <w:r w:rsidR="00CE6C38" w:rsidRPr="00B140F2">
        <w:rPr>
          <w:lang w:val="de-DE"/>
        </w:rPr>
        <w:t xml:space="preserve">lements </w:t>
      </w:r>
      <w:r w:rsidR="0048717D" w:rsidRPr="00B140F2">
        <w:rPr>
          <w:lang w:val="de-DE"/>
        </w:rPr>
        <w:t>in die Liste der „</w:t>
      </w:r>
      <w:r w:rsidR="006D6A93" w:rsidRPr="00B140F2">
        <w:rPr>
          <w:lang w:val="de-DE"/>
        </w:rPr>
        <w:t>zusätzliche</w:t>
      </w:r>
      <w:r w:rsidR="009F6702" w:rsidRPr="00B140F2">
        <w:rPr>
          <w:lang w:val="de-DE"/>
        </w:rPr>
        <w:t>n</w:t>
      </w:r>
      <w:r w:rsidR="006D6A93" w:rsidRPr="00B140F2">
        <w:rPr>
          <w:lang w:val="de-DE"/>
        </w:rPr>
        <w:t xml:space="preserve"> Informationen</w:t>
      </w:r>
      <w:r w:rsidR="0048717D" w:rsidRPr="00B140F2">
        <w:rPr>
          <w:lang w:val="de-DE"/>
        </w:rPr>
        <w:t>“ in Abschnitt 17 von Dokument TGP/5, Abschnitt 6, vorzuschlagen:</w:t>
      </w:r>
    </w:p>
    <w:p w14:paraId="17C6EE27" w14:textId="77777777" w:rsidR="0048717D" w:rsidRPr="00B140F2" w:rsidRDefault="0048717D" w:rsidP="00BD4986">
      <w:pPr>
        <w:rPr>
          <w:sz w:val="18"/>
          <w:szCs w:val="18"/>
          <w:lang w:val="de-DE"/>
        </w:rPr>
      </w:pPr>
    </w:p>
    <w:p w14:paraId="45AB089D" w14:textId="0D27AD07" w:rsidR="0048717D" w:rsidRPr="00B140F2" w:rsidRDefault="0048717D" w:rsidP="00FB1BFC">
      <w:pPr>
        <w:ind w:left="993" w:hanging="426"/>
        <w:rPr>
          <w:rFonts w:eastAsia="MS Mincho"/>
          <w:sz w:val="18"/>
          <w:szCs w:val="18"/>
          <w:lang w:val="de-DE"/>
        </w:rPr>
      </w:pPr>
      <w:r w:rsidRPr="00B140F2">
        <w:rPr>
          <w:sz w:val="18"/>
          <w:szCs w:val="18"/>
          <w:lang w:val="de-DE"/>
        </w:rPr>
        <w:t>„d</w:t>
      </w:r>
      <w:r w:rsidR="00FB1BFC">
        <w:rPr>
          <w:sz w:val="18"/>
          <w:szCs w:val="18"/>
          <w:lang w:val="de-DE"/>
        </w:rPr>
        <w:tab/>
      </w:r>
      <w:r w:rsidRPr="00B140F2">
        <w:rPr>
          <w:rFonts w:eastAsia="MS Mincho"/>
          <w:sz w:val="18"/>
          <w:szCs w:val="18"/>
          <w:highlight w:val="lightGray"/>
          <w:u w:val="single"/>
          <w:lang w:val="de-DE"/>
        </w:rPr>
        <w:t>Bei der Prüfung in der Anbauprüfung verwendete Beispielssorten</w:t>
      </w:r>
      <w:r w:rsidRPr="00B140F2">
        <w:rPr>
          <w:rFonts w:eastAsia="MS Mincho"/>
          <w:sz w:val="18"/>
          <w:szCs w:val="18"/>
          <w:lang w:val="de-DE"/>
        </w:rPr>
        <w:t>“</w:t>
      </w:r>
    </w:p>
    <w:p w14:paraId="6E206EEA" w14:textId="4D763C96" w:rsidR="00B84B30" w:rsidRPr="00B140F2" w:rsidRDefault="00B84B30" w:rsidP="00BD4986">
      <w:pPr>
        <w:pStyle w:val="Annexparagraphnumbering"/>
        <w:numPr>
          <w:ilvl w:val="0"/>
          <w:numId w:val="0"/>
        </w:numPr>
        <w:spacing w:after="0"/>
        <w:rPr>
          <w:rFonts w:eastAsia="MS Mincho"/>
          <w:lang w:val="de-DE"/>
        </w:rPr>
      </w:pPr>
    </w:p>
    <w:p w14:paraId="6D4BF79F" w14:textId="45FBB394"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Der TC vereinbarte auf </w:t>
      </w:r>
      <w:r w:rsidR="00CE6C38">
        <w:rPr>
          <w:lang w:val="de-DE"/>
        </w:rPr>
        <w:t>seiner</w:t>
      </w:r>
      <w:r w:rsidR="00CE6C38" w:rsidRPr="00B140F2">
        <w:rPr>
          <w:lang w:val="de-DE"/>
        </w:rPr>
        <w:t xml:space="preserve"> </w:t>
      </w:r>
      <w:r w:rsidRPr="00B140F2">
        <w:rPr>
          <w:lang w:val="de-DE"/>
        </w:rPr>
        <w:t>Tagung im Jahr 2023</w:t>
      </w:r>
      <w:r w:rsidR="00CE6C38" w:rsidRPr="00B140F2">
        <w:rPr>
          <w:lang w:val="de-DE"/>
        </w:rPr>
        <w:t>, die TWP</w:t>
      </w:r>
      <w:r w:rsidRPr="00B140F2">
        <w:rPr>
          <w:lang w:val="de-DE"/>
        </w:rPr>
        <w:t xml:space="preserve"> zu ersuchen, auf ihren Tagungen im Jahr 2024 folgende Überarbeitung des Dokuments TGP/5, Abschnitt 6, Punkt 17 </w:t>
      </w:r>
      <w:r w:rsidR="001C4FD6" w:rsidRPr="00B140F2">
        <w:rPr>
          <w:lang w:val="de-DE"/>
        </w:rPr>
        <w:t>„</w:t>
      </w:r>
      <w:r w:rsidR="00A66DED" w:rsidRPr="00B140F2">
        <w:rPr>
          <w:lang w:val="de-DE"/>
        </w:rPr>
        <w:t>Zusätzliche Informationen</w:t>
      </w:r>
      <w:r w:rsidR="001C4FD6" w:rsidRPr="00B140F2">
        <w:rPr>
          <w:lang w:val="de-DE"/>
        </w:rPr>
        <w:t>“</w:t>
      </w:r>
      <w:r w:rsidR="00A66DED" w:rsidRPr="00B140F2">
        <w:rPr>
          <w:lang w:val="de-DE"/>
        </w:rPr>
        <w:t xml:space="preserve"> </w:t>
      </w:r>
      <w:r w:rsidRPr="00B140F2">
        <w:rPr>
          <w:lang w:val="de-DE"/>
        </w:rPr>
        <w:t xml:space="preserve">zu prüfen und zu entscheiden, ob weitere Anleitung zu </w:t>
      </w:r>
      <w:r w:rsidRPr="00B140F2">
        <w:rPr>
          <w:rFonts w:eastAsia="MS Mincho"/>
          <w:spacing w:val="-2"/>
          <w:lang w:val="de-DE"/>
        </w:rPr>
        <w:t xml:space="preserve">zusätzlichen Informationen </w:t>
      </w:r>
      <w:r w:rsidR="00546A3E" w:rsidRPr="00B140F2">
        <w:rPr>
          <w:rFonts w:eastAsia="MS Mincho"/>
          <w:spacing w:val="-2"/>
          <w:lang w:val="de-DE"/>
        </w:rPr>
        <w:t xml:space="preserve">für </w:t>
      </w:r>
      <w:r w:rsidRPr="00B140F2">
        <w:rPr>
          <w:rFonts w:eastAsia="MS Mincho"/>
          <w:spacing w:val="-2"/>
          <w:lang w:val="de-DE"/>
        </w:rPr>
        <w:t xml:space="preserve">Sortenbeschreibungen </w:t>
      </w:r>
      <w:r w:rsidRPr="00B140F2">
        <w:rPr>
          <w:lang w:val="de-DE"/>
        </w:rPr>
        <w:t xml:space="preserve">gegeben werden soll </w:t>
      </w:r>
      <w:r w:rsidR="00CE6C38" w:rsidRPr="00B140F2">
        <w:rPr>
          <w:spacing w:val="-2"/>
          <w:lang w:val="de-DE"/>
        </w:rPr>
        <w:t xml:space="preserve">(Zusätze sind durch Hervorhebung und </w:t>
      </w:r>
      <w:r w:rsidR="00CE6C38" w:rsidRPr="00B140F2">
        <w:rPr>
          <w:spacing w:val="-2"/>
          <w:highlight w:val="lightGray"/>
          <w:u w:val="single"/>
          <w:lang w:val="de-DE"/>
        </w:rPr>
        <w:t>Unterstreichung</w:t>
      </w:r>
      <w:r w:rsidR="00CE6C38" w:rsidRPr="00B140F2">
        <w:rPr>
          <w:spacing w:val="-2"/>
          <w:lang w:val="de-DE"/>
        </w:rPr>
        <w:t xml:space="preserve"> und Streichungen sind durch Hervorhebung und </w:t>
      </w:r>
      <w:r w:rsidR="00CE6C38" w:rsidRPr="00B140F2">
        <w:rPr>
          <w:strike/>
          <w:spacing w:val="-2"/>
          <w:highlight w:val="lightGray"/>
          <w:lang w:val="de-DE"/>
        </w:rPr>
        <w:t>Durchstreichen</w:t>
      </w:r>
      <w:r w:rsidR="00CE6C38" w:rsidRPr="00B140F2">
        <w:rPr>
          <w:spacing w:val="-2"/>
          <w:lang w:val="de-DE"/>
        </w:rPr>
        <w:t xml:space="preserve"> gekennzeichnet)</w:t>
      </w:r>
      <w:r w:rsidRPr="00B140F2">
        <w:rPr>
          <w:lang w:val="de-DE"/>
        </w:rPr>
        <w:t>:</w:t>
      </w:r>
    </w:p>
    <w:p w14:paraId="41C2FE32" w14:textId="77777777" w:rsidR="00EA1DFC" w:rsidRPr="00B140F2" w:rsidRDefault="00EA1DFC" w:rsidP="00BD4986">
      <w:pPr>
        <w:rPr>
          <w:lang w:val="de-DE"/>
        </w:rPr>
      </w:pPr>
    </w:p>
    <w:p w14:paraId="217049A0" w14:textId="77777777" w:rsidR="00EA1DFC" w:rsidRPr="00B140F2" w:rsidRDefault="00EA1DFC" w:rsidP="00FB1BFC">
      <w:pPr>
        <w:spacing w:after="120"/>
        <w:ind w:left="567"/>
        <w:rPr>
          <w:rFonts w:cs="Arial"/>
          <w:sz w:val="18"/>
          <w:szCs w:val="18"/>
          <w:lang w:val="de-DE"/>
        </w:rPr>
      </w:pPr>
      <w:r w:rsidRPr="00B140F2">
        <w:rPr>
          <w:rFonts w:cs="Arial"/>
          <w:sz w:val="18"/>
          <w:szCs w:val="18"/>
          <w:lang w:val="de-DE"/>
        </w:rPr>
        <w:t>17.</w:t>
      </w:r>
      <w:r w:rsidRPr="00B140F2">
        <w:rPr>
          <w:rFonts w:cs="Arial"/>
          <w:sz w:val="18"/>
          <w:szCs w:val="18"/>
          <w:lang w:val="de-DE"/>
        </w:rPr>
        <w:tab/>
      </w:r>
      <w:r w:rsidRPr="00B140F2">
        <w:rPr>
          <w:rFonts w:cs="Arial"/>
          <w:sz w:val="18"/>
          <w:szCs w:val="18"/>
          <w:u w:val="single"/>
          <w:lang w:val="de-DE"/>
        </w:rPr>
        <w:t>Zusätzliche Informationen</w:t>
      </w:r>
    </w:p>
    <w:p w14:paraId="08B71E29" w14:textId="5CDAB963" w:rsidR="00EA1DFC" w:rsidRPr="00B140F2" w:rsidRDefault="00EA1DFC" w:rsidP="00FB1BFC">
      <w:pPr>
        <w:spacing w:after="120"/>
        <w:ind w:left="1134" w:firstLine="9"/>
        <w:rPr>
          <w:rFonts w:cs="Arial"/>
          <w:sz w:val="18"/>
          <w:szCs w:val="18"/>
          <w:lang w:val="de-DE"/>
        </w:rPr>
      </w:pPr>
      <w:r w:rsidRPr="00B140F2">
        <w:rPr>
          <w:rFonts w:cs="Arial"/>
          <w:sz w:val="18"/>
          <w:szCs w:val="18"/>
          <w:lang w:val="de-DE"/>
        </w:rPr>
        <w:t xml:space="preserve">„a) </w:t>
      </w:r>
      <w:r w:rsidRPr="00B140F2">
        <w:rPr>
          <w:rFonts w:cs="Arial"/>
          <w:sz w:val="18"/>
          <w:szCs w:val="18"/>
          <w:lang w:val="de-DE"/>
        </w:rPr>
        <w:tab/>
        <w:t xml:space="preserve">Zusätzliche Daten </w:t>
      </w:r>
      <w:r w:rsidRPr="00B140F2">
        <w:rPr>
          <w:rFonts w:eastAsia="Calibri"/>
          <w:snapToGrid w:val="0"/>
          <w:sz w:val="18"/>
          <w:highlight w:val="lightGray"/>
          <w:u w:val="single"/>
          <w:lang w:val="de-DE"/>
        </w:rPr>
        <w:t>(</w:t>
      </w:r>
      <w:r w:rsidR="00981B9A" w:rsidRPr="00981B9A">
        <w:rPr>
          <w:rFonts w:eastAsia="Calibri"/>
          <w:snapToGrid w:val="0"/>
          <w:sz w:val="18"/>
          <w:highlight w:val="lightGray"/>
          <w:u w:val="single"/>
          <w:lang w:val="de-DE"/>
        </w:rPr>
        <w:t>z. B. COYU- oder COYD-Ergebnisse, bestimmte Merkmale unterstützende Messdaten, Skalen für gemessene Merkmale für Beispielssorten</w:t>
      </w:r>
      <w:r w:rsidRPr="00B140F2">
        <w:rPr>
          <w:rFonts w:eastAsia="Calibri"/>
          <w:snapToGrid w:val="0"/>
          <w:sz w:val="18"/>
          <w:lang w:val="de-DE"/>
        </w:rPr>
        <w:t>)</w:t>
      </w:r>
    </w:p>
    <w:p w14:paraId="2ABEB3DB" w14:textId="77777777" w:rsidR="00EA1DFC" w:rsidRPr="00B140F2" w:rsidRDefault="00EA1DFC" w:rsidP="00FB1BFC">
      <w:pPr>
        <w:spacing w:after="120"/>
        <w:ind w:left="567"/>
        <w:rPr>
          <w:rFonts w:cs="Arial"/>
          <w:color w:val="000000"/>
          <w:sz w:val="18"/>
          <w:szCs w:val="18"/>
          <w:lang w:val="de-DE"/>
        </w:rPr>
      </w:pPr>
      <w:r w:rsidRPr="00B140F2">
        <w:rPr>
          <w:rFonts w:cs="Arial"/>
          <w:sz w:val="18"/>
          <w:szCs w:val="18"/>
          <w:lang w:val="de-DE"/>
        </w:rPr>
        <w:tab/>
        <w:t>„</w:t>
      </w:r>
      <w:r w:rsidRPr="00B140F2">
        <w:rPr>
          <w:rFonts w:cs="Arial"/>
          <w:color w:val="000000"/>
          <w:sz w:val="18"/>
          <w:szCs w:val="18"/>
          <w:lang w:val="de-DE"/>
        </w:rPr>
        <w:t xml:space="preserve">b) </w:t>
      </w:r>
      <w:r w:rsidRPr="00B140F2">
        <w:rPr>
          <w:rFonts w:cs="Arial"/>
          <w:color w:val="000000"/>
          <w:sz w:val="18"/>
          <w:szCs w:val="18"/>
          <w:lang w:val="de-DE"/>
        </w:rPr>
        <w:tab/>
        <w:t>Fotoaufnahme (falls zweckmäßig)</w:t>
      </w:r>
    </w:p>
    <w:p w14:paraId="23FA7E26" w14:textId="77777777" w:rsidR="00EA1DFC" w:rsidRPr="00B140F2" w:rsidRDefault="00EA1DFC" w:rsidP="00FB1BFC">
      <w:pPr>
        <w:spacing w:after="120"/>
        <w:ind w:left="567"/>
        <w:rPr>
          <w:rFonts w:cs="Arial"/>
          <w:color w:val="000000"/>
          <w:sz w:val="18"/>
          <w:szCs w:val="18"/>
          <w:lang w:val="de-DE"/>
        </w:rPr>
      </w:pPr>
      <w:r w:rsidRPr="00B140F2">
        <w:rPr>
          <w:rFonts w:cs="Arial"/>
          <w:sz w:val="18"/>
          <w:szCs w:val="18"/>
          <w:lang w:val="de-DE"/>
        </w:rPr>
        <w:tab/>
        <w:t>„</w:t>
      </w:r>
      <w:r w:rsidRPr="00B140F2">
        <w:rPr>
          <w:rFonts w:cs="Arial"/>
          <w:color w:val="000000"/>
          <w:sz w:val="18"/>
          <w:szCs w:val="18"/>
          <w:lang w:val="de-DE"/>
        </w:rPr>
        <w:t xml:space="preserve">c) </w:t>
      </w:r>
      <w:r w:rsidRPr="00B140F2">
        <w:rPr>
          <w:rFonts w:cs="Arial"/>
          <w:color w:val="000000"/>
          <w:sz w:val="18"/>
          <w:szCs w:val="18"/>
          <w:lang w:val="de-DE"/>
        </w:rPr>
        <w:tab/>
        <w:t>Version der verwendeten RHS-Farbkarte (falls zweckmäßig)</w:t>
      </w:r>
    </w:p>
    <w:p w14:paraId="606B0D4E" w14:textId="780E1AF3" w:rsidR="00EA1DFC" w:rsidRPr="00B140F2" w:rsidRDefault="00EA1DFC" w:rsidP="00FB1BFC">
      <w:pPr>
        <w:tabs>
          <w:tab w:val="left" w:pos="284"/>
        </w:tabs>
        <w:spacing w:after="120"/>
        <w:ind w:left="567"/>
        <w:rPr>
          <w:rFonts w:cs="Arial"/>
          <w:sz w:val="18"/>
          <w:szCs w:val="18"/>
          <w:lang w:val="de-DE"/>
        </w:rPr>
      </w:pPr>
      <w:r w:rsidRPr="00B140F2">
        <w:rPr>
          <w:rFonts w:cs="Arial"/>
          <w:sz w:val="18"/>
          <w:szCs w:val="18"/>
          <w:lang w:val="de-DE"/>
        </w:rPr>
        <w:tab/>
        <w:t>„d)</w:t>
      </w:r>
      <w:r w:rsidRPr="00B140F2">
        <w:rPr>
          <w:rFonts w:cs="Arial"/>
          <w:sz w:val="18"/>
          <w:szCs w:val="18"/>
          <w:lang w:val="de-DE"/>
        </w:rPr>
        <w:tab/>
      </w:r>
      <w:r w:rsidR="00EE63CD">
        <w:rPr>
          <w:rFonts w:eastAsia="Calibri"/>
          <w:snapToGrid w:val="0"/>
          <w:sz w:val="18"/>
          <w:highlight w:val="lightGray"/>
          <w:u w:val="single"/>
          <w:lang w:val="de-DE"/>
        </w:rPr>
        <w:t>Bei</w:t>
      </w:r>
      <w:r w:rsidR="004679D4" w:rsidRPr="00BF498A">
        <w:rPr>
          <w:rFonts w:eastAsia="Calibri"/>
          <w:snapToGrid w:val="0"/>
          <w:sz w:val="18"/>
          <w:highlight w:val="lightGray"/>
          <w:u w:val="single"/>
          <w:lang w:val="de-DE"/>
        </w:rPr>
        <w:t xml:space="preserve"> der </w:t>
      </w:r>
      <w:r w:rsidR="004679D4" w:rsidRPr="00E83514">
        <w:rPr>
          <w:rFonts w:eastAsia="Calibri"/>
          <w:snapToGrid w:val="0"/>
          <w:sz w:val="18"/>
          <w:highlight w:val="lightGray"/>
          <w:u w:val="single"/>
          <w:lang w:val="de-DE"/>
        </w:rPr>
        <w:t>Prüfung</w:t>
      </w:r>
      <w:r w:rsidR="004679D4" w:rsidRPr="00BF498A">
        <w:rPr>
          <w:rFonts w:eastAsia="Calibri"/>
          <w:snapToGrid w:val="0"/>
          <w:sz w:val="18"/>
          <w:highlight w:val="lightGray"/>
          <w:u w:val="single"/>
          <w:lang w:val="de-DE"/>
        </w:rPr>
        <w:t xml:space="preserve"> verwendete </w:t>
      </w:r>
      <w:r w:rsidR="00EE63CD">
        <w:rPr>
          <w:rFonts w:eastAsia="Calibri"/>
          <w:snapToGrid w:val="0"/>
          <w:sz w:val="18"/>
          <w:highlight w:val="lightGray"/>
          <w:u w:val="single"/>
          <w:lang w:val="de-DE"/>
        </w:rPr>
        <w:t>Beispielss</w:t>
      </w:r>
      <w:r w:rsidR="004679D4" w:rsidRPr="00BF498A">
        <w:rPr>
          <w:rFonts w:eastAsia="Calibri"/>
          <w:snapToGrid w:val="0"/>
          <w:sz w:val="18"/>
          <w:highlight w:val="lightGray"/>
          <w:u w:val="single"/>
          <w:lang w:val="de-DE"/>
        </w:rPr>
        <w:t>orten</w:t>
      </w:r>
    </w:p>
    <w:p w14:paraId="716EA536" w14:textId="77777777" w:rsidR="004679D4" w:rsidRPr="00B140F2" w:rsidRDefault="004679D4" w:rsidP="00BD4986">
      <w:pPr>
        <w:tabs>
          <w:tab w:val="left" w:pos="284"/>
        </w:tabs>
        <w:spacing w:after="240"/>
        <w:ind w:left="567"/>
        <w:rPr>
          <w:rFonts w:cs="Arial"/>
          <w:sz w:val="18"/>
          <w:szCs w:val="18"/>
          <w:lang w:val="de-DE"/>
        </w:rPr>
      </w:pPr>
      <w:r w:rsidRPr="00B140F2">
        <w:rPr>
          <w:rFonts w:cs="Arial"/>
          <w:sz w:val="18"/>
          <w:szCs w:val="18"/>
          <w:lang w:val="de-DE"/>
        </w:rPr>
        <w:tab/>
      </w:r>
      <w:r w:rsidRPr="00754334">
        <w:rPr>
          <w:rFonts w:cs="Arial"/>
          <w:sz w:val="18"/>
          <w:szCs w:val="18"/>
          <w:highlight w:val="lightGray"/>
          <w:u w:val="single"/>
          <w:lang w:val="de-DE"/>
        </w:rPr>
        <w:t>„e)</w:t>
      </w:r>
      <w:r w:rsidRPr="00B140F2">
        <w:rPr>
          <w:rFonts w:cs="Arial"/>
          <w:sz w:val="18"/>
          <w:szCs w:val="18"/>
          <w:lang w:val="de-DE"/>
        </w:rPr>
        <w:tab/>
        <w:t>Bemerkungen“</w:t>
      </w:r>
    </w:p>
    <w:p w14:paraId="6187B7D0" w14:textId="4A4FF3FD" w:rsidR="00214329" w:rsidRPr="00B140F2" w:rsidRDefault="007D62E7" w:rsidP="00FB1BFC">
      <w:pPr>
        <w:keepNext/>
        <w:rPr>
          <w:i/>
          <w:lang w:val="de-DE"/>
        </w:rPr>
      </w:pPr>
      <w:r w:rsidRPr="00B140F2">
        <w:rPr>
          <w:i/>
          <w:lang w:val="de-DE"/>
        </w:rPr>
        <w:lastRenderedPageBreak/>
        <w:t>Bemerkungen</w:t>
      </w:r>
      <w:r w:rsidR="0060633E" w:rsidRPr="00B140F2">
        <w:rPr>
          <w:i/>
          <w:lang w:val="de-DE"/>
        </w:rPr>
        <w:t xml:space="preserve"> der</w:t>
      </w:r>
      <w:r w:rsidR="001F146A" w:rsidRPr="00B140F2">
        <w:rPr>
          <w:i/>
          <w:lang w:val="de-DE"/>
        </w:rPr>
        <w:t xml:space="preserve"> Technischen Arbeitsgruppen </w:t>
      </w:r>
      <w:r w:rsidR="0060633E" w:rsidRPr="00B140F2">
        <w:rPr>
          <w:i/>
          <w:lang w:val="de-DE"/>
        </w:rPr>
        <w:t>im Jahr 2024</w:t>
      </w:r>
    </w:p>
    <w:p w14:paraId="2EA39083" w14:textId="77777777" w:rsidR="00B84B30" w:rsidRPr="00B140F2" w:rsidRDefault="00B84B30" w:rsidP="00FB1BFC">
      <w:pPr>
        <w:keepNext/>
        <w:rPr>
          <w:lang w:val="de-DE"/>
        </w:rPr>
      </w:pPr>
    </w:p>
    <w:p w14:paraId="53EBC549" w14:textId="71D0F609"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17630C" w:rsidRPr="00B140F2">
        <w:rPr>
          <w:lang w:val="de-DE"/>
        </w:rPr>
        <w:t xml:space="preserve">Die TWV, die TWO, die TWA und die TWF prüften </w:t>
      </w:r>
      <w:r w:rsidR="00ED72AC" w:rsidRPr="00B140F2">
        <w:rPr>
          <w:rFonts w:eastAsiaTheme="minorEastAsia"/>
          <w:lang w:val="de-DE"/>
        </w:rPr>
        <w:t xml:space="preserve">auf ihren Tagungen im Jahr 2024 </w:t>
      </w:r>
      <w:r w:rsidR="0017630C" w:rsidRPr="00B140F2">
        <w:rPr>
          <w:lang w:val="de-DE"/>
        </w:rPr>
        <w:t xml:space="preserve">die zusätzlichen Erläuterungen, die zur Aufnahme unter Punkt 17 </w:t>
      </w:r>
      <w:r w:rsidR="001C4FD6" w:rsidRPr="00B140F2">
        <w:rPr>
          <w:lang w:val="de-DE"/>
        </w:rPr>
        <w:t>„</w:t>
      </w:r>
      <w:r w:rsidR="0017630C" w:rsidRPr="00B140F2">
        <w:rPr>
          <w:lang w:val="de-DE"/>
        </w:rPr>
        <w:t>Zusätzliche Informationen</w:t>
      </w:r>
      <w:r w:rsidR="001C4FD6" w:rsidRPr="00B140F2">
        <w:rPr>
          <w:lang w:val="de-DE"/>
        </w:rPr>
        <w:t>“</w:t>
      </w:r>
      <w:r w:rsidR="0017630C" w:rsidRPr="00B140F2">
        <w:rPr>
          <w:lang w:val="de-DE"/>
        </w:rPr>
        <w:t xml:space="preserve"> in die </w:t>
      </w:r>
      <w:r w:rsidR="001C4FD6" w:rsidRPr="00B140F2">
        <w:rPr>
          <w:lang w:val="de-DE"/>
        </w:rPr>
        <w:t>„</w:t>
      </w:r>
      <w:r w:rsidR="0017630C" w:rsidRPr="00B140F2">
        <w:rPr>
          <w:lang w:val="de-DE"/>
        </w:rPr>
        <w:t>UPOV-Sortenbeschreibung</w:t>
      </w:r>
      <w:r w:rsidR="001C4FD6" w:rsidRPr="00B140F2">
        <w:rPr>
          <w:lang w:val="de-DE"/>
        </w:rPr>
        <w:t>“</w:t>
      </w:r>
      <w:r w:rsidR="0017630C" w:rsidRPr="00B140F2">
        <w:rPr>
          <w:lang w:val="de-DE"/>
        </w:rPr>
        <w:t xml:space="preserve"> vorgeschlagen wurden, wie in Absatz </w:t>
      </w:r>
      <w:r w:rsidR="00CC61B2" w:rsidRPr="00B140F2">
        <w:rPr>
          <w:lang w:val="de-DE"/>
        </w:rPr>
        <w:t>28</w:t>
      </w:r>
      <w:r w:rsidR="00E20002" w:rsidRPr="00B140F2">
        <w:rPr>
          <w:lang w:val="de-DE"/>
        </w:rPr>
        <w:t xml:space="preserve"> vorstehend </w:t>
      </w:r>
      <w:r w:rsidR="0017630C" w:rsidRPr="00B140F2">
        <w:rPr>
          <w:lang w:val="de-DE"/>
        </w:rPr>
        <w:t>dargelegt.</w:t>
      </w:r>
    </w:p>
    <w:p w14:paraId="16FC573E" w14:textId="77777777" w:rsidR="0017630C" w:rsidRPr="00B140F2" w:rsidRDefault="0017630C" w:rsidP="00BD4986">
      <w:pPr>
        <w:rPr>
          <w:lang w:val="de-DE"/>
        </w:rPr>
      </w:pPr>
    </w:p>
    <w:p w14:paraId="69AB9134" w14:textId="77777777" w:rsidR="00214329" w:rsidRPr="00B140F2" w:rsidRDefault="0060633E" w:rsidP="00BD4986">
      <w:pPr>
        <w:rPr>
          <w:rFonts w:eastAsia="Calibri"/>
          <w:snapToGrid w:val="0"/>
          <w:sz w:val="18"/>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Die TWV stimmte dem Vorschlag zu</w:t>
      </w:r>
      <w:r w:rsidR="00B35FF2" w:rsidRPr="00B140F2">
        <w:rPr>
          <w:lang w:val="de-DE"/>
        </w:rPr>
        <w:t>.</w:t>
      </w:r>
    </w:p>
    <w:p w14:paraId="75EE741E" w14:textId="77777777" w:rsidR="0017630C" w:rsidRPr="00B140F2" w:rsidRDefault="0017630C" w:rsidP="00BD4986">
      <w:pPr>
        <w:rPr>
          <w:rFonts w:eastAsiaTheme="minorEastAsia"/>
          <w:lang w:val="de-DE"/>
        </w:rPr>
      </w:pPr>
    </w:p>
    <w:p w14:paraId="57E9A93E" w14:textId="74793D4C" w:rsidR="00214329" w:rsidRPr="00B140F2" w:rsidRDefault="0060633E" w:rsidP="00BD4986">
      <w:pPr>
        <w:pStyle w:val="EndnoteText"/>
        <w:keepLines/>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TWO </w:t>
      </w:r>
      <w:r w:rsidR="00F75B8B" w:rsidRPr="00B140F2">
        <w:rPr>
          <w:lang w:val="de-DE"/>
        </w:rPr>
        <w:t>nahm zur Kenntnis</w:t>
      </w:r>
      <w:r w:rsidRPr="00B140F2">
        <w:rPr>
          <w:lang w:val="de-DE"/>
        </w:rPr>
        <w:t xml:space="preserve">, </w:t>
      </w:r>
      <w:r w:rsidR="00350639" w:rsidRPr="00B140F2">
        <w:rPr>
          <w:lang w:val="de-DE"/>
        </w:rPr>
        <w:t xml:space="preserve">dass </w:t>
      </w:r>
      <w:r w:rsidRPr="00B140F2">
        <w:rPr>
          <w:lang w:val="de-DE"/>
        </w:rPr>
        <w:t xml:space="preserve">einige der unter </w:t>
      </w:r>
      <w:r w:rsidR="001C4FD6" w:rsidRPr="00B140F2">
        <w:rPr>
          <w:lang w:val="de-DE"/>
        </w:rPr>
        <w:t>„</w:t>
      </w:r>
      <w:r w:rsidRPr="00B140F2">
        <w:rPr>
          <w:lang w:val="de-DE"/>
        </w:rPr>
        <w:t>a) Zusätzliche Daten</w:t>
      </w:r>
      <w:r w:rsidR="001C4FD6" w:rsidRPr="00B140F2">
        <w:rPr>
          <w:lang w:val="de-DE"/>
        </w:rPr>
        <w:t>“</w:t>
      </w:r>
      <w:r w:rsidRPr="00B140F2">
        <w:rPr>
          <w:lang w:val="de-DE"/>
        </w:rPr>
        <w:t xml:space="preserve"> angegebenen Beispiele für Zierpflanzen nicht üblich seien, wie </w:t>
      </w:r>
      <w:r w:rsidR="00BF498A">
        <w:rPr>
          <w:lang w:val="de-DE"/>
        </w:rPr>
        <w:t xml:space="preserve">etwa </w:t>
      </w:r>
      <w:r w:rsidRPr="00B140F2">
        <w:rPr>
          <w:lang w:val="de-DE"/>
        </w:rPr>
        <w:t>COYU- oder COYD-Ergebnisse.</w:t>
      </w:r>
      <w:r w:rsidR="00FE0BFC" w:rsidRPr="00B140F2">
        <w:rPr>
          <w:lang w:val="de-DE"/>
        </w:rPr>
        <w:t xml:space="preserve"> </w:t>
      </w:r>
      <w:r w:rsidRPr="00B140F2">
        <w:rPr>
          <w:lang w:val="de-DE"/>
        </w:rPr>
        <w:t xml:space="preserve">Die TWF stimmte mit der TWV und der TWO darin überein, </w:t>
      </w:r>
      <w:r w:rsidR="00350639" w:rsidRPr="00B140F2">
        <w:rPr>
          <w:lang w:val="de-DE"/>
        </w:rPr>
        <w:t xml:space="preserve">dass </w:t>
      </w:r>
      <w:r w:rsidRPr="00B140F2">
        <w:rPr>
          <w:rFonts w:eastAsiaTheme="minorEastAsia"/>
          <w:lang w:val="de-DE"/>
        </w:rPr>
        <w:t xml:space="preserve">die unter Punkt 17 </w:t>
      </w:r>
      <w:r w:rsidR="001C4FD6" w:rsidRPr="00B140F2">
        <w:rPr>
          <w:rFonts w:eastAsiaTheme="minorEastAsia"/>
          <w:lang w:val="de-DE"/>
        </w:rPr>
        <w:t>„</w:t>
      </w:r>
      <w:r w:rsidRPr="00B140F2">
        <w:rPr>
          <w:rFonts w:eastAsiaTheme="minorEastAsia"/>
          <w:lang w:val="de-DE"/>
        </w:rPr>
        <w:t>Zusätzliche Informationen</w:t>
      </w:r>
      <w:r w:rsidR="001C4FD6" w:rsidRPr="00B140F2">
        <w:rPr>
          <w:rFonts w:eastAsiaTheme="minorEastAsia"/>
          <w:lang w:val="de-DE"/>
        </w:rPr>
        <w:t>“</w:t>
      </w:r>
      <w:r w:rsidRPr="00B140F2">
        <w:rPr>
          <w:rFonts w:eastAsiaTheme="minorEastAsia"/>
          <w:lang w:val="de-DE"/>
        </w:rPr>
        <w:t xml:space="preserve"> angegebenen Elemente Beispiele seien, die je nach Pflanzentyp und beschriebener Sorte von Fall zu Fall zu prüfen seien</w:t>
      </w:r>
      <w:r w:rsidRPr="00B140F2">
        <w:rPr>
          <w:lang w:val="de-DE"/>
        </w:rPr>
        <w:t xml:space="preserve">. </w:t>
      </w:r>
    </w:p>
    <w:p w14:paraId="3A0EA397" w14:textId="77777777" w:rsidR="0017630C" w:rsidRPr="00B140F2" w:rsidRDefault="0017630C" w:rsidP="00BD4986">
      <w:pPr>
        <w:rPr>
          <w:lang w:val="de-DE"/>
        </w:rPr>
      </w:pPr>
    </w:p>
    <w:p w14:paraId="5EA69931" w14:textId="05D7F46C"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TWA </w:t>
      </w:r>
      <w:r w:rsidR="00BF498A">
        <w:rPr>
          <w:lang w:val="de-DE"/>
        </w:rPr>
        <w:t>vereinbarte</w:t>
      </w:r>
      <w:r w:rsidRPr="00B140F2">
        <w:rPr>
          <w:lang w:val="de-DE"/>
        </w:rPr>
        <w:t xml:space="preserve">, </w:t>
      </w:r>
      <w:r w:rsidR="00350639" w:rsidRPr="00B140F2">
        <w:rPr>
          <w:lang w:val="de-DE"/>
        </w:rPr>
        <w:t>dass</w:t>
      </w:r>
      <w:r w:rsidRPr="00B140F2">
        <w:rPr>
          <w:lang w:val="de-DE"/>
        </w:rPr>
        <w:t xml:space="preserve"> zusammen mit </w:t>
      </w:r>
      <w:r w:rsidR="001C4FD6" w:rsidRPr="00B140F2">
        <w:rPr>
          <w:lang w:val="de-DE"/>
        </w:rPr>
        <w:t>„</w:t>
      </w:r>
      <w:r w:rsidRPr="00B140F2">
        <w:rPr>
          <w:lang w:val="de-DE"/>
        </w:rPr>
        <w:t>a) Zusätzliche Daten</w:t>
      </w:r>
      <w:r w:rsidR="001C4FD6" w:rsidRPr="00B140F2">
        <w:rPr>
          <w:lang w:val="de-DE"/>
        </w:rPr>
        <w:t>“</w:t>
      </w:r>
      <w:r w:rsidRPr="00B140F2">
        <w:rPr>
          <w:lang w:val="de-DE"/>
        </w:rPr>
        <w:t xml:space="preserve"> angegeben</w:t>
      </w:r>
      <w:r w:rsidR="0000413D">
        <w:rPr>
          <w:lang w:val="de-DE"/>
        </w:rPr>
        <w:t xml:space="preserve">e </w:t>
      </w:r>
      <w:r w:rsidR="0000413D" w:rsidRPr="00B140F2">
        <w:rPr>
          <w:lang w:val="de-DE"/>
        </w:rPr>
        <w:t>Beispiele</w:t>
      </w:r>
      <w:r w:rsidRPr="00B140F2">
        <w:rPr>
          <w:lang w:val="de-DE"/>
        </w:rPr>
        <w:t xml:space="preserve"> nicht </w:t>
      </w:r>
      <w:r w:rsidR="00BF498A">
        <w:rPr>
          <w:lang w:val="de-DE"/>
        </w:rPr>
        <w:t>zweckmäßig</w:t>
      </w:r>
      <w:r w:rsidRPr="00B140F2">
        <w:rPr>
          <w:lang w:val="de-DE"/>
        </w:rPr>
        <w:t xml:space="preserve"> seien und nicht in die Anleitung aufgenommen werden sollten.</w:t>
      </w:r>
      <w:r w:rsidR="00FE0BFC" w:rsidRPr="00B140F2">
        <w:rPr>
          <w:lang w:val="de-DE"/>
        </w:rPr>
        <w:t xml:space="preserve"> </w:t>
      </w:r>
    </w:p>
    <w:p w14:paraId="384FD5A0" w14:textId="77777777" w:rsidR="0017630C" w:rsidRPr="00B140F2" w:rsidRDefault="0017630C" w:rsidP="00BD4986">
      <w:pPr>
        <w:rPr>
          <w:lang w:val="de-DE"/>
        </w:rPr>
      </w:pPr>
    </w:p>
    <w:p w14:paraId="69C33962" w14:textId="1073EC63" w:rsidR="00214329" w:rsidRPr="00B140F2" w:rsidRDefault="0060633E" w:rsidP="00BD4986">
      <w:pPr>
        <w:pStyle w:val="EndnoteText"/>
        <w:rPr>
          <w:rStyle w:val="ui-provide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TWA prüfte den neuen vorgeschlagenen Punkt </w:t>
      </w:r>
      <w:r w:rsidR="001C4FD6" w:rsidRPr="00B140F2">
        <w:rPr>
          <w:lang w:val="de-DE"/>
        </w:rPr>
        <w:t>„</w:t>
      </w:r>
      <w:r w:rsidRPr="00B140F2">
        <w:rPr>
          <w:lang w:val="de-DE"/>
        </w:rPr>
        <w:t>d)</w:t>
      </w:r>
      <w:r w:rsidR="001C4FD6" w:rsidRPr="00B140F2">
        <w:rPr>
          <w:lang w:val="de-DE"/>
        </w:rPr>
        <w:t>“</w:t>
      </w:r>
      <w:r w:rsidRPr="00B140F2">
        <w:rPr>
          <w:lang w:val="de-DE"/>
        </w:rPr>
        <w:t xml:space="preserve"> und vereinbarte, </w:t>
      </w:r>
      <w:r w:rsidR="00350639" w:rsidRPr="00B140F2">
        <w:rPr>
          <w:lang w:val="de-DE"/>
        </w:rPr>
        <w:t xml:space="preserve">dass </w:t>
      </w:r>
      <w:r w:rsidRPr="00B140F2">
        <w:rPr>
          <w:lang w:val="de-DE"/>
        </w:rPr>
        <w:t xml:space="preserve">es </w:t>
      </w:r>
      <w:r w:rsidRPr="00B140F2">
        <w:rPr>
          <w:rStyle w:val="ui-provider"/>
          <w:lang w:val="de-DE"/>
        </w:rPr>
        <w:t>nicht möglich sei, seine Aufnahme zu unterstützen, bevor nicht weitere Klarstellungen zu den Situationen, in denen diese Informationen bereitgestellt werden sollten, erfolgen.</w:t>
      </w:r>
    </w:p>
    <w:p w14:paraId="017D51C7" w14:textId="77777777" w:rsidR="0017630C" w:rsidRPr="00B140F2" w:rsidRDefault="0017630C" w:rsidP="00BD4986">
      <w:pPr>
        <w:pStyle w:val="EndnoteText"/>
        <w:rPr>
          <w:lang w:val="de-DE"/>
        </w:rPr>
      </w:pPr>
    </w:p>
    <w:p w14:paraId="3FB6E55B" w14:textId="73A3B450"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 xml:space="preserve">Die TWA vereinbarte, </w:t>
      </w:r>
      <w:r w:rsidR="00350639" w:rsidRPr="00B140F2">
        <w:rPr>
          <w:rFonts w:eastAsiaTheme="minorEastAsia"/>
          <w:lang w:val="de-DE"/>
        </w:rPr>
        <w:t xml:space="preserve">dass </w:t>
      </w:r>
      <w:r w:rsidRPr="00B140F2">
        <w:rPr>
          <w:rFonts w:eastAsiaTheme="minorEastAsia"/>
          <w:lang w:val="de-DE"/>
        </w:rPr>
        <w:t>weitere Informationen, die zwischen den Behörden in Sortenprüfungsberichten auszutauschen sind, bilateral vereinbart werden sollten.</w:t>
      </w:r>
    </w:p>
    <w:p w14:paraId="6689B863" w14:textId="77777777" w:rsidR="0017630C" w:rsidRPr="00B140F2" w:rsidRDefault="0017630C" w:rsidP="00BD4986">
      <w:pPr>
        <w:rPr>
          <w:lang w:val="de-DE"/>
        </w:rPr>
      </w:pPr>
    </w:p>
    <w:p w14:paraId="4C739B96" w14:textId="77777777" w:rsidR="00214329" w:rsidRPr="00B140F2" w:rsidRDefault="0060633E" w:rsidP="00BD4986">
      <w:pPr>
        <w:keepNext/>
        <w:rPr>
          <w:i/>
          <w:iCs/>
          <w:lang w:val="de-DE"/>
        </w:rPr>
      </w:pPr>
      <w:r w:rsidRPr="00B140F2">
        <w:rPr>
          <w:i/>
          <w:iCs/>
          <w:lang w:val="de-DE"/>
        </w:rPr>
        <w:t>Vorschlag:</w:t>
      </w:r>
    </w:p>
    <w:p w14:paraId="0A24995F" w14:textId="77777777" w:rsidR="004A2098" w:rsidRPr="00B140F2" w:rsidRDefault="004A2098" w:rsidP="00BD4986">
      <w:pPr>
        <w:keepNext/>
        <w:rPr>
          <w:rFonts w:eastAsia="MS Mincho"/>
          <w:lang w:val="de-DE"/>
        </w:rPr>
      </w:pPr>
    </w:p>
    <w:p w14:paraId="391C76C0" w14:textId="0151CB6F" w:rsidR="00214329" w:rsidRPr="00B140F2" w:rsidRDefault="0060633E" w:rsidP="00BD4986">
      <w:pPr>
        <w:keepNext/>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3A73E9" w:rsidRPr="00B140F2">
        <w:rPr>
          <w:lang w:val="de-DE"/>
        </w:rPr>
        <w:t xml:space="preserve">Aufgrund der </w:t>
      </w:r>
      <w:r w:rsidR="007D62E7" w:rsidRPr="00B140F2">
        <w:rPr>
          <w:lang w:val="de-DE"/>
        </w:rPr>
        <w:t>Bemerkungen</w:t>
      </w:r>
      <w:r w:rsidR="003A73E9" w:rsidRPr="00B140F2">
        <w:rPr>
          <w:lang w:val="de-DE"/>
        </w:rPr>
        <w:t xml:space="preserve"> der TWP auf </w:t>
      </w:r>
      <w:r w:rsidR="00754334">
        <w:rPr>
          <w:lang w:val="de-DE"/>
        </w:rPr>
        <w:t>ihren</w:t>
      </w:r>
      <w:r w:rsidR="003A73E9" w:rsidRPr="00B140F2">
        <w:rPr>
          <w:lang w:val="de-DE"/>
        </w:rPr>
        <w:t xml:space="preserve"> Tagungen im Jahre 2024 </w:t>
      </w:r>
      <w:r w:rsidR="00BF498A" w:rsidRPr="00B140F2">
        <w:rPr>
          <w:lang w:val="de-DE"/>
        </w:rPr>
        <w:t xml:space="preserve">könnte der TC </w:t>
      </w:r>
      <w:r w:rsidR="002D2ADD" w:rsidRPr="00B140F2">
        <w:rPr>
          <w:lang w:val="de-DE"/>
        </w:rPr>
        <w:t>prüfen</w:t>
      </w:r>
      <w:r w:rsidR="003A73E9" w:rsidRPr="00B140F2">
        <w:rPr>
          <w:lang w:val="de-DE"/>
        </w:rPr>
        <w:t xml:space="preserve">, das Dokument TGP/5, Abschnitt 6, Punkt 17 </w:t>
      </w:r>
      <w:r w:rsidR="001C4FD6" w:rsidRPr="00B140F2">
        <w:rPr>
          <w:lang w:val="de-DE"/>
        </w:rPr>
        <w:t>„</w:t>
      </w:r>
      <w:r w:rsidRPr="00B140F2">
        <w:rPr>
          <w:lang w:val="de-DE"/>
        </w:rPr>
        <w:t>Zusätzliche Informationen</w:t>
      </w:r>
      <w:r w:rsidR="001C4FD6" w:rsidRPr="00B140F2">
        <w:rPr>
          <w:lang w:val="de-DE"/>
        </w:rPr>
        <w:t>“</w:t>
      </w:r>
      <w:r w:rsidRPr="00B140F2">
        <w:rPr>
          <w:lang w:val="de-DE"/>
        </w:rPr>
        <w:t xml:space="preserve"> </w:t>
      </w:r>
      <w:r w:rsidR="003D1F81" w:rsidRPr="00B140F2">
        <w:rPr>
          <w:lang w:val="de-DE"/>
        </w:rPr>
        <w:t xml:space="preserve">wie folgt </w:t>
      </w:r>
      <w:r w:rsidR="003A73E9" w:rsidRPr="00B140F2">
        <w:rPr>
          <w:lang w:val="de-DE"/>
        </w:rPr>
        <w:t xml:space="preserve">zu ändern </w:t>
      </w:r>
      <w:r w:rsidRPr="00B140F2">
        <w:rPr>
          <w:lang w:val="de-DE"/>
        </w:rPr>
        <w:t>(</w:t>
      </w:r>
      <w:r w:rsidR="00A95764">
        <w:rPr>
          <w:lang w:val="de-DE"/>
        </w:rPr>
        <w:t>Zusätze sind</w:t>
      </w:r>
      <w:r w:rsidR="00A95764" w:rsidRPr="00B140F2">
        <w:rPr>
          <w:lang w:val="de-DE"/>
        </w:rPr>
        <w:t xml:space="preserve"> </w:t>
      </w:r>
      <w:r w:rsidRPr="00B140F2">
        <w:rPr>
          <w:lang w:val="de-DE"/>
        </w:rPr>
        <w:t xml:space="preserve">durch Hervorhebung und </w:t>
      </w:r>
      <w:r w:rsidRPr="00B140F2">
        <w:rPr>
          <w:highlight w:val="lightGray"/>
          <w:u w:val="single"/>
          <w:lang w:val="de-DE"/>
        </w:rPr>
        <w:t>Unterstreichung</w:t>
      </w:r>
      <w:r w:rsidRPr="00E83514">
        <w:rPr>
          <w:u w:val="single"/>
          <w:lang w:val="de-DE"/>
        </w:rPr>
        <w:t xml:space="preserve"> </w:t>
      </w:r>
      <w:r w:rsidRPr="00B140F2">
        <w:rPr>
          <w:lang w:val="de-DE"/>
        </w:rPr>
        <w:t>gekennzeichnet)</w:t>
      </w:r>
      <w:r w:rsidR="003A73E9" w:rsidRPr="00B140F2">
        <w:rPr>
          <w:lang w:val="de-DE"/>
        </w:rPr>
        <w:t xml:space="preserve">: </w:t>
      </w:r>
    </w:p>
    <w:p w14:paraId="14048828" w14:textId="77777777" w:rsidR="009450C5" w:rsidRPr="00B140F2" w:rsidRDefault="009450C5" w:rsidP="00BD4986">
      <w:pPr>
        <w:rPr>
          <w:rFonts w:cs="Arial"/>
          <w:lang w:val="de-DE"/>
        </w:rPr>
      </w:pPr>
    </w:p>
    <w:p w14:paraId="0CE8294C" w14:textId="6FEEC58F" w:rsidR="00214329" w:rsidRPr="00B140F2" w:rsidRDefault="001C4FD6" w:rsidP="00672153">
      <w:pPr>
        <w:spacing w:after="120"/>
        <w:ind w:left="567"/>
        <w:rPr>
          <w:rFonts w:cs="Arial"/>
          <w:sz w:val="18"/>
          <w:szCs w:val="18"/>
          <w:lang w:val="de-DE"/>
        </w:rPr>
      </w:pPr>
      <w:r w:rsidRPr="00B140F2">
        <w:rPr>
          <w:rFonts w:cs="Arial"/>
          <w:sz w:val="18"/>
          <w:szCs w:val="18"/>
          <w:lang w:val="de-DE"/>
        </w:rPr>
        <w:t>„</w:t>
      </w:r>
      <w:r w:rsidR="0060633E" w:rsidRPr="00B140F2">
        <w:rPr>
          <w:rFonts w:cs="Arial"/>
          <w:sz w:val="18"/>
          <w:szCs w:val="18"/>
          <w:lang w:val="de-DE"/>
        </w:rPr>
        <w:t>17.</w:t>
      </w:r>
      <w:r w:rsidR="0060633E" w:rsidRPr="00B140F2">
        <w:rPr>
          <w:rFonts w:cs="Arial"/>
          <w:sz w:val="18"/>
          <w:szCs w:val="18"/>
          <w:lang w:val="de-DE"/>
        </w:rPr>
        <w:tab/>
      </w:r>
      <w:r w:rsidR="0060633E" w:rsidRPr="00B140F2">
        <w:rPr>
          <w:rFonts w:cs="Arial"/>
          <w:sz w:val="18"/>
          <w:szCs w:val="18"/>
          <w:u w:val="single"/>
          <w:lang w:val="de-DE"/>
        </w:rPr>
        <w:t>Zusätzliche Informationen</w:t>
      </w:r>
    </w:p>
    <w:p w14:paraId="24DED424" w14:textId="04D96ED4" w:rsidR="00214329" w:rsidRPr="00B140F2" w:rsidRDefault="0060633E" w:rsidP="00672153">
      <w:pPr>
        <w:spacing w:after="120"/>
        <w:ind w:left="567"/>
        <w:rPr>
          <w:rFonts w:cs="Arial"/>
          <w:sz w:val="18"/>
          <w:szCs w:val="18"/>
          <w:lang w:val="de-DE"/>
        </w:rPr>
      </w:pPr>
      <w:r w:rsidRPr="00B140F2">
        <w:rPr>
          <w:rFonts w:cs="Arial"/>
          <w:sz w:val="18"/>
          <w:szCs w:val="18"/>
          <w:lang w:val="de-DE"/>
        </w:rPr>
        <w:tab/>
      </w:r>
      <w:r w:rsidR="001C4FD6" w:rsidRPr="00B140F2">
        <w:rPr>
          <w:rFonts w:cs="Arial"/>
          <w:sz w:val="18"/>
          <w:szCs w:val="18"/>
          <w:lang w:val="de-DE"/>
        </w:rPr>
        <w:t>„</w:t>
      </w:r>
      <w:r w:rsidR="00CE6C38">
        <w:rPr>
          <w:rFonts w:cs="Arial"/>
          <w:sz w:val="18"/>
          <w:szCs w:val="18"/>
          <w:lang w:val="de-DE"/>
        </w:rPr>
        <w:t>a)</w:t>
      </w:r>
      <w:r w:rsidRPr="00B140F2">
        <w:rPr>
          <w:rFonts w:cs="Arial"/>
          <w:sz w:val="18"/>
          <w:szCs w:val="18"/>
          <w:lang w:val="de-DE"/>
        </w:rPr>
        <w:t xml:space="preserve"> </w:t>
      </w:r>
      <w:r w:rsidRPr="00B140F2">
        <w:rPr>
          <w:rFonts w:cs="Arial"/>
          <w:sz w:val="18"/>
          <w:szCs w:val="18"/>
          <w:lang w:val="de-DE"/>
        </w:rPr>
        <w:tab/>
        <w:t>Zusätzliche Daten</w:t>
      </w:r>
    </w:p>
    <w:p w14:paraId="45B3F79B" w14:textId="247D5CA9" w:rsidR="00214329" w:rsidRPr="00B140F2" w:rsidRDefault="0060633E" w:rsidP="00672153">
      <w:pPr>
        <w:spacing w:after="120"/>
        <w:ind w:left="567"/>
        <w:rPr>
          <w:rFonts w:cs="Arial"/>
          <w:color w:val="000000"/>
          <w:sz w:val="18"/>
          <w:szCs w:val="18"/>
          <w:lang w:val="de-DE"/>
        </w:rPr>
      </w:pPr>
      <w:r w:rsidRPr="00B140F2">
        <w:rPr>
          <w:rFonts w:cs="Arial"/>
          <w:sz w:val="18"/>
          <w:szCs w:val="18"/>
          <w:lang w:val="de-DE"/>
        </w:rPr>
        <w:tab/>
      </w:r>
      <w:r w:rsidR="001C4FD6" w:rsidRPr="00B140F2">
        <w:rPr>
          <w:rFonts w:cs="Arial"/>
          <w:sz w:val="18"/>
          <w:szCs w:val="18"/>
          <w:lang w:val="de-DE"/>
        </w:rPr>
        <w:t>„</w:t>
      </w:r>
      <w:r w:rsidRPr="00B140F2">
        <w:rPr>
          <w:rFonts w:cs="Arial"/>
          <w:color w:val="000000"/>
          <w:sz w:val="18"/>
          <w:szCs w:val="18"/>
          <w:lang w:val="de-DE"/>
        </w:rPr>
        <w:t xml:space="preserve">b) </w:t>
      </w:r>
      <w:r w:rsidRPr="00B140F2">
        <w:rPr>
          <w:rFonts w:cs="Arial"/>
          <w:color w:val="000000"/>
          <w:sz w:val="18"/>
          <w:szCs w:val="18"/>
          <w:lang w:val="de-DE"/>
        </w:rPr>
        <w:tab/>
      </w:r>
      <w:r w:rsidR="009B795F" w:rsidRPr="00B140F2">
        <w:rPr>
          <w:rFonts w:cs="Arial"/>
          <w:color w:val="000000"/>
          <w:sz w:val="18"/>
          <w:szCs w:val="18"/>
          <w:lang w:val="de-DE"/>
        </w:rPr>
        <w:t>Fotoaufnahme (falls zweckmäßig)</w:t>
      </w:r>
    </w:p>
    <w:p w14:paraId="333251F4" w14:textId="78588839" w:rsidR="00214329" w:rsidRPr="00B140F2" w:rsidRDefault="0060633E" w:rsidP="00672153">
      <w:pPr>
        <w:spacing w:after="120"/>
        <w:ind w:left="567"/>
        <w:rPr>
          <w:rFonts w:cs="Arial"/>
          <w:color w:val="000000"/>
          <w:sz w:val="18"/>
          <w:szCs w:val="18"/>
          <w:lang w:val="de-DE"/>
        </w:rPr>
      </w:pPr>
      <w:r w:rsidRPr="00B140F2">
        <w:rPr>
          <w:rFonts w:cs="Arial"/>
          <w:sz w:val="18"/>
          <w:szCs w:val="18"/>
          <w:lang w:val="de-DE"/>
        </w:rPr>
        <w:tab/>
      </w:r>
      <w:r w:rsidR="001C4FD6" w:rsidRPr="00B140F2">
        <w:rPr>
          <w:rFonts w:cs="Arial"/>
          <w:sz w:val="18"/>
          <w:szCs w:val="18"/>
          <w:lang w:val="de-DE"/>
        </w:rPr>
        <w:t>„</w:t>
      </w:r>
      <w:r w:rsidRPr="00B140F2">
        <w:rPr>
          <w:rFonts w:cs="Arial"/>
          <w:color w:val="000000"/>
          <w:sz w:val="18"/>
          <w:szCs w:val="18"/>
          <w:lang w:val="de-DE"/>
        </w:rPr>
        <w:t xml:space="preserve">c) </w:t>
      </w:r>
      <w:r w:rsidR="009A73B6">
        <w:rPr>
          <w:rFonts w:cs="Arial"/>
          <w:color w:val="000000"/>
          <w:sz w:val="18"/>
          <w:szCs w:val="18"/>
          <w:lang w:val="de-DE"/>
        </w:rPr>
        <w:tab/>
      </w:r>
      <w:r w:rsidR="009A73B6" w:rsidRPr="00B140F2">
        <w:rPr>
          <w:rFonts w:cs="Arial"/>
          <w:color w:val="000000"/>
          <w:sz w:val="18"/>
          <w:szCs w:val="18"/>
          <w:lang w:val="de-DE"/>
        </w:rPr>
        <w:t>Version der verwendeten RHS-Farbkarte (falls zweckmäßig)</w:t>
      </w:r>
    </w:p>
    <w:p w14:paraId="14ADEE71" w14:textId="776EE1D3" w:rsidR="00214329" w:rsidRPr="00B140F2" w:rsidRDefault="0060633E" w:rsidP="00672153">
      <w:pPr>
        <w:tabs>
          <w:tab w:val="left" w:pos="284"/>
        </w:tabs>
        <w:spacing w:after="120"/>
        <w:ind w:left="567"/>
        <w:rPr>
          <w:rFonts w:cs="Arial"/>
          <w:sz w:val="18"/>
          <w:szCs w:val="18"/>
          <w:lang w:val="de-DE"/>
        </w:rPr>
      </w:pPr>
      <w:r w:rsidRPr="00B140F2">
        <w:rPr>
          <w:rFonts w:cs="Arial"/>
          <w:sz w:val="18"/>
          <w:szCs w:val="18"/>
          <w:lang w:val="de-DE"/>
        </w:rPr>
        <w:tab/>
      </w:r>
      <w:r w:rsidR="001C4FD6" w:rsidRPr="00B140F2">
        <w:rPr>
          <w:rFonts w:cs="Arial"/>
          <w:sz w:val="18"/>
          <w:szCs w:val="18"/>
          <w:lang w:val="de-DE"/>
        </w:rPr>
        <w:t>„</w:t>
      </w:r>
      <w:r w:rsidR="00CE6C38">
        <w:rPr>
          <w:rFonts w:cs="Arial"/>
          <w:sz w:val="18"/>
          <w:szCs w:val="18"/>
          <w:lang w:val="de-DE"/>
        </w:rPr>
        <w:t>d)</w:t>
      </w:r>
      <w:r w:rsidRPr="00B140F2">
        <w:rPr>
          <w:rFonts w:cs="Arial"/>
          <w:sz w:val="18"/>
          <w:szCs w:val="18"/>
          <w:lang w:val="de-DE"/>
        </w:rPr>
        <w:tab/>
      </w:r>
      <w:r w:rsidR="007D62E7" w:rsidRPr="00B140F2">
        <w:rPr>
          <w:rFonts w:cs="Arial"/>
          <w:sz w:val="18"/>
          <w:szCs w:val="18"/>
          <w:lang w:val="de-DE"/>
        </w:rPr>
        <w:t>Bemerkungen</w:t>
      </w:r>
      <w:r w:rsidR="001C4FD6" w:rsidRPr="00B140F2">
        <w:rPr>
          <w:rFonts w:cs="Arial"/>
          <w:sz w:val="18"/>
          <w:szCs w:val="18"/>
          <w:lang w:val="de-DE"/>
        </w:rPr>
        <w:t>“</w:t>
      </w:r>
    </w:p>
    <w:p w14:paraId="14A0C8EA" w14:textId="7DEE899B" w:rsidR="00214329" w:rsidRPr="00B140F2" w:rsidRDefault="001C4FD6" w:rsidP="00BD4986">
      <w:pPr>
        <w:ind w:left="567"/>
        <w:rPr>
          <w:rFonts w:cs="Arial"/>
          <w:color w:val="000000"/>
          <w:sz w:val="18"/>
          <w:szCs w:val="18"/>
          <w:u w:val="single"/>
          <w:lang w:val="de-DE"/>
        </w:rPr>
      </w:pPr>
      <w:r w:rsidRPr="00B140F2">
        <w:rPr>
          <w:rFonts w:cs="Arial"/>
          <w:color w:val="000000"/>
          <w:sz w:val="18"/>
          <w:szCs w:val="18"/>
          <w:highlight w:val="lightGray"/>
          <w:u w:val="single"/>
          <w:lang w:val="de-DE"/>
        </w:rPr>
        <w:t>„</w:t>
      </w:r>
      <w:r w:rsidR="0060633E" w:rsidRPr="00B140F2">
        <w:rPr>
          <w:rFonts w:cs="Arial"/>
          <w:color w:val="000000"/>
          <w:sz w:val="18"/>
          <w:szCs w:val="18"/>
          <w:highlight w:val="lightGray"/>
          <w:u w:val="single"/>
          <w:lang w:val="de-DE"/>
        </w:rPr>
        <w:t xml:space="preserve">Weitere Situationen und die Art der </w:t>
      </w:r>
      <w:r w:rsidR="006D6A93" w:rsidRPr="00B140F2">
        <w:rPr>
          <w:rFonts w:cs="Arial"/>
          <w:color w:val="000000"/>
          <w:sz w:val="18"/>
          <w:szCs w:val="18"/>
          <w:highlight w:val="lightGray"/>
          <w:u w:val="single"/>
          <w:lang w:val="de-DE"/>
        </w:rPr>
        <w:t>zusätzliche</w:t>
      </w:r>
      <w:r w:rsidR="009F6702" w:rsidRPr="00B140F2">
        <w:rPr>
          <w:rFonts w:cs="Arial"/>
          <w:color w:val="000000"/>
          <w:sz w:val="18"/>
          <w:szCs w:val="18"/>
          <w:highlight w:val="lightGray"/>
          <w:u w:val="single"/>
          <w:lang w:val="de-DE"/>
        </w:rPr>
        <w:t>n</w:t>
      </w:r>
      <w:r w:rsidR="006D6A93" w:rsidRPr="00B140F2">
        <w:rPr>
          <w:rFonts w:cs="Arial"/>
          <w:color w:val="000000"/>
          <w:sz w:val="18"/>
          <w:szCs w:val="18"/>
          <w:highlight w:val="lightGray"/>
          <w:u w:val="single"/>
          <w:lang w:val="de-DE"/>
        </w:rPr>
        <w:t xml:space="preserve"> </w:t>
      </w:r>
      <w:r w:rsidR="0000413D" w:rsidRPr="00B140F2">
        <w:rPr>
          <w:rFonts w:cs="Arial"/>
          <w:color w:val="000000"/>
          <w:sz w:val="18"/>
          <w:szCs w:val="18"/>
          <w:highlight w:val="lightGray"/>
          <w:u w:val="single"/>
          <w:lang w:val="de-DE"/>
        </w:rPr>
        <w:t xml:space="preserve">zu erteilenden </w:t>
      </w:r>
      <w:r w:rsidR="006D6A93" w:rsidRPr="00B140F2">
        <w:rPr>
          <w:rFonts w:cs="Arial"/>
          <w:color w:val="000000"/>
          <w:sz w:val="18"/>
          <w:szCs w:val="18"/>
          <w:highlight w:val="lightGray"/>
          <w:u w:val="single"/>
          <w:lang w:val="de-DE"/>
        </w:rPr>
        <w:t>Informationen</w:t>
      </w:r>
      <w:r w:rsidR="0060633E" w:rsidRPr="00B140F2">
        <w:rPr>
          <w:rFonts w:cs="Arial"/>
          <w:color w:val="000000"/>
          <w:sz w:val="18"/>
          <w:szCs w:val="18"/>
          <w:highlight w:val="lightGray"/>
          <w:u w:val="single"/>
          <w:lang w:val="de-DE"/>
        </w:rPr>
        <w:t xml:space="preserve"> können je nach geprüfter </w:t>
      </w:r>
      <w:r w:rsidR="00A305E4" w:rsidRPr="00B140F2">
        <w:rPr>
          <w:rFonts w:cs="Arial"/>
          <w:color w:val="000000"/>
          <w:sz w:val="18"/>
          <w:szCs w:val="18"/>
          <w:highlight w:val="lightGray"/>
          <w:u w:val="single"/>
          <w:lang w:val="de-DE"/>
        </w:rPr>
        <w:t>Pflanzenart</w:t>
      </w:r>
      <w:r w:rsidR="0060633E" w:rsidRPr="00B140F2">
        <w:rPr>
          <w:rFonts w:cs="Arial"/>
          <w:color w:val="000000"/>
          <w:sz w:val="18"/>
          <w:szCs w:val="18"/>
          <w:highlight w:val="lightGray"/>
          <w:u w:val="single"/>
          <w:lang w:val="de-DE"/>
        </w:rPr>
        <w:t xml:space="preserve"> und Sorte bilateral vereinbart werden.</w:t>
      </w:r>
      <w:r w:rsidRPr="00B140F2">
        <w:rPr>
          <w:rFonts w:cs="Arial"/>
          <w:color w:val="000000"/>
          <w:sz w:val="18"/>
          <w:szCs w:val="18"/>
          <w:highlight w:val="lightGray"/>
          <w:u w:val="single"/>
          <w:lang w:val="de-DE"/>
        </w:rPr>
        <w:t>“</w:t>
      </w:r>
    </w:p>
    <w:p w14:paraId="7748686F" w14:textId="77777777" w:rsidR="004A2098" w:rsidRPr="00B140F2" w:rsidRDefault="004A2098" w:rsidP="00BD4986">
      <w:pPr>
        <w:rPr>
          <w:lang w:val="de-DE"/>
        </w:rPr>
      </w:pPr>
    </w:p>
    <w:p w14:paraId="2FDB69B4" w14:textId="77777777" w:rsidR="00FB09E6" w:rsidRPr="00B140F2" w:rsidRDefault="00FB09E6" w:rsidP="00BD4986">
      <w:pPr>
        <w:rPr>
          <w:lang w:val="de-DE"/>
        </w:rPr>
      </w:pPr>
    </w:p>
    <w:p w14:paraId="0F72F024" w14:textId="77F5D270" w:rsidR="00214329" w:rsidRPr="00B140F2" w:rsidRDefault="005738FA" w:rsidP="00BD4986">
      <w:pPr>
        <w:jc w:val="center"/>
        <w:rPr>
          <w:snapToGrid w:val="0"/>
          <w:u w:val="single"/>
          <w:lang w:val="de-DE"/>
        </w:rPr>
      </w:pPr>
      <w:r w:rsidRPr="00B140F2">
        <w:rPr>
          <w:snapToGrid w:val="0"/>
          <w:u w:val="single"/>
          <w:lang w:val="de-DE"/>
        </w:rPr>
        <w:t>AUFBAU DES DOKUMENT</w:t>
      </w:r>
      <w:r w:rsidR="0060633E" w:rsidRPr="00B140F2">
        <w:rPr>
          <w:snapToGrid w:val="0"/>
          <w:u w:val="single"/>
          <w:lang w:val="de-DE"/>
        </w:rPr>
        <w:t xml:space="preserve">ES TGP/5, </w:t>
      </w:r>
    </w:p>
    <w:p w14:paraId="47734F13" w14:textId="716C8229" w:rsidR="00214329" w:rsidRPr="00B140F2" w:rsidRDefault="0060633E" w:rsidP="00BD4986">
      <w:pPr>
        <w:jc w:val="center"/>
        <w:rPr>
          <w:snapToGrid w:val="0"/>
          <w:u w:val="single"/>
          <w:lang w:val="de-DE"/>
        </w:rPr>
      </w:pPr>
      <w:r w:rsidRPr="00B140F2">
        <w:rPr>
          <w:snapToGrid w:val="0"/>
          <w:u w:val="single"/>
          <w:lang w:val="de-DE"/>
        </w:rPr>
        <w:t xml:space="preserve">ABSCHNITT 6 </w:t>
      </w:r>
      <w:r w:rsidR="001C4FD6" w:rsidRPr="00B140F2">
        <w:rPr>
          <w:snapToGrid w:val="0"/>
          <w:u w:val="single"/>
          <w:lang w:val="de-DE"/>
        </w:rPr>
        <w:t>„</w:t>
      </w:r>
      <w:r w:rsidRPr="00B140F2">
        <w:rPr>
          <w:snapToGrid w:val="0"/>
          <w:u w:val="single"/>
          <w:lang w:val="de-DE"/>
        </w:rPr>
        <w:t xml:space="preserve">UPOV-BERICHT ÜBER DIE TECHNISCHE PRÜFUNG UND </w:t>
      </w:r>
    </w:p>
    <w:p w14:paraId="2DAD5602" w14:textId="70E2D180" w:rsidR="00214329" w:rsidRPr="00B140F2" w:rsidRDefault="0060633E" w:rsidP="00BD4986">
      <w:pPr>
        <w:jc w:val="center"/>
        <w:rPr>
          <w:snapToGrid w:val="0"/>
          <w:u w:val="single"/>
          <w:lang w:val="de-DE"/>
        </w:rPr>
      </w:pPr>
      <w:r w:rsidRPr="00B140F2">
        <w:rPr>
          <w:snapToGrid w:val="0"/>
          <w:u w:val="single"/>
          <w:lang w:val="de-DE"/>
        </w:rPr>
        <w:t>UPOV SORTENBESCHREIBUNG</w:t>
      </w:r>
      <w:r w:rsidR="001C4FD6" w:rsidRPr="00B140F2">
        <w:rPr>
          <w:snapToGrid w:val="0"/>
          <w:u w:val="single"/>
          <w:lang w:val="de-DE"/>
        </w:rPr>
        <w:t>“</w:t>
      </w:r>
    </w:p>
    <w:p w14:paraId="6DC956DA" w14:textId="77777777" w:rsidR="00D64439" w:rsidRPr="00B140F2" w:rsidRDefault="00D64439" w:rsidP="00BD4986">
      <w:pPr>
        <w:rPr>
          <w:lang w:val="de-DE"/>
        </w:rPr>
      </w:pPr>
    </w:p>
    <w:p w14:paraId="6015D803" w14:textId="799A27C0"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Die TWA</w:t>
      </w:r>
      <w:r w:rsidRPr="00E83514">
        <w:rPr>
          <w:rStyle w:val="FootnoteReference"/>
          <w:lang w:val="de-DE"/>
        </w:rPr>
        <w:footnoteReference w:id="15"/>
      </w:r>
      <w:r w:rsidRPr="00B140F2">
        <w:rPr>
          <w:lang w:val="de-DE"/>
        </w:rPr>
        <w:t xml:space="preserve"> nahm auf ihrer dreiundfünfzigsten Tagung zur Kenntnis, </w:t>
      </w:r>
      <w:r w:rsidR="00350639" w:rsidRPr="00B140F2">
        <w:rPr>
          <w:lang w:val="de-DE"/>
        </w:rPr>
        <w:t xml:space="preserve">dass </w:t>
      </w:r>
      <w:r w:rsidRPr="00B140F2">
        <w:rPr>
          <w:lang w:val="de-DE"/>
        </w:rPr>
        <w:t xml:space="preserve">der </w:t>
      </w:r>
      <w:r w:rsidR="001C4FD6" w:rsidRPr="00B140F2">
        <w:rPr>
          <w:lang w:val="de-DE"/>
        </w:rPr>
        <w:t>„</w:t>
      </w:r>
      <w:r w:rsidRPr="00B140F2">
        <w:rPr>
          <w:lang w:val="de-DE"/>
        </w:rPr>
        <w:t>UPOV-Bericht über die technische Prüfung</w:t>
      </w:r>
      <w:r w:rsidR="001C4FD6" w:rsidRPr="00B140F2">
        <w:rPr>
          <w:lang w:val="de-DE"/>
        </w:rPr>
        <w:t>“</w:t>
      </w:r>
      <w:r w:rsidRPr="00B140F2">
        <w:rPr>
          <w:lang w:val="de-DE"/>
        </w:rPr>
        <w:t xml:space="preserve"> die </w:t>
      </w:r>
      <w:r w:rsidR="001C4FD6" w:rsidRPr="00B140F2">
        <w:rPr>
          <w:lang w:val="de-DE"/>
        </w:rPr>
        <w:t>„</w:t>
      </w:r>
      <w:r w:rsidRPr="00B140F2">
        <w:rPr>
          <w:lang w:val="de-DE"/>
        </w:rPr>
        <w:t>UPOV-Sortenbeschreibung</w:t>
      </w:r>
      <w:r w:rsidR="001C4FD6" w:rsidRPr="00B140F2">
        <w:rPr>
          <w:lang w:val="de-DE"/>
        </w:rPr>
        <w:t>“</w:t>
      </w:r>
      <w:r w:rsidRPr="00B140F2">
        <w:rPr>
          <w:lang w:val="de-DE"/>
        </w:rPr>
        <w:t xml:space="preserve"> </w:t>
      </w:r>
      <w:r w:rsidR="00EE2247">
        <w:rPr>
          <w:lang w:val="de-DE"/>
        </w:rPr>
        <w:t>als</w:t>
      </w:r>
      <w:r w:rsidR="00EE2247" w:rsidRPr="00B140F2">
        <w:rPr>
          <w:lang w:val="de-DE"/>
        </w:rPr>
        <w:t xml:space="preserve"> </w:t>
      </w:r>
      <w:r w:rsidRPr="00B140F2">
        <w:rPr>
          <w:lang w:val="de-DE"/>
        </w:rPr>
        <w:t>seine Anlage erwähnt.</w:t>
      </w:r>
      <w:r w:rsidR="00FE0BFC" w:rsidRPr="00B140F2">
        <w:rPr>
          <w:lang w:val="de-DE"/>
        </w:rPr>
        <w:t xml:space="preserve"> </w:t>
      </w:r>
      <w:r w:rsidRPr="00B140F2">
        <w:rPr>
          <w:lang w:val="de-DE"/>
        </w:rPr>
        <w:t xml:space="preserve">Die TWA vereinbarte, eine Überarbeitung des Aufbaus von Dokument TGP/5, Abschnitt 6, vorzuschlagen, um klarzustellen, </w:t>
      </w:r>
      <w:r w:rsidR="00350639" w:rsidRPr="00B140F2">
        <w:rPr>
          <w:lang w:val="de-DE"/>
        </w:rPr>
        <w:t xml:space="preserve">dass </w:t>
      </w:r>
      <w:r w:rsidRPr="00B140F2">
        <w:rPr>
          <w:lang w:val="de-DE"/>
        </w:rPr>
        <w:t xml:space="preserve">die </w:t>
      </w:r>
      <w:r w:rsidR="001C4FD6" w:rsidRPr="00B140F2">
        <w:rPr>
          <w:lang w:val="de-DE"/>
        </w:rPr>
        <w:t>„</w:t>
      </w:r>
      <w:r w:rsidRPr="00B140F2">
        <w:rPr>
          <w:lang w:val="de-DE"/>
        </w:rPr>
        <w:t>UPOV-Sortenbeschreibung</w:t>
      </w:r>
      <w:r w:rsidR="001C4FD6" w:rsidRPr="00B140F2">
        <w:rPr>
          <w:lang w:val="de-DE"/>
        </w:rPr>
        <w:t>“</w:t>
      </w:r>
      <w:r w:rsidRPr="00B140F2">
        <w:rPr>
          <w:lang w:val="de-DE"/>
        </w:rPr>
        <w:t xml:space="preserve"> eine Anlage des </w:t>
      </w:r>
      <w:r w:rsidR="001C4FD6" w:rsidRPr="00B140F2">
        <w:rPr>
          <w:lang w:val="de-DE"/>
        </w:rPr>
        <w:t>„</w:t>
      </w:r>
      <w:r w:rsidRPr="00B140F2">
        <w:rPr>
          <w:lang w:val="de-DE"/>
        </w:rPr>
        <w:t>UPOV-Berichts über die technische Prüfung</w:t>
      </w:r>
      <w:r w:rsidR="001C4FD6" w:rsidRPr="00B140F2">
        <w:rPr>
          <w:lang w:val="de-DE"/>
        </w:rPr>
        <w:t>“</w:t>
      </w:r>
      <w:r w:rsidRPr="00B140F2">
        <w:rPr>
          <w:lang w:val="de-DE"/>
        </w:rPr>
        <w:t xml:space="preserve"> sei und Punkt 18 </w:t>
      </w:r>
      <w:r w:rsidR="001C4FD6" w:rsidRPr="00B140F2">
        <w:rPr>
          <w:lang w:val="de-DE"/>
        </w:rPr>
        <w:t>„</w:t>
      </w:r>
      <w:r w:rsidR="00607A79" w:rsidRPr="00B140F2">
        <w:rPr>
          <w:lang w:val="de-DE"/>
        </w:rPr>
        <w:t>Erläuter</w:t>
      </w:r>
      <w:r w:rsidR="00607A79">
        <w:rPr>
          <w:lang w:val="de-DE"/>
        </w:rPr>
        <w:t>nde Bemerkungen</w:t>
      </w:r>
      <w:r w:rsidR="00607A79" w:rsidRPr="00B140F2">
        <w:rPr>
          <w:lang w:val="de-DE"/>
        </w:rPr>
        <w:t xml:space="preserve"> </w:t>
      </w:r>
      <w:r w:rsidRPr="00B140F2">
        <w:rPr>
          <w:lang w:val="de-DE"/>
        </w:rPr>
        <w:t>zur Anlage: UPOV-Sortenbeschreibung</w:t>
      </w:r>
      <w:r w:rsidR="001C4FD6" w:rsidRPr="00B140F2">
        <w:rPr>
          <w:lang w:val="de-DE"/>
        </w:rPr>
        <w:t>“</w:t>
      </w:r>
      <w:r w:rsidRPr="00B140F2">
        <w:rPr>
          <w:lang w:val="de-DE"/>
        </w:rPr>
        <w:t xml:space="preserve"> ein weiterer getrennter Abschnitt der Anleitung sei.</w:t>
      </w:r>
    </w:p>
    <w:p w14:paraId="410CDDCE" w14:textId="77777777" w:rsidR="00D64439" w:rsidRPr="00672153" w:rsidRDefault="00D64439" w:rsidP="00672153"/>
    <w:p w14:paraId="25A60533" w14:textId="0A8FC4D9"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Gemäß dem Vorschlag der TWA könnte der TC </w:t>
      </w:r>
      <w:r w:rsidR="002D2ADD" w:rsidRPr="00B140F2">
        <w:rPr>
          <w:lang w:val="de-DE"/>
        </w:rPr>
        <w:t>prüfen</w:t>
      </w:r>
      <w:r w:rsidR="00893E31">
        <w:rPr>
          <w:lang w:val="de-DE"/>
        </w:rPr>
        <w:t xml:space="preserve"> wollen</w:t>
      </w:r>
      <w:r w:rsidRPr="00B140F2">
        <w:rPr>
          <w:lang w:val="de-DE"/>
        </w:rPr>
        <w:t xml:space="preserve">, das Verbandsbüro zu ersuchen, </w:t>
      </w:r>
      <w:r w:rsidR="000F0243">
        <w:rPr>
          <w:lang w:val="de-DE"/>
        </w:rPr>
        <w:t>den</w:t>
      </w:r>
      <w:r w:rsidR="000F0243" w:rsidRPr="00B140F2">
        <w:rPr>
          <w:lang w:val="de-DE"/>
        </w:rPr>
        <w:t xml:space="preserve"> </w:t>
      </w:r>
      <w:r w:rsidR="002D2ADD" w:rsidRPr="00B140F2">
        <w:rPr>
          <w:lang w:val="de-DE"/>
        </w:rPr>
        <w:t>Aufbau des Dokuments</w:t>
      </w:r>
      <w:r w:rsidRPr="00B140F2">
        <w:rPr>
          <w:lang w:val="de-DE"/>
        </w:rPr>
        <w:t xml:space="preserve"> TGP/5, Abschnitt 6, zu überarbeiten, um klarzustellen, </w:t>
      </w:r>
      <w:r w:rsidR="00350639" w:rsidRPr="00B140F2">
        <w:rPr>
          <w:lang w:val="de-DE"/>
        </w:rPr>
        <w:t xml:space="preserve">dass </w:t>
      </w:r>
      <w:r w:rsidRPr="00B140F2">
        <w:rPr>
          <w:lang w:val="de-DE"/>
        </w:rPr>
        <w:t xml:space="preserve">die </w:t>
      </w:r>
      <w:r w:rsidR="001C4FD6" w:rsidRPr="00B140F2">
        <w:rPr>
          <w:lang w:val="de-DE"/>
        </w:rPr>
        <w:t>„</w:t>
      </w:r>
      <w:r w:rsidRPr="00B140F2">
        <w:rPr>
          <w:lang w:val="de-DE"/>
        </w:rPr>
        <w:t>UPOV-Sortenbeschreibung</w:t>
      </w:r>
      <w:r w:rsidR="001C4FD6" w:rsidRPr="00B140F2">
        <w:rPr>
          <w:lang w:val="de-DE"/>
        </w:rPr>
        <w:t>“</w:t>
      </w:r>
      <w:r w:rsidRPr="00B140F2">
        <w:rPr>
          <w:lang w:val="de-DE"/>
        </w:rPr>
        <w:t xml:space="preserve"> eine Anlage des </w:t>
      </w:r>
      <w:r w:rsidR="001C4FD6" w:rsidRPr="00B140F2">
        <w:rPr>
          <w:lang w:val="de-DE"/>
        </w:rPr>
        <w:t>„</w:t>
      </w:r>
      <w:r w:rsidRPr="00B140F2">
        <w:rPr>
          <w:lang w:val="de-DE"/>
        </w:rPr>
        <w:t>UPOV-Berichts über die technische Prüfung</w:t>
      </w:r>
      <w:r w:rsidR="001C4FD6" w:rsidRPr="00B140F2">
        <w:rPr>
          <w:lang w:val="de-DE"/>
        </w:rPr>
        <w:t>“</w:t>
      </w:r>
      <w:r w:rsidRPr="00B140F2">
        <w:rPr>
          <w:lang w:val="de-DE"/>
        </w:rPr>
        <w:t xml:space="preserve"> und Punkt 18 </w:t>
      </w:r>
      <w:r w:rsidR="001C4FD6" w:rsidRPr="00B140F2">
        <w:rPr>
          <w:lang w:val="de-DE"/>
        </w:rPr>
        <w:t>„</w:t>
      </w:r>
      <w:r w:rsidR="00607A79" w:rsidRPr="00B140F2">
        <w:rPr>
          <w:lang w:val="de-DE"/>
        </w:rPr>
        <w:t>Erläuter</w:t>
      </w:r>
      <w:r w:rsidR="00607A79">
        <w:rPr>
          <w:lang w:val="de-DE"/>
        </w:rPr>
        <w:t>nde Bemerkungen</w:t>
      </w:r>
      <w:r w:rsidR="00607A79" w:rsidRPr="00B140F2" w:rsidDel="00607A79">
        <w:rPr>
          <w:lang w:val="de-DE"/>
        </w:rPr>
        <w:t xml:space="preserve"> </w:t>
      </w:r>
      <w:r w:rsidRPr="00B140F2">
        <w:rPr>
          <w:lang w:val="de-DE"/>
        </w:rPr>
        <w:t>zur Anlage: UPOV-Sortenbeschreibung</w:t>
      </w:r>
      <w:r w:rsidR="001C4FD6" w:rsidRPr="00B140F2">
        <w:rPr>
          <w:lang w:val="de-DE"/>
        </w:rPr>
        <w:t>“</w:t>
      </w:r>
      <w:r w:rsidRPr="00B140F2">
        <w:rPr>
          <w:lang w:val="de-DE"/>
        </w:rPr>
        <w:t xml:space="preserve"> ein getrennter Abschnitt der Anleitung ist.</w:t>
      </w:r>
    </w:p>
    <w:p w14:paraId="6D223570" w14:textId="77777777" w:rsidR="00D64439" w:rsidRPr="00B140F2" w:rsidRDefault="00D64439" w:rsidP="00BD4986">
      <w:pPr>
        <w:rPr>
          <w:lang w:val="de-DE"/>
        </w:rPr>
      </w:pPr>
    </w:p>
    <w:p w14:paraId="54690791" w14:textId="77777777" w:rsidR="005E6A77" w:rsidRPr="00B140F2" w:rsidRDefault="005E6A77" w:rsidP="00BD4986">
      <w:pPr>
        <w:rPr>
          <w:lang w:val="de-DE"/>
        </w:rPr>
      </w:pPr>
    </w:p>
    <w:p w14:paraId="5C542582" w14:textId="77777777" w:rsidR="005E6A77" w:rsidRPr="00B140F2" w:rsidRDefault="005E6A77" w:rsidP="00BD4986">
      <w:pPr>
        <w:rPr>
          <w:lang w:val="de-DE"/>
        </w:rPr>
      </w:pPr>
    </w:p>
    <w:p w14:paraId="3EFB0F89" w14:textId="77777777" w:rsidR="00BB07F4" w:rsidRDefault="0060633E" w:rsidP="0000413D">
      <w:pPr>
        <w:jc w:val="right"/>
        <w:rPr>
          <w:lang w:val="de-DE"/>
        </w:rPr>
      </w:pPr>
      <w:r w:rsidRPr="00B140F2">
        <w:rPr>
          <w:lang w:val="de-DE"/>
        </w:rPr>
        <w:t>[</w:t>
      </w:r>
      <w:r w:rsidR="002006BE" w:rsidRPr="00B140F2">
        <w:rPr>
          <w:lang w:val="de-DE"/>
        </w:rPr>
        <w:t>Anlage</w:t>
      </w:r>
      <w:r w:rsidRPr="00B140F2">
        <w:rPr>
          <w:lang w:val="de-DE"/>
        </w:rPr>
        <w:t xml:space="preserve"> </w:t>
      </w:r>
      <w:r w:rsidR="00E91290" w:rsidRPr="00B140F2">
        <w:rPr>
          <w:lang w:val="de-DE"/>
        </w:rPr>
        <w:t>IV folgt</w:t>
      </w:r>
      <w:r w:rsidRPr="00B140F2">
        <w:rPr>
          <w:lang w:val="de-DE"/>
        </w:rPr>
        <w:t>]</w:t>
      </w:r>
    </w:p>
    <w:p w14:paraId="69A56D4A" w14:textId="77777777" w:rsidR="00BB07F4" w:rsidRDefault="00BB07F4" w:rsidP="0000413D">
      <w:pPr>
        <w:jc w:val="right"/>
        <w:rPr>
          <w:lang w:val="de-DE"/>
        </w:rPr>
        <w:sectPr w:rsidR="00BB07F4" w:rsidSect="00030D7E">
          <w:headerReference w:type="default" r:id="rId24"/>
          <w:footerReference w:type="even" r:id="rId25"/>
          <w:footerReference w:type="default" r:id="rId26"/>
          <w:footerReference w:type="first" r:id="rId27"/>
          <w:footnotePr>
            <w:numRestart w:val="eachSect"/>
          </w:footnotePr>
          <w:pgSz w:w="11907" w:h="16840" w:code="9"/>
          <w:pgMar w:top="510" w:right="1134" w:bottom="709" w:left="1134" w:header="510" w:footer="680" w:gutter="0"/>
          <w:pgNumType w:start="1"/>
          <w:cols w:space="720"/>
          <w:titlePg/>
        </w:sectPr>
      </w:pPr>
    </w:p>
    <w:p w14:paraId="2E0EFAB9" w14:textId="33A37F9C" w:rsidR="00214329" w:rsidRPr="00B140F2" w:rsidRDefault="002006BE" w:rsidP="00BD4986">
      <w:pPr>
        <w:jc w:val="center"/>
        <w:rPr>
          <w:lang w:val="de-DE"/>
        </w:rPr>
      </w:pPr>
      <w:r w:rsidRPr="00B140F2">
        <w:rPr>
          <w:lang w:val="de-DE"/>
        </w:rPr>
        <w:lastRenderedPageBreak/>
        <w:t>ANLAGE</w:t>
      </w:r>
      <w:r w:rsidR="0060633E" w:rsidRPr="00B140F2">
        <w:rPr>
          <w:lang w:val="de-DE"/>
        </w:rPr>
        <w:t xml:space="preserve"> IV</w:t>
      </w:r>
    </w:p>
    <w:p w14:paraId="0FB568A5" w14:textId="77777777" w:rsidR="00FC1F76" w:rsidRPr="00B140F2" w:rsidRDefault="00FC1F76" w:rsidP="00BD4986">
      <w:pPr>
        <w:rPr>
          <w:lang w:val="de-DE"/>
        </w:rPr>
      </w:pPr>
    </w:p>
    <w:p w14:paraId="3D7C48D3" w14:textId="33B58E89" w:rsidR="00214329" w:rsidRPr="00B140F2" w:rsidRDefault="0060633E" w:rsidP="00BD4986">
      <w:pPr>
        <w:jc w:val="center"/>
        <w:rPr>
          <w:lang w:val="de-DE"/>
        </w:rPr>
      </w:pPr>
      <w:r w:rsidRPr="00B140F2">
        <w:rPr>
          <w:lang w:val="de-DE"/>
        </w:rPr>
        <w:t xml:space="preserve">DOKUMENT TGP/7 </w:t>
      </w:r>
      <w:r w:rsidR="001C4FD6" w:rsidRPr="00B140F2">
        <w:rPr>
          <w:lang w:val="de-DE"/>
        </w:rPr>
        <w:t>„</w:t>
      </w:r>
      <w:r w:rsidR="009C1D7B" w:rsidRPr="00B140F2">
        <w:rPr>
          <w:lang w:val="de-DE"/>
        </w:rPr>
        <w:t>ERSTELLUNG VON PRÜFUNGSRICHTLINIEN</w:t>
      </w:r>
      <w:r w:rsidR="001C4FD6" w:rsidRPr="00B140F2">
        <w:rPr>
          <w:lang w:val="de-DE"/>
        </w:rPr>
        <w:t>“</w:t>
      </w:r>
      <w:r w:rsidRPr="00B140F2">
        <w:rPr>
          <w:lang w:val="de-DE"/>
        </w:rPr>
        <w:t xml:space="preserve"> (ÜBERARBEITUNG)</w:t>
      </w:r>
    </w:p>
    <w:p w14:paraId="64029A0C" w14:textId="77777777" w:rsidR="00FC1F76" w:rsidRPr="00B140F2" w:rsidRDefault="00FC1F76" w:rsidP="00BD4986">
      <w:pPr>
        <w:rPr>
          <w:lang w:val="de-DE"/>
        </w:rPr>
      </w:pPr>
    </w:p>
    <w:p w14:paraId="52DC9E91" w14:textId="77777777" w:rsidR="00F867A1" w:rsidRPr="00B140F2" w:rsidRDefault="00F867A1" w:rsidP="00BD4986">
      <w:pPr>
        <w:rPr>
          <w:lang w:val="de-DE"/>
        </w:rPr>
      </w:pPr>
    </w:p>
    <w:p w14:paraId="74BC0334" w14:textId="5C6F52EC" w:rsidR="00214329" w:rsidRPr="00B140F2" w:rsidRDefault="0060633E" w:rsidP="00BD4986">
      <w:pPr>
        <w:pStyle w:val="plheading"/>
        <w:spacing w:before="0" w:after="0"/>
        <w:rPr>
          <w:snapToGrid/>
          <w:lang w:val="de-DE"/>
        </w:rPr>
      </w:pPr>
      <w:r w:rsidRPr="0000413D">
        <w:rPr>
          <w:snapToGrid/>
          <w:lang w:val="de-DE"/>
        </w:rPr>
        <w:t xml:space="preserve">Zusätzlicher Standardwortlaut (ASW) 3 </w:t>
      </w:r>
      <w:r w:rsidR="001C4FD6" w:rsidRPr="0000413D">
        <w:rPr>
          <w:snapToGrid/>
          <w:lang w:val="de-DE"/>
        </w:rPr>
        <w:t>„</w:t>
      </w:r>
      <w:r w:rsidRPr="0000413D">
        <w:rPr>
          <w:snapToGrid/>
          <w:lang w:val="de-DE"/>
        </w:rPr>
        <w:t>Erläuterung der Wachstumsperiode</w:t>
      </w:r>
      <w:r w:rsidR="001C4FD6" w:rsidRPr="0000413D">
        <w:rPr>
          <w:snapToGrid/>
          <w:lang w:val="de-DE"/>
        </w:rPr>
        <w:t>“</w:t>
      </w:r>
    </w:p>
    <w:p w14:paraId="6BD3DC9F" w14:textId="77777777" w:rsidR="00F867A1" w:rsidRPr="00B140F2" w:rsidRDefault="00F867A1" w:rsidP="00BD4986">
      <w:pPr>
        <w:rPr>
          <w:lang w:val="de-DE"/>
        </w:rPr>
      </w:pPr>
    </w:p>
    <w:p w14:paraId="39C3ADFB" w14:textId="5EF59019" w:rsidR="00214329" w:rsidRPr="00B140F2" w:rsidRDefault="0060633E" w:rsidP="00BD4986">
      <w:pPr>
        <w:rPr>
          <w:lang w:val="de-DE"/>
        </w:rPr>
      </w:pPr>
      <w:r w:rsidRPr="00E83514">
        <w:rPr>
          <w:lang w:val="de-DE"/>
        </w:rPr>
        <w:fldChar w:fldCharType="begin"/>
      </w:r>
      <w:r w:rsidRPr="00B140F2">
        <w:rPr>
          <w:lang w:val="de-DE"/>
        </w:rPr>
        <w:instrText xml:space="preserve"> LISTNUM  LegalDefault \l 1 \s 1 </w:instrText>
      </w:r>
      <w:r w:rsidRPr="00E83514">
        <w:rPr>
          <w:lang w:val="de-DE"/>
        </w:rPr>
        <w:fldChar w:fldCharType="end"/>
      </w:r>
      <w:r w:rsidRPr="00B140F2">
        <w:rPr>
          <w:lang w:val="de-DE"/>
        </w:rPr>
        <w:tab/>
      </w:r>
      <w:r w:rsidR="00F867A1" w:rsidRPr="00B140F2">
        <w:rPr>
          <w:lang w:val="de-DE"/>
        </w:rPr>
        <w:t>Der TC</w:t>
      </w:r>
      <w:r w:rsidR="00F867A1" w:rsidRPr="00E83514">
        <w:rPr>
          <w:rStyle w:val="FootnoteReference"/>
          <w:lang w:val="de-DE"/>
        </w:rPr>
        <w:footnoteReference w:id="16"/>
      </w:r>
      <w:r w:rsidR="00F867A1" w:rsidRPr="00B140F2">
        <w:rPr>
          <w:lang w:val="de-DE"/>
        </w:rPr>
        <w:t xml:space="preserve"> vereinbarte auf seiner Tagung im Jahr 2023, die TWP zu ersuchen, auf ihren Tagungen im Jahr 2024 zu prüfen, ob der derzeitige Standardwortlaut </w:t>
      </w:r>
      <w:r w:rsidR="00607A79">
        <w:rPr>
          <w:lang w:val="de-DE"/>
        </w:rPr>
        <w:t>für die</w:t>
      </w:r>
      <w:r w:rsidR="00607A79" w:rsidRPr="00B140F2">
        <w:rPr>
          <w:lang w:val="de-DE"/>
        </w:rPr>
        <w:t xml:space="preserve"> </w:t>
      </w:r>
      <w:r w:rsidR="00F867A1" w:rsidRPr="00B140F2">
        <w:rPr>
          <w:lang w:val="de-DE"/>
        </w:rPr>
        <w:t xml:space="preserve">Wachstumsperiode für </w:t>
      </w:r>
      <w:r w:rsidR="001C4FD6" w:rsidRPr="00B140F2">
        <w:rPr>
          <w:lang w:val="de-DE"/>
        </w:rPr>
        <w:t>„</w:t>
      </w:r>
      <w:r w:rsidR="008110FE" w:rsidRPr="00B140F2">
        <w:rPr>
          <w:lang w:val="de-DE"/>
        </w:rPr>
        <w:t xml:space="preserve">Obstarten mit deutlich </w:t>
      </w:r>
      <w:r w:rsidR="006E3136" w:rsidRPr="00B140F2">
        <w:rPr>
          <w:lang w:val="de-DE"/>
        </w:rPr>
        <w:t>abgegrenzter Ruheperiode</w:t>
      </w:r>
      <w:r w:rsidR="001C4FD6" w:rsidRPr="00B140F2">
        <w:rPr>
          <w:lang w:val="de-DE"/>
        </w:rPr>
        <w:t>“</w:t>
      </w:r>
      <w:r w:rsidR="00F867A1" w:rsidRPr="00B140F2">
        <w:rPr>
          <w:lang w:val="de-DE"/>
        </w:rPr>
        <w:t xml:space="preserve"> wie folgt geändert werden soll (</w:t>
      </w:r>
      <w:r w:rsidR="00607A79" w:rsidRPr="00B140F2">
        <w:rPr>
          <w:spacing w:val="-2"/>
          <w:lang w:val="de-DE"/>
        </w:rPr>
        <w:t xml:space="preserve">Zusätze sind durch Hervorhebung und </w:t>
      </w:r>
      <w:r w:rsidR="00607A79" w:rsidRPr="00B140F2">
        <w:rPr>
          <w:spacing w:val="-2"/>
          <w:highlight w:val="lightGray"/>
          <w:u w:val="single"/>
          <w:lang w:val="de-DE"/>
        </w:rPr>
        <w:t>Unterstreichung</w:t>
      </w:r>
      <w:r w:rsidR="00607A79" w:rsidRPr="00B140F2">
        <w:rPr>
          <w:spacing w:val="-2"/>
          <w:lang w:val="de-DE"/>
        </w:rPr>
        <w:t xml:space="preserve"> und Streichungen sind durch Hervorhebung und </w:t>
      </w:r>
      <w:r w:rsidR="00607A79" w:rsidRPr="00B140F2">
        <w:rPr>
          <w:strike/>
          <w:spacing w:val="-2"/>
          <w:highlight w:val="lightGray"/>
          <w:lang w:val="de-DE"/>
        </w:rPr>
        <w:t>Durchstreichen</w:t>
      </w:r>
      <w:r w:rsidR="00607A79" w:rsidRPr="00B140F2">
        <w:rPr>
          <w:spacing w:val="-2"/>
          <w:lang w:val="de-DE"/>
        </w:rPr>
        <w:t xml:space="preserve"> gekennzeichnet</w:t>
      </w:r>
      <w:r w:rsidR="00F867A1" w:rsidRPr="00B140F2">
        <w:rPr>
          <w:lang w:val="de-DE"/>
        </w:rPr>
        <w:t>):</w:t>
      </w:r>
    </w:p>
    <w:p w14:paraId="22F65784" w14:textId="77777777" w:rsidR="00F867A1" w:rsidRPr="00B140F2" w:rsidRDefault="00F867A1" w:rsidP="00BD4986">
      <w:pPr>
        <w:rPr>
          <w:lang w:val="de-DE"/>
        </w:rPr>
      </w:pPr>
    </w:p>
    <w:p w14:paraId="5F883AEB" w14:textId="0DA603C0" w:rsidR="00214329" w:rsidRPr="00B140F2" w:rsidRDefault="001C4FD6" w:rsidP="00BD4986">
      <w:pPr>
        <w:keepNext/>
        <w:tabs>
          <w:tab w:val="left" w:pos="1134"/>
        </w:tabs>
        <w:ind w:left="567" w:right="567"/>
        <w:contextualSpacing/>
        <w:rPr>
          <w:sz w:val="18"/>
          <w:szCs w:val="18"/>
          <w:lang w:val="de-DE"/>
        </w:rPr>
      </w:pPr>
      <w:r w:rsidRPr="00B140F2">
        <w:rPr>
          <w:sz w:val="18"/>
          <w:szCs w:val="18"/>
          <w:lang w:val="de-DE"/>
        </w:rPr>
        <w:t>„</w:t>
      </w:r>
      <w:r w:rsidR="0060633E" w:rsidRPr="00B140F2">
        <w:rPr>
          <w:sz w:val="18"/>
          <w:szCs w:val="18"/>
          <w:lang w:val="de-DE"/>
        </w:rPr>
        <w:t xml:space="preserve">a) </w:t>
      </w:r>
      <w:r w:rsidR="0060633E" w:rsidRPr="00B140F2">
        <w:rPr>
          <w:sz w:val="18"/>
          <w:szCs w:val="18"/>
          <w:lang w:val="de-DE"/>
        </w:rPr>
        <w:tab/>
      </w:r>
      <w:r w:rsidR="00455FEB" w:rsidRPr="00B140F2">
        <w:rPr>
          <w:sz w:val="18"/>
          <w:szCs w:val="18"/>
          <w:lang w:val="de-DE"/>
        </w:rPr>
        <w:t xml:space="preserve">Obstarten mit deutlich </w:t>
      </w:r>
      <w:r w:rsidR="006E3136" w:rsidRPr="00B140F2">
        <w:rPr>
          <w:sz w:val="18"/>
          <w:szCs w:val="18"/>
          <w:lang w:val="de-DE"/>
        </w:rPr>
        <w:t>abgegrenzter Ruheperiode</w:t>
      </w:r>
    </w:p>
    <w:p w14:paraId="08492CA8" w14:textId="77777777" w:rsidR="00F867A1" w:rsidRPr="00B140F2" w:rsidRDefault="00F867A1" w:rsidP="00BD4986">
      <w:pPr>
        <w:keepNext/>
        <w:tabs>
          <w:tab w:val="left" w:pos="1134"/>
        </w:tabs>
        <w:ind w:left="567" w:right="567"/>
        <w:contextualSpacing/>
        <w:rPr>
          <w:sz w:val="18"/>
          <w:szCs w:val="18"/>
          <w:lang w:val="de-DE"/>
        </w:rPr>
      </w:pPr>
    </w:p>
    <w:p w14:paraId="27808449" w14:textId="77777777" w:rsidR="00E4308A" w:rsidRPr="00B140F2" w:rsidRDefault="00E4308A" w:rsidP="00E4308A">
      <w:pPr>
        <w:tabs>
          <w:tab w:val="left" w:pos="851"/>
          <w:tab w:val="left" w:pos="1134"/>
        </w:tabs>
        <w:ind w:left="567" w:right="567"/>
        <w:rPr>
          <w:sz w:val="18"/>
          <w:szCs w:val="18"/>
          <w:lang w:val="de-DE"/>
        </w:rPr>
      </w:pPr>
      <w:r w:rsidRPr="00D60113">
        <w:rPr>
          <w:sz w:val="18"/>
          <w:szCs w:val="18"/>
          <w:lang w:val="de-DE"/>
        </w:rPr>
        <w:t xml:space="preserve">„3.1.2 </w:t>
      </w:r>
      <w:r w:rsidRPr="00BB3403">
        <w:rPr>
          <w:sz w:val="18"/>
          <w:szCs w:val="18"/>
          <w:lang w:val="de-DE"/>
        </w:rPr>
        <w:t xml:space="preserve">Als Wachstumsperiode wird die Dauer einer Vegetationsperiode angesehen, die mit </w:t>
      </w:r>
      <w:r w:rsidRPr="00BB3403">
        <w:rPr>
          <w:sz w:val="18"/>
          <w:szCs w:val="18"/>
          <w:highlight w:val="lightGray"/>
          <w:u w:val="single"/>
          <w:lang w:val="de-DE"/>
        </w:rPr>
        <w:t xml:space="preserve">der </w:t>
      </w:r>
      <w:r w:rsidRPr="002C4409">
        <w:rPr>
          <w:sz w:val="18"/>
          <w:szCs w:val="18"/>
          <w:highlight w:val="lightGray"/>
          <w:u w:val="single"/>
          <w:lang w:val="de-DE"/>
        </w:rPr>
        <w:t xml:space="preserve">Winterruheperiode beginnt, sich mit </w:t>
      </w:r>
      <w:r w:rsidRPr="002C4409">
        <w:rPr>
          <w:sz w:val="18"/>
          <w:szCs w:val="18"/>
          <w:lang w:val="de-DE"/>
        </w:rPr>
        <w:t>dem</w:t>
      </w:r>
      <w:r w:rsidRPr="00BB3403">
        <w:rPr>
          <w:sz w:val="18"/>
          <w:szCs w:val="18"/>
          <w:lang w:val="de-DE"/>
        </w:rPr>
        <w:t xml:space="preserve"> Knospenaufbruch (blühend und/oder vegetativ)</w:t>
      </w:r>
      <w:r w:rsidRPr="00BB3403">
        <w:rPr>
          <w:strike/>
          <w:sz w:val="18"/>
          <w:szCs w:val="18"/>
          <w:highlight w:val="lightGray"/>
          <w:lang w:val="de-DE"/>
        </w:rPr>
        <w:t xml:space="preserve"> beginnt</w:t>
      </w:r>
      <w:r w:rsidRPr="00BB3403">
        <w:rPr>
          <w:sz w:val="18"/>
          <w:szCs w:val="18"/>
          <w:lang w:val="de-DE"/>
        </w:rPr>
        <w:t xml:space="preserve">, </w:t>
      </w:r>
      <w:r w:rsidRPr="00BB3403">
        <w:rPr>
          <w:strike/>
          <w:sz w:val="18"/>
          <w:szCs w:val="18"/>
          <w:highlight w:val="lightGray"/>
          <w:lang w:val="de-DE"/>
        </w:rPr>
        <w:t xml:space="preserve">sich mit und </w:t>
      </w:r>
      <w:r w:rsidRPr="00BB3403">
        <w:rPr>
          <w:sz w:val="18"/>
          <w:szCs w:val="18"/>
          <w:lang w:val="de-DE"/>
        </w:rPr>
        <w:t xml:space="preserve">der Blüte und der Ernte der Früchte fortsetzt und </w:t>
      </w:r>
      <w:r w:rsidRPr="00BB3403">
        <w:rPr>
          <w:strike/>
          <w:sz w:val="18"/>
          <w:szCs w:val="18"/>
          <w:highlight w:val="lightGray"/>
          <w:lang w:val="de-DE"/>
        </w:rPr>
        <w:t xml:space="preserve">am Ende </w:t>
      </w:r>
      <w:r w:rsidRPr="00504840">
        <w:rPr>
          <w:sz w:val="18"/>
          <w:szCs w:val="18"/>
          <w:highlight w:val="lightGray"/>
          <w:u w:val="single"/>
          <w:lang w:val="de-DE"/>
        </w:rPr>
        <w:t>mit Beginn</w:t>
      </w:r>
      <w:r w:rsidRPr="00BB3403">
        <w:rPr>
          <w:sz w:val="18"/>
          <w:szCs w:val="18"/>
          <w:lang w:val="de-DE"/>
        </w:rPr>
        <w:t xml:space="preserve"> der darauffolgenden Ruheperiode </w:t>
      </w:r>
      <w:r w:rsidRPr="00BB3403">
        <w:rPr>
          <w:strike/>
          <w:sz w:val="18"/>
          <w:szCs w:val="18"/>
          <w:highlight w:val="lightGray"/>
          <w:lang w:val="de-DE"/>
        </w:rPr>
        <w:t xml:space="preserve">mit dem Schwellen neuer Jahresknospen </w:t>
      </w:r>
      <w:r w:rsidRPr="00BB3403">
        <w:rPr>
          <w:sz w:val="18"/>
          <w:szCs w:val="18"/>
          <w:lang w:val="de-DE"/>
        </w:rPr>
        <w:t>endet</w:t>
      </w:r>
      <w:r w:rsidRPr="00D60113">
        <w:rPr>
          <w:sz w:val="18"/>
          <w:szCs w:val="18"/>
          <w:lang w:val="de-DE"/>
        </w:rPr>
        <w:t>.</w:t>
      </w:r>
      <w:r>
        <w:rPr>
          <w:sz w:val="18"/>
          <w:szCs w:val="18"/>
          <w:lang w:val="de-DE"/>
        </w:rPr>
        <w:t>“</w:t>
      </w:r>
    </w:p>
    <w:p w14:paraId="70322E7E" w14:textId="77777777" w:rsidR="003571B2" w:rsidRPr="00B140F2" w:rsidRDefault="003571B2" w:rsidP="00BD4986">
      <w:pPr>
        <w:rPr>
          <w:lang w:val="de-DE"/>
        </w:rPr>
      </w:pPr>
    </w:p>
    <w:p w14:paraId="502E9547" w14:textId="532D6C98"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 xml:space="preserve">Auf ihren Tagungen im Jahr 2024 stimmten die TWV, die </w:t>
      </w:r>
      <w:r w:rsidRPr="00B140F2">
        <w:rPr>
          <w:lang w:val="de-DE"/>
        </w:rPr>
        <w:t xml:space="preserve">TWO, die </w:t>
      </w:r>
      <w:r w:rsidRPr="00B140F2">
        <w:rPr>
          <w:rFonts w:eastAsiaTheme="minorEastAsia"/>
          <w:lang w:val="de-DE"/>
        </w:rPr>
        <w:t xml:space="preserve">TWA und die </w:t>
      </w:r>
      <w:r w:rsidRPr="00B140F2">
        <w:rPr>
          <w:lang w:val="de-DE"/>
        </w:rPr>
        <w:t xml:space="preserve">TWF </w:t>
      </w:r>
      <w:r w:rsidRPr="00B140F2">
        <w:rPr>
          <w:rFonts w:eastAsiaTheme="minorEastAsia"/>
          <w:lang w:val="de-DE"/>
        </w:rPr>
        <w:t xml:space="preserve">dem Vorschlag </w:t>
      </w:r>
      <w:r w:rsidRPr="00B140F2">
        <w:rPr>
          <w:lang w:val="de-DE"/>
        </w:rPr>
        <w:t xml:space="preserve">zu, den Standardwortlaut der Wachstumsperiode für </w:t>
      </w:r>
      <w:r w:rsidR="001C4FD6" w:rsidRPr="00B140F2">
        <w:rPr>
          <w:lang w:val="de-DE"/>
        </w:rPr>
        <w:t>„</w:t>
      </w:r>
      <w:r w:rsidR="008110FE" w:rsidRPr="00B140F2">
        <w:rPr>
          <w:lang w:val="de-DE"/>
        </w:rPr>
        <w:t xml:space="preserve">Obstarten mit deutlich </w:t>
      </w:r>
      <w:r w:rsidR="006E3136" w:rsidRPr="00B140F2">
        <w:rPr>
          <w:lang w:val="de-DE"/>
        </w:rPr>
        <w:t>abgegrenzter Ruheperiode</w:t>
      </w:r>
      <w:r w:rsidR="001C4FD6" w:rsidRPr="00B140F2">
        <w:rPr>
          <w:lang w:val="de-DE"/>
        </w:rPr>
        <w:t>“</w:t>
      </w:r>
      <w:r w:rsidRPr="00B140F2">
        <w:rPr>
          <w:lang w:val="de-DE"/>
        </w:rPr>
        <w:t xml:space="preserve"> in Dokument TGP/7, ASW 3</w:t>
      </w:r>
      <w:r w:rsidR="00CE6C38">
        <w:rPr>
          <w:lang w:val="de-DE"/>
        </w:rPr>
        <w:t>a)</w:t>
      </w:r>
      <w:r w:rsidRPr="00B140F2">
        <w:rPr>
          <w:lang w:val="de-DE"/>
        </w:rPr>
        <w:t xml:space="preserve">, wie in Absatz </w:t>
      </w:r>
      <w:r w:rsidR="00DC2F5C" w:rsidRPr="00B140F2">
        <w:rPr>
          <w:lang w:val="de-DE"/>
        </w:rPr>
        <w:t xml:space="preserve">1 </w:t>
      </w:r>
      <w:r w:rsidRPr="00B140F2">
        <w:rPr>
          <w:lang w:val="de-DE"/>
        </w:rPr>
        <w:t>dargelegt, zu ändern.</w:t>
      </w:r>
      <w:r w:rsidR="00FE0BFC" w:rsidRPr="00B140F2">
        <w:rPr>
          <w:lang w:val="de-DE"/>
        </w:rPr>
        <w:t xml:space="preserve"> </w:t>
      </w:r>
      <w:r w:rsidRPr="00B140F2">
        <w:rPr>
          <w:lang w:val="de-DE"/>
        </w:rPr>
        <w:t xml:space="preserve">Die TWV und die TWA </w:t>
      </w:r>
      <w:r w:rsidR="000E7F3C">
        <w:rPr>
          <w:rFonts w:eastAsiaTheme="minorEastAsia"/>
          <w:lang w:val="de-DE"/>
        </w:rPr>
        <w:t>nahmen zur Kenntnis</w:t>
      </w:r>
      <w:r w:rsidRPr="00B140F2">
        <w:rPr>
          <w:rFonts w:eastAsiaTheme="minorEastAsia"/>
          <w:lang w:val="de-DE"/>
        </w:rPr>
        <w:t xml:space="preserve">, </w:t>
      </w:r>
      <w:r w:rsidR="00350639" w:rsidRPr="00B140F2">
        <w:rPr>
          <w:rFonts w:eastAsiaTheme="minorEastAsia"/>
          <w:lang w:val="de-DE"/>
        </w:rPr>
        <w:t xml:space="preserve">dass </w:t>
      </w:r>
      <w:r w:rsidRPr="00B140F2">
        <w:rPr>
          <w:rFonts w:eastAsiaTheme="minorEastAsia"/>
          <w:lang w:val="de-DE"/>
        </w:rPr>
        <w:t>diese Situation bei Gemüsearten und landwirtschaftlichen Arten nicht üblich sei.</w:t>
      </w:r>
    </w:p>
    <w:p w14:paraId="2621A83A" w14:textId="77777777" w:rsidR="00D1572C" w:rsidRPr="00B140F2" w:rsidRDefault="00D1572C" w:rsidP="00BD4986">
      <w:pPr>
        <w:pStyle w:val="EndnoteText"/>
        <w:rPr>
          <w:lang w:val="de-DE"/>
        </w:rPr>
      </w:pPr>
    </w:p>
    <w:p w14:paraId="743F6DF8" w14:textId="77777777" w:rsidR="00D1572C" w:rsidRPr="00B140F2" w:rsidRDefault="00D1572C" w:rsidP="00BD4986">
      <w:pPr>
        <w:rPr>
          <w:lang w:val="de-DE"/>
        </w:rPr>
      </w:pPr>
    </w:p>
    <w:p w14:paraId="406AA613" w14:textId="62EF3D79" w:rsidR="00214329" w:rsidRPr="00B140F2" w:rsidRDefault="0060633E" w:rsidP="00BD4986">
      <w:pPr>
        <w:jc w:val="center"/>
        <w:rPr>
          <w:u w:val="single"/>
          <w:lang w:val="de-DE"/>
        </w:rPr>
      </w:pPr>
      <w:r w:rsidRPr="00B140F2">
        <w:rPr>
          <w:u w:val="single"/>
          <w:lang w:val="de-DE"/>
        </w:rPr>
        <w:t>ZUSÄTZLICHER STANDARDWORTLAUT (</w:t>
      </w:r>
      <w:r w:rsidRPr="009400D4">
        <w:rPr>
          <w:u w:val="single"/>
          <w:lang w:val="de-DE"/>
        </w:rPr>
        <w:t xml:space="preserve">ASW) </w:t>
      </w:r>
      <w:r w:rsidR="003770B2" w:rsidRPr="009400D4">
        <w:rPr>
          <w:u w:val="single"/>
          <w:lang w:val="de-DE"/>
        </w:rPr>
        <w:t>7</w:t>
      </w:r>
      <w:r w:rsidR="000E7F3C" w:rsidRPr="009400D4">
        <w:rPr>
          <w:u w:val="single"/>
          <w:lang w:val="de-DE"/>
        </w:rPr>
        <w:t>B</w:t>
      </w:r>
      <w:r w:rsidR="003770B2" w:rsidRPr="009400D4">
        <w:rPr>
          <w:u w:val="single"/>
          <w:lang w:val="de-DE"/>
        </w:rPr>
        <w:t>)</w:t>
      </w:r>
      <w:r w:rsidRPr="00B140F2">
        <w:rPr>
          <w:u w:val="single"/>
          <w:lang w:val="de-DE"/>
        </w:rPr>
        <w:br/>
      </w:r>
      <w:r w:rsidR="009400D4" w:rsidRPr="00B140F2">
        <w:rPr>
          <w:u w:val="single"/>
          <w:lang w:val="de-DE"/>
        </w:rPr>
        <w:t>„</w:t>
      </w:r>
      <w:r w:rsidRPr="00B140F2">
        <w:rPr>
          <w:u w:val="single"/>
          <w:lang w:val="de-DE"/>
        </w:rPr>
        <w:t>ANZAHL DER ZU PRÜFENDEN PFLANZEN / PFLANZENTEILE</w:t>
      </w:r>
      <w:r w:rsidR="001C4FD6" w:rsidRPr="00B140F2">
        <w:rPr>
          <w:u w:val="single"/>
          <w:lang w:val="de-DE"/>
        </w:rPr>
        <w:t>“</w:t>
      </w:r>
    </w:p>
    <w:p w14:paraId="5671FECB" w14:textId="77777777" w:rsidR="00FC1F76" w:rsidRPr="00B140F2" w:rsidRDefault="00FC1F76" w:rsidP="00BD4986">
      <w:pPr>
        <w:rPr>
          <w:u w:val="single"/>
          <w:lang w:val="de-DE"/>
        </w:rPr>
      </w:pPr>
    </w:p>
    <w:p w14:paraId="6E488E0E" w14:textId="77777777" w:rsidR="00214329" w:rsidRPr="00B140F2" w:rsidRDefault="0060633E" w:rsidP="00BD4986">
      <w:pPr>
        <w:rPr>
          <w:i/>
          <w:lang w:val="de-DE"/>
        </w:rPr>
      </w:pPr>
      <w:r w:rsidRPr="00B140F2">
        <w:rPr>
          <w:i/>
          <w:lang w:val="de-DE"/>
        </w:rPr>
        <w:t>Hintergrund</w:t>
      </w:r>
    </w:p>
    <w:p w14:paraId="707EA6E5" w14:textId="77777777" w:rsidR="00FC1F76" w:rsidRPr="00B140F2" w:rsidRDefault="00FC1F76" w:rsidP="00BD4986">
      <w:pPr>
        <w:rPr>
          <w:iCs/>
          <w:lang w:val="de-DE"/>
        </w:rPr>
      </w:pPr>
    </w:p>
    <w:p w14:paraId="45D58A1D" w14:textId="63C18769"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FC1F76" w:rsidRPr="00B140F2">
        <w:rPr>
          <w:lang w:val="de-DE"/>
        </w:rPr>
        <w:t>Kapitel 4 der Prüfungsrichtlinien bezieht sich auf die Prüfung der Unterscheidbarkeit.</w:t>
      </w:r>
      <w:r w:rsidR="00FE0BFC" w:rsidRPr="00B140F2">
        <w:rPr>
          <w:lang w:val="de-DE"/>
        </w:rPr>
        <w:t xml:space="preserve"> </w:t>
      </w:r>
      <w:r w:rsidR="00FC1F76" w:rsidRPr="00B140F2">
        <w:rPr>
          <w:lang w:val="de-DE"/>
        </w:rPr>
        <w:t>Abschnitt 4.1.4 enthält Informationen über die Anzahl der zu prüfenden Pflanzen oder Pflanzenteile.</w:t>
      </w:r>
      <w:r w:rsidR="00FE0BFC" w:rsidRPr="00B140F2">
        <w:rPr>
          <w:lang w:val="de-DE"/>
        </w:rPr>
        <w:t xml:space="preserve"> </w:t>
      </w:r>
      <w:r w:rsidR="00FC1F76" w:rsidRPr="00B140F2">
        <w:rPr>
          <w:lang w:val="de-DE"/>
        </w:rPr>
        <w:t>Folgende</w:t>
      </w:r>
      <w:r w:rsidR="009400D4">
        <w:rPr>
          <w:lang w:val="de-DE"/>
        </w:rPr>
        <w:t>r</w:t>
      </w:r>
      <w:r w:rsidR="00FC1F76" w:rsidRPr="00B140F2">
        <w:rPr>
          <w:lang w:val="de-DE"/>
        </w:rPr>
        <w:t xml:space="preserve"> Standard</w:t>
      </w:r>
      <w:r w:rsidR="009400D4">
        <w:rPr>
          <w:lang w:val="de-DE"/>
        </w:rPr>
        <w:t>wortlaut</w:t>
      </w:r>
      <w:r w:rsidR="00FC1F76" w:rsidRPr="00B140F2">
        <w:rPr>
          <w:lang w:val="de-DE"/>
        </w:rPr>
        <w:t xml:space="preserve"> ist in allen Prüfungsrichtlinien vorgesehen, wobei </w:t>
      </w:r>
      <w:r w:rsidR="001C4FD6" w:rsidRPr="00B140F2">
        <w:rPr>
          <w:lang w:val="de-DE"/>
        </w:rPr>
        <w:t>„</w:t>
      </w:r>
      <w:r w:rsidR="00FC1F76" w:rsidRPr="00B140F2">
        <w:rPr>
          <w:lang w:val="de-DE"/>
        </w:rPr>
        <w:t>{ x }</w:t>
      </w:r>
      <w:r w:rsidR="001C4FD6" w:rsidRPr="00B140F2">
        <w:rPr>
          <w:lang w:val="de-DE"/>
        </w:rPr>
        <w:t>“</w:t>
      </w:r>
      <w:r w:rsidR="00FC1F76" w:rsidRPr="00B140F2">
        <w:rPr>
          <w:lang w:val="de-DE"/>
        </w:rPr>
        <w:t xml:space="preserve"> die Anzahl der zu </w:t>
      </w:r>
      <w:r w:rsidR="009400D4">
        <w:rPr>
          <w:lang w:val="de-DE"/>
        </w:rPr>
        <w:t>erfassenden</w:t>
      </w:r>
      <w:r w:rsidR="009400D4" w:rsidRPr="00B140F2">
        <w:rPr>
          <w:lang w:val="de-DE"/>
        </w:rPr>
        <w:t xml:space="preserve"> </w:t>
      </w:r>
      <w:r w:rsidR="00FC1F76" w:rsidRPr="00B140F2">
        <w:rPr>
          <w:lang w:val="de-DE"/>
        </w:rPr>
        <w:t>Pflanzen oder Pflanzenteile ist:</w:t>
      </w:r>
    </w:p>
    <w:p w14:paraId="2C205C2B" w14:textId="77777777" w:rsidR="00FC1F76" w:rsidRPr="00B140F2" w:rsidRDefault="00FC1F76" w:rsidP="00BD4986">
      <w:pPr>
        <w:rPr>
          <w:lang w:val="de-DE"/>
        </w:rPr>
      </w:pPr>
    </w:p>
    <w:p w14:paraId="707CAB18" w14:textId="50E3031C" w:rsidR="00214329" w:rsidRPr="00B140F2" w:rsidRDefault="001C4FD6" w:rsidP="00BD4986">
      <w:pPr>
        <w:ind w:left="567" w:right="567"/>
        <w:rPr>
          <w:sz w:val="18"/>
          <w:szCs w:val="18"/>
          <w:lang w:val="de-DE"/>
        </w:rPr>
      </w:pPr>
      <w:r w:rsidRPr="00B140F2">
        <w:rPr>
          <w:sz w:val="18"/>
          <w:szCs w:val="18"/>
          <w:lang w:val="de-DE"/>
        </w:rPr>
        <w:t>„</w:t>
      </w:r>
      <w:r w:rsidR="00BC36B6" w:rsidRPr="00B140F2">
        <w:rPr>
          <w:sz w:val="18"/>
          <w:szCs w:val="18"/>
          <w:lang w:val="de-DE"/>
        </w:rPr>
        <w:t xml:space="preserve">Sofern nicht anders angegeben, sollten zur Prüfung der Unterscheidbarkeit </w:t>
      </w:r>
      <w:r w:rsidR="009400D4" w:rsidRPr="00B140F2">
        <w:rPr>
          <w:sz w:val="18"/>
          <w:szCs w:val="18"/>
          <w:lang w:val="de-DE"/>
        </w:rPr>
        <w:t xml:space="preserve">alle Erfassungen </w:t>
      </w:r>
      <w:r w:rsidR="00BC36B6" w:rsidRPr="00B140F2">
        <w:rPr>
          <w:sz w:val="18"/>
          <w:szCs w:val="18"/>
          <w:lang w:val="de-DE"/>
        </w:rPr>
        <w:t>an</w:t>
      </w:r>
      <w:r w:rsidR="009400D4">
        <w:rPr>
          <w:sz w:val="18"/>
          <w:szCs w:val="18"/>
          <w:lang w:val="de-DE"/>
        </w:rPr>
        <w:t xml:space="preserve"> Einzelpflanzen an</w:t>
      </w:r>
      <w:r w:rsidR="00BC36B6" w:rsidRPr="00B140F2">
        <w:rPr>
          <w:sz w:val="18"/>
          <w:szCs w:val="18"/>
          <w:lang w:val="de-DE"/>
        </w:rPr>
        <w:t xml:space="preserve"> { x } Pflanzen oder Teilen von { x } Pflanzen erfolgen</w:t>
      </w:r>
      <w:r w:rsidR="009400D4">
        <w:rPr>
          <w:sz w:val="18"/>
          <w:szCs w:val="18"/>
          <w:lang w:val="de-DE"/>
        </w:rPr>
        <w:t xml:space="preserve"> und alle übrigen Erfassungen an allen Pflanzen erfolgen</w:t>
      </w:r>
      <w:r w:rsidR="00BC36B6" w:rsidRPr="00B140F2">
        <w:rPr>
          <w:sz w:val="18"/>
          <w:szCs w:val="18"/>
          <w:lang w:val="de-DE"/>
        </w:rPr>
        <w:t>, wobei etwaige Abweicherpflanzen außer Acht gelassen werden</w:t>
      </w:r>
      <w:r w:rsidR="0060633E" w:rsidRPr="00B140F2">
        <w:rPr>
          <w:sz w:val="18"/>
          <w:szCs w:val="18"/>
          <w:lang w:val="de-DE"/>
        </w:rPr>
        <w:t>.</w:t>
      </w:r>
      <w:r w:rsidR="00D75AC4">
        <w:rPr>
          <w:sz w:val="18"/>
          <w:szCs w:val="18"/>
          <w:lang w:val="de-DE"/>
        </w:rPr>
        <w:t>“</w:t>
      </w:r>
    </w:p>
    <w:p w14:paraId="79BCB0E0" w14:textId="77777777" w:rsidR="00FC1F76" w:rsidRPr="00B140F2" w:rsidRDefault="00FC1F76" w:rsidP="00BD4986">
      <w:pPr>
        <w:pStyle w:val="Normaltg"/>
        <w:tabs>
          <w:tab w:val="clear" w:pos="709"/>
          <w:tab w:val="clear" w:pos="1418"/>
          <w:tab w:val="left" w:pos="1659"/>
        </w:tabs>
        <w:rPr>
          <w:lang w:val="de-DE"/>
        </w:rPr>
      </w:pPr>
    </w:p>
    <w:p w14:paraId="56DA76A3" w14:textId="28B11140" w:rsidR="00214329" w:rsidRPr="00B140F2" w:rsidRDefault="0060633E" w:rsidP="00BD4986">
      <w:pPr>
        <w:rPr>
          <w:rFonts w:cs="Arial"/>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Der folgende </w:t>
      </w:r>
      <w:r w:rsidR="00392E52" w:rsidRPr="00B140F2">
        <w:rPr>
          <w:lang w:val="de-DE"/>
        </w:rPr>
        <w:t xml:space="preserve">zusätzliche </w:t>
      </w:r>
      <w:r w:rsidRPr="00B140F2">
        <w:rPr>
          <w:lang w:val="de-DE"/>
        </w:rPr>
        <w:t xml:space="preserve">Satz kann gegebenenfalls </w:t>
      </w:r>
      <w:r w:rsidR="009400D4">
        <w:rPr>
          <w:lang w:val="de-DE"/>
        </w:rPr>
        <w:t>hinzu</w:t>
      </w:r>
      <w:r w:rsidR="009400D4" w:rsidRPr="00B140F2">
        <w:rPr>
          <w:lang w:val="de-DE"/>
        </w:rPr>
        <w:t xml:space="preserve">gefügt </w:t>
      </w:r>
      <w:r w:rsidRPr="00B140F2">
        <w:rPr>
          <w:lang w:val="de-DE"/>
        </w:rPr>
        <w:t>werden (</w:t>
      </w:r>
      <w:r w:rsidR="00E3505C" w:rsidRPr="00B140F2">
        <w:rPr>
          <w:rFonts w:cs="Arial"/>
          <w:lang w:val="de-DE"/>
        </w:rPr>
        <w:t xml:space="preserve">zusätzlicher Standardwortlaut </w:t>
      </w:r>
      <w:r w:rsidRPr="00B140F2">
        <w:rPr>
          <w:rFonts w:cs="Arial"/>
          <w:lang w:val="de-DE"/>
        </w:rPr>
        <w:t xml:space="preserve">(ASW) </w:t>
      </w:r>
      <w:r w:rsidR="003770B2" w:rsidRPr="00B140F2">
        <w:rPr>
          <w:rFonts w:cs="Arial"/>
          <w:lang w:val="de-DE"/>
        </w:rPr>
        <w:t>7b)</w:t>
      </w:r>
      <w:r w:rsidRPr="00B140F2">
        <w:rPr>
          <w:rFonts w:cs="Arial"/>
          <w:lang w:val="de-DE"/>
        </w:rPr>
        <w:t>):</w:t>
      </w:r>
    </w:p>
    <w:p w14:paraId="16062F66" w14:textId="77777777" w:rsidR="00FC1F76" w:rsidRPr="00B140F2" w:rsidRDefault="00FC1F76" w:rsidP="00BD4986">
      <w:pPr>
        <w:rPr>
          <w:lang w:val="de-DE"/>
        </w:rPr>
      </w:pPr>
    </w:p>
    <w:p w14:paraId="065509EA" w14:textId="65EDFB67" w:rsidR="00214329" w:rsidRPr="00D34756" w:rsidRDefault="001C4FD6" w:rsidP="00BD4986">
      <w:pPr>
        <w:ind w:left="567" w:right="567"/>
        <w:rPr>
          <w:sz w:val="18"/>
          <w:szCs w:val="18"/>
          <w:lang w:val="de-DE"/>
        </w:rPr>
      </w:pPr>
      <w:r w:rsidRPr="00D34756">
        <w:rPr>
          <w:sz w:val="18"/>
          <w:szCs w:val="18"/>
          <w:lang w:val="de-DE"/>
        </w:rPr>
        <w:t>„</w:t>
      </w:r>
      <w:r w:rsidR="00B44B51" w:rsidRPr="00B44B51">
        <w:rPr>
          <w:sz w:val="18"/>
          <w:lang w:val="de-DE"/>
        </w:rPr>
        <w:t>Bei Erfassungen an Pflanzenteilen sollte(n) von jeder Pflanze { y } Teil(e) entnommen werden</w:t>
      </w:r>
      <w:r w:rsidR="0060633E" w:rsidRPr="00D34756">
        <w:rPr>
          <w:sz w:val="18"/>
          <w:szCs w:val="18"/>
          <w:lang w:val="de-DE"/>
        </w:rPr>
        <w:t>.</w:t>
      </w:r>
      <w:r w:rsidR="00B44B51">
        <w:rPr>
          <w:sz w:val="18"/>
          <w:szCs w:val="18"/>
          <w:lang w:val="de-DE"/>
        </w:rPr>
        <w:t>“</w:t>
      </w:r>
    </w:p>
    <w:p w14:paraId="076A0FC8" w14:textId="77777777" w:rsidR="00FC1F76" w:rsidRPr="00D34756" w:rsidRDefault="00FC1F76" w:rsidP="00BD4986">
      <w:pPr>
        <w:pStyle w:val="Normaltg"/>
        <w:tabs>
          <w:tab w:val="clear" w:pos="709"/>
          <w:tab w:val="clear" w:pos="1418"/>
          <w:tab w:val="left" w:pos="1659"/>
        </w:tabs>
        <w:rPr>
          <w:lang w:val="de-DE"/>
        </w:rPr>
      </w:pPr>
    </w:p>
    <w:p w14:paraId="0AEC20DC" w14:textId="212F19F0" w:rsidR="00214329" w:rsidRPr="00D34756" w:rsidRDefault="0060633E" w:rsidP="00BD4986">
      <w:pPr>
        <w:rPr>
          <w:rFonts w:cs="Arial"/>
          <w:lang w:val="de-DE"/>
        </w:rPr>
      </w:pPr>
      <w:r w:rsidRPr="00D34756">
        <w:rPr>
          <w:lang w:val="de-DE"/>
        </w:rPr>
        <w:fldChar w:fldCharType="begin"/>
      </w:r>
      <w:r w:rsidRPr="00D34756">
        <w:rPr>
          <w:lang w:val="de-DE"/>
        </w:rPr>
        <w:instrText xml:space="preserve"> LISTNUM  LegalDefault \l 1 </w:instrText>
      </w:r>
      <w:r w:rsidRPr="00D34756">
        <w:rPr>
          <w:lang w:val="de-DE"/>
        </w:rPr>
        <w:fldChar w:fldCharType="end"/>
      </w:r>
      <w:r w:rsidRPr="00D34756">
        <w:rPr>
          <w:lang w:val="de-DE"/>
        </w:rPr>
        <w:tab/>
        <w:t>Auf Ersuchen der TWF vereinbarte der TC</w:t>
      </w:r>
      <w:r w:rsidRPr="00D34756">
        <w:rPr>
          <w:rStyle w:val="FootnoteReference"/>
          <w:lang w:val="de-DE"/>
        </w:rPr>
        <w:footnoteReference w:id="17"/>
      </w:r>
      <w:r w:rsidRPr="00D34756">
        <w:rPr>
          <w:lang w:val="de-DE"/>
        </w:rPr>
        <w:t xml:space="preserve"> </w:t>
      </w:r>
      <w:r w:rsidR="009400D4" w:rsidRPr="00D34756">
        <w:rPr>
          <w:lang w:val="de-DE"/>
        </w:rPr>
        <w:t>auf seiner Tagung im Jahr 2023</w:t>
      </w:r>
      <w:r w:rsidRPr="00D34756">
        <w:rPr>
          <w:lang w:val="de-DE"/>
        </w:rPr>
        <w:t xml:space="preserve">, die TWP zu ersuchen, auf ihren Tagungen im Jahr 2024 </w:t>
      </w:r>
      <w:r w:rsidRPr="00D34756">
        <w:rPr>
          <w:rFonts w:cs="Arial"/>
          <w:lang w:val="de-DE"/>
        </w:rPr>
        <w:t xml:space="preserve">einen Vorschlag zur Änderung von </w:t>
      </w:r>
      <w:r w:rsidRPr="00D34756">
        <w:rPr>
          <w:lang w:val="de-DE"/>
        </w:rPr>
        <w:t xml:space="preserve">ASW </w:t>
      </w:r>
      <w:r w:rsidR="003770B2" w:rsidRPr="00D34756">
        <w:rPr>
          <w:lang w:val="de-DE"/>
        </w:rPr>
        <w:t>7b)</w:t>
      </w:r>
      <w:r w:rsidRPr="00D34756">
        <w:rPr>
          <w:lang w:val="de-DE"/>
        </w:rPr>
        <w:t xml:space="preserve"> </w:t>
      </w:r>
      <w:r w:rsidRPr="00D34756">
        <w:rPr>
          <w:rFonts w:cs="Arial"/>
          <w:lang w:val="de-DE"/>
        </w:rPr>
        <w:t xml:space="preserve">zu </w:t>
      </w:r>
      <w:r w:rsidRPr="00D34756">
        <w:rPr>
          <w:lang w:val="de-DE"/>
        </w:rPr>
        <w:t>prüfen</w:t>
      </w:r>
      <w:r w:rsidRPr="00D34756">
        <w:rPr>
          <w:rFonts w:cs="Arial"/>
          <w:lang w:val="de-DE"/>
        </w:rPr>
        <w:t xml:space="preserve">, um klarzustellen, </w:t>
      </w:r>
      <w:r w:rsidR="00350639" w:rsidRPr="00D34756">
        <w:rPr>
          <w:rFonts w:cs="Arial"/>
          <w:lang w:val="de-DE"/>
        </w:rPr>
        <w:t xml:space="preserve">dass </w:t>
      </w:r>
      <w:r w:rsidRPr="00D34756">
        <w:rPr>
          <w:rFonts w:cs="Arial"/>
          <w:lang w:val="de-DE"/>
        </w:rPr>
        <w:t>die angegebene Zahl eine Angabe der Mindestmenge sei</w:t>
      </w:r>
      <w:r w:rsidR="009400D4" w:rsidRPr="00D34756">
        <w:rPr>
          <w:rFonts w:cs="Arial"/>
          <w:lang w:val="de-DE"/>
        </w:rPr>
        <w:t>,</w:t>
      </w:r>
      <w:r w:rsidRPr="00D34756">
        <w:rPr>
          <w:rFonts w:cs="Arial"/>
          <w:lang w:val="de-DE"/>
        </w:rPr>
        <w:t xml:space="preserve"> und wie folgt lauten solle:</w:t>
      </w:r>
    </w:p>
    <w:p w14:paraId="1FB54A0D" w14:textId="77777777" w:rsidR="00FC1F76" w:rsidRPr="00D34756" w:rsidRDefault="00FC1F76" w:rsidP="00BD4986">
      <w:pPr>
        <w:rPr>
          <w:rFonts w:cs="Arial"/>
          <w:lang w:val="de-DE"/>
        </w:rPr>
      </w:pPr>
    </w:p>
    <w:p w14:paraId="08E69C0F" w14:textId="5568B088" w:rsidR="00214329" w:rsidRPr="00B140F2" w:rsidRDefault="001C4FD6" w:rsidP="00BD4986">
      <w:pPr>
        <w:ind w:left="567" w:right="567"/>
        <w:rPr>
          <w:sz w:val="18"/>
          <w:lang w:val="de-DE"/>
        </w:rPr>
      </w:pPr>
      <w:r w:rsidRPr="00D34756">
        <w:rPr>
          <w:sz w:val="18"/>
          <w:lang w:val="de-DE"/>
        </w:rPr>
        <w:t>„</w:t>
      </w:r>
      <w:r w:rsidR="00D34756" w:rsidRPr="00D34756">
        <w:rPr>
          <w:sz w:val="18"/>
          <w:lang w:val="de-DE"/>
        </w:rPr>
        <w:t xml:space="preserve">Bei Erfassungen an Pflanzenteilen sollte(n) von jeder Pflanze </w:t>
      </w:r>
      <w:r w:rsidR="00D34756" w:rsidRPr="00D34756">
        <w:rPr>
          <w:sz w:val="18"/>
          <w:highlight w:val="lightGray"/>
          <w:u w:val="single"/>
          <w:lang w:val="de-DE"/>
        </w:rPr>
        <w:t>mindestens</w:t>
      </w:r>
      <w:r w:rsidR="00D34756" w:rsidRPr="00D34756">
        <w:rPr>
          <w:sz w:val="18"/>
          <w:lang w:val="de-DE"/>
        </w:rPr>
        <w:t xml:space="preserve"> { y } Teil(e) entnommen werden</w:t>
      </w:r>
      <w:r w:rsidR="0060633E" w:rsidRPr="00D34756">
        <w:rPr>
          <w:sz w:val="18"/>
          <w:lang w:val="de-DE"/>
        </w:rPr>
        <w:t>.</w:t>
      </w:r>
      <w:r w:rsidR="00D34756">
        <w:rPr>
          <w:sz w:val="18"/>
          <w:lang w:val="de-DE"/>
        </w:rPr>
        <w:t>“</w:t>
      </w:r>
    </w:p>
    <w:p w14:paraId="11FD9BEE" w14:textId="77777777" w:rsidR="00FC1F76" w:rsidRPr="00B140F2" w:rsidRDefault="00FC1F76" w:rsidP="00BD4986">
      <w:pPr>
        <w:rPr>
          <w:lang w:val="de-DE"/>
        </w:rPr>
      </w:pPr>
    </w:p>
    <w:p w14:paraId="4953C0F1" w14:textId="2F6ED3CE" w:rsidR="00214329" w:rsidRPr="00B140F2" w:rsidRDefault="007D62E7" w:rsidP="00BD4986">
      <w:pPr>
        <w:rPr>
          <w:i/>
          <w:lang w:val="de-DE"/>
        </w:rPr>
      </w:pPr>
      <w:r w:rsidRPr="00B140F2">
        <w:rPr>
          <w:i/>
          <w:lang w:val="de-DE"/>
        </w:rPr>
        <w:t>Bemerkungen</w:t>
      </w:r>
      <w:r w:rsidR="0060633E" w:rsidRPr="00B140F2">
        <w:rPr>
          <w:i/>
          <w:lang w:val="de-DE"/>
        </w:rPr>
        <w:t xml:space="preserve"> der</w:t>
      </w:r>
      <w:r w:rsidR="001F146A" w:rsidRPr="00B140F2">
        <w:rPr>
          <w:i/>
          <w:lang w:val="de-DE"/>
        </w:rPr>
        <w:t xml:space="preserve"> Technischen Arbeitsgruppen </w:t>
      </w:r>
      <w:r w:rsidR="0060633E" w:rsidRPr="00B140F2">
        <w:rPr>
          <w:i/>
          <w:lang w:val="de-DE"/>
        </w:rPr>
        <w:t>im Jahr 2024</w:t>
      </w:r>
    </w:p>
    <w:p w14:paraId="2D1DC255" w14:textId="77777777" w:rsidR="00FC1F76" w:rsidRPr="00B140F2" w:rsidRDefault="00FC1F76" w:rsidP="00BD4986">
      <w:pPr>
        <w:rPr>
          <w:lang w:val="de-DE"/>
        </w:rPr>
      </w:pPr>
    </w:p>
    <w:p w14:paraId="69B4F61E" w14:textId="77777777"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Die TWV, die TWO</w:t>
      </w:r>
      <w:r w:rsidR="00CF13EE" w:rsidRPr="00B140F2">
        <w:rPr>
          <w:rFonts w:eastAsiaTheme="minorEastAsia"/>
          <w:lang w:val="de-DE"/>
        </w:rPr>
        <w:t xml:space="preserve">, die </w:t>
      </w:r>
      <w:r w:rsidRPr="00B140F2">
        <w:rPr>
          <w:rFonts w:eastAsiaTheme="minorEastAsia"/>
          <w:lang w:val="de-DE"/>
        </w:rPr>
        <w:t xml:space="preserve">TWA </w:t>
      </w:r>
      <w:r w:rsidR="00CF13EE" w:rsidRPr="00B140F2">
        <w:rPr>
          <w:rFonts w:eastAsiaTheme="minorEastAsia"/>
          <w:lang w:val="de-DE"/>
        </w:rPr>
        <w:t xml:space="preserve">und die TWF </w:t>
      </w:r>
      <w:r w:rsidRPr="00B140F2">
        <w:rPr>
          <w:rFonts w:eastAsiaTheme="minorEastAsia"/>
          <w:lang w:val="de-DE"/>
        </w:rPr>
        <w:t xml:space="preserve">prüften </w:t>
      </w:r>
      <w:r w:rsidR="00ED72AC" w:rsidRPr="00B140F2">
        <w:rPr>
          <w:rFonts w:eastAsiaTheme="minorEastAsia"/>
          <w:lang w:val="de-DE"/>
        </w:rPr>
        <w:t xml:space="preserve">auf ihren Tagungen im Jahre 2024 </w:t>
      </w:r>
      <w:r w:rsidRPr="00B140F2">
        <w:rPr>
          <w:rFonts w:eastAsiaTheme="minorEastAsia"/>
          <w:lang w:val="de-DE"/>
        </w:rPr>
        <w:t>den Vorschlag zur Änderung von Dokument TGP/7, ASW 7 b), über die Anzahl der zu prüfenden Teile von Einzelpflanzen.</w:t>
      </w:r>
    </w:p>
    <w:p w14:paraId="5E52C26D" w14:textId="77777777" w:rsidR="00FC1F76" w:rsidRPr="00B140F2" w:rsidRDefault="00FC1F76" w:rsidP="00BD4986">
      <w:pPr>
        <w:rPr>
          <w:rFonts w:eastAsiaTheme="minorEastAsia"/>
          <w:lang w:val="de-DE"/>
        </w:rPr>
      </w:pPr>
    </w:p>
    <w:p w14:paraId="27F9AE29" w14:textId="30A7C11C"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 xml:space="preserve">Die TWV vereinbarte, </w:t>
      </w:r>
      <w:r w:rsidR="00350639" w:rsidRPr="00B140F2">
        <w:rPr>
          <w:rFonts w:eastAsiaTheme="minorEastAsia"/>
          <w:lang w:val="de-DE"/>
        </w:rPr>
        <w:t xml:space="preserve">dass </w:t>
      </w:r>
      <w:r w:rsidRPr="00B140F2">
        <w:rPr>
          <w:rFonts w:eastAsiaTheme="minorEastAsia"/>
          <w:lang w:val="de-DE"/>
        </w:rPr>
        <w:t>die Anzahl der von jeder Pflanze zu entnehmenden Teile für die Prüfungen kleine</w:t>
      </w:r>
      <w:r w:rsidR="009400D4">
        <w:rPr>
          <w:rFonts w:eastAsiaTheme="minorEastAsia"/>
          <w:lang w:val="de-DE"/>
        </w:rPr>
        <w:t>r</w:t>
      </w:r>
      <w:r w:rsidRPr="00B140F2">
        <w:rPr>
          <w:rFonts w:eastAsiaTheme="minorEastAsia"/>
          <w:lang w:val="de-DE"/>
        </w:rPr>
        <w:t xml:space="preserve"> Probengrößen besonders relevant sei.</w:t>
      </w:r>
      <w:r w:rsidR="00FE0BFC" w:rsidRPr="00B140F2">
        <w:rPr>
          <w:rFonts w:eastAsiaTheme="minorEastAsia"/>
          <w:lang w:val="de-DE"/>
        </w:rPr>
        <w:t xml:space="preserve"> </w:t>
      </w:r>
      <w:r w:rsidRPr="00B140F2">
        <w:rPr>
          <w:rFonts w:eastAsiaTheme="minorEastAsia"/>
          <w:lang w:val="de-DE"/>
        </w:rPr>
        <w:t xml:space="preserve">Die TWV vereinbarte, </w:t>
      </w:r>
      <w:r w:rsidR="00350639" w:rsidRPr="00B140F2">
        <w:rPr>
          <w:rFonts w:eastAsiaTheme="minorEastAsia"/>
          <w:lang w:val="de-DE"/>
        </w:rPr>
        <w:t xml:space="preserve">dass </w:t>
      </w:r>
      <w:r w:rsidRPr="00B140F2">
        <w:rPr>
          <w:rFonts w:eastAsiaTheme="minorEastAsia"/>
          <w:lang w:val="de-DE"/>
        </w:rPr>
        <w:t>mehr Informationen über etwaige Folgen für die internationale Harmonisierung erforderlich seien, wenn in den Prüfungsrichtlinien kein genauer Wert angegeben sei.</w:t>
      </w:r>
    </w:p>
    <w:p w14:paraId="309B1737" w14:textId="77777777" w:rsidR="00FC1F76" w:rsidRPr="00B140F2" w:rsidRDefault="00FC1F76" w:rsidP="00BD4986">
      <w:pPr>
        <w:rPr>
          <w:rFonts w:eastAsiaTheme="minorEastAsia"/>
          <w:lang w:val="de-DE"/>
        </w:rPr>
      </w:pPr>
    </w:p>
    <w:p w14:paraId="48D654EC" w14:textId="2EA82617"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TWO nahm zur Kenntnis, </w:t>
      </w:r>
      <w:r w:rsidR="00350639" w:rsidRPr="00B140F2">
        <w:rPr>
          <w:lang w:val="de-DE"/>
        </w:rPr>
        <w:t xml:space="preserve">dass </w:t>
      </w:r>
      <w:r w:rsidRPr="00B140F2">
        <w:rPr>
          <w:lang w:val="de-DE"/>
        </w:rPr>
        <w:t xml:space="preserve">ASW </w:t>
      </w:r>
      <w:r w:rsidR="003770B2" w:rsidRPr="00B140F2">
        <w:rPr>
          <w:lang w:val="de-DE"/>
        </w:rPr>
        <w:t>7b)</w:t>
      </w:r>
      <w:r w:rsidRPr="00B140F2">
        <w:rPr>
          <w:lang w:val="de-DE"/>
        </w:rPr>
        <w:t xml:space="preserve"> nicht häufig für Zierpflanzen verwendet werde, und stimmte </w:t>
      </w:r>
      <w:r w:rsidRPr="00B140F2">
        <w:rPr>
          <w:rFonts w:eastAsiaTheme="minorEastAsia"/>
          <w:lang w:val="de-DE"/>
        </w:rPr>
        <w:t xml:space="preserve">mit der TWV darin </w:t>
      </w:r>
      <w:r w:rsidRPr="00B140F2">
        <w:rPr>
          <w:lang w:val="de-DE"/>
        </w:rPr>
        <w:t>überein</w:t>
      </w:r>
      <w:r w:rsidRPr="00B140F2">
        <w:rPr>
          <w:rFonts w:eastAsiaTheme="minorEastAsia"/>
          <w:lang w:val="de-DE"/>
        </w:rPr>
        <w:t xml:space="preserve">, </w:t>
      </w:r>
      <w:r w:rsidR="00350639" w:rsidRPr="00B140F2">
        <w:rPr>
          <w:rFonts w:eastAsiaTheme="minorEastAsia"/>
          <w:lang w:val="de-DE"/>
        </w:rPr>
        <w:t xml:space="preserve">dass </w:t>
      </w:r>
      <w:r w:rsidRPr="00B140F2">
        <w:rPr>
          <w:rFonts w:eastAsiaTheme="minorEastAsia"/>
          <w:lang w:val="de-DE"/>
        </w:rPr>
        <w:t xml:space="preserve">die Anzahl der jeder Pflanze zu entnehmenden Teile besonders für Prüfungen </w:t>
      </w:r>
      <w:r w:rsidRPr="00B140F2">
        <w:rPr>
          <w:rFonts w:eastAsiaTheme="minorEastAsia"/>
          <w:lang w:val="de-DE"/>
        </w:rPr>
        <w:lastRenderedPageBreak/>
        <w:t xml:space="preserve">an kleinen Probengrößen relevant sei und </w:t>
      </w:r>
      <w:r w:rsidR="00350639" w:rsidRPr="00B140F2">
        <w:rPr>
          <w:rFonts w:eastAsiaTheme="minorEastAsia"/>
          <w:lang w:val="de-DE"/>
        </w:rPr>
        <w:t xml:space="preserve">dass </w:t>
      </w:r>
      <w:r w:rsidRPr="00B140F2">
        <w:rPr>
          <w:rFonts w:eastAsiaTheme="minorEastAsia"/>
          <w:lang w:val="de-DE"/>
        </w:rPr>
        <w:t>mehr Informationen über etwaige Folgen für die internationale Harmonisierung erforderlich seien, wenn in den Prüfungsrichtlinien kein genauer Wert angegeben sei.</w:t>
      </w:r>
    </w:p>
    <w:p w14:paraId="6184C78F" w14:textId="77777777" w:rsidR="00FC1F76" w:rsidRPr="00B140F2" w:rsidRDefault="00FC1F76" w:rsidP="00BD4986">
      <w:pPr>
        <w:rPr>
          <w:rFonts w:eastAsiaTheme="minorEastAsia"/>
          <w:lang w:val="de-DE"/>
        </w:rPr>
      </w:pPr>
    </w:p>
    <w:p w14:paraId="3DE8B362" w14:textId="28A0CF4E"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TWA vereinbarte, </w:t>
      </w:r>
      <w:r w:rsidR="00350639" w:rsidRPr="00B140F2">
        <w:rPr>
          <w:lang w:val="de-DE"/>
        </w:rPr>
        <w:t xml:space="preserve">dass </w:t>
      </w:r>
      <w:r w:rsidRPr="00B140F2">
        <w:rPr>
          <w:lang w:val="de-DE"/>
        </w:rPr>
        <w:t xml:space="preserve">es nicht </w:t>
      </w:r>
      <w:r w:rsidR="009400D4">
        <w:rPr>
          <w:lang w:val="de-DE"/>
        </w:rPr>
        <w:t>zweckmäßig</w:t>
      </w:r>
      <w:r w:rsidRPr="00B140F2">
        <w:rPr>
          <w:lang w:val="de-DE"/>
        </w:rPr>
        <w:t xml:space="preserve"> wäre, den zusätzlichen Standardwortlaut ASW </w:t>
      </w:r>
      <w:r w:rsidR="003770B2" w:rsidRPr="00B140F2">
        <w:rPr>
          <w:lang w:val="de-DE"/>
        </w:rPr>
        <w:t>7b)</w:t>
      </w:r>
      <w:r w:rsidRPr="00B140F2">
        <w:rPr>
          <w:lang w:val="de-DE"/>
        </w:rPr>
        <w:t xml:space="preserve"> zu ändern.</w:t>
      </w:r>
      <w:r w:rsidR="00FE0BFC" w:rsidRPr="00B140F2">
        <w:rPr>
          <w:lang w:val="de-DE"/>
        </w:rPr>
        <w:t xml:space="preserve"> </w:t>
      </w:r>
      <w:r w:rsidRPr="00B140F2">
        <w:rPr>
          <w:lang w:val="de-DE"/>
        </w:rPr>
        <w:t xml:space="preserve">Die TWA vereinbarte, </w:t>
      </w:r>
      <w:r w:rsidR="00350639" w:rsidRPr="00B140F2">
        <w:rPr>
          <w:lang w:val="de-DE"/>
        </w:rPr>
        <w:t xml:space="preserve">dass </w:t>
      </w:r>
      <w:r w:rsidRPr="00B140F2">
        <w:rPr>
          <w:lang w:val="de-DE"/>
        </w:rPr>
        <w:t xml:space="preserve">ASW </w:t>
      </w:r>
      <w:r w:rsidR="003770B2" w:rsidRPr="00B140F2">
        <w:rPr>
          <w:lang w:val="de-DE"/>
        </w:rPr>
        <w:t>7b)</w:t>
      </w:r>
      <w:r w:rsidRPr="00B140F2">
        <w:rPr>
          <w:lang w:val="de-DE"/>
        </w:rPr>
        <w:t xml:space="preserve"> eine festgelegte Anzahl von Pflanzenteilen vorsehen sollte, die für alle Merkmale in den Prüfungsrichtlinien zu erfassen sind.</w:t>
      </w:r>
      <w:r w:rsidR="00FE0BFC" w:rsidRPr="00B140F2">
        <w:rPr>
          <w:lang w:val="de-DE"/>
        </w:rPr>
        <w:t xml:space="preserve"> </w:t>
      </w:r>
      <w:r w:rsidRPr="00B140F2">
        <w:rPr>
          <w:lang w:val="de-DE"/>
        </w:rPr>
        <w:t xml:space="preserve">Die TWA vereinbarte, </w:t>
      </w:r>
      <w:r w:rsidR="00350639" w:rsidRPr="00B140F2">
        <w:rPr>
          <w:lang w:val="de-DE"/>
        </w:rPr>
        <w:t xml:space="preserve">dass </w:t>
      </w:r>
      <w:r w:rsidRPr="00B140F2">
        <w:rPr>
          <w:lang w:val="de-DE"/>
        </w:rPr>
        <w:t xml:space="preserve">für den Fall, </w:t>
      </w:r>
      <w:r w:rsidR="00350639" w:rsidRPr="00B140F2">
        <w:rPr>
          <w:lang w:val="de-DE"/>
        </w:rPr>
        <w:t xml:space="preserve">dass </w:t>
      </w:r>
      <w:r w:rsidRPr="00B140F2">
        <w:rPr>
          <w:lang w:val="de-DE"/>
        </w:rPr>
        <w:t xml:space="preserve">eine unterschiedliche Anzahl von Pflanzenteilen für einzelne Merkmale </w:t>
      </w:r>
      <w:r w:rsidR="009400D4">
        <w:rPr>
          <w:lang w:val="de-DE"/>
        </w:rPr>
        <w:t>erfasst</w:t>
      </w:r>
      <w:r w:rsidRPr="00B140F2">
        <w:rPr>
          <w:lang w:val="de-DE"/>
        </w:rPr>
        <w:t xml:space="preserve"> werden sollte, diese </w:t>
      </w:r>
      <w:r w:rsidR="009400D4">
        <w:rPr>
          <w:lang w:val="de-DE"/>
        </w:rPr>
        <w:t>im</w:t>
      </w:r>
      <w:r w:rsidR="009400D4" w:rsidRPr="00B140F2">
        <w:rPr>
          <w:lang w:val="de-DE"/>
        </w:rPr>
        <w:t xml:space="preserve"> </w:t>
      </w:r>
      <w:r w:rsidRPr="00B140F2">
        <w:rPr>
          <w:lang w:val="de-DE"/>
        </w:rPr>
        <w:t xml:space="preserve">Abschnitt 8 </w:t>
      </w:r>
      <w:r w:rsidR="001C4FD6" w:rsidRPr="00B140F2">
        <w:rPr>
          <w:lang w:val="de-DE"/>
        </w:rPr>
        <w:t>„</w:t>
      </w:r>
      <w:r w:rsidRPr="00B140F2">
        <w:rPr>
          <w:lang w:val="de-DE"/>
        </w:rPr>
        <w:t>Erläuterungen zu der Merkmalstabelle</w:t>
      </w:r>
      <w:r w:rsidR="001C4FD6" w:rsidRPr="00B140F2">
        <w:rPr>
          <w:lang w:val="de-DE"/>
        </w:rPr>
        <w:t>“</w:t>
      </w:r>
      <w:r w:rsidRPr="00B140F2">
        <w:rPr>
          <w:lang w:val="de-DE"/>
        </w:rPr>
        <w:t xml:space="preserve"> angegeben werden sollten.</w:t>
      </w:r>
    </w:p>
    <w:p w14:paraId="233688CD" w14:textId="77777777" w:rsidR="00FC1F76" w:rsidRPr="00B140F2" w:rsidRDefault="00FC1F76" w:rsidP="00BD4986">
      <w:pPr>
        <w:rPr>
          <w:lang w:val="de-DE"/>
        </w:rPr>
      </w:pPr>
    </w:p>
    <w:p w14:paraId="7E2ADDE9" w14:textId="22CC6FDB"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CF13EE" w:rsidRPr="00B140F2">
        <w:rPr>
          <w:lang w:val="de-DE"/>
        </w:rPr>
        <w:t xml:space="preserve">Die TWF nahm die Anleitung in Dokument TGP/9 </w:t>
      </w:r>
      <w:r w:rsidR="001C4FD6" w:rsidRPr="00B140F2">
        <w:rPr>
          <w:lang w:val="de-DE"/>
        </w:rPr>
        <w:t>„</w:t>
      </w:r>
      <w:r w:rsidR="00CF13EE" w:rsidRPr="00B140F2">
        <w:rPr>
          <w:lang w:val="de-DE"/>
        </w:rPr>
        <w:t>Prüfung der Unterscheidbarkeit</w:t>
      </w:r>
      <w:r w:rsidR="001C4FD6" w:rsidRPr="00B140F2">
        <w:rPr>
          <w:lang w:val="de-DE"/>
        </w:rPr>
        <w:t>“</w:t>
      </w:r>
      <w:r w:rsidR="00CF13EE" w:rsidRPr="00B140F2">
        <w:rPr>
          <w:lang w:val="de-DE"/>
        </w:rPr>
        <w:t xml:space="preserve"> über die Anzahl der Pflanzen und die Genauigkeit der Erfassungen sowie die </w:t>
      </w:r>
      <w:r w:rsidR="007D62E7" w:rsidRPr="00B140F2">
        <w:rPr>
          <w:lang w:val="de-DE"/>
        </w:rPr>
        <w:t>Bemerkungen</w:t>
      </w:r>
      <w:r w:rsidR="00CF13EE" w:rsidRPr="00B140F2">
        <w:rPr>
          <w:lang w:val="de-DE"/>
        </w:rPr>
        <w:t xml:space="preserve"> der TWV, der TWO und der TWA über die möglichen Folgen für die internationale Harmonisierung, wenn </w:t>
      </w:r>
      <w:r w:rsidR="00CF13EE" w:rsidRPr="00B140F2">
        <w:rPr>
          <w:rFonts w:eastAsiaTheme="minorEastAsia"/>
          <w:lang w:val="de-DE"/>
        </w:rPr>
        <w:t xml:space="preserve">in den Prüfungsrichtlinien </w:t>
      </w:r>
      <w:r w:rsidR="00CF13EE" w:rsidRPr="00B140F2">
        <w:rPr>
          <w:lang w:val="de-DE"/>
        </w:rPr>
        <w:t xml:space="preserve">keine </w:t>
      </w:r>
      <w:r w:rsidR="00CF13EE" w:rsidRPr="00B140F2">
        <w:rPr>
          <w:rFonts w:eastAsiaTheme="minorEastAsia"/>
          <w:lang w:val="de-DE"/>
        </w:rPr>
        <w:t xml:space="preserve">festgelegte Anzahl Pflanzenteile </w:t>
      </w:r>
      <w:r w:rsidR="00CF13EE" w:rsidRPr="00B140F2">
        <w:rPr>
          <w:lang w:val="de-DE"/>
        </w:rPr>
        <w:t xml:space="preserve">angegeben </w:t>
      </w:r>
      <w:r w:rsidR="009400D4">
        <w:rPr>
          <w:lang w:val="de-DE"/>
        </w:rPr>
        <w:t xml:space="preserve">ist, </w:t>
      </w:r>
      <w:r w:rsidR="009400D4" w:rsidRPr="00B140F2">
        <w:rPr>
          <w:lang w:val="de-DE"/>
        </w:rPr>
        <w:t>zur Kenntnis</w:t>
      </w:r>
      <w:r w:rsidR="00CF13EE" w:rsidRPr="00B140F2">
        <w:rPr>
          <w:rFonts w:eastAsiaTheme="minorEastAsia"/>
          <w:lang w:val="de-DE"/>
        </w:rPr>
        <w:t xml:space="preserve">. </w:t>
      </w:r>
    </w:p>
    <w:p w14:paraId="4D9031C0" w14:textId="77777777" w:rsidR="00CF13EE" w:rsidRPr="00B140F2" w:rsidRDefault="00CF13EE" w:rsidP="00BD4986">
      <w:pPr>
        <w:rPr>
          <w:lang w:val="de-DE"/>
        </w:rPr>
      </w:pPr>
    </w:p>
    <w:p w14:paraId="2FD16134" w14:textId="50DF3F81"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CF13EE" w:rsidRPr="00B140F2">
        <w:rPr>
          <w:lang w:val="de-DE"/>
        </w:rPr>
        <w:t xml:space="preserve">Die TWF erinnerte daran, </w:t>
      </w:r>
      <w:r w:rsidR="00350639" w:rsidRPr="00B140F2">
        <w:rPr>
          <w:lang w:val="de-DE"/>
        </w:rPr>
        <w:t xml:space="preserve">dass </w:t>
      </w:r>
      <w:r w:rsidR="00CF13EE" w:rsidRPr="00B140F2">
        <w:rPr>
          <w:lang w:val="de-DE"/>
        </w:rPr>
        <w:t>die Erfassung von Merkmalen bei Obstarten häufig auf drei oder fünf Pflanzen beruhe.</w:t>
      </w:r>
      <w:r w:rsidR="00FE0BFC" w:rsidRPr="00B140F2">
        <w:rPr>
          <w:lang w:val="de-DE"/>
        </w:rPr>
        <w:t xml:space="preserve"> </w:t>
      </w:r>
      <w:r w:rsidR="00CF13EE" w:rsidRPr="00B140F2">
        <w:rPr>
          <w:lang w:val="de-DE"/>
        </w:rPr>
        <w:t xml:space="preserve">Die TWF vereinbarte, </w:t>
      </w:r>
      <w:r w:rsidR="00350639" w:rsidRPr="00B140F2">
        <w:rPr>
          <w:lang w:val="de-DE"/>
        </w:rPr>
        <w:t xml:space="preserve">dass </w:t>
      </w:r>
      <w:r w:rsidR="009400D4">
        <w:rPr>
          <w:lang w:val="de-DE"/>
        </w:rPr>
        <w:t xml:space="preserve">sich </w:t>
      </w:r>
      <w:r w:rsidR="00CF13EE" w:rsidRPr="00B140F2">
        <w:rPr>
          <w:lang w:val="de-DE"/>
        </w:rPr>
        <w:t xml:space="preserve">die Probengröße mit zusätzlichen </w:t>
      </w:r>
      <w:r w:rsidR="009400D4" w:rsidRPr="00B140F2">
        <w:rPr>
          <w:rFonts w:eastAsiaTheme="minorEastAsia"/>
          <w:lang w:val="de-DE"/>
        </w:rPr>
        <w:t>von jeder Pflanze zu entnehmenden Teile</w:t>
      </w:r>
      <w:r w:rsidR="009400D4">
        <w:rPr>
          <w:rFonts w:eastAsiaTheme="minorEastAsia"/>
          <w:lang w:val="de-DE"/>
        </w:rPr>
        <w:t>n</w:t>
      </w:r>
      <w:r w:rsidR="00CF13EE" w:rsidRPr="00B140F2">
        <w:rPr>
          <w:lang w:val="de-DE"/>
        </w:rPr>
        <w:t xml:space="preserve"> (interne Wiederholungen), wie Blätter und Früchte, erhöht.</w:t>
      </w:r>
      <w:r w:rsidR="00FE0BFC" w:rsidRPr="00B140F2">
        <w:rPr>
          <w:lang w:val="de-DE"/>
        </w:rPr>
        <w:t xml:space="preserve"> </w:t>
      </w:r>
    </w:p>
    <w:p w14:paraId="0E8AC230" w14:textId="77777777" w:rsidR="00CF13EE" w:rsidRPr="00B140F2" w:rsidRDefault="00CF13EE" w:rsidP="00BD4986">
      <w:pPr>
        <w:pStyle w:val="EndnoteText"/>
        <w:rPr>
          <w:lang w:val="de-DE"/>
        </w:rPr>
      </w:pPr>
    </w:p>
    <w:p w14:paraId="7C486B0C" w14:textId="11A85356"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CF13EE" w:rsidRPr="00B140F2">
        <w:rPr>
          <w:lang w:val="de-DE"/>
        </w:rPr>
        <w:t xml:space="preserve">Die TWF nahm zur Kenntnis, </w:t>
      </w:r>
      <w:r w:rsidR="00350639" w:rsidRPr="00B140F2">
        <w:rPr>
          <w:lang w:val="de-DE"/>
        </w:rPr>
        <w:t xml:space="preserve">dass </w:t>
      </w:r>
      <w:r w:rsidR="00CF13EE" w:rsidRPr="00B140F2">
        <w:rPr>
          <w:lang w:val="de-DE"/>
        </w:rPr>
        <w:t xml:space="preserve">der Wortlaut in ASW </w:t>
      </w:r>
      <w:r w:rsidR="003770B2" w:rsidRPr="00B140F2">
        <w:rPr>
          <w:lang w:val="de-DE"/>
        </w:rPr>
        <w:t>7b)</w:t>
      </w:r>
      <w:r w:rsidR="00CF13EE" w:rsidRPr="00B140F2">
        <w:rPr>
          <w:lang w:val="de-DE"/>
        </w:rPr>
        <w:t xml:space="preserve"> </w:t>
      </w:r>
      <w:r w:rsidR="00CF13EE" w:rsidRPr="00B140F2">
        <w:rPr>
          <w:rFonts w:eastAsiaTheme="minorEastAsia"/>
          <w:lang w:val="de-DE"/>
        </w:rPr>
        <w:t xml:space="preserve">eine festgelegte Anzahl von Pflanzenteilen </w:t>
      </w:r>
      <w:r w:rsidR="00CF13EE" w:rsidRPr="00B140F2">
        <w:rPr>
          <w:lang w:val="de-DE"/>
        </w:rPr>
        <w:t>vorsehe</w:t>
      </w:r>
      <w:r w:rsidR="00CF13EE" w:rsidRPr="00B140F2">
        <w:rPr>
          <w:rFonts w:eastAsiaTheme="minorEastAsia"/>
          <w:lang w:val="de-DE"/>
        </w:rPr>
        <w:t>, die für alle Merkmale in den Prüfungsrichtlinien zu erfassen seien</w:t>
      </w:r>
      <w:r w:rsidR="00CF13EE" w:rsidRPr="00B140F2">
        <w:rPr>
          <w:lang w:val="de-DE"/>
        </w:rPr>
        <w:t>, sofern nicht anders angegeben.</w:t>
      </w:r>
      <w:r w:rsidR="00FE0BFC" w:rsidRPr="00B140F2">
        <w:rPr>
          <w:lang w:val="de-DE"/>
        </w:rPr>
        <w:t xml:space="preserve"> </w:t>
      </w:r>
      <w:r w:rsidR="00CF13EE" w:rsidRPr="00B140F2">
        <w:rPr>
          <w:lang w:val="de-DE"/>
        </w:rPr>
        <w:t xml:space="preserve">Die TWF vereinbarte, </w:t>
      </w:r>
      <w:r w:rsidR="00350639" w:rsidRPr="00B140F2">
        <w:rPr>
          <w:lang w:val="de-DE"/>
        </w:rPr>
        <w:t xml:space="preserve">dass </w:t>
      </w:r>
      <w:r w:rsidR="00CF13EE" w:rsidRPr="00B140F2">
        <w:rPr>
          <w:lang w:val="de-DE"/>
        </w:rPr>
        <w:t xml:space="preserve">bestimmte Merkmale, wie </w:t>
      </w:r>
      <w:r w:rsidR="009400D4">
        <w:rPr>
          <w:lang w:val="de-DE"/>
        </w:rPr>
        <w:t xml:space="preserve">etwa </w:t>
      </w:r>
      <w:r w:rsidR="00CF13EE" w:rsidRPr="00B140F2">
        <w:rPr>
          <w:lang w:val="de-DE"/>
        </w:rPr>
        <w:t xml:space="preserve">die Fruchtform, eine höhere Anzahl von Pflanzenteilen als in ASW </w:t>
      </w:r>
      <w:r w:rsidR="003770B2" w:rsidRPr="00B140F2">
        <w:rPr>
          <w:lang w:val="de-DE"/>
        </w:rPr>
        <w:t>7b)</w:t>
      </w:r>
      <w:r w:rsidR="00CF13EE" w:rsidRPr="00B140F2">
        <w:rPr>
          <w:lang w:val="de-DE"/>
        </w:rPr>
        <w:t xml:space="preserve"> festgelegt erfordern könnten.</w:t>
      </w:r>
    </w:p>
    <w:p w14:paraId="013FB3BC" w14:textId="77777777" w:rsidR="00CF13EE" w:rsidRPr="00B140F2" w:rsidRDefault="00CF13EE" w:rsidP="00BD4986">
      <w:pPr>
        <w:rPr>
          <w:lang w:val="de-DE"/>
        </w:rPr>
      </w:pPr>
    </w:p>
    <w:p w14:paraId="03DED6E4" w14:textId="3824AF82" w:rsidR="00214329" w:rsidRPr="00B140F2" w:rsidRDefault="0060633E" w:rsidP="00BD4986">
      <w:pPr>
        <w:pStyle w:val="EndnoteText"/>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CF13EE" w:rsidRPr="00B140F2">
        <w:rPr>
          <w:rFonts w:eastAsiaTheme="minorEastAsia"/>
          <w:lang w:val="de-DE"/>
        </w:rPr>
        <w:t xml:space="preserve">Die TWF prüfte verschiedene Ansätze zur Angabe einer unterschiedlichen Anzahl von </w:t>
      </w:r>
      <w:r w:rsidR="009400D4">
        <w:rPr>
          <w:lang w:val="de-DE"/>
        </w:rPr>
        <w:t xml:space="preserve">von </w:t>
      </w:r>
      <w:r w:rsidR="009400D4" w:rsidRPr="00B140F2">
        <w:rPr>
          <w:rFonts w:eastAsiaTheme="minorEastAsia"/>
          <w:lang w:val="de-DE"/>
        </w:rPr>
        <w:t>jeder Pflanze zu entnehmenden Teile</w:t>
      </w:r>
      <w:r w:rsidR="009400D4">
        <w:rPr>
          <w:rFonts w:eastAsiaTheme="minorEastAsia"/>
          <w:lang w:val="de-DE"/>
        </w:rPr>
        <w:t>n</w:t>
      </w:r>
      <w:r w:rsidR="00CF13EE" w:rsidRPr="00B140F2">
        <w:rPr>
          <w:rFonts w:eastAsiaTheme="minorEastAsia"/>
          <w:lang w:val="de-DE"/>
        </w:rPr>
        <w:t>, wie z. B. je nach Sortentyp (z. B. aus Kreuzung oder Mutation</w:t>
      </w:r>
      <w:r w:rsidR="009400D4">
        <w:rPr>
          <w:rFonts w:eastAsiaTheme="minorEastAsia"/>
          <w:lang w:val="de-DE"/>
        </w:rPr>
        <w:t xml:space="preserve"> entstanden</w:t>
      </w:r>
      <w:r w:rsidR="00375A6F">
        <w:rPr>
          <w:rFonts w:eastAsiaTheme="minorEastAsia"/>
          <w:lang w:val="de-DE"/>
        </w:rPr>
        <w:t>)</w:t>
      </w:r>
      <w:r w:rsidR="00CF13EE" w:rsidRPr="00B140F2">
        <w:rPr>
          <w:rFonts w:eastAsiaTheme="minorEastAsia"/>
          <w:lang w:val="de-DE"/>
        </w:rPr>
        <w:t>, wie in den Prüfungsrichtlinien für Aprikose und Mais vorgesehen</w:t>
      </w:r>
      <w:r w:rsidR="006360FB" w:rsidRPr="00B140F2">
        <w:rPr>
          <w:rFonts w:eastAsiaTheme="minorEastAsia"/>
          <w:lang w:val="de-DE"/>
        </w:rPr>
        <w:t xml:space="preserve">; </w:t>
      </w:r>
      <w:r w:rsidR="00CF13EE" w:rsidRPr="00B140F2">
        <w:rPr>
          <w:rFonts w:eastAsiaTheme="minorEastAsia"/>
          <w:lang w:val="de-DE"/>
        </w:rPr>
        <w:t>Erläuterungen zu einzelnen Merkmalen</w:t>
      </w:r>
      <w:r w:rsidR="006360FB" w:rsidRPr="00B140F2">
        <w:rPr>
          <w:rFonts w:eastAsiaTheme="minorEastAsia"/>
          <w:lang w:val="de-DE"/>
        </w:rPr>
        <w:t xml:space="preserve">; </w:t>
      </w:r>
      <w:r w:rsidR="00CF13EE" w:rsidRPr="00B140F2">
        <w:rPr>
          <w:rFonts w:eastAsiaTheme="minorEastAsia"/>
          <w:lang w:val="de-DE"/>
        </w:rPr>
        <w:t xml:space="preserve">und Angabe alternativer Prüfungsmethoden (z. B. </w:t>
      </w:r>
      <w:r w:rsidR="001C4FD6" w:rsidRPr="00B140F2">
        <w:rPr>
          <w:rFonts w:eastAsiaTheme="minorEastAsia"/>
          <w:lang w:val="de-DE"/>
        </w:rPr>
        <w:t>„</w:t>
      </w:r>
      <w:r w:rsidR="00CF13EE" w:rsidRPr="00B140F2">
        <w:rPr>
          <w:rFonts w:eastAsiaTheme="minorEastAsia"/>
          <w:lang w:val="de-DE"/>
        </w:rPr>
        <w:t>MS/VG</w:t>
      </w:r>
      <w:r w:rsidR="001C4FD6" w:rsidRPr="00B140F2">
        <w:rPr>
          <w:rFonts w:eastAsiaTheme="minorEastAsia"/>
          <w:lang w:val="de-DE"/>
        </w:rPr>
        <w:t>“</w:t>
      </w:r>
      <w:r w:rsidR="00CF13EE" w:rsidRPr="00B140F2">
        <w:rPr>
          <w:rFonts w:eastAsiaTheme="minorEastAsia"/>
          <w:lang w:val="de-DE"/>
        </w:rPr>
        <w:t>).</w:t>
      </w:r>
    </w:p>
    <w:p w14:paraId="16E6A706" w14:textId="77777777" w:rsidR="00CF13EE" w:rsidRPr="00B140F2" w:rsidRDefault="00CF13EE" w:rsidP="00BD4986">
      <w:pPr>
        <w:rPr>
          <w:lang w:val="de-DE"/>
        </w:rPr>
      </w:pPr>
    </w:p>
    <w:p w14:paraId="29A24703" w14:textId="3114E787"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CF13EE" w:rsidRPr="00B140F2">
        <w:rPr>
          <w:lang w:val="de-DE"/>
        </w:rPr>
        <w:t xml:space="preserve">Die TWF nahm den Bericht Frankreichs zur Kenntnis, </w:t>
      </w:r>
      <w:r w:rsidR="00350639" w:rsidRPr="00B140F2">
        <w:rPr>
          <w:lang w:val="de-DE"/>
        </w:rPr>
        <w:t xml:space="preserve">dass </w:t>
      </w:r>
      <w:r w:rsidR="00CF13EE" w:rsidRPr="00B140F2">
        <w:rPr>
          <w:lang w:val="de-DE"/>
        </w:rPr>
        <w:t xml:space="preserve">eine höhere Anzahl von </w:t>
      </w:r>
      <w:r w:rsidR="009400D4">
        <w:rPr>
          <w:lang w:val="de-DE"/>
        </w:rPr>
        <w:t xml:space="preserve">von </w:t>
      </w:r>
      <w:r w:rsidR="009400D4" w:rsidRPr="00B140F2">
        <w:rPr>
          <w:rFonts w:eastAsiaTheme="minorEastAsia"/>
          <w:lang w:val="de-DE"/>
        </w:rPr>
        <w:t>jeder Pflanze zu entnehmenden Teile</w:t>
      </w:r>
      <w:r w:rsidR="00317C70">
        <w:rPr>
          <w:rFonts w:eastAsiaTheme="minorEastAsia"/>
          <w:lang w:val="de-DE"/>
        </w:rPr>
        <w:t>n</w:t>
      </w:r>
      <w:r w:rsidR="00CF13EE" w:rsidRPr="00B140F2">
        <w:rPr>
          <w:lang w:val="de-DE"/>
        </w:rPr>
        <w:t xml:space="preserve"> als in den Prüfungsrichtlinien festgelegt in einigen Fällen für eine höhere Genauigkeit der Unterscheidbarkeitsprüfungen verwendet werden könnte.</w:t>
      </w:r>
      <w:r w:rsidR="00FE0BFC" w:rsidRPr="00B140F2">
        <w:rPr>
          <w:lang w:val="de-DE"/>
        </w:rPr>
        <w:t xml:space="preserve"> </w:t>
      </w:r>
      <w:r w:rsidR="00CF13EE" w:rsidRPr="00B140F2">
        <w:rPr>
          <w:lang w:val="de-DE"/>
        </w:rPr>
        <w:t xml:space="preserve">Die TWF vereinbarte, </w:t>
      </w:r>
      <w:r w:rsidR="00350639" w:rsidRPr="00B140F2">
        <w:rPr>
          <w:lang w:val="de-DE"/>
        </w:rPr>
        <w:t xml:space="preserve">dass </w:t>
      </w:r>
      <w:r w:rsidR="00CF13EE" w:rsidRPr="00B140F2">
        <w:rPr>
          <w:lang w:val="de-DE"/>
        </w:rPr>
        <w:t xml:space="preserve">dieses Verfahren in bestimmten Fällen angewandt werden könne und die in den Prüfungsrichtlinien festgelegte Probengröße </w:t>
      </w:r>
      <w:r w:rsidR="00CF13EE" w:rsidRPr="00B140F2">
        <w:rPr>
          <w:rFonts w:eastAsiaTheme="minorEastAsia"/>
          <w:lang w:val="de-DE"/>
        </w:rPr>
        <w:t xml:space="preserve">für Routineprüfungen </w:t>
      </w:r>
      <w:r w:rsidR="00CF13EE" w:rsidRPr="00B140F2">
        <w:rPr>
          <w:lang w:val="de-DE"/>
        </w:rPr>
        <w:t>nicht erhöh</w:t>
      </w:r>
      <w:r w:rsidR="00754334">
        <w:rPr>
          <w:lang w:val="de-DE"/>
        </w:rPr>
        <w:t>t werden</w:t>
      </w:r>
      <w:r w:rsidR="00CF13EE" w:rsidRPr="00B140F2">
        <w:rPr>
          <w:lang w:val="de-DE"/>
        </w:rPr>
        <w:t xml:space="preserve"> sollte</w:t>
      </w:r>
      <w:r w:rsidR="00CF13EE" w:rsidRPr="00B140F2">
        <w:rPr>
          <w:rFonts w:eastAsiaTheme="minorEastAsia"/>
          <w:lang w:val="de-DE"/>
        </w:rPr>
        <w:t>.</w:t>
      </w:r>
    </w:p>
    <w:p w14:paraId="518B10A4" w14:textId="77777777" w:rsidR="00CF13EE" w:rsidRPr="00B140F2" w:rsidRDefault="00CF13EE" w:rsidP="00BD4986">
      <w:pPr>
        <w:pStyle w:val="EndnoteText"/>
        <w:rPr>
          <w:rFonts w:eastAsiaTheme="minorEastAsia"/>
          <w:lang w:val="de-DE"/>
        </w:rPr>
      </w:pPr>
    </w:p>
    <w:p w14:paraId="5F0A4BBA" w14:textId="46451B72"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CF13EE" w:rsidRPr="00B140F2">
        <w:rPr>
          <w:rFonts w:eastAsiaTheme="minorEastAsia"/>
          <w:lang w:val="de-DE"/>
        </w:rPr>
        <w:t xml:space="preserve">Die TWF </w:t>
      </w:r>
      <w:r w:rsidR="001015D3" w:rsidRPr="00B140F2">
        <w:rPr>
          <w:rFonts w:eastAsiaTheme="minorEastAsia"/>
          <w:lang w:val="de-DE"/>
        </w:rPr>
        <w:t>vereinbarte</w:t>
      </w:r>
      <w:r w:rsidR="00CF13EE" w:rsidRPr="00B140F2">
        <w:rPr>
          <w:rFonts w:eastAsiaTheme="minorEastAsia"/>
          <w:lang w:val="de-DE"/>
        </w:rPr>
        <w:t>, den Sachverständigen aus Frankreich zu ersuchen, Beispiele zusammenzustellen, wenn die Anzahl der von jeder Pflanze zu entnehmenden Teile höher sein könnte als in den Prüfungsrichtlinien festgelegt.</w:t>
      </w:r>
      <w:r w:rsidR="00FE0BFC" w:rsidRPr="00B140F2">
        <w:rPr>
          <w:rFonts w:eastAsiaTheme="minorEastAsia"/>
          <w:lang w:val="de-DE"/>
        </w:rPr>
        <w:t xml:space="preserve"> </w:t>
      </w:r>
      <w:r w:rsidR="00CF13EE" w:rsidRPr="00B140F2">
        <w:rPr>
          <w:rFonts w:eastAsiaTheme="minorEastAsia"/>
          <w:lang w:val="de-DE"/>
        </w:rPr>
        <w:t xml:space="preserve">Die TWF vereinbarte, den Sachverständigen aus Frankreich zu ersuchen, Optionen zu </w:t>
      </w:r>
      <w:r w:rsidR="00317C70">
        <w:rPr>
          <w:rFonts w:eastAsiaTheme="minorEastAsia"/>
          <w:lang w:val="de-DE"/>
        </w:rPr>
        <w:t>sondieren</w:t>
      </w:r>
      <w:r w:rsidR="00CF13EE" w:rsidRPr="00B140F2">
        <w:rPr>
          <w:rFonts w:eastAsiaTheme="minorEastAsia"/>
          <w:lang w:val="de-DE"/>
        </w:rPr>
        <w:t xml:space="preserve">, um anzugeben, </w:t>
      </w:r>
      <w:r w:rsidR="00350639" w:rsidRPr="00B140F2">
        <w:rPr>
          <w:rFonts w:eastAsiaTheme="minorEastAsia"/>
          <w:lang w:val="de-DE"/>
        </w:rPr>
        <w:t xml:space="preserve">dass </w:t>
      </w:r>
      <w:r w:rsidR="00CF13EE" w:rsidRPr="00B140F2">
        <w:rPr>
          <w:rFonts w:eastAsiaTheme="minorEastAsia"/>
          <w:lang w:val="de-DE"/>
        </w:rPr>
        <w:t xml:space="preserve">die Prüfung von Merkmalen je nach dem erforderlichen Genauigkeitsgrad an verschiedenen Probengrößen durchgeführt werden könnte. </w:t>
      </w:r>
    </w:p>
    <w:p w14:paraId="29080AD8" w14:textId="77777777" w:rsidR="00CF13EE" w:rsidRPr="00B140F2" w:rsidRDefault="00CF13EE" w:rsidP="00BD4986">
      <w:pPr>
        <w:rPr>
          <w:lang w:val="de-DE"/>
        </w:rPr>
      </w:pPr>
    </w:p>
    <w:p w14:paraId="3494C601" w14:textId="77777777" w:rsidR="009A047A" w:rsidRPr="00B140F2" w:rsidRDefault="009A047A" w:rsidP="00BD4986">
      <w:pPr>
        <w:rPr>
          <w:lang w:val="de-DE"/>
        </w:rPr>
      </w:pPr>
    </w:p>
    <w:p w14:paraId="4A7CDD6B" w14:textId="3EEBFAE7" w:rsidR="00214329" w:rsidRPr="00B140F2" w:rsidRDefault="005B75F4" w:rsidP="00BD4986">
      <w:pPr>
        <w:jc w:val="center"/>
        <w:rPr>
          <w:u w:val="single"/>
          <w:lang w:val="de-DE"/>
        </w:rPr>
      </w:pPr>
      <w:bookmarkStart w:id="54" w:name="_Toc162975799"/>
      <w:r w:rsidRPr="00B140F2">
        <w:rPr>
          <w:u w:val="single"/>
          <w:lang w:val="de-DE"/>
        </w:rPr>
        <w:t>ERLÄUTERUNG (GN)</w:t>
      </w:r>
      <w:r w:rsidR="0060633E" w:rsidRPr="00B140F2">
        <w:rPr>
          <w:u w:val="single"/>
          <w:lang w:val="de-DE"/>
        </w:rPr>
        <w:t xml:space="preserve"> 28 </w:t>
      </w:r>
      <w:r w:rsidR="001C4FD6" w:rsidRPr="00B140F2">
        <w:rPr>
          <w:u w:val="single"/>
          <w:lang w:val="de-DE"/>
        </w:rPr>
        <w:t>„</w:t>
      </w:r>
      <w:r w:rsidR="0060633E" w:rsidRPr="00B140F2">
        <w:rPr>
          <w:u w:val="single"/>
          <w:lang w:val="de-DE"/>
        </w:rPr>
        <w:t>BEISPIELSSORTEN</w:t>
      </w:r>
      <w:r w:rsidR="001C4FD6" w:rsidRPr="00B140F2">
        <w:rPr>
          <w:u w:val="single"/>
          <w:lang w:val="de-DE"/>
        </w:rPr>
        <w:t>“</w:t>
      </w:r>
      <w:r w:rsidR="0060633E" w:rsidRPr="00B140F2">
        <w:rPr>
          <w:u w:val="single"/>
          <w:lang w:val="de-DE"/>
        </w:rPr>
        <w:t xml:space="preserve"> - BEISPIELSSORTEN FÜR QUANTITATIVE MERKMALE</w:t>
      </w:r>
      <w:r w:rsidR="00317C70" w:rsidRPr="00317C70">
        <w:rPr>
          <w:u w:val="single"/>
          <w:lang w:val="de-DE"/>
        </w:rPr>
        <w:t xml:space="preserve"> </w:t>
      </w:r>
      <w:r w:rsidR="00317C70" w:rsidRPr="00B140F2">
        <w:rPr>
          <w:u w:val="single"/>
          <w:lang w:val="de-DE"/>
        </w:rPr>
        <w:t>MIT STERNCHEN</w:t>
      </w:r>
      <w:r w:rsidR="0060633E" w:rsidRPr="00B140F2">
        <w:rPr>
          <w:u w:val="single"/>
          <w:lang w:val="de-DE"/>
        </w:rPr>
        <w:t xml:space="preserve">, </w:t>
      </w:r>
      <w:r w:rsidR="00F43076" w:rsidRPr="00B140F2">
        <w:rPr>
          <w:u w:val="single"/>
          <w:lang w:val="de-DE"/>
        </w:rPr>
        <w:t>WENN ABBILDUNGEN VORGELEGT WERDEN</w:t>
      </w:r>
      <w:bookmarkEnd w:id="54"/>
    </w:p>
    <w:p w14:paraId="33472F88" w14:textId="77777777" w:rsidR="009A047A" w:rsidRPr="00B140F2" w:rsidRDefault="009A047A" w:rsidP="00BD4986">
      <w:pPr>
        <w:rPr>
          <w:lang w:val="de-DE"/>
        </w:rPr>
      </w:pPr>
    </w:p>
    <w:p w14:paraId="4CF75031" w14:textId="77777777" w:rsidR="00214329" w:rsidRPr="00B140F2" w:rsidRDefault="0060633E" w:rsidP="00BD4986">
      <w:pPr>
        <w:rPr>
          <w:i/>
          <w:lang w:val="de-DE"/>
        </w:rPr>
      </w:pPr>
      <w:r w:rsidRPr="00B140F2">
        <w:rPr>
          <w:i/>
          <w:lang w:val="de-DE"/>
        </w:rPr>
        <w:t>Hintergrund</w:t>
      </w:r>
    </w:p>
    <w:p w14:paraId="46CC5532" w14:textId="77777777" w:rsidR="000456CB" w:rsidRPr="00B140F2" w:rsidRDefault="000456CB" w:rsidP="00BD4986">
      <w:pPr>
        <w:rPr>
          <w:iCs/>
          <w:lang w:val="de-DE"/>
        </w:rPr>
      </w:pPr>
    </w:p>
    <w:p w14:paraId="27ED407F" w14:textId="5684E3A0"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9F1EA1" w:rsidRPr="00B140F2">
        <w:rPr>
          <w:iCs/>
          <w:spacing w:val="-2"/>
          <w:lang w:val="de-DE"/>
        </w:rPr>
        <w:t xml:space="preserve">Der TC </w:t>
      </w:r>
      <w:r w:rsidR="009F1EA1" w:rsidRPr="00B140F2">
        <w:rPr>
          <w:iCs/>
          <w:lang w:val="de-DE"/>
        </w:rPr>
        <w:t xml:space="preserve">nahm </w:t>
      </w:r>
      <w:r w:rsidR="009F1EA1" w:rsidRPr="00B140F2">
        <w:rPr>
          <w:lang w:val="de-DE"/>
        </w:rPr>
        <w:t xml:space="preserve">auf seiner Tagung im Jahr 2023 </w:t>
      </w:r>
      <w:r w:rsidR="009F1EA1" w:rsidRPr="00B140F2">
        <w:rPr>
          <w:iCs/>
          <w:lang w:val="de-DE"/>
        </w:rPr>
        <w:t xml:space="preserve">die Erörterungen über etwaige Änderungen des Dokuments TGP/7, GN 28 </w:t>
      </w:r>
      <w:r w:rsidR="001C4FD6" w:rsidRPr="00B140F2">
        <w:rPr>
          <w:iCs/>
          <w:lang w:val="de-DE"/>
        </w:rPr>
        <w:t>„</w:t>
      </w:r>
      <w:r w:rsidR="009F1EA1" w:rsidRPr="00B140F2">
        <w:rPr>
          <w:iCs/>
          <w:lang w:val="de-DE"/>
        </w:rPr>
        <w:t>Beispielssorten</w:t>
      </w:r>
      <w:r w:rsidR="001C4FD6" w:rsidRPr="00B140F2">
        <w:rPr>
          <w:iCs/>
          <w:lang w:val="de-DE"/>
        </w:rPr>
        <w:t>“</w:t>
      </w:r>
      <w:r w:rsidR="009F1EA1" w:rsidRPr="00B140F2">
        <w:rPr>
          <w:iCs/>
          <w:lang w:val="de-DE"/>
        </w:rPr>
        <w:t xml:space="preserve"> zur Kenntnis, </w:t>
      </w:r>
      <w:r w:rsidR="00754334">
        <w:rPr>
          <w:iCs/>
          <w:lang w:val="de-DE"/>
        </w:rPr>
        <w:t>wie</w:t>
      </w:r>
      <w:r w:rsidR="009F1EA1" w:rsidRPr="00B140F2">
        <w:rPr>
          <w:iCs/>
          <w:lang w:val="de-DE"/>
        </w:rPr>
        <w:t xml:space="preserve"> in </w:t>
      </w:r>
      <w:r w:rsidR="009F1EA1" w:rsidRPr="00B140F2">
        <w:rPr>
          <w:lang w:val="de-DE"/>
        </w:rPr>
        <w:t>Dokument SESSIONS/2023/2, Anlage III</w:t>
      </w:r>
      <w:r w:rsidR="009F1EA1" w:rsidRPr="00B140F2">
        <w:rPr>
          <w:iCs/>
          <w:lang w:val="de-DE"/>
        </w:rPr>
        <w:t>, berichte</w:t>
      </w:r>
      <w:r w:rsidR="00375A6F">
        <w:rPr>
          <w:iCs/>
          <w:lang w:val="de-DE"/>
        </w:rPr>
        <w:t>t</w:t>
      </w:r>
      <w:r w:rsidR="009F1EA1" w:rsidRPr="00B140F2">
        <w:rPr>
          <w:iCs/>
          <w:lang w:val="de-DE"/>
        </w:rPr>
        <w:t>.</w:t>
      </w:r>
      <w:r w:rsidR="00FE0BFC" w:rsidRPr="00B140F2">
        <w:rPr>
          <w:iCs/>
          <w:lang w:val="de-DE"/>
        </w:rPr>
        <w:t xml:space="preserve"> </w:t>
      </w:r>
      <w:r w:rsidR="009F1EA1" w:rsidRPr="00B140F2">
        <w:rPr>
          <w:iCs/>
          <w:lang w:val="de-DE"/>
        </w:rPr>
        <w:t xml:space="preserve">Der TC nahm zur Kenntnis, </w:t>
      </w:r>
      <w:r w:rsidR="00350639" w:rsidRPr="00B140F2">
        <w:rPr>
          <w:iCs/>
          <w:lang w:val="de-DE"/>
        </w:rPr>
        <w:t xml:space="preserve">dass </w:t>
      </w:r>
      <w:r w:rsidR="009F1EA1" w:rsidRPr="00B140F2">
        <w:rPr>
          <w:iCs/>
          <w:lang w:val="de-DE"/>
        </w:rPr>
        <w:t>die TWA den Sachverständigen aus Deutschland ersucht habe, einen Vorschlag zur</w:t>
      </w:r>
      <w:bookmarkStart w:id="55" w:name="_Hlk162465372"/>
      <w:r w:rsidR="009F1EA1" w:rsidRPr="00B140F2">
        <w:rPr>
          <w:iCs/>
          <w:lang w:val="de-DE"/>
        </w:rPr>
        <w:t xml:space="preserve"> Änderung der Anleitung in Dokument TGP/7, GN 28, betreffend die Situationen, in denen Abbildungen Beispielssorten ersetzen könnten, und ihre ergänzende Rolle zur </w:t>
      </w:r>
      <w:r w:rsidR="005B75F4" w:rsidRPr="00B140F2">
        <w:rPr>
          <w:iCs/>
          <w:lang w:val="de-DE"/>
        </w:rPr>
        <w:t>Klarstellung</w:t>
      </w:r>
      <w:r w:rsidR="009F1EA1" w:rsidRPr="00B140F2">
        <w:rPr>
          <w:iCs/>
          <w:lang w:val="de-DE"/>
        </w:rPr>
        <w:t xml:space="preserve"> der Ausprägungsstufen eines Merkmals</w:t>
      </w:r>
      <w:bookmarkEnd w:id="55"/>
      <w:r w:rsidR="009F1EA1" w:rsidRPr="00B140F2">
        <w:rPr>
          <w:iCs/>
          <w:lang w:val="de-DE"/>
        </w:rPr>
        <w:t xml:space="preserve"> zur Prüfung durch die TWP auf ihren Tagungen im Jahr 2024 zu erstellen.</w:t>
      </w:r>
    </w:p>
    <w:p w14:paraId="53D0201A" w14:textId="77777777" w:rsidR="000456CB" w:rsidRPr="00B140F2" w:rsidRDefault="000456CB" w:rsidP="00BD4986">
      <w:pPr>
        <w:rPr>
          <w:lang w:val="de-DE"/>
        </w:rPr>
      </w:pPr>
    </w:p>
    <w:p w14:paraId="726C68B9" w14:textId="4CCCE588" w:rsidR="00214329" w:rsidRPr="00B140F2" w:rsidRDefault="007D62E7" w:rsidP="00BD4986">
      <w:pPr>
        <w:rPr>
          <w:i/>
          <w:lang w:val="de-DE"/>
        </w:rPr>
      </w:pPr>
      <w:r w:rsidRPr="00B140F2">
        <w:rPr>
          <w:i/>
          <w:lang w:val="de-DE"/>
        </w:rPr>
        <w:t>Bemerkungen</w:t>
      </w:r>
      <w:r w:rsidR="0060633E" w:rsidRPr="00B140F2">
        <w:rPr>
          <w:i/>
          <w:lang w:val="de-DE"/>
        </w:rPr>
        <w:t xml:space="preserve"> der</w:t>
      </w:r>
      <w:r w:rsidR="001F146A" w:rsidRPr="00B140F2">
        <w:rPr>
          <w:i/>
          <w:lang w:val="de-DE"/>
        </w:rPr>
        <w:t xml:space="preserve"> Technischen Arbeitsgruppen </w:t>
      </w:r>
      <w:r w:rsidR="0060633E" w:rsidRPr="00B140F2">
        <w:rPr>
          <w:i/>
          <w:lang w:val="de-DE"/>
        </w:rPr>
        <w:t>im Jahr 2024</w:t>
      </w:r>
    </w:p>
    <w:p w14:paraId="43FA74E5" w14:textId="77777777" w:rsidR="000456CB" w:rsidRPr="00B140F2" w:rsidRDefault="000456CB" w:rsidP="00BD4986">
      <w:pPr>
        <w:rPr>
          <w:lang w:val="de-DE"/>
        </w:rPr>
      </w:pPr>
    </w:p>
    <w:p w14:paraId="7A636069" w14:textId="77777777"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 xml:space="preserve">Die TWV, die TWO, die TWA und die TWF </w:t>
      </w:r>
      <w:r w:rsidR="009F1EA1" w:rsidRPr="00B140F2">
        <w:rPr>
          <w:rFonts w:eastAsiaTheme="minorEastAsia"/>
          <w:lang w:val="de-DE"/>
        </w:rPr>
        <w:t xml:space="preserve">prüften </w:t>
      </w:r>
      <w:r w:rsidRPr="00B140F2">
        <w:rPr>
          <w:rFonts w:eastAsiaTheme="minorEastAsia"/>
          <w:lang w:val="de-DE"/>
        </w:rPr>
        <w:t xml:space="preserve">auf ihren Tagungen im Jahr 2024 </w:t>
      </w:r>
      <w:r w:rsidR="009F1EA1" w:rsidRPr="00B140F2">
        <w:rPr>
          <w:rFonts w:eastAsiaTheme="minorEastAsia"/>
          <w:lang w:val="de-DE"/>
        </w:rPr>
        <w:t>die Dokumente TWV/58/10, TWO/56/7, TWA/53/8 bzw. TWF/55/8, die von einem Sachverständigen aus Deutschland vorgelegt wurden.</w:t>
      </w:r>
    </w:p>
    <w:p w14:paraId="51769993" w14:textId="77777777" w:rsidR="009F1EA1" w:rsidRPr="00B140F2" w:rsidRDefault="009F1EA1" w:rsidP="00BD4986">
      <w:pPr>
        <w:rPr>
          <w:rFonts w:eastAsiaTheme="minorEastAsia"/>
          <w:lang w:val="de-DE"/>
        </w:rPr>
      </w:pPr>
    </w:p>
    <w:p w14:paraId="4DEE78F0" w14:textId="6147D778"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w:t>
      </w:r>
      <w:r w:rsidR="00266E48" w:rsidRPr="00B140F2">
        <w:rPr>
          <w:lang w:val="de-DE"/>
        </w:rPr>
        <w:t>TWV</w:t>
      </w:r>
      <w:r w:rsidR="004E5249" w:rsidRPr="00B140F2">
        <w:rPr>
          <w:lang w:val="de-DE"/>
        </w:rPr>
        <w:t xml:space="preserve">, die TWA und die </w:t>
      </w:r>
      <w:r w:rsidRPr="00B140F2">
        <w:rPr>
          <w:lang w:val="de-DE"/>
        </w:rPr>
        <w:t xml:space="preserve">TWF </w:t>
      </w:r>
      <w:r w:rsidRPr="00B140F2">
        <w:rPr>
          <w:rFonts w:eastAsiaTheme="minorEastAsia"/>
          <w:lang w:val="de-DE"/>
        </w:rPr>
        <w:t xml:space="preserve">vereinbarten, </w:t>
      </w:r>
      <w:r w:rsidR="00350639" w:rsidRPr="00B140F2">
        <w:rPr>
          <w:rFonts w:eastAsiaTheme="minorEastAsia"/>
          <w:lang w:val="de-DE"/>
        </w:rPr>
        <w:t xml:space="preserve">dass </w:t>
      </w:r>
      <w:r w:rsidRPr="00B140F2">
        <w:rPr>
          <w:rFonts w:eastAsiaTheme="minorEastAsia"/>
          <w:lang w:val="de-DE"/>
        </w:rPr>
        <w:t xml:space="preserve">die Prüfungsrichtlinien so viele Informationen wie möglich enthalten sollten, einschließlich sowohl Beispielssorten als auch Abbildungen. </w:t>
      </w:r>
    </w:p>
    <w:p w14:paraId="50A2758A" w14:textId="77777777" w:rsidR="009F1EA1" w:rsidRPr="00B140F2" w:rsidRDefault="009F1EA1" w:rsidP="00BD4986">
      <w:pPr>
        <w:tabs>
          <w:tab w:val="left" w:pos="567"/>
          <w:tab w:val="left" w:pos="1134"/>
          <w:tab w:val="left" w:pos="1701"/>
        </w:tabs>
        <w:rPr>
          <w:rFonts w:eastAsiaTheme="minorEastAsia"/>
          <w:lang w:val="de-DE"/>
        </w:rPr>
      </w:pPr>
    </w:p>
    <w:p w14:paraId="03840D9F" w14:textId="2546EAC4" w:rsidR="00214329" w:rsidRPr="00B140F2" w:rsidRDefault="0060633E" w:rsidP="00BD4986">
      <w:pPr>
        <w:tabs>
          <w:tab w:val="left" w:pos="567"/>
          <w:tab w:val="left" w:pos="1134"/>
          <w:tab w:val="left" w:pos="1701"/>
        </w:tabs>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9F1EA1" w:rsidRPr="00B140F2">
        <w:rPr>
          <w:rFonts w:eastAsiaTheme="minorEastAsia"/>
          <w:lang w:val="de-DE"/>
        </w:rPr>
        <w:t xml:space="preserve">Die TWV </w:t>
      </w:r>
      <w:r w:rsidR="00BF498A">
        <w:rPr>
          <w:rFonts w:eastAsiaTheme="minorEastAsia"/>
          <w:lang w:val="de-DE"/>
        </w:rPr>
        <w:t>vereinbarte</w:t>
      </w:r>
      <w:r w:rsidR="009F1EA1" w:rsidRPr="00B140F2">
        <w:rPr>
          <w:rFonts w:eastAsiaTheme="minorEastAsia"/>
          <w:lang w:val="de-DE"/>
        </w:rPr>
        <w:t xml:space="preserve">, </w:t>
      </w:r>
      <w:r w:rsidR="00350639" w:rsidRPr="00B140F2">
        <w:rPr>
          <w:rFonts w:eastAsiaTheme="minorEastAsia"/>
          <w:lang w:val="de-DE"/>
        </w:rPr>
        <w:t xml:space="preserve">dass </w:t>
      </w:r>
      <w:r w:rsidR="009F1EA1" w:rsidRPr="00B140F2">
        <w:rPr>
          <w:rFonts w:eastAsiaTheme="minorEastAsia"/>
          <w:lang w:val="de-DE"/>
        </w:rPr>
        <w:t>Abbildungen zusätzliche Informationen liefern und in einigen Fällen informativer sein könnten als Beispielssorten.</w:t>
      </w:r>
    </w:p>
    <w:p w14:paraId="7C0B421B" w14:textId="77777777" w:rsidR="009F1EA1" w:rsidRPr="00B140F2" w:rsidRDefault="009F1EA1" w:rsidP="00BD4986">
      <w:pPr>
        <w:tabs>
          <w:tab w:val="left" w:pos="567"/>
          <w:tab w:val="left" w:pos="1134"/>
          <w:tab w:val="left" w:pos="1701"/>
        </w:tabs>
        <w:rPr>
          <w:rFonts w:eastAsiaTheme="minorEastAsia"/>
          <w:lang w:val="de-DE"/>
        </w:rPr>
      </w:pPr>
    </w:p>
    <w:p w14:paraId="56F41299" w14:textId="6ED39F5A"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9F1EA1" w:rsidRPr="00B140F2">
        <w:rPr>
          <w:rFonts w:eastAsiaTheme="minorEastAsia"/>
          <w:lang w:val="de-DE"/>
        </w:rPr>
        <w:t xml:space="preserve">Die TWO stimmte mit der TWV darin überein, </w:t>
      </w:r>
      <w:r w:rsidR="00350639" w:rsidRPr="00B140F2">
        <w:rPr>
          <w:rFonts w:eastAsiaTheme="minorEastAsia"/>
          <w:lang w:val="de-DE"/>
        </w:rPr>
        <w:t xml:space="preserve">dass </w:t>
      </w:r>
      <w:r w:rsidR="009F1EA1" w:rsidRPr="00B140F2">
        <w:rPr>
          <w:rFonts w:eastAsiaTheme="minorEastAsia"/>
          <w:lang w:val="de-DE"/>
        </w:rPr>
        <w:t>Abbildungen besonders nützlich seien, wenn die Beispielssorten in den Prüfungsrichtlinien nicht verfügbar oder für den Anbau unter bestimmten Anbaubedingungen nicht geeignet seien.</w:t>
      </w:r>
      <w:r w:rsidR="00FE0BFC" w:rsidRPr="00B140F2">
        <w:rPr>
          <w:rFonts w:eastAsiaTheme="minorEastAsia"/>
          <w:lang w:val="de-DE"/>
        </w:rPr>
        <w:t xml:space="preserve"> </w:t>
      </w:r>
    </w:p>
    <w:p w14:paraId="6C7A5D1C" w14:textId="77777777" w:rsidR="009F1EA1" w:rsidRPr="00B140F2" w:rsidRDefault="009F1EA1" w:rsidP="00BD4986">
      <w:pPr>
        <w:rPr>
          <w:rFonts w:eastAsiaTheme="minorEastAsia"/>
          <w:lang w:val="de-DE"/>
        </w:rPr>
      </w:pPr>
    </w:p>
    <w:p w14:paraId="2D52D9BC" w14:textId="77777777"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9F1EA1" w:rsidRPr="00B140F2">
        <w:rPr>
          <w:rFonts w:eastAsiaTheme="minorEastAsia"/>
          <w:lang w:val="de-DE"/>
        </w:rPr>
        <w:t>Die TWV stimmte dem Vorschlag zu, weitere Anleitung zu den Situationen zu geben, in denen Abbildungen Beispielssorten ergänzen oder ersetzen könnten.</w:t>
      </w:r>
    </w:p>
    <w:p w14:paraId="5E77BDC3" w14:textId="77777777" w:rsidR="009F1EA1" w:rsidRPr="00B140F2" w:rsidRDefault="009F1EA1" w:rsidP="00BD4986">
      <w:pPr>
        <w:rPr>
          <w:rFonts w:eastAsiaTheme="minorEastAsia"/>
          <w:lang w:val="de-DE"/>
        </w:rPr>
      </w:pPr>
    </w:p>
    <w:p w14:paraId="32B7D215" w14:textId="60765DD4"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9F1EA1" w:rsidRPr="00B140F2">
        <w:rPr>
          <w:rFonts w:eastAsiaTheme="minorEastAsia"/>
          <w:lang w:val="de-DE"/>
        </w:rPr>
        <w:t>Die TWV und die TWA prüften die Absätze 2.1 bis 2.3 des Vorschlags und vereinbarten, den Verfasser aus Deutschland zu ersuchen, weitere Erläuterungen zu den Entscheidungskriterien oder Beispiele zu geben, wenn Abbildungen Beispielssorten ersetzen könnten.</w:t>
      </w:r>
      <w:r w:rsidR="00FE0BFC" w:rsidRPr="00B140F2">
        <w:rPr>
          <w:rFonts w:eastAsiaTheme="minorEastAsia"/>
          <w:lang w:val="de-DE"/>
        </w:rPr>
        <w:t xml:space="preserve"> </w:t>
      </w:r>
    </w:p>
    <w:p w14:paraId="51034D37" w14:textId="77777777" w:rsidR="009F1EA1" w:rsidRPr="00B140F2" w:rsidRDefault="009F1EA1" w:rsidP="00BD4986">
      <w:pPr>
        <w:tabs>
          <w:tab w:val="left" w:pos="567"/>
          <w:tab w:val="left" w:pos="935"/>
        </w:tabs>
        <w:rPr>
          <w:lang w:val="de-DE"/>
        </w:rPr>
      </w:pPr>
    </w:p>
    <w:p w14:paraId="06B60BCE" w14:textId="77777777" w:rsidR="00214329" w:rsidRPr="00B140F2" w:rsidRDefault="0060633E" w:rsidP="00BD4986">
      <w:pPr>
        <w:tabs>
          <w:tab w:val="left" w:pos="567"/>
          <w:tab w:val="left" w:pos="935"/>
        </w:tabs>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9F1EA1" w:rsidRPr="00B140F2">
        <w:rPr>
          <w:lang w:val="de-DE"/>
        </w:rPr>
        <w:t xml:space="preserve">Die TWO erinnerte an die zuvor gegebenen Beispiele für Situationen, in denen Abbildungen Beispielssorten ersetzen könnten, wie in der Anlage des Dokuments TWO/56/7 enthalten, und vereinbarte, den Verfasser aus Deutschland zu ersuchen, deren Aufnahme in den nächsten Entwurf der Anleitung zu prüfen. </w:t>
      </w:r>
    </w:p>
    <w:p w14:paraId="10EF82A1" w14:textId="77777777" w:rsidR="009F1EA1" w:rsidRPr="00B140F2" w:rsidRDefault="009F1EA1" w:rsidP="00BD4986">
      <w:pPr>
        <w:rPr>
          <w:rFonts w:eastAsiaTheme="minorEastAsia"/>
          <w:lang w:val="de-DE"/>
        </w:rPr>
      </w:pPr>
    </w:p>
    <w:p w14:paraId="4F731515" w14:textId="2CA92D68"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9F1EA1" w:rsidRPr="00B140F2">
        <w:rPr>
          <w:rFonts w:eastAsiaTheme="minorEastAsia"/>
          <w:lang w:val="de-DE"/>
        </w:rPr>
        <w:t xml:space="preserve">Die TWF </w:t>
      </w:r>
      <w:r w:rsidR="00F75B8B" w:rsidRPr="00B140F2">
        <w:rPr>
          <w:rFonts w:eastAsiaTheme="minorEastAsia"/>
          <w:lang w:val="de-DE"/>
        </w:rPr>
        <w:t>nahm zur Kenntnis</w:t>
      </w:r>
      <w:r w:rsidR="009F1EA1" w:rsidRPr="00B140F2">
        <w:rPr>
          <w:rFonts w:eastAsiaTheme="minorEastAsia"/>
          <w:lang w:val="de-DE"/>
        </w:rPr>
        <w:t xml:space="preserve">, </w:t>
      </w:r>
      <w:r w:rsidR="00350639" w:rsidRPr="00B140F2">
        <w:rPr>
          <w:rFonts w:eastAsiaTheme="minorEastAsia"/>
          <w:lang w:val="de-DE"/>
        </w:rPr>
        <w:t xml:space="preserve">dass </w:t>
      </w:r>
      <w:r w:rsidR="009F1EA1" w:rsidRPr="00B140F2">
        <w:rPr>
          <w:rFonts w:eastAsiaTheme="minorEastAsia"/>
          <w:lang w:val="de-DE"/>
        </w:rPr>
        <w:t xml:space="preserve">Beschränkungen des internationalen Verkehrs </w:t>
      </w:r>
      <w:r w:rsidR="00317C70">
        <w:rPr>
          <w:rFonts w:eastAsiaTheme="minorEastAsia"/>
          <w:lang w:val="de-DE"/>
        </w:rPr>
        <w:t>von</w:t>
      </w:r>
      <w:r w:rsidR="00317C70" w:rsidRPr="00B140F2">
        <w:rPr>
          <w:rFonts w:eastAsiaTheme="minorEastAsia"/>
          <w:lang w:val="de-DE"/>
        </w:rPr>
        <w:t xml:space="preserve"> </w:t>
      </w:r>
      <w:r w:rsidR="009F1EA1" w:rsidRPr="00B140F2">
        <w:rPr>
          <w:rFonts w:eastAsiaTheme="minorEastAsia"/>
          <w:lang w:val="de-DE"/>
        </w:rPr>
        <w:t xml:space="preserve">Pflanzenmaterial den Zugang zu Pflanzenmaterial von Beispielssorten von Obstarten einschränken könnten. Die TWF stimmte mit der TWV, der TWA und der TWO darin überein, </w:t>
      </w:r>
      <w:r w:rsidR="00350639" w:rsidRPr="00B140F2">
        <w:rPr>
          <w:rFonts w:eastAsiaTheme="minorEastAsia"/>
          <w:lang w:val="de-DE"/>
        </w:rPr>
        <w:t xml:space="preserve">dass </w:t>
      </w:r>
      <w:r w:rsidR="009F1EA1" w:rsidRPr="00B140F2">
        <w:rPr>
          <w:rFonts w:eastAsiaTheme="minorEastAsia"/>
          <w:lang w:val="de-DE"/>
        </w:rPr>
        <w:t>Abbildungen besonders nützlich seien, wenn die Beispielssorten in den Prüfungsrichtlinien nicht verfügbar oder für den Anbau unter bestimmten Anbaubedingungen nicht geeignet seien.</w:t>
      </w:r>
      <w:r w:rsidR="00FE0BFC" w:rsidRPr="00B140F2">
        <w:rPr>
          <w:rFonts w:eastAsiaTheme="minorEastAsia"/>
          <w:lang w:val="de-DE"/>
        </w:rPr>
        <w:t xml:space="preserve"> </w:t>
      </w:r>
    </w:p>
    <w:p w14:paraId="0CFCA21F" w14:textId="77777777" w:rsidR="009F1EA1" w:rsidRPr="00B140F2" w:rsidRDefault="009F1EA1" w:rsidP="00BD4986">
      <w:pPr>
        <w:rPr>
          <w:lang w:val="de-DE"/>
        </w:rPr>
      </w:pPr>
    </w:p>
    <w:p w14:paraId="52E42A6B" w14:textId="2670648B"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9F1EA1" w:rsidRPr="00B140F2">
        <w:rPr>
          <w:lang w:val="de-DE"/>
        </w:rPr>
        <w:t xml:space="preserve">Die TWF prüfte Situationen, in denen Abbildungen Beispielssorten </w:t>
      </w:r>
      <w:r w:rsidR="00E774FA">
        <w:rPr>
          <w:lang w:val="de-DE"/>
        </w:rPr>
        <w:t>ersetzen</w:t>
      </w:r>
      <w:r w:rsidR="009F1EA1" w:rsidRPr="00B140F2">
        <w:rPr>
          <w:lang w:val="de-DE"/>
        </w:rPr>
        <w:t xml:space="preserve"> könnten, und erinnerte an die Anleitung zur Entwicklung regionaler Serien, wenn eine universelle Serie von Beispielssorten, die für alle UPOV-Mitglieder gilt, nicht </w:t>
      </w:r>
      <w:r w:rsidR="009400D4">
        <w:rPr>
          <w:lang w:val="de-DE"/>
        </w:rPr>
        <w:t>zweckmäßig</w:t>
      </w:r>
      <w:r w:rsidR="009F1EA1" w:rsidRPr="00B140F2">
        <w:rPr>
          <w:lang w:val="de-DE"/>
        </w:rPr>
        <w:t xml:space="preserve"> sei.</w:t>
      </w:r>
    </w:p>
    <w:p w14:paraId="163C3CB1" w14:textId="77777777" w:rsidR="009F1EA1" w:rsidRPr="00B140F2" w:rsidRDefault="009F1EA1" w:rsidP="00BD4986">
      <w:pPr>
        <w:rPr>
          <w:lang w:val="de-DE"/>
        </w:rPr>
      </w:pPr>
    </w:p>
    <w:p w14:paraId="1FF10268" w14:textId="77777777" w:rsidR="008777B3" w:rsidRPr="00B140F2" w:rsidRDefault="008777B3" w:rsidP="00BD4986">
      <w:pPr>
        <w:rPr>
          <w:lang w:val="de-DE"/>
        </w:rPr>
      </w:pPr>
    </w:p>
    <w:p w14:paraId="7BF61AC8" w14:textId="77777777" w:rsidR="007F42A7" w:rsidRPr="00B140F2" w:rsidRDefault="007F42A7" w:rsidP="00BD4986">
      <w:pPr>
        <w:rPr>
          <w:lang w:val="de-DE"/>
        </w:rPr>
      </w:pPr>
    </w:p>
    <w:p w14:paraId="2B6E640B" w14:textId="556C85C6" w:rsidR="00214329" w:rsidRPr="00B140F2" w:rsidRDefault="0060633E" w:rsidP="00BD4986">
      <w:pPr>
        <w:jc w:val="right"/>
        <w:rPr>
          <w:lang w:val="de-DE"/>
        </w:rPr>
      </w:pPr>
      <w:r w:rsidRPr="00B140F2">
        <w:rPr>
          <w:lang w:val="de-DE"/>
        </w:rPr>
        <w:t>[</w:t>
      </w:r>
      <w:r w:rsidR="002006BE" w:rsidRPr="00B140F2">
        <w:rPr>
          <w:lang w:val="de-DE"/>
        </w:rPr>
        <w:t>Anlage</w:t>
      </w:r>
      <w:r w:rsidRPr="00B140F2">
        <w:rPr>
          <w:lang w:val="de-DE"/>
        </w:rPr>
        <w:t xml:space="preserve"> V folgt]</w:t>
      </w:r>
    </w:p>
    <w:p w14:paraId="4500B75D" w14:textId="77777777" w:rsidR="008777B3" w:rsidRPr="00B140F2" w:rsidRDefault="008777B3" w:rsidP="00BD4986">
      <w:pPr>
        <w:rPr>
          <w:lang w:val="de-DE"/>
        </w:rPr>
      </w:pPr>
    </w:p>
    <w:p w14:paraId="47873B8F" w14:textId="77777777" w:rsidR="007F42A7" w:rsidRPr="00B140F2" w:rsidRDefault="007F42A7" w:rsidP="00BD4986">
      <w:pPr>
        <w:rPr>
          <w:lang w:val="de-DE"/>
        </w:rPr>
      </w:pPr>
    </w:p>
    <w:p w14:paraId="2A04AF72" w14:textId="77777777" w:rsidR="007F42A7" w:rsidRPr="00B140F2" w:rsidRDefault="007F42A7" w:rsidP="00BD4986">
      <w:pPr>
        <w:rPr>
          <w:lang w:val="de-DE"/>
        </w:rPr>
        <w:sectPr w:rsidR="007F42A7" w:rsidRPr="00B140F2" w:rsidSect="00030D7E">
          <w:headerReference w:type="default" r:id="rId28"/>
          <w:footnotePr>
            <w:numRestart w:val="eachSect"/>
          </w:footnotePr>
          <w:pgSz w:w="11907" w:h="16840" w:code="9"/>
          <w:pgMar w:top="510" w:right="1134" w:bottom="709" w:left="1134" w:header="510" w:footer="680" w:gutter="0"/>
          <w:pgNumType w:start="1"/>
          <w:cols w:space="720"/>
          <w:titlePg/>
        </w:sectPr>
      </w:pPr>
    </w:p>
    <w:p w14:paraId="10CB81BB" w14:textId="3774D612" w:rsidR="00214329" w:rsidRPr="00B140F2" w:rsidRDefault="002006BE" w:rsidP="00BD4986">
      <w:pPr>
        <w:jc w:val="center"/>
        <w:rPr>
          <w:lang w:val="de-DE"/>
        </w:rPr>
      </w:pPr>
      <w:r w:rsidRPr="00B140F2">
        <w:rPr>
          <w:lang w:val="de-DE"/>
        </w:rPr>
        <w:lastRenderedPageBreak/>
        <w:t>ANLAGE</w:t>
      </w:r>
      <w:r w:rsidR="0060633E" w:rsidRPr="00B140F2">
        <w:rPr>
          <w:lang w:val="de-DE"/>
        </w:rPr>
        <w:t xml:space="preserve"> V</w:t>
      </w:r>
    </w:p>
    <w:p w14:paraId="6A3CAA30" w14:textId="77777777" w:rsidR="007F42A7" w:rsidRPr="00B140F2" w:rsidRDefault="007F42A7" w:rsidP="00BD4986">
      <w:pPr>
        <w:jc w:val="center"/>
        <w:rPr>
          <w:lang w:val="de-DE"/>
        </w:rPr>
      </w:pPr>
    </w:p>
    <w:p w14:paraId="3459E9AD" w14:textId="5B6CBFD3" w:rsidR="00214329" w:rsidRPr="00B140F2" w:rsidRDefault="00152EDF" w:rsidP="00BD4986">
      <w:pPr>
        <w:jc w:val="center"/>
        <w:rPr>
          <w:lang w:val="de-DE"/>
        </w:rPr>
      </w:pPr>
      <w:r w:rsidRPr="00B140F2">
        <w:rPr>
          <w:lang w:val="de-DE"/>
        </w:rPr>
        <w:t>Z</w:t>
      </w:r>
      <w:r w:rsidR="00BC1485" w:rsidRPr="00B140F2">
        <w:rPr>
          <w:lang w:val="de-DE"/>
        </w:rPr>
        <w:t>UGANG ZU PFLANZENMATERIAL ZUM ZWECK DER VERWALTUNG VON SORTENSAMMLUNGEN UND DER DUS-PRÜFUNG</w:t>
      </w:r>
    </w:p>
    <w:p w14:paraId="78665D72" w14:textId="77777777" w:rsidR="007F42A7" w:rsidRPr="00B140F2" w:rsidRDefault="007F42A7" w:rsidP="00BD4986">
      <w:pPr>
        <w:jc w:val="center"/>
        <w:rPr>
          <w:lang w:val="de-DE"/>
        </w:rPr>
      </w:pPr>
    </w:p>
    <w:p w14:paraId="0A1BE92F" w14:textId="77777777" w:rsidR="007F42A7" w:rsidRPr="00B140F2" w:rsidRDefault="007F42A7" w:rsidP="00BD4986">
      <w:pPr>
        <w:jc w:val="center"/>
        <w:rPr>
          <w:lang w:val="de-DE"/>
        </w:rPr>
      </w:pPr>
    </w:p>
    <w:p w14:paraId="6BCD72D5" w14:textId="77777777" w:rsidR="00214329" w:rsidRPr="00B140F2" w:rsidRDefault="0060633E" w:rsidP="00BD4986">
      <w:pPr>
        <w:rPr>
          <w:i/>
          <w:lang w:val="de-DE"/>
        </w:rPr>
      </w:pPr>
      <w:r w:rsidRPr="00B140F2">
        <w:rPr>
          <w:i/>
          <w:lang w:val="de-DE"/>
        </w:rPr>
        <w:t>Hintergrund</w:t>
      </w:r>
    </w:p>
    <w:p w14:paraId="43BB4F83" w14:textId="77777777" w:rsidR="007F42A7" w:rsidRPr="00B140F2" w:rsidRDefault="007F42A7" w:rsidP="00BD4986">
      <w:pPr>
        <w:rPr>
          <w:iCs/>
          <w:lang w:val="de-DE"/>
        </w:rPr>
      </w:pPr>
    </w:p>
    <w:p w14:paraId="03E6316E" w14:textId="58F833B8" w:rsidR="00214329" w:rsidRPr="00B140F2" w:rsidRDefault="0060633E" w:rsidP="00BD4986">
      <w:pPr>
        <w:rPr>
          <w:lang w:val="de-DE"/>
        </w:rPr>
      </w:pPr>
      <w:r w:rsidRPr="00E83514">
        <w:rPr>
          <w:lang w:val="de-DE"/>
        </w:rPr>
        <w:fldChar w:fldCharType="begin"/>
      </w:r>
      <w:r w:rsidRPr="00B140F2">
        <w:rPr>
          <w:lang w:val="de-DE"/>
        </w:rPr>
        <w:instrText xml:space="preserve"> LISTNUM  LegalDefault \l 1 \s 1 </w:instrText>
      </w:r>
      <w:r w:rsidRPr="00E83514">
        <w:rPr>
          <w:lang w:val="de-DE"/>
        </w:rPr>
        <w:fldChar w:fldCharType="end"/>
      </w:r>
      <w:r w:rsidRPr="00B140F2">
        <w:rPr>
          <w:lang w:val="de-DE"/>
        </w:rPr>
        <w:tab/>
        <w:t>Der TC</w:t>
      </w:r>
      <w:r w:rsidRPr="00E83514">
        <w:rPr>
          <w:rStyle w:val="FootnoteReference"/>
          <w:lang w:val="de-DE"/>
        </w:rPr>
        <w:footnoteReference w:id="18"/>
      </w:r>
      <w:r w:rsidRPr="00B140F2">
        <w:rPr>
          <w:lang w:val="de-DE"/>
        </w:rPr>
        <w:t xml:space="preserve"> prüfte auf seiner Tagung im Jahr 2023 den Vorschlag der TWF, eine Anleitung zu den </w:t>
      </w:r>
      <w:r w:rsidRPr="00B140F2">
        <w:rPr>
          <w:rFonts w:eastAsia="Cambria"/>
          <w:lang w:val="de-DE"/>
        </w:rPr>
        <w:t xml:space="preserve">Elementen </w:t>
      </w:r>
      <w:r w:rsidR="00317C70">
        <w:rPr>
          <w:rFonts w:eastAsia="Cambria"/>
          <w:lang w:val="de-DE"/>
        </w:rPr>
        <w:t xml:space="preserve">zur Aufnahme </w:t>
      </w:r>
      <w:r w:rsidRPr="00B140F2">
        <w:rPr>
          <w:rFonts w:eastAsia="Cambria"/>
          <w:lang w:val="de-DE"/>
        </w:rPr>
        <w:t xml:space="preserve">in </w:t>
      </w:r>
      <w:r w:rsidR="00317C70">
        <w:rPr>
          <w:rFonts w:eastAsia="Cambria"/>
          <w:lang w:val="de-DE"/>
        </w:rPr>
        <w:t>Anträge auf Einreichung</w:t>
      </w:r>
      <w:r w:rsidRPr="00B140F2">
        <w:rPr>
          <w:rFonts w:eastAsia="Cambria"/>
          <w:lang w:val="de-DE"/>
        </w:rPr>
        <w:t xml:space="preserve"> von Pflanzenmaterial von Kandidatensorten und allgemein bekannten Sorten zur DUS-Prüfung </w:t>
      </w:r>
      <w:r w:rsidR="00317C70" w:rsidRPr="00B140F2">
        <w:rPr>
          <w:rFonts w:eastAsia="Cambria"/>
          <w:lang w:val="de-DE"/>
        </w:rPr>
        <w:t xml:space="preserve">zu </w:t>
      </w:r>
      <w:r w:rsidR="00317C70" w:rsidRPr="00B140F2">
        <w:rPr>
          <w:lang w:val="de-DE"/>
        </w:rPr>
        <w:t>erarbeiten</w:t>
      </w:r>
      <w:r w:rsidRPr="00B140F2">
        <w:rPr>
          <w:lang w:val="de-DE"/>
        </w:rPr>
        <w:t>.</w:t>
      </w:r>
    </w:p>
    <w:p w14:paraId="3102FE76" w14:textId="77777777" w:rsidR="007F42A7" w:rsidRPr="00B140F2" w:rsidRDefault="007F42A7" w:rsidP="00BD4986">
      <w:pPr>
        <w:rPr>
          <w:lang w:val="de-DE"/>
        </w:rPr>
      </w:pPr>
    </w:p>
    <w:p w14:paraId="5AE8C2DE" w14:textId="726DE836" w:rsidR="00214329" w:rsidRPr="00B140F2" w:rsidRDefault="0060633E" w:rsidP="00BD4986">
      <w:pPr>
        <w:rPr>
          <w:rFonts w:eastAsia="Cambr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Der TC vereinbarte, </w:t>
      </w:r>
      <w:r w:rsidR="00350639" w:rsidRPr="00B140F2">
        <w:rPr>
          <w:lang w:val="de-DE"/>
        </w:rPr>
        <w:t xml:space="preserve">dass </w:t>
      </w:r>
      <w:r w:rsidRPr="00B140F2">
        <w:rPr>
          <w:lang w:val="de-DE"/>
        </w:rPr>
        <w:t xml:space="preserve">es nicht </w:t>
      </w:r>
      <w:r w:rsidR="009400D4">
        <w:rPr>
          <w:lang w:val="de-DE"/>
        </w:rPr>
        <w:t>zweckmäßig</w:t>
      </w:r>
      <w:r w:rsidRPr="00B140F2">
        <w:rPr>
          <w:lang w:val="de-DE"/>
        </w:rPr>
        <w:t xml:space="preserve"> wäre, die vorgeschlagene Anleitung in das Dokument TGP/5, Abschnitt 11 </w:t>
      </w:r>
      <w:r w:rsidR="001C4FD6" w:rsidRPr="00B140F2">
        <w:rPr>
          <w:lang w:val="de-DE"/>
        </w:rPr>
        <w:t>„</w:t>
      </w:r>
      <w:r w:rsidRPr="00B140F2">
        <w:rPr>
          <w:lang w:val="de-DE"/>
        </w:rPr>
        <w:t xml:space="preserve">Beispiele für </w:t>
      </w:r>
      <w:r w:rsidR="006A4239">
        <w:rPr>
          <w:lang w:val="de-DE"/>
        </w:rPr>
        <w:t>Verfahren</w:t>
      </w:r>
      <w:r w:rsidRPr="00B140F2">
        <w:rPr>
          <w:lang w:val="de-DE"/>
        </w:rPr>
        <w:t xml:space="preserve"> und Verträge </w:t>
      </w:r>
      <w:r w:rsidR="006A4239">
        <w:rPr>
          <w:lang w:val="de-DE"/>
        </w:rPr>
        <w:t>bezüglich des</w:t>
      </w:r>
      <w:r w:rsidRPr="00B140F2">
        <w:rPr>
          <w:lang w:val="de-DE"/>
        </w:rPr>
        <w:t xml:space="preserve"> vom Züchter eingereichte</w:t>
      </w:r>
      <w:r w:rsidR="006A4239">
        <w:rPr>
          <w:lang w:val="de-DE"/>
        </w:rPr>
        <w:t>n</w:t>
      </w:r>
      <w:r w:rsidRPr="00B140F2">
        <w:rPr>
          <w:lang w:val="de-DE"/>
        </w:rPr>
        <w:t xml:space="preserve"> Material</w:t>
      </w:r>
      <w:r w:rsidR="004E66BD">
        <w:rPr>
          <w:lang w:val="de-DE"/>
        </w:rPr>
        <w:t>s</w:t>
      </w:r>
      <w:r w:rsidR="001C4FD6" w:rsidRPr="00B140F2">
        <w:rPr>
          <w:lang w:val="de-DE"/>
        </w:rPr>
        <w:t>“</w:t>
      </w:r>
      <w:r w:rsidRPr="00B140F2">
        <w:rPr>
          <w:lang w:val="de-DE"/>
        </w:rPr>
        <w:t>, aufzunehmen.</w:t>
      </w:r>
      <w:r w:rsidR="00FE0BFC" w:rsidRPr="00B140F2">
        <w:rPr>
          <w:lang w:val="de-DE"/>
        </w:rPr>
        <w:t xml:space="preserve"> </w:t>
      </w:r>
      <w:r w:rsidRPr="00B140F2">
        <w:rPr>
          <w:rFonts w:eastAsia="Cambria"/>
          <w:lang w:val="de-DE"/>
        </w:rPr>
        <w:t xml:space="preserve">Der TC vereinbarte, </w:t>
      </w:r>
      <w:r w:rsidR="00350639" w:rsidRPr="00B140F2">
        <w:rPr>
          <w:rFonts w:eastAsia="Cambria"/>
          <w:lang w:val="de-DE"/>
        </w:rPr>
        <w:t xml:space="preserve">dass </w:t>
      </w:r>
      <w:r w:rsidRPr="00B140F2">
        <w:rPr>
          <w:rFonts w:eastAsia="Cambria"/>
          <w:lang w:val="de-DE"/>
        </w:rPr>
        <w:t>ein geeigneter Ort für die Bereitstellung dieser Informationen ermittelt werden sollte und nicht unbedingt in einem TGP-Dokument.</w:t>
      </w:r>
    </w:p>
    <w:p w14:paraId="2E889BDC" w14:textId="77777777" w:rsidR="007F42A7" w:rsidRPr="00B140F2" w:rsidRDefault="007F42A7" w:rsidP="00BD4986">
      <w:pPr>
        <w:rPr>
          <w:lang w:val="de-DE"/>
        </w:rPr>
      </w:pPr>
    </w:p>
    <w:p w14:paraId="49D01F43" w14:textId="503AA93B"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Der TC vereinbarte, die TWP auf ihren Tagungen im Jahr 2024 </w:t>
      </w:r>
      <w:r w:rsidR="00317C70">
        <w:rPr>
          <w:lang w:val="de-DE"/>
        </w:rPr>
        <w:t>zu ersuchen</w:t>
      </w:r>
      <w:r w:rsidRPr="00B140F2">
        <w:rPr>
          <w:lang w:val="de-DE"/>
        </w:rPr>
        <w:t xml:space="preserve">, die </w:t>
      </w:r>
      <w:r w:rsidRPr="00B140F2">
        <w:rPr>
          <w:rFonts w:eastAsia="Cambria"/>
          <w:lang w:val="de-DE"/>
        </w:rPr>
        <w:t>von der TWF vorgeschlagenen</w:t>
      </w:r>
      <w:r w:rsidR="001C4358" w:rsidRPr="00B140F2">
        <w:rPr>
          <w:rFonts w:eastAsia="Cambria"/>
          <w:lang w:val="de-DE"/>
        </w:rPr>
        <w:t xml:space="preserve"> </w:t>
      </w:r>
      <w:r w:rsidRPr="00B140F2">
        <w:rPr>
          <w:lang w:val="de-DE"/>
        </w:rPr>
        <w:t xml:space="preserve">Elemente </w:t>
      </w:r>
      <w:r w:rsidRPr="00B140F2">
        <w:rPr>
          <w:rFonts w:eastAsia="Cambria"/>
          <w:lang w:val="de-DE"/>
        </w:rPr>
        <w:t xml:space="preserve">sowie weitere Erfahrungen und </w:t>
      </w:r>
      <w:r w:rsidR="006A4239">
        <w:rPr>
          <w:rFonts w:eastAsia="Cambria"/>
          <w:lang w:val="de-DE"/>
        </w:rPr>
        <w:t xml:space="preserve">Verfahren </w:t>
      </w:r>
      <w:r w:rsidRPr="00B140F2">
        <w:rPr>
          <w:rFonts w:eastAsia="Cambria"/>
          <w:lang w:val="de-DE"/>
        </w:rPr>
        <w:t xml:space="preserve">zur Anforderung von Pflanzenmaterial von Züchtern wie folgt </w:t>
      </w:r>
      <w:r w:rsidRPr="00B140F2">
        <w:rPr>
          <w:lang w:val="de-DE"/>
        </w:rPr>
        <w:t>zu prüfen</w:t>
      </w:r>
      <w:r w:rsidRPr="00B140F2">
        <w:rPr>
          <w:rFonts w:eastAsia="Cambria"/>
          <w:lang w:val="de-DE"/>
        </w:rPr>
        <w:t>:</w:t>
      </w:r>
    </w:p>
    <w:p w14:paraId="504C2D19" w14:textId="77777777" w:rsidR="007F42A7" w:rsidRPr="00B140F2" w:rsidRDefault="007F42A7" w:rsidP="00BD4986">
      <w:pPr>
        <w:rPr>
          <w:rFonts w:eastAsia="Cambria"/>
          <w:lang w:val="de-DE"/>
        </w:rPr>
      </w:pPr>
    </w:p>
    <w:p w14:paraId="2E11559B" w14:textId="77777777" w:rsidR="003F31E8" w:rsidRPr="00B140F2" w:rsidRDefault="003F31E8" w:rsidP="00BD4986">
      <w:pPr>
        <w:pStyle w:val="ListParagraph"/>
        <w:numPr>
          <w:ilvl w:val="0"/>
          <w:numId w:val="8"/>
        </w:numPr>
        <w:ind w:left="1134" w:hanging="567"/>
        <w:rPr>
          <w:lang w:val="de-DE"/>
        </w:rPr>
      </w:pPr>
      <w:r w:rsidRPr="00B140F2">
        <w:rPr>
          <w:lang w:val="de-DE"/>
        </w:rPr>
        <w:t>Schreiben an den Schutztitelinhaber für die Sorte oder dessen offiziellen Vertreter im Hoheitsgebiet</w:t>
      </w:r>
    </w:p>
    <w:p w14:paraId="6A0DDB25" w14:textId="77777777" w:rsidR="003F31E8" w:rsidRPr="00B140F2" w:rsidRDefault="003F31E8" w:rsidP="00BD4986">
      <w:pPr>
        <w:ind w:left="1134" w:hanging="567"/>
        <w:rPr>
          <w:sz w:val="18"/>
          <w:lang w:val="de-DE"/>
        </w:rPr>
      </w:pPr>
    </w:p>
    <w:p w14:paraId="309D115B" w14:textId="77777777" w:rsidR="003F31E8" w:rsidRPr="00B140F2" w:rsidRDefault="003F31E8" w:rsidP="00BD4986">
      <w:pPr>
        <w:pStyle w:val="ListParagraph"/>
        <w:numPr>
          <w:ilvl w:val="0"/>
          <w:numId w:val="8"/>
        </w:numPr>
        <w:ind w:left="1134" w:hanging="567"/>
        <w:rPr>
          <w:lang w:val="de-DE"/>
        </w:rPr>
      </w:pPr>
      <w:r w:rsidRPr="00B140F2">
        <w:rPr>
          <w:lang w:val="de-DE"/>
        </w:rPr>
        <w:t>Technische Einzelheiten, insbesondere Qualität, Quantität, Datum und Ort der Einreichung. Im Obstsektor muss das Material, soll es die gewünschte Qualität haben, unter Umständen häufig mehr als ein Jahr im Voraus organisiert werden. Die Behörde sollte eine gewisse Flexibilität akzeptieren, was die Bereitstellung des Materials anbelangt.</w:t>
      </w:r>
    </w:p>
    <w:p w14:paraId="14AF8DA7" w14:textId="77777777" w:rsidR="003F31E8" w:rsidRPr="00B140F2" w:rsidRDefault="003F31E8" w:rsidP="00BD4986">
      <w:pPr>
        <w:ind w:left="1134" w:hanging="567"/>
        <w:rPr>
          <w:sz w:val="18"/>
          <w:lang w:val="de-DE"/>
        </w:rPr>
      </w:pPr>
    </w:p>
    <w:p w14:paraId="2DD9FEFC" w14:textId="33C96C14" w:rsidR="003F31E8" w:rsidRPr="00E83514" w:rsidRDefault="003F31E8" w:rsidP="00BD4986">
      <w:pPr>
        <w:pStyle w:val="ListParagraph"/>
        <w:numPr>
          <w:ilvl w:val="0"/>
          <w:numId w:val="8"/>
        </w:numPr>
        <w:ind w:left="1134" w:hanging="567"/>
        <w:rPr>
          <w:lang w:val="de-DE"/>
        </w:rPr>
      </w:pPr>
      <w:r w:rsidRPr="00E83514">
        <w:rPr>
          <w:lang w:val="de-DE"/>
        </w:rPr>
        <w:t xml:space="preserve">Detaillierte </w:t>
      </w:r>
      <w:r w:rsidR="005B75F4" w:rsidRPr="00E83514">
        <w:rPr>
          <w:lang w:val="de-DE"/>
        </w:rPr>
        <w:t>Erklärung</w:t>
      </w:r>
      <w:r w:rsidRPr="00E83514">
        <w:rPr>
          <w:lang w:val="de-DE"/>
        </w:rPr>
        <w:t>en betreffend den Zweck</w:t>
      </w:r>
    </w:p>
    <w:p w14:paraId="1F17CFAF" w14:textId="77777777" w:rsidR="003F31E8" w:rsidRPr="00E83514" w:rsidRDefault="003F31E8" w:rsidP="00BD4986">
      <w:pPr>
        <w:rPr>
          <w:sz w:val="16"/>
          <w:lang w:val="de-DE"/>
        </w:rPr>
      </w:pPr>
    </w:p>
    <w:p w14:paraId="6F8720A6" w14:textId="77777777" w:rsidR="003F31E8" w:rsidRPr="00E83514" w:rsidRDefault="003F31E8" w:rsidP="00BD4986">
      <w:pPr>
        <w:pStyle w:val="ListParagraph"/>
        <w:numPr>
          <w:ilvl w:val="0"/>
          <w:numId w:val="10"/>
        </w:numPr>
        <w:ind w:left="1701" w:hanging="567"/>
        <w:rPr>
          <w:lang w:val="de-DE"/>
        </w:rPr>
      </w:pPr>
      <w:r w:rsidRPr="00E83514">
        <w:rPr>
          <w:lang w:val="de-DE"/>
        </w:rPr>
        <w:t>Sortensammlung</w:t>
      </w:r>
    </w:p>
    <w:p w14:paraId="2DFC635D" w14:textId="77777777" w:rsidR="003F31E8" w:rsidRPr="00B140F2" w:rsidRDefault="003F31E8" w:rsidP="00BD4986">
      <w:pPr>
        <w:pStyle w:val="ListParagraph"/>
        <w:numPr>
          <w:ilvl w:val="0"/>
          <w:numId w:val="10"/>
        </w:numPr>
        <w:ind w:left="1701" w:hanging="567"/>
        <w:rPr>
          <w:lang w:val="de-DE"/>
        </w:rPr>
      </w:pPr>
      <w:r w:rsidRPr="00B140F2">
        <w:rPr>
          <w:lang w:val="de-DE"/>
        </w:rPr>
        <w:t>Seite-an-Seite-Vergleich mit einer potenziell ähnlichen Kandidatensorte</w:t>
      </w:r>
    </w:p>
    <w:p w14:paraId="467C9F5B" w14:textId="77777777" w:rsidR="003F31E8" w:rsidRPr="00B140F2" w:rsidRDefault="003F31E8" w:rsidP="00BD4986">
      <w:pPr>
        <w:rPr>
          <w:sz w:val="18"/>
          <w:lang w:val="de-DE"/>
        </w:rPr>
      </w:pPr>
    </w:p>
    <w:p w14:paraId="35FA4538" w14:textId="77777777" w:rsidR="003F31E8" w:rsidRPr="00B140F2" w:rsidRDefault="003F31E8" w:rsidP="00BD4986">
      <w:pPr>
        <w:pStyle w:val="ListParagraph"/>
        <w:numPr>
          <w:ilvl w:val="0"/>
          <w:numId w:val="11"/>
        </w:numPr>
        <w:ind w:left="1134" w:hanging="567"/>
        <w:rPr>
          <w:lang w:val="de-DE"/>
        </w:rPr>
      </w:pPr>
      <w:r w:rsidRPr="00B140F2">
        <w:rPr>
          <w:lang w:val="de-DE"/>
        </w:rPr>
        <w:t>Was geschieht mit dem Material während und nach der Prüfung, einschließlich DNS-Probenentnahme und DNS-Profile, und was nicht</w:t>
      </w:r>
    </w:p>
    <w:p w14:paraId="5D3E430B" w14:textId="77777777" w:rsidR="003F31E8" w:rsidRPr="00B140F2" w:rsidRDefault="003F31E8" w:rsidP="00BD4986">
      <w:pPr>
        <w:rPr>
          <w:sz w:val="16"/>
          <w:lang w:val="de-DE"/>
        </w:rPr>
      </w:pPr>
    </w:p>
    <w:p w14:paraId="389EE4B3" w14:textId="77777777" w:rsidR="003F31E8" w:rsidRPr="00B140F2" w:rsidRDefault="003F31E8" w:rsidP="00BD4986">
      <w:pPr>
        <w:pStyle w:val="ListParagraph"/>
        <w:numPr>
          <w:ilvl w:val="0"/>
          <w:numId w:val="12"/>
        </w:numPr>
        <w:ind w:left="1701" w:hanging="567"/>
        <w:rPr>
          <w:lang w:val="de-DE"/>
        </w:rPr>
      </w:pPr>
      <w:r w:rsidRPr="00B140F2">
        <w:rPr>
          <w:lang w:val="de-DE"/>
        </w:rPr>
        <w:t>Verantwortlich für die Durchsetzung der Politik ist die Sortenschutzbehörde</w:t>
      </w:r>
    </w:p>
    <w:p w14:paraId="42B8697D" w14:textId="77777777" w:rsidR="003F31E8" w:rsidRPr="00B140F2" w:rsidRDefault="003F31E8" w:rsidP="00BD4986">
      <w:pPr>
        <w:pStyle w:val="ListParagraph"/>
        <w:numPr>
          <w:ilvl w:val="0"/>
          <w:numId w:val="12"/>
        </w:numPr>
        <w:ind w:left="1701" w:hanging="567"/>
        <w:rPr>
          <w:lang w:val="de-DE"/>
        </w:rPr>
      </w:pPr>
      <w:r w:rsidRPr="00B140F2">
        <w:rPr>
          <w:lang w:val="de-DE"/>
        </w:rPr>
        <w:t>Auslösender Zweck ist die DUS-Prüfung</w:t>
      </w:r>
    </w:p>
    <w:p w14:paraId="37B3BEAC" w14:textId="77777777" w:rsidR="003F31E8" w:rsidRPr="00B140F2" w:rsidRDefault="003F31E8" w:rsidP="00BD4986">
      <w:pPr>
        <w:pStyle w:val="ListParagraph"/>
        <w:numPr>
          <w:ilvl w:val="0"/>
          <w:numId w:val="12"/>
        </w:numPr>
        <w:ind w:left="1701" w:hanging="567"/>
        <w:rPr>
          <w:lang w:val="de-DE"/>
        </w:rPr>
      </w:pPr>
      <w:r w:rsidRPr="00B140F2">
        <w:rPr>
          <w:lang w:val="de-DE"/>
        </w:rPr>
        <w:t>Physischer Ort des Materials, Möglichkeit des Zugangs für den Inhaber, Beschreibung der gebotenen Sorgfalt und Gegebenheiten beim Anbau</w:t>
      </w:r>
    </w:p>
    <w:p w14:paraId="05A6934C" w14:textId="77777777" w:rsidR="003F31E8" w:rsidRPr="00E83514" w:rsidRDefault="003F31E8" w:rsidP="00BD4986">
      <w:pPr>
        <w:pStyle w:val="ListParagraph"/>
        <w:numPr>
          <w:ilvl w:val="0"/>
          <w:numId w:val="12"/>
        </w:numPr>
        <w:ind w:left="1701" w:hanging="567"/>
        <w:rPr>
          <w:lang w:val="de-DE"/>
        </w:rPr>
      </w:pPr>
      <w:r w:rsidRPr="00E83514">
        <w:rPr>
          <w:lang w:val="de-DE"/>
        </w:rPr>
        <w:t>Inhaberschaft an dem Material</w:t>
      </w:r>
    </w:p>
    <w:p w14:paraId="626D70AC" w14:textId="5143F8EE" w:rsidR="003F31E8" w:rsidRPr="00B140F2" w:rsidRDefault="005B75F4" w:rsidP="00BD4986">
      <w:pPr>
        <w:pStyle w:val="ListParagraph"/>
        <w:numPr>
          <w:ilvl w:val="0"/>
          <w:numId w:val="12"/>
        </w:numPr>
        <w:ind w:left="1701" w:hanging="567"/>
        <w:rPr>
          <w:lang w:val="de-DE"/>
        </w:rPr>
      </w:pPr>
      <w:r w:rsidRPr="00B140F2">
        <w:rPr>
          <w:lang w:val="de-DE"/>
        </w:rPr>
        <w:t>Klarstellung</w:t>
      </w:r>
      <w:r w:rsidR="003F31E8" w:rsidRPr="00B140F2">
        <w:rPr>
          <w:lang w:val="de-DE"/>
        </w:rPr>
        <w:t xml:space="preserve"> möglicher anderer Verwendungen, z. B. andere offizielle Zwecke, und welche</w:t>
      </w:r>
    </w:p>
    <w:p w14:paraId="1B885AD1" w14:textId="77777777" w:rsidR="003F31E8" w:rsidRPr="00B140F2" w:rsidRDefault="003F31E8" w:rsidP="00BD4986">
      <w:pPr>
        <w:pStyle w:val="ListParagraph"/>
        <w:numPr>
          <w:ilvl w:val="0"/>
          <w:numId w:val="12"/>
        </w:numPr>
        <w:ind w:left="1701" w:hanging="567"/>
        <w:rPr>
          <w:lang w:val="de-DE"/>
        </w:rPr>
      </w:pPr>
      <w:r w:rsidRPr="00B140F2">
        <w:rPr>
          <w:lang w:val="de-DE"/>
        </w:rPr>
        <w:t>Umstände, unter denen das Material an eine andere Partei/Behörde abgegeben werden darf</w:t>
      </w:r>
    </w:p>
    <w:p w14:paraId="5910BFB8" w14:textId="37B1AF1C" w:rsidR="003F31E8" w:rsidRPr="00B140F2" w:rsidRDefault="005B75F4" w:rsidP="00BD4986">
      <w:pPr>
        <w:pStyle w:val="ListParagraph"/>
        <w:numPr>
          <w:ilvl w:val="0"/>
          <w:numId w:val="12"/>
        </w:numPr>
        <w:ind w:left="1701" w:hanging="567"/>
        <w:rPr>
          <w:lang w:val="de-DE"/>
        </w:rPr>
      </w:pPr>
      <w:r w:rsidRPr="00B140F2">
        <w:rPr>
          <w:lang w:val="de-DE"/>
        </w:rPr>
        <w:t>Klarstellung</w:t>
      </w:r>
      <w:r w:rsidR="003F31E8" w:rsidRPr="00B140F2">
        <w:rPr>
          <w:lang w:val="de-DE"/>
        </w:rPr>
        <w:t xml:space="preserve"> der Situationen, die der Zustimmung des Züchters bedürfen bzw. nicht</w:t>
      </w:r>
    </w:p>
    <w:p w14:paraId="7297CDBB" w14:textId="77777777" w:rsidR="003F31E8" w:rsidRPr="00B140F2" w:rsidRDefault="003F31E8" w:rsidP="00BD4986">
      <w:pPr>
        <w:pStyle w:val="ListParagraph"/>
        <w:numPr>
          <w:ilvl w:val="0"/>
          <w:numId w:val="12"/>
        </w:numPr>
        <w:ind w:left="1701" w:hanging="567"/>
        <w:rPr>
          <w:lang w:val="de-DE"/>
        </w:rPr>
      </w:pPr>
      <w:r w:rsidRPr="00B140F2">
        <w:rPr>
          <w:lang w:val="de-DE"/>
        </w:rPr>
        <w:t>Wer hat Zugang zu dem Material</w:t>
      </w:r>
    </w:p>
    <w:p w14:paraId="44BC819C" w14:textId="35832566" w:rsidR="003F31E8" w:rsidRPr="00B140F2" w:rsidRDefault="003F31E8" w:rsidP="00BD4986">
      <w:pPr>
        <w:pStyle w:val="ListParagraph"/>
        <w:numPr>
          <w:ilvl w:val="0"/>
          <w:numId w:val="12"/>
        </w:numPr>
        <w:ind w:left="1701" w:hanging="567"/>
        <w:rPr>
          <w:lang w:val="de-DE"/>
        </w:rPr>
      </w:pPr>
      <w:r w:rsidRPr="00B140F2">
        <w:rPr>
          <w:lang w:val="de-DE"/>
        </w:rPr>
        <w:t>Welche Informationen werden der Öffentlichkeit verpflichtend bekannt gemacht werden müssen (Fotoaufnahmen, Beschreibungen)</w:t>
      </w:r>
      <w:r w:rsidR="00317C70">
        <w:rPr>
          <w:lang w:val="de-DE"/>
        </w:rPr>
        <w:t>.</w:t>
      </w:r>
    </w:p>
    <w:p w14:paraId="3CF50361" w14:textId="77777777" w:rsidR="007F42A7" w:rsidRPr="00B140F2" w:rsidRDefault="007F42A7" w:rsidP="00BD4986">
      <w:pPr>
        <w:pStyle w:val="EndnoteText"/>
        <w:rPr>
          <w:lang w:val="de-DE"/>
        </w:rPr>
      </w:pPr>
    </w:p>
    <w:p w14:paraId="1E8F82B2" w14:textId="77777777" w:rsidR="003E1342" w:rsidRPr="00B140F2" w:rsidRDefault="003E1342" w:rsidP="00BD4986">
      <w:pPr>
        <w:pStyle w:val="EndnoteText"/>
        <w:rPr>
          <w:lang w:val="de-DE"/>
        </w:rPr>
      </w:pPr>
    </w:p>
    <w:p w14:paraId="0295B412" w14:textId="5345AE43" w:rsidR="00214329" w:rsidRPr="00B140F2" w:rsidRDefault="007D62E7" w:rsidP="00BD4986">
      <w:pPr>
        <w:rPr>
          <w:i/>
          <w:lang w:val="de-DE"/>
        </w:rPr>
      </w:pPr>
      <w:r w:rsidRPr="00B140F2">
        <w:rPr>
          <w:i/>
          <w:lang w:val="de-DE"/>
        </w:rPr>
        <w:t>Bemerkungen</w:t>
      </w:r>
      <w:r w:rsidR="0060633E" w:rsidRPr="00B140F2">
        <w:rPr>
          <w:i/>
          <w:lang w:val="de-DE"/>
        </w:rPr>
        <w:t xml:space="preserve"> der</w:t>
      </w:r>
      <w:r w:rsidR="001F146A" w:rsidRPr="00B140F2">
        <w:rPr>
          <w:i/>
          <w:lang w:val="de-DE"/>
        </w:rPr>
        <w:t xml:space="preserve"> Technischen Arbeitsgruppen </w:t>
      </w:r>
      <w:r w:rsidR="0060633E" w:rsidRPr="00B140F2">
        <w:rPr>
          <w:i/>
          <w:lang w:val="de-DE"/>
        </w:rPr>
        <w:t>im Jahr 2024</w:t>
      </w:r>
    </w:p>
    <w:p w14:paraId="4429BC01" w14:textId="77777777" w:rsidR="007F42A7" w:rsidRPr="00B140F2" w:rsidRDefault="007F42A7" w:rsidP="00BD4986">
      <w:pPr>
        <w:keepNext/>
        <w:rPr>
          <w:lang w:val="de-DE"/>
        </w:rPr>
      </w:pPr>
    </w:p>
    <w:p w14:paraId="101E4551" w14:textId="31F38455"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Die TWV, die TWO</w:t>
      </w:r>
      <w:r w:rsidR="00123BB5" w:rsidRPr="00B140F2">
        <w:rPr>
          <w:rFonts w:eastAsiaTheme="minorEastAsia"/>
          <w:lang w:val="de-DE"/>
        </w:rPr>
        <w:t xml:space="preserve">, die </w:t>
      </w:r>
      <w:r w:rsidRPr="00B140F2">
        <w:rPr>
          <w:rFonts w:eastAsiaTheme="minorEastAsia"/>
          <w:lang w:val="de-DE"/>
        </w:rPr>
        <w:t xml:space="preserve">TWA </w:t>
      </w:r>
      <w:r w:rsidR="00123BB5" w:rsidRPr="00B140F2">
        <w:rPr>
          <w:rFonts w:eastAsiaTheme="minorEastAsia"/>
          <w:lang w:val="de-DE"/>
        </w:rPr>
        <w:t xml:space="preserve">und die TWF </w:t>
      </w:r>
      <w:r w:rsidRPr="00B140F2">
        <w:rPr>
          <w:rFonts w:eastAsiaTheme="minorEastAsia"/>
          <w:lang w:val="de-DE"/>
        </w:rPr>
        <w:t xml:space="preserve">prüften die vorgeschlagenen </w:t>
      </w:r>
      <w:r w:rsidRPr="00B140F2">
        <w:rPr>
          <w:rFonts w:eastAsia="Cambria"/>
          <w:lang w:val="de-DE"/>
        </w:rPr>
        <w:t xml:space="preserve">Elemente zur Aufnahme in die </w:t>
      </w:r>
      <w:r w:rsidR="005F78BF">
        <w:rPr>
          <w:rFonts w:eastAsia="Cambria"/>
          <w:lang w:val="de-DE"/>
        </w:rPr>
        <w:t>Anträge auf Einreichung</w:t>
      </w:r>
      <w:r w:rsidRPr="00B140F2">
        <w:rPr>
          <w:rFonts w:eastAsia="Cambria"/>
          <w:lang w:val="de-DE"/>
        </w:rPr>
        <w:t xml:space="preserve"> von Pflanzenmaterial von Kandidatensorten und allgemein bekannten Sorten für die DUS-Prüfung, wie in </w:t>
      </w:r>
      <w:r w:rsidR="00E15D42" w:rsidRPr="00B140F2">
        <w:rPr>
          <w:rFonts w:eastAsiaTheme="minorEastAsia"/>
          <w:lang w:val="de-DE"/>
        </w:rPr>
        <w:t>Absatz 3</w:t>
      </w:r>
      <w:r w:rsidR="00E20002" w:rsidRPr="00B140F2">
        <w:rPr>
          <w:rFonts w:eastAsiaTheme="minorEastAsia"/>
          <w:lang w:val="de-DE"/>
        </w:rPr>
        <w:t xml:space="preserve"> vorstehend </w:t>
      </w:r>
      <w:r w:rsidRPr="00B140F2">
        <w:rPr>
          <w:rFonts w:eastAsia="Cambria"/>
          <w:lang w:val="de-DE"/>
        </w:rPr>
        <w:t>dargelegt.</w:t>
      </w:r>
    </w:p>
    <w:p w14:paraId="7455DB76" w14:textId="77777777" w:rsidR="007F42A7" w:rsidRPr="00B140F2" w:rsidRDefault="007F42A7" w:rsidP="00BD4986">
      <w:pPr>
        <w:rPr>
          <w:rFonts w:eastAsiaTheme="minorEastAsia"/>
          <w:lang w:val="de-DE"/>
        </w:rPr>
      </w:pPr>
    </w:p>
    <w:p w14:paraId="1CD1300F" w14:textId="77777777" w:rsidR="00214329" w:rsidRPr="00B140F2" w:rsidRDefault="0060633E" w:rsidP="00BD4986">
      <w:pPr>
        <w:rPr>
          <w:rFonts w:eastAsia="Cambr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 xml:space="preserve">Die TWV nahm </w:t>
      </w:r>
      <w:r w:rsidRPr="00B140F2">
        <w:rPr>
          <w:rFonts w:eastAsia="Cambria"/>
          <w:lang w:val="de-DE"/>
        </w:rPr>
        <w:t xml:space="preserve">die berichteten Erfahrungen mit einem Musterantrag für die Einreichung von Pflanzenmaterial von Pflanzenzüchtern auf der Grundlage bestehender Regelungen in der Europäischen Union und Frankreich </w:t>
      </w:r>
      <w:r w:rsidRPr="00B140F2">
        <w:rPr>
          <w:rFonts w:eastAsiaTheme="minorEastAsia"/>
          <w:lang w:val="de-DE"/>
        </w:rPr>
        <w:t>zur Kenntnis</w:t>
      </w:r>
      <w:r w:rsidRPr="00B140F2">
        <w:rPr>
          <w:rFonts w:eastAsia="Cambria"/>
          <w:lang w:val="de-DE"/>
        </w:rPr>
        <w:t xml:space="preserve">. </w:t>
      </w:r>
    </w:p>
    <w:p w14:paraId="202D8266" w14:textId="77777777" w:rsidR="007F42A7" w:rsidRPr="00B140F2" w:rsidRDefault="007F42A7" w:rsidP="00BD4986">
      <w:pPr>
        <w:rPr>
          <w:rFonts w:eastAsia="Cambria"/>
          <w:lang w:val="de-DE"/>
        </w:rPr>
      </w:pPr>
    </w:p>
    <w:p w14:paraId="0CF03975" w14:textId="39546024" w:rsidR="00214329" w:rsidRPr="00B140F2" w:rsidRDefault="0060633E" w:rsidP="00BD4986">
      <w:pPr>
        <w:rPr>
          <w:rFonts w:eastAsia="Cambria"/>
          <w:lang w:val="de-DE"/>
        </w:rPr>
      </w:pPr>
      <w:r w:rsidRPr="00E83514">
        <w:rPr>
          <w:lang w:val="de-DE"/>
        </w:rPr>
        <w:lastRenderedPageBreak/>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Cambria"/>
          <w:lang w:val="de-DE"/>
        </w:rPr>
        <w:t xml:space="preserve">Die TWV vereinbarte, </w:t>
      </w:r>
      <w:r w:rsidR="00350639" w:rsidRPr="00B140F2">
        <w:rPr>
          <w:rFonts w:eastAsia="Cambria"/>
          <w:lang w:val="de-DE"/>
        </w:rPr>
        <w:t xml:space="preserve">dass </w:t>
      </w:r>
      <w:r w:rsidRPr="00B140F2">
        <w:rPr>
          <w:rFonts w:eastAsia="Cambria"/>
          <w:lang w:val="de-DE"/>
        </w:rPr>
        <w:t>Informationen über die Gründe für das Gesuch und die beabsichtigte Verwendung des Pflanzenmaterials dessen Bereitstellung durch die Züchter erleichtern könnten.</w:t>
      </w:r>
      <w:r w:rsidR="00FE0BFC" w:rsidRPr="00B140F2">
        <w:rPr>
          <w:rFonts w:eastAsia="Cambria"/>
          <w:lang w:val="de-DE"/>
        </w:rPr>
        <w:t xml:space="preserve"> </w:t>
      </w:r>
      <w:r w:rsidRPr="00B140F2">
        <w:rPr>
          <w:rFonts w:eastAsia="Cambria"/>
          <w:lang w:val="de-DE"/>
        </w:rPr>
        <w:t xml:space="preserve">Die TWV vereinbarte, um weitere Informationen über Erfahrungen mit </w:t>
      </w:r>
      <w:r w:rsidR="00317C70">
        <w:rPr>
          <w:rFonts w:eastAsia="Cambria"/>
          <w:lang w:val="de-DE"/>
        </w:rPr>
        <w:t>Anträgen auf Einreichung</w:t>
      </w:r>
      <w:r w:rsidRPr="00B140F2">
        <w:rPr>
          <w:rFonts w:eastAsia="Cambria"/>
          <w:lang w:val="de-DE"/>
        </w:rPr>
        <w:t xml:space="preserve"> von Pflanzenmaterial </w:t>
      </w:r>
      <w:r w:rsidR="00483F26">
        <w:rPr>
          <w:rFonts w:eastAsia="Cambria"/>
          <w:lang w:val="de-DE"/>
        </w:rPr>
        <w:t>zur Prüfung</w:t>
      </w:r>
      <w:r w:rsidRPr="00B140F2">
        <w:rPr>
          <w:rFonts w:eastAsia="Cambria"/>
          <w:lang w:val="de-DE"/>
        </w:rPr>
        <w:t xml:space="preserve"> auf künftigen Tagungen</w:t>
      </w:r>
      <w:r w:rsidR="00C12107">
        <w:rPr>
          <w:rFonts w:eastAsia="Cambria"/>
          <w:lang w:val="de-DE"/>
        </w:rPr>
        <w:t xml:space="preserve"> </w:t>
      </w:r>
      <w:r w:rsidR="00C12107" w:rsidRPr="00B140F2">
        <w:rPr>
          <w:rFonts w:eastAsia="Cambria"/>
          <w:lang w:val="de-DE"/>
        </w:rPr>
        <w:t>zu ersuchen</w:t>
      </w:r>
      <w:r w:rsidRPr="00B140F2">
        <w:rPr>
          <w:rFonts w:eastAsia="Cambria"/>
          <w:lang w:val="de-DE"/>
        </w:rPr>
        <w:t>.</w:t>
      </w:r>
      <w:r w:rsidR="00FE0BFC" w:rsidRPr="00B140F2">
        <w:rPr>
          <w:rFonts w:eastAsia="Cambria"/>
          <w:lang w:val="de-DE"/>
        </w:rPr>
        <w:t xml:space="preserve"> </w:t>
      </w:r>
    </w:p>
    <w:p w14:paraId="76D8EC08" w14:textId="77777777" w:rsidR="007F42A7" w:rsidRPr="00B140F2" w:rsidRDefault="007F42A7" w:rsidP="00BD4986">
      <w:pPr>
        <w:rPr>
          <w:rFonts w:eastAsia="Cambria"/>
          <w:lang w:val="de-DE"/>
        </w:rPr>
      </w:pPr>
    </w:p>
    <w:p w14:paraId="7AE3E763" w14:textId="212EADAE"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Cambria"/>
          <w:lang w:val="de-DE"/>
        </w:rPr>
        <w:t xml:space="preserve">Die TWV nahm die Berichte aus Deutschland und Japan über das Vorhandensein besonderer Anforderungen aus innerstaatlichen Vorschriften zur Kenntnis und vereinbarte, </w:t>
      </w:r>
      <w:r w:rsidR="00350639" w:rsidRPr="00B140F2">
        <w:rPr>
          <w:rFonts w:eastAsia="Cambria"/>
          <w:lang w:val="de-DE"/>
        </w:rPr>
        <w:t xml:space="preserve">dass </w:t>
      </w:r>
      <w:r w:rsidRPr="00B140F2">
        <w:rPr>
          <w:rFonts w:eastAsia="Cambria"/>
          <w:lang w:val="de-DE"/>
        </w:rPr>
        <w:t xml:space="preserve">es in diesem Stadium nicht </w:t>
      </w:r>
      <w:r w:rsidR="009400D4">
        <w:rPr>
          <w:rFonts w:eastAsia="Cambria"/>
          <w:lang w:val="de-DE"/>
        </w:rPr>
        <w:t>zweckmäßig</w:t>
      </w:r>
      <w:r w:rsidRPr="00B140F2">
        <w:rPr>
          <w:rFonts w:eastAsia="Cambria"/>
          <w:lang w:val="de-DE"/>
        </w:rPr>
        <w:t xml:space="preserve"> wäre, eine Anleitung zu dieser Angelegenheit zu erarbeiten.</w:t>
      </w:r>
    </w:p>
    <w:p w14:paraId="1430C42B" w14:textId="77777777" w:rsidR="007F42A7" w:rsidRPr="00B140F2" w:rsidRDefault="007F42A7" w:rsidP="00BD4986">
      <w:pPr>
        <w:rPr>
          <w:lang w:val="de-DE"/>
        </w:rPr>
      </w:pPr>
    </w:p>
    <w:p w14:paraId="2DE25B32" w14:textId="16C9AC6D"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t xml:space="preserve">Die TWO </w:t>
      </w:r>
      <w:r w:rsidR="00BF498A">
        <w:rPr>
          <w:lang w:val="de-DE"/>
        </w:rPr>
        <w:t>vereinbarte</w:t>
      </w:r>
      <w:r w:rsidRPr="00B140F2">
        <w:rPr>
          <w:lang w:val="de-DE"/>
        </w:rPr>
        <w:t xml:space="preserve">, </w:t>
      </w:r>
      <w:r w:rsidR="00350639" w:rsidRPr="00B140F2">
        <w:rPr>
          <w:lang w:val="de-DE"/>
        </w:rPr>
        <w:t xml:space="preserve">dass </w:t>
      </w:r>
      <w:r w:rsidRPr="00B140F2">
        <w:rPr>
          <w:lang w:val="de-DE"/>
        </w:rPr>
        <w:t xml:space="preserve">die in dem Dokument enthaltenen Elemente nützliche Beispiele für den Fall seien, </w:t>
      </w:r>
      <w:r w:rsidR="00350639" w:rsidRPr="00B140F2">
        <w:rPr>
          <w:lang w:val="de-DE"/>
        </w:rPr>
        <w:t xml:space="preserve">dass </w:t>
      </w:r>
      <w:r w:rsidRPr="00B140F2">
        <w:rPr>
          <w:lang w:val="de-DE"/>
        </w:rPr>
        <w:t xml:space="preserve">es schwierig sei, Pflanzenmaterial für die Prüfung von Zierpflanzen zu erhalten. </w:t>
      </w:r>
    </w:p>
    <w:p w14:paraId="5FD16222" w14:textId="77777777" w:rsidR="007F42A7" w:rsidRPr="00B140F2" w:rsidRDefault="007F42A7" w:rsidP="00BD4986">
      <w:pPr>
        <w:rPr>
          <w:rFonts w:cs="Arial"/>
          <w:color w:val="333333"/>
          <w:shd w:val="clear" w:color="auto" w:fill="FFFFFF"/>
          <w:lang w:val="de-DE"/>
        </w:rPr>
      </w:pPr>
    </w:p>
    <w:p w14:paraId="7EAE8B70" w14:textId="587D8ED6" w:rsidR="00214329" w:rsidRPr="00B140F2" w:rsidRDefault="0060633E" w:rsidP="00BD4986">
      <w:pPr>
        <w:rPr>
          <w:rFonts w:cs="Arial"/>
          <w:color w:val="333333"/>
          <w:shd w:val="clear" w:color="auto" w:fill="FFFFFF"/>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cs="Arial"/>
          <w:color w:val="333333"/>
          <w:shd w:val="clear" w:color="auto" w:fill="FFFFFF"/>
          <w:lang w:val="de-DE"/>
        </w:rPr>
        <w:t xml:space="preserve">Die TWO nahm die von der Europäischen Union und Deutschland berichteten Erfahrungen mit </w:t>
      </w:r>
      <w:r w:rsidR="00C12107" w:rsidRPr="00C12107">
        <w:rPr>
          <w:rFonts w:cs="Arial"/>
          <w:color w:val="333333"/>
          <w:shd w:val="clear" w:color="auto" w:fill="FFFFFF"/>
          <w:lang w:val="de-DE"/>
        </w:rPr>
        <w:t>Anträge</w:t>
      </w:r>
      <w:r w:rsidR="00C12107">
        <w:rPr>
          <w:rFonts w:cs="Arial"/>
          <w:color w:val="333333"/>
          <w:shd w:val="clear" w:color="auto" w:fill="FFFFFF"/>
          <w:lang w:val="de-DE"/>
        </w:rPr>
        <w:t>n</w:t>
      </w:r>
      <w:r w:rsidR="00C12107" w:rsidRPr="00C12107">
        <w:rPr>
          <w:rFonts w:cs="Arial"/>
          <w:color w:val="333333"/>
          <w:shd w:val="clear" w:color="auto" w:fill="FFFFFF"/>
          <w:lang w:val="de-DE"/>
        </w:rPr>
        <w:t xml:space="preserve"> auf </w:t>
      </w:r>
      <w:r w:rsidRPr="00B140F2">
        <w:rPr>
          <w:rFonts w:cs="Arial"/>
          <w:color w:val="333333"/>
          <w:shd w:val="clear" w:color="auto" w:fill="FFFFFF"/>
          <w:lang w:val="de-DE"/>
        </w:rPr>
        <w:t xml:space="preserve">Einreichung von Pflanzenmaterial von Kandidatensorten und allgemein bekannten Sorten zur Kenntnis und vereinbarte, </w:t>
      </w:r>
      <w:r w:rsidR="00350639" w:rsidRPr="00B140F2">
        <w:rPr>
          <w:rFonts w:cs="Arial"/>
          <w:color w:val="333333"/>
          <w:shd w:val="clear" w:color="auto" w:fill="FFFFFF"/>
          <w:lang w:val="de-DE"/>
        </w:rPr>
        <w:t xml:space="preserve">dass </w:t>
      </w:r>
      <w:r w:rsidRPr="00B140F2">
        <w:rPr>
          <w:rFonts w:cs="Arial"/>
          <w:color w:val="333333"/>
          <w:shd w:val="clear" w:color="auto" w:fill="FFFFFF"/>
          <w:lang w:val="de-DE"/>
        </w:rPr>
        <w:t>keine weitere Anleitung zu diesem Thema ausgearbeitet werden müsse.</w:t>
      </w:r>
    </w:p>
    <w:p w14:paraId="092846C5" w14:textId="77777777" w:rsidR="007F42A7" w:rsidRPr="00B140F2" w:rsidRDefault="007F42A7" w:rsidP="00BD4986">
      <w:pPr>
        <w:rPr>
          <w:lang w:val="de-DE"/>
        </w:rPr>
      </w:pPr>
    </w:p>
    <w:p w14:paraId="692FA970" w14:textId="641A2F79" w:rsidR="00214329" w:rsidRPr="00B140F2" w:rsidRDefault="0060633E" w:rsidP="00BD4986">
      <w:pPr>
        <w:rPr>
          <w:rFonts w:eastAsiaTheme="minorEastAsia"/>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Pr="00B140F2">
        <w:rPr>
          <w:rFonts w:eastAsiaTheme="minorEastAsia"/>
          <w:lang w:val="de-DE"/>
        </w:rPr>
        <w:t xml:space="preserve">Die TWA stimmte der TWO zu, </w:t>
      </w:r>
      <w:r w:rsidR="00350639" w:rsidRPr="00B140F2">
        <w:rPr>
          <w:rFonts w:eastAsiaTheme="minorEastAsia"/>
          <w:lang w:val="de-DE"/>
        </w:rPr>
        <w:t xml:space="preserve">dass </w:t>
      </w:r>
      <w:r w:rsidRPr="00B140F2">
        <w:rPr>
          <w:rFonts w:eastAsiaTheme="minorEastAsia"/>
          <w:lang w:val="de-DE"/>
        </w:rPr>
        <w:t xml:space="preserve">es nicht notwendig sei, weitere Anleitung zu diesem Thema </w:t>
      </w:r>
      <w:r w:rsidR="00483F26">
        <w:rPr>
          <w:rFonts w:eastAsiaTheme="minorEastAsia"/>
          <w:lang w:val="de-DE"/>
        </w:rPr>
        <w:t>aus</w:t>
      </w:r>
      <w:r w:rsidRPr="00B140F2">
        <w:rPr>
          <w:rFonts w:eastAsiaTheme="minorEastAsia"/>
          <w:lang w:val="de-DE"/>
        </w:rPr>
        <w:t>zuarbeiten.</w:t>
      </w:r>
    </w:p>
    <w:p w14:paraId="64841E87" w14:textId="77777777" w:rsidR="007F42A7" w:rsidRPr="00B140F2" w:rsidRDefault="007F42A7" w:rsidP="00BD4986">
      <w:pPr>
        <w:rPr>
          <w:lang w:val="de-DE"/>
        </w:rPr>
      </w:pPr>
    </w:p>
    <w:p w14:paraId="3B941003" w14:textId="5B9C1C82" w:rsidR="00214329" w:rsidRPr="00B140F2" w:rsidRDefault="0060633E" w:rsidP="00BD4986">
      <w:pPr>
        <w:rPr>
          <w:lang w:val="de-DE"/>
        </w:rPr>
      </w:pPr>
      <w:r w:rsidRPr="00E83514">
        <w:rPr>
          <w:lang w:val="de-DE"/>
        </w:rPr>
        <w:fldChar w:fldCharType="begin"/>
      </w:r>
      <w:r w:rsidRPr="00B140F2">
        <w:rPr>
          <w:lang w:val="de-DE"/>
        </w:rPr>
        <w:instrText xml:space="preserve"> LISTNUM  LegalDefault \l 1 </w:instrText>
      </w:r>
      <w:r w:rsidRPr="00E83514">
        <w:rPr>
          <w:lang w:val="de-DE"/>
        </w:rPr>
        <w:fldChar w:fldCharType="end"/>
      </w:r>
      <w:r w:rsidRPr="00B140F2">
        <w:rPr>
          <w:lang w:val="de-DE"/>
        </w:rPr>
        <w:tab/>
      </w:r>
      <w:r w:rsidR="00123BB5" w:rsidRPr="00B140F2">
        <w:rPr>
          <w:rFonts w:eastAsiaTheme="minorEastAsia"/>
          <w:lang w:val="de-DE"/>
        </w:rPr>
        <w:t xml:space="preserve">Die TWF vereinbarte, um weitere Informationen über Erfahrungen mit </w:t>
      </w:r>
      <w:r w:rsidR="00317C70">
        <w:rPr>
          <w:rFonts w:eastAsiaTheme="minorEastAsia"/>
          <w:lang w:val="de-DE"/>
        </w:rPr>
        <w:t>Anträgen auf Einreichung</w:t>
      </w:r>
      <w:r w:rsidR="00123BB5" w:rsidRPr="00B140F2">
        <w:rPr>
          <w:rFonts w:eastAsiaTheme="minorEastAsia"/>
          <w:lang w:val="de-DE"/>
        </w:rPr>
        <w:t xml:space="preserve"> von Pflanzenmaterial zu ersuchen, über die auf künftigen Tagungen berichtet werden soll.</w:t>
      </w:r>
    </w:p>
    <w:p w14:paraId="3A371D4E" w14:textId="77777777" w:rsidR="007F42A7" w:rsidRPr="00B140F2" w:rsidRDefault="007F42A7" w:rsidP="00BD4986">
      <w:pPr>
        <w:rPr>
          <w:lang w:val="de-DE"/>
        </w:rPr>
      </w:pPr>
    </w:p>
    <w:p w14:paraId="6F6C077C" w14:textId="77777777" w:rsidR="007F42A7" w:rsidRPr="00B140F2" w:rsidRDefault="007F42A7" w:rsidP="00BD4986">
      <w:pPr>
        <w:rPr>
          <w:lang w:val="de-DE"/>
        </w:rPr>
      </w:pPr>
    </w:p>
    <w:p w14:paraId="1E680B32" w14:textId="77777777" w:rsidR="00FD5225" w:rsidRPr="00B140F2" w:rsidRDefault="00FD5225" w:rsidP="00BD4986">
      <w:pPr>
        <w:rPr>
          <w:lang w:val="de-DE"/>
        </w:rPr>
      </w:pPr>
    </w:p>
    <w:p w14:paraId="18824D6A" w14:textId="35D5D651" w:rsidR="00214329" w:rsidRPr="00B140F2" w:rsidRDefault="0060633E" w:rsidP="00BD4986">
      <w:pPr>
        <w:jc w:val="right"/>
        <w:rPr>
          <w:lang w:val="de-DE"/>
        </w:rPr>
      </w:pPr>
      <w:r w:rsidRPr="00B140F2">
        <w:rPr>
          <w:lang w:val="de-DE"/>
        </w:rPr>
        <w:t>[</w:t>
      </w:r>
      <w:r w:rsidR="002006BE" w:rsidRPr="00B140F2">
        <w:rPr>
          <w:lang w:val="de-DE"/>
        </w:rPr>
        <w:t>Anlage</w:t>
      </w:r>
      <w:r w:rsidR="00892ED7" w:rsidRPr="00B140F2">
        <w:rPr>
          <w:lang w:val="de-DE"/>
        </w:rPr>
        <w:t xml:space="preserve"> VI folgt</w:t>
      </w:r>
      <w:r w:rsidRPr="00B140F2">
        <w:rPr>
          <w:lang w:val="de-DE"/>
        </w:rPr>
        <w:t>]</w:t>
      </w:r>
    </w:p>
    <w:p w14:paraId="59E0A396" w14:textId="77777777" w:rsidR="00C47AAD" w:rsidRPr="00B140F2" w:rsidRDefault="00C47AAD" w:rsidP="00BD4986">
      <w:pPr>
        <w:rPr>
          <w:lang w:val="de-DE"/>
        </w:rPr>
      </w:pPr>
    </w:p>
    <w:p w14:paraId="19F0A7A8" w14:textId="77777777" w:rsidR="00C47AAD" w:rsidRPr="00B140F2" w:rsidRDefault="00C47AAD" w:rsidP="00BD4986">
      <w:pPr>
        <w:rPr>
          <w:lang w:val="de-DE"/>
        </w:rPr>
      </w:pPr>
    </w:p>
    <w:p w14:paraId="405C9CAA" w14:textId="77777777" w:rsidR="00C47AAD" w:rsidRPr="00B140F2" w:rsidRDefault="00C47AAD" w:rsidP="00BD4986">
      <w:pPr>
        <w:rPr>
          <w:lang w:val="de-DE"/>
        </w:rPr>
        <w:sectPr w:rsidR="00C47AAD" w:rsidRPr="00B140F2" w:rsidSect="00030D7E">
          <w:headerReference w:type="default" r:id="rId29"/>
          <w:footerReference w:type="even" r:id="rId30"/>
          <w:footerReference w:type="default" r:id="rId31"/>
          <w:footerReference w:type="first" r:id="rId32"/>
          <w:footnotePr>
            <w:numRestart w:val="eachSect"/>
          </w:footnotePr>
          <w:pgSz w:w="11907" w:h="16840" w:code="9"/>
          <w:pgMar w:top="510" w:right="1134" w:bottom="709" w:left="1134" w:header="510" w:footer="680" w:gutter="0"/>
          <w:pgNumType w:start="1"/>
          <w:cols w:space="720"/>
          <w:titlePg/>
        </w:sectPr>
      </w:pPr>
    </w:p>
    <w:p w14:paraId="3BF30E49" w14:textId="73CA71D5" w:rsidR="00214329" w:rsidRPr="00B140F2" w:rsidRDefault="002006BE" w:rsidP="00BD4986">
      <w:pPr>
        <w:jc w:val="center"/>
        <w:rPr>
          <w:lang w:val="de-DE"/>
        </w:rPr>
      </w:pPr>
      <w:r w:rsidRPr="00B140F2">
        <w:rPr>
          <w:lang w:val="de-DE"/>
        </w:rPr>
        <w:lastRenderedPageBreak/>
        <w:t>ANLAGE</w:t>
      </w:r>
      <w:r w:rsidR="0060633E" w:rsidRPr="00B140F2">
        <w:rPr>
          <w:lang w:val="de-DE"/>
        </w:rPr>
        <w:t xml:space="preserve"> VI</w:t>
      </w:r>
    </w:p>
    <w:p w14:paraId="7677C8E7" w14:textId="77777777" w:rsidR="00C47AAD" w:rsidRPr="00B140F2" w:rsidRDefault="00C47AAD" w:rsidP="00BD4986">
      <w:pPr>
        <w:jc w:val="center"/>
        <w:rPr>
          <w:lang w:val="de-DE"/>
        </w:rPr>
      </w:pPr>
    </w:p>
    <w:p w14:paraId="6C634392" w14:textId="46F161D1" w:rsidR="00214329" w:rsidRPr="00B140F2" w:rsidRDefault="004775A5" w:rsidP="00BD4986">
      <w:pPr>
        <w:jc w:val="center"/>
        <w:rPr>
          <w:lang w:val="de-DE"/>
        </w:rPr>
      </w:pPr>
      <w:r w:rsidRPr="00B140F2">
        <w:rPr>
          <w:lang w:val="de-DE"/>
        </w:rPr>
        <w:t xml:space="preserve">ÄNDERUNGSVORSCHLÄGE FÜR </w:t>
      </w:r>
    </w:p>
    <w:p w14:paraId="01554DE2" w14:textId="608401A2" w:rsidR="00214329" w:rsidRPr="00B140F2" w:rsidRDefault="004775A5" w:rsidP="00BD4986">
      <w:pPr>
        <w:jc w:val="center"/>
        <w:rPr>
          <w:lang w:val="de-DE"/>
        </w:rPr>
      </w:pPr>
      <w:r w:rsidRPr="00B140F2">
        <w:rPr>
          <w:lang w:val="de-DE"/>
        </w:rPr>
        <w:t>DOKUMENT UPOV/INF/6/6 „ANLEITUNG ZUR AUSARBEITUNG VON RECHTSVORSCHRIFTEN AUFGRUND DER AKTE VON 1991 DES UPOV-ÜBEREINKOMMENS“ (DOKUMENT UPOV/INF/6/7)</w:t>
      </w:r>
    </w:p>
    <w:p w14:paraId="40997513" w14:textId="77777777" w:rsidR="00C47AAD" w:rsidRPr="00B140F2" w:rsidRDefault="00C47AAD" w:rsidP="00BD4986">
      <w:pPr>
        <w:jc w:val="center"/>
        <w:rPr>
          <w:lang w:val="de-DE"/>
        </w:rPr>
      </w:pPr>
    </w:p>
    <w:p w14:paraId="5A2D268E" w14:textId="77777777" w:rsidR="00C47AAD" w:rsidRPr="00B140F2" w:rsidRDefault="00C47AAD" w:rsidP="00BD4986">
      <w:pPr>
        <w:jc w:val="center"/>
        <w:rPr>
          <w:lang w:val="de-DE"/>
        </w:rPr>
      </w:pPr>
    </w:p>
    <w:p w14:paraId="112CF3ED" w14:textId="77777777" w:rsidR="00B8066A" w:rsidRPr="00B140F2" w:rsidRDefault="00B8066A" w:rsidP="00BD4986">
      <w:pPr>
        <w:jc w:val="center"/>
        <w:rPr>
          <w:lang w:val="de-DE"/>
        </w:rPr>
      </w:pPr>
    </w:p>
    <w:p w14:paraId="04967284" w14:textId="7BC37008" w:rsidR="00214329" w:rsidRPr="00BB07F4" w:rsidRDefault="007D62E7" w:rsidP="00BD4986">
      <w:pPr>
        <w:rPr>
          <w:spacing w:val="-4"/>
          <w:u w:val="single"/>
          <w:lang w:val="de-DE"/>
        </w:rPr>
      </w:pPr>
      <w:r w:rsidRPr="00BB07F4">
        <w:rPr>
          <w:rFonts w:cs="Arial"/>
          <w:spacing w:val="-4"/>
          <w:u w:val="single"/>
          <w:lang w:val="de-DE"/>
        </w:rPr>
        <w:t>BEMERKUNGEN</w:t>
      </w:r>
      <w:r w:rsidR="0060633E" w:rsidRPr="00BB07F4">
        <w:rPr>
          <w:rFonts w:cs="Arial"/>
          <w:spacing w:val="-4"/>
          <w:u w:val="single"/>
          <w:lang w:val="de-DE"/>
        </w:rPr>
        <w:t xml:space="preserve"> ZU ARTIKEL 14 ABSATZ 1 </w:t>
      </w:r>
      <w:r w:rsidR="00900325">
        <w:rPr>
          <w:rFonts w:cs="Arial"/>
          <w:spacing w:val="-4"/>
          <w:u w:val="single"/>
          <w:lang w:val="de-DE"/>
        </w:rPr>
        <w:t xml:space="preserve"> </w:t>
      </w:r>
      <w:r w:rsidR="0060633E" w:rsidRPr="00BB07F4">
        <w:rPr>
          <w:rFonts w:cs="Arial"/>
          <w:spacing w:val="-4"/>
          <w:u w:val="single"/>
          <w:lang w:val="de-DE"/>
        </w:rPr>
        <w:t xml:space="preserve">HANDLUNGEN </w:t>
      </w:r>
      <w:r w:rsidR="004270B1" w:rsidRPr="00BB07F4">
        <w:rPr>
          <w:rFonts w:cs="Arial"/>
          <w:spacing w:val="-4"/>
          <w:u w:val="single"/>
          <w:lang w:val="de-DE"/>
        </w:rPr>
        <w:t>IN BEZUG</w:t>
      </w:r>
      <w:r w:rsidR="0060633E" w:rsidRPr="00BB07F4">
        <w:rPr>
          <w:rFonts w:cs="Arial"/>
          <w:spacing w:val="-4"/>
          <w:u w:val="single"/>
          <w:lang w:val="de-DE"/>
        </w:rPr>
        <w:t xml:space="preserve"> AUF DAS </w:t>
      </w:r>
      <w:r w:rsidR="00483F26" w:rsidRPr="00BB07F4">
        <w:rPr>
          <w:rFonts w:cs="Arial"/>
          <w:spacing w:val="-4"/>
          <w:u w:val="single"/>
          <w:lang w:val="de-DE"/>
        </w:rPr>
        <w:t>VERMEHRUNGSMATERIAL</w:t>
      </w:r>
    </w:p>
    <w:p w14:paraId="1AB3D3E6" w14:textId="77777777" w:rsidR="00B8066A" w:rsidRPr="00BB07F4" w:rsidRDefault="00B8066A" w:rsidP="00BD4986">
      <w:pPr>
        <w:rPr>
          <w:spacing w:val="-4"/>
          <w:lang w:val="de-DE"/>
        </w:rPr>
      </w:pPr>
    </w:p>
    <w:p w14:paraId="7FD4DCE4" w14:textId="27B9D697" w:rsidR="00214329" w:rsidRPr="00B140F2" w:rsidRDefault="0060633E" w:rsidP="00BD4986">
      <w:pPr>
        <w:rPr>
          <w:lang w:val="de-DE"/>
        </w:rPr>
      </w:pPr>
      <w:r w:rsidRPr="00B140F2">
        <w:rPr>
          <w:lang w:val="de-DE"/>
        </w:rPr>
        <w:t xml:space="preserve">Vorbehaltlich der Billigung der </w:t>
      </w:r>
      <w:r w:rsidR="00E911F3" w:rsidRPr="00B140F2">
        <w:rPr>
          <w:lang w:val="de-DE"/>
        </w:rPr>
        <w:t>Überarbeitung des Dokuments</w:t>
      </w:r>
      <w:r w:rsidRPr="00B140F2">
        <w:rPr>
          <w:lang w:val="de-DE"/>
        </w:rPr>
        <w:t xml:space="preserve"> </w:t>
      </w:r>
      <w:r w:rsidRPr="00B140F2">
        <w:rPr>
          <w:rFonts w:eastAsia="Arial" w:cs="Arial"/>
          <w:lang w:val="de-DE"/>
        </w:rPr>
        <w:t xml:space="preserve">UPOV/EXN/PPM/1 </w:t>
      </w:r>
      <w:r w:rsidR="001C4FD6" w:rsidRPr="00B140F2">
        <w:rPr>
          <w:rFonts w:eastAsia="Arial" w:cs="Arial"/>
          <w:lang w:val="de-DE"/>
        </w:rPr>
        <w:t>„</w:t>
      </w:r>
      <w:r w:rsidRPr="00B140F2">
        <w:rPr>
          <w:rFonts w:eastAsia="Arial" w:cs="Arial"/>
          <w:lang w:val="de-DE"/>
        </w:rPr>
        <w:t>Erläuterungen zu Vermehrungsmaterial nach dem UPOV-Übereinkommen</w:t>
      </w:r>
      <w:r w:rsidR="001C4FD6" w:rsidRPr="00B140F2">
        <w:rPr>
          <w:rFonts w:eastAsia="Arial" w:cs="Arial"/>
          <w:lang w:val="de-DE"/>
        </w:rPr>
        <w:t>“</w:t>
      </w:r>
      <w:r w:rsidRPr="00B140F2">
        <w:rPr>
          <w:rFonts w:eastAsia="Arial" w:cs="Arial"/>
          <w:lang w:val="de-DE"/>
        </w:rPr>
        <w:t xml:space="preserve"> </w:t>
      </w:r>
      <w:r w:rsidRPr="00B140F2">
        <w:rPr>
          <w:lang w:val="de-DE"/>
        </w:rPr>
        <w:t xml:space="preserve">(in Dokument </w:t>
      </w:r>
      <w:r w:rsidRPr="00B140F2">
        <w:rPr>
          <w:rFonts w:eastAsia="Arial" w:cs="Arial"/>
          <w:lang w:val="de-DE"/>
        </w:rPr>
        <w:t>UPOV/EXN/PPM/2 Draft 1</w:t>
      </w:r>
      <w:r w:rsidR="00483F26">
        <w:rPr>
          <w:rFonts w:eastAsia="Arial" w:cs="Arial"/>
          <w:lang w:val="de-DE"/>
        </w:rPr>
        <w:t xml:space="preserve"> enthalten</w:t>
      </w:r>
      <w:r w:rsidRPr="00B140F2">
        <w:rPr>
          <w:lang w:val="de-DE"/>
        </w:rPr>
        <w:t xml:space="preserve">) durch den Rat auf seiner </w:t>
      </w:r>
      <w:r w:rsidRPr="00B140F2">
        <w:rPr>
          <w:rFonts w:eastAsia="Arial" w:cs="Arial"/>
          <w:lang w:val="de-DE"/>
        </w:rPr>
        <w:t xml:space="preserve">achtundfünfzigsten </w:t>
      </w:r>
      <w:r w:rsidRPr="00B140F2">
        <w:rPr>
          <w:lang w:val="de-DE"/>
        </w:rPr>
        <w:t xml:space="preserve">ordentlichen Tagung, </w:t>
      </w:r>
      <w:r w:rsidR="001D2E0C">
        <w:rPr>
          <w:lang w:val="de-DE"/>
        </w:rPr>
        <w:t xml:space="preserve">Ersetzung des Wortlauts </w:t>
      </w:r>
      <w:r w:rsidRPr="00B140F2">
        <w:rPr>
          <w:lang w:val="de-DE"/>
        </w:rPr>
        <w:t xml:space="preserve">der </w:t>
      </w:r>
      <w:r w:rsidR="001C4FD6" w:rsidRPr="00B140F2">
        <w:rPr>
          <w:lang w:val="de-DE"/>
        </w:rPr>
        <w:t>„</w:t>
      </w:r>
      <w:r w:rsidR="007D62E7" w:rsidRPr="00B140F2">
        <w:rPr>
          <w:lang w:val="de-DE"/>
        </w:rPr>
        <w:t>BEMERKUNGEN</w:t>
      </w:r>
      <w:r w:rsidRPr="00B140F2">
        <w:rPr>
          <w:lang w:val="de-DE"/>
        </w:rPr>
        <w:t xml:space="preserve"> ZU ARTIKEL 14 Absatz 1</w:t>
      </w:r>
      <w:r w:rsidR="001C4FD6" w:rsidRPr="00B140F2">
        <w:rPr>
          <w:lang w:val="de-DE"/>
        </w:rPr>
        <w:t>“</w:t>
      </w:r>
      <w:r w:rsidRPr="00B140F2">
        <w:rPr>
          <w:lang w:val="de-DE"/>
        </w:rPr>
        <w:t xml:space="preserve"> durch den neuen Wortlaut von Dokument UPOV/EXN/PPM/2.</w:t>
      </w:r>
    </w:p>
    <w:p w14:paraId="242B1BD4" w14:textId="77777777" w:rsidR="00B8066A" w:rsidRPr="00B140F2" w:rsidRDefault="00B8066A" w:rsidP="00BD4986">
      <w:pPr>
        <w:rPr>
          <w:lang w:val="de-DE"/>
        </w:rPr>
      </w:pPr>
    </w:p>
    <w:p w14:paraId="24D75761" w14:textId="77777777" w:rsidR="00B8066A" w:rsidRPr="00B140F2" w:rsidRDefault="00B8066A" w:rsidP="00BD4986">
      <w:pPr>
        <w:rPr>
          <w:lang w:val="de-DE"/>
        </w:rPr>
      </w:pPr>
    </w:p>
    <w:p w14:paraId="743FE306" w14:textId="13ADEDFA" w:rsidR="00214329" w:rsidRPr="00B140F2" w:rsidRDefault="007D62E7" w:rsidP="00BD4986">
      <w:pPr>
        <w:rPr>
          <w:u w:val="single"/>
          <w:lang w:val="de-DE"/>
        </w:rPr>
      </w:pPr>
      <w:r w:rsidRPr="00B140F2">
        <w:rPr>
          <w:rFonts w:cs="Arial"/>
          <w:u w:val="single"/>
          <w:lang w:val="de-DE"/>
        </w:rPr>
        <w:t>BEMERKUNGEN</w:t>
      </w:r>
      <w:r w:rsidR="0060633E" w:rsidRPr="00B140F2">
        <w:rPr>
          <w:rFonts w:cs="Arial"/>
          <w:u w:val="single"/>
          <w:lang w:val="de-DE"/>
        </w:rPr>
        <w:t xml:space="preserve"> ZU ARTIKEL </w:t>
      </w:r>
      <w:r w:rsidR="007A7B5A" w:rsidRPr="00B140F2">
        <w:rPr>
          <w:rFonts w:cs="Arial"/>
          <w:u w:val="single"/>
          <w:lang w:val="de-DE"/>
        </w:rPr>
        <w:t xml:space="preserve">14 </w:t>
      </w:r>
      <w:r w:rsidR="00204E23" w:rsidRPr="00B140F2">
        <w:rPr>
          <w:rFonts w:cs="Arial"/>
          <w:u w:val="single"/>
          <w:lang w:val="de-DE"/>
        </w:rPr>
        <w:t xml:space="preserve">ABSATZ 5 </w:t>
      </w:r>
      <w:r w:rsidR="00900325">
        <w:rPr>
          <w:rFonts w:cs="Arial"/>
          <w:u w:val="single"/>
          <w:lang w:val="de-DE"/>
        </w:rPr>
        <w:t xml:space="preserve"> </w:t>
      </w:r>
      <w:r w:rsidR="004C548C" w:rsidRPr="00B140F2">
        <w:rPr>
          <w:rFonts w:cs="Arial"/>
          <w:u w:val="single"/>
          <w:lang w:val="de-DE"/>
        </w:rPr>
        <w:t>IM WESENTLICHEN ABGELEITETE UND BESTIMMTE ANDERE SORTEN</w:t>
      </w:r>
    </w:p>
    <w:p w14:paraId="51F565A0" w14:textId="77777777" w:rsidR="008D3651" w:rsidRPr="00B140F2" w:rsidRDefault="008D3651" w:rsidP="00BD4986">
      <w:pPr>
        <w:rPr>
          <w:lang w:val="de-DE"/>
        </w:rPr>
      </w:pPr>
    </w:p>
    <w:p w14:paraId="4E487C1F" w14:textId="302ED31D" w:rsidR="00214329" w:rsidRPr="00B140F2" w:rsidRDefault="001D2E0C" w:rsidP="00BD4986">
      <w:pPr>
        <w:rPr>
          <w:lang w:val="de-DE"/>
        </w:rPr>
      </w:pPr>
      <w:r>
        <w:rPr>
          <w:lang w:val="de-DE"/>
        </w:rPr>
        <w:t xml:space="preserve">Ersetzung des Wortlauts </w:t>
      </w:r>
      <w:r w:rsidR="008446A1" w:rsidRPr="00B140F2">
        <w:rPr>
          <w:lang w:val="de-DE"/>
        </w:rPr>
        <w:t xml:space="preserve">der </w:t>
      </w:r>
      <w:r w:rsidR="001C4FD6" w:rsidRPr="00B140F2">
        <w:rPr>
          <w:lang w:val="de-DE"/>
        </w:rPr>
        <w:t>„</w:t>
      </w:r>
      <w:r w:rsidR="007D62E7" w:rsidRPr="00B140F2">
        <w:rPr>
          <w:lang w:val="de-DE"/>
        </w:rPr>
        <w:t>BEMERKUNGEN</w:t>
      </w:r>
      <w:r w:rsidR="008446A1" w:rsidRPr="00B140F2">
        <w:rPr>
          <w:lang w:val="de-DE"/>
        </w:rPr>
        <w:t xml:space="preserve"> </w:t>
      </w:r>
      <w:r w:rsidR="0060633E" w:rsidRPr="00B140F2">
        <w:rPr>
          <w:rFonts w:cs="Arial"/>
          <w:lang w:val="de-DE"/>
        </w:rPr>
        <w:t>ZU ARTIKEL 14</w:t>
      </w:r>
      <w:r w:rsidR="004E66BD">
        <w:rPr>
          <w:rFonts w:cs="Arial"/>
          <w:lang w:val="de-DE"/>
        </w:rPr>
        <w:t xml:space="preserve"> Absatz </w:t>
      </w:r>
      <w:r w:rsidR="0060633E" w:rsidRPr="00B140F2">
        <w:rPr>
          <w:rFonts w:cs="Arial"/>
          <w:lang w:val="de-DE"/>
        </w:rPr>
        <w:t>5</w:t>
      </w:r>
      <w:r w:rsidR="001C4FD6" w:rsidRPr="00B140F2">
        <w:rPr>
          <w:lang w:val="de-DE"/>
        </w:rPr>
        <w:t>“</w:t>
      </w:r>
      <w:r w:rsidR="008446A1" w:rsidRPr="00B140F2">
        <w:rPr>
          <w:lang w:val="de-DE"/>
        </w:rPr>
        <w:t xml:space="preserve"> durch den neuen </w:t>
      </w:r>
      <w:r w:rsidR="008D3651" w:rsidRPr="00B140F2">
        <w:rPr>
          <w:lang w:val="de-DE"/>
        </w:rPr>
        <w:t xml:space="preserve">vom Rat auf seiner </w:t>
      </w:r>
      <w:r w:rsidR="00224648" w:rsidRPr="00B140F2">
        <w:rPr>
          <w:rFonts w:eastAsia="Arial" w:cs="Arial"/>
          <w:lang w:val="de-DE"/>
        </w:rPr>
        <w:t xml:space="preserve">siebenundfünfzigsten </w:t>
      </w:r>
      <w:r w:rsidR="008D3651" w:rsidRPr="00B140F2">
        <w:rPr>
          <w:lang w:val="de-DE"/>
        </w:rPr>
        <w:t xml:space="preserve">ordentlichen Tagung </w:t>
      </w:r>
      <w:r w:rsidR="0060633E" w:rsidRPr="00B140F2">
        <w:rPr>
          <w:lang w:val="de-DE"/>
        </w:rPr>
        <w:t xml:space="preserve">gebilligten </w:t>
      </w:r>
      <w:r w:rsidR="00483F26" w:rsidRPr="00B140F2">
        <w:rPr>
          <w:lang w:val="de-DE"/>
        </w:rPr>
        <w:t xml:space="preserve">Wortlaut des </w:t>
      </w:r>
      <w:r w:rsidR="008446A1" w:rsidRPr="00B140F2">
        <w:rPr>
          <w:lang w:val="de-DE"/>
        </w:rPr>
        <w:t>Dokuments UPOV/EXN/EDV/3</w:t>
      </w:r>
      <w:r w:rsidR="0060633E" w:rsidRPr="00B140F2">
        <w:rPr>
          <w:lang w:val="de-DE"/>
        </w:rPr>
        <w:t>.</w:t>
      </w:r>
    </w:p>
    <w:p w14:paraId="4DCE98AA" w14:textId="77777777" w:rsidR="008D3651" w:rsidRPr="00B140F2" w:rsidRDefault="008D3651" w:rsidP="00BD4986">
      <w:pPr>
        <w:rPr>
          <w:lang w:val="de-DE"/>
        </w:rPr>
      </w:pPr>
    </w:p>
    <w:p w14:paraId="09C37EB6" w14:textId="77777777" w:rsidR="008D3651" w:rsidRPr="00B140F2" w:rsidRDefault="008D3651" w:rsidP="00BD4986">
      <w:pPr>
        <w:rPr>
          <w:lang w:val="de-DE"/>
        </w:rPr>
      </w:pPr>
    </w:p>
    <w:p w14:paraId="2BE0D480" w14:textId="128F4818" w:rsidR="00214329" w:rsidRPr="00B140F2" w:rsidRDefault="007D62E7" w:rsidP="00BD4986">
      <w:pPr>
        <w:rPr>
          <w:u w:val="single"/>
          <w:lang w:val="de-DE"/>
        </w:rPr>
      </w:pPr>
      <w:r w:rsidRPr="00B140F2">
        <w:rPr>
          <w:u w:val="single"/>
          <w:lang w:val="de-DE"/>
        </w:rPr>
        <w:t>BEMERKUNGEN</w:t>
      </w:r>
      <w:r w:rsidR="0060633E" w:rsidRPr="00B140F2">
        <w:rPr>
          <w:u w:val="single"/>
          <w:lang w:val="de-DE"/>
        </w:rPr>
        <w:t xml:space="preserve"> ZU ARTIKEL 20 </w:t>
      </w:r>
      <w:r w:rsidR="00900325">
        <w:rPr>
          <w:u w:val="single"/>
          <w:lang w:val="de-DE"/>
        </w:rPr>
        <w:t xml:space="preserve"> </w:t>
      </w:r>
      <w:r w:rsidR="0060633E" w:rsidRPr="00B140F2">
        <w:rPr>
          <w:u w:val="single"/>
          <w:lang w:val="de-DE"/>
        </w:rPr>
        <w:t>SORTENBEZEICHNUNGEN</w:t>
      </w:r>
    </w:p>
    <w:p w14:paraId="6B44F7CE" w14:textId="77777777" w:rsidR="008D3651" w:rsidRPr="00B140F2" w:rsidRDefault="008D3651" w:rsidP="00BD4986">
      <w:pPr>
        <w:rPr>
          <w:lang w:val="de-DE"/>
        </w:rPr>
      </w:pPr>
    </w:p>
    <w:p w14:paraId="4FE39AB6" w14:textId="4752ED24" w:rsidR="00214329" w:rsidRPr="00B140F2" w:rsidRDefault="0060633E" w:rsidP="00BD4986">
      <w:pPr>
        <w:rPr>
          <w:lang w:val="de-DE"/>
        </w:rPr>
      </w:pPr>
      <w:r w:rsidRPr="00B140F2">
        <w:rPr>
          <w:lang w:val="de-DE"/>
        </w:rPr>
        <w:t xml:space="preserve">Vorbehaltlich der Billigung der Überarbeitung des Dokuments </w:t>
      </w:r>
      <w:r w:rsidR="00AD56AF" w:rsidRPr="00B140F2">
        <w:rPr>
          <w:rFonts w:eastAsia="Arial" w:cs="Arial"/>
          <w:lang w:val="de-DE"/>
        </w:rPr>
        <w:t>UPOV/EXN/DEN/</w:t>
      </w:r>
      <w:r w:rsidR="009E67FA">
        <w:rPr>
          <w:rFonts w:eastAsia="Arial" w:cs="Arial"/>
          <w:lang w:val="de-DE"/>
        </w:rPr>
        <w:t>3</w:t>
      </w:r>
      <w:r w:rsidR="00AD56AF" w:rsidRPr="00B140F2">
        <w:rPr>
          <w:rFonts w:eastAsia="Arial" w:cs="Arial"/>
          <w:lang w:val="de-DE"/>
        </w:rPr>
        <w:t xml:space="preserve"> </w:t>
      </w:r>
      <w:r w:rsidR="001C4FD6" w:rsidRPr="00B140F2">
        <w:rPr>
          <w:rFonts w:eastAsia="Arial" w:cs="Arial"/>
          <w:lang w:val="de-DE"/>
        </w:rPr>
        <w:t>„</w:t>
      </w:r>
      <w:r w:rsidR="00AD56AF" w:rsidRPr="00B140F2">
        <w:rPr>
          <w:rFonts w:eastAsia="Arial" w:cs="Arial"/>
          <w:lang w:val="de-DE"/>
        </w:rPr>
        <w:t>Erläuterungen zu Sortenbezeichnungen nach dem UPOV-Übereinkommen</w:t>
      </w:r>
      <w:r w:rsidR="001C4FD6" w:rsidRPr="00B140F2">
        <w:rPr>
          <w:rFonts w:eastAsia="Arial" w:cs="Arial"/>
          <w:lang w:val="de-DE"/>
        </w:rPr>
        <w:t>“</w:t>
      </w:r>
      <w:r w:rsidR="00AD56AF" w:rsidRPr="00B140F2">
        <w:rPr>
          <w:rFonts w:eastAsia="Arial" w:cs="Arial"/>
          <w:lang w:val="de-DE"/>
        </w:rPr>
        <w:t xml:space="preserve"> </w:t>
      </w:r>
      <w:r w:rsidRPr="00B140F2">
        <w:rPr>
          <w:lang w:val="de-DE"/>
        </w:rPr>
        <w:t xml:space="preserve">(in Anlage I dieses Dokuments enthalten) durch den Rat auf seiner </w:t>
      </w:r>
      <w:r w:rsidR="00627E5C" w:rsidRPr="00B140F2">
        <w:rPr>
          <w:rFonts w:eastAsia="Arial" w:cs="Arial"/>
          <w:lang w:val="de-DE"/>
        </w:rPr>
        <w:t xml:space="preserve">achtundfünfzigsten </w:t>
      </w:r>
      <w:r w:rsidRPr="00B140F2">
        <w:rPr>
          <w:lang w:val="de-DE"/>
        </w:rPr>
        <w:t xml:space="preserve">ordentlichen Tagung, </w:t>
      </w:r>
      <w:r w:rsidR="001D2E0C">
        <w:rPr>
          <w:lang w:val="de-DE"/>
        </w:rPr>
        <w:t xml:space="preserve">Ersetzung des Wortlauts </w:t>
      </w:r>
      <w:r w:rsidR="00396F19" w:rsidRPr="00B140F2">
        <w:rPr>
          <w:lang w:val="de-DE"/>
        </w:rPr>
        <w:t xml:space="preserve">der </w:t>
      </w:r>
      <w:r w:rsidR="001C4FD6" w:rsidRPr="00B140F2">
        <w:rPr>
          <w:lang w:val="de-DE"/>
        </w:rPr>
        <w:t>„</w:t>
      </w:r>
      <w:r w:rsidR="007D62E7" w:rsidRPr="00B140F2">
        <w:rPr>
          <w:lang w:val="de-DE"/>
        </w:rPr>
        <w:t>BEMERKUNGEN</w:t>
      </w:r>
      <w:r w:rsidR="00396F19" w:rsidRPr="00B140F2">
        <w:rPr>
          <w:lang w:val="de-DE"/>
        </w:rPr>
        <w:t xml:space="preserve"> ZU ARTIKEL 20</w:t>
      </w:r>
      <w:r w:rsidR="001C4FD6" w:rsidRPr="00B140F2">
        <w:rPr>
          <w:lang w:val="de-DE"/>
        </w:rPr>
        <w:t>“</w:t>
      </w:r>
      <w:r w:rsidR="00396F19" w:rsidRPr="00B140F2">
        <w:rPr>
          <w:lang w:val="de-DE"/>
        </w:rPr>
        <w:t xml:space="preserve"> durch den neuen Wortlaut des Dokuments UPOV/EXN/DEN/</w:t>
      </w:r>
      <w:r w:rsidR="009E67FA">
        <w:rPr>
          <w:lang w:val="de-DE"/>
        </w:rPr>
        <w:t>4</w:t>
      </w:r>
      <w:r w:rsidR="000D4ACA" w:rsidRPr="00B140F2">
        <w:rPr>
          <w:lang w:val="de-DE"/>
        </w:rPr>
        <w:t>.</w:t>
      </w:r>
    </w:p>
    <w:p w14:paraId="69B32223" w14:textId="77777777" w:rsidR="008D3651" w:rsidRPr="00B140F2" w:rsidRDefault="008D3651" w:rsidP="00BD4986">
      <w:pPr>
        <w:rPr>
          <w:lang w:val="de-DE"/>
        </w:rPr>
      </w:pPr>
    </w:p>
    <w:p w14:paraId="183199BE" w14:textId="77777777" w:rsidR="008D3651" w:rsidRPr="00B140F2" w:rsidRDefault="008D3651" w:rsidP="00BD4986">
      <w:pPr>
        <w:rPr>
          <w:lang w:val="de-DE"/>
        </w:rPr>
      </w:pPr>
    </w:p>
    <w:p w14:paraId="41E3DF9F" w14:textId="77777777" w:rsidR="00FF0C2F" w:rsidRPr="00B140F2" w:rsidRDefault="00FF0C2F" w:rsidP="00BD4986">
      <w:pPr>
        <w:rPr>
          <w:lang w:val="de-DE"/>
        </w:rPr>
      </w:pPr>
    </w:p>
    <w:p w14:paraId="5E06A92E" w14:textId="536E612F" w:rsidR="00214329" w:rsidRPr="00B140F2" w:rsidRDefault="0060633E" w:rsidP="00BD4986">
      <w:pPr>
        <w:jc w:val="right"/>
        <w:rPr>
          <w:lang w:val="de-DE"/>
        </w:rPr>
      </w:pPr>
      <w:r w:rsidRPr="00B140F2">
        <w:rPr>
          <w:lang w:val="de-DE"/>
        </w:rPr>
        <w:t xml:space="preserve">[Ende von </w:t>
      </w:r>
      <w:r w:rsidR="002006BE" w:rsidRPr="00B140F2">
        <w:rPr>
          <w:lang w:val="de-DE"/>
        </w:rPr>
        <w:t>Anlage</w:t>
      </w:r>
      <w:r w:rsidRPr="00B140F2">
        <w:rPr>
          <w:lang w:val="de-DE"/>
        </w:rPr>
        <w:t xml:space="preserve"> VI und des Dokuments]</w:t>
      </w:r>
    </w:p>
    <w:sectPr w:rsidR="00214329" w:rsidRPr="00B140F2" w:rsidSect="00030D7E">
      <w:footnotePr>
        <w:numRestart w:val="eachSect"/>
      </w:footnotePr>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5364C" w14:textId="77777777" w:rsidR="00B21740" w:rsidRDefault="00B21740" w:rsidP="006655D3">
      <w:r>
        <w:separator/>
      </w:r>
    </w:p>
    <w:p w14:paraId="40C0FA18" w14:textId="77777777" w:rsidR="00B21740" w:rsidRDefault="00B21740" w:rsidP="006655D3"/>
    <w:p w14:paraId="4647478E" w14:textId="77777777" w:rsidR="00B21740" w:rsidRDefault="00B21740" w:rsidP="006655D3"/>
  </w:endnote>
  <w:endnote w:type="continuationSeparator" w:id="0">
    <w:p w14:paraId="4E187FC7" w14:textId="77777777" w:rsidR="00B21740" w:rsidRDefault="00B21740" w:rsidP="006655D3">
      <w:r>
        <w:separator/>
      </w:r>
    </w:p>
    <w:p w14:paraId="1CEAD282" w14:textId="77777777" w:rsidR="00B21740" w:rsidRDefault="00B21740">
      <w:pPr>
        <w:pStyle w:val="Footer"/>
        <w:spacing w:after="60"/>
        <w:rPr>
          <w:sz w:val="18"/>
          <w:lang w:val="fr-FR"/>
        </w:rPr>
      </w:pPr>
      <w:r w:rsidRPr="00294751">
        <w:rPr>
          <w:sz w:val="18"/>
          <w:lang w:val="fr-FR"/>
        </w:rPr>
        <w:t>(Suite de la note de la page précédente)</w:t>
      </w:r>
    </w:p>
    <w:p w14:paraId="779A7733" w14:textId="77777777" w:rsidR="00B21740" w:rsidRPr="00294751" w:rsidRDefault="00B21740" w:rsidP="006655D3">
      <w:pPr>
        <w:rPr>
          <w:lang w:val="fr-FR"/>
        </w:rPr>
      </w:pPr>
    </w:p>
    <w:p w14:paraId="7BDBE5A5" w14:textId="77777777" w:rsidR="00B21740" w:rsidRPr="00294751" w:rsidRDefault="00B21740" w:rsidP="006655D3">
      <w:pPr>
        <w:rPr>
          <w:lang w:val="fr-FR"/>
        </w:rPr>
      </w:pPr>
    </w:p>
  </w:endnote>
  <w:endnote w:type="continuationNotice" w:id="1">
    <w:p w14:paraId="04E9B2E1" w14:textId="77777777" w:rsidR="00B21740" w:rsidRDefault="00B21740">
      <w:pPr>
        <w:rPr>
          <w:lang w:val="fr-FR"/>
        </w:rPr>
      </w:pPr>
      <w:r w:rsidRPr="00294751">
        <w:rPr>
          <w:lang w:val="fr-FR"/>
        </w:rPr>
        <w:t>(Suite de la note page suivante)</w:t>
      </w:r>
    </w:p>
    <w:p w14:paraId="148025ED" w14:textId="77777777" w:rsidR="00B21740" w:rsidRPr="00294751" w:rsidRDefault="00B21740" w:rsidP="006655D3">
      <w:pPr>
        <w:rPr>
          <w:lang w:val="fr-FR"/>
        </w:rPr>
      </w:pPr>
    </w:p>
    <w:p w14:paraId="133BB3D1" w14:textId="77777777" w:rsidR="00B21740" w:rsidRPr="00294751" w:rsidRDefault="00B217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5060" w14:textId="0CD7C92F" w:rsidR="00223459" w:rsidRDefault="0022345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EFD50" w14:textId="68161FE7" w:rsidR="00223459" w:rsidRDefault="0022345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4D26" w14:textId="50806100" w:rsidR="00223459" w:rsidRDefault="0022345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B48FC" w14:textId="10F635F3" w:rsidR="00223459" w:rsidRDefault="00223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EF9E7" w14:textId="04DC272E" w:rsidR="00223459" w:rsidRDefault="00223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3E74" w14:textId="09B521BE" w:rsidR="00223459" w:rsidRDefault="00223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925E" w14:textId="270BC5EF" w:rsidR="00223459" w:rsidRDefault="002234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DAA2" w14:textId="480C9DBA" w:rsidR="00223459" w:rsidRDefault="002234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FC45D" w14:textId="0DF340E1" w:rsidR="00223459" w:rsidRDefault="0022345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36EF0" w14:textId="16BA8E56" w:rsidR="00223459" w:rsidRDefault="002234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F8BB" w14:textId="3ABA4374" w:rsidR="00223459" w:rsidRDefault="0022345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A403" w14:textId="33D2D821" w:rsidR="00223459" w:rsidRDefault="00223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E7DB7" w14:textId="77777777" w:rsidR="00B21740" w:rsidRDefault="00B21740" w:rsidP="002E15A2">
      <w:pPr>
        <w:spacing w:before="240"/>
      </w:pPr>
      <w:r>
        <w:separator/>
      </w:r>
    </w:p>
  </w:footnote>
  <w:footnote w:type="continuationSeparator" w:id="0">
    <w:p w14:paraId="7287B49C" w14:textId="77777777" w:rsidR="00B21740" w:rsidRDefault="00B21740" w:rsidP="006655D3">
      <w:r>
        <w:separator/>
      </w:r>
    </w:p>
  </w:footnote>
  <w:footnote w:type="continuationNotice" w:id="1">
    <w:p w14:paraId="443B4C89" w14:textId="77777777" w:rsidR="00B21740" w:rsidRPr="00AB530F" w:rsidRDefault="00B21740" w:rsidP="00AB530F">
      <w:pPr>
        <w:pStyle w:val="Footer"/>
      </w:pPr>
    </w:p>
  </w:footnote>
  <w:footnote w:id="2">
    <w:p w14:paraId="1A9B1BD2" w14:textId="5460495F" w:rsidR="00214329" w:rsidRPr="00CD1E43" w:rsidRDefault="0060633E">
      <w:pPr>
        <w:pStyle w:val="FootnoteText"/>
        <w:rPr>
          <w:lang w:val="de-DE"/>
        </w:rPr>
      </w:pPr>
      <w:r>
        <w:rPr>
          <w:rStyle w:val="FootnoteReference"/>
        </w:rPr>
        <w:footnoteRef/>
      </w:r>
      <w:r w:rsidRPr="00CD1E43">
        <w:rPr>
          <w:lang w:val="de-DE"/>
        </w:rPr>
        <w:tab/>
        <w:t xml:space="preserve"> TWM</w:t>
      </w:r>
      <w:r w:rsidR="001D56A3">
        <w:rPr>
          <w:lang w:val="de-DE"/>
        </w:rPr>
        <w:t>,</w:t>
      </w:r>
      <w:r w:rsidRPr="00CD1E43">
        <w:rPr>
          <w:lang w:val="de-DE"/>
        </w:rPr>
        <w:t xml:space="preserve"> zweite Tagung, </w:t>
      </w:r>
      <w:r w:rsidR="001D56A3">
        <w:rPr>
          <w:lang w:val="de-DE"/>
        </w:rPr>
        <w:t xml:space="preserve">die </w:t>
      </w:r>
      <w:r w:rsidRPr="00CD1E43">
        <w:rPr>
          <w:lang w:val="de-DE"/>
        </w:rPr>
        <w:t>vom 8. bis 11. April 2024 auf elektronischem Wege abgehalten</w:t>
      </w:r>
      <w:r w:rsidR="001D56A3">
        <w:rPr>
          <w:lang w:val="de-DE"/>
        </w:rPr>
        <w:t xml:space="preserve"> wurde</w:t>
      </w:r>
      <w:r w:rsidRPr="00CD1E43">
        <w:rPr>
          <w:lang w:val="de-DE"/>
        </w:rPr>
        <w:t xml:space="preserve">. </w:t>
      </w:r>
      <w:r w:rsidR="005068FD">
        <w:rPr>
          <w:lang w:val="de-DE"/>
        </w:rPr>
        <w:t>Vergleiche Dokument</w:t>
      </w:r>
      <w:r w:rsidRPr="00CD1E43">
        <w:rPr>
          <w:lang w:val="de-DE"/>
        </w:rPr>
        <w:t xml:space="preserve"> TWM/2/21 </w:t>
      </w:r>
      <w:r w:rsidR="005D6D34">
        <w:rPr>
          <w:lang w:val="de-DE"/>
        </w:rPr>
        <w:t>„Report“</w:t>
      </w:r>
      <w:r w:rsidRPr="00CD1E43">
        <w:rPr>
          <w:lang w:val="de-DE"/>
        </w:rPr>
        <w:t>, Absätze 21 bis 24.</w:t>
      </w:r>
    </w:p>
  </w:footnote>
  <w:footnote w:id="3">
    <w:p w14:paraId="4B870D46" w14:textId="05731BC5" w:rsidR="00214329" w:rsidRPr="00CD1E43" w:rsidRDefault="0060633E">
      <w:pPr>
        <w:pStyle w:val="FootnoteText"/>
        <w:rPr>
          <w:lang w:val="de-DE"/>
        </w:rPr>
      </w:pPr>
      <w:r>
        <w:rPr>
          <w:rStyle w:val="FootnoteReference"/>
        </w:rPr>
        <w:footnoteRef/>
      </w:r>
      <w:r w:rsidR="005210DF" w:rsidRPr="00CD1E43">
        <w:rPr>
          <w:lang w:val="de-DE"/>
        </w:rPr>
        <w:tab/>
      </w:r>
      <w:r w:rsidR="005068FD">
        <w:rPr>
          <w:lang w:val="de-DE"/>
        </w:rPr>
        <w:t>vergleiche Dokument</w:t>
      </w:r>
      <w:r w:rsidRPr="00CD1E43">
        <w:rPr>
          <w:lang w:val="de-DE"/>
        </w:rPr>
        <w:t xml:space="preserve"> TC/59/28 </w:t>
      </w:r>
      <w:r w:rsidR="001A7B92">
        <w:rPr>
          <w:lang w:val="de-DE"/>
        </w:rPr>
        <w:t>„</w:t>
      </w:r>
      <w:r w:rsidR="005068FD">
        <w:rPr>
          <w:lang w:val="de-DE"/>
        </w:rPr>
        <w:t>Bericht</w:t>
      </w:r>
      <w:r w:rsidR="001A7B92">
        <w:rPr>
          <w:lang w:val="de-DE"/>
        </w:rPr>
        <w:t>“</w:t>
      </w:r>
      <w:r w:rsidRPr="00CD1E43">
        <w:rPr>
          <w:lang w:val="de-DE"/>
        </w:rPr>
        <w:t>, Absätze 33 und 34.</w:t>
      </w:r>
    </w:p>
  </w:footnote>
  <w:footnote w:id="4">
    <w:p w14:paraId="171502EF" w14:textId="2BFD0A24" w:rsidR="00214329" w:rsidRPr="00CD1E43" w:rsidRDefault="0060633E">
      <w:pPr>
        <w:pStyle w:val="FootnoteText"/>
        <w:rPr>
          <w:lang w:val="de-DE"/>
        </w:rPr>
      </w:pPr>
      <w:r>
        <w:rPr>
          <w:rStyle w:val="FootnoteReference"/>
        </w:rPr>
        <w:footnoteRef/>
      </w:r>
      <w:r w:rsidR="005210DF" w:rsidRPr="00CD1E43">
        <w:rPr>
          <w:lang w:val="de-DE"/>
        </w:rPr>
        <w:tab/>
      </w:r>
      <w:r w:rsidRPr="00CD1E43">
        <w:rPr>
          <w:lang w:val="de-DE"/>
        </w:rPr>
        <w:t>TWA, dreiundfünfzigste Tagung, die vom 27. bis 30. Mai 2024 auf elektronischem Wege abgehalten wurde</w:t>
      </w:r>
      <w:r w:rsidR="00083D3B" w:rsidRPr="00CD1E43">
        <w:rPr>
          <w:lang w:val="de-DE"/>
        </w:rPr>
        <w:t xml:space="preserve">. </w:t>
      </w:r>
      <w:r w:rsidR="005068FD">
        <w:rPr>
          <w:lang w:val="de-DE"/>
        </w:rPr>
        <w:t>Vergleiche Dokument</w:t>
      </w:r>
      <w:r w:rsidR="00083D3B" w:rsidRPr="00CD1E43">
        <w:rPr>
          <w:lang w:val="de-DE"/>
        </w:rPr>
        <w:t xml:space="preserve"> TWA/53/9 </w:t>
      </w:r>
      <w:r w:rsidR="001A7B92">
        <w:rPr>
          <w:lang w:val="de-DE"/>
        </w:rPr>
        <w:t>„Report“</w:t>
      </w:r>
      <w:r w:rsidR="00083D3B" w:rsidRPr="00CD1E43">
        <w:rPr>
          <w:lang w:val="de-DE"/>
        </w:rPr>
        <w:t>, Absatz 13.</w:t>
      </w:r>
    </w:p>
  </w:footnote>
  <w:footnote w:id="5">
    <w:p w14:paraId="1C1E4FC3" w14:textId="257ADC0C" w:rsidR="00214329" w:rsidRPr="00CD1E43" w:rsidRDefault="0060633E">
      <w:pPr>
        <w:pStyle w:val="FootnoteText"/>
        <w:rPr>
          <w:lang w:val="de-DE"/>
        </w:rPr>
      </w:pPr>
      <w:r>
        <w:rPr>
          <w:rStyle w:val="FootnoteReference"/>
        </w:rPr>
        <w:footnoteRef/>
      </w:r>
      <w:r w:rsidR="005210DF" w:rsidRPr="00CD1E43">
        <w:rPr>
          <w:lang w:val="de-DE"/>
        </w:rPr>
        <w:tab/>
      </w:r>
      <w:r w:rsidRPr="00CD1E43">
        <w:rPr>
          <w:lang w:val="de-DE"/>
        </w:rPr>
        <w:t xml:space="preserve">TWF, fünfundfünfzigste Tagung, die vom </w:t>
      </w:r>
      <w:r w:rsidR="00AC2C20" w:rsidRPr="00CD1E43">
        <w:rPr>
          <w:lang w:val="de-DE"/>
        </w:rPr>
        <w:t xml:space="preserve">3. bis 6. Juni 2024 </w:t>
      </w:r>
      <w:r w:rsidRPr="00CD1E43">
        <w:rPr>
          <w:lang w:val="de-DE"/>
        </w:rPr>
        <w:t>auf elektronischem Wege abgehalten wurde</w:t>
      </w:r>
      <w:r w:rsidR="00AC2C20" w:rsidRPr="00CD1E43">
        <w:rPr>
          <w:lang w:val="de-DE"/>
        </w:rPr>
        <w:t xml:space="preserve">. </w:t>
      </w:r>
      <w:r w:rsidR="005068FD">
        <w:rPr>
          <w:lang w:val="de-DE"/>
        </w:rPr>
        <w:t>Vergleiche Dokument</w:t>
      </w:r>
      <w:r w:rsidR="00AC2C20" w:rsidRPr="00CD1E43">
        <w:rPr>
          <w:lang w:val="de-DE"/>
        </w:rPr>
        <w:t xml:space="preserve"> TWF/55/9 </w:t>
      </w:r>
      <w:r w:rsidR="001A7B92">
        <w:rPr>
          <w:lang w:val="de-DE"/>
        </w:rPr>
        <w:t>„Report“</w:t>
      </w:r>
      <w:r w:rsidR="00AC2C20" w:rsidRPr="00CD1E43">
        <w:rPr>
          <w:lang w:val="de-DE"/>
        </w:rPr>
        <w:t xml:space="preserve">, Absatz </w:t>
      </w:r>
      <w:r w:rsidR="00093B4B" w:rsidRPr="00CD1E43">
        <w:rPr>
          <w:lang w:val="de-DE"/>
        </w:rPr>
        <w:t>24.</w:t>
      </w:r>
    </w:p>
  </w:footnote>
  <w:footnote w:id="6">
    <w:p w14:paraId="4BBAEA1D" w14:textId="77777777" w:rsidR="00474407" w:rsidRDefault="0060633E">
      <w:pPr>
        <w:pStyle w:val="Default"/>
        <w:ind w:left="284" w:hanging="284"/>
        <w:rPr>
          <w:spacing w:val="-4"/>
          <w:sz w:val="16"/>
          <w:szCs w:val="16"/>
          <w:lang w:val="de-DE"/>
        </w:rPr>
      </w:pPr>
      <w:r w:rsidRPr="008B7E4C">
        <w:rPr>
          <w:rStyle w:val="FootnoteReference"/>
          <w:spacing w:val="-4"/>
          <w:sz w:val="16"/>
          <w:szCs w:val="16"/>
        </w:rPr>
        <w:footnoteRef/>
      </w:r>
      <w:r w:rsidR="005210DF" w:rsidRPr="008B7E4C">
        <w:rPr>
          <w:spacing w:val="-4"/>
          <w:sz w:val="16"/>
          <w:szCs w:val="16"/>
          <w:lang w:val="de-DE"/>
        </w:rPr>
        <w:tab/>
      </w:r>
      <w:r w:rsidRPr="008B7E4C">
        <w:rPr>
          <w:spacing w:val="-4"/>
          <w:sz w:val="16"/>
          <w:szCs w:val="16"/>
          <w:lang w:val="de-DE"/>
        </w:rPr>
        <w:t xml:space="preserve">In den </w:t>
      </w:r>
      <w:r w:rsidR="005D6D34" w:rsidRPr="008B7E4C">
        <w:rPr>
          <w:spacing w:val="-4"/>
          <w:sz w:val="16"/>
          <w:szCs w:val="16"/>
          <w:lang w:val="de-DE"/>
        </w:rPr>
        <w:t>„</w:t>
      </w:r>
      <w:r w:rsidRPr="008B7E4C">
        <w:rPr>
          <w:spacing w:val="-4"/>
          <w:sz w:val="16"/>
          <w:szCs w:val="16"/>
          <w:lang w:val="de-DE"/>
        </w:rPr>
        <w:t>Erläuterungen zu Sortenbezeichnungen nach dem UPOV-Übereinkommen</w:t>
      </w:r>
      <w:r w:rsidR="005D6D34" w:rsidRPr="008B7E4C">
        <w:rPr>
          <w:spacing w:val="-4"/>
          <w:sz w:val="16"/>
          <w:szCs w:val="16"/>
          <w:lang w:val="de-DE"/>
        </w:rPr>
        <w:t>“</w:t>
      </w:r>
      <w:r w:rsidRPr="008B7E4C">
        <w:rPr>
          <w:spacing w:val="-4"/>
          <w:sz w:val="16"/>
          <w:szCs w:val="16"/>
          <w:lang w:val="de-DE"/>
        </w:rPr>
        <w:t xml:space="preserve"> (Dokument </w:t>
      </w:r>
      <w:r w:rsidRPr="008B7E4C">
        <w:rPr>
          <w:spacing w:val="-4"/>
          <w:sz w:val="16"/>
          <w:szCs w:val="16"/>
          <w:lang w:val="de-DE"/>
        </w:rPr>
        <w:t>UPOV/EXN/DEN/</w:t>
      </w:r>
      <w:r w:rsidR="001727DA">
        <w:rPr>
          <w:spacing w:val="-4"/>
          <w:sz w:val="16"/>
          <w:szCs w:val="16"/>
          <w:lang w:val="de-DE"/>
        </w:rPr>
        <w:t>3</w:t>
      </w:r>
      <w:r w:rsidRPr="008B7E4C">
        <w:rPr>
          <w:spacing w:val="-4"/>
          <w:sz w:val="16"/>
          <w:szCs w:val="16"/>
          <w:lang w:val="de-DE"/>
        </w:rPr>
        <w:t xml:space="preserve">) heißt es: </w:t>
      </w:r>
    </w:p>
    <w:p w14:paraId="51E6A383" w14:textId="0FABC540" w:rsidR="00214329" w:rsidRPr="008B7E4C" w:rsidRDefault="005D6D34" w:rsidP="00474407">
      <w:pPr>
        <w:pStyle w:val="Default"/>
        <w:ind w:left="284" w:hanging="1"/>
        <w:rPr>
          <w:spacing w:val="-4"/>
          <w:sz w:val="16"/>
          <w:szCs w:val="16"/>
          <w:lang w:val="de-DE"/>
        </w:rPr>
      </w:pPr>
      <w:r w:rsidRPr="008B7E4C">
        <w:rPr>
          <w:spacing w:val="-4"/>
          <w:sz w:val="16"/>
          <w:szCs w:val="16"/>
          <w:lang w:val="de-DE"/>
        </w:rPr>
        <w:t>„</w:t>
      </w:r>
      <w:r w:rsidR="0060633E" w:rsidRPr="008B7E4C">
        <w:rPr>
          <w:spacing w:val="-4"/>
          <w:sz w:val="16"/>
          <w:szCs w:val="16"/>
          <w:lang w:val="de-DE"/>
        </w:rPr>
        <w:t xml:space="preserve">2.5.2 Die Sortenbezeichnungsklassen sind: </w:t>
      </w:r>
    </w:p>
    <w:p w14:paraId="181BB0DC" w14:textId="36941BB1" w:rsidR="00214329" w:rsidRPr="007E6682" w:rsidRDefault="005D6D34">
      <w:pPr>
        <w:pStyle w:val="Default"/>
        <w:ind w:left="567" w:hanging="284"/>
        <w:rPr>
          <w:spacing w:val="-4"/>
          <w:sz w:val="16"/>
          <w:szCs w:val="16"/>
          <w:lang w:val="de-DE"/>
        </w:rPr>
      </w:pPr>
      <w:r w:rsidRPr="007E6682">
        <w:rPr>
          <w:spacing w:val="-4"/>
          <w:sz w:val="16"/>
          <w:szCs w:val="16"/>
          <w:lang w:val="de-DE"/>
        </w:rPr>
        <w:t>„</w:t>
      </w:r>
      <w:r w:rsidR="0060633E" w:rsidRPr="007E6682">
        <w:rPr>
          <w:spacing w:val="-4"/>
          <w:sz w:val="16"/>
          <w:szCs w:val="16"/>
          <w:lang w:val="de-DE"/>
        </w:rPr>
        <w:t>a)</w:t>
      </w:r>
      <w:r w:rsidR="00D24C16">
        <w:rPr>
          <w:spacing w:val="-4"/>
          <w:sz w:val="16"/>
          <w:szCs w:val="16"/>
          <w:lang w:val="de-DE"/>
        </w:rPr>
        <w:tab/>
      </w:r>
      <w:r w:rsidR="0060633E" w:rsidRPr="007E6682">
        <w:rPr>
          <w:spacing w:val="-4"/>
          <w:sz w:val="16"/>
          <w:szCs w:val="16"/>
          <w:lang w:val="de-DE"/>
        </w:rPr>
        <w:t xml:space="preserve">Allgemeine Regel (eine Gattung / eine Klasse): Für Gattungen und Arten, die nicht </w:t>
      </w:r>
      <w:r w:rsidR="00016776" w:rsidRPr="007E6682">
        <w:rPr>
          <w:spacing w:val="-4"/>
          <w:sz w:val="16"/>
          <w:szCs w:val="16"/>
          <w:lang w:val="de-DE"/>
        </w:rPr>
        <w:t xml:space="preserve">von </w:t>
      </w:r>
      <w:r w:rsidR="0060633E" w:rsidRPr="007E6682">
        <w:rPr>
          <w:spacing w:val="-4"/>
          <w:sz w:val="16"/>
          <w:szCs w:val="16"/>
          <w:lang w:val="de-DE"/>
        </w:rPr>
        <w:t xml:space="preserve">der Klassenliste in </w:t>
      </w:r>
      <w:r w:rsidR="00016776" w:rsidRPr="007E6682">
        <w:rPr>
          <w:spacing w:val="-4"/>
          <w:sz w:val="16"/>
          <w:szCs w:val="16"/>
          <w:lang w:val="de-DE"/>
        </w:rPr>
        <w:t>Anlage</w:t>
      </w:r>
      <w:r w:rsidR="0060633E" w:rsidRPr="007E6682">
        <w:rPr>
          <w:spacing w:val="-4"/>
          <w:sz w:val="16"/>
          <w:szCs w:val="16"/>
          <w:lang w:val="de-DE"/>
        </w:rPr>
        <w:t xml:space="preserve"> I </w:t>
      </w:r>
      <w:r w:rsidR="00016776" w:rsidRPr="007E6682">
        <w:rPr>
          <w:spacing w:val="-4"/>
          <w:sz w:val="16"/>
          <w:szCs w:val="16"/>
          <w:lang w:val="de-DE"/>
        </w:rPr>
        <w:t>erfasst werden</w:t>
      </w:r>
      <w:r w:rsidR="0060633E" w:rsidRPr="007E6682">
        <w:rPr>
          <w:spacing w:val="-4"/>
          <w:sz w:val="16"/>
          <w:szCs w:val="16"/>
          <w:lang w:val="de-DE"/>
        </w:rPr>
        <w:t xml:space="preserve">, wird eine Gattung als Klasse </w:t>
      </w:r>
      <w:r w:rsidR="00016776" w:rsidRPr="007E6682">
        <w:rPr>
          <w:spacing w:val="-4"/>
          <w:sz w:val="16"/>
          <w:szCs w:val="16"/>
          <w:lang w:val="de-DE"/>
        </w:rPr>
        <w:t>angesehen</w:t>
      </w:r>
      <w:r w:rsidR="0060633E" w:rsidRPr="007E6682">
        <w:rPr>
          <w:spacing w:val="-4"/>
          <w:sz w:val="16"/>
          <w:szCs w:val="16"/>
          <w:lang w:val="de-DE"/>
        </w:rPr>
        <w:t xml:space="preserve">; </w:t>
      </w:r>
    </w:p>
    <w:p w14:paraId="795C9A58" w14:textId="287662A4" w:rsidR="00214329" w:rsidRPr="008B7E4C" w:rsidRDefault="005D6D34">
      <w:pPr>
        <w:pStyle w:val="Default"/>
        <w:ind w:left="567" w:hanging="284"/>
        <w:rPr>
          <w:spacing w:val="-4"/>
          <w:sz w:val="16"/>
          <w:szCs w:val="16"/>
          <w:lang w:val="de-DE"/>
        </w:rPr>
      </w:pPr>
      <w:r w:rsidRPr="007E6682">
        <w:rPr>
          <w:spacing w:val="-4"/>
          <w:sz w:val="16"/>
          <w:szCs w:val="16"/>
          <w:lang w:val="de-DE"/>
        </w:rPr>
        <w:t>„</w:t>
      </w:r>
      <w:r w:rsidR="0060633E" w:rsidRPr="007E6682">
        <w:rPr>
          <w:spacing w:val="-4"/>
          <w:sz w:val="16"/>
          <w:szCs w:val="16"/>
          <w:lang w:val="de-DE"/>
        </w:rPr>
        <w:t>b)</w:t>
      </w:r>
      <w:r w:rsidR="00D24C16">
        <w:rPr>
          <w:spacing w:val="-4"/>
          <w:sz w:val="16"/>
          <w:szCs w:val="16"/>
          <w:lang w:val="de-DE"/>
        </w:rPr>
        <w:tab/>
      </w:r>
      <w:r w:rsidR="0060633E" w:rsidRPr="007E6682">
        <w:rPr>
          <w:spacing w:val="-4"/>
          <w:sz w:val="16"/>
          <w:szCs w:val="16"/>
          <w:lang w:val="de-DE"/>
        </w:rPr>
        <w:t xml:space="preserve">Ausnahmen von der Allgemeinen </w:t>
      </w:r>
      <w:r w:rsidR="008B7E4C" w:rsidRPr="007E6682">
        <w:rPr>
          <w:spacing w:val="-4"/>
          <w:sz w:val="16"/>
          <w:szCs w:val="16"/>
          <w:lang w:val="de-DE"/>
        </w:rPr>
        <w:t>Regel</w:t>
      </w:r>
      <w:r w:rsidR="0060633E" w:rsidRPr="007E6682">
        <w:rPr>
          <w:spacing w:val="-4"/>
          <w:sz w:val="16"/>
          <w:szCs w:val="16"/>
          <w:lang w:val="de-DE"/>
        </w:rPr>
        <w:t xml:space="preserve"> (</w:t>
      </w:r>
      <w:r w:rsidR="00016776" w:rsidRPr="007E6682">
        <w:rPr>
          <w:spacing w:val="-4"/>
          <w:sz w:val="16"/>
          <w:szCs w:val="16"/>
          <w:lang w:val="de-DE"/>
        </w:rPr>
        <w:t>Klassenliste</w:t>
      </w:r>
      <w:r w:rsidR="0060633E" w:rsidRPr="007E6682">
        <w:rPr>
          <w:spacing w:val="-4"/>
          <w:sz w:val="16"/>
          <w:szCs w:val="16"/>
          <w:lang w:val="de-DE"/>
        </w:rPr>
        <w:t>):</w:t>
      </w:r>
      <w:r w:rsidR="0060633E" w:rsidRPr="008B7E4C">
        <w:rPr>
          <w:spacing w:val="-4"/>
          <w:sz w:val="16"/>
          <w:szCs w:val="16"/>
          <w:lang w:val="de-DE"/>
        </w:rPr>
        <w:t xml:space="preserve"> </w:t>
      </w:r>
    </w:p>
    <w:p w14:paraId="709A2B89" w14:textId="7670D7FF" w:rsidR="00214329" w:rsidRPr="008B7E4C" w:rsidRDefault="005D6D34">
      <w:pPr>
        <w:pStyle w:val="Default"/>
        <w:ind w:left="851" w:hanging="284"/>
        <w:rPr>
          <w:spacing w:val="-4"/>
          <w:sz w:val="16"/>
          <w:szCs w:val="16"/>
          <w:lang w:val="de-DE"/>
        </w:rPr>
      </w:pPr>
      <w:r w:rsidRPr="008B7E4C">
        <w:rPr>
          <w:spacing w:val="-4"/>
          <w:sz w:val="16"/>
          <w:szCs w:val="16"/>
          <w:lang w:val="de-DE"/>
        </w:rPr>
        <w:t>„</w:t>
      </w:r>
      <w:r w:rsidR="0060633E" w:rsidRPr="008B7E4C">
        <w:rPr>
          <w:spacing w:val="-4"/>
          <w:sz w:val="16"/>
          <w:szCs w:val="16"/>
          <w:lang w:val="de-DE"/>
        </w:rPr>
        <w:t>i)</w:t>
      </w:r>
      <w:r w:rsidR="00CA7A46" w:rsidRPr="008B7E4C">
        <w:rPr>
          <w:spacing w:val="-4"/>
          <w:sz w:val="16"/>
          <w:szCs w:val="16"/>
          <w:lang w:val="de-DE"/>
        </w:rPr>
        <w:tab/>
      </w:r>
      <w:r w:rsidR="0060633E" w:rsidRPr="008B7E4C">
        <w:rPr>
          <w:spacing w:val="-4"/>
          <w:sz w:val="16"/>
          <w:szCs w:val="16"/>
          <w:lang w:val="de-DE"/>
        </w:rPr>
        <w:t xml:space="preserve">Klassen innerhalb einer Gattung: </w:t>
      </w:r>
      <w:r w:rsidR="00016776" w:rsidRPr="008B7E4C">
        <w:rPr>
          <w:spacing w:val="-4"/>
          <w:sz w:val="16"/>
          <w:szCs w:val="16"/>
          <w:lang w:val="de-DE"/>
        </w:rPr>
        <w:t>Klassenliste</w:t>
      </w:r>
      <w:r w:rsidR="0060633E" w:rsidRPr="008B7E4C">
        <w:rPr>
          <w:spacing w:val="-4"/>
          <w:sz w:val="16"/>
          <w:szCs w:val="16"/>
          <w:lang w:val="de-DE"/>
        </w:rPr>
        <w:t xml:space="preserve"> in </w:t>
      </w:r>
      <w:r w:rsidR="00016776" w:rsidRPr="008B7E4C">
        <w:rPr>
          <w:spacing w:val="-4"/>
          <w:sz w:val="16"/>
          <w:szCs w:val="16"/>
          <w:lang w:val="de-DE"/>
        </w:rPr>
        <w:t>Anlage</w:t>
      </w:r>
      <w:r w:rsidR="0060633E" w:rsidRPr="008B7E4C">
        <w:rPr>
          <w:spacing w:val="-4"/>
          <w:sz w:val="16"/>
          <w:szCs w:val="16"/>
          <w:lang w:val="de-DE"/>
        </w:rPr>
        <w:t xml:space="preserve"> I: Teil I; </w:t>
      </w:r>
    </w:p>
    <w:p w14:paraId="6585137D" w14:textId="519FB1B2" w:rsidR="00214329" w:rsidRPr="00515758" w:rsidRDefault="005D6D34" w:rsidP="00515758">
      <w:pPr>
        <w:pStyle w:val="Default"/>
        <w:ind w:left="851" w:hanging="284"/>
        <w:rPr>
          <w:sz w:val="16"/>
          <w:szCs w:val="16"/>
          <w:lang w:val="de-DE"/>
        </w:rPr>
      </w:pPr>
      <w:r w:rsidRPr="00515758">
        <w:rPr>
          <w:sz w:val="16"/>
          <w:szCs w:val="16"/>
          <w:lang w:val="de-DE"/>
        </w:rPr>
        <w:t>„</w:t>
      </w:r>
      <w:r w:rsidR="0060633E" w:rsidRPr="00515758">
        <w:rPr>
          <w:sz w:val="16"/>
          <w:szCs w:val="16"/>
          <w:lang w:val="de-DE"/>
        </w:rPr>
        <w:t>ii)</w:t>
      </w:r>
      <w:r w:rsidR="00CA7A46" w:rsidRPr="00515758">
        <w:rPr>
          <w:sz w:val="16"/>
          <w:szCs w:val="16"/>
          <w:lang w:val="de-DE"/>
        </w:rPr>
        <w:tab/>
      </w:r>
      <w:r w:rsidR="0060633E" w:rsidRPr="00515758">
        <w:rPr>
          <w:spacing w:val="-4"/>
          <w:sz w:val="16"/>
          <w:szCs w:val="16"/>
          <w:lang w:val="de-DE"/>
        </w:rPr>
        <w:t>Klassen</w:t>
      </w:r>
      <w:r w:rsidR="0060633E" w:rsidRPr="00515758">
        <w:rPr>
          <w:sz w:val="16"/>
          <w:szCs w:val="16"/>
          <w:lang w:val="de-DE"/>
        </w:rPr>
        <w:t xml:space="preserve">, die mehr als eine Gattung umfassen: </w:t>
      </w:r>
      <w:r w:rsidR="00016776" w:rsidRPr="00515758">
        <w:rPr>
          <w:sz w:val="16"/>
          <w:szCs w:val="16"/>
          <w:lang w:val="de-DE"/>
        </w:rPr>
        <w:t>Klassenliste</w:t>
      </w:r>
      <w:r w:rsidR="0060633E" w:rsidRPr="00515758">
        <w:rPr>
          <w:sz w:val="16"/>
          <w:szCs w:val="16"/>
          <w:lang w:val="de-DE"/>
        </w:rPr>
        <w:t xml:space="preserve"> in </w:t>
      </w:r>
      <w:r w:rsidR="00016776" w:rsidRPr="00515758">
        <w:rPr>
          <w:sz w:val="16"/>
          <w:szCs w:val="16"/>
          <w:lang w:val="de-DE"/>
        </w:rPr>
        <w:t>Anlage</w:t>
      </w:r>
      <w:r w:rsidR="0060633E" w:rsidRPr="00515758">
        <w:rPr>
          <w:sz w:val="16"/>
          <w:szCs w:val="16"/>
          <w:lang w:val="de-DE"/>
        </w:rPr>
        <w:t xml:space="preserve"> I: Teil II.</w:t>
      </w:r>
      <w:r w:rsidRPr="00515758">
        <w:rPr>
          <w:sz w:val="16"/>
          <w:szCs w:val="16"/>
          <w:lang w:val="de-DE"/>
        </w:rPr>
        <w:t>“</w:t>
      </w:r>
    </w:p>
  </w:footnote>
  <w:footnote w:id="7">
    <w:p w14:paraId="3D4991D4" w14:textId="57CCF78D" w:rsidR="00214329" w:rsidRPr="00710CFE" w:rsidRDefault="0060633E">
      <w:pPr>
        <w:pStyle w:val="FootnoteText"/>
        <w:rPr>
          <w:lang w:val="de-DE"/>
        </w:rPr>
      </w:pPr>
      <w:r w:rsidRPr="00E83514">
        <w:rPr>
          <w:rStyle w:val="FootnoteReference"/>
          <w:lang w:val="de-DE"/>
        </w:rPr>
        <w:footnoteRef/>
      </w:r>
      <w:r w:rsidR="005210DF" w:rsidRPr="00710CFE">
        <w:rPr>
          <w:lang w:val="de-DE"/>
        </w:rPr>
        <w:tab/>
      </w:r>
      <w:r w:rsidRPr="00710CFE">
        <w:rPr>
          <w:lang w:val="de-DE"/>
        </w:rPr>
        <w:t xml:space="preserve">TWV, siebenundfünfzigste Tagung, die vom 1. bis 5. Mai 2023 in Antalya, </w:t>
      </w:r>
      <w:r w:rsidR="008F0D1A" w:rsidRPr="00710CFE">
        <w:rPr>
          <w:lang w:val="de-DE"/>
        </w:rPr>
        <w:t>Türkiye</w:t>
      </w:r>
      <w:r w:rsidRPr="00710CFE">
        <w:rPr>
          <w:lang w:val="de-DE"/>
        </w:rPr>
        <w:t xml:space="preserve">, </w:t>
      </w:r>
      <w:r w:rsidR="00873050" w:rsidRPr="00710CFE">
        <w:rPr>
          <w:lang w:val="de-DE"/>
        </w:rPr>
        <w:t>abgehalten wurde</w:t>
      </w:r>
      <w:r w:rsidRPr="00710CFE">
        <w:rPr>
          <w:lang w:val="de-DE"/>
        </w:rPr>
        <w:t>.</w:t>
      </w:r>
    </w:p>
  </w:footnote>
  <w:footnote w:id="8">
    <w:p w14:paraId="4A6C4FAD" w14:textId="6D41C2B9" w:rsidR="00214329" w:rsidRPr="00710CFE" w:rsidRDefault="0060633E">
      <w:pPr>
        <w:pStyle w:val="FootnoteText"/>
        <w:rPr>
          <w:lang w:val="de-DE"/>
        </w:rPr>
      </w:pPr>
      <w:r w:rsidRPr="00E83514">
        <w:rPr>
          <w:rStyle w:val="FootnoteReference"/>
          <w:lang w:val="de-DE"/>
        </w:rPr>
        <w:footnoteRef/>
      </w:r>
      <w:r w:rsidR="005210DF" w:rsidRPr="00710CFE">
        <w:rPr>
          <w:rFonts w:eastAsia="MS Mincho"/>
          <w:lang w:val="de-DE"/>
        </w:rPr>
        <w:tab/>
      </w:r>
      <w:r w:rsidR="005068FD" w:rsidRPr="00710CFE">
        <w:rPr>
          <w:rFonts w:eastAsia="MS Mincho"/>
          <w:lang w:val="de-DE"/>
        </w:rPr>
        <w:t>vergleiche Dokument</w:t>
      </w:r>
      <w:r w:rsidRPr="00710CFE">
        <w:rPr>
          <w:rFonts w:eastAsia="MS Mincho"/>
          <w:lang w:val="de-DE"/>
        </w:rPr>
        <w:t xml:space="preserve"> TWV/57/26 </w:t>
      </w:r>
      <w:r w:rsidR="001A7B92" w:rsidRPr="00710CFE">
        <w:rPr>
          <w:rFonts w:eastAsia="MS Mincho"/>
          <w:lang w:val="de-DE"/>
        </w:rPr>
        <w:t>„Report“</w:t>
      </w:r>
      <w:r w:rsidRPr="00710CFE">
        <w:rPr>
          <w:rFonts w:eastAsia="MS Mincho"/>
          <w:lang w:val="de-DE"/>
        </w:rPr>
        <w:t>, Absätze 25 bis 28.</w:t>
      </w:r>
    </w:p>
  </w:footnote>
  <w:footnote w:id="9">
    <w:p w14:paraId="5A508E18" w14:textId="7585F0E1" w:rsidR="00566EEA" w:rsidRPr="00710CFE" w:rsidRDefault="00566EEA" w:rsidP="00566EEA">
      <w:pPr>
        <w:pStyle w:val="FootnoteText"/>
        <w:rPr>
          <w:lang w:val="de-DE"/>
        </w:rPr>
      </w:pPr>
      <w:r w:rsidRPr="00E83514">
        <w:rPr>
          <w:rStyle w:val="FootnoteReference"/>
          <w:lang w:val="de-DE"/>
        </w:rPr>
        <w:footnoteRef/>
      </w:r>
      <w:r w:rsidRPr="00710CFE">
        <w:rPr>
          <w:lang w:val="de-DE"/>
        </w:rPr>
        <w:t xml:space="preserve"> </w:t>
      </w:r>
      <w:r w:rsidR="00873050" w:rsidRPr="00710CFE">
        <w:rPr>
          <w:lang w:val="de-DE"/>
        </w:rPr>
        <w:tab/>
      </w:r>
      <w:r w:rsidRPr="00710CFE">
        <w:rPr>
          <w:lang w:val="de-DE"/>
        </w:rPr>
        <w:t xml:space="preserve">Quelle: </w:t>
      </w:r>
      <w:hyperlink r:id="rId1" w:history="1">
        <w:r w:rsidRPr="00710CFE">
          <w:rPr>
            <w:rStyle w:val="Hyperlink"/>
            <w:lang w:val="de-DE"/>
          </w:rPr>
          <w:t>https://worldseed.org/</w:t>
        </w:r>
      </w:hyperlink>
    </w:p>
  </w:footnote>
  <w:footnote w:id="10">
    <w:p w14:paraId="1048E340" w14:textId="14423709" w:rsidR="00214329" w:rsidRPr="00223459" w:rsidRDefault="0060633E">
      <w:pPr>
        <w:pStyle w:val="FootnoteText"/>
        <w:rPr>
          <w:lang w:val="de-DE"/>
        </w:rPr>
      </w:pPr>
      <w:r w:rsidRPr="00E83514">
        <w:rPr>
          <w:rStyle w:val="FootnoteReference"/>
          <w:lang w:val="de-DE"/>
        </w:rPr>
        <w:footnoteRef/>
      </w:r>
      <w:r w:rsidR="00CA7A46" w:rsidRPr="00E83514">
        <w:rPr>
          <w:lang w:val="de-DE"/>
        </w:rPr>
        <w:tab/>
      </w:r>
      <w:r w:rsidR="005068FD" w:rsidRPr="00E83514">
        <w:rPr>
          <w:lang w:val="de-DE"/>
        </w:rPr>
        <w:t>vergleiche Dokument</w:t>
      </w:r>
      <w:r w:rsidRPr="00E83514">
        <w:rPr>
          <w:lang w:val="de-DE"/>
        </w:rPr>
        <w:t xml:space="preserve"> TC/59/28 </w:t>
      </w:r>
      <w:r w:rsidR="001A7B92" w:rsidRPr="00E83514">
        <w:rPr>
          <w:lang w:val="de-DE"/>
        </w:rPr>
        <w:t>„</w:t>
      </w:r>
      <w:r w:rsidR="00873050" w:rsidRPr="00E83514">
        <w:rPr>
          <w:lang w:val="de-DE"/>
        </w:rPr>
        <w:t>Bericht</w:t>
      </w:r>
      <w:r w:rsidR="001A7B92" w:rsidRPr="00E83514">
        <w:rPr>
          <w:lang w:val="de-DE"/>
        </w:rPr>
        <w:t>“</w:t>
      </w:r>
      <w:r w:rsidRPr="00E83514">
        <w:rPr>
          <w:lang w:val="de-DE"/>
        </w:rPr>
        <w:t>, Absätze 41 und 42.</w:t>
      </w:r>
    </w:p>
  </w:footnote>
  <w:footnote w:id="11">
    <w:p w14:paraId="5742C938" w14:textId="77777777" w:rsidR="00214329" w:rsidRPr="00CD1E43" w:rsidRDefault="0060633E">
      <w:pPr>
        <w:pStyle w:val="FootnoteText"/>
        <w:rPr>
          <w:lang w:val="de-DE"/>
        </w:rPr>
      </w:pPr>
      <w:r>
        <w:rPr>
          <w:rStyle w:val="FootnoteReference"/>
        </w:rPr>
        <w:footnoteRef/>
      </w:r>
      <w:r w:rsidR="005210DF" w:rsidRPr="00CD1E43">
        <w:rPr>
          <w:lang w:val="de-DE"/>
        </w:rPr>
        <w:tab/>
      </w:r>
      <w:r w:rsidRPr="00CD1E43">
        <w:rPr>
          <w:lang w:val="de-DE"/>
        </w:rPr>
        <w:t xml:space="preserve">Quelle: </w:t>
      </w:r>
      <w:hyperlink r:id="rId2" w:history="1">
        <w:r w:rsidRPr="00CD1E43">
          <w:rPr>
            <w:rStyle w:val="Hyperlink"/>
            <w:lang w:val="de-DE"/>
          </w:rPr>
          <w:t>https://worldseed.org/</w:t>
        </w:r>
      </w:hyperlink>
    </w:p>
  </w:footnote>
  <w:footnote w:id="12">
    <w:p w14:paraId="382E414F" w14:textId="4B461C0D" w:rsidR="00214329" w:rsidRPr="00CD1E43" w:rsidRDefault="0060633E">
      <w:pPr>
        <w:pStyle w:val="FootnoteText"/>
        <w:rPr>
          <w:lang w:val="de-DE"/>
        </w:rPr>
      </w:pPr>
      <w:r>
        <w:rPr>
          <w:rStyle w:val="FootnoteReference"/>
        </w:rPr>
        <w:footnoteRef/>
      </w:r>
      <w:r w:rsidR="005210DF" w:rsidRPr="00CD1E43">
        <w:rPr>
          <w:lang w:val="de-DE"/>
        </w:rPr>
        <w:tab/>
      </w:r>
      <w:r w:rsidRPr="00CD1E43">
        <w:rPr>
          <w:lang w:val="de-DE"/>
        </w:rPr>
        <w:t xml:space="preserve">TWF, vierundfünfzigste Tagung, die vom 3. bis 7. Juli 2023 in Nîmes, Frankreich, </w:t>
      </w:r>
      <w:r w:rsidR="004270B1">
        <w:rPr>
          <w:lang w:val="de-DE"/>
        </w:rPr>
        <w:t>abgehalten wurde</w:t>
      </w:r>
      <w:r w:rsidRPr="00CD1E43">
        <w:rPr>
          <w:lang w:val="de-DE"/>
        </w:rPr>
        <w:t>.</w:t>
      </w:r>
    </w:p>
  </w:footnote>
  <w:footnote w:id="13">
    <w:p w14:paraId="618C56FA" w14:textId="5BAEF903" w:rsidR="00214329" w:rsidRPr="00CD1E43" w:rsidRDefault="0060633E">
      <w:pPr>
        <w:pStyle w:val="FootnoteText"/>
        <w:rPr>
          <w:lang w:val="de-DE"/>
        </w:rPr>
      </w:pPr>
      <w:r>
        <w:rPr>
          <w:rStyle w:val="FootnoteReference"/>
        </w:rPr>
        <w:footnoteRef/>
      </w:r>
      <w:r w:rsidR="005210DF" w:rsidRPr="00CD1E43">
        <w:rPr>
          <w:lang w:val="de-DE"/>
        </w:rPr>
        <w:tab/>
      </w:r>
      <w:r w:rsidR="005068FD">
        <w:rPr>
          <w:lang w:val="de-DE"/>
        </w:rPr>
        <w:t>vergleiche Dokument</w:t>
      </w:r>
      <w:r w:rsidRPr="00CD1E43">
        <w:rPr>
          <w:lang w:val="de-DE"/>
        </w:rPr>
        <w:t xml:space="preserve"> TC/59/28 </w:t>
      </w:r>
      <w:r w:rsidR="001A7B92">
        <w:rPr>
          <w:lang w:val="de-DE"/>
        </w:rPr>
        <w:t>„</w:t>
      </w:r>
      <w:r w:rsidR="00E84CE4">
        <w:rPr>
          <w:lang w:val="de-DE"/>
        </w:rPr>
        <w:t>Bericht</w:t>
      </w:r>
      <w:r w:rsidR="001A7B92">
        <w:rPr>
          <w:lang w:val="de-DE"/>
        </w:rPr>
        <w:t>“</w:t>
      </w:r>
      <w:r w:rsidRPr="00CD1E43">
        <w:rPr>
          <w:lang w:val="de-DE"/>
        </w:rPr>
        <w:t>, Absätze 33 und 34.</w:t>
      </w:r>
    </w:p>
  </w:footnote>
  <w:footnote w:id="14">
    <w:p w14:paraId="5FF1A882" w14:textId="171A4759" w:rsidR="00214329" w:rsidRPr="00CD1E43" w:rsidRDefault="0060633E">
      <w:pPr>
        <w:pStyle w:val="FootnoteText"/>
        <w:rPr>
          <w:lang w:val="de-DE"/>
        </w:rPr>
      </w:pPr>
      <w:r>
        <w:rPr>
          <w:rStyle w:val="FootnoteReference"/>
        </w:rPr>
        <w:footnoteRef/>
      </w:r>
      <w:r w:rsidR="005210DF" w:rsidRPr="00CD1E43">
        <w:rPr>
          <w:lang w:val="de-DE"/>
        </w:rPr>
        <w:tab/>
      </w:r>
      <w:r w:rsidRPr="00CD1E43">
        <w:rPr>
          <w:rFonts w:eastAsia="MS Mincho"/>
          <w:lang w:val="de-DE"/>
        </w:rPr>
        <w:t xml:space="preserve">TWO, fünfundfünfzigste Tagung, </w:t>
      </w:r>
      <w:r w:rsidRPr="00CD1E43">
        <w:rPr>
          <w:lang w:val="de-DE"/>
        </w:rPr>
        <w:t xml:space="preserve">die vom 12. bis 16. Juni 2023 auf elektronischem Wege </w:t>
      </w:r>
      <w:r w:rsidR="00754334">
        <w:rPr>
          <w:lang w:val="de-DE"/>
        </w:rPr>
        <w:t>abgehalten wurde</w:t>
      </w:r>
      <w:r w:rsidRPr="00CD1E43">
        <w:rPr>
          <w:lang w:val="de-DE"/>
        </w:rPr>
        <w:t>.</w:t>
      </w:r>
    </w:p>
  </w:footnote>
  <w:footnote w:id="15">
    <w:p w14:paraId="54DA6E73" w14:textId="6293BD35" w:rsidR="00214329" w:rsidRPr="00CD1E43" w:rsidRDefault="0060633E">
      <w:pPr>
        <w:pStyle w:val="FootnoteText"/>
        <w:rPr>
          <w:lang w:val="de-DE"/>
        </w:rPr>
      </w:pPr>
      <w:r>
        <w:rPr>
          <w:rStyle w:val="FootnoteReference"/>
        </w:rPr>
        <w:footnoteRef/>
      </w:r>
      <w:r w:rsidR="005210DF" w:rsidRPr="00CD1E43">
        <w:rPr>
          <w:lang w:val="de-DE"/>
        </w:rPr>
        <w:tab/>
      </w:r>
      <w:r w:rsidRPr="00CD1E43">
        <w:rPr>
          <w:lang w:val="de-DE"/>
        </w:rPr>
        <w:t xml:space="preserve">TWA, dreiundfünfzigste Tagung, die vom 27. bis 30. Mai 2024 auf elektronischem Wege abgehalten wurde. </w:t>
      </w:r>
      <w:r w:rsidR="005068FD">
        <w:rPr>
          <w:lang w:val="de-DE"/>
        </w:rPr>
        <w:t>Vergleiche Dokument</w:t>
      </w:r>
      <w:r w:rsidRPr="00CD1E43">
        <w:rPr>
          <w:lang w:val="de-DE"/>
        </w:rPr>
        <w:t xml:space="preserve"> TWA/53/9 </w:t>
      </w:r>
      <w:r w:rsidR="001A7B92">
        <w:rPr>
          <w:lang w:val="de-DE"/>
        </w:rPr>
        <w:t>„Report“</w:t>
      </w:r>
      <w:r w:rsidRPr="00CD1E43">
        <w:rPr>
          <w:lang w:val="de-DE"/>
        </w:rPr>
        <w:t>, Absatz 13.</w:t>
      </w:r>
    </w:p>
  </w:footnote>
  <w:footnote w:id="16">
    <w:p w14:paraId="5ACC08D8" w14:textId="58CE8147" w:rsidR="00214329" w:rsidRPr="00CD1E43" w:rsidRDefault="0060633E">
      <w:pPr>
        <w:pStyle w:val="FootnoteText"/>
        <w:rPr>
          <w:lang w:val="de-DE"/>
        </w:rPr>
      </w:pPr>
      <w:r>
        <w:rPr>
          <w:rStyle w:val="FootnoteReference"/>
        </w:rPr>
        <w:footnoteRef/>
      </w:r>
      <w:r w:rsidR="00B94615">
        <w:rPr>
          <w:lang w:val="de-DE"/>
        </w:rPr>
        <w:t xml:space="preserve"> </w:t>
      </w:r>
      <w:r w:rsidR="00B94615">
        <w:rPr>
          <w:lang w:val="de-DE"/>
        </w:rPr>
        <w:tab/>
      </w:r>
      <w:r w:rsidR="005068FD">
        <w:rPr>
          <w:lang w:val="de-DE"/>
        </w:rPr>
        <w:t>vergleiche Dokument</w:t>
      </w:r>
      <w:r w:rsidRPr="00CD1E43">
        <w:rPr>
          <w:lang w:val="de-DE"/>
        </w:rPr>
        <w:t xml:space="preserve"> TC/59/28 </w:t>
      </w:r>
      <w:r w:rsidR="001A7B92">
        <w:rPr>
          <w:lang w:val="de-DE"/>
        </w:rPr>
        <w:t>„</w:t>
      </w:r>
      <w:r w:rsidR="00B94615">
        <w:rPr>
          <w:lang w:val="de-DE"/>
        </w:rPr>
        <w:t>Bericht</w:t>
      </w:r>
      <w:r w:rsidR="001A7B92">
        <w:rPr>
          <w:lang w:val="de-DE"/>
        </w:rPr>
        <w:t>“</w:t>
      </w:r>
      <w:r w:rsidRPr="00CD1E43">
        <w:rPr>
          <w:lang w:val="de-DE"/>
        </w:rPr>
        <w:t>, Absatz 39.</w:t>
      </w:r>
    </w:p>
  </w:footnote>
  <w:footnote w:id="17">
    <w:p w14:paraId="607C22DB" w14:textId="054277A2" w:rsidR="00214329" w:rsidRPr="00CD1E43" w:rsidRDefault="0060633E">
      <w:pPr>
        <w:pStyle w:val="FootnoteText"/>
        <w:rPr>
          <w:lang w:val="de-DE"/>
        </w:rPr>
      </w:pPr>
      <w:r>
        <w:rPr>
          <w:rStyle w:val="FootnoteReference"/>
        </w:rPr>
        <w:footnoteRef/>
      </w:r>
      <w:r w:rsidRPr="00CD1E43">
        <w:rPr>
          <w:lang w:val="de-DE"/>
        </w:rPr>
        <w:t xml:space="preserve"> </w:t>
      </w:r>
      <w:r w:rsidR="00B94615">
        <w:rPr>
          <w:lang w:val="de-DE"/>
        </w:rPr>
        <w:tab/>
      </w:r>
      <w:r w:rsidR="005068FD">
        <w:rPr>
          <w:lang w:val="de-DE"/>
        </w:rPr>
        <w:t>vergleiche Dokument</w:t>
      </w:r>
      <w:r w:rsidRPr="00CD1E43">
        <w:rPr>
          <w:lang w:val="de-DE"/>
        </w:rPr>
        <w:t xml:space="preserve"> TC/59/28 </w:t>
      </w:r>
      <w:r w:rsidR="001A7B92">
        <w:rPr>
          <w:lang w:val="de-DE"/>
        </w:rPr>
        <w:t>„</w:t>
      </w:r>
      <w:r w:rsidR="00B94615">
        <w:rPr>
          <w:lang w:val="de-DE"/>
        </w:rPr>
        <w:t>Bericht</w:t>
      </w:r>
      <w:r w:rsidR="001A7B92">
        <w:rPr>
          <w:lang w:val="de-DE"/>
        </w:rPr>
        <w:t>“</w:t>
      </w:r>
      <w:r w:rsidRPr="00CD1E43">
        <w:rPr>
          <w:lang w:val="de-DE"/>
        </w:rPr>
        <w:t>, Absatz 40.</w:t>
      </w:r>
    </w:p>
  </w:footnote>
  <w:footnote w:id="18">
    <w:p w14:paraId="155203FA" w14:textId="61F43879" w:rsidR="00214329" w:rsidRPr="00CD1E43" w:rsidRDefault="0060633E">
      <w:pPr>
        <w:pStyle w:val="FootnoteText"/>
        <w:rPr>
          <w:lang w:val="de-DE"/>
        </w:rPr>
      </w:pPr>
      <w:r>
        <w:rPr>
          <w:rStyle w:val="FootnoteReference"/>
        </w:rPr>
        <w:footnoteRef/>
      </w:r>
      <w:r w:rsidR="005210DF" w:rsidRPr="00CD1E43">
        <w:rPr>
          <w:lang w:val="de-DE"/>
        </w:rPr>
        <w:tab/>
      </w:r>
      <w:r w:rsidR="005068FD">
        <w:rPr>
          <w:lang w:val="de-DE"/>
        </w:rPr>
        <w:t>vergleiche Dokument</w:t>
      </w:r>
      <w:r w:rsidRPr="00CD1E43">
        <w:rPr>
          <w:lang w:val="de-DE"/>
        </w:rPr>
        <w:t xml:space="preserve"> TC/59/28 </w:t>
      </w:r>
      <w:r w:rsidR="001A7B92">
        <w:rPr>
          <w:lang w:val="de-DE"/>
        </w:rPr>
        <w:t>„</w:t>
      </w:r>
      <w:r w:rsidR="009C2C59">
        <w:rPr>
          <w:lang w:val="de-DE"/>
        </w:rPr>
        <w:t>Berich</w:t>
      </w:r>
      <w:r w:rsidR="001A7B92">
        <w:rPr>
          <w:lang w:val="de-DE"/>
        </w:rPr>
        <w:t>t“</w:t>
      </w:r>
      <w:r w:rsidRPr="00CD1E43">
        <w:rPr>
          <w:lang w:val="de-DE"/>
        </w:rPr>
        <w:t>, Absätze 35 bis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23B1" w14:textId="32F4A42B" w:rsidR="00214329" w:rsidRDefault="00BD6E50">
    <w:pPr>
      <w:pStyle w:val="Header"/>
      <w:rPr>
        <w:rStyle w:val="PageNumber"/>
        <w:lang w:val="en-US"/>
      </w:rPr>
    </w:pPr>
    <w:r>
      <w:rPr>
        <w:rStyle w:val="PageNumber"/>
        <w:lang w:val="en-US"/>
      </w:rPr>
      <w:t>SESSIONS</w:t>
    </w:r>
    <w:r w:rsidR="00C047FC">
      <w:rPr>
        <w:rStyle w:val="PageNumber"/>
        <w:lang w:val="en-US"/>
      </w:rPr>
      <w:t>/2024/2</w:t>
    </w:r>
  </w:p>
  <w:p w14:paraId="3FB71BDC" w14:textId="77777777" w:rsidR="00214329" w:rsidRDefault="0060633E">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6EB4A99A"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D486F" w14:textId="4E32E74B" w:rsidR="00214329" w:rsidRDefault="00BC74B6">
    <w:pPr>
      <w:pStyle w:val="Header"/>
      <w:rPr>
        <w:rStyle w:val="PageNumber"/>
        <w:lang w:val="en-US"/>
      </w:rPr>
    </w:pPr>
    <w:r>
      <w:rPr>
        <w:rStyle w:val="PageNumber"/>
        <w:lang w:val="en-US"/>
      </w:rPr>
      <w:t>SESSIONS</w:t>
    </w:r>
    <w:r w:rsidR="0060633E">
      <w:rPr>
        <w:rStyle w:val="PageNumber"/>
        <w:lang w:val="en-US"/>
      </w:rPr>
      <w:t>/2024/2</w:t>
    </w:r>
  </w:p>
  <w:p w14:paraId="2750D47E" w14:textId="7B0077B8" w:rsidR="00214329" w:rsidRDefault="00B140F2">
    <w:pPr>
      <w:pStyle w:val="Header"/>
      <w:rPr>
        <w:lang w:val="en-US"/>
      </w:rPr>
    </w:pPr>
    <w:r>
      <w:rPr>
        <w:lang w:val="en-US"/>
      </w:rPr>
      <w:t>Anlage</w:t>
    </w:r>
    <w:r w:rsidR="0060633E">
      <w:rPr>
        <w:lang w:val="en-US"/>
      </w:rPr>
      <w:t xml:space="preserve"> I, </w:t>
    </w:r>
    <w:r w:rsidR="0060633E" w:rsidRPr="00C5280D">
      <w:rPr>
        <w:lang w:val="en-US"/>
      </w:rPr>
      <w:t xml:space="preserve">Seite </w:t>
    </w:r>
    <w:r w:rsidR="0060633E" w:rsidRPr="00C5280D">
      <w:rPr>
        <w:rStyle w:val="PageNumber"/>
        <w:lang w:val="en-US"/>
      </w:rPr>
      <w:fldChar w:fldCharType="begin"/>
    </w:r>
    <w:r w:rsidR="0060633E" w:rsidRPr="00C5280D">
      <w:rPr>
        <w:rStyle w:val="PageNumber"/>
        <w:lang w:val="en-US"/>
      </w:rPr>
      <w:instrText xml:space="preserve"> PAGE </w:instrText>
    </w:r>
    <w:r w:rsidR="0060633E" w:rsidRPr="00C5280D">
      <w:rPr>
        <w:rStyle w:val="PageNumber"/>
        <w:lang w:val="en-US"/>
      </w:rPr>
      <w:fldChar w:fldCharType="separate"/>
    </w:r>
    <w:r w:rsidR="0060633E">
      <w:rPr>
        <w:rStyle w:val="PageNumber"/>
        <w:noProof/>
        <w:lang w:val="en-US"/>
      </w:rPr>
      <w:t>2</w:t>
    </w:r>
    <w:r w:rsidR="0060633E" w:rsidRPr="00C5280D">
      <w:rPr>
        <w:rStyle w:val="PageNumber"/>
        <w:lang w:val="en-US"/>
      </w:rPr>
      <w:fldChar w:fldCharType="end"/>
    </w:r>
  </w:p>
  <w:p w14:paraId="62F4BD83" w14:textId="77777777" w:rsidR="00F52D7C" w:rsidRPr="00C5280D" w:rsidRDefault="00F52D7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5335" w14:textId="1A2E7068" w:rsidR="00214329" w:rsidRDefault="0012232A">
    <w:pPr>
      <w:pStyle w:val="Header"/>
      <w:rPr>
        <w:rStyle w:val="PageNumber"/>
        <w:lang w:val="en-US"/>
      </w:rPr>
    </w:pPr>
    <w:r>
      <w:rPr>
        <w:rStyle w:val="PageNumber"/>
        <w:lang w:val="en-US"/>
      </w:rPr>
      <w:t>SESSIONS</w:t>
    </w:r>
    <w:r w:rsidR="0060633E">
      <w:rPr>
        <w:rStyle w:val="PageNumber"/>
        <w:lang w:val="en-US"/>
      </w:rPr>
      <w:t>/2024/2</w:t>
    </w:r>
  </w:p>
  <w:p w14:paraId="68B5DBFD" w14:textId="77777777" w:rsidR="00381E66" w:rsidRPr="0004198B" w:rsidRDefault="00381E66"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53F8" w14:textId="20484971" w:rsidR="00214329" w:rsidRDefault="00BC74B6">
    <w:pPr>
      <w:pStyle w:val="Header"/>
      <w:rPr>
        <w:rStyle w:val="PageNumber"/>
        <w:lang w:val="en-US"/>
      </w:rPr>
    </w:pPr>
    <w:r>
      <w:rPr>
        <w:rStyle w:val="PageNumber"/>
        <w:lang w:val="en-US"/>
      </w:rPr>
      <w:t>SESSIONS</w:t>
    </w:r>
    <w:r w:rsidR="0060633E">
      <w:rPr>
        <w:rStyle w:val="PageNumber"/>
        <w:lang w:val="en-US"/>
      </w:rPr>
      <w:t>/2024/2</w:t>
    </w:r>
  </w:p>
  <w:p w14:paraId="63B54A40" w14:textId="5B355C98" w:rsidR="00214329" w:rsidRDefault="006270BD">
    <w:pPr>
      <w:pStyle w:val="Header"/>
      <w:rPr>
        <w:lang w:val="en-US"/>
      </w:rPr>
    </w:pPr>
    <w:r>
      <w:rPr>
        <w:lang w:val="en-US"/>
      </w:rPr>
      <w:t>Anlage</w:t>
    </w:r>
    <w:r w:rsidR="0060633E">
      <w:rPr>
        <w:lang w:val="en-US"/>
      </w:rPr>
      <w:t xml:space="preserve"> II, </w:t>
    </w:r>
    <w:r w:rsidR="0060633E" w:rsidRPr="00C5280D">
      <w:rPr>
        <w:lang w:val="en-US"/>
      </w:rPr>
      <w:t xml:space="preserve">Seite </w:t>
    </w:r>
    <w:r w:rsidR="0060633E" w:rsidRPr="00C5280D">
      <w:rPr>
        <w:rStyle w:val="PageNumber"/>
        <w:lang w:val="en-US"/>
      </w:rPr>
      <w:fldChar w:fldCharType="begin"/>
    </w:r>
    <w:r w:rsidR="0060633E" w:rsidRPr="00C5280D">
      <w:rPr>
        <w:rStyle w:val="PageNumber"/>
        <w:lang w:val="en-US"/>
      </w:rPr>
      <w:instrText xml:space="preserve"> PAGE </w:instrText>
    </w:r>
    <w:r w:rsidR="0060633E" w:rsidRPr="00C5280D">
      <w:rPr>
        <w:rStyle w:val="PageNumber"/>
        <w:lang w:val="en-US"/>
      </w:rPr>
      <w:fldChar w:fldCharType="separate"/>
    </w:r>
    <w:r w:rsidR="0060633E">
      <w:rPr>
        <w:rStyle w:val="PageNumber"/>
        <w:noProof/>
        <w:lang w:val="en-US"/>
      </w:rPr>
      <w:t>2</w:t>
    </w:r>
    <w:r w:rsidR="0060633E" w:rsidRPr="00C5280D">
      <w:rPr>
        <w:rStyle w:val="PageNumber"/>
        <w:lang w:val="en-US"/>
      </w:rPr>
      <w:fldChar w:fldCharType="end"/>
    </w:r>
  </w:p>
  <w:p w14:paraId="3CEE6E70" w14:textId="77777777" w:rsidR="00706B5B" w:rsidRPr="00C5280D" w:rsidRDefault="00706B5B"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4CDDE" w14:textId="3B89827D" w:rsidR="00214329" w:rsidRDefault="009C1D7B">
    <w:pPr>
      <w:pStyle w:val="Header"/>
      <w:rPr>
        <w:rStyle w:val="PageNumber"/>
        <w:lang w:val="en-US"/>
      </w:rPr>
    </w:pPr>
    <w:r>
      <w:rPr>
        <w:rStyle w:val="PageNumber"/>
        <w:lang w:val="en-US"/>
      </w:rPr>
      <w:t>SESSIONS</w:t>
    </w:r>
    <w:r w:rsidR="0060633E">
      <w:rPr>
        <w:rStyle w:val="PageNumber"/>
        <w:lang w:val="en-US"/>
      </w:rPr>
      <w:t>/2024/2</w:t>
    </w:r>
  </w:p>
  <w:p w14:paraId="24FAA43A" w14:textId="4750E2CC" w:rsidR="00214329" w:rsidRDefault="0060633E">
    <w:pPr>
      <w:pStyle w:val="Header"/>
      <w:rPr>
        <w:lang w:val="en-US"/>
      </w:rPr>
    </w:pPr>
    <w:r>
      <w:rPr>
        <w:lang w:val="en-US"/>
      </w:rPr>
      <w:t>An</w:t>
    </w:r>
    <w:r w:rsidR="009C1D7B">
      <w:rPr>
        <w:lang w:val="en-US"/>
      </w:rPr>
      <w:t>lage</w:t>
    </w:r>
    <w:r>
      <w:rPr>
        <w:lang w:val="en-US"/>
      </w:rPr>
      <w:t xml:space="preserve"> I</w:t>
    </w:r>
    <w:r w:rsidR="00BB07F4">
      <w:rPr>
        <w:lang w:val="en-US"/>
      </w:rPr>
      <w:t>II</w:t>
    </w:r>
    <w:r>
      <w:rPr>
        <w:lang w:val="en-US"/>
      </w:rPr>
      <w:t xml:space="preserve">, </w:t>
    </w: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E7B1219" w14:textId="77777777" w:rsidR="00A71AE6" w:rsidRPr="00C5280D" w:rsidRDefault="00A71AE6"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9434A" w14:textId="77777777" w:rsidR="00BB07F4" w:rsidRDefault="00BB07F4">
    <w:pPr>
      <w:pStyle w:val="Header"/>
      <w:rPr>
        <w:rStyle w:val="PageNumber"/>
        <w:lang w:val="en-US"/>
      </w:rPr>
    </w:pPr>
    <w:r>
      <w:rPr>
        <w:rStyle w:val="PageNumber"/>
        <w:lang w:val="en-US"/>
      </w:rPr>
      <w:t>SESSIONS/2024/2</w:t>
    </w:r>
  </w:p>
  <w:p w14:paraId="55B73104" w14:textId="2C1822AC" w:rsidR="00BB07F4" w:rsidRDefault="00BB07F4">
    <w:pPr>
      <w:pStyle w:val="Header"/>
      <w:rPr>
        <w:lang w:val="en-US"/>
      </w:rPr>
    </w:pPr>
    <w:r>
      <w:rPr>
        <w:lang w:val="en-US"/>
      </w:rPr>
      <w:t xml:space="preserve">Anlage IV, </w:t>
    </w: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FE05D10" w14:textId="77777777" w:rsidR="00BB07F4" w:rsidRPr="00C5280D" w:rsidRDefault="00BB07F4"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01B83" w14:textId="18632342" w:rsidR="00214329" w:rsidRDefault="00542DF9">
    <w:pPr>
      <w:pStyle w:val="Header"/>
      <w:rPr>
        <w:rStyle w:val="PageNumber"/>
        <w:lang w:val="en-US"/>
      </w:rPr>
    </w:pPr>
    <w:r>
      <w:rPr>
        <w:rStyle w:val="PageNumber"/>
        <w:lang w:val="en-US"/>
      </w:rPr>
      <w:t>SESSIONS</w:t>
    </w:r>
    <w:r w:rsidR="0060633E">
      <w:rPr>
        <w:rStyle w:val="PageNumber"/>
        <w:lang w:val="en-US"/>
      </w:rPr>
      <w:t>/2024/2</w:t>
    </w:r>
  </w:p>
  <w:p w14:paraId="70CC4B7A" w14:textId="2732FAB8" w:rsidR="00214329" w:rsidRDefault="0060633E">
    <w:pPr>
      <w:pStyle w:val="Header"/>
      <w:rPr>
        <w:lang w:val="en-US"/>
      </w:rPr>
    </w:pPr>
    <w:r>
      <w:rPr>
        <w:lang w:val="en-US"/>
      </w:rPr>
      <w:t>An</w:t>
    </w:r>
    <w:r w:rsidR="00542DF9">
      <w:rPr>
        <w:lang w:val="en-US"/>
      </w:rPr>
      <w:t>lage</w:t>
    </w:r>
    <w:r>
      <w:rPr>
        <w:lang w:val="en-US"/>
      </w:rPr>
      <w:t xml:space="preserve"> V,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8786DD2" w14:textId="77777777" w:rsidR="00FD5225" w:rsidRPr="00C5280D" w:rsidRDefault="00FD5225"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75A30"/>
    <w:multiLevelType w:val="hybridMultilevel"/>
    <w:tmpl w:val="D804A2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0D7565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1583A8F"/>
    <w:multiLevelType w:val="hybridMultilevel"/>
    <w:tmpl w:val="6F9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E95687"/>
    <w:multiLevelType w:val="hybridMultilevel"/>
    <w:tmpl w:val="02061536"/>
    <w:lvl w:ilvl="0" w:tplc="675006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166020"/>
    <w:multiLevelType w:val="hybridMultilevel"/>
    <w:tmpl w:val="44803B7C"/>
    <w:lvl w:ilvl="0" w:tplc="1C80C132">
      <w:numFmt w:val="bullet"/>
      <w:lvlText w:val="-"/>
      <w:lvlJc w:val="left"/>
      <w:pPr>
        <w:ind w:left="1215" w:hanging="360"/>
      </w:pPr>
      <w:rPr>
        <w:rFonts w:ascii="Arial" w:eastAsia="Times New Roman" w:hAnsi="Arial" w:cs="Aria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5" w15:restartNumberingAfterBreak="0">
    <w:nsid w:val="07265CD7"/>
    <w:multiLevelType w:val="hybridMultilevel"/>
    <w:tmpl w:val="CD02466E"/>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958B4"/>
    <w:multiLevelType w:val="hybridMultilevel"/>
    <w:tmpl w:val="83108DF8"/>
    <w:lvl w:ilvl="0" w:tplc="0D9EE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E031C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56424A"/>
    <w:multiLevelType w:val="hybridMultilevel"/>
    <w:tmpl w:val="4CFEFF0A"/>
    <w:lvl w:ilvl="0" w:tplc="E0A6E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A50502"/>
    <w:multiLevelType w:val="hybridMultilevel"/>
    <w:tmpl w:val="BB0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0F4261"/>
    <w:multiLevelType w:val="hybridMultilevel"/>
    <w:tmpl w:val="80C22BA0"/>
    <w:lvl w:ilvl="0" w:tplc="C008671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631B02"/>
    <w:multiLevelType w:val="hybridMultilevel"/>
    <w:tmpl w:val="D256B04E"/>
    <w:lvl w:ilvl="0" w:tplc="8EAE4D46">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676E8F"/>
    <w:multiLevelType w:val="hybridMultilevel"/>
    <w:tmpl w:val="1F0EC4EA"/>
    <w:lvl w:ilvl="0" w:tplc="04070017">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4" w15:restartNumberingAfterBreak="0">
    <w:nsid w:val="178F032D"/>
    <w:multiLevelType w:val="hybridMultilevel"/>
    <w:tmpl w:val="9A262AD2"/>
    <w:lvl w:ilvl="0" w:tplc="3D428B12">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5" w15:restartNumberingAfterBreak="0">
    <w:nsid w:val="1E513ABD"/>
    <w:multiLevelType w:val="hybridMultilevel"/>
    <w:tmpl w:val="E7D20002"/>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CC10F3"/>
    <w:multiLevelType w:val="hybridMultilevel"/>
    <w:tmpl w:val="6CE4DDD6"/>
    <w:lvl w:ilvl="0" w:tplc="F5264B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DEA1DD3"/>
    <w:multiLevelType w:val="hybridMultilevel"/>
    <w:tmpl w:val="E42C23EA"/>
    <w:lvl w:ilvl="0" w:tplc="9C3A07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470757"/>
    <w:multiLevelType w:val="hybridMultilevel"/>
    <w:tmpl w:val="BA3E7CB4"/>
    <w:lvl w:ilvl="0" w:tplc="C68EE5AC">
      <w:numFmt w:val="bullet"/>
      <w:lvlText w:val="-"/>
      <w:lvlJc w:val="left"/>
      <w:pPr>
        <w:ind w:left="1137" w:hanging="57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30BD6EF4"/>
    <w:multiLevelType w:val="hybridMultilevel"/>
    <w:tmpl w:val="9676A2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49A57027"/>
    <w:multiLevelType w:val="hybridMultilevel"/>
    <w:tmpl w:val="8A3CB792"/>
    <w:lvl w:ilvl="0" w:tplc="BD7831B0">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1" w15:restartNumberingAfterBreak="0">
    <w:nsid w:val="4BA94A08"/>
    <w:multiLevelType w:val="hybridMultilevel"/>
    <w:tmpl w:val="11AA23F8"/>
    <w:lvl w:ilvl="0" w:tplc="B8C4B3E6">
      <w:numFmt w:val="bullet"/>
      <w:lvlText w:val="-"/>
      <w:lvlJc w:val="left"/>
      <w:pPr>
        <w:ind w:left="2061" w:hanging="360"/>
      </w:pPr>
      <w:rPr>
        <w:rFonts w:ascii="Arial" w:eastAsia="Times New Roman"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2"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DD7091A"/>
    <w:multiLevelType w:val="hybridMultilevel"/>
    <w:tmpl w:val="A27A9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AC8710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CA279B0"/>
    <w:multiLevelType w:val="hybridMultilevel"/>
    <w:tmpl w:val="5688FCF6"/>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E264F1"/>
    <w:multiLevelType w:val="hybridMultilevel"/>
    <w:tmpl w:val="04047746"/>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0A62AE"/>
    <w:multiLevelType w:val="hybridMultilevel"/>
    <w:tmpl w:val="3CF88894"/>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9" w15:restartNumberingAfterBreak="0">
    <w:nsid w:val="725A35F7"/>
    <w:multiLevelType w:val="hybridMultilevel"/>
    <w:tmpl w:val="69820108"/>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5215251"/>
    <w:multiLevelType w:val="hybridMultilevel"/>
    <w:tmpl w:val="5DE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531464">
    <w:abstractNumId w:val="22"/>
  </w:num>
  <w:num w:numId="2" w16cid:durableId="1267957298">
    <w:abstractNumId w:val="27"/>
  </w:num>
  <w:num w:numId="3" w16cid:durableId="286397035">
    <w:abstractNumId w:val="38"/>
  </w:num>
  <w:num w:numId="4" w16cid:durableId="1357851270">
    <w:abstractNumId w:val="21"/>
  </w:num>
  <w:num w:numId="5" w16cid:durableId="270942129">
    <w:abstractNumId w:val="31"/>
  </w:num>
  <w:num w:numId="6" w16cid:durableId="616762732">
    <w:abstractNumId w:val="39"/>
  </w:num>
  <w:num w:numId="7" w16cid:durableId="194200342">
    <w:abstractNumId w:val="12"/>
  </w:num>
  <w:num w:numId="8" w16cid:durableId="1789009627">
    <w:abstractNumId w:val="40"/>
  </w:num>
  <w:num w:numId="9" w16cid:durableId="2093118176">
    <w:abstractNumId w:val="28"/>
  </w:num>
  <w:num w:numId="10" w16cid:durableId="1449743456">
    <w:abstractNumId w:val="37"/>
  </w:num>
  <w:num w:numId="11" w16cid:durableId="493953420">
    <w:abstractNumId w:val="20"/>
  </w:num>
  <w:num w:numId="12" w16cid:durableId="913709342">
    <w:abstractNumId w:val="35"/>
  </w:num>
  <w:num w:numId="13" w16cid:durableId="1264459060">
    <w:abstractNumId w:val="26"/>
  </w:num>
  <w:num w:numId="14" w16cid:durableId="271519213">
    <w:abstractNumId w:val="26"/>
    <w:lvlOverride w:ilvl="0">
      <w:startOverride w:val="1"/>
    </w:lvlOverride>
  </w:num>
  <w:num w:numId="15" w16cid:durableId="4715580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0387578">
    <w:abstractNumId w:val="29"/>
  </w:num>
  <w:num w:numId="17" w16cid:durableId="2011251231">
    <w:abstractNumId w:val="9"/>
  </w:num>
  <w:num w:numId="18" w16cid:durableId="1343317559">
    <w:abstractNumId w:val="7"/>
  </w:num>
  <w:num w:numId="19" w16cid:durableId="662778246">
    <w:abstractNumId w:val="6"/>
  </w:num>
  <w:num w:numId="20" w16cid:durableId="616327631">
    <w:abstractNumId w:val="5"/>
  </w:num>
  <w:num w:numId="21" w16cid:durableId="168982897">
    <w:abstractNumId w:val="4"/>
  </w:num>
  <w:num w:numId="22" w16cid:durableId="682590056">
    <w:abstractNumId w:val="8"/>
  </w:num>
  <w:num w:numId="23" w16cid:durableId="2100248240">
    <w:abstractNumId w:val="3"/>
  </w:num>
  <w:num w:numId="24" w16cid:durableId="957103579">
    <w:abstractNumId w:val="2"/>
  </w:num>
  <w:num w:numId="25" w16cid:durableId="1230844875">
    <w:abstractNumId w:val="1"/>
  </w:num>
  <w:num w:numId="26" w16cid:durableId="896352686">
    <w:abstractNumId w:val="0"/>
  </w:num>
  <w:num w:numId="27" w16cid:durableId="1652977457">
    <w:abstractNumId w:val="15"/>
  </w:num>
  <w:num w:numId="28" w16cid:durableId="198398917">
    <w:abstractNumId w:val="24"/>
  </w:num>
  <w:num w:numId="29" w16cid:durableId="657802909">
    <w:abstractNumId w:val="32"/>
  </w:num>
  <w:num w:numId="30" w16cid:durableId="1393044368">
    <w:abstractNumId w:val="10"/>
  </w:num>
  <w:num w:numId="31" w16cid:durableId="1688407979">
    <w:abstractNumId w:val="36"/>
  </w:num>
  <w:num w:numId="32" w16cid:durableId="1727413731">
    <w:abstractNumId w:val="23"/>
  </w:num>
  <w:num w:numId="33" w16cid:durableId="491533162">
    <w:abstractNumId w:val="25"/>
  </w:num>
  <w:num w:numId="34" w16cid:durableId="156313882">
    <w:abstractNumId w:val="16"/>
  </w:num>
  <w:num w:numId="35" w16cid:durableId="816648212">
    <w:abstractNumId w:val="13"/>
  </w:num>
  <w:num w:numId="36" w16cid:durableId="1227910163">
    <w:abstractNumId w:val="30"/>
  </w:num>
  <w:num w:numId="37" w16cid:durableId="1189680051">
    <w:abstractNumId w:val="18"/>
  </w:num>
  <w:num w:numId="38" w16cid:durableId="12430293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00500"/>
    <w:rsid w:val="0000075D"/>
    <w:rsid w:val="00000890"/>
    <w:rsid w:val="00002D35"/>
    <w:rsid w:val="0000413D"/>
    <w:rsid w:val="00005CB0"/>
    <w:rsid w:val="00010CF3"/>
    <w:rsid w:val="00011E27"/>
    <w:rsid w:val="0001278C"/>
    <w:rsid w:val="000129C3"/>
    <w:rsid w:val="00014540"/>
    <w:rsid w:val="000148BC"/>
    <w:rsid w:val="00016776"/>
    <w:rsid w:val="000174E0"/>
    <w:rsid w:val="00017C08"/>
    <w:rsid w:val="00020E3E"/>
    <w:rsid w:val="0002193C"/>
    <w:rsid w:val="00022724"/>
    <w:rsid w:val="00022BA9"/>
    <w:rsid w:val="00024AB8"/>
    <w:rsid w:val="00024D72"/>
    <w:rsid w:val="000258D2"/>
    <w:rsid w:val="00025E4D"/>
    <w:rsid w:val="00030854"/>
    <w:rsid w:val="00030D7E"/>
    <w:rsid w:val="00031563"/>
    <w:rsid w:val="0003384C"/>
    <w:rsid w:val="000344EA"/>
    <w:rsid w:val="00034C6D"/>
    <w:rsid w:val="00036028"/>
    <w:rsid w:val="000373D4"/>
    <w:rsid w:val="00037EEC"/>
    <w:rsid w:val="000410DC"/>
    <w:rsid w:val="0004198B"/>
    <w:rsid w:val="00044642"/>
    <w:rsid w:val="000446B9"/>
    <w:rsid w:val="0004556B"/>
    <w:rsid w:val="000456CB"/>
    <w:rsid w:val="00046215"/>
    <w:rsid w:val="00046320"/>
    <w:rsid w:val="00046939"/>
    <w:rsid w:val="00047E21"/>
    <w:rsid w:val="00050E16"/>
    <w:rsid w:val="000539BA"/>
    <w:rsid w:val="000564E1"/>
    <w:rsid w:val="00057538"/>
    <w:rsid w:val="00063935"/>
    <w:rsid w:val="0006436F"/>
    <w:rsid w:val="0006534F"/>
    <w:rsid w:val="00067000"/>
    <w:rsid w:val="0007028B"/>
    <w:rsid w:val="00070B54"/>
    <w:rsid w:val="00070DB3"/>
    <w:rsid w:val="00073889"/>
    <w:rsid w:val="0007491D"/>
    <w:rsid w:val="0008059C"/>
    <w:rsid w:val="00082891"/>
    <w:rsid w:val="00082A27"/>
    <w:rsid w:val="000838A0"/>
    <w:rsid w:val="00083D3B"/>
    <w:rsid w:val="00083EE9"/>
    <w:rsid w:val="000845CB"/>
    <w:rsid w:val="00085505"/>
    <w:rsid w:val="0008563D"/>
    <w:rsid w:val="00087C47"/>
    <w:rsid w:val="00087CC5"/>
    <w:rsid w:val="00090ED9"/>
    <w:rsid w:val="00092DAD"/>
    <w:rsid w:val="00093B4B"/>
    <w:rsid w:val="00094E35"/>
    <w:rsid w:val="00095BA3"/>
    <w:rsid w:val="00096370"/>
    <w:rsid w:val="00096C85"/>
    <w:rsid w:val="000A0BDC"/>
    <w:rsid w:val="000A1A31"/>
    <w:rsid w:val="000A4626"/>
    <w:rsid w:val="000A4FAE"/>
    <w:rsid w:val="000B089C"/>
    <w:rsid w:val="000B53DB"/>
    <w:rsid w:val="000C1372"/>
    <w:rsid w:val="000C19CA"/>
    <w:rsid w:val="000C2B53"/>
    <w:rsid w:val="000C4E25"/>
    <w:rsid w:val="000C6883"/>
    <w:rsid w:val="000C7021"/>
    <w:rsid w:val="000C7782"/>
    <w:rsid w:val="000C7CDD"/>
    <w:rsid w:val="000D0259"/>
    <w:rsid w:val="000D0B01"/>
    <w:rsid w:val="000D1052"/>
    <w:rsid w:val="000D38DB"/>
    <w:rsid w:val="000D4ACA"/>
    <w:rsid w:val="000D5293"/>
    <w:rsid w:val="000D57A8"/>
    <w:rsid w:val="000D58EE"/>
    <w:rsid w:val="000D5F98"/>
    <w:rsid w:val="000D6BBC"/>
    <w:rsid w:val="000D7780"/>
    <w:rsid w:val="000E0E35"/>
    <w:rsid w:val="000E106C"/>
    <w:rsid w:val="000E1190"/>
    <w:rsid w:val="000E2BED"/>
    <w:rsid w:val="000E3FBD"/>
    <w:rsid w:val="000E5154"/>
    <w:rsid w:val="000E636A"/>
    <w:rsid w:val="000E7F3C"/>
    <w:rsid w:val="000F0243"/>
    <w:rsid w:val="000F2F11"/>
    <w:rsid w:val="000F4ACF"/>
    <w:rsid w:val="000F6062"/>
    <w:rsid w:val="001003C3"/>
    <w:rsid w:val="00100A5F"/>
    <w:rsid w:val="001015D3"/>
    <w:rsid w:val="001023C8"/>
    <w:rsid w:val="00102DB6"/>
    <w:rsid w:val="00105929"/>
    <w:rsid w:val="00110BED"/>
    <w:rsid w:val="00110C36"/>
    <w:rsid w:val="001131D5"/>
    <w:rsid w:val="00114145"/>
    <w:rsid w:val="00114547"/>
    <w:rsid w:val="00114C34"/>
    <w:rsid w:val="00117780"/>
    <w:rsid w:val="00117D66"/>
    <w:rsid w:val="00120900"/>
    <w:rsid w:val="0012129B"/>
    <w:rsid w:val="00121E39"/>
    <w:rsid w:val="0012232A"/>
    <w:rsid w:val="00122C95"/>
    <w:rsid w:val="00123BB5"/>
    <w:rsid w:val="001245A2"/>
    <w:rsid w:val="001259C6"/>
    <w:rsid w:val="00130515"/>
    <w:rsid w:val="00130D28"/>
    <w:rsid w:val="00131CFF"/>
    <w:rsid w:val="00132151"/>
    <w:rsid w:val="001329DB"/>
    <w:rsid w:val="001331EA"/>
    <w:rsid w:val="00134F0F"/>
    <w:rsid w:val="00135F36"/>
    <w:rsid w:val="00137E43"/>
    <w:rsid w:val="00137F4D"/>
    <w:rsid w:val="00140936"/>
    <w:rsid w:val="00141814"/>
    <w:rsid w:val="00141DB8"/>
    <w:rsid w:val="001435BF"/>
    <w:rsid w:val="0014709A"/>
    <w:rsid w:val="001507FD"/>
    <w:rsid w:val="00150A60"/>
    <w:rsid w:val="00151B04"/>
    <w:rsid w:val="00152C86"/>
    <w:rsid w:val="00152EDF"/>
    <w:rsid w:val="0015474A"/>
    <w:rsid w:val="00154DD8"/>
    <w:rsid w:val="00156701"/>
    <w:rsid w:val="00156AEB"/>
    <w:rsid w:val="00157599"/>
    <w:rsid w:val="00157C72"/>
    <w:rsid w:val="0016239A"/>
    <w:rsid w:val="00164426"/>
    <w:rsid w:val="00164902"/>
    <w:rsid w:val="00166F68"/>
    <w:rsid w:val="0017079E"/>
    <w:rsid w:val="00172084"/>
    <w:rsid w:val="0017259B"/>
    <w:rsid w:val="00172739"/>
    <w:rsid w:val="001727DA"/>
    <w:rsid w:val="0017474A"/>
    <w:rsid w:val="001750DB"/>
    <w:rsid w:val="001758C6"/>
    <w:rsid w:val="0017630C"/>
    <w:rsid w:val="00182B99"/>
    <w:rsid w:val="00183025"/>
    <w:rsid w:val="00185529"/>
    <w:rsid w:val="00186C7B"/>
    <w:rsid w:val="00187565"/>
    <w:rsid w:val="00187ABD"/>
    <w:rsid w:val="00187BA7"/>
    <w:rsid w:val="00190742"/>
    <w:rsid w:val="0019150B"/>
    <w:rsid w:val="00192A58"/>
    <w:rsid w:val="00194AE6"/>
    <w:rsid w:val="00195454"/>
    <w:rsid w:val="00196D8B"/>
    <w:rsid w:val="00197EE5"/>
    <w:rsid w:val="001A03FA"/>
    <w:rsid w:val="001A10B5"/>
    <w:rsid w:val="001A2143"/>
    <w:rsid w:val="001A5043"/>
    <w:rsid w:val="001A56C6"/>
    <w:rsid w:val="001A6BC1"/>
    <w:rsid w:val="001A6DBA"/>
    <w:rsid w:val="001A76D7"/>
    <w:rsid w:val="001A7B92"/>
    <w:rsid w:val="001B2365"/>
    <w:rsid w:val="001B25E5"/>
    <w:rsid w:val="001B2D52"/>
    <w:rsid w:val="001B55B0"/>
    <w:rsid w:val="001B6CF4"/>
    <w:rsid w:val="001B7951"/>
    <w:rsid w:val="001C1525"/>
    <w:rsid w:val="001C2B5F"/>
    <w:rsid w:val="001C3945"/>
    <w:rsid w:val="001C4358"/>
    <w:rsid w:val="001C4FD6"/>
    <w:rsid w:val="001C5834"/>
    <w:rsid w:val="001C697F"/>
    <w:rsid w:val="001C6CCE"/>
    <w:rsid w:val="001C7394"/>
    <w:rsid w:val="001D28C4"/>
    <w:rsid w:val="001D2E0C"/>
    <w:rsid w:val="001D37D6"/>
    <w:rsid w:val="001D56A3"/>
    <w:rsid w:val="001D5A22"/>
    <w:rsid w:val="001D736D"/>
    <w:rsid w:val="001E0F1C"/>
    <w:rsid w:val="001E1777"/>
    <w:rsid w:val="001E22A4"/>
    <w:rsid w:val="001E2B1C"/>
    <w:rsid w:val="001E3290"/>
    <w:rsid w:val="001F146A"/>
    <w:rsid w:val="001F3D9F"/>
    <w:rsid w:val="001F4EB9"/>
    <w:rsid w:val="001F7518"/>
    <w:rsid w:val="001F7B45"/>
    <w:rsid w:val="002006BE"/>
    <w:rsid w:val="00204E23"/>
    <w:rsid w:val="0021332C"/>
    <w:rsid w:val="00213982"/>
    <w:rsid w:val="00214329"/>
    <w:rsid w:val="002160CB"/>
    <w:rsid w:val="002164A9"/>
    <w:rsid w:val="0021727A"/>
    <w:rsid w:val="002213E8"/>
    <w:rsid w:val="00223459"/>
    <w:rsid w:val="00224648"/>
    <w:rsid w:val="0022677E"/>
    <w:rsid w:val="002344C8"/>
    <w:rsid w:val="002358FD"/>
    <w:rsid w:val="002365A5"/>
    <w:rsid w:val="002405B9"/>
    <w:rsid w:val="0024416D"/>
    <w:rsid w:val="00247E2E"/>
    <w:rsid w:val="00250A1E"/>
    <w:rsid w:val="002518E0"/>
    <w:rsid w:val="002532F7"/>
    <w:rsid w:val="00255B0F"/>
    <w:rsid w:val="00257733"/>
    <w:rsid w:val="0025799A"/>
    <w:rsid w:val="0026159E"/>
    <w:rsid w:val="002630AB"/>
    <w:rsid w:val="00264027"/>
    <w:rsid w:val="00265C26"/>
    <w:rsid w:val="002667E4"/>
    <w:rsid w:val="00266E48"/>
    <w:rsid w:val="002672F1"/>
    <w:rsid w:val="00270028"/>
    <w:rsid w:val="0027061A"/>
    <w:rsid w:val="00270C94"/>
    <w:rsid w:val="00270F03"/>
    <w:rsid w:val="002712D2"/>
    <w:rsid w:val="00271911"/>
    <w:rsid w:val="00271C01"/>
    <w:rsid w:val="0027303D"/>
    <w:rsid w:val="00273187"/>
    <w:rsid w:val="0027514C"/>
    <w:rsid w:val="00276289"/>
    <w:rsid w:val="00276665"/>
    <w:rsid w:val="002775A8"/>
    <w:rsid w:val="002775EA"/>
    <w:rsid w:val="00277B79"/>
    <w:rsid w:val="002800A0"/>
    <w:rsid w:val="002801B3"/>
    <w:rsid w:val="00281060"/>
    <w:rsid w:val="00281449"/>
    <w:rsid w:val="00282994"/>
    <w:rsid w:val="0028504C"/>
    <w:rsid w:val="00285BD0"/>
    <w:rsid w:val="0029166A"/>
    <w:rsid w:val="002940E8"/>
    <w:rsid w:val="00294751"/>
    <w:rsid w:val="00295926"/>
    <w:rsid w:val="0029680E"/>
    <w:rsid w:val="002A3A2A"/>
    <w:rsid w:val="002A4A01"/>
    <w:rsid w:val="002A54B4"/>
    <w:rsid w:val="002A6E50"/>
    <w:rsid w:val="002B4298"/>
    <w:rsid w:val="002B6957"/>
    <w:rsid w:val="002B7A36"/>
    <w:rsid w:val="002C256A"/>
    <w:rsid w:val="002C4409"/>
    <w:rsid w:val="002D033F"/>
    <w:rsid w:val="002D1DA2"/>
    <w:rsid w:val="002D2ADD"/>
    <w:rsid w:val="002D3EB7"/>
    <w:rsid w:val="002D5226"/>
    <w:rsid w:val="002E15A2"/>
    <w:rsid w:val="002E1BF0"/>
    <w:rsid w:val="002E1CDA"/>
    <w:rsid w:val="002E22AC"/>
    <w:rsid w:val="002E22E6"/>
    <w:rsid w:val="002E47FA"/>
    <w:rsid w:val="002E55E9"/>
    <w:rsid w:val="002E57C0"/>
    <w:rsid w:val="002E61CE"/>
    <w:rsid w:val="002E79B2"/>
    <w:rsid w:val="002E7AB2"/>
    <w:rsid w:val="002F022A"/>
    <w:rsid w:val="002F3B66"/>
    <w:rsid w:val="002F3ED4"/>
    <w:rsid w:val="002F4DCD"/>
    <w:rsid w:val="00302812"/>
    <w:rsid w:val="00305A7F"/>
    <w:rsid w:val="00312285"/>
    <w:rsid w:val="00314985"/>
    <w:rsid w:val="003152A1"/>
    <w:rsid w:val="003152FE"/>
    <w:rsid w:val="00315E19"/>
    <w:rsid w:val="00317C70"/>
    <w:rsid w:val="00321089"/>
    <w:rsid w:val="00324760"/>
    <w:rsid w:val="003271D0"/>
    <w:rsid w:val="00327436"/>
    <w:rsid w:val="00327BE4"/>
    <w:rsid w:val="003329C1"/>
    <w:rsid w:val="00334654"/>
    <w:rsid w:val="003374E0"/>
    <w:rsid w:val="003434DE"/>
    <w:rsid w:val="00344BD6"/>
    <w:rsid w:val="0034518B"/>
    <w:rsid w:val="00345B74"/>
    <w:rsid w:val="003476F3"/>
    <w:rsid w:val="00347DEB"/>
    <w:rsid w:val="00350545"/>
    <w:rsid w:val="00350639"/>
    <w:rsid w:val="0035528D"/>
    <w:rsid w:val="003565E9"/>
    <w:rsid w:val="003571B2"/>
    <w:rsid w:val="00360371"/>
    <w:rsid w:val="00360898"/>
    <w:rsid w:val="00360A53"/>
    <w:rsid w:val="0036176B"/>
    <w:rsid w:val="00361821"/>
    <w:rsid w:val="00361E9E"/>
    <w:rsid w:val="00366F68"/>
    <w:rsid w:val="0037001F"/>
    <w:rsid w:val="003703B2"/>
    <w:rsid w:val="003704A3"/>
    <w:rsid w:val="00370CC0"/>
    <w:rsid w:val="003753EE"/>
    <w:rsid w:val="003758D4"/>
    <w:rsid w:val="00375A6F"/>
    <w:rsid w:val="003770B2"/>
    <w:rsid w:val="00377F05"/>
    <w:rsid w:val="003818D2"/>
    <w:rsid w:val="00381D6D"/>
    <w:rsid w:val="00381E66"/>
    <w:rsid w:val="00382043"/>
    <w:rsid w:val="003825CA"/>
    <w:rsid w:val="0038301C"/>
    <w:rsid w:val="0038362B"/>
    <w:rsid w:val="00384498"/>
    <w:rsid w:val="00385250"/>
    <w:rsid w:val="00386767"/>
    <w:rsid w:val="00387519"/>
    <w:rsid w:val="003875DB"/>
    <w:rsid w:val="00387809"/>
    <w:rsid w:val="00390906"/>
    <w:rsid w:val="00390A97"/>
    <w:rsid w:val="00390CA0"/>
    <w:rsid w:val="003917CA"/>
    <w:rsid w:val="00391B3F"/>
    <w:rsid w:val="00391F7C"/>
    <w:rsid w:val="00392499"/>
    <w:rsid w:val="00392E52"/>
    <w:rsid w:val="00394CD5"/>
    <w:rsid w:val="003963A9"/>
    <w:rsid w:val="00396F19"/>
    <w:rsid w:val="003A0835"/>
    <w:rsid w:val="003A2017"/>
    <w:rsid w:val="003A587A"/>
    <w:rsid w:val="003A5AAF"/>
    <w:rsid w:val="003A73E9"/>
    <w:rsid w:val="003B2B2C"/>
    <w:rsid w:val="003B4DBC"/>
    <w:rsid w:val="003B51CC"/>
    <w:rsid w:val="003B700A"/>
    <w:rsid w:val="003B7D36"/>
    <w:rsid w:val="003C06BE"/>
    <w:rsid w:val="003C2D16"/>
    <w:rsid w:val="003C38A3"/>
    <w:rsid w:val="003C7108"/>
    <w:rsid w:val="003C7D05"/>
    <w:rsid w:val="003C7FBE"/>
    <w:rsid w:val="003D0F5A"/>
    <w:rsid w:val="003D1F81"/>
    <w:rsid w:val="003D227C"/>
    <w:rsid w:val="003D2B4D"/>
    <w:rsid w:val="003D38BD"/>
    <w:rsid w:val="003D3B2F"/>
    <w:rsid w:val="003D4D58"/>
    <w:rsid w:val="003D58BC"/>
    <w:rsid w:val="003D63D6"/>
    <w:rsid w:val="003D7D19"/>
    <w:rsid w:val="003E0315"/>
    <w:rsid w:val="003E1342"/>
    <w:rsid w:val="003E2813"/>
    <w:rsid w:val="003E3640"/>
    <w:rsid w:val="003E3A5E"/>
    <w:rsid w:val="003E5C37"/>
    <w:rsid w:val="003F31E8"/>
    <w:rsid w:val="003F35EA"/>
    <w:rsid w:val="003F37F5"/>
    <w:rsid w:val="003F4BCE"/>
    <w:rsid w:val="003F71F9"/>
    <w:rsid w:val="003F7A0A"/>
    <w:rsid w:val="00405E4D"/>
    <w:rsid w:val="00406156"/>
    <w:rsid w:val="0041045B"/>
    <w:rsid w:val="00411C2E"/>
    <w:rsid w:val="00412448"/>
    <w:rsid w:val="00417ED3"/>
    <w:rsid w:val="004212B8"/>
    <w:rsid w:val="00422307"/>
    <w:rsid w:val="004225E3"/>
    <w:rsid w:val="004232D2"/>
    <w:rsid w:val="00423A94"/>
    <w:rsid w:val="00423AC3"/>
    <w:rsid w:val="004258F8"/>
    <w:rsid w:val="0042601B"/>
    <w:rsid w:val="004267EC"/>
    <w:rsid w:val="004270B1"/>
    <w:rsid w:val="00436718"/>
    <w:rsid w:val="0044153A"/>
    <w:rsid w:val="00442176"/>
    <w:rsid w:val="0044437B"/>
    <w:rsid w:val="00444A88"/>
    <w:rsid w:val="00450831"/>
    <w:rsid w:val="00451680"/>
    <w:rsid w:val="00452F07"/>
    <w:rsid w:val="00455FEB"/>
    <w:rsid w:val="00464346"/>
    <w:rsid w:val="004679D4"/>
    <w:rsid w:val="00467D62"/>
    <w:rsid w:val="00470971"/>
    <w:rsid w:val="00471A0C"/>
    <w:rsid w:val="0047246E"/>
    <w:rsid w:val="00472B8B"/>
    <w:rsid w:val="00473648"/>
    <w:rsid w:val="00474407"/>
    <w:rsid w:val="00474B34"/>
    <w:rsid w:val="00474DA4"/>
    <w:rsid w:val="00474F6B"/>
    <w:rsid w:val="004757A3"/>
    <w:rsid w:val="00476B4D"/>
    <w:rsid w:val="004775A5"/>
    <w:rsid w:val="00477B1A"/>
    <w:rsid w:val="004805FA"/>
    <w:rsid w:val="0048204F"/>
    <w:rsid w:val="00483D5A"/>
    <w:rsid w:val="00483F26"/>
    <w:rsid w:val="0048717D"/>
    <w:rsid w:val="00490536"/>
    <w:rsid w:val="004905CA"/>
    <w:rsid w:val="00492299"/>
    <w:rsid w:val="004935D2"/>
    <w:rsid w:val="0049361C"/>
    <w:rsid w:val="00493EEA"/>
    <w:rsid w:val="004943AD"/>
    <w:rsid w:val="004964F1"/>
    <w:rsid w:val="0049698A"/>
    <w:rsid w:val="00497A76"/>
    <w:rsid w:val="004A0171"/>
    <w:rsid w:val="004A0861"/>
    <w:rsid w:val="004A0E3A"/>
    <w:rsid w:val="004A2098"/>
    <w:rsid w:val="004A29AF"/>
    <w:rsid w:val="004A6976"/>
    <w:rsid w:val="004A7ADA"/>
    <w:rsid w:val="004B1215"/>
    <w:rsid w:val="004B2848"/>
    <w:rsid w:val="004B2B3D"/>
    <w:rsid w:val="004B5222"/>
    <w:rsid w:val="004B58BE"/>
    <w:rsid w:val="004B592E"/>
    <w:rsid w:val="004B7192"/>
    <w:rsid w:val="004C3439"/>
    <w:rsid w:val="004C351B"/>
    <w:rsid w:val="004C4BAF"/>
    <w:rsid w:val="004C548C"/>
    <w:rsid w:val="004C65FA"/>
    <w:rsid w:val="004C72FB"/>
    <w:rsid w:val="004C7388"/>
    <w:rsid w:val="004C7587"/>
    <w:rsid w:val="004C7F0F"/>
    <w:rsid w:val="004D047D"/>
    <w:rsid w:val="004D1F30"/>
    <w:rsid w:val="004D44B7"/>
    <w:rsid w:val="004D46E0"/>
    <w:rsid w:val="004D5931"/>
    <w:rsid w:val="004D5DDA"/>
    <w:rsid w:val="004E18B0"/>
    <w:rsid w:val="004E20B1"/>
    <w:rsid w:val="004E2412"/>
    <w:rsid w:val="004E2FA3"/>
    <w:rsid w:val="004E3D18"/>
    <w:rsid w:val="004E5249"/>
    <w:rsid w:val="004E5467"/>
    <w:rsid w:val="004E5A80"/>
    <w:rsid w:val="004E5F2B"/>
    <w:rsid w:val="004E65C0"/>
    <w:rsid w:val="004E66BD"/>
    <w:rsid w:val="004F153C"/>
    <w:rsid w:val="004F1849"/>
    <w:rsid w:val="004F1E9E"/>
    <w:rsid w:val="004F2CE7"/>
    <w:rsid w:val="004F305A"/>
    <w:rsid w:val="004F6D03"/>
    <w:rsid w:val="0050036B"/>
    <w:rsid w:val="005014D2"/>
    <w:rsid w:val="00501D23"/>
    <w:rsid w:val="00504840"/>
    <w:rsid w:val="005068FD"/>
    <w:rsid w:val="0051128A"/>
    <w:rsid w:val="00512164"/>
    <w:rsid w:val="00514572"/>
    <w:rsid w:val="005149DF"/>
    <w:rsid w:val="00515758"/>
    <w:rsid w:val="00517036"/>
    <w:rsid w:val="00520297"/>
    <w:rsid w:val="005210DF"/>
    <w:rsid w:val="005219BA"/>
    <w:rsid w:val="00521CE7"/>
    <w:rsid w:val="005228A2"/>
    <w:rsid w:val="00522F25"/>
    <w:rsid w:val="00525CAC"/>
    <w:rsid w:val="00526AC0"/>
    <w:rsid w:val="00526F99"/>
    <w:rsid w:val="00527026"/>
    <w:rsid w:val="00527858"/>
    <w:rsid w:val="00531462"/>
    <w:rsid w:val="0053226B"/>
    <w:rsid w:val="0053295C"/>
    <w:rsid w:val="005338F9"/>
    <w:rsid w:val="00533C59"/>
    <w:rsid w:val="00533F30"/>
    <w:rsid w:val="00535DF5"/>
    <w:rsid w:val="0053641D"/>
    <w:rsid w:val="00540C01"/>
    <w:rsid w:val="0054281C"/>
    <w:rsid w:val="00542C4A"/>
    <w:rsid w:val="00542DF9"/>
    <w:rsid w:val="005440AE"/>
    <w:rsid w:val="00544581"/>
    <w:rsid w:val="00546A3E"/>
    <w:rsid w:val="00546FE7"/>
    <w:rsid w:val="005507F2"/>
    <w:rsid w:val="00550B73"/>
    <w:rsid w:val="0055268D"/>
    <w:rsid w:val="00553A5D"/>
    <w:rsid w:val="00553DD9"/>
    <w:rsid w:val="00554667"/>
    <w:rsid w:val="0056005A"/>
    <w:rsid w:val="00561550"/>
    <w:rsid w:val="00563078"/>
    <w:rsid w:val="005635F0"/>
    <w:rsid w:val="00563B63"/>
    <w:rsid w:val="00566EEA"/>
    <w:rsid w:val="00571D7E"/>
    <w:rsid w:val="005738FA"/>
    <w:rsid w:val="00575DE2"/>
    <w:rsid w:val="00576BE4"/>
    <w:rsid w:val="005779DB"/>
    <w:rsid w:val="00580B98"/>
    <w:rsid w:val="0058350D"/>
    <w:rsid w:val="00584352"/>
    <w:rsid w:val="00586C82"/>
    <w:rsid w:val="005871E7"/>
    <w:rsid w:val="005934E5"/>
    <w:rsid w:val="0059739C"/>
    <w:rsid w:val="005A1241"/>
    <w:rsid w:val="005A400A"/>
    <w:rsid w:val="005A6D39"/>
    <w:rsid w:val="005B006A"/>
    <w:rsid w:val="005B0302"/>
    <w:rsid w:val="005B269D"/>
    <w:rsid w:val="005B75F4"/>
    <w:rsid w:val="005C1ADB"/>
    <w:rsid w:val="005C2D63"/>
    <w:rsid w:val="005C421E"/>
    <w:rsid w:val="005D018A"/>
    <w:rsid w:val="005D070A"/>
    <w:rsid w:val="005D470B"/>
    <w:rsid w:val="005D4F0E"/>
    <w:rsid w:val="005D6D34"/>
    <w:rsid w:val="005E3950"/>
    <w:rsid w:val="005E6A77"/>
    <w:rsid w:val="005F064A"/>
    <w:rsid w:val="005F2E07"/>
    <w:rsid w:val="005F396E"/>
    <w:rsid w:val="005F45F9"/>
    <w:rsid w:val="005F4E47"/>
    <w:rsid w:val="005F68F8"/>
    <w:rsid w:val="005F78BF"/>
    <w:rsid w:val="005F7B92"/>
    <w:rsid w:val="00600C8A"/>
    <w:rsid w:val="00601EFE"/>
    <w:rsid w:val="00602881"/>
    <w:rsid w:val="00602D17"/>
    <w:rsid w:val="006062AA"/>
    <w:rsid w:val="0060633E"/>
    <w:rsid w:val="00606E16"/>
    <w:rsid w:val="00607A79"/>
    <w:rsid w:val="00611AFB"/>
    <w:rsid w:val="00612379"/>
    <w:rsid w:val="006153B6"/>
    <w:rsid w:val="0061555F"/>
    <w:rsid w:val="00615649"/>
    <w:rsid w:val="00615885"/>
    <w:rsid w:val="00617EEE"/>
    <w:rsid w:val="0062455E"/>
    <w:rsid w:val="006245ED"/>
    <w:rsid w:val="0062557A"/>
    <w:rsid w:val="006270BD"/>
    <w:rsid w:val="00627E5C"/>
    <w:rsid w:val="00631292"/>
    <w:rsid w:val="006316B1"/>
    <w:rsid w:val="006350A7"/>
    <w:rsid w:val="006360FB"/>
    <w:rsid w:val="00636CA6"/>
    <w:rsid w:val="006376D2"/>
    <w:rsid w:val="00641200"/>
    <w:rsid w:val="00641843"/>
    <w:rsid w:val="00641F46"/>
    <w:rsid w:val="006425FA"/>
    <w:rsid w:val="006444C7"/>
    <w:rsid w:val="00645CA8"/>
    <w:rsid w:val="00647380"/>
    <w:rsid w:val="00647EA7"/>
    <w:rsid w:val="00650E04"/>
    <w:rsid w:val="0065123C"/>
    <w:rsid w:val="00651D78"/>
    <w:rsid w:val="00651E93"/>
    <w:rsid w:val="00653E56"/>
    <w:rsid w:val="00655276"/>
    <w:rsid w:val="00662483"/>
    <w:rsid w:val="00664AE1"/>
    <w:rsid w:val="006655D3"/>
    <w:rsid w:val="00665B18"/>
    <w:rsid w:val="00666DC4"/>
    <w:rsid w:val="00667404"/>
    <w:rsid w:val="00670B35"/>
    <w:rsid w:val="00670C79"/>
    <w:rsid w:val="00670F0E"/>
    <w:rsid w:val="00672153"/>
    <w:rsid w:val="00673DF2"/>
    <w:rsid w:val="00675F88"/>
    <w:rsid w:val="00676EFE"/>
    <w:rsid w:val="006817CB"/>
    <w:rsid w:val="006822A8"/>
    <w:rsid w:val="0068508E"/>
    <w:rsid w:val="00685171"/>
    <w:rsid w:val="006868F8"/>
    <w:rsid w:val="00686A4A"/>
    <w:rsid w:val="00687EB4"/>
    <w:rsid w:val="00691A30"/>
    <w:rsid w:val="00692647"/>
    <w:rsid w:val="006958E7"/>
    <w:rsid w:val="00695C56"/>
    <w:rsid w:val="00696C84"/>
    <w:rsid w:val="006A1956"/>
    <w:rsid w:val="006A1D63"/>
    <w:rsid w:val="006A4239"/>
    <w:rsid w:val="006A5CDE"/>
    <w:rsid w:val="006A644A"/>
    <w:rsid w:val="006A6BA3"/>
    <w:rsid w:val="006B17D2"/>
    <w:rsid w:val="006B59DB"/>
    <w:rsid w:val="006C01D1"/>
    <w:rsid w:val="006C1065"/>
    <w:rsid w:val="006C224E"/>
    <w:rsid w:val="006C43FA"/>
    <w:rsid w:val="006C5677"/>
    <w:rsid w:val="006C5AC1"/>
    <w:rsid w:val="006D0B71"/>
    <w:rsid w:val="006D2F79"/>
    <w:rsid w:val="006D5198"/>
    <w:rsid w:val="006D540F"/>
    <w:rsid w:val="006D6A93"/>
    <w:rsid w:val="006D72F5"/>
    <w:rsid w:val="006D780A"/>
    <w:rsid w:val="006E3136"/>
    <w:rsid w:val="006E5BCC"/>
    <w:rsid w:val="006E5D50"/>
    <w:rsid w:val="006E6BA2"/>
    <w:rsid w:val="006E740A"/>
    <w:rsid w:val="006F132B"/>
    <w:rsid w:val="006F174F"/>
    <w:rsid w:val="006F3552"/>
    <w:rsid w:val="006F486C"/>
    <w:rsid w:val="006F5B6D"/>
    <w:rsid w:val="006F6F0E"/>
    <w:rsid w:val="006F7916"/>
    <w:rsid w:val="007019BB"/>
    <w:rsid w:val="00702771"/>
    <w:rsid w:val="00702AE7"/>
    <w:rsid w:val="00704895"/>
    <w:rsid w:val="00704D98"/>
    <w:rsid w:val="00706B5B"/>
    <w:rsid w:val="00706DD7"/>
    <w:rsid w:val="007074B6"/>
    <w:rsid w:val="00707DD4"/>
    <w:rsid w:val="0071033A"/>
    <w:rsid w:val="00710CFE"/>
    <w:rsid w:val="00712433"/>
    <w:rsid w:val="00712646"/>
    <w:rsid w:val="0071271E"/>
    <w:rsid w:val="007154FD"/>
    <w:rsid w:val="00717867"/>
    <w:rsid w:val="00720B82"/>
    <w:rsid w:val="00722D0A"/>
    <w:rsid w:val="00723398"/>
    <w:rsid w:val="00724212"/>
    <w:rsid w:val="00725943"/>
    <w:rsid w:val="00726000"/>
    <w:rsid w:val="00726387"/>
    <w:rsid w:val="007268E7"/>
    <w:rsid w:val="00726C2A"/>
    <w:rsid w:val="007279FE"/>
    <w:rsid w:val="0073072C"/>
    <w:rsid w:val="00732222"/>
    <w:rsid w:val="00732DEC"/>
    <w:rsid w:val="00733470"/>
    <w:rsid w:val="00733C35"/>
    <w:rsid w:val="00733C47"/>
    <w:rsid w:val="00735BD5"/>
    <w:rsid w:val="0073609D"/>
    <w:rsid w:val="0073709A"/>
    <w:rsid w:val="007377C7"/>
    <w:rsid w:val="0074079B"/>
    <w:rsid w:val="00741B3F"/>
    <w:rsid w:val="00743708"/>
    <w:rsid w:val="007440A4"/>
    <w:rsid w:val="007451EC"/>
    <w:rsid w:val="00746299"/>
    <w:rsid w:val="00746DCB"/>
    <w:rsid w:val="00746E30"/>
    <w:rsid w:val="00751613"/>
    <w:rsid w:val="00753EE9"/>
    <w:rsid w:val="00754334"/>
    <w:rsid w:val="007546B2"/>
    <w:rsid w:val="007556F6"/>
    <w:rsid w:val="00756D02"/>
    <w:rsid w:val="00757458"/>
    <w:rsid w:val="00760EEF"/>
    <w:rsid w:val="00761951"/>
    <w:rsid w:val="00762C20"/>
    <w:rsid w:val="0076391C"/>
    <w:rsid w:val="00765D7C"/>
    <w:rsid w:val="00766D1E"/>
    <w:rsid w:val="00767062"/>
    <w:rsid w:val="0076731E"/>
    <w:rsid w:val="00771EA8"/>
    <w:rsid w:val="00777EE5"/>
    <w:rsid w:val="007805F8"/>
    <w:rsid w:val="007838DF"/>
    <w:rsid w:val="00784836"/>
    <w:rsid w:val="0078767F"/>
    <w:rsid w:val="0079023E"/>
    <w:rsid w:val="00794FC0"/>
    <w:rsid w:val="007A2854"/>
    <w:rsid w:val="007A63FE"/>
    <w:rsid w:val="007A70CD"/>
    <w:rsid w:val="007A7B5A"/>
    <w:rsid w:val="007B057D"/>
    <w:rsid w:val="007B23AD"/>
    <w:rsid w:val="007B279A"/>
    <w:rsid w:val="007B2997"/>
    <w:rsid w:val="007B4BC4"/>
    <w:rsid w:val="007B6206"/>
    <w:rsid w:val="007B73A9"/>
    <w:rsid w:val="007B7DCF"/>
    <w:rsid w:val="007C01EB"/>
    <w:rsid w:val="007C0A0F"/>
    <w:rsid w:val="007C1D92"/>
    <w:rsid w:val="007C29FB"/>
    <w:rsid w:val="007C2F6F"/>
    <w:rsid w:val="007C31D7"/>
    <w:rsid w:val="007C4419"/>
    <w:rsid w:val="007C4CB9"/>
    <w:rsid w:val="007C4CFD"/>
    <w:rsid w:val="007C542B"/>
    <w:rsid w:val="007C7B52"/>
    <w:rsid w:val="007D0B9D"/>
    <w:rsid w:val="007D19B0"/>
    <w:rsid w:val="007D4ADD"/>
    <w:rsid w:val="007D5452"/>
    <w:rsid w:val="007D62E7"/>
    <w:rsid w:val="007E231F"/>
    <w:rsid w:val="007E53A0"/>
    <w:rsid w:val="007E6682"/>
    <w:rsid w:val="007E76A7"/>
    <w:rsid w:val="007F00B7"/>
    <w:rsid w:val="007F423E"/>
    <w:rsid w:val="007F42A7"/>
    <w:rsid w:val="007F47BB"/>
    <w:rsid w:val="007F498F"/>
    <w:rsid w:val="007F5420"/>
    <w:rsid w:val="007F6676"/>
    <w:rsid w:val="007F7ADE"/>
    <w:rsid w:val="0080076F"/>
    <w:rsid w:val="00801A48"/>
    <w:rsid w:val="00802F62"/>
    <w:rsid w:val="00804AB5"/>
    <w:rsid w:val="0080679D"/>
    <w:rsid w:val="008102E8"/>
    <w:rsid w:val="008108B0"/>
    <w:rsid w:val="008110FE"/>
    <w:rsid w:val="00811769"/>
    <w:rsid w:val="00811B20"/>
    <w:rsid w:val="00811B5D"/>
    <w:rsid w:val="00811C8D"/>
    <w:rsid w:val="0081216B"/>
    <w:rsid w:val="00812609"/>
    <w:rsid w:val="00812B89"/>
    <w:rsid w:val="008146BC"/>
    <w:rsid w:val="00814D90"/>
    <w:rsid w:val="00814DAF"/>
    <w:rsid w:val="00815082"/>
    <w:rsid w:val="008206F1"/>
    <w:rsid w:val="008211B5"/>
    <w:rsid w:val="008212C8"/>
    <w:rsid w:val="008213DA"/>
    <w:rsid w:val="0082296E"/>
    <w:rsid w:val="00822E27"/>
    <w:rsid w:val="00824099"/>
    <w:rsid w:val="00824EB9"/>
    <w:rsid w:val="0082677B"/>
    <w:rsid w:val="00827966"/>
    <w:rsid w:val="0083292B"/>
    <w:rsid w:val="00834F6F"/>
    <w:rsid w:val="00840B5C"/>
    <w:rsid w:val="00841692"/>
    <w:rsid w:val="00842358"/>
    <w:rsid w:val="00842B6E"/>
    <w:rsid w:val="008446A1"/>
    <w:rsid w:val="0084689B"/>
    <w:rsid w:val="00846A58"/>
    <w:rsid w:val="00846D7C"/>
    <w:rsid w:val="008504B9"/>
    <w:rsid w:val="008508F6"/>
    <w:rsid w:val="00852A06"/>
    <w:rsid w:val="00852AED"/>
    <w:rsid w:val="00860083"/>
    <w:rsid w:val="00861A04"/>
    <w:rsid w:val="0086315D"/>
    <w:rsid w:val="008633CE"/>
    <w:rsid w:val="008633F0"/>
    <w:rsid w:val="008639E8"/>
    <w:rsid w:val="008647AF"/>
    <w:rsid w:val="00867AC1"/>
    <w:rsid w:val="00871C9F"/>
    <w:rsid w:val="008728A6"/>
    <w:rsid w:val="00873050"/>
    <w:rsid w:val="008730FA"/>
    <w:rsid w:val="00874327"/>
    <w:rsid w:val="0087437E"/>
    <w:rsid w:val="00874AD5"/>
    <w:rsid w:val="008751DE"/>
    <w:rsid w:val="00876537"/>
    <w:rsid w:val="008765C2"/>
    <w:rsid w:val="008777B3"/>
    <w:rsid w:val="008837D0"/>
    <w:rsid w:val="00885A85"/>
    <w:rsid w:val="00885D89"/>
    <w:rsid w:val="008868B2"/>
    <w:rsid w:val="0088713E"/>
    <w:rsid w:val="0088778B"/>
    <w:rsid w:val="00890DF8"/>
    <w:rsid w:val="008911E6"/>
    <w:rsid w:val="00892ED7"/>
    <w:rsid w:val="00893E31"/>
    <w:rsid w:val="00894B95"/>
    <w:rsid w:val="00895EEB"/>
    <w:rsid w:val="00896E39"/>
    <w:rsid w:val="008A0ADE"/>
    <w:rsid w:val="008A1587"/>
    <w:rsid w:val="008A24AE"/>
    <w:rsid w:val="008A68FC"/>
    <w:rsid w:val="008A743F"/>
    <w:rsid w:val="008A769E"/>
    <w:rsid w:val="008B06C5"/>
    <w:rsid w:val="008B231A"/>
    <w:rsid w:val="008B2BDF"/>
    <w:rsid w:val="008B31FD"/>
    <w:rsid w:val="008B472B"/>
    <w:rsid w:val="008B4C0F"/>
    <w:rsid w:val="008B4CF2"/>
    <w:rsid w:val="008B7B41"/>
    <w:rsid w:val="008B7E4C"/>
    <w:rsid w:val="008C0970"/>
    <w:rsid w:val="008C0A3D"/>
    <w:rsid w:val="008C406C"/>
    <w:rsid w:val="008C6A13"/>
    <w:rsid w:val="008D0149"/>
    <w:rsid w:val="008D0BC5"/>
    <w:rsid w:val="008D0C17"/>
    <w:rsid w:val="008D16A6"/>
    <w:rsid w:val="008D174C"/>
    <w:rsid w:val="008D2CF7"/>
    <w:rsid w:val="008D2EA1"/>
    <w:rsid w:val="008D3651"/>
    <w:rsid w:val="008D4495"/>
    <w:rsid w:val="008D5D1E"/>
    <w:rsid w:val="008D6305"/>
    <w:rsid w:val="008E3169"/>
    <w:rsid w:val="008E573A"/>
    <w:rsid w:val="008F0D1A"/>
    <w:rsid w:val="008F3A79"/>
    <w:rsid w:val="008F4165"/>
    <w:rsid w:val="008F4F4A"/>
    <w:rsid w:val="008F5D93"/>
    <w:rsid w:val="00900325"/>
    <w:rsid w:val="00900C26"/>
    <w:rsid w:val="0090197F"/>
    <w:rsid w:val="00902A69"/>
    <w:rsid w:val="00903264"/>
    <w:rsid w:val="009049FB"/>
    <w:rsid w:val="00904F28"/>
    <w:rsid w:val="0090544B"/>
    <w:rsid w:val="00906752"/>
    <w:rsid w:val="00906DDC"/>
    <w:rsid w:val="00906E9A"/>
    <w:rsid w:val="00907915"/>
    <w:rsid w:val="00913448"/>
    <w:rsid w:val="009146A3"/>
    <w:rsid w:val="0091551E"/>
    <w:rsid w:val="009156BC"/>
    <w:rsid w:val="00917B5D"/>
    <w:rsid w:val="00920D2B"/>
    <w:rsid w:val="00923263"/>
    <w:rsid w:val="009239FF"/>
    <w:rsid w:val="00923A63"/>
    <w:rsid w:val="00923AB5"/>
    <w:rsid w:val="0092710B"/>
    <w:rsid w:val="00930B89"/>
    <w:rsid w:val="00931B39"/>
    <w:rsid w:val="00932098"/>
    <w:rsid w:val="0093386F"/>
    <w:rsid w:val="00934ABE"/>
    <w:rsid w:val="00934B68"/>
    <w:rsid w:val="00934E09"/>
    <w:rsid w:val="00936253"/>
    <w:rsid w:val="00936811"/>
    <w:rsid w:val="009400D4"/>
    <w:rsid w:val="00940A83"/>
    <w:rsid w:val="00940D46"/>
    <w:rsid w:val="009413F1"/>
    <w:rsid w:val="009450C5"/>
    <w:rsid w:val="009458AF"/>
    <w:rsid w:val="00952DD4"/>
    <w:rsid w:val="00955915"/>
    <w:rsid w:val="009561F4"/>
    <w:rsid w:val="009625E6"/>
    <w:rsid w:val="0096263D"/>
    <w:rsid w:val="00965AE7"/>
    <w:rsid w:val="00967291"/>
    <w:rsid w:val="00970FED"/>
    <w:rsid w:val="0097135E"/>
    <w:rsid w:val="00971704"/>
    <w:rsid w:val="009760A7"/>
    <w:rsid w:val="0097694C"/>
    <w:rsid w:val="00977BA2"/>
    <w:rsid w:val="00980219"/>
    <w:rsid w:val="00980EFF"/>
    <w:rsid w:val="00981B9A"/>
    <w:rsid w:val="00982309"/>
    <w:rsid w:val="009835E3"/>
    <w:rsid w:val="0098368F"/>
    <w:rsid w:val="009857AE"/>
    <w:rsid w:val="00991DCB"/>
    <w:rsid w:val="00991EE7"/>
    <w:rsid w:val="00992D82"/>
    <w:rsid w:val="009934C3"/>
    <w:rsid w:val="009948E3"/>
    <w:rsid w:val="009951CD"/>
    <w:rsid w:val="00995D0F"/>
    <w:rsid w:val="00995F2B"/>
    <w:rsid w:val="00997029"/>
    <w:rsid w:val="00997FE8"/>
    <w:rsid w:val="009A047A"/>
    <w:rsid w:val="009A0638"/>
    <w:rsid w:val="009A06DE"/>
    <w:rsid w:val="009A2753"/>
    <w:rsid w:val="009A3D90"/>
    <w:rsid w:val="009A472F"/>
    <w:rsid w:val="009A5EA8"/>
    <w:rsid w:val="009A7339"/>
    <w:rsid w:val="009A73B6"/>
    <w:rsid w:val="009A7EFC"/>
    <w:rsid w:val="009B385F"/>
    <w:rsid w:val="009B440E"/>
    <w:rsid w:val="009B46C1"/>
    <w:rsid w:val="009B5C75"/>
    <w:rsid w:val="009B795F"/>
    <w:rsid w:val="009C1D7B"/>
    <w:rsid w:val="009C2C59"/>
    <w:rsid w:val="009C3FE7"/>
    <w:rsid w:val="009C419F"/>
    <w:rsid w:val="009C4B7A"/>
    <w:rsid w:val="009C5CEC"/>
    <w:rsid w:val="009C6529"/>
    <w:rsid w:val="009C6F9B"/>
    <w:rsid w:val="009C7A93"/>
    <w:rsid w:val="009D1FBA"/>
    <w:rsid w:val="009D2376"/>
    <w:rsid w:val="009D3D50"/>
    <w:rsid w:val="009D5F24"/>
    <w:rsid w:val="009D63E9"/>
    <w:rsid w:val="009D690D"/>
    <w:rsid w:val="009E192C"/>
    <w:rsid w:val="009E2424"/>
    <w:rsid w:val="009E2BCC"/>
    <w:rsid w:val="009E6279"/>
    <w:rsid w:val="009E65B6"/>
    <w:rsid w:val="009E67FA"/>
    <w:rsid w:val="009E6C2B"/>
    <w:rsid w:val="009F0440"/>
    <w:rsid w:val="009F08FF"/>
    <w:rsid w:val="009F0A51"/>
    <w:rsid w:val="009F138E"/>
    <w:rsid w:val="009F1EA1"/>
    <w:rsid w:val="009F2729"/>
    <w:rsid w:val="009F4D63"/>
    <w:rsid w:val="009F6702"/>
    <w:rsid w:val="009F77CF"/>
    <w:rsid w:val="00A011D6"/>
    <w:rsid w:val="00A03056"/>
    <w:rsid w:val="00A052C3"/>
    <w:rsid w:val="00A052D2"/>
    <w:rsid w:val="00A076BC"/>
    <w:rsid w:val="00A12E2C"/>
    <w:rsid w:val="00A139A8"/>
    <w:rsid w:val="00A15312"/>
    <w:rsid w:val="00A159F4"/>
    <w:rsid w:val="00A16C16"/>
    <w:rsid w:val="00A16CBB"/>
    <w:rsid w:val="00A16EFE"/>
    <w:rsid w:val="00A1726B"/>
    <w:rsid w:val="00A22471"/>
    <w:rsid w:val="00A22CF9"/>
    <w:rsid w:val="00A22E41"/>
    <w:rsid w:val="00A23724"/>
    <w:rsid w:val="00A24C10"/>
    <w:rsid w:val="00A24CA7"/>
    <w:rsid w:val="00A24DFF"/>
    <w:rsid w:val="00A305E4"/>
    <w:rsid w:val="00A33906"/>
    <w:rsid w:val="00A36A4D"/>
    <w:rsid w:val="00A37972"/>
    <w:rsid w:val="00A412D7"/>
    <w:rsid w:val="00A41520"/>
    <w:rsid w:val="00A423AA"/>
    <w:rsid w:val="00A42AC3"/>
    <w:rsid w:val="00A42D4B"/>
    <w:rsid w:val="00A430CF"/>
    <w:rsid w:val="00A43830"/>
    <w:rsid w:val="00A44114"/>
    <w:rsid w:val="00A465A4"/>
    <w:rsid w:val="00A531BA"/>
    <w:rsid w:val="00A53EC1"/>
    <w:rsid w:val="00A54309"/>
    <w:rsid w:val="00A55B7B"/>
    <w:rsid w:val="00A55F5D"/>
    <w:rsid w:val="00A610A9"/>
    <w:rsid w:val="00A617EF"/>
    <w:rsid w:val="00A639D1"/>
    <w:rsid w:val="00A6452F"/>
    <w:rsid w:val="00A65AF4"/>
    <w:rsid w:val="00A662A8"/>
    <w:rsid w:val="00A66DA1"/>
    <w:rsid w:val="00A66DED"/>
    <w:rsid w:val="00A67560"/>
    <w:rsid w:val="00A67BD3"/>
    <w:rsid w:val="00A67FA5"/>
    <w:rsid w:val="00A70B67"/>
    <w:rsid w:val="00A70B9C"/>
    <w:rsid w:val="00A71AE6"/>
    <w:rsid w:val="00A73CE5"/>
    <w:rsid w:val="00A741BA"/>
    <w:rsid w:val="00A74D4C"/>
    <w:rsid w:val="00A7539A"/>
    <w:rsid w:val="00A80F2A"/>
    <w:rsid w:val="00A83A48"/>
    <w:rsid w:val="00A848A5"/>
    <w:rsid w:val="00A91EEC"/>
    <w:rsid w:val="00A9212D"/>
    <w:rsid w:val="00A95764"/>
    <w:rsid w:val="00A958A8"/>
    <w:rsid w:val="00A96C33"/>
    <w:rsid w:val="00A96DDE"/>
    <w:rsid w:val="00AA13A2"/>
    <w:rsid w:val="00AA1403"/>
    <w:rsid w:val="00AA1655"/>
    <w:rsid w:val="00AA1ED1"/>
    <w:rsid w:val="00AA3E80"/>
    <w:rsid w:val="00AA447E"/>
    <w:rsid w:val="00AA5D5B"/>
    <w:rsid w:val="00AA6C5F"/>
    <w:rsid w:val="00AA6E23"/>
    <w:rsid w:val="00AB0D08"/>
    <w:rsid w:val="00AB2438"/>
    <w:rsid w:val="00AB2B93"/>
    <w:rsid w:val="00AB3058"/>
    <w:rsid w:val="00AB3D7E"/>
    <w:rsid w:val="00AB530F"/>
    <w:rsid w:val="00AB5A2B"/>
    <w:rsid w:val="00AB7E5B"/>
    <w:rsid w:val="00AC0556"/>
    <w:rsid w:val="00AC087E"/>
    <w:rsid w:val="00AC0A71"/>
    <w:rsid w:val="00AC164D"/>
    <w:rsid w:val="00AC2883"/>
    <w:rsid w:val="00AC2C20"/>
    <w:rsid w:val="00AC44FE"/>
    <w:rsid w:val="00AC47CE"/>
    <w:rsid w:val="00AC52F5"/>
    <w:rsid w:val="00AD0A48"/>
    <w:rsid w:val="00AD12A3"/>
    <w:rsid w:val="00AD1B1A"/>
    <w:rsid w:val="00AD20F2"/>
    <w:rsid w:val="00AD285C"/>
    <w:rsid w:val="00AD3CBE"/>
    <w:rsid w:val="00AD56AF"/>
    <w:rsid w:val="00AD7F33"/>
    <w:rsid w:val="00AE0EF1"/>
    <w:rsid w:val="00AE13CD"/>
    <w:rsid w:val="00AE1DD1"/>
    <w:rsid w:val="00AE2937"/>
    <w:rsid w:val="00AF45BF"/>
    <w:rsid w:val="00AF57D2"/>
    <w:rsid w:val="00AF7163"/>
    <w:rsid w:val="00AF7EC0"/>
    <w:rsid w:val="00B00EE9"/>
    <w:rsid w:val="00B02466"/>
    <w:rsid w:val="00B04A21"/>
    <w:rsid w:val="00B04A4F"/>
    <w:rsid w:val="00B05E95"/>
    <w:rsid w:val="00B06392"/>
    <w:rsid w:val="00B063F3"/>
    <w:rsid w:val="00B06539"/>
    <w:rsid w:val="00B07301"/>
    <w:rsid w:val="00B07EC6"/>
    <w:rsid w:val="00B105A4"/>
    <w:rsid w:val="00B1067F"/>
    <w:rsid w:val="00B10D2E"/>
    <w:rsid w:val="00B1181F"/>
    <w:rsid w:val="00B11F3E"/>
    <w:rsid w:val="00B13101"/>
    <w:rsid w:val="00B13C27"/>
    <w:rsid w:val="00B140F2"/>
    <w:rsid w:val="00B143DC"/>
    <w:rsid w:val="00B14448"/>
    <w:rsid w:val="00B16EC1"/>
    <w:rsid w:val="00B20D62"/>
    <w:rsid w:val="00B21740"/>
    <w:rsid w:val="00B224DE"/>
    <w:rsid w:val="00B22ED6"/>
    <w:rsid w:val="00B23B95"/>
    <w:rsid w:val="00B2682B"/>
    <w:rsid w:val="00B324D4"/>
    <w:rsid w:val="00B35FF2"/>
    <w:rsid w:val="00B37069"/>
    <w:rsid w:val="00B37B7D"/>
    <w:rsid w:val="00B37DF9"/>
    <w:rsid w:val="00B42CC2"/>
    <w:rsid w:val="00B44232"/>
    <w:rsid w:val="00B44B51"/>
    <w:rsid w:val="00B45758"/>
    <w:rsid w:val="00B46575"/>
    <w:rsid w:val="00B508BF"/>
    <w:rsid w:val="00B54240"/>
    <w:rsid w:val="00B55702"/>
    <w:rsid w:val="00B55B0F"/>
    <w:rsid w:val="00B60D18"/>
    <w:rsid w:val="00B61777"/>
    <w:rsid w:val="00B622B3"/>
    <w:rsid w:val="00B622E6"/>
    <w:rsid w:val="00B62B60"/>
    <w:rsid w:val="00B65016"/>
    <w:rsid w:val="00B7053A"/>
    <w:rsid w:val="00B72B38"/>
    <w:rsid w:val="00B738EB"/>
    <w:rsid w:val="00B80569"/>
    <w:rsid w:val="00B8066A"/>
    <w:rsid w:val="00B807B2"/>
    <w:rsid w:val="00B80996"/>
    <w:rsid w:val="00B81878"/>
    <w:rsid w:val="00B83E82"/>
    <w:rsid w:val="00B84B30"/>
    <w:rsid w:val="00B84BBD"/>
    <w:rsid w:val="00B85B6A"/>
    <w:rsid w:val="00B86E73"/>
    <w:rsid w:val="00B90087"/>
    <w:rsid w:val="00B909C2"/>
    <w:rsid w:val="00B91BD8"/>
    <w:rsid w:val="00B94615"/>
    <w:rsid w:val="00B94907"/>
    <w:rsid w:val="00B9517C"/>
    <w:rsid w:val="00B9687D"/>
    <w:rsid w:val="00BA0A37"/>
    <w:rsid w:val="00BA3EB3"/>
    <w:rsid w:val="00BA43FB"/>
    <w:rsid w:val="00BA562C"/>
    <w:rsid w:val="00BB07F4"/>
    <w:rsid w:val="00BB3403"/>
    <w:rsid w:val="00BB481A"/>
    <w:rsid w:val="00BB77AA"/>
    <w:rsid w:val="00BC127D"/>
    <w:rsid w:val="00BC1485"/>
    <w:rsid w:val="00BC1FE6"/>
    <w:rsid w:val="00BC2A8B"/>
    <w:rsid w:val="00BC36B6"/>
    <w:rsid w:val="00BC4B44"/>
    <w:rsid w:val="00BC74B6"/>
    <w:rsid w:val="00BC7C3E"/>
    <w:rsid w:val="00BD0676"/>
    <w:rsid w:val="00BD3808"/>
    <w:rsid w:val="00BD4986"/>
    <w:rsid w:val="00BD5E35"/>
    <w:rsid w:val="00BD6E50"/>
    <w:rsid w:val="00BD7900"/>
    <w:rsid w:val="00BE2F2A"/>
    <w:rsid w:val="00BE41F2"/>
    <w:rsid w:val="00BE468B"/>
    <w:rsid w:val="00BE47EA"/>
    <w:rsid w:val="00BE6A55"/>
    <w:rsid w:val="00BF062B"/>
    <w:rsid w:val="00BF1CEF"/>
    <w:rsid w:val="00BF498A"/>
    <w:rsid w:val="00BF7F8F"/>
    <w:rsid w:val="00C04047"/>
    <w:rsid w:val="00C044C2"/>
    <w:rsid w:val="00C047FC"/>
    <w:rsid w:val="00C054F1"/>
    <w:rsid w:val="00C05B7F"/>
    <w:rsid w:val="00C061B6"/>
    <w:rsid w:val="00C10063"/>
    <w:rsid w:val="00C11A39"/>
    <w:rsid w:val="00C12107"/>
    <w:rsid w:val="00C12977"/>
    <w:rsid w:val="00C13BB1"/>
    <w:rsid w:val="00C14594"/>
    <w:rsid w:val="00C17733"/>
    <w:rsid w:val="00C23CC9"/>
    <w:rsid w:val="00C24253"/>
    <w:rsid w:val="00C2446C"/>
    <w:rsid w:val="00C26193"/>
    <w:rsid w:val="00C264ED"/>
    <w:rsid w:val="00C26505"/>
    <w:rsid w:val="00C30393"/>
    <w:rsid w:val="00C32BF0"/>
    <w:rsid w:val="00C334E8"/>
    <w:rsid w:val="00C36AE5"/>
    <w:rsid w:val="00C37777"/>
    <w:rsid w:val="00C417D0"/>
    <w:rsid w:val="00C418D9"/>
    <w:rsid w:val="00C41F17"/>
    <w:rsid w:val="00C44745"/>
    <w:rsid w:val="00C44DBB"/>
    <w:rsid w:val="00C46BD5"/>
    <w:rsid w:val="00C47AAD"/>
    <w:rsid w:val="00C51AC7"/>
    <w:rsid w:val="00C522B6"/>
    <w:rsid w:val="00C526F8"/>
    <w:rsid w:val="00C527FA"/>
    <w:rsid w:val="00C5280D"/>
    <w:rsid w:val="00C52AE2"/>
    <w:rsid w:val="00C52F6E"/>
    <w:rsid w:val="00C53001"/>
    <w:rsid w:val="00C53D11"/>
    <w:rsid w:val="00C53EB3"/>
    <w:rsid w:val="00C54E24"/>
    <w:rsid w:val="00C553F7"/>
    <w:rsid w:val="00C5791C"/>
    <w:rsid w:val="00C62140"/>
    <w:rsid w:val="00C63581"/>
    <w:rsid w:val="00C63EED"/>
    <w:rsid w:val="00C6421D"/>
    <w:rsid w:val="00C6434A"/>
    <w:rsid w:val="00C645B1"/>
    <w:rsid w:val="00C66290"/>
    <w:rsid w:val="00C66A87"/>
    <w:rsid w:val="00C70849"/>
    <w:rsid w:val="00C7241D"/>
    <w:rsid w:val="00C72B68"/>
    <w:rsid w:val="00C72B7A"/>
    <w:rsid w:val="00C7350A"/>
    <w:rsid w:val="00C75402"/>
    <w:rsid w:val="00C75952"/>
    <w:rsid w:val="00C80059"/>
    <w:rsid w:val="00C81F85"/>
    <w:rsid w:val="00C90AB6"/>
    <w:rsid w:val="00C91C35"/>
    <w:rsid w:val="00C94294"/>
    <w:rsid w:val="00C9525B"/>
    <w:rsid w:val="00C973F2"/>
    <w:rsid w:val="00CA304C"/>
    <w:rsid w:val="00CA3286"/>
    <w:rsid w:val="00CA3542"/>
    <w:rsid w:val="00CA3550"/>
    <w:rsid w:val="00CA3B05"/>
    <w:rsid w:val="00CA3B96"/>
    <w:rsid w:val="00CA5539"/>
    <w:rsid w:val="00CA5767"/>
    <w:rsid w:val="00CA774A"/>
    <w:rsid w:val="00CA7A46"/>
    <w:rsid w:val="00CB0B11"/>
    <w:rsid w:val="00CB3AED"/>
    <w:rsid w:val="00CB3ED0"/>
    <w:rsid w:val="00CB43CC"/>
    <w:rsid w:val="00CB4921"/>
    <w:rsid w:val="00CB4E26"/>
    <w:rsid w:val="00CB641D"/>
    <w:rsid w:val="00CC0DD5"/>
    <w:rsid w:val="00CC11B0"/>
    <w:rsid w:val="00CC23B9"/>
    <w:rsid w:val="00CC2511"/>
    <w:rsid w:val="00CC257D"/>
    <w:rsid w:val="00CC2841"/>
    <w:rsid w:val="00CC5FC7"/>
    <w:rsid w:val="00CC61B2"/>
    <w:rsid w:val="00CC675A"/>
    <w:rsid w:val="00CD0880"/>
    <w:rsid w:val="00CD1E43"/>
    <w:rsid w:val="00CD22E0"/>
    <w:rsid w:val="00CD4A9E"/>
    <w:rsid w:val="00CD68BC"/>
    <w:rsid w:val="00CD6A5F"/>
    <w:rsid w:val="00CE030B"/>
    <w:rsid w:val="00CE6583"/>
    <w:rsid w:val="00CE6C38"/>
    <w:rsid w:val="00CF1330"/>
    <w:rsid w:val="00CF13EE"/>
    <w:rsid w:val="00CF1738"/>
    <w:rsid w:val="00CF2EB0"/>
    <w:rsid w:val="00CF302D"/>
    <w:rsid w:val="00CF484C"/>
    <w:rsid w:val="00CF7E36"/>
    <w:rsid w:val="00D030BC"/>
    <w:rsid w:val="00D0410E"/>
    <w:rsid w:val="00D046D9"/>
    <w:rsid w:val="00D0648D"/>
    <w:rsid w:val="00D07062"/>
    <w:rsid w:val="00D0781E"/>
    <w:rsid w:val="00D108AF"/>
    <w:rsid w:val="00D11348"/>
    <w:rsid w:val="00D1318E"/>
    <w:rsid w:val="00D13F41"/>
    <w:rsid w:val="00D1572C"/>
    <w:rsid w:val="00D16E93"/>
    <w:rsid w:val="00D17AA8"/>
    <w:rsid w:val="00D203CD"/>
    <w:rsid w:val="00D211F9"/>
    <w:rsid w:val="00D237DC"/>
    <w:rsid w:val="00D23A36"/>
    <w:rsid w:val="00D24C16"/>
    <w:rsid w:val="00D264FD"/>
    <w:rsid w:val="00D308B8"/>
    <w:rsid w:val="00D330DC"/>
    <w:rsid w:val="00D33B52"/>
    <w:rsid w:val="00D34756"/>
    <w:rsid w:val="00D3708D"/>
    <w:rsid w:val="00D40426"/>
    <w:rsid w:val="00D40B0C"/>
    <w:rsid w:val="00D416B6"/>
    <w:rsid w:val="00D42906"/>
    <w:rsid w:val="00D43D9A"/>
    <w:rsid w:val="00D454CA"/>
    <w:rsid w:val="00D45A5A"/>
    <w:rsid w:val="00D47361"/>
    <w:rsid w:val="00D52F5C"/>
    <w:rsid w:val="00D555C2"/>
    <w:rsid w:val="00D5622C"/>
    <w:rsid w:val="00D563D7"/>
    <w:rsid w:val="00D57C96"/>
    <w:rsid w:val="00D57D18"/>
    <w:rsid w:val="00D60113"/>
    <w:rsid w:val="00D6067D"/>
    <w:rsid w:val="00D60762"/>
    <w:rsid w:val="00D61608"/>
    <w:rsid w:val="00D6168B"/>
    <w:rsid w:val="00D63DAB"/>
    <w:rsid w:val="00D64439"/>
    <w:rsid w:val="00D6557D"/>
    <w:rsid w:val="00D65B8E"/>
    <w:rsid w:val="00D6614A"/>
    <w:rsid w:val="00D66E6F"/>
    <w:rsid w:val="00D70E65"/>
    <w:rsid w:val="00D7307F"/>
    <w:rsid w:val="00D75574"/>
    <w:rsid w:val="00D75AC4"/>
    <w:rsid w:val="00D7688A"/>
    <w:rsid w:val="00D77370"/>
    <w:rsid w:val="00D8173F"/>
    <w:rsid w:val="00D82A9C"/>
    <w:rsid w:val="00D8493B"/>
    <w:rsid w:val="00D849CB"/>
    <w:rsid w:val="00D86E80"/>
    <w:rsid w:val="00D870D5"/>
    <w:rsid w:val="00D91203"/>
    <w:rsid w:val="00D932D8"/>
    <w:rsid w:val="00D93345"/>
    <w:rsid w:val="00D93FC8"/>
    <w:rsid w:val="00D95174"/>
    <w:rsid w:val="00DA3E90"/>
    <w:rsid w:val="00DA4973"/>
    <w:rsid w:val="00DA5465"/>
    <w:rsid w:val="00DA54B7"/>
    <w:rsid w:val="00DA6F36"/>
    <w:rsid w:val="00DB13EB"/>
    <w:rsid w:val="00DB15A5"/>
    <w:rsid w:val="00DB1A82"/>
    <w:rsid w:val="00DB248A"/>
    <w:rsid w:val="00DB28E7"/>
    <w:rsid w:val="00DB394D"/>
    <w:rsid w:val="00DB4B96"/>
    <w:rsid w:val="00DB596E"/>
    <w:rsid w:val="00DB7773"/>
    <w:rsid w:val="00DC00EA"/>
    <w:rsid w:val="00DC188B"/>
    <w:rsid w:val="00DC2392"/>
    <w:rsid w:val="00DC2D31"/>
    <w:rsid w:val="00DC2F25"/>
    <w:rsid w:val="00DC2F5C"/>
    <w:rsid w:val="00DC3802"/>
    <w:rsid w:val="00DC45C6"/>
    <w:rsid w:val="00DC511F"/>
    <w:rsid w:val="00DC51CA"/>
    <w:rsid w:val="00DC6066"/>
    <w:rsid w:val="00DD252A"/>
    <w:rsid w:val="00DD5D44"/>
    <w:rsid w:val="00DD6208"/>
    <w:rsid w:val="00DD6321"/>
    <w:rsid w:val="00DD6FB1"/>
    <w:rsid w:val="00DD70A3"/>
    <w:rsid w:val="00DE02AC"/>
    <w:rsid w:val="00DE124C"/>
    <w:rsid w:val="00DE23DB"/>
    <w:rsid w:val="00DE2A52"/>
    <w:rsid w:val="00DE2AFE"/>
    <w:rsid w:val="00DE2B42"/>
    <w:rsid w:val="00DE58E3"/>
    <w:rsid w:val="00DE6D61"/>
    <w:rsid w:val="00DE793B"/>
    <w:rsid w:val="00DF1E26"/>
    <w:rsid w:val="00DF3E90"/>
    <w:rsid w:val="00DF495C"/>
    <w:rsid w:val="00DF5146"/>
    <w:rsid w:val="00DF7D09"/>
    <w:rsid w:val="00DF7E99"/>
    <w:rsid w:val="00E00D3D"/>
    <w:rsid w:val="00E04636"/>
    <w:rsid w:val="00E055E0"/>
    <w:rsid w:val="00E06D16"/>
    <w:rsid w:val="00E076B7"/>
    <w:rsid w:val="00E07D87"/>
    <w:rsid w:val="00E1266B"/>
    <w:rsid w:val="00E14BFC"/>
    <w:rsid w:val="00E15D42"/>
    <w:rsid w:val="00E20002"/>
    <w:rsid w:val="00E21435"/>
    <w:rsid w:val="00E21AF2"/>
    <w:rsid w:val="00E2226D"/>
    <w:rsid w:val="00E249C8"/>
    <w:rsid w:val="00E24A9A"/>
    <w:rsid w:val="00E24C6B"/>
    <w:rsid w:val="00E2743D"/>
    <w:rsid w:val="00E32884"/>
    <w:rsid w:val="00E32F7E"/>
    <w:rsid w:val="00E3505C"/>
    <w:rsid w:val="00E3582E"/>
    <w:rsid w:val="00E36993"/>
    <w:rsid w:val="00E3732E"/>
    <w:rsid w:val="00E40739"/>
    <w:rsid w:val="00E42BB8"/>
    <w:rsid w:val="00E4308A"/>
    <w:rsid w:val="00E47CF2"/>
    <w:rsid w:val="00E47E3B"/>
    <w:rsid w:val="00E52645"/>
    <w:rsid w:val="00E5267B"/>
    <w:rsid w:val="00E5400B"/>
    <w:rsid w:val="00E54A3A"/>
    <w:rsid w:val="00E559F0"/>
    <w:rsid w:val="00E6318E"/>
    <w:rsid w:val="00E63C0E"/>
    <w:rsid w:val="00E672D1"/>
    <w:rsid w:val="00E70AF4"/>
    <w:rsid w:val="00E70F57"/>
    <w:rsid w:val="00E72D49"/>
    <w:rsid w:val="00E75415"/>
    <w:rsid w:val="00E7593C"/>
    <w:rsid w:val="00E7678A"/>
    <w:rsid w:val="00E768D2"/>
    <w:rsid w:val="00E76EAF"/>
    <w:rsid w:val="00E76FC9"/>
    <w:rsid w:val="00E774FA"/>
    <w:rsid w:val="00E80DBD"/>
    <w:rsid w:val="00E80EB2"/>
    <w:rsid w:val="00E80ED5"/>
    <w:rsid w:val="00E83514"/>
    <w:rsid w:val="00E84CE4"/>
    <w:rsid w:val="00E86214"/>
    <w:rsid w:val="00E8639E"/>
    <w:rsid w:val="00E86EA9"/>
    <w:rsid w:val="00E90DAB"/>
    <w:rsid w:val="00E911F3"/>
    <w:rsid w:val="00E91290"/>
    <w:rsid w:val="00E92FB1"/>
    <w:rsid w:val="00E935F1"/>
    <w:rsid w:val="00E94A81"/>
    <w:rsid w:val="00E962FD"/>
    <w:rsid w:val="00E970DA"/>
    <w:rsid w:val="00EA1DFC"/>
    <w:rsid w:val="00EA1FFB"/>
    <w:rsid w:val="00EA50B9"/>
    <w:rsid w:val="00EA6171"/>
    <w:rsid w:val="00EA7809"/>
    <w:rsid w:val="00EB048E"/>
    <w:rsid w:val="00EB30F2"/>
    <w:rsid w:val="00EB4E9C"/>
    <w:rsid w:val="00EB4F9B"/>
    <w:rsid w:val="00EB7C8C"/>
    <w:rsid w:val="00EC0A38"/>
    <w:rsid w:val="00EC16D6"/>
    <w:rsid w:val="00EC361C"/>
    <w:rsid w:val="00EC4EAE"/>
    <w:rsid w:val="00EC5265"/>
    <w:rsid w:val="00EC60F1"/>
    <w:rsid w:val="00ED070C"/>
    <w:rsid w:val="00ED07CD"/>
    <w:rsid w:val="00ED0BDE"/>
    <w:rsid w:val="00ED137D"/>
    <w:rsid w:val="00ED1EEC"/>
    <w:rsid w:val="00ED302A"/>
    <w:rsid w:val="00ED529D"/>
    <w:rsid w:val="00ED72AC"/>
    <w:rsid w:val="00ED7B22"/>
    <w:rsid w:val="00EE0EB0"/>
    <w:rsid w:val="00EE2247"/>
    <w:rsid w:val="00EE2917"/>
    <w:rsid w:val="00EE2C9D"/>
    <w:rsid w:val="00EE34DF"/>
    <w:rsid w:val="00EE37CE"/>
    <w:rsid w:val="00EE4334"/>
    <w:rsid w:val="00EE5F58"/>
    <w:rsid w:val="00EE63CD"/>
    <w:rsid w:val="00EF2F89"/>
    <w:rsid w:val="00EF49B5"/>
    <w:rsid w:val="00EF4B5A"/>
    <w:rsid w:val="00EF5E2B"/>
    <w:rsid w:val="00EF65F4"/>
    <w:rsid w:val="00EF6D30"/>
    <w:rsid w:val="00F00829"/>
    <w:rsid w:val="00F0118C"/>
    <w:rsid w:val="00F0241D"/>
    <w:rsid w:val="00F0381C"/>
    <w:rsid w:val="00F03E98"/>
    <w:rsid w:val="00F046A0"/>
    <w:rsid w:val="00F07B34"/>
    <w:rsid w:val="00F1237A"/>
    <w:rsid w:val="00F15238"/>
    <w:rsid w:val="00F16A5E"/>
    <w:rsid w:val="00F16B77"/>
    <w:rsid w:val="00F17420"/>
    <w:rsid w:val="00F17772"/>
    <w:rsid w:val="00F22CBD"/>
    <w:rsid w:val="00F236FD"/>
    <w:rsid w:val="00F23D42"/>
    <w:rsid w:val="00F2404F"/>
    <w:rsid w:val="00F24713"/>
    <w:rsid w:val="00F272F1"/>
    <w:rsid w:val="00F30A01"/>
    <w:rsid w:val="00F31412"/>
    <w:rsid w:val="00F3283E"/>
    <w:rsid w:val="00F32B8F"/>
    <w:rsid w:val="00F35639"/>
    <w:rsid w:val="00F356E3"/>
    <w:rsid w:val="00F371B6"/>
    <w:rsid w:val="00F43076"/>
    <w:rsid w:val="00F43EEE"/>
    <w:rsid w:val="00F45372"/>
    <w:rsid w:val="00F45416"/>
    <w:rsid w:val="00F456A2"/>
    <w:rsid w:val="00F45901"/>
    <w:rsid w:val="00F45DC8"/>
    <w:rsid w:val="00F46AE9"/>
    <w:rsid w:val="00F506B7"/>
    <w:rsid w:val="00F50783"/>
    <w:rsid w:val="00F51150"/>
    <w:rsid w:val="00F52D7C"/>
    <w:rsid w:val="00F560F7"/>
    <w:rsid w:val="00F6223E"/>
    <w:rsid w:val="00F6334D"/>
    <w:rsid w:val="00F63599"/>
    <w:rsid w:val="00F64699"/>
    <w:rsid w:val="00F661A7"/>
    <w:rsid w:val="00F67375"/>
    <w:rsid w:val="00F71781"/>
    <w:rsid w:val="00F72345"/>
    <w:rsid w:val="00F73299"/>
    <w:rsid w:val="00F74C40"/>
    <w:rsid w:val="00F75B8B"/>
    <w:rsid w:val="00F764BC"/>
    <w:rsid w:val="00F854D6"/>
    <w:rsid w:val="00F867A1"/>
    <w:rsid w:val="00F87981"/>
    <w:rsid w:val="00F87BAD"/>
    <w:rsid w:val="00F90B0B"/>
    <w:rsid w:val="00F9164B"/>
    <w:rsid w:val="00F91949"/>
    <w:rsid w:val="00F94F36"/>
    <w:rsid w:val="00FA33ED"/>
    <w:rsid w:val="00FA35CA"/>
    <w:rsid w:val="00FA4389"/>
    <w:rsid w:val="00FA49AB"/>
    <w:rsid w:val="00FA581A"/>
    <w:rsid w:val="00FB09E6"/>
    <w:rsid w:val="00FB1575"/>
    <w:rsid w:val="00FB1BFC"/>
    <w:rsid w:val="00FB4173"/>
    <w:rsid w:val="00FB4CB5"/>
    <w:rsid w:val="00FB57EF"/>
    <w:rsid w:val="00FB6192"/>
    <w:rsid w:val="00FC0B96"/>
    <w:rsid w:val="00FC1F76"/>
    <w:rsid w:val="00FC21C5"/>
    <w:rsid w:val="00FC419B"/>
    <w:rsid w:val="00FC5FD0"/>
    <w:rsid w:val="00FC6B20"/>
    <w:rsid w:val="00FD1643"/>
    <w:rsid w:val="00FD3C8B"/>
    <w:rsid w:val="00FD5225"/>
    <w:rsid w:val="00FD7240"/>
    <w:rsid w:val="00FE0BFC"/>
    <w:rsid w:val="00FE23CD"/>
    <w:rsid w:val="00FE39C7"/>
    <w:rsid w:val="00FE44B9"/>
    <w:rsid w:val="00FE5476"/>
    <w:rsid w:val="00FE6DA3"/>
    <w:rsid w:val="00FE6F7B"/>
    <w:rsid w:val="00FF0C2F"/>
    <w:rsid w:val="00FF1D25"/>
    <w:rsid w:val="00FF2629"/>
    <w:rsid w:val="00FF31D8"/>
    <w:rsid w:val="00FF3C9E"/>
    <w:rsid w:val="00FF4D07"/>
    <w:rsid w:val="00FF5269"/>
    <w:rsid w:val="00FF63A2"/>
    <w:rsid w:val="01D38C62"/>
    <w:rsid w:val="0326832F"/>
    <w:rsid w:val="034CA295"/>
    <w:rsid w:val="0363C179"/>
    <w:rsid w:val="037B71FE"/>
    <w:rsid w:val="03A39F73"/>
    <w:rsid w:val="04F5AAED"/>
    <w:rsid w:val="071B4F8A"/>
    <w:rsid w:val="0733A1D3"/>
    <w:rsid w:val="073A3D3E"/>
    <w:rsid w:val="07423B91"/>
    <w:rsid w:val="077D0AC2"/>
    <w:rsid w:val="07B73EAE"/>
    <w:rsid w:val="086EB3DC"/>
    <w:rsid w:val="087C2975"/>
    <w:rsid w:val="092486CE"/>
    <w:rsid w:val="09DA8F07"/>
    <w:rsid w:val="0AC8B93D"/>
    <w:rsid w:val="0B3B39A1"/>
    <w:rsid w:val="0D4C9B9B"/>
    <w:rsid w:val="0DAE4595"/>
    <w:rsid w:val="0E28CF3E"/>
    <w:rsid w:val="0EE29B85"/>
    <w:rsid w:val="104481C7"/>
    <w:rsid w:val="11396220"/>
    <w:rsid w:val="121C2DC3"/>
    <w:rsid w:val="13008355"/>
    <w:rsid w:val="1368FC47"/>
    <w:rsid w:val="13CD1D61"/>
    <w:rsid w:val="144A42AC"/>
    <w:rsid w:val="1469DA6B"/>
    <w:rsid w:val="14A0D3B7"/>
    <w:rsid w:val="14E8CCF2"/>
    <w:rsid w:val="1558302A"/>
    <w:rsid w:val="15C6B563"/>
    <w:rsid w:val="1611FBE4"/>
    <w:rsid w:val="165E7586"/>
    <w:rsid w:val="16DF5529"/>
    <w:rsid w:val="183FAABC"/>
    <w:rsid w:val="18E14FCC"/>
    <w:rsid w:val="1935BA11"/>
    <w:rsid w:val="19726BA9"/>
    <w:rsid w:val="198F45EB"/>
    <w:rsid w:val="19CE2CAA"/>
    <w:rsid w:val="19DFF7C5"/>
    <w:rsid w:val="19E9DBA3"/>
    <w:rsid w:val="1A1F6577"/>
    <w:rsid w:val="1A4D51AE"/>
    <w:rsid w:val="1B1E52B2"/>
    <w:rsid w:val="1B710456"/>
    <w:rsid w:val="1BCD29FA"/>
    <w:rsid w:val="1BD74803"/>
    <w:rsid w:val="1CD3AC13"/>
    <w:rsid w:val="1D44541D"/>
    <w:rsid w:val="1EBCAF8F"/>
    <w:rsid w:val="1EC46DAC"/>
    <w:rsid w:val="1F7A867B"/>
    <w:rsid w:val="20139BCE"/>
    <w:rsid w:val="20766F43"/>
    <w:rsid w:val="2083B530"/>
    <w:rsid w:val="215C9524"/>
    <w:rsid w:val="21A02DA6"/>
    <w:rsid w:val="225D4385"/>
    <w:rsid w:val="22F93D90"/>
    <w:rsid w:val="234684D4"/>
    <w:rsid w:val="2436B5DC"/>
    <w:rsid w:val="244FAAC2"/>
    <w:rsid w:val="2493AFC4"/>
    <w:rsid w:val="24DCF38B"/>
    <w:rsid w:val="252B7C87"/>
    <w:rsid w:val="256A5A8A"/>
    <w:rsid w:val="2586E33D"/>
    <w:rsid w:val="25C79289"/>
    <w:rsid w:val="25D6DF6D"/>
    <w:rsid w:val="266D78F2"/>
    <w:rsid w:val="27861E16"/>
    <w:rsid w:val="283D3DED"/>
    <w:rsid w:val="2991A532"/>
    <w:rsid w:val="2A7BA9E4"/>
    <w:rsid w:val="2A96929A"/>
    <w:rsid w:val="2C38DFC8"/>
    <w:rsid w:val="2C84B571"/>
    <w:rsid w:val="2D329146"/>
    <w:rsid w:val="2D5BE869"/>
    <w:rsid w:val="2D8E49C6"/>
    <w:rsid w:val="2EB8CA11"/>
    <w:rsid w:val="2EE2804B"/>
    <w:rsid w:val="2F46C5F5"/>
    <w:rsid w:val="2FCBE3DA"/>
    <w:rsid w:val="30B4FE0E"/>
    <w:rsid w:val="3112D295"/>
    <w:rsid w:val="314BD3DA"/>
    <w:rsid w:val="334F05AE"/>
    <w:rsid w:val="36A7D00C"/>
    <w:rsid w:val="36A8E2E9"/>
    <w:rsid w:val="372BC96C"/>
    <w:rsid w:val="3795A28A"/>
    <w:rsid w:val="37B9177F"/>
    <w:rsid w:val="3952685C"/>
    <w:rsid w:val="398B5E3A"/>
    <w:rsid w:val="398EA19F"/>
    <w:rsid w:val="3A1114B7"/>
    <w:rsid w:val="3B57E53D"/>
    <w:rsid w:val="3C3DAC30"/>
    <w:rsid w:val="3CF10457"/>
    <w:rsid w:val="3D193879"/>
    <w:rsid w:val="3E0941F5"/>
    <w:rsid w:val="407F8FBB"/>
    <w:rsid w:val="429910A4"/>
    <w:rsid w:val="42CDD2F0"/>
    <w:rsid w:val="436BB483"/>
    <w:rsid w:val="437B4AE0"/>
    <w:rsid w:val="43AABEFE"/>
    <w:rsid w:val="454264ED"/>
    <w:rsid w:val="460F7BBA"/>
    <w:rsid w:val="46D55444"/>
    <w:rsid w:val="47164ACE"/>
    <w:rsid w:val="4750E9F7"/>
    <w:rsid w:val="47E92D60"/>
    <w:rsid w:val="487325BF"/>
    <w:rsid w:val="48C6B086"/>
    <w:rsid w:val="49094BF3"/>
    <w:rsid w:val="4980533F"/>
    <w:rsid w:val="4A249D1E"/>
    <w:rsid w:val="4ACDC241"/>
    <w:rsid w:val="4BB9C478"/>
    <w:rsid w:val="4C1B6A1A"/>
    <w:rsid w:val="4C8694C7"/>
    <w:rsid w:val="4DC435BA"/>
    <w:rsid w:val="4ED6AD32"/>
    <w:rsid w:val="533C5BFA"/>
    <w:rsid w:val="53C7CFAC"/>
    <w:rsid w:val="54267DA6"/>
    <w:rsid w:val="5633C001"/>
    <w:rsid w:val="57644F6D"/>
    <w:rsid w:val="5851720C"/>
    <w:rsid w:val="5990348E"/>
    <w:rsid w:val="59E0019A"/>
    <w:rsid w:val="5A9C4406"/>
    <w:rsid w:val="5AA9C9A1"/>
    <w:rsid w:val="5BB210DE"/>
    <w:rsid w:val="5BFDA7C6"/>
    <w:rsid w:val="5CF9A155"/>
    <w:rsid w:val="5E8062F6"/>
    <w:rsid w:val="5E96CA14"/>
    <w:rsid w:val="5ED0585E"/>
    <w:rsid w:val="5F015DEF"/>
    <w:rsid w:val="5FBA27B0"/>
    <w:rsid w:val="603BAEFC"/>
    <w:rsid w:val="60702BC3"/>
    <w:rsid w:val="60CADC1C"/>
    <w:rsid w:val="60F1E9E9"/>
    <w:rsid w:val="61040725"/>
    <w:rsid w:val="617EDA6D"/>
    <w:rsid w:val="61AAC52C"/>
    <w:rsid w:val="6279A180"/>
    <w:rsid w:val="638B0117"/>
    <w:rsid w:val="63A77290"/>
    <w:rsid w:val="65641D1E"/>
    <w:rsid w:val="6645CBC8"/>
    <w:rsid w:val="668288F2"/>
    <w:rsid w:val="66ABBD32"/>
    <w:rsid w:val="6716BCEF"/>
    <w:rsid w:val="673E6A7A"/>
    <w:rsid w:val="67A7D0AA"/>
    <w:rsid w:val="6839C9E8"/>
    <w:rsid w:val="68453D4A"/>
    <w:rsid w:val="694BC152"/>
    <w:rsid w:val="6A068AE4"/>
    <w:rsid w:val="6A870D1C"/>
    <w:rsid w:val="6A974750"/>
    <w:rsid w:val="6B8D3611"/>
    <w:rsid w:val="6C046DB5"/>
    <w:rsid w:val="6D69EAC1"/>
    <w:rsid w:val="6D6AF848"/>
    <w:rsid w:val="6E52C1D0"/>
    <w:rsid w:val="6F1A1C94"/>
    <w:rsid w:val="6F780568"/>
    <w:rsid w:val="6F8EC862"/>
    <w:rsid w:val="6FA2CCE7"/>
    <w:rsid w:val="6FF063B7"/>
    <w:rsid w:val="70C7A609"/>
    <w:rsid w:val="70E20AEE"/>
    <w:rsid w:val="7131A02F"/>
    <w:rsid w:val="71E423C7"/>
    <w:rsid w:val="72DB18F2"/>
    <w:rsid w:val="73F59A35"/>
    <w:rsid w:val="74DEEC4F"/>
    <w:rsid w:val="7502CFDD"/>
    <w:rsid w:val="757E9FEE"/>
    <w:rsid w:val="78D45EE0"/>
    <w:rsid w:val="79D8E508"/>
    <w:rsid w:val="7A76EFE1"/>
    <w:rsid w:val="7AE482A1"/>
    <w:rsid w:val="7B0B63E0"/>
    <w:rsid w:val="7C2A6BA5"/>
    <w:rsid w:val="7C86B17C"/>
    <w:rsid w:val="7D5A6121"/>
    <w:rsid w:val="7D7E2CAF"/>
    <w:rsid w:val="7E738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712BD"/>
  <w15:docId w15:val="{3C15A028-DE75-4C2E-AF67-3445F88B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8D5D1E"/>
    <w:pPr>
      <w:keepNext/>
      <w:jc w:val="both"/>
      <w:outlineLvl w:val="1"/>
    </w:pPr>
    <w:rPr>
      <w:rFonts w:ascii="Arial" w:hAnsi="Arial"/>
      <w:u w:val="single"/>
    </w:rPr>
  </w:style>
  <w:style w:type="paragraph" w:styleId="Heading3">
    <w:name w:val="heading 3"/>
    <w:next w:val="Normal"/>
    <w:qFormat/>
    <w:rsid w:val="005B75F4"/>
    <w:pPr>
      <w:keepNext/>
      <w:spacing w:line="360" w:lineRule="auto"/>
      <w:jc w:val="both"/>
      <w:outlineLvl w:val="2"/>
    </w:pPr>
    <w:rPr>
      <w:rFonts w:ascii="Arial" w:hAnsi="Arial"/>
      <w:i/>
    </w:rPr>
  </w:style>
  <w:style w:type="paragraph" w:styleId="Heading4">
    <w:name w:val="heading 4"/>
    <w:next w:val="Normal"/>
    <w:link w:val="Heading4Char"/>
    <w:autoRedefine/>
    <w:qFormat/>
    <w:rsid w:val="00F867A1"/>
    <w:pPr>
      <w:keepNext/>
      <w:tabs>
        <w:tab w:val="left" w:pos="1276"/>
      </w:tabs>
      <w:ind w:left="567"/>
      <w:jc w:val="both"/>
      <w:outlineLvl w:val="3"/>
    </w:pPr>
    <w:rPr>
      <w:rFonts w:ascii="Arial" w:hAnsi="Arial"/>
      <w:u w:val="single"/>
    </w:rPr>
  </w:style>
  <w:style w:type="paragraph" w:styleId="Heading5">
    <w:name w:val="heading 5"/>
    <w:next w:val="Normal"/>
    <w:autoRedefine/>
    <w:qFormat/>
    <w:rsid w:val="008B4CF2"/>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4C35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C35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C35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CA7A46"/>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11AFB"/>
    <w:pPr>
      <w:tabs>
        <w:tab w:val="right" w:leader="dot" w:pos="9639"/>
      </w:tabs>
      <w:spacing w:before="120" w:after="120"/>
      <w:ind w:left="568" w:right="284" w:hanging="284"/>
    </w:pPr>
    <w:rPr>
      <w:rFonts w:ascii="Arial" w:hAnsi="Arial"/>
      <w:noProof/>
      <w:sz w:val="18"/>
    </w:rPr>
  </w:style>
  <w:style w:type="paragraph" w:styleId="TOC3">
    <w:name w:val="toc 3"/>
    <w:next w:val="Normal"/>
    <w:autoRedefine/>
    <w:uiPriority w:val="39"/>
    <w:rsid w:val="003A2017"/>
    <w:pPr>
      <w:keepNext/>
      <w:tabs>
        <w:tab w:val="right" w:leader="dot" w:pos="9639"/>
      </w:tabs>
      <w:spacing w:after="60"/>
      <w:ind w:left="851" w:right="284"/>
    </w:pPr>
    <w:rPr>
      <w:rFonts w:ascii="Arial" w:hAnsi="Arial"/>
      <w:i/>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D93345"/>
    <w:pPr>
      <w:tabs>
        <w:tab w:val="right" w:leader="dot" w:pos="9639"/>
      </w:tabs>
      <w:spacing w:before="120" w:after="120"/>
      <w:ind w:left="1134" w:right="284"/>
    </w:pPr>
    <w:rPr>
      <w:rFonts w:ascii="Arial" w:hAnsi="Arial"/>
      <w:noProof/>
      <w:sz w:val="18"/>
      <w:lang w:val="fr-FR"/>
    </w:rPr>
  </w:style>
  <w:style w:type="paragraph" w:styleId="TOC1">
    <w:name w:val="toc 1"/>
    <w:next w:val="Normal"/>
    <w:autoRedefine/>
    <w:uiPriority w:val="39"/>
    <w:rsid w:val="00F64699"/>
    <w:pPr>
      <w:keepNext/>
      <w:tabs>
        <w:tab w:val="left" w:pos="284"/>
        <w:tab w:val="right" w:leader="dot" w:pos="9639"/>
      </w:tabs>
      <w:spacing w:before="120" w:after="120"/>
      <w:jc w:val="center"/>
    </w:pPr>
    <w:rPr>
      <w:rFonts w:ascii="Arial" w:hAnsi="Arial"/>
      <w:caps/>
      <w:sz w:val="18"/>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6Char">
    <w:name w:val="Heading 6 Char"/>
    <w:basedOn w:val="DefaultParagraphFont"/>
    <w:link w:val="Heading6"/>
    <w:semiHidden/>
    <w:rsid w:val="004C35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4C35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4C351B"/>
    <w:rPr>
      <w:rFonts w:asciiTheme="majorHAnsi" w:eastAsiaTheme="majorEastAsia" w:hAnsiTheme="majorHAnsi" w:cstheme="majorBidi"/>
      <w:color w:val="272727" w:themeColor="text1" w:themeTint="D8"/>
      <w:sz w:val="21"/>
      <w:szCs w:val="21"/>
    </w:rPr>
  </w:style>
  <w:style w:type="paragraph" w:styleId="ListParagraph">
    <w:name w:val="List Paragraph"/>
    <w:aliases w:val="auto_list_(i),List Paragraph1"/>
    <w:basedOn w:val="Normal"/>
    <w:link w:val="ListParagraphChar"/>
    <w:uiPriority w:val="34"/>
    <w:qFormat/>
    <w:rsid w:val="004C351B"/>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4C351B"/>
    <w:rPr>
      <w:rFonts w:ascii="Arial" w:hAnsi="Arial"/>
    </w:rPr>
  </w:style>
  <w:style w:type="character" w:customStyle="1" w:styleId="FootnoteTextChar">
    <w:name w:val="Footnote Text Char"/>
    <w:basedOn w:val="DefaultParagraphFont"/>
    <w:link w:val="FootnoteText"/>
    <w:rsid w:val="00CA7A46"/>
    <w:rPr>
      <w:rFonts w:ascii="Arial" w:hAnsi="Arial"/>
      <w:sz w:val="16"/>
    </w:rPr>
  </w:style>
  <w:style w:type="character" w:styleId="FollowedHyperlink">
    <w:name w:val="FollowedHyperlink"/>
    <w:basedOn w:val="DefaultParagraphFont"/>
    <w:semiHidden/>
    <w:unhideWhenUsed/>
    <w:rsid w:val="004C351B"/>
    <w:rPr>
      <w:color w:val="800080" w:themeColor="followedHyperlink"/>
      <w:u w:val="single"/>
    </w:rPr>
  </w:style>
  <w:style w:type="character" w:customStyle="1" w:styleId="HeaderChar">
    <w:name w:val="Header Char"/>
    <w:basedOn w:val="DefaultParagraphFont"/>
    <w:link w:val="Header"/>
    <w:uiPriority w:val="99"/>
    <w:rsid w:val="004C351B"/>
    <w:rPr>
      <w:rFonts w:ascii="Arial" w:hAnsi="Arial"/>
      <w:lang w:val="fr-FR"/>
    </w:rPr>
  </w:style>
  <w:style w:type="character" w:customStyle="1" w:styleId="NormaltChar">
    <w:name w:val="Normalt Char"/>
    <w:link w:val="Normalt"/>
    <w:locked/>
    <w:rsid w:val="004C351B"/>
    <w:rPr>
      <w:noProof/>
      <w:lang w:eastAsia="es-ES"/>
    </w:rPr>
  </w:style>
  <w:style w:type="paragraph" w:customStyle="1" w:styleId="Normalt">
    <w:name w:val="Normalt"/>
    <w:basedOn w:val="Normal"/>
    <w:link w:val="NormaltChar"/>
    <w:rsid w:val="004C351B"/>
    <w:pPr>
      <w:spacing w:before="120" w:after="120"/>
      <w:jc w:val="left"/>
    </w:pPr>
    <w:rPr>
      <w:rFonts w:ascii="Times New Roman" w:hAnsi="Times New Roman"/>
      <w:noProof/>
      <w:lang w:eastAsia="es-ES"/>
    </w:rPr>
  </w:style>
  <w:style w:type="paragraph" w:customStyle="1" w:styleId="Normaltb">
    <w:name w:val="Normaltb"/>
    <w:basedOn w:val="Normalt"/>
    <w:rsid w:val="004C351B"/>
    <w:pPr>
      <w:keepNext/>
    </w:pPr>
    <w:rPr>
      <w:b/>
    </w:rPr>
  </w:style>
  <w:style w:type="paragraph" w:customStyle="1" w:styleId="BasistekstNaktuinbouw">
    <w:name w:val="Basistekst Naktuinbouw"/>
    <w:basedOn w:val="Normal"/>
    <w:qFormat/>
    <w:rsid w:val="004C351B"/>
    <w:pPr>
      <w:spacing w:line="240" w:lineRule="atLeast"/>
      <w:jc w:val="left"/>
    </w:pPr>
    <w:rPr>
      <w:rFonts w:cs="Maiandra GD"/>
      <w:color w:val="000000" w:themeColor="text1"/>
      <w:szCs w:val="18"/>
      <w:lang w:val="nl-NL" w:eastAsia="nl-NL"/>
    </w:rPr>
  </w:style>
  <w:style w:type="paragraph" w:customStyle="1" w:styleId="Default">
    <w:name w:val="Default"/>
    <w:rsid w:val="004C351B"/>
    <w:pPr>
      <w:autoSpaceDE w:val="0"/>
      <w:autoSpaceDN w:val="0"/>
      <w:adjustRightInd w:val="0"/>
    </w:pPr>
    <w:rPr>
      <w:rFonts w:ascii="Arial" w:hAnsi="Arial" w:cs="Arial"/>
      <w:color w:val="000000"/>
      <w:sz w:val="24"/>
      <w:szCs w:val="24"/>
    </w:rPr>
  </w:style>
  <w:style w:type="table" w:styleId="TableGrid">
    <w:name w:val="Table Grid"/>
    <w:basedOn w:val="TableNormal"/>
    <w:rsid w:val="004C351B"/>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C351B"/>
  </w:style>
  <w:style w:type="character" w:styleId="Strong">
    <w:name w:val="Strong"/>
    <w:basedOn w:val="DefaultParagraphFont"/>
    <w:uiPriority w:val="22"/>
    <w:qFormat/>
    <w:rsid w:val="004C351B"/>
    <w:rPr>
      <w:b/>
      <w:bCs/>
    </w:rPr>
  </w:style>
  <w:style w:type="character" w:customStyle="1" w:styleId="EndnoteTextChar">
    <w:name w:val="Endnote Text Char"/>
    <w:basedOn w:val="DefaultParagraphFont"/>
    <w:link w:val="EndnoteText"/>
    <w:rsid w:val="004C351B"/>
    <w:rPr>
      <w:rFonts w:ascii="Arial" w:hAnsi="Arial"/>
    </w:rPr>
  </w:style>
  <w:style w:type="paragraph" w:customStyle="1" w:styleId="Style1">
    <w:name w:val="Style1"/>
    <w:basedOn w:val="Normal"/>
    <w:rsid w:val="004C351B"/>
    <w:pPr>
      <w:tabs>
        <w:tab w:val="decimal" w:pos="907"/>
        <w:tab w:val="left" w:pos="1077"/>
      </w:tabs>
    </w:pPr>
    <w:rPr>
      <w:rFonts w:eastAsia="MS Mincho"/>
      <w:szCs w:val="24"/>
      <w:lang w:eastAsia="ja-JP"/>
    </w:rPr>
  </w:style>
  <w:style w:type="character" w:customStyle="1" w:styleId="Heading4Char">
    <w:name w:val="Heading 4 Char"/>
    <w:link w:val="Heading4"/>
    <w:rsid w:val="00F867A1"/>
    <w:rPr>
      <w:rFonts w:ascii="Arial" w:hAnsi="Arial"/>
      <w:u w:val="single"/>
    </w:rPr>
  </w:style>
  <w:style w:type="paragraph" w:styleId="Revision">
    <w:name w:val="Revision"/>
    <w:hidden/>
    <w:uiPriority w:val="99"/>
    <w:semiHidden/>
    <w:rsid w:val="004C351B"/>
    <w:rPr>
      <w:rFonts w:ascii="Arial" w:hAnsi="Arial"/>
    </w:rPr>
  </w:style>
  <w:style w:type="paragraph" w:styleId="BodyTextIndent">
    <w:name w:val="Body Text Indent"/>
    <w:basedOn w:val="Normal"/>
    <w:link w:val="BodyTextIndentChar"/>
    <w:semiHidden/>
    <w:unhideWhenUsed/>
    <w:rsid w:val="004C351B"/>
    <w:pPr>
      <w:spacing w:after="120"/>
      <w:ind w:left="283"/>
    </w:pPr>
  </w:style>
  <w:style w:type="character" w:customStyle="1" w:styleId="BodyTextIndentChar">
    <w:name w:val="Body Text Indent Char"/>
    <w:basedOn w:val="DefaultParagraphFont"/>
    <w:link w:val="BodyTextIndent"/>
    <w:semiHidden/>
    <w:rsid w:val="004C351B"/>
    <w:rPr>
      <w:rFonts w:ascii="Arial" w:hAnsi="Arial"/>
    </w:rPr>
  </w:style>
  <w:style w:type="paragraph" w:styleId="Bibliography">
    <w:name w:val="Bibliography"/>
    <w:basedOn w:val="Normal"/>
    <w:next w:val="Normal"/>
    <w:uiPriority w:val="37"/>
    <w:semiHidden/>
    <w:unhideWhenUsed/>
    <w:rsid w:val="004C351B"/>
  </w:style>
  <w:style w:type="paragraph" w:styleId="BlockText">
    <w:name w:val="Block Text"/>
    <w:basedOn w:val="Normal"/>
    <w:unhideWhenUsed/>
    <w:rsid w:val="004C35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nhideWhenUsed/>
    <w:rsid w:val="004C351B"/>
    <w:pPr>
      <w:spacing w:after="120" w:line="480" w:lineRule="auto"/>
    </w:pPr>
  </w:style>
  <w:style w:type="character" w:customStyle="1" w:styleId="BodyText2Char">
    <w:name w:val="Body Text 2 Char"/>
    <w:basedOn w:val="DefaultParagraphFont"/>
    <w:link w:val="BodyText2"/>
    <w:rsid w:val="004C351B"/>
    <w:rPr>
      <w:rFonts w:ascii="Arial" w:hAnsi="Arial"/>
    </w:rPr>
  </w:style>
  <w:style w:type="paragraph" w:styleId="BodyText3">
    <w:name w:val="Body Text 3"/>
    <w:basedOn w:val="Normal"/>
    <w:link w:val="BodyText3Char"/>
    <w:semiHidden/>
    <w:unhideWhenUsed/>
    <w:rsid w:val="004C351B"/>
    <w:pPr>
      <w:spacing w:after="120"/>
    </w:pPr>
    <w:rPr>
      <w:sz w:val="16"/>
      <w:szCs w:val="16"/>
    </w:rPr>
  </w:style>
  <w:style w:type="character" w:customStyle="1" w:styleId="BodyText3Char">
    <w:name w:val="Body Text 3 Char"/>
    <w:basedOn w:val="DefaultParagraphFont"/>
    <w:link w:val="BodyText3"/>
    <w:semiHidden/>
    <w:rsid w:val="004C351B"/>
    <w:rPr>
      <w:rFonts w:ascii="Arial" w:hAnsi="Arial"/>
      <w:sz w:val="16"/>
      <w:szCs w:val="16"/>
    </w:rPr>
  </w:style>
  <w:style w:type="paragraph" w:styleId="BodyTextFirstIndent">
    <w:name w:val="Body Text First Indent"/>
    <w:basedOn w:val="BodyText"/>
    <w:link w:val="BodyTextFirstIndentChar"/>
    <w:rsid w:val="004C351B"/>
    <w:pPr>
      <w:ind w:firstLine="360"/>
    </w:pPr>
  </w:style>
  <w:style w:type="character" w:customStyle="1" w:styleId="BodyTextChar">
    <w:name w:val="Body Text Char"/>
    <w:basedOn w:val="DefaultParagraphFont"/>
    <w:link w:val="BodyText"/>
    <w:rsid w:val="004C351B"/>
    <w:rPr>
      <w:rFonts w:ascii="Arial" w:hAnsi="Arial"/>
    </w:rPr>
  </w:style>
  <w:style w:type="character" w:customStyle="1" w:styleId="BodyTextFirstIndentChar">
    <w:name w:val="Body Text First Indent Char"/>
    <w:basedOn w:val="BodyTextChar"/>
    <w:link w:val="BodyTextFirstIndent"/>
    <w:rsid w:val="004C351B"/>
    <w:rPr>
      <w:rFonts w:ascii="Arial" w:hAnsi="Arial"/>
    </w:rPr>
  </w:style>
  <w:style w:type="paragraph" w:styleId="BodyTextFirstIndent2">
    <w:name w:val="Body Text First Indent 2"/>
    <w:basedOn w:val="BodyTextIndent"/>
    <w:link w:val="BodyTextFirstIndent2Char"/>
    <w:semiHidden/>
    <w:unhideWhenUsed/>
    <w:rsid w:val="004C351B"/>
    <w:pPr>
      <w:spacing w:after="0"/>
      <w:ind w:left="360" w:firstLine="360"/>
    </w:pPr>
  </w:style>
  <w:style w:type="character" w:customStyle="1" w:styleId="BodyTextFirstIndent2Char">
    <w:name w:val="Body Text First Indent 2 Char"/>
    <w:basedOn w:val="BodyTextIndentChar"/>
    <w:link w:val="BodyTextFirstIndent2"/>
    <w:semiHidden/>
    <w:rsid w:val="004C351B"/>
    <w:rPr>
      <w:rFonts w:ascii="Arial" w:hAnsi="Arial"/>
    </w:rPr>
  </w:style>
  <w:style w:type="paragraph" w:styleId="BodyTextIndent2">
    <w:name w:val="Body Text Indent 2"/>
    <w:basedOn w:val="Normal"/>
    <w:link w:val="BodyTextIndent2Char"/>
    <w:semiHidden/>
    <w:unhideWhenUsed/>
    <w:rsid w:val="004C351B"/>
    <w:pPr>
      <w:spacing w:after="120" w:line="480" w:lineRule="auto"/>
      <w:ind w:left="283"/>
    </w:pPr>
  </w:style>
  <w:style w:type="character" w:customStyle="1" w:styleId="BodyTextIndent2Char">
    <w:name w:val="Body Text Indent 2 Char"/>
    <w:basedOn w:val="DefaultParagraphFont"/>
    <w:link w:val="BodyTextIndent2"/>
    <w:semiHidden/>
    <w:rsid w:val="004C351B"/>
    <w:rPr>
      <w:rFonts w:ascii="Arial" w:hAnsi="Arial"/>
    </w:rPr>
  </w:style>
  <w:style w:type="paragraph" w:styleId="BodyTextIndent3">
    <w:name w:val="Body Text Indent 3"/>
    <w:basedOn w:val="Normal"/>
    <w:link w:val="BodyTextIndent3Char"/>
    <w:semiHidden/>
    <w:unhideWhenUsed/>
    <w:rsid w:val="004C351B"/>
    <w:pPr>
      <w:spacing w:after="120"/>
      <w:ind w:left="283"/>
    </w:pPr>
    <w:rPr>
      <w:sz w:val="16"/>
      <w:szCs w:val="16"/>
    </w:rPr>
  </w:style>
  <w:style w:type="character" w:customStyle="1" w:styleId="BodyTextIndent3Char">
    <w:name w:val="Body Text Indent 3 Char"/>
    <w:basedOn w:val="DefaultParagraphFont"/>
    <w:link w:val="BodyTextIndent3"/>
    <w:semiHidden/>
    <w:rsid w:val="004C351B"/>
    <w:rPr>
      <w:rFonts w:ascii="Arial" w:hAnsi="Arial"/>
      <w:sz w:val="16"/>
      <w:szCs w:val="16"/>
    </w:rPr>
  </w:style>
  <w:style w:type="paragraph" w:styleId="Caption">
    <w:name w:val="caption"/>
    <w:basedOn w:val="Normal"/>
    <w:next w:val="Normal"/>
    <w:semiHidden/>
    <w:unhideWhenUsed/>
    <w:qFormat/>
    <w:rsid w:val="004C351B"/>
    <w:pPr>
      <w:spacing w:after="200"/>
    </w:pPr>
    <w:rPr>
      <w:i/>
      <w:iCs/>
      <w:color w:val="1F497D" w:themeColor="text2"/>
      <w:sz w:val="18"/>
      <w:szCs w:val="18"/>
    </w:rPr>
  </w:style>
  <w:style w:type="paragraph" w:styleId="CommentText">
    <w:name w:val="annotation text"/>
    <w:basedOn w:val="Normal"/>
    <w:link w:val="CommentTextChar"/>
    <w:unhideWhenUsed/>
    <w:rsid w:val="004C351B"/>
  </w:style>
  <w:style w:type="character" w:customStyle="1" w:styleId="CommentTextChar">
    <w:name w:val="Comment Text Char"/>
    <w:basedOn w:val="DefaultParagraphFont"/>
    <w:link w:val="CommentText"/>
    <w:rsid w:val="004C351B"/>
    <w:rPr>
      <w:rFonts w:ascii="Arial" w:hAnsi="Arial"/>
    </w:rPr>
  </w:style>
  <w:style w:type="paragraph" w:styleId="CommentSubject">
    <w:name w:val="annotation subject"/>
    <w:basedOn w:val="CommentText"/>
    <w:next w:val="CommentText"/>
    <w:link w:val="CommentSubjectChar"/>
    <w:semiHidden/>
    <w:unhideWhenUsed/>
    <w:rsid w:val="004C351B"/>
    <w:rPr>
      <w:b/>
      <w:bCs/>
    </w:rPr>
  </w:style>
  <w:style w:type="character" w:customStyle="1" w:styleId="CommentSubjectChar">
    <w:name w:val="Comment Subject Char"/>
    <w:basedOn w:val="CommentTextChar"/>
    <w:link w:val="CommentSubject"/>
    <w:semiHidden/>
    <w:rsid w:val="004C351B"/>
    <w:rPr>
      <w:rFonts w:ascii="Arial" w:hAnsi="Arial"/>
      <w:b/>
      <w:bCs/>
    </w:rPr>
  </w:style>
  <w:style w:type="paragraph" w:styleId="DocumentMap">
    <w:name w:val="Document Map"/>
    <w:basedOn w:val="Normal"/>
    <w:link w:val="DocumentMapChar"/>
    <w:semiHidden/>
    <w:unhideWhenUsed/>
    <w:rsid w:val="004C351B"/>
    <w:rPr>
      <w:rFonts w:ascii="Segoe UI" w:hAnsi="Segoe UI" w:cs="Segoe UI"/>
      <w:sz w:val="16"/>
      <w:szCs w:val="16"/>
    </w:rPr>
  </w:style>
  <w:style w:type="character" w:customStyle="1" w:styleId="DocumentMapChar">
    <w:name w:val="Document Map Char"/>
    <w:basedOn w:val="DefaultParagraphFont"/>
    <w:link w:val="DocumentMap"/>
    <w:semiHidden/>
    <w:rsid w:val="004C351B"/>
    <w:rPr>
      <w:rFonts w:ascii="Segoe UI" w:hAnsi="Segoe UI" w:cs="Segoe UI"/>
      <w:sz w:val="16"/>
      <w:szCs w:val="16"/>
    </w:rPr>
  </w:style>
  <w:style w:type="paragraph" w:styleId="E-mailSignature">
    <w:name w:val="E-mail Signature"/>
    <w:basedOn w:val="Normal"/>
    <w:link w:val="E-mailSignatureChar"/>
    <w:semiHidden/>
    <w:unhideWhenUsed/>
    <w:rsid w:val="004C351B"/>
  </w:style>
  <w:style w:type="character" w:customStyle="1" w:styleId="E-mailSignatureChar">
    <w:name w:val="E-mail Signature Char"/>
    <w:basedOn w:val="DefaultParagraphFont"/>
    <w:link w:val="E-mailSignature"/>
    <w:semiHidden/>
    <w:rsid w:val="004C351B"/>
    <w:rPr>
      <w:rFonts w:ascii="Arial" w:hAnsi="Arial"/>
    </w:rPr>
  </w:style>
  <w:style w:type="paragraph" w:styleId="EnvelopeAddress">
    <w:name w:val="envelope address"/>
    <w:basedOn w:val="Normal"/>
    <w:semiHidden/>
    <w:unhideWhenUsed/>
    <w:rsid w:val="004C35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C351B"/>
    <w:rPr>
      <w:rFonts w:asciiTheme="majorHAnsi" w:eastAsiaTheme="majorEastAsia" w:hAnsiTheme="majorHAnsi" w:cstheme="majorBidi"/>
    </w:rPr>
  </w:style>
  <w:style w:type="paragraph" w:styleId="HTMLAddress">
    <w:name w:val="HTML Address"/>
    <w:basedOn w:val="Normal"/>
    <w:link w:val="HTMLAddressChar"/>
    <w:semiHidden/>
    <w:unhideWhenUsed/>
    <w:rsid w:val="004C351B"/>
    <w:rPr>
      <w:i/>
      <w:iCs/>
    </w:rPr>
  </w:style>
  <w:style w:type="character" w:customStyle="1" w:styleId="HTMLAddressChar">
    <w:name w:val="HTML Address Char"/>
    <w:basedOn w:val="DefaultParagraphFont"/>
    <w:link w:val="HTMLAddress"/>
    <w:semiHidden/>
    <w:rsid w:val="004C351B"/>
    <w:rPr>
      <w:rFonts w:ascii="Arial" w:hAnsi="Arial"/>
      <w:i/>
      <w:iCs/>
    </w:rPr>
  </w:style>
  <w:style w:type="paragraph" w:styleId="HTMLPreformatted">
    <w:name w:val="HTML Preformatted"/>
    <w:basedOn w:val="Normal"/>
    <w:link w:val="HTMLPreformattedChar"/>
    <w:semiHidden/>
    <w:unhideWhenUsed/>
    <w:rsid w:val="004C351B"/>
    <w:rPr>
      <w:rFonts w:ascii="Consolas" w:hAnsi="Consolas"/>
    </w:rPr>
  </w:style>
  <w:style w:type="character" w:customStyle="1" w:styleId="HTMLPreformattedChar">
    <w:name w:val="HTML Preformatted Char"/>
    <w:basedOn w:val="DefaultParagraphFont"/>
    <w:link w:val="HTMLPreformatted"/>
    <w:semiHidden/>
    <w:rsid w:val="004C351B"/>
    <w:rPr>
      <w:rFonts w:ascii="Consolas" w:hAnsi="Consolas"/>
    </w:rPr>
  </w:style>
  <w:style w:type="paragraph" w:styleId="Index4">
    <w:name w:val="index 4"/>
    <w:basedOn w:val="Normal"/>
    <w:next w:val="Normal"/>
    <w:autoRedefine/>
    <w:semiHidden/>
    <w:unhideWhenUsed/>
    <w:rsid w:val="004C351B"/>
    <w:pPr>
      <w:ind w:left="800" w:hanging="200"/>
    </w:pPr>
  </w:style>
  <w:style w:type="paragraph" w:styleId="Index5">
    <w:name w:val="index 5"/>
    <w:basedOn w:val="Normal"/>
    <w:next w:val="Normal"/>
    <w:autoRedefine/>
    <w:semiHidden/>
    <w:unhideWhenUsed/>
    <w:rsid w:val="004C351B"/>
    <w:pPr>
      <w:ind w:left="1000" w:hanging="200"/>
    </w:pPr>
  </w:style>
  <w:style w:type="paragraph" w:styleId="Index6">
    <w:name w:val="index 6"/>
    <w:basedOn w:val="Normal"/>
    <w:next w:val="Normal"/>
    <w:autoRedefine/>
    <w:semiHidden/>
    <w:unhideWhenUsed/>
    <w:rsid w:val="004C351B"/>
    <w:pPr>
      <w:ind w:left="1200" w:hanging="200"/>
    </w:pPr>
  </w:style>
  <w:style w:type="paragraph" w:styleId="Index7">
    <w:name w:val="index 7"/>
    <w:basedOn w:val="Normal"/>
    <w:next w:val="Normal"/>
    <w:autoRedefine/>
    <w:semiHidden/>
    <w:unhideWhenUsed/>
    <w:rsid w:val="004C351B"/>
    <w:pPr>
      <w:ind w:left="1400" w:hanging="200"/>
    </w:pPr>
  </w:style>
  <w:style w:type="paragraph" w:styleId="Index8">
    <w:name w:val="index 8"/>
    <w:basedOn w:val="Normal"/>
    <w:next w:val="Normal"/>
    <w:autoRedefine/>
    <w:semiHidden/>
    <w:unhideWhenUsed/>
    <w:rsid w:val="004C351B"/>
    <w:pPr>
      <w:ind w:left="1600" w:hanging="200"/>
    </w:pPr>
  </w:style>
  <w:style w:type="paragraph" w:styleId="Index9">
    <w:name w:val="index 9"/>
    <w:basedOn w:val="Normal"/>
    <w:next w:val="Normal"/>
    <w:autoRedefine/>
    <w:semiHidden/>
    <w:unhideWhenUsed/>
    <w:rsid w:val="004C351B"/>
    <w:pPr>
      <w:ind w:left="1800" w:hanging="200"/>
    </w:pPr>
  </w:style>
  <w:style w:type="paragraph" w:styleId="IndexHeading">
    <w:name w:val="index heading"/>
    <w:basedOn w:val="Normal"/>
    <w:next w:val="Index1"/>
    <w:semiHidden/>
    <w:unhideWhenUsed/>
    <w:rsid w:val="004C35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35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351B"/>
    <w:rPr>
      <w:rFonts w:ascii="Arial" w:hAnsi="Arial"/>
      <w:i/>
      <w:iCs/>
      <w:color w:val="4F81BD" w:themeColor="accent1"/>
    </w:rPr>
  </w:style>
  <w:style w:type="paragraph" w:styleId="List">
    <w:name w:val="List"/>
    <w:basedOn w:val="Normal"/>
    <w:semiHidden/>
    <w:unhideWhenUsed/>
    <w:rsid w:val="004C351B"/>
    <w:pPr>
      <w:ind w:left="283" w:hanging="283"/>
      <w:contextualSpacing/>
    </w:pPr>
  </w:style>
  <w:style w:type="paragraph" w:styleId="List2">
    <w:name w:val="List 2"/>
    <w:basedOn w:val="Normal"/>
    <w:semiHidden/>
    <w:unhideWhenUsed/>
    <w:rsid w:val="004C351B"/>
    <w:pPr>
      <w:ind w:left="566" w:hanging="283"/>
      <w:contextualSpacing/>
    </w:pPr>
  </w:style>
  <w:style w:type="paragraph" w:styleId="List3">
    <w:name w:val="List 3"/>
    <w:basedOn w:val="Normal"/>
    <w:semiHidden/>
    <w:unhideWhenUsed/>
    <w:rsid w:val="004C351B"/>
    <w:pPr>
      <w:ind w:left="849" w:hanging="283"/>
      <w:contextualSpacing/>
    </w:pPr>
  </w:style>
  <w:style w:type="paragraph" w:styleId="List4">
    <w:name w:val="List 4"/>
    <w:basedOn w:val="Normal"/>
    <w:rsid w:val="004C351B"/>
    <w:pPr>
      <w:ind w:left="1132" w:hanging="283"/>
      <w:contextualSpacing/>
    </w:pPr>
  </w:style>
  <w:style w:type="paragraph" w:styleId="List5">
    <w:name w:val="List 5"/>
    <w:basedOn w:val="Normal"/>
    <w:rsid w:val="004C351B"/>
    <w:pPr>
      <w:ind w:left="1415" w:hanging="283"/>
      <w:contextualSpacing/>
    </w:pPr>
  </w:style>
  <w:style w:type="paragraph" w:styleId="ListBullet">
    <w:name w:val="List Bullet"/>
    <w:basedOn w:val="Normal"/>
    <w:semiHidden/>
    <w:unhideWhenUsed/>
    <w:rsid w:val="004C351B"/>
    <w:pPr>
      <w:numPr>
        <w:numId w:val="17"/>
      </w:numPr>
      <w:contextualSpacing/>
    </w:pPr>
  </w:style>
  <w:style w:type="paragraph" w:styleId="ListBullet2">
    <w:name w:val="List Bullet 2"/>
    <w:basedOn w:val="Normal"/>
    <w:semiHidden/>
    <w:unhideWhenUsed/>
    <w:rsid w:val="004C351B"/>
    <w:pPr>
      <w:numPr>
        <w:numId w:val="18"/>
      </w:numPr>
      <w:contextualSpacing/>
    </w:pPr>
  </w:style>
  <w:style w:type="paragraph" w:styleId="ListBullet3">
    <w:name w:val="List Bullet 3"/>
    <w:basedOn w:val="Normal"/>
    <w:semiHidden/>
    <w:unhideWhenUsed/>
    <w:rsid w:val="004C351B"/>
    <w:pPr>
      <w:numPr>
        <w:numId w:val="19"/>
      </w:numPr>
      <w:contextualSpacing/>
    </w:pPr>
  </w:style>
  <w:style w:type="paragraph" w:styleId="ListBullet4">
    <w:name w:val="List Bullet 4"/>
    <w:basedOn w:val="Normal"/>
    <w:semiHidden/>
    <w:unhideWhenUsed/>
    <w:rsid w:val="004C351B"/>
    <w:pPr>
      <w:numPr>
        <w:numId w:val="20"/>
      </w:numPr>
      <w:contextualSpacing/>
    </w:pPr>
  </w:style>
  <w:style w:type="paragraph" w:styleId="ListBullet5">
    <w:name w:val="List Bullet 5"/>
    <w:basedOn w:val="Normal"/>
    <w:semiHidden/>
    <w:unhideWhenUsed/>
    <w:rsid w:val="004C351B"/>
    <w:pPr>
      <w:numPr>
        <w:numId w:val="21"/>
      </w:numPr>
      <w:contextualSpacing/>
    </w:pPr>
  </w:style>
  <w:style w:type="paragraph" w:styleId="ListContinue">
    <w:name w:val="List Continue"/>
    <w:basedOn w:val="Normal"/>
    <w:semiHidden/>
    <w:unhideWhenUsed/>
    <w:rsid w:val="004C351B"/>
    <w:pPr>
      <w:spacing w:after="120"/>
      <w:ind w:left="283"/>
      <w:contextualSpacing/>
    </w:pPr>
  </w:style>
  <w:style w:type="paragraph" w:styleId="ListContinue2">
    <w:name w:val="List Continue 2"/>
    <w:basedOn w:val="Normal"/>
    <w:semiHidden/>
    <w:unhideWhenUsed/>
    <w:rsid w:val="004C351B"/>
    <w:pPr>
      <w:spacing w:after="120"/>
      <w:ind w:left="566"/>
      <w:contextualSpacing/>
    </w:pPr>
  </w:style>
  <w:style w:type="paragraph" w:styleId="ListContinue3">
    <w:name w:val="List Continue 3"/>
    <w:basedOn w:val="Normal"/>
    <w:semiHidden/>
    <w:unhideWhenUsed/>
    <w:rsid w:val="004C351B"/>
    <w:pPr>
      <w:spacing w:after="120"/>
      <w:ind w:left="849"/>
      <w:contextualSpacing/>
    </w:pPr>
  </w:style>
  <w:style w:type="paragraph" w:styleId="ListContinue4">
    <w:name w:val="List Continue 4"/>
    <w:basedOn w:val="Normal"/>
    <w:semiHidden/>
    <w:unhideWhenUsed/>
    <w:rsid w:val="004C351B"/>
    <w:pPr>
      <w:spacing w:after="120"/>
      <w:ind w:left="1132"/>
      <w:contextualSpacing/>
    </w:pPr>
  </w:style>
  <w:style w:type="paragraph" w:styleId="ListContinue5">
    <w:name w:val="List Continue 5"/>
    <w:basedOn w:val="Normal"/>
    <w:semiHidden/>
    <w:unhideWhenUsed/>
    <w:rsid w:val="004C351B"/>
    <w:pPr>
      <w:spacing w:after="120"/>
      <w:ind w:left="1415"/>
      <w:contextualSpacing/>
    </w:pPr>
  </w:style>
  <w:style w:type="paragraph" w:styleId="ListNumber">
    <w:name w:val="List Number"/>
    <w:basedOn w:val="Normal"/>
    <w:rsid w:val="004C351B"/>
    <w:pPr>
      <w:numPr>
        <w:numId w:val="22"/>
      </w:numPr>
      <w:contextualSpacing/>
    </w:pPr>
  </w:style>
  <w:style w:type="paragraph" w:styleId="ListNumber2">
    <w:name w:val="List Number 2"/>
    <w:basedOn w:val="Normal"/>
    <w:semiHidden/>
    <w:unhideWhenUsed/>
    <w:rsid w:val="004C351B"/>
    <w:pPr>
      <w:numPr>
        <w:numId w:val="23"/>
      </w:numPr>
      <w:contextualSpacing/>
    </w:pPr>
  </w:style>
  <w:style w:type="paragraph" w:styleId="ListNumber3">
    <w:name w:val="List Number 3"/>
    <w:basedOn w:val="Normal"/>
    <w:semiHidden/>
    <w:unhideWhenUsed/>
    <w:rsid w:val="004C351B"/>
    <w:pPr>
      <w:numPr>
        <w:numId w:val="24"/>
      </w:numPr>
      <w:contextualSpacing/>
    </w:pPr>
  </w:style>
  <w:style w:type="paragraph" w:styleId="ListNumber4">
    <w:name w:val="List Number 4"/>
    <w:basedOn w:val="Normal"/>
    <w:semiHidden/>
    <w:unhideWhenUsed/>
    <w:rsid w:val="004C351B"/>
    <w:pPr>
      <w:numPr>
        <w:numId w:val="25"/>
      </w:numPr>
      <w:contextualSpacing/>
    </w:pPr>
  </w:style>
  <w:style w:type="paragraph" w:styleId="ListNumber5">
    <w:name w:val="List Number 5"/>
    <w:basedOn w:val="Normal"/>
    <w:semiHidden/>
    <w:unhideWhenUsed/>
    <w:rsid w:val="004C351B"/>
    <w:pPr>
      <w:numPr>
        <w:numId w:val="26"/>
      </w:numPr>
      <w:contextualSpacing/>
    </w:pPr>
  </w:style>
  <w:style w:type="paragraph" w:styleId="MessageHeader">
    <w:name w:val="Message Header"/>
    <w:basedOn w:val="Normal"/>
    <w:link w:val="MessageHeaderChar"/>
    <w:semiHidden/>
    <w:unhideWhenUsed/>
    <w:rsid w:val="004C35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C351B"/>
    <w:rPr>
      <w:rFonts w:asciiTheme="majorHAnsi" w:eastAsiaTheme="majorEastAsia" w:hAnsiTheme="majorHAnsi" w:cstheme="majorBidi"/>
      <w:sz w:val="24"/>
      <w:szCs w:val="24"/>
      <w:shd w:val="pct20" w:color="auto" w:fill="auto"/>
    </w:rPr>
  </w:style>
  <w:style w:type="paragraph" w:styleId="NoSpacing">
    <w:name w:val="No Spacing"/>
    <w:uiPriority w:val="1"/>
    <w:qFormat/>
    <w:rsid w:val="004C351B"/>
    <w:pPr>
      <w:jc w:val="both"/>
    </w:pPr>
    <w:rPr>
      <w:rFonts w:ascii="Arial" w:hAnsi="Arial"/>
    </w:rPr>
  </w:style>
  <w:style w:type="paragraph" w:styleId="NormalWeb">
    <w:name w:val="Normal (Web)"/>
    <w:basedOn w:val="Normal"/>
    <w:semiHidden/>
    <w:unhideWhenUsed/>
    <w:rsid w:val="004C351B"/>
    <w:rPr>
      <w:rFonts w:ascii="Times New Roman" w:hAnsi="Times New Roman"/>
      <w:sz w:val="24"/>
      <w:szCs w:val="24"/>
    </w:rPr>
  </w:style>
  <w:style w:type="paragraph" w:styleId="NormalIndent">
    <w:name w:val="Normal Indent"/>
    <w:basedOn w:val="Normal"/>
    <w:semiHidden/>
    <w:unhideWhenUsed/>
    <w:rsid w:val="004C351B"/>
    <w:pPr>
      <w:ind w:left="567"/>
    </w:pPr>
  </w:style>
  <w:style w:type="paragraph" w:styleId="NoteHeading">
    <w:name w:val="Note Heading"/>
    <w:basedOn w:val="Normal"/>
    <w:next w:val="Normal"/>
    <w:link w:val="NoteHeadingChar"/>
    <w:semiHidden/>
    <w:unhideWhenUsed/>
    <w:rsid w:val="004C351B"/>
  </w:style>
  <w:style w:type="character" w:customStyle="1" w:styleId="NoteHeadingChar">
    <w:name w:val="Note Heading Char"/>
    <w:basedOn w:val="DefaultParagraphFont"/>
    <w:link w:val="NoteHeading"/>
    <w:semiHidden/>
    <w:rsid w:val="004C351B"/>
    <w:rPr>
      <w:rFonts w:ascii="Arial" w:hAnsi="Arial"/>
    </w:rPr>
  </w:style>
  <w:style w:type="paragraph" w:styleId="PlainText">
    <w:name w:val="Plain Text"/>
    <w:basedOn w:val="Normal"/>
    <w:link w:val="PlainTextChar"/>
    <w:semiHidden/>
    <w:unhideWhenUsed/>
    <w:rsid w:val="004C351B"/>
    <w:rPr>
      <w:rFonts w:ascii="Consolas" w:hAnsi="Consolas"/>
      <w:sz w:val="21"/>
      <w:szCs w:val="21"/>
    </w:rPr>
  </w:style>
  <w:style w:type="character" w:customStyle="1" w:styleId="PlainTextChar">
    <w:name w:val="Plain Text Char"/>
    <w:basedOn w:val="DefaultParagraphFont"/>
    <w:link w:val="PlainText"/>
    <w:semiHidden/>
    <w:rsid w:val="004C351B"/>
    <w:rPr>
      <w:rFonts w:ascii="Consolas" w:hAnsi="Consolas"/>
      <w:sz w:val="21"/>
      <w:szCs w:val="21"/>
    </w:rPr>
  </w:style>
  <w:style w:type="paragraph" w:styleId="Quote">
    <w:name w:val="Quote"/>
    <w:basedOn w:val="Normal"/>
    <w:next w:val="Normal"/>
    <w:link w:val="QuoteChar"/>
    <w:uiPriority w:val="29"/>
    <w:qFormat/>
    <w:rsid w:val="004C35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351B"/>
    <w:rPr>
      <w:rFonts w:ascii="Arial" w:hAnsi="Arial"/>
      <w:i/>
      <w:iCs/>
      <w:color w:val="404040" w:themeColor="text1" w:themeTint="BF"/>
    </w:rPr>
  </w:style>
  <w:style w:type="paragraph" w:styleId="Salutation">
    <w:name w:val="Salutation"/>
    <w:basedOn w:val="Normal"/>
    <w:next w:val="Normal"/>
    <w:link w:val="SalutationChar"/>
    <w:rsid w:val="004C351B"/>
  </w:style>
  <w:style w:type="character" w:customStyle="1" w:styleId="SalutationChar">
    <w:name w:val="Salutation Char"/>
    <w:basedOn w:val="DefaultParagraphFont"/>
    <w:link w:val="Salutation"/>
    <w:rsid w:val="004C351B"/>
    <w:rPr>
      <w:rFonts w:ascii="Arial" w:hAnsi="Arial"/>
    </w:rPr>
  </w:style>
  <w:style w:type="paragraph" w:styleId="Subtitle">
    <w:name w:val="Subtitle"/>
    <w:basedOn w:val="Normal"/>
    <w:next w:val="Normal"/>
    <w:link w:val="SubtitleChar"/>
    <w:qFormat/>
    <w:rsid w:val="004C35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51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4C351B"/>
    <w:pPr>
      <w:ind w:left="200" w:hanging="200"/>
    </w:pPr>
  </w:style>
  <w:style w:type="paragraph" w:styleId="TableofFigures">
    <w:name w:val="table of figures"/>
    <w:basedOn w:val="Normal"/>
    <w:next w:val="Normal"/>
    <w:semiHidden/>
    <w:unhideWhenUsed/>
    <w:rsid w:val="004C351B"/>
  </w:style>
  <w:style w:type="paragraph" w:styleId="TOAHeading">
    <w:name w:val="toa heading"/>
    <w:basedOn w:val="Normal"/>
    <w:next w:val="Normal"/>
    <w:semiHidden/>
    <w:unhideWhenUsed/>
    <w:rsid w:val="004C351B"/>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4C351B"/>
    <w:pPr>
      <w:spacing w:after="100"/>
      <w:ind w:left="1000"/>
    </w:pPr>
  </w:style>
  <w:style w:type="paragraph" w:styleId="TOC7">
    <w:name w:val="toc 7"/>
    <w:basedOn w:val="Normal"/>
    <w:next w:val="Normal"/>
    <w:autoRedefine/>
    <w:semiHidden/>
    <w:unhideWhenUsed/>
    <w:rsid w:val="004C351B"/>
    <w:pPr>
      <w:spacing w:after="100"/>
      <w:ind w:left="1200"/>
    </w:pPr>
  </w:style>
  <w:style w:type="paragraph" w:styleId="TOC8">
    <w:name w:val="toc 8"/>
    <w:basedOn w:val="Normal"/>
    <w:next w:val="Normal"/>
    <w:autoRedefine/>
    <w:semiHidden/>
    <w:unhideWhenUsed/>
    <w:rsid w:val="004C351B"/>
    <w:pPr>
      <w:spacing w:after="100"/>
      <w:ind w:left="1400"/>
    </w:pPr>
  </w:style>
  <w:style w:type="paragraph" w:styleId="TOC9">
    <w:name w:val="toc 9"/>
    <w:basedOn w:val="Normal"/>
    <w:next w:val="Normal"/>
    <w:autoRedefine/>
    <w:semiHidden/>
    <w:unhideWhenUsed/>
    <w:rsid w:val="004C351B"/>
    <w:pPr>
      <w:spacing w:after="100"/>
      <w:ind w:left="1600"/>
    </w:pPr>
  </w:style>
  <w:style w:type="paragraph" w:styleId="TOCHeading">
    <w:name w:val="TOC Heading"/>
    <w:basedOn w:val="Heading1"/>
    <w:next w:val="Normal"/>
    <w:uiPriority w:val="39"/>
    <w:semiHidden/>
    <w:unhideWhenUsed/>
    <w:qFormat/>
    <w:rsid w:val="004C351B"/>
    <w:pPr>
      <w:keepLines/>
      <w:spacing w:before="240"/>
      <w:outlineLvl w:val="9"/>
    </w:pPr>
    <w:rPr>
      <w:rFonts w:asciiTheme="majorHAnsi" w:eastAsiaTheme="majorEastAsia" w:hAnsiTheme="majorHAnsi" w:cstheme="majorBidi"/>
      <w:caps w:val="0"/>
      <w:color w:val="365F91" w:themeColor="accent1" w:themeShade="BF"/>
      <w:sz w:val="32"/>
      <w:szCs w:val="32"/>
    </w:rPr>
  </w:style>
  <w:style w:type="paragraph" w:customStyle="1" w:styleId="Annexparagraphnumbering">
    <w:name w:val="Annex paragraph numbering"/>
    <w:basedOn w:val="Normal"/>
    <w:rsid w:val="001E2B1C"/>
    <w:pPr>
      <w:numPr>
        <w:numId w:val="29"/>
      </w:numPr>
      <w:spacing w:after="240"/>
    </w:pPr>
  </w:style>
  <w:style w:type="paragraph" w:customStyle="1" w:styleId="Normaltg">
    <w:name w:val="Normaltg"/>
    <w:basedOn w:val="Normal"/>
    <w:rsid w:val="00FC1F76"/>
    <w:pPr>
      <w:tabs>
        <w:tab w:val="left" w:pos="709"/>
        <w:tab w:val="left" w:pos="1418"/>
      </w:tabs>
    </w:pPr>
    <w:rPr>
      <w:lang w:val="fr-FR"/>
    </w:rPr>
  </w:style>
  <w:style w:type="table" w:customStyle="1" w:styleId="TableGrid1">
    <w:name w:val="Table Grid1"/>
    <w:basedOn w:val="TableNormal"/>
    <w:next w:val="TableGrid"/>
    <w:rsid w:val="00C942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615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6112">
      <w:bodyDiv w:val="1"/>
      <w:marLeft w:val="0"/>
      <w:marRight w:val="0"/>
      <w:marTop w:val="0"/>
      <w:marBottom w:val="0"/>
      <w:divBdr>
        <w:top w:val="none" w:sz="0" w:space="0" w:color="auto"/>
        <w:left w:val="none" w:sz="0" w:space="0" w:color="auto"/>
        <w:bottom w:val="none" w:sz="0" w:space="0" w:color="auto"/>
        <w:right w:val="none" w:sz="0" w:space="0" w:color="auto"/>
      </w:divBdr>
    </w:div>
    <w:div w:id="368917684">
      <w:bodyDiv w:val="1"/>
      <w:marLeft w:val="0"/>
      <w:marRight w:val="0"/>
      <w:marTop w:val="0"/>
      <w:marBottom w:val="0"/>
      <w:divBdr>
        <w:top w:val="none" w:sz="0" w:space="0" w:color="auto"/>
        <w:left w:val="none" w:sz="0" w:space="0" w:color="auto"/>
        <w:bottom w:val="none" w:sz="0" w:space="0" w:color="auto"/>
        <w:right w:val="none" w:sz="0" w:space="0" w:color="auto"/>
      </w:divBdr>
    </w:div>
    <w:div w:id="810253103">
      <w:bodyDiv w:val="1"/>
      <w:marLeft w:val="0"/>
      <w:marRight w:val="0"/>
      <w:marTop w:val="0"/>
      <w:marBottom w:val="0"/>
      <w:divBdr>
        <w:top w:val="none" w:sz="0" w:space="0" w:color="auto"/>
        <w:left w:val="none" w:sz="0" w:space="0" w:color="auto"/>
        <w:bottom w:val="none" w:sz="0" w:space="0" w:color="auto"/>
        <w:right w:val="none" w:sz="0" w:space="0" w:color="auto"/>
      </w:divBdr>
    </w:div>
    <w:div w:id="1173958403">
      <w:bodyDiv w:val="1"/>
      <w:marLeft w:val="0"/>
      <w:marRight w:val="0"/>
      <w:marTop w:val="0"/>
      <w:marBottom w:val="0"/>
      <w:divBdr>
        <w:top w:val="none" w:sz="0" w:space="0" w:color="auto"/>
        <w:left w:val="none" w:sz="0" w:space="0" w:color="auto"/>
        <w:bottom w:val="none" w:sz="0" w:space="0" w:color="auto"/>
        <w:right w:val="none" w:sz="0" w:space="0" w:color="auto"/>
      </w:divBdr>
    </w:div>
    <w:div w:id="1389298756">
      <w:bodyDiv w:val="1"/>
      <w:marLeft w:val="0"/>
      <w:marRight w:val="0"/>
      <w:marTop w:val="0"/>
      <w:marBottom w:val="0"/>
      <w:divBdr>
        <w:top w:val="none" w:sz="0" w:space="0" w:color="auto"/>
        <w:left w:val="none" w:sz="0" w:space="0" w:color="auto"/>
        <w:bottom w:val="none" w:sz="0" w:space="0" w:color="auto"/>
        <w:right w:val="none" w:sz="0" w:space="0" w:color="auto"/>
      </w:divBdr>
    </w:div>
    <w:div w:id="1960447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gkun@caas.cn" TargetMode="External"/><Relationship Id="rId18" Type="http://schemas.openxmlformats.org/officeDocument/2006/relationships/header" Target="head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pov.int/upov_collection/de/" TargetMode="Externa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0.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orldseed.org/" TargetMode="External"/><Relationship Id="rId1" Type="http://schemas.openxmlformats.org/officeDocument/2006/relationships/hyperlink" Target="https://worldse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time xmlns="83b1643b-c358-4dde-ba9b-9c054d43d0ac" xsi:nil="true"/>
    <Notes_x003a_co_x002d_drafters xmlns="83b1643b-c358-4dde-ba9b-9c054d43d0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CBB21-90C5-4B12-BB7F-01FE14B18F2D}">
  <ds:schemaRefs>
    <ds:schemaRef ds:uri="http://schemas.microsoft.com/office/2006/metadata/properties"/>
    <ds:schemaRef ds:uri="http://schemas.microsoft.com/office/infopath/2007/PartnerControls"/>
    <ds:schemaRef ds:uri="83b1643b-c358-4dde-ba9b-9c054d43d0ac"/>
  </ds:schemaRefs>
</ds:datastoreItem>
</file>

<file path=customXml/itemProps2.xml><?xml version="1.0" encoding="utf-8"?>
<ds:datastoreItem xmlns:ds="http://schemas.openxmlformats.org/officeDocument/2006/customXml" ds:itemID="{6AC66512-2BA4-4F5B-8DB4-C0C59775735C}">
  <ds:schemaRefs>
    <ds:schemaRef ds:uri="http://schemas.microsoft.com/sharepoint/v3/contenttype/forms"/>
  </ds:schemaRefs>
</ds:datastoreItem>
</file>

<file path=customXml/itemProps3.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customXml/itemProps4.xml><?xml version="1.0" encoding="utf-8"?>
<ds:datastoreItem xmlns:ds="http://schemas.openxmlformats.org/officeDocument/2006/customXml" ds:itemID="{F1CEB137-73DB-4B6F-B92F-F781FB4F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27</Pages>
  <Words>10116</Words>
  <Characters>71827</Characters>
  <Application>Microsoft Office Word</Application>
  <DocSecurity>0</DocSecurity>
  <Lines>1795</Lines>
  <Paragraphs>787</Paragraphs>
  <ScaleCrop>false</ScaleCrop>
  <HeadingPairs>
    <vt:vector size="2" baseType="variant">
      <vt:variant>
        <vt:lpstr>Title</vt:lpstr>
      </vt:variant>
      <vt:variant>
        <vt:i4>1</vt:i4>
      </vt:variant>
    </vt:vector>
  </HeadingPairs>
  <TitlesOfParts>
    <vt:vector size="1" baseType="lpstr">
      <vt:lpstr>SESSIONS/2024/2</vt:lpstr>
    </vt:vector>
  </TitlesOfParts>
  <Company>UPOV</Company>
  <LinksUpToDate>false</LinksUpToDate>
  <CharactersWithSpaces>81156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SESSIONS/2024/2</dc:title>
  <dc:subject/>
  <dc:creator>SANCHEZ VIZCAINO GOMEZ Rosa Maria</dc:creator>
  <cp:keywords>, docId:112FB94C6DCF7575BC49D2B411CC63F7</cp:keywords>
  <cp:lastModifiedBy>SANCHEZ VIZCAINO GOMEZ Rosa Maria</cp:lastModifiedBy>
  <cp:revision>36</cp:revision>
  <cp:lastPrinted>2024-09-12T08:45:00Z</cp:lastPrinted>
  <dcterms:created xsi:type="dcterms:W3CDTF">2024-09-12T15:34:00Z</dcterms:created>
  <dcterms:modified xsi:type="dcterms:W3CDTF">2024-09-23T16:31:00Z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y fmtid="{D5CDD505-2E9C-101B-9397-08002B2CF9AE}" pid="3" name="MSIP_Label_20773ee6-353b-4fb9-a59d-0b94c8c67bea_Enabled">
    <vt:lpwstr>true</vt:lpwstr>
  </property>
  <property fmtid="{D5CDD505-2E9C-101B-9397-08002B2CF9AE}" pid="4" name="MSIP_Label_20773ee6-353b-4fb9-a59d-0b94c8c67bea_SetDate">
    <vt:lpwstr>2024-09-12T12:42:05Z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b8fde323-1e48-4bc1-873b-c05e3c477b48</vt:lpwstr>
  </property>
  <property fmtid="{D5CDD505-2E9C-101B-9397-08002B2CF9AE}" pid="9" name="MSIP_Label_20773ee6-353b-4fb9-a59d-0b94c8c67bea_ContentBits">
    <vt:lpwstr>0</vt:lpwstr>
  </property>
</Properties>
</file>