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8502A" w14:paraId="524B6FCA" w14:textId="77777777" w:rsidTr="00EB4E9C">
        <w:tc>
          <w:tcPr>
            <w:tcW w:w="6522" w:type="dxa"/>
          </w:tcPr>
          <w:p w14:paraId="6F6BCDC6" w14:textId="77777777" w:rsidR="00DC3802" w:rsidRPr="0088502A" w:rsidRDefault="00DC3802" w:rsidP="00AC2883">
            <w:r w:rsidRPr="0088502A">
              <w:rPr>
                <w:noProof/>
              </w:rPr>
              <w:drawing>
                <wp:inline distT="0" distB="0" distL="0" distR="0" wp14:anchorId="5A18571A" wp14:editId="72D2761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5C21925" w14:textId="77777777" w:rsidR="00DC3802" w:rsidRPr="0088502A" w:rsidRDefault="00DC3802" w:rsidP="00AC2883">
            <w:pPr>
              <w:pStyle w:val="Lettrine"/>
            </w:pPr>
            <w:r>
              <w:t>G</w:t>
            </w:r>
          </w:p>
        </w:tc>
      </w:tr>
      <w:tr w:rsidR="00DC3802" w:rsidRPr="0088502A" w14:paraId="44CB029E" w14:textId="77777777" w:rsidTr="00645CA8">
        <w:trPr>
          <w:trHeight w:val="219"/>
        </w:trPr>
        <w:tc>
          <w:tcPr>
            <w:tcW w:w="6522" w:type="dxa"/>
          </w:tcPr>
          <w:p w14:paraId="330C7FEF" w14:textId="77777777" w:rsidR="00DC3802" w:rsidRPr="0088502A" w:rsidRDefault="00DC3802" w:rsidP="00AC2883">
            <w:pPr>
              <w:pStyle w:val="upove"/>
            </w:pPr>
            <w:r>
              <w:t>Internationaler Verband zum Schutz von Pflanzenzüchtungen</w:t>
            </w:r>
          </w:p>
        </w:tc>
        <w:tc>
          <w:tcPr>
            <w:tcW w:w="3117" w:type="dxa"/>
          </w:tcPr>
          <w:p w14:paraId="0194CEB7" w14:textId="77777777" w:rsidR="00DC3802" w:rsidRPr="0088502A" w:rsidRDefault="00DC3802" w:rsidP="00DA4973"/>
        </w:tc>
      </w:tr>
    </w:tbl>
    <w:p w14:paraId="3B3053D2" w14:textId="77777777" w:rsidR="00DC3802" w:rsidRPr="0088502A" w:rsidRDefault="00DC3802" w:rsidP="00DC3802"/>
    <w:p w14:paraId="480C7E39" w14:textId="77777777" w:rsidR="007B73A9" w:rsidRPr="0088502A" w:rsidRDefault="007B73A9" w:rsidP="007B73A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B73A9" w:rsidRPr="0088502A" w14:paraId="7750AE68" w14:textId="77777777" w:rsidTr="003243B5">
        <w:tc>
          <w:tcPr>
            <w:tcW w:w="6512" w:type="dxa"/>
          </w:tcPr>
          <w:p w14:paraId="22532FDE" w14:textId="77777777" w:rsidR="007B73A9" w:rsidRPr="0088502A" w:rsidRDefault="007B73A9" w:rsidP="003243B5">
            <w:pPr>
              <w:pStyle w:val="Sessiontwp"/>
            </w:pPr>
            <w:r w:rsidRPr="00A37BA0">
              <w:t>Technischer</w:t>
            </w:r>
            <w:r>
              <w:t xml:space="preserve"> Ausschuss</w:t>
            </w:r>
          </w:p>
          <w:p w14:paraId="6C602559" w14:textId="77777777" w:rsidR="007B73A9" w:rsidRPr="0088502A" w:rsidRDefault="007B73A9" w:rsidP="003243B5">
            <w:pPr>
              <w:pStyle w:val="Sessiontwpplacedate"/>
            </w:pPr>
            <w:r>
              <w:t>Neunundfünfzigste Tagung</w:t>
            </w:r>
          </w:p>
          <w:p w14:paraId="3F85AF08" w14:textId="77777777" w:rsidR="007B73A9" w:rsidRPr="0088502A" w:rsidRDefault="007B73A9" w:rsidP="003243B5">
            <w:r>
              <w:t>Genf, 23. und 24. Oktober 2023</w:t>
            </w:r>
          </w:p>
          <w:p w14:paraId="0698AEBC" w14:textId="77777777" w:rsidR="007B73A9" w:rsidRPr="0088502A" w:rsidRDefault="007B73A9" w:rsidP="003243B5"/>
          <w:p w14:paraId="2A741A32" w14:textId="77777777" w:rsidR="007B73A9" w:rsidRPr="0088502A" w:rsidRDefault="007B73A9" w:rsidP="003243B5">
            <w:pPr>
              <w:pStyle w:val="Sessiontwp"/>
            </w:pPr>
            <w:r>
              <w:t>Verwaltungs- und Rechtsausschuss</w:t>
            </w:r>
          </w:p>
          <w:p w14:paraId="431DB6F9" w14:textId="77777777" w:rsidR="007B73A9" w:rsidRPr="0088502A" w:rsidRDefault="007B73A9" w:rsidP="003243B5">
            <w:pPr>
              <w:pStyle w:val="Sessiontwp"/>
              <w:rPr>
                <w:b w:val="0"/>
              </w:rPr>
            </w:pPr>
            <w:r>
              <w:rPr>
                <w:b w:val="0"/>
              </w:rPr>
              <w:t>Achtzigste Tagung</w:t>
            </w:r>
          </w:p>
          <w:p w14:paraId="66013AE2" w14:textId="77777777" w:rsidR="007B73A9" w:rsidRPr="0088502A" w:rsidRDefault="007B73A9" w:rsidP="003243B5">
            <w:pPr>
              <w:pStyle w:val="Sessiontwpplacedate"/>
            </w:pPr>
            <w:r>
              <w:t>Genf, 25. Oktober 2023</w:t>
            </w:r>
          </w:p>
          <w:p w14:paraId="583CD46E" w14:textId="77777777" w:rsidR="007B73A9" w:rsidRPr="0088502A" w:rsidRDefault="007B73A9" w:rsidP="003243B5"/>
          <w:p w14:paraId="30AE621E" w14:textId="77777777" w:rsidR="007B73A9" w:rsidRPr="0088502A" w:rsidRDefault="007B73A9" w:rsidP="003243B5">
            <w:pPr>
              <w:pStyle w:val="Sessiontwp"/>
            </w:pPr>
            <w:r>
              <w:t>Der Rat</w:t>
            </w:r>
          </w:p>
          <w:p w14:paraId="2CF6F0CA" w14:textId="77777777" w:rsidR="007B73A9" w:rsidRPr="0088502A" w:rsidRDefault="007B73A9" w:rsidP="003243B5">
            <w:pPr>
              <w:pStyle w:val="Sessiontwp"/>
              <w:rPr>
                <w:b w:val="0"/>
              </w:rPr>
            </w:pPr>
            <w:r>
              <w:rPr>
                <w:b w:val="0"/>
              </w:rPr>
              <w:t>Siebenundfünfzigste ordentliche Tagung</w:t>
            </w:r>
          </w:p>
          <w:p w14:paraId="188051B2" w14:textId="77777777" w:rsidR="007B73A9" w:rsidRPr="0088502A" w:rsidRDefault="007B73A9" w:rsidP="003243B5">
            <w:r>
              <w:t>Genf, 27. Oktober 2023</w:t>
            </w:r>
          </w:p>
        </w:tc>
        <w:tc>
          <w:tcPr>
            <w:tcW w:w="3127" w:type="dxa"/>
          </w:tcPr>
          <w:p w14:paraId="0DCAEB1D" w14:textId="77777777" w:rsidR="007B73A9" w:rsidRPr="0088502A" w:rsidRDefault="000173C1" w:rsidP="003243B5">
            <w:pPr>
              <w:pStyle w:val="Doccode"/>
            </w:pPr>
            <w:r>
              <w:t>SESSIONS/2023/2</w:t>
            </w:r>
          </w:p>
          <w:p w14:paraId="3CAA7C05" w14:textId="77777777" w:rsidR="007B73A9" w:rsidRPr="0088502A" w:rsidRDefault="007B73A9" w:rsidP="003243B5">
            <w:pPr>
              <w:pStyle w:val="Docoriginal"/>
            </w:pPr>
            <w:r>
              <w:t>Original:</w:t>
            </w:r>
            <w:r>
              <w:rPr>
                <w:b w:val="0"/>
                <w:spacing w:val="0"/>
              </w:rPr>
              <w:t xml:space="preserve"> Englisch</w:t>
            </w:r>
          </w:p>
          <w:p w14:paraId="7364A667" w14:textId="69B67D03" w:rsidR="007B73A9" w:rsidRPr="0088502A" w:rsidRDefault="007B73A9" w:rsidP="0088502A">
            <w:pPr>
              <w:pStyle w:val="Docoriginal"/>
            </w:pPr>
            <w:r>
              <w:t xml:space="preserve">Datum: </w:t>
            </w:r>
            <w:r>
              <w:rPr>
                <w:b w:val="0"/>
                <w:spacing w:val="0"/>
              </w:rPr>
              <w:t>29. August 2023</w:t>
            </w:r>
          </w:p>
        </w:tc>
      </w:tr>
    </w:tbl>
    <w:p w14:paraId="6D3FC8AF" w14:textId="51C30586" w:rsidR="007B73A9" w:rsidRPr="0042444F" w:rsidRDefault="0042444F" w:rsidP="007B73A9">
      <w:pPr>
        <w:pStyle w:val="Titleofdoc0"/>
        <w:rPr>
          <w:spacing w:val="-2"/>
        </w:rPr>
      </w:pPr>
      <w:r w:rsidRPr="0042444F">
        <w:rPr>
          <w:spacing w:val="-2"/>
        </w:rPr>
        <w:t>Ausarbeitung von Anleitung und dem Rat zur Annahme vorgeschlagene Dokumente</w:t>
      </w:r>
    </w:p>
    <w:p w14:paraId="4302D9FC" w14:textId="77777777" w:rsidR="001D736D" w:rsidRPr="0088502A" w:rsidRDefault="001D736D" w:rsidP="001D736D">
      <w:pPr>
        <w:pStyle w:val="preparedby1"/>
        <w:jc w:val="left"/>
      </w:pPr>
      <w:r>
        <w:t>Vom Verbandsbüro erstelltes Dokument</w:t>
      </w:r>
    </w:p>
    <w:p w14:paraId="5F716E7D" w14:textId="77777777" w:rsidR="001D736D" w:rsidRPr="0088502A" w:rsidRDefault="001D736D" w:rsidP="001D736D">
      <w:pPr>
        <w:pStyle w:val="Disclaimer"/>
      </w:pPr>
      <w:r>
        <w:t>Haftungsausschluss: dieses Dokument gibt nicht die Grundsätze oder eine Anleitung der UPOV wieder</w:t>
      </w:r>
    </w:p>
    <w:p w14:paraId="1DA8985D" w14:textId="77777777" w:rsidR="00E54EAA" w:rsidRPr="0088502A" w:rsidRDefault="00E54EAA" w:rsidP="006F28F6">
      <w:pPr>
        <w:pStyle w:val="Heading1"/>
        <w:rPr>
          <w:snapToGrid w:val="0"/>
        </w:rPr>
      </w:pPr>
      <w:bookmarkStart w:id="0" w:name="_Toc145586586"/>
      <w:r>
        <w:rPr>
          <w:snapToGrid w:val="0"/>
        </w:rPr>
        <w:t>ZUSAMMENFASSUNG</w:t>
      </w:r>
      <w:bookmarkEnd w:id="0"/>
    </w:p>
    <w:p w14:paraId="67E9F14A" w14:textId="77777777" w:rsidR="009A53F0" w:rsidRPr="0088502A" w:rsidRDefault="009A53F0" w:rsidP="00E54EAA"/>
    <w:p w14:paraId="14DA84FE" w14:textId="1059029B" w:rsidR="0054359E" w:rsidRPr="00CC1204" w:rsidRDefault="00E54EAA" w:rsidP="00214C66">
      <w:r w:rsidRPr="0088502A">
        <w:fldChar w:fldCharType="begin"/>
      </w:r>
      <w:r w:rsidRPr="0088502A">
        <w:instrText xml:space="preserve"> AUTONUM  </w:instrText>
      </w:r>
      <w:r w:rsidRPr="0088502A">
        <w:fldChar w:fldCharType="end"/>
      </w:r>
      <w:r>
        <w:tab/>
        <w:t>Zweck dieses Dokuments ist es, über die Entwicklungen zu berichten und den Technischen Ausschuss (TC), den Verwaltungs- und Rechtsausschuss (CAJ) und den Rat aufzufordern, die 2023 zur Annahme vorgelegten wichtigen Angelegenheiten und/oder Dokumente zu prüfen.</w:t>
      </w:r>
    </w:p>
    <w:p w14:paraId="1E2CC756" w14:textId="77777777" w:rsidR="00214C66" w:rsidRPr="00CC1204" w:rsidRDefault="00214C66" w:rsidP="00214C66"/>
    <w:p w14:paraId="36E7F786" w14:textId="4B08445B" w:rsidR="0088502A" w:rsidRPr="0088502A" w:rsidRDefault="00214C66" w:rsidP="0088502A">
      <w:r w:rsidRPr="0088502A">
        <w:fldChar w:fldCharType="begin"/>
      </w:r>
      <w:r w:rsidRPr="0088502A">
        <w:instrText xml:space="preserve"> AUTONUM  </w:instrText>
      </w:r>
      <w:r w:rsidRPr="0088502A">
        <w:fldChar w:fldCharType="end"/>
      </w:r>
      <w:r>
        <w:tab/>
        <w:t>Dieses Dokument ist in drei Abschnitte untergliedert.</w:t>
      </w:r>
      <w:r w:rsidR="0062652A">
        <w:t xml:space="preserve"> </w:t>
      </w:r>
      <w:r>
        <w:t>Der erste Abschnitt, „Dem Rat zur Annahme vorgeschlagene Angelegenheiten im Jahre 2023“, erteilt Auskünfte und ersucht den Rat um die Annahme der entsprechenden Dokumente.</w:t>
      </w:r>
      <w:r w:rsidR="0062652A">
        <w:t xml:space="preserve"> </w:t>
      </w:r>
      <w:r>
        <w:t>Der zweite Abschnitt, „Dem Rat zur Annahme vorgeschlagene Angelegenheiten im Jahre 2023 – vorbehaltlich der Zustimmung durch den Technischen Ausschuss und/oder den Verwaltungs- und Rechtsauschuss“. Der dritte Abschnitt, „Dem Technischen Ausschuss zur Annahme vorgeschlagene Angelegenheiten“</w:t>
      </w:r>
      <w:r w:rsidR="00A37BA0">
        <w:t>,</w:t>
      </w:r>
      <w:r>
        <w:t xml:space="preserve"> berichtet über Entwicklungen im Hinblick auf mögliche künftige Überarbeitungen von Anleitungen und Informationsmaterial, die im Technischen Ausschuss erörtert werden.</w:t>
      </w:r>
    </w:p>
    <w:p w14:paraId="7C0F9BE1" w14:textId="77777777" w:rsidR="0088502A" w:rsidRPr="0088502A" w:rsidRDefault="0088502A" w:rsidP="00214C66"/>
    <w:p w14:paraId="7DDBFC86" w14:textId="628464EE" w:rsidR="001558D4" w:rsidRDefault="001558D4" w:rsidP="00214C66">
      <w:r>
        <w:fldChar w:fldCharType="begin"/>
      </w:r>
      <w:r>
        <w:instrText xml:space="preserve"> AUTONUM  </w:instrText>
      </w:r>
      <w:r>
        <w:fldChar w:fldCharType="end"/>
      </w:r>
      <w:r>
        <w:tab/>
        <w:t>Der Rat wird ersucht, folgende Dokumente 2023 anzunehmen:</w:t>
      </w:r>
    </w:p>
    <w:p w14:paraId="7B738F32" w14:textId="1213E088" w:rsidR="00214C66" w:rsidRDefault="00214C66" w:rsidP="00E54EAA"/>
    <w:p w14:paraId="167AA655" w14:textId="23FFD5AB" w:rsidR="00FE12F1" w:rsidRPr="00FE12F1" w:rsidRDefault="00FE12F1" w:rsidP="00FE12F1">
      <w:pPr>
        <w:pStyle w:val="ListParagraph"/>
        <w:ind w:left="567"/>
        <w:contextualSpacing w:val="0"/>
        <w:jc w:val="left"/>
        <w:rPr>
          <w:rFonts w:cs="Arial"/>
          <w:u w:val="single"/>
        </w:rPr>
      </w:pPr>
      <w:r>
        <w:rPr>
          <w:rFonts w:cs="Arial"/>
          <w:u w:val="single"/>
        </w:rPr>
        <w:t>Dokumente zur Annahme durch den Rat</w:t>
      </w:r>
    </w:p>
    <w:p w14:paraId="63B26E8F" w14:textId="77777777" w:rsidR="009A53F0" w:rsidRPr="0088502A" w:rsidRDefault="009A53F0" w:rsidP="009A53F0"/>
    <w:p w14:paraId="4F485E62" w14:textId="0FD3666B" w:rsidR="009A53F0" w:rsidRPr="0088502A" w:rsidRDefault="009A53F0" w:rsidP="009A53F0">
      <w:pPr>
        <w:ind w:left="567"/>
        <w:jc w:val="left"/>
      </w:pPr>
      <w:r>
        <w:t>Erläuterungen:</w:t>
      </w:r>
    </w:p>
    <w:p w14:paraId="530688BF" w14:textId="77777777" w:rsidR="009A53F0" w:rsidRPr="0088502A" w:rsidRDefault="009A53F0" w:rsidP="009A53F0"/>
    <w:p w14:paraId="3CB8FC20" w14:textId="452935B9" w:rsidR="009A53F0" w:rsidRPr="0088502A" w:rsidRDefault="009A53F0" w:rsidP="009A53F0">
      <w:pPr>
        <w:keepNext/>
        <w:ind w:left="2835" w:hanging="1701"/>
        <w:jc w:val="left"/>
      </w:pPr>
      <w:r>
        <w:t xml:space="preserve">UPOV/EXN/EDV </w:t>
      </w:r>
      <w:r>
        <w:rPr>
          <w:b/>
        </w:rPr>
        <w:tab/>
      </w:r>
      <w:r>
        <w:t xml:space="preserve">Erläuterungen zu den im </w:t>
      </w:r>
      <w:r w:rsidR="0042444F">
        <w:t xml:space="preserve">Wesentlichen </w:t>
      </w:r>
      <w:r>
        <w:t>abgeleiteten Sorten nach der Akte von 1991 des</w:t>
      </w:r>
      <w:r w:rsidR="000518E4">
        <w:t xml:space="preserve"> </w:t>
      </w:r>
      <w:r>
        <w:t xml:space="preserve">UPOV-Übereinkommens (Überarbeitung) </w:t>
      </w:r>
    </w:p>
    <w:p w14:paraId="1FAD3151" w14:textId="77777777" w:rsidR="009A53F0" w:rsidRPr="0088502A" w:rsidRDefault="009A53F0" w:rsidP="009A53F0">
      <w:pPr>
        <w:keepNext/>
        <w:ind w:left="2835"/>
        <w:jc w:val="left"/>
      </w:pPr>
      <w:r>
        <w:t>(Dokumente SESSIONS/2023/2</w:t>
      </w:r>
      <w:r>
        <w:rPr>
          <w:rFonts w:cs="Arial"/>
          <w:snapToGrid w:val="0"/>
        </w:rPr>
        <w:t xml:space="preserve"> </w:t>
      </w:r>
      <w:r>
        <w:t>und UPOV/EXN/EDV/3 Draft 4)</w:t>
      </w:r>
    </w:p>
    <w:p w14:paraId="5249B429" w14:textId="77777777" w:rsidR="009A53F0" w:rsidRPr="0088502A" w:rsidRDefault="009A53F0" w:rsidP="009A53F0"/>
    <w:p w14:paraId="1664248E" w14:textId="1BCA1D43" w:rsidR="003453CD" w:rsidRPr="00FE12F1" w:rsidRDefault="003453CD" w:rsidP="00B3761A">
      <w:pPr>
        <w:pStyle w:val="ListParagraph"/>
        <w:keepNext/>
        <w:keepLines/>
        <w:ind w:left="567"/>
        <w:contextualSpacing w:val="0"/>
        <w:jc w:val="left"/>
        <w:rPr>
          <w:rFonts w:cs="Arial"/>
          <w:u w:val="single"/>
        </w:rPr>
      </w:pPr>
      <w:r>
        <w:rPr>
          <w:rFonts w:cs="Arial"/>
          <w:u w:val="single"/>
        </w:rPr>
        <w:t>Dokumente zur Annahme durch den Rat, vorbehaltlich der Zustimmung durch Verwaltungs- und Rechtsauschuss</w:t>
      </w:r>
    </w:p>
    <w:p w14:paraId="6452E53C" w14:textId="77777777" w:rsidR="00C816E4" w:rsidRPr="0088502A" w:rsidRDefault="00C816E4" w:rsidP="00B3761A">
      <w:pPr>
        <w:keepNext/>
        <w:keepLines/>
      </w:pPr>
    </w:p>
    <w:p w14:paraId="1F646CBE" w14:textId="2032462F" w:rsidR="00F56E24" w:rsidRPr="0088502A" w:rsidRDefault="00F56E24" w:rsidP="00B3761A">
      <w:pPr>
        <w:keepNext/>
        <w:keepLines/>
        <w:ind w:left="567"/>
        <w:jc w:val="left"/>
      </w:pPr>
      <w:r>
        <w:t>TGP-Dokumente:</w:t>
      </w:r>
    </w:p>
    <w:p w14:paraId="6AAC77EF" w14:textId="77777777" w:rsidR="00F56E24" w:rsidRPr="0088502A" w:rsidRDefault="00F56E24" w:rsidP="00B3761A">
      <w:pPr>
        <w:keepNext/>
        <w:keepLines/>
        <w:ind w:left="567"/>
        <w:jc w:val="left"/>
      </w:pPr>
    </w:p>
    <w:p w14:paraId="7581ED87" w14:textId="77777777" w:rsidR="00F56E24" w:rsidRPr="0088502A" w:rsidRDefault="00F56E24" w:rsidP="00B3761A">
      <w:pPr>
        <w:keepNext/>
        <w:keepLines/>
        <w:tabs>
          <w:tab w:val="left" w:pos="1134"/>
        </w:tabs>
        <w:spacing w:after="120"/>
        <w:ind w:left="1985" w:hanging="851"/>
        <w:jc w:val="left"/>
      </w:pPr>
      <w:r>
        <w:t>TGP/7</w:t>
      </w:r>
      <w:r>
        <w:tab/>
        <w:t>Erstellung von Prüfungsrichtlinien (Überarbeitung)</w:t>
      </w:r>
    </w:p>
    <w:p w14:paraId="14824EDA" w14:textId="1DF7C78A" w:rsidR="00F56E24" w:rsidRPr="0088502A" w:rsidRDefault="00F56E24" w:rsidP="00B3761A">
      <w:pPr>
        <w:keepNext/>
        <w:keepLines/>
        <w:spacing w:after="120"/>
        <w:ind w:left="2410" w:right="-284" w:hanging="425"/>
        <w:jc w:val="left"/>
      </w:pPr>
      <w:r>
        <w:t>–</w:t>
      </w:r>
      <w:r>
        <w:tab/>
      </w:r>
      <w:r w:rsidR="0042444F" w:rsidRPr="0042444F">
        <w:rPr>
          <w:i/>
          <w:spacing w:val="-4"/>
        </w:rPr>
        <w:t>Umwandlung des Standardwortlauts der Prüfungsrichtlinien in einen optionalen Wortlaut</w:t>
      </w:r>
      <w:r>
        <w:rPr>
          <w:i/>
        </w:rPr>
        <w:br/>
      </w:r>
      <w:r>
        <w:t>(</w:t>
      </w:r>
      <w:r>
        <w:rPr>
          <w:rFonts w:cs="Arial"/>
          <w:snapToGrid w:val="0"/>
        </w:rPr>
        <w:t>Anlage</w:t>
      </w:r>
      <w:r w:rsidR="000518E4">
        <w:rPr>
          <w:rFonts w:cs="Arial"/>
          <w:snapToGrid w:val="0"/>
        </w:rPr>
        <w:t xml:space="preserve"> </w:t>
      </w:r>
      <w:r>
        <w:rPr>
          <w:rFonts w:cs="Arial"/>
          <w:snapToGrid w:val="0"/>
        </w:rPr>
        <w:t>II dieses Dokuments)</w:t>
      </w:r>
    </w:p>
    <w:p w14:paraId="3A914D15" w14:textId="77777777" w:rsidR="00F56E24" w:rsidRPr="0088502A" w:rsidRDefault="00F56E24" w:rsidP="00F56E24">
      <w:pPr>
        <w:tabs>
          <w:tab w:val="left" w:pos="1701"/>
          <w:tab w:val="left" w:pos="2694"/>
        </w:tabs>
        <w:ind w:left="1134"/>
        <w:jc w:val="left"/>
      </w:pPr>
    </w:p>
    <w:p w14:paraId="344BAA2F" w14:textId="47BAEBC5" w:rsidR="00F56E24" w:rsidRPr="0088502A" w:rsidRDefault="00F56E24" w:rsidP="00F56E24">
      <w:pPr>
        <w:tabs>
          <w:tab w:val="left" w:pos="1134"/>
        </w:tabs>
        <w:ind w:left="1985" w:right="-284" w:hanging="851"/>
        <w:jc w:val="left"/>
      </w:pPr>
      <w:r>
        <w:t>TGP/14</w:t>
      </w:r>
      <w:r>
        <w:tab/>
        <w:t>Glossar der in den UPOV-Dokumenten verwendeten Begriffe (Überarbeitung)</w:t>
      </w:r>
      <w:r>
        <w:br/>
        <w:t>(</w:t>
      </w:r>
      <w:r>
        <w:rPr>
          <w:rFonts w:cs="Arial"/>
          <w:snapToGrid w:val="0"/>
        </w:rPr>
        <w:t>Dokument SESSIONS/2023/2)</w:t>
      </w:r>
    </w:p>
    <w:p w14:paraId="55626E4E" w14:textId="3E88CB6D" w:rsidR="00FE12F1" w:rsidRPr="00CC1204" w:rsidRDefault="00FE12F1" w:rsidP="00E54EAA"/>
    <w:p w14:paraId="20F0EAB1" w14:textId="556856D3" w:rsidR="000206AD" w:rsidRPr="00CC1204" w:rsidRDefault="000206AD" w:rsidP="00E54EAA"/>
    <w:p w14:paraId="3719550C" w14:textId="31243E38" w:rsidR="00F67F2F" w:rsidRPr="00FE12F1" w:rsidRDefault="00F67F2F" w:rsidP="00F67F2F">
      <w:pPr>
        <w:pStyle w:val="ListParagraph"/>
        <w:ind w:left="567"/>
        <w:contextualSpacing w:val="0"/>
        <w:jc w:val="left"/>
        <w:rPr>
          <w:rFonts w:cs="Arial"/>
          <w:u w:val="single"/>
        </w:rPr>
      </w:pPr>
      <w:r>
        <w:rPr>
          <w:rFonts w:cs="Arial"/>
          <w:u w:val="single"/>
        </w:rPr>
        <w:lastRenderedPageBreak/>
        <w:t>Dokumente zur Annahme durch den Rat, vorbehaltlich der Zustimmung durch den</w:t>
      </w:r>
      <w:r w:rsidR="009A21EC">
        <w:rPr>
          <w:rFonts w:cs="Arial"/>
          <w:u w:val="single"/>
        </w:rPr>
        <w:t xml:space="preserve"> T</w:t>
      </w:r>
      <w:r>
        <w:rPr>
          <w:rFonts w:cs="Arial"/>
          <w:u w:val="single"/>
        </w:rPr>
        <w:t>echnischen Ausschuss und den Verwaltungs- und Rechtsauschuss</w:t>
      </w:r>
    </w:p>
    <w:p w14:paraId="61E08194" w14:textId="77777777" w:rsidR="00F67F2F" w:rsidRPr="00CC1204" w:rsidRDefault="00F67F2F" w:rsidP="00F67F2F"/>
    <w:p w14:paraId="7CD7EAE5" w14:textId="77777777" w:rsidR="00F67F2F" w:rsidRPr="0088502A" w:rsidRDefault="00F67F2F" w:rsidP="00F67F2F">
      <w:pPr>
        <w:ind w:left="567"/>
        <w:jc w:val="left"/>
      </w:pPr>
      <w:r>
        <w:t>a)</w:t>
      </w:r>
      <w:r>
        <w:tab/>
        <w:t>Informationsdokumente:</w:t>
      </w:r>
    </w:p>
    <w:p w14:paraId="025B551F" w14:textId="77777777" w:rsidR="00F67F2F" w:rsidRPr="0088502A" w:rsidRDefault="00F67F2F" w:rsidP="00F67F2F"/>
    <w:p w14:paraId="04DD388B" w14:textId="77777777" w:rsidR="00F67F2F" w:rsidRPr="0088502A" w:rsidRDefault="00F67F2F" w:rsidP="00F67F2F">
      <w:pPr>
        <w:spacing w:after="120"/>
        <w:ind w:left="2835" w:right="-426" w:hanging="1701"/>
        <w:jc w:val="left"/>
      </w:pPr>
      <w:r>
        <w:t>UPOV/INF/16</w:t>
      </w:r>
      <w:r>
        <w:tab/>
        <w:t xml:space="preserve">Austauschbare Software (Überarbeitung) </w:t>
      </w:r>
      <w:r>
        <w:rPr>
          <w:snapToGrid w:val="0"/>
        </w:rPr>
        <w:t>(Dokument UPOV/INF/16/12 Draft 1)</w:t>
      </w:r>
    </w:p>
    <w:p w14:paraId="35CEDB68" w14:textId="1D926211" w:rsidR="00F67F2F" w:rsidRPr="0088502A" w:rsidRDefault="00F67F2F" w:rsidP="00F67F2F">
      <w:pPr>
        <w:spacing w:after="120"/>
        <w:ind w:left="2835" w:hanging="1701"/>
        <w:jc w:val="left"/>
      </w:pPr>
      <w:r>
        <w:t>UPOV/INF/22</w:t>
      </w:r>
      <w:r>
        <w:tab/>
      </w:r>
      <w:r w:rsidRPr="000B0E8D">
        <w:rPr>
          <w:spacing w:val="-4"/>
        </w:rPr>
        <w:t>Von Verbandsmitgliedern verwendete Software und Ausrüstung (Überarbeitung)</w:t>
      </w:r>
      <w:r w:rsidR="00A37BA0" w:rsidRPr="000B0E8D">
        <w:rPr>
          <w:spacing w:val="-4"/>
        </w:rPr>
        <w:br/>
      </w:r>
      <w:r>
        <w:t>(Dokument</w:t>
      </w:r>
      <w:r w:rsidR="000518E4">
        <w:t xml:space="preserve"> </w:t>
      </w:r>
      <w:r>
        <w:t>UPOV/INF/22/10 Draft 1)</w:t>
      </w:r>
    </w:p>
    <w:p w14:paraId="5BC3E403" w14:textId="0E4C8B0B" w:rsidR="00F67F2F" w:rsidRDefault="00F67F2F" w:rsidP="00F67F2F">
      <w:pPr>
        <w:spacing w:after="120"/>
        <w:ind w:left="2835" w:hanging="1701"/>
        <w:jc w:val="left"/>
      </w:pPr>
      <w:r>
        <w:t>UPOV/INF/23</w:t>
      </w:r>
      <w:r>
        <w:tab/>
        <w:t>UPOV-Code-System (Überarbeitung) (Dokument UPOV/INF/23/2 Draft 1)</w:t>
      </w:r>
    </w:p>
    <w:p w14:paraId="297ED3D4" w14:textId="04C7B455" w:rsidR="00BF1F9F" w:rsidRPr="00BF1F9F" w:rsidRDefault="00BF1F9F" w:rsidP="00F67F2F">
      <w:pPr>
        <w:spacing w:after="120"/>
        <w:ind w:left="2835" w:hanging="1701"/>
        <w:jc w:val="left"/>
      </w:pPr>
      <w:r>
        <w:t>UPOV/INF-EXN</w:t>
      </w:r>
      <w:r>
        <w:tab/>
        <w:t>Liste der UPOV/INF-EXN-Dokumente und Datum der jüngsten Ausgabe (Überarbeitung)</w:t>
      </w:r>
      <w:r>
        <w:br/>
        <w:t>(Dokument UPOV/INF-EXN/17 Draft 1)</w:t>
      </w:r>
    </w:p>
    <w:p w14:paraId="050F1D56" w14:textId="77777777" w:rsidR="00F67F2F" w:rsidRPr="00CC1204" w:rsidRDefault="00F67F2F" w:rsidP="00F67F2F"/>
    <w:p w14:paraId="2FE52257" w14:textId="77777777" w:rsidR="00F67F2F" w:rsidRPr="0088502A" w:rsidRDefault="00F67F2F" w:rsidP="00F67F2F">
      <w:pPr>
        <w:ind w:left="567"/>
        <w:jc w:val="left"/>
      </w:pPr>
      <w:r>
        <w:t>b)</w:t>
      </w:r>
      <w:r>
        <w:tab/>
        <w:t>Erläuterungen:</w:t>
      </w:r>
    </w:p>
    <w:p w14:paraId="046342FE" w14:textId="77777777" w:rsidR="00F67F2F" w:rsidRPr="0088502A" w:rsidRDefault="00F67F2F" w:rsidP="00F67F2F">
      <w:pPr>
        <w:ind w:left="567"/>
        <w:jc w:val="left"/>
      </w:pPr>
    </w:p>
    <w:p w14:paraId="6F0DC683" w14:textId="77777777" w:rsidR="00F67F2F" w:rsidRPr="0088502A" w:rsidRDefault="00F67F2F" w:rsidP="00F67F2F">
      <w:pPr>
        <w:keepNext/>
        <w:spacing w:after="120"/>
        <w:ind w:left="2835" w:hanging="1701"/>
        <w:jc w:val="left"/>
      </w:pPr>
      <w:r>
        <w:t xml:space="preserve">UPOV/EXN/DEN </w:t>
      </w:r>
      <w:r>
        <w:rPr>
          <w:b/>
        </w:rPr>
        <w:tab/>
      </w:r>
      <w:r>
        <w:t xml:space="preserve">Erläuterungen zu Sortenbezeichnungen nach dem UPOV-Übereinkommen (Überarbeitung) </w:t>
      </w:r>
      <w:r>
        <w:rPr>
          <w:rFonts w:cs="Arial"/>
          <w:snapToGrid w:val="0"/>
        </w:rPr>
        <w:t>(Anlage I dieses Dokuments)</w:t>
      </w:r>
    </w:p>
    <w:p w14:paraId="7E85914A" w14:textId="77777777" w:rsidR="00F67F2F" w:rsidRPr="0088502A" w:rsidRDefault="00F67F2F" w:rsidP="00F67F2F"/>
    <w:p w14:paraId="6523ADE8" w14:textId="77777777" w:rsidR="00F67F2F" w:rsidRPr="0088502A" w:rsidRDefault="00F67F2F" w:rsidP="00F67F2F">
      <w:pPr>
        <w:keepNext/>
        <w:ind w:left="567"/>
        <w:jc w:val="left"/>
      </w:pPr>
      <w:r>
        <w:t>c)</w:t>
      </w:r>
      <w:r>
        <w:tab/>
        <w:t>TGP-Dokumente:</w:t>
      </w:r>
    </w:p>
    <w:p w14:paraId="24D37805" w14:textId="77777777" w:rsidR="00F67F2F" w:rsidRPr="0088502A" w:rsidRDefault="00F67F2F" w:rsidP="00F67F2F">
      <w:pPr>
        <w:keepNext/>
        <w:ind w:left="567"/>
        <w:jc w:val="left"/>
      </w:pPr>
    </w:p>
    <w:p w14:paraId="5FB03061" w14:textId="77777777" w:rsidR="00F67F2F" w:rsidRPr="0088502A" w:rsidRDefault="00F67F2F" w:rsidP="00F67F2F">
      <w:pPr>
        <w:keepNext/>
        <w:tabs>
          <w:tab w:val="left" w:pos="1134"/>
        </w:tabs>
        <w:spacing w:after="120"/>
        <w:ind w:left="1985" w:hanging="851"/>
        <w:jc w:val="left"/>
      </w:pPr>
      <w:r>
        <w:t>TGP/7</w:t>
      </w:r>
      <w:r>
        <w:tab/>
        <w:t>Erstellung von Prüfungsrichtlinien (Überarbeitung)</w:t>
      </w:r>
    </w:p>
    <w:p w14:paraId="0D7F89A4" w14:textId="77777777" w:rsidR="00F67F2F" w:rsidRPr="0088502A" w:rsidRDefault="00F67F2F" w:rsidP="00F67F2F">
      <w:pPr>
        <w:spacing w:after="120"/>
        <w:ind w:left="2410" w:right="-284" w:hanging="425"/>
        <w:jc w:val="left"/>
      </w:pPr>
      <w:r>
        <w:t>–</w:t>
      </w:r>
      <w:r>
        <w:tab/>
      </w:r>
      <w:r>
        <w:rPr>
          <w:i/>
        </w:rPr>
        <w:t>Krankheitsresistenzmerkmale: Hinzufügung von Ausprägungsstufen und Platzierung von Krankheitsresistenzmerkmalen ohne Sternchen in Abschnitt 5 des Technischen Fragebogens</w:t>
      </w:r>
      <w:r>
        <w:t xml:space="preserve"> (</w:t>
      </w:r>
      <w:r>
        <w:rPr>
          <w:rFonts w:cs="Arial"/>
          <w:snapToGrid w:val="0"/>
        </w:rPr>
        <w:t>Anlage II dieses Dokuments)</w:t>
      </w:r>
    </w:p>
    <w:p w14:paraId="70D0206F" w14:textId="77777777" w:rsidR="00F67F2F" w:rsidRPr="0088502A" w:rsidRDefault="00F67F2F" w:rsidP="00F67F2F">
      <w:pPr>
        <w:tabs>
          <w:tab w:val="left" w:pos="1701"/>
          <w:tab w:val="left" w:pos="2694"/>
        </w:tabs>
        <w:ind w:left="1134"/>
        <w:jc w:val="left"/>
      </w:pPr>
    </w:p>
    <w:p w14:paraId="7B792394" w14:textId="77777777" w:rsidR="00F67F2F" w:rsidRPr="0088502A" w:rsidRDefault="00F67F2F" w:rsidP="00F67F2F">
      <w:pPr>
        <w:keepNext/>
        <w:tabs>
          <w:tab w:val="left" w:pos="1134"/>
        </w:tabs>
        <w:spacing w:after="120"/>
        <w:ind w:left="1985" w:hanging="851"/>
        <w:jc w:val="left"/>
      </w:pPr>
      <w:r>
        <w:t>TGP/12</w:t>
      </w:r>
      <w:r>
        <w:tab/>
        <w:t>Anleitung zu bestimmten physiologischen Merkmalen (Überarbeitung)</w:t>
      </w:r>
    </w:p>
    <w:p w14:paraId="7156DC46" w14:textId="2A161AE1" w:rsidR="00F67F2F" w:rsidRDefault="00F67F2F" w:rsidP="00F67F2F">
      <w:pPr>
        <w:ind w:left="2410" w:right="-284" w:hanging="425"/>
        <w:jc w:val="left"/>
        <w:rPr>
          <w:rFonts w:cs="Arial"/>
          <w:snapToGrid w:val="0"/>
        </w:rPr>
      </w:pPr>
      <w:r>
        <w:t>–</w:t>
      </w:r>
      <w:r>
        <w:tab/>
      </w:r>
      <w:r>
        <w:rPr>
          <w:i/>
        </w:rPr>
        <w:t xml:space="preserve">Beispiel von Krankheitsresistenzmerkmalen: </w:t>
      </w:r>
      <w:r w:rsidR="000B0E8D" w:rsidRPr="000B0E8D">
        <w:rPr>
          <w:i/>
        </w:rPr>
        <w:t xml:space="preserve">das Wort „hoch-“ in nur einer Ausprägungsstufe </w:t>
      </w:r>
      <w:r>
        <w:rPr>
          <w:i/>
        </w:rPr>
        <w:t xml:space="preserve"> </w:t>
      </w:r>
      <w:r>
        <w:t>(</w:t>
      </w:r>
      <w:r>
        <w:rPr>
          <w:rFonts w:cs="Arial"/>
          <w:snapToGrid w:val="0"/>
        </w:rPr>
        <w:t>Anlage IV dieses Dokuments)</w:t>
      </w:r>
    </w:p>
    <w:p w14:paraId="16191216" w14:textId="77777777" w:rsidR="00BF1F9F" w:rsidRPr="0088502A" w:rsidRDefault="00BF1F9F" w:rsidP="00F67F2F">
      <w:pPr>
        <w:ind w:left="2410" w:right="-284" w:hanging="425"/>
        <w:jc w:val="left"/>
      </w:pPr>
    </w:p>
    <w:p w14:paraId="2C4D5ED8" w14:textId="13C8FAC6" w:rsidR="00F67F2F" w:rsidRPr="0088502A" w:rsidRDefault="00BF1F9F" w:rsidP="00BF1F9F">
      <w:pPr>
        <w:ind w:left="1985" w:hanging="851"/>
        <w:jc w:val="left"/>
      </w:pPr>
      <w:r>
        <w:t>TGP</w:t>
      </w:r>
      <w:r>
        <w:rPr>
          <w:bCs/>
          <w:snapToGrid w:val="0"/>
          <w:szCs w:val="24"/>
        </w:rPr>
        <w:t>/0:</w:t>
      </w:r>
      <w:r>
        <w:rPr>
          <w:bCs/>
          <w:snapToGrid w:val="0"/>
          <w:szCs w:val="24"/>
        </w:rPr>
        <w:tab/>
        <w:t xml:space="preserve">Liste der TGP-Dokumente und Datum der jüngsten Ausgabe (Überarbeitung) </w:t>
      </w:r>
      <w:r>
        <w:rPr>
          <w:bCs/>
          <w:snapToGrid w:val="0"/>
          <w:szCs w:val="24"/>
        </w:rPr>
        <w:br/>
        <w:t>(Dokument TGP/0/15 Draft 1)</w:t>
      </w:r>
    </w:p>
    <w:p w14:paraId="5E6296BE" w14:textId="77777777" w:rsidR="00FE12F1" w:rsidRPr="00CC1204" w:rsidRDefault="00FE12F1" w:rsidP="00E54EAA"/>
    <w:p w14:paraId="3F6E4720" w14:textId="77777777" w:rsidR="009A53F0" w:rsidRPr="0088502A" w:rsidRDefault="009A53F0" w:rsidP="009A53F0">
      <w:pPr>
        <w:keepNext/>
        <w:rPr>
          <w:rFonts w:cs="Arial"/>
        </w:rPr>
      </w:pPr>
      <w:r w:rsidRPr="0088502A">
        <w:rPr>
          <w:rFonts w:cs="Arial"/>
        </w:rPr>
        <w:fldChar w:fldCharType="begin"/>
      </w:r>
      <w:r w:rsidRPr="0088502A">
        <w:rPr>
          <w:rFonts w:cs="Arial"/>
        </w:rPr>
        <w:instrText xml:space="preserve"> AUTONUM  </w:instrText>
      </w:r>
      <w:r w:rsidRPr="0088502A">
        <w:rPr>
          <w:rFonts w:cs="Arial"/>
        </w:rPr>
        <w:fldChar w:fldCharType="end"/>
      </w:r>
      <w:r>
        <w:rPr>
          <w:rFonts w:cs="Arial"/>
        </w:rPr>
        <w:tab/>
        <w:t>In diesem Dokument werden folgende Abkürzungen verwendet:</w:t>
      </w:r>
    </w:p>
    <w:p w14:paraId="04AB7198" w14:textId="77777777" w:rsidR="009A53F0" w:rsidRPr="0088502A" w:rsidRDefault="009A53F0" w:rsidP="009A53F0">
      <w:pPr>
        <w:keepNext/>
        <w:ind w:left="1701" w:hanging="1134"/>
        <w:rPr>
          <w:rFonts w:cs="Arial"/>
        </w:rPr>
      </w:pPr>
    </w:p>
    <w:p w14:paraId="403174F6" w14:textId="77777777" w:rsidR="009A53F0" w:rsidRPr="0088502A" w:rsidRDefault="009A53F0" w:rsidP="009A53F0">
      <w:pPr>
        <w:keepNext/>
        <w:ind w:left="1701" w:hanging="1134"/>
        <w:rPr>
          <w:rFonts w:cs="Arial"/>
        </w:rPr>
      </w:pPr>
      <w:r>
        <w:rPr>
          <w:rFonts w:cs="Arial"/>
        </w:rPr>
        <w:t>CAJ:</w:t>
      </w:r>
      <w:r>
        <w:rPr>
          <w:rFonts w:cs="Arial"/>
        </w:rPr>
        <w:tab/>
        <w:t>Verwaltungs- und Rechtsausschuss</w:t>
      </w:r>
    </w:p>
    <w:p w14:paraId="4460E9AB" w14:textId="77777777" w:rsidR="009A53F0" w:rsidRPr="0088502A" w:rsidRDefault="009A53F0" w:rsidP="009A53F0">
      <w:pPr>
        <w:keepNext/>
        <w:ind w:left="1701" w:hanging="1134"/>
        <w:rPr>
          <w:rFonts w:cs="Arial"/>
        </w:rPr>
      </w:pPr>
      <w:r>
        <w:rPr>
          <w:rFonts w:cs="Arial"/>
        </w:rPr>
        <w:t xml:space="preserve">TC: </w:t>
      </w:r>
      <w:r>
        <w:rPr>
          <w:rFonts w:cs="Arial"/>
        </w:rPr>
        <w:tab/>
        <w:t>Technischer Ausschuss</w:t>
      </w:r>
    </w:p>
    <w:p w14:paraId="54F118F7" w14:textId="77777777" w:rsidR="009A53F0" w:rsidRPr="0088502A" w:rsidRDefault="009A53F0" w:rsidP="009A53F0">
      <w:pPr>
        <w:ind w:left="1701" w:hanging="1134"/>
        <w:rPr>
          <w:rFonts w:cs="Arial"/>
        </w:rPr>
      </w:pPr>
      <w:r>
        <w:rPr>
          <w:rFonts w:cs="Arial"/>
        </w:rPr>
        <w:t xml:space="preserve">TWA: </w:t>
      </w:r>
      <w:r>
        <w:rPr>
          <w:rFonts w:cs="Arial"/>
        </w:rPr>
        <w:tab/>
        <w:t>Technische Arbeitsgruppe für landwirtschaftliche Arten</w:t>
      </w:r>
    </w:p>
    <w:p w14:paraId="40579F63" w14:textId="22947950" w:rsidR="009A53F0" w:rsidRPr="0088502A" w:rsidRDefault="009A53F0" w:rsidP="009A53F0">
      <w:pPr>
        <w:ind w:left="1701" w:hanging="1134"/>
        <w:rPr>
          <w:rFonts w:cs="Arial"/>
        </w:rPr>
      </w:pPr>
      <w:r>
        <w:rPr>
          <w:rFonts w:cs="Arial"/>
        </w:rPr>
        <w:t>TWF:</w:t>
      </w:r>
      <w:r w:rsidR="0062652A">
        <w:rPr>
          <w:rFonts w:cs="Arial"/>
        </w:rPr>
        <w:t xml:space="preserve"> </w:t>
      </w:r>
      <w:r>
        <w:rPr>
          <w:rFonts w:cs="Arial"/>
        </w:rPr>
        <w:tab/>
        <w:t xml:space="preserve">Technische Arbeitsgruppe für Obstarten </w:t>
      </w:r>
    </w:p>
    <w:p w14:paraId="7C8A62C4" w14:textId="77777777" w:rsidR="009A53F0" w:rsidRPr="0088502A" w:rsidRDefault="009A53F0" w:rsidP="009A53F0">
      <w:pPr>
        <w:ind w:left="1701" w:hanging="1134"/>
        <w:rPr>
          <w:rFonts w:cs="Arial"/>
        </w:rPr>
      </w:pPr>
      <w:r>
        <w:rPr>
          <w:rFonts w:cs="Arial"/>
        </w:rPr>
        <w:t xml:space="preserve">TWO: </w:t>
      </w:r>
      <w:r>
        <w:rPr>
          <w:rFonts w:cs="Arial"/>
        </w:rPr>
        <w:tab/>
        <w:t xml:space="preserve">Technische Arbeitsgruppe für Zierpflanzen und forstliche Baumarten </w:t>
      </w:r>
    </w:p>
    <w:p w14:paraId="63FBF62F" w14:textId="77777777" w:rsidR="009A53F0" w:rsidRPr="0088502A" w:rsidRDefault="009A53F0" w:rsidP="009A53F0">
      <w:pPr>
        <w:ind w:left="1701" w:hanging="1134"/>
        <w:rPr>
          <w:rFonts w:cs="Arial"/>
        </w:rPr>
      </w:pPr>
      <w:r>
        <w:rPr>
          <w:rFonts w:cs="Arial"/>
        </w:rPr>
        <w:t xml:space="preserve">TWV: </w:t>
      </w:r>
      <w:r>
        <w:rPr>
          <w:rFonts w:cs="Arial"/>
        </w:rPr>
        <w:tab/>
        <w:t>Technische Arbeitsgruppe für Gemüsearten</w:t>
      </w:r>
    </w:p>
    <w:p w14:paraId="54204203" w14:textId="77777777" w:rsidR="009A53F0" w:rsidRPr="0088502A" w:rsidRDefault="009A53F0" w:rsidP="009A53F0">
      <w:pPr>
        <w:ind w:left="1701" w:hanging="1134"/>
        <w:rPr>
          <w:rFonts w:cs="Arial"/>
          <w:color w:val="000000"/>
        </w:rPr>
      </w:pPr>
      <w:r>
        <w:rPr>
          <w:rFonts w:cs="Arial"/>
          <w:color w:val="000000"/>
        </w:rPr>
        <w:t>TWP:</w:t>
      </w:r>
      <w:r>
        <w:rPr>
          <w:rFonts w:cs="Arial"/>
          <w:color w:val="000000"/>
        </w:rPr>
        <w:tab/>
        <w:t xml:space="preserve">Technische Arbeitsgruppen </w:t>
      </w:r>
    </w:p>
    <w:p w14:paraId="74915E3B" w14:textId="77777777" w:rsidR="009A53F0" w:rsidRPr="0088502A" w:rsidRDefault="009A53F0" w:rsidP="00E54EAA"/>
    <w:p w14:paraId="07D8E1EB" w14:textId="77777777" w:rsidR="00E54EAA" w:rsidRPr="0088502A" w:rsidRDefault="00E54EAA" w:rsidP="00E54EAA">
      <w:pPr>
        <w:keepNext/>
        <w:spacing w:after="240"/>
        <w:rPr>
          <w:rFonts w:cs="Arial"/>
        </w:rPr>
      </w:pPr>
      <w:r w:rsidRPr="0088502A">
        <w:rPr>
          <w:rFonts w:cs="Arial"/>
        </w:rPr>
        <w:fldChar w:fldCharType="begin"/>
      </w:r>
      <w:r w:rsidRPr="0088502A">
        <w:rPr>
          <w:rFonts w:cs="Arial"/>
        </w:rPr>
        <w:instrText xml:space="preserve"> AUTONUM  </w:instrText>
      </w:r>
      <w:r w:rsidRPr="0088502A">
        <w:rPr>
          <w:rFonts w:cs="Arial"/>
        </w:rPr>
        <w:fldChar w:fldCharType="end"/>
      </w:r>
      <w:r>
        <w:rPr>
          <w:rFonts w:cs="Arial"/>
        </w:rPr>
        <w:tab/>
        <w:t>Der Aufbau dieses Dokuments ist nachstehend zusammengefasst:</w:t>
      </w:r>
    </w:p>
    <w:p w14:paraId="125D0117" w14:textId="488CECAC" w:rsidR="00DB5B81" w:rsidRDefault="00E85A20">
      <w:pPr>
        <w:pStyle w:val="TOC1"/>
        <w:rPr>
          <w:rFonts w:asciiTheme="minorHAnsi" w:eastAsiaTheme="minorEastAsia" w:hAnsiTheme="minorHAnsi" w:cstheme="minorBidi"/>
          <w:caps w:val="0"/>
          <w:noProof/>
          <w:sz w:val="22"/>
          <w:szCs w:val="22"/>
          <w:lang w:val="en-US" w:eastAsia="en-US"/>
        </w:rPr>
      </w:pPr>
      <w:r w:rsidRPr="0088502A">
        <w:rPr>
          <w:rFonts w:cs="Arial"/>
          <w:bCs/>
          <w:noProof/>
          <w:snapToGrid w:val="0"/>
          <w:highlight w:val="yellow"/>
        </w:rPr>
        <w:fldChar w:fldCharType="begin"/>
      </w:r>
      <w:r w:rsidRPr="00467BF9">
        <w:rPr>
          <w:rFonts w:cs="Arial"/>
          <w:bCs/>
          <w:noProof/>
          <w:snapToGrid w:val="0"/>
          <w:highlight w:val="yellow"/>
        </w:rPr>
        <w:instrText xml:space="preserve"> TOC \o "1-5" \u </w:instrText>
      </w:r>
      <w:r w:rsidRPr="0088502A">
        <w:rPr>
          <w:rFonts w:cs="Arial"/>
          <w:bCs/>
          <w:noProof/>
          <w:snapToGrid w:val="0"/>
          <w:highlight w:val="yellow"/>
        </w:rPr>
        <w:fldChar w:fldCharType="separate"/>
      </w:r>
      <w:r w:rsidR="00DB5B81" w:rsidRPr="003F08CD">
        <w:rPr>
          <w:noProof/>
          <w:snapToGrid w:val="0"/>
        </w:rPr>
        <w:t>ZUSAMMENFASSUNG</w:t>
      </w:r>
      <w:r w:rsidR="00DB5B81">
        <w:rPr>
          <w:noProof/>
        </w:rPr>
        <w:tab/>
      </w:r>
      <w:r w:rsidR="00DB5B81">
        <w:rPr>
          <w:noProof/>
        </w:rPr>
        <w:fldChar w:fldCharType="begin"/>
      </w:r>
      <w:r w:rsidR="00DB5B81">
        <w:rPr>
          <w:noProof/>
        </w:rPr>
        <w:instrText xml:space="preserve"> PAGEREF _Toc145586586 \h </w:instrText>
      </w:r>
      <w:r w:rsidR="00DB5B81">
        <w:rPr>
          <w:noProof/>
        </w:rPr>
      </w:r>
      <w:r w:rsidR="00DB5B81">
        <w:rPr>
          <w:noProof/>
        </w:rPr>
        <w:fldChar w:fldCharType="separate"/>
      </w:r>
      <w:r w:rsidR="00DB5B81">
        <w:rPr>
          <w:noProof/>
        </w:rPr>
        <w:t>1</w:t>
      </w:r>
      <w:r w:rsidR="00DB5B81">
        <w:rPr>
          <w:noProof/>
        </w:rPr>
        <w:fldChar w:fldCharType="end"/>
      </w:r>
    </w:p>
    <w:p w14:paraId="14FF775F" w14:textId="06C35922" w:rsidR="00DB5B81" w:rsidRDefault="00DB5B81">
      <w:pPr>
        <w:pStyle w:val="TOC1"/>
        <w:rPr>
          <w:rFonts w:asciiTheme="minorHAnsi" w:eastAsiaTheme="minorEastAsia" w:hAnsiTheme="minorHAnsi" w:cstheme="minorBidi"/>
          <w:caps w:val="0"/>
          <w:noProof/>
          <w:sz w:val="22"/>
          <w:szCs w:val="22"/>
          <w:lang w:val="en-US" w:eastAsia="en-US"/>
        </w:rPr>
      </w:pPr>
      <w:r>
        <w:rPr>
          <w:noProof/>
        </w:rPr>
        <w:t>Hintergrund</w:t>
      </w:r>
      <w:r>
        <w:rPr>
          <w:noProof/>
        </w:rPr>
        <w:tab/>
      </w:r>
      <w:r>
        <w:rPr>
          <w:noProof/>
        </w:rPr>
        <w:fldChar w:fldCharType="begin"/>
      </w:r>
      <w:r>
        <w:rPr>
          <w:noProof/>
        </w:rPr>
        <w:instrText xml:space="preserve"> PAGEREF _Toc145586587 \h </w:instrText>
      </w:r>
      <w:r>
        <w:rPr>
          <w:noProof/>
        </w:rPr>
      </w:r>
      <w:r>
        <w:rPr>
          <w:noProof/>
        </w:rPr>
        <w:fldChar w:fldCharType="separate"/>
      </w:r>
      <w:r>
        <w:rPr>
          <w:noProof/>
        </w:rPr>
        <w:t>4</w:t>
      </w:r>
      <w:r>
        <w:rPr>
          <w:noProof/>
        </w:rPr>
        <w:fldChar w:fldCharType="end"/>
      </w:r>
    </w:p>
    <w:p w14:paraId="27932AD7" w14:textId="217452AC" w:rsidR="00DB5B81" w:rsidRDefault="00DB5B81">
      <w:pPr>
        <w:pStyle w:val="TOC1"/>
        <w:rPr>
          <w:rFonts w:asciiTheme="minorHAnsi" w:eastAsiaTheme="minorEastAsia" w:hAnsiTheme="minorHAnsi" w:cstheme="minorBidi"/>
          <w:caps w:val="0"/>
          <w:noProof/>
          <w:sz w:val="22"/>
          <w:szCs w:val="22"/>
          <w:lang w:val="en-US" w:eastAsia="en-US"/>
        </w:rPr>
      </w:pPr>
      <w:r>
        <w:rPr>
          <w:noProof/>
        </w:rPr>
        <w:t>DEM RAT ZU ANNAHME VORGESCHLAGENE ANGELEGENHEITEN IM JAHR 2023</w:t>
      </w:r>
      <w:r>
        <w:rPr>
          <w:noProof/>
        </w:rPr>
        <w:tab/>
      </w:r>
      <w:r>
        <w:rPr>
          <w:noProof/>
        </w:rPr>
        <w:fldChar w:fldCharType="begin"/>
      </w:r>
      <w:r>
        <w:rPr>
          <w:noProof/>
        </w:rPr>
        <w:instrText xml:space="preserve"> PAGEREF _Toc145586588 \h </w:instrText>
      </w:r>
      <w:r>
        <w:rPr>
          <w:noProof/>
        </w:rPr>
      </w:r>
      <w:r>
        <w:rPr>
          <w:noProof/>
        </w:rPr>
        <w:fldChar w:fldCharType="separate"/>
      </w:r>
      <w:r>
        <w:rPr>
          <w:noProof/>
        </w:rPr>
        <w:t>4</w:t>
      </w:r>
      <w:r>
        <w:rPr>
          <w:noProof/>
        </w:rPr>
        <w:fldChar w:fldCharType="end"/>
      </w:r>
    </w:p>
    <w:p w14:paraId="53DF3DD7" w14:textId="2D669AB6" w:rsidR="00DB5B81" w:rsidRDefault="00DB5B81">
      <w:pPr>
        <w:pStyle w:val="TOC2"/>
        <w:rPr>
          <w:rFonts w:asciiTheme="minorHAnsi" w:eastAsiaTheme="minorEastAsia" w:hAnsiTheme="minorHAnsi" w:cstheme="minorBidi"/>
          <w:noProof/>
          <w:sz w:val="22"/>
          <w:szCs w:val="22"/>
          <w:lang w:val="en-US" w:eastAsia="en-US"/>
        </w:rPr>
      </w:pPr>
      <w:r>
        <w:rPr>
          <w:noProof/>
        </w:rPr>
        <w:t>a)</w:t>
      </w:r>
      <w:r>
        <w:rPr>
          <w:rFonts w:asciiTheme="minorHAnsi" w:eastAsiaTheme="minorEastAsia" w:hAnsiTheme="minorHAnsi" w:cstheme="minorBidi"/>
          <w:noProof/>
          <w:sz w:val="22"/>
          <w:szCs w:val="22"/>
          <w:lang w:val="en-US" w:eastAsia="en-US"/>
        </w:rPr>
        <w:tab/>
      </w:r>
      <w:r>
        <w:rPr>
          <w:noProof/>
        </w:rPr>
        <w:t>Informationsdokumente:</w:t>
      </w:r>
      <w:r>
        <w:rPr>
          <w:noProof/>
        </w:rPr>
        <w:tab/>
      </w:r>
      <w:r>
        <w:rPr>
          <w:noProof/>
        </w:rPr>
        <w:fldChar w:fldCharType="begin"/>
      </w:r>
      <w:r>
        <w:rPr>
          <w:noProof/>
        </w:rPr>
        <w:instrText xml:space="preserve"> PAGEREF _Toc145586589 \h </w:instrText>
      </w:r>
      <w:r>
        <w:rPr>
          <w:noProof/>
        </w:rPr>
      </w:r>
      <w:r>
        <w:rPr>
          <w:noProof/>
        </w:rPr>
        <w:fldChar w:fldCharType="separate"/>
      </w:r>
      <w:r>
        <w:rPr>
          <w:noProof/>
        </w:rPr>
        <w:t>4</w:t>
      </w:r>
      <w:r>
        <w:rPr>
          <w:noProof/>
        </w:rPr>
        <w:fldChar w:fldCharType="end"/>
      </w:r>
    </w:p>
    <w:p w14:paraId="365442BD" w14:textId="7052AC89" w:rsidR="00DB5B81" w:rsidRDefault="00DB5B81" w:rsidP="00D31CCC">
      <w:pPr>
        <w:pStyle w:val="TOC3"/>
        <w:rPr>
          <w:rFonts w:asciiTheme="minorHAnsi" w:eastAsiaTheme="minorEastAsia" w:hAnsiTheme="minorHAnsi" w:cstheme="minorBidi"/>
          <w:sz w:val="22"/>
          <w:szCs w:val="22"/>
          <w:lang w:val="en-US" w:eastAsia="en-US"/>
        </w:rPr>
      </w:pPr>
      <w:r>
        <w:t>UPOV/INF-EXN: Liste der UPOV/INF-EXN-Dokumente und Datum der jüngsten Ausgabe (Überarbeitung) (Dokument UPOV/INF-EXN/17 Draft 1)</w:t>
      </w:r>
      <w:r>
        <w:tab/>
      </w:r>
      <w:r>
        <w:fldChar w:fldCharType="begin"/>
      </w:r>
      <w:r>
        <w:instrText xml:space="preserve"> PAGEREF _Toc145586590 \h </w:instrText>
      </w:r>
      <w:r>
        <w:fldChar w:fldCharType="separate"/>
      </w:r>
      <w:r>
        <w:t>4</w:t>
      </w:r>
      <w:r>
        <w:fldChar w:fldCharType="end"/>
      </w:r>
    </w:p>
    <w:p w14:paraId="59911A23" w14:textId="699675E5" w:rsidR="00DB5B81" w:rsidRDefault="00DB5B81">
      <w:pPr>
        <w:pStyle w:val="TOC2"/>
        <w:rPr>
          <w:rFonts w:asciiTheme="minorHAnsi" w:eastAsiaTheme="minorEastAsia" w:hAnsiTheme="minorHAnsi" w:cstheme="minorBidi"/>
          <w:noProof/>
          <w:sz w:val="22"/>
          <w:szCs w:val="22"/>
          <w:lang w:val="en-US" w:eastAsia="en-US"/>
        </w:rPr>
      </w:pPr>
      <w:r>
        <w:rPr>
          <w:noProof/>
        </w:rPr>
        <w:t>b)</w:t>
      </w:r>
      <w:r>
        <w:rPr>
          <w:rFonts w:asciiTheme="minorHAnsi" w:eastAsiaTheme="minorEastAsia" w:hAnsiTheme="minorHAnsi" w:cstheme="minorBidi"/>
          <w:noProof/>
          <w:sz w:val="22"/>
          <w:szCs w:val="22"/>
          <w:lang w:val="en-US" w:eastAsia="en-US"/>
        </w:rPr>
        <w:tab/>
      </w:r>
      <w:r>
        <w:rPr>
          <w:noProof/>
        </w:rPr>
        <w:t>Erläuterungen:</w:t>
      </w:r>
      <w:r>
        <w:rPr>
          <w:noProof/>
        </w:rPr>
        <w:tab/>
      </w:r>
      <w:r>
        <w:rPr>
          <w:noProof/>
        </w:rPr>
        <w:fldChar w:fldCharType="begin"/>
      </w:r>
      <w:r>
        <w:rPr>
          <w:noProof/>
        </w:rPr>
        <w:instrText xml:space="preserve"> PAGEREF _Toc145586591 \h </w:instrText>
      </w:r>
      <w:r>
        <w:rPr>
          <w:noProof/>
        </w:rPr>
      </w:r>
      <w:r>
        <w:rPr>
          <w:noProof/>
        </w:rPr>
        <w:fldChar w:fldCharType="separate"/>
      </w:r>
      <w:r>
        <w:rPr>
          <w:noProof/>
        </w:rPr>
        <w:t>4</w:t>
      </w:r>
      <w:r>
        <w:rPr>
          <w:noProof/>
        </w:rPr>
        <w:fldChar w:fldCharType="end"/>
      </w:r>
    </w:p>
    <w:p w14:paraId="2EA48383" w14:textId="34400978" w:rsidR="00DB5B81" w:rsidRDefault="00DB5B81" w:rsidP="00D31CCC">
      <w:pPr>
        <w:pStyle w:val="TOC3"/>
        <w:rPr>
          <w:rFonts w:asciiTheme="minorHAnsi" w:eastAsiaTheme="minorEastAsia" w:hAnsiTheme="minorHAnsi" w:cstheme="minorBidi"/>
          <w:sz w:val="22"/>
          <w:szCs w:val="22"/>
          <w:lang w:val="en-US" w:eastAsia="en-US"/>
        </w:rPr>
      </w:pPr>
      <w:r>
        <w:t>UPOV/EXN/EDV: Erläuterungen zu den im wesentlichen abgeleiteten Sorten nach der Akte von 1991 des UPOV-Übereinkommens (Überarbeitung) (Dokumente SESSIONS/2023/2</w:t>
      </w:r>
      <w:r w:rsidRPr="003F08CD">
        <w:rPr>
          <w:rFonts w:cs="Arial"/>
          <w:snapToGrid w:val="0"/>
        </w:rPr>
        <w:t xml:space="preserve"> </w:t>
      </w:r>
      <w:r>
        <w:t>und UPOV/EXN/EDV/3 Draft 4)</w:t>
      </w:r>
      <w:r>
        <w:tab/>
      </w:r>
      <w:r>
        <w:fldChar w:fldCharType="begin"/>
      </w:r>
      <w:r>
        <w:instrText xml:space="preserve"> PAGEREF _Toc145586592 \h </w:instrText>
      </w:r>
      <w:r>
        <w:fldChar w:fldCharType="separate"/>
      </w:r>
      <w:r>
        <w:t>4</w:t>
      </w:r>
      <w:r>
        <w:fldChar w:fldCharType="end"/>
      </w:r>
    </w:p>
    <w:p w14:paraId="78560769" w14:textId="7F97AF8B" w:rsidR="00DB5B81" w:rsidRDefault="00DB5B81">
      <w:pPr>
        <w:pStyle w:val="TOC2"/>
        <w:rPr>
          <w:rFonts w:asciiTheme="minorHAnsi" w:eastAsiaTheme="minorEastAsia" w:hAnsiTheme="minorHAnsi" w:cstheme="minorBidi"/>
          <w:noProof/>
          <w:sz w:val="22"/>
          <w:szCs w:val="22"/>
          <w:lang w:val="en-US" w:eastAsia="en-US"/>
        </w:rPr>
      </w:pPr>
      <w:r>
        <w:rPr>
          <w:noProof/>
        </w:rPr>
        <w:t>c)</w:t>
      </w:r>
      <w:r>
        <w:rPr>
          <w:rFonts w:asciiTheme="minorHAnsi" w:eastAsiaTheme="minorEastAsia" w:hAnsiTheme="minorHAnsi" w:cstheme="minorBidi"/>
          <w:noProof/>
          <w:sz w:val="22"/>
          <w:szCs w:val="22"/>
          <w:lang w:val="en-US" w:eastAsia="en-US"/>
        </w:rPr>
        <w:tab/>
      </w:r>
      <w:r>
        <w:rPr>
          <w:noProof/>
        </w:rPr>
        <w:t>TGP-Dokumente</w:t>
      </w:r>
      <w:r>
        <w:rPr>
          <w:noProof/>
        </w:rPr>
        <w:tab/>
      </w:r>
      <w:r>
        <w:rPr>
          <w:noProof/>
        </w:rPr>
        <w:fldChar w:fldCharType="begin"/>
      </w:r>
      <w:r>
        <w:rPr>
          <w:noProof/>
        </w:rPr>
        <w:instrText xml:space="preserve"> PAGEREF _Toc145586593 \h </w:instrText>
      </w:r>
      <w:r>
        <w:rPr>
          <w:noProof/>
        </w:rPr>
      </w:r>
      <w:r>
        <w:rPr>
          <w:noProof/>
        </w:rPr>
        <w:fldChar w:fldCharType="separate"/>
      </w:r>
      <w:r>
        <w:rPr>
          <w:noProof/>
        </w:rPr>
        <w:t>6</w:t>
      </w:r>
      <w:r>
        <w:rPr>
          <w:noProof/>
        </w:rPr>
        <w:fldChar w:fldCharType="end"/>
      </w:r>
    </w:p>
    <w:p w14:paraId="17674AA6" w14:textId="5E9C42E3" w:rsidR="00DB5B81" w:rsidRDefault="00DB5B81" w:rsidP="00D31CCC">
      <w:pPr>
        <w:pStyle w:val="TOC3"/>
        <w:rPr>
          <w:rFonts w:asciiTheme="minorHAnsi" w:eastAsiaTheme="minorEastAsia" w:hAnsiTheme="minorHAnsi" w:cstheme="minorBidi"/>
          <w:sz w:val="22"/>
          <w:szCs w:val="22"/>
          <w:lang w:val="en-US" w:eastAsia="en-US"/>
        </w:rPr>
      </w:pPr>
      <w:r>
        <w:t>TGP</w:t>
      </w:r>
      <w:r w:rsidRPr="003F08CD">
        <w:rPr>
          <w:snapToGrid w:val="0"/>
        </w:rPr>
        <w:t>/0: „Liste der TGP-Dokumente und Datum der jüngsten Ausgabe“ (Überarbeitung) (Dokument TGP/0/15 Draft 1)</w:t>
      </w:r>
      <w:r>
        <w:tab/>
      </w:r>
      <w:r>
        <w:fldChar w:fldCharType="begin"/>
      </w:r>
      <w:r>
        <w:instrText xml:space="preserve"> PAGEREF _Toc145586594 \h </w:instrText>
      </w:r>
      <w:r>
        <w:fldChar w:fldCharType="separate"/>
      </w:r>
      <w:r>
        <w:t>6</w:t>
      </w:r>
      <w:r>
        <w:fldChar w:fldCharType="end"/>
      </w:r>
    </w:p>
    <w:p w14:paraId="70A76D63" w14:textId="58BF7493" w:rsidR="00DB5B81" w:rsidRDefault="00DB5B81">
      <w:pPr>
        <w:pStyle w:val="TOC1"/>
        <w:rPr>
          <w:rFonts w:asciiTheme="minorHAnsi" w:eastAsiaTheme="minorEastAsia" w:hAnsiTheme="minorHAnsi" w:cstheme="minorBidi"/>
          <w:caps w:val="0"/>
          <w:noProof/>
          <w:sz w:val="22"/>
          <w:szCs w:val="22"/>
          <w:lang w:val="en-US" w:eastAsia="en-US"/>
        </w:rPr>
      </w:pPr>
      <w:r>
        <w:rPr>
          <w:noProof/>
        </w:rPr>
        <w:lastRenderedPageBreak/>
        <w:t>DEM RAT ZUR ANNAHME VORGESCHLAGENE ANGELEGENHEITEN IM JAHRE 2023 – VORBEHALTLICH DER ZUSTIMMUNG DURCH DEN TECHNISCHEN AUSSCHUSS UND DEN VEWALTUNGS- UND RECHTSAUSSCHUSS</w:t>
      </w:r>
      <w:r>
        <w:rPr>
          <w:noProof/>
        </w:rPr>
        <w:tab/>
      </w:r>
      <w:r>
        <w:rPr>
          <w:noProof/>
        </w:rPr>
        <w:fldChar w:fldCharType="begin"/>
      </w:r>
      <w:r>
        <w:rPr>
          <w:noProof/>
        </w:rPr>
        <w:instrText xml:space="preserve"> PAGEREF _Toc145586595 \h </w:instrText>
      </w:r>
      <w:r>
        <w:rPr>
          <w:noProof/>
        </w:rPr>
      </w:r>
      <w:r>
        <w:rPr>
          <w:noProof/>
        </w:rPr>
        <w:fldChar w:fldCharType="separate"/>
      </w:r>
      <w:r>
        <w:rPr>
          <w:noProof/>
        </w:rPr>
        <w:t>6</w:t>
      </w:r>
      <w:r>
        <w:rPr>
          <w:noProof/>
        </w:rPr>
        <w:fldChar w:fldCharType="end"/>
      </w:r>
    </w:p>
    <w:p w14:paraId="621C59D0" w14:textId="0D98F9CA" w:rsidR="00DB5B81" w:rsidRDefault="00DB5B81">
      <w:pPr>
        <w:pStyle w:val="TOC2"/>
        <w:rPr>
          <w:rFonts w:asciiTheme="minorHAnsi" w:eastAsiaTheme="minorEastAsia" w:hAnsiTheme="minorHAnsi" w:cstheme="minorBidi"/>
          <w:noProof/>
          <w:sz w:val="22"/>
          <w:szCs w:val="22"/>
          <w:lang w:val="en-US" w:eastAsia="en-US"/>
        </w:rPr>
      </w:pPr>
      <w:r>
        <w:rPr>
          <w:noProof/>
        </w:rPr>
        <w:t>TGP-Dokumente:</w:t>
      </w:r>
      <w:r>
        <w:rPr>
          <w:noProof/>
        </w:rPr>
        <w:tab/>
      </w:r>
      <w:r>
        <w:rPr>
          <w:noProof/>
        </w:rPr>
        <w:fldChar w:fldCharType="begin"/>
      </w:r>
      <w:r>
        <w:rPr>
          <w:noProof/>
        </w:rPr>
        <w:instrText xml:space="preserve"> PAGEREF _Toc145586596 \h </w:instrText>
      </w:r>
      <w:r>
        <w:rPr>
          <w:noProof/>
        </w:rPr>
      </w:r>
      <w:r>
        <w:rPr>
          <w:noProof/>
        </w:rPr>
        <w:fldChar w:fldCharType="separate"/>
      </w:r>
      <w:r>
        <w:rPr>
          <w:noProof/>
        </w:rPr>
        <w:t>7</w:t>
      </w:r>
      <w:r>
        <w:rPr>
          <w:noProof/>
        </w:rPr>
        <w:fldChar w:fldCharType="end"/>
      </w:r>
    </w:p>
    <w:p w14:paraId="74AE5B4C" w14:textId="5C2D73A6" w:rsidR="00DB5B81" w:rsidRDefault="00DB5B81" w:rsidP="00D31CCC">
      <w:pPr>
        <w:pStyle w:val="TOC3"/>
        <w:rPr>
          <w:rFonts w:asciiTheme="minorHAnsi" w:eastAsiaTheme="minorEastAsia" w:hAnsiTheme="minorHAnsi" w:cstheme="minorBidi"/>
          <w:sz w:val="22"/>
          <w:szCs w:val="22"/>
          <w:lang w:val="en-US" w:eastAsia="en-US"/>
        </w:rPr>
      </w:pPr>
      <w:r>
        <w:t>TGP/7: Erstellung von Prüfungsrichtlinien (Überarbeitung)</w:t>
      </w:r>
      <w:r>
        <w:tab/>
      </w:r>
      <w:r>
        <w:fldChar w:fldCharType="begin"/>
      </w:r>
      <w:r>
        <w:instrText xml:space="preserve"> PAGEREF _Toc145586597 \h </w:instrText>
      </w:r>
      <w:r>
        <w:fldChar w:fldCharType="separate"/>
      </w:r>
      <w:r>
        <w:t>7</w:t>
      </w:r>
      <w:r>
        <w:fldChar w:fldCharType="end"/>
      </w:r>
    </w:p>
    <w:p w14:paraId="5FF17189" w14:textId="7F55D41F" w:rsidR="00DB5B81" w:rsidRDefault="00DB5B81">
      <w:pPr>
        <w:pStyle w:val="TOC4"/>
        <w:rPr>
          <w:rFonts w:asciiTheme="minorHAnsi" w:eastAsiaTheme="minorEastAsia" w:hAnsiTheme="minorHAnsi" w:cstheme="minorBidi"/>
          <w:noProof/>
          <w:sz w:val="22"/>
          <w:szCs w:val="22"/>
          <w:lang w:val="en-US" w:eastAsia="en-US"/>
        </w:rPr>
      </w:pPr>
      <w:r>
        <w:rPr>
          <w:noProof/>
        </w:rPr>
        <w:t>Umwandlung TGP/7, Anlage 1: TG-Aufbau und allgemeingültiger Standardwortlaut (Mustervorlage für Prüfungsrichtlinien), Absatz 4.2.2 in einen zusätzlichen Standardwortlaut (Anlage II dieses Dokuments)</w:t>
      </w:r>
      <w:r>
        <w:rPr>
          <w:noProof/>
        </w:rPr>
        <w:tab/>
      </w:r>
      <w:r>
        <w:rPr>
          <w:noProof/>
        </w:rPr>
        <w:fldChar w:fldCharType="begin"/>
      </w:r>
      <w:r>
        <w:rPr>
          <w:noProof/>
        </w:rPr>
        <w:instrText xml:space="preserve"> PAGEREF _Toc145586598 \h </w:instrText>
      </w:r>
      <w:r>
        <w:rPr>
          <w:noProof/>
        </w:rPr>
      </w:r>
      <w:r>
        <w:rPr>
          <w:noProof/>
        </w:rPr>
        <w:fldChar w:fldCharType="separate"/>
      </w:r>
      <w:r>
        <w:rPr>
          <w:noProof/>
        </w:rPr>
        <w:t>7</w:t>
      </w:r>
      <w:r>
        <w:rPr>
          <w:noProof/>
        </w:rPr>
        <w:fldChar w:fldCharType="end"/>
      </w:r>
    </w:p>
    <w:p w14:paraId="4C9D8995" w14:textId="3C69D234" w:rsidR="00DB5B81" w:rsidRDefault="00DB5B81" w:rsidP="00D31CCC">
      <w:pPr>
        <w:pStyle w:val="TOC3"/>
        <w:rPr>
          <w:rFonts w:asciiTheme="minorHAnsi" w:eastAsiaTheme="minorEastAsia" w:hAnsiTheme="minorHAnsi" w:cstheme="minorBidi"/>
          <w:sz w:val="22"/>
          <w:szCs w:val="22"/>
          <w:lang w:val="en-US" w:eastAsia="en-US"/>
        </w:rPr>
      </w:pPr>
      <w:r>
        <w:t>TGP/14: Glossar der in den UPOV-Dokumenten verwendeten Begriffe (Überarbeitung)</w:t>
      </w:r>
      <w:r>
        <w:tab/>
      </w:r>
      <w:r>
        <w:fldChar w:fldCharType="begin"/>
      </w:r>
      <w:r>
        <w:instrText xml:space="preserve"> PAGEREF _Toc145586599 \h </w:instrText>
      </w:r>
      <w:r>
        <w:fldChar w:fldCharType="separate"/>
      </w:r>
      <w:r>
        <w:t>7</w:t>
      </w:r>
      <w:r>
        <w:fldChar w:fldCharType="end"/>
      </w:r>
    </w:p>
    <w:p w14:paraId="52B3F9C9" w14:textId="5B40F31A" w:rsidR="00DB5B81" w:rsidRDefault="00DB5B81">
      <w:pPr>
        <w:pStyle w:val="TOC1"/>
        <w:rPr>
          <w:rFonts w:asciiTheme="minorHAnsi" w:eastAsiaTheme="minorEastAsia" w:hAnsiTheme="minorHAnsi" w:cstheme="minorBidi"/>
          <w:caps w:val="0"/>
          <w:noProof/>
          <w:sz w:val="22"/>
          <w:szCs w:val="22"/>
          <w:lang w:val="en-US" w:eastAsia="en-US"/>
        </w:rPr>
      </w:pPr>
      <w:r>
        <w:rPr>
          <w:noProof/>
        </w:rPr>
        <w:t>DEM RAT ZUR ANNAHME VORGESCHLAGENE ANGELEGENHEITEN IM JAHRE 2023 – VORBEHALTLICH DER ZUSTIMMUNG DURCH DEN TECHNISCHEN AUSSCHUSS UND DEN VERWALTUNGS- UND RECHTSAUSSCHUSS</w:t>
      </w:r>
      <w:r>
        <w:rPr>
          <w:noProof/>
        </w:rPr>
        <w:tab/>
      </w:r>
      <w:r>
        <w:rPr>
          <w:noProof/>
        </w:rPr>
        <w:fldChar w:fldCharType="begin"/>
      </w:r>
      <w:r>
        <w:rPr>
          <w:noProof/>
        </w:rPr>
        <w:instrText xml:space="preserve"> PAGEREF _Toc145586600 \h </w:instrText>
      </w:r>
      <w:r>
        <w:rPr>
          <w:noProof/>
        </w:rPr>
      </w:r>
      <w:r>
        <w:rPr>
          <w:noProof/>
        </w:rPr>
        <w:fldChar w:fldCharType="separate"/>
      </w:r>
      <w:r>
        <w:rPr>
          <w:noProof/>
        </w:rPr>
        <w:t>8</w:t>
      </w:r>
      <w:r>
        <w:rPr>
          <w:noProof/>
        </w:rPr>
        <w:fldChar w:fldCharType="end"/>
      </w:r>
    </w:p>
    <w:p w14:paraId="5D8279FF" w14:textId="4CB78C2F" w:rsidR="00DB5B81" w:rsidRDefault="00DB5B81">
      <w:pPr>
        <w:pStyle w:val="TOC2"/>
        <w:rPr>
          <w:rFonts w:asciiTheme="minorHAnsi" w:eastAsiaTheme="minorEastAsia" w:hAnsiTheme="minorHAnsi" w:cstheme="minorBidi"/>
          <w:noProof/>
          <w:sz w:val="22"/>
          <w:szCs w:val="22"/>
          <w:lang w:val="en-US" w:eastAsia="en-US"/>
        </w:rPr>
      </w:pPr>
      <w:r>
        <w:rPr>
          <w:noProof/>
        </w:rPr>
        <w:t>a)</w:t>
      </w:r>
      <w:r>
        <w:rPr>
          <w:rFonts w:asciiTheme="minorHAnsi" w:eastAsiaTheme="minorEastAsia" w:hAnsiTheme="minorHAnsi" w:cstheme="minorBidi"/>
          <w:noProof/>
          <w:sz w:val="22"/>
          <w:szCs w:val="22"/>
          <w:lang w:val="en-US" w:eastAsia="en-US"/>
        </w:rPr>
        <w:tab/>
      </w:r>
      <w:r>
        <w:rPr>
          <w:noProof/>
        </w:rPr>
        <w:t>Informationsdokumente:</w:t>
      </w:r>
      <w:r>
        <w:rPr>
          <w:noProof/>
        </w:rPr>
        <w:tab/>
      </w:r>
      <w:r>
        <w:rPr>
          <w:noProof/>
        </w:rPr>
        <w:fldChar w:fldCharType="begin"/>
      </w:r>
      <w:r>
        <w:rPr>
          <w:noProof/>
        </w:rPr>
        <w:instrText xml:space="preserve"> PAGEREF _Toc145586601 \h </w:instrText>
      </w:r>
      <w:r>
        <w:rPr>
          <w:noProof/>
        </w:rPr>
      </w:r>
      <w:r>
        <w:rPr>
          <w:noProof/>
        </w:rPr>
        <w:fldChar w:fldCharType="separate"/>
      </w:r>
      <w:r>
        <w:rPr>
          <w:noProof/>
        </w:rPr>
        <w:t>8</w:t>
      </w:r>
      <w:r>
        <w:rPr>
          <w:noProof/>
        </w:rPr>
        <w:fldChar w:fldCharType="end"/>
      </w:r>
    </w:p>
    <w:p w14:paraId="718F0DA4" w14:textId="0D66F07B" w:rsidR="00DB5B81" w:rsidRDefault="00DB5B81" w:rsidP="00D31CCC">
      <w:pPr>
        <w:pStyle w:val="TOC3"/>
        <w:rPr>
          <w:rFonts w:asciiTheme="minorHAnsi" w:eastAsiaTheme="minorEastAsia" w:hAnsiTheme="minorHAnsi" w:cstheme="minorBidi"/>
          <w:sz w:val="22"/>
          <w:szCs w:val="22"/>
          <w:lang w:val="en-US" w:eastAsia="en-US"/>
        </w:rPr>
      </w:pPr>
      <w:r>
        <w:t xml:space="preserve">UPOV/INF/16: Austauschbare Software (Überarbeitung) </w:t>
      </w:r>
      <w:r w:rsidRPr="003F08CD">
        <w:rPr>
          <w:snapToGrid w:val="0"/>
        </w:rPr>
        <w:t>(Dokument UPOV/INF/16/12 Draft 1)</w:t>
      </w:r>
      <w:r>
        <w:tab/>
      </w:r>
      <w:r>
        <w:fldChar w:fldCharType="begin"/>
      </w:r>
      <w:r>
        <w:instrText xml:space="preserve"> PAGEREF _Toc145586602 \h </w:instrText>
      </w:r>
      <w:r>
        <w:fldChar w:fldCharType="separate"/>
      </w:r>
      <w:r>
        <w:t>8</w:t>
      </w:r>
      <w:r>
        <w:fldChar w:fldCharType="end"/>
      </w:r>
    </w:p>
    <w:p w14:paraId="180B3CE6" w14:textId="3DFA0866" w:rsidR="00DB5B81" w:rsidRDefault="00DB5B81" w:rsidP="00D31CCC">
      <w:pPr>
        <w:pStyle w:val="TOC3"/>
        <w:rPr>
          <w:rFonts w:asciiTheme="minorHAnsi" w:eastAsiaTheme="minorEastAsia" w:hAnsiTheme="minorHAnsi" w:cstheme="minorBidi"/>
          <w:sz w:val="22"/>
          <w:szCs w:val="22"/>
          <w:lang w:val="en-US" w:eastAsia="en-US"/>
        </w:rPr>
      </w:pPr>
      <w:r>
        <w:t>UPOV/INF/22: Von Verbandsmitgliedern verwendete Software und Ausrüstung (Überarbeitung) (Dokument UPOV/INF/22/10 Draft 1)</w:t>
      </w:r>
      <w:r>
        <w:tab/>
      </w:r>
      <w:r>
        <w:fldChar w:fldCharType="begin"/>
      </w:r>
      <w:r>
        <w:instrText xml:space="preserve"> PAGEREF _Toc145586603 \h </w:instrText>
      </w:r>
      <w:r>
        <w:fldChar w:fldCharType="separate"/>
      </w:r>
      <w:r>
        <w:t>8</w:t>
      </w:r>
      <w:r>
        <w:fldChar w:fldCharType="end"/>
      </w:r>
    </w:p>
    <w:p w14:paraId="022C01D3" w14:textId="731ECC44" w:rsidR="00DB5B81" w:rsidRDefault="00DB5B81" w:rsidP="00D31CCC">
      <w:pPr>
        <w:pStyle w:val="TOC3"/>
        <w:rPr>
          <w:rFonts w:asciiTheme="minorHAnsi" w:eastAsiaTheme="minorEastAsia" w:hAnsiTheme="minorHAnsi" w:cstheme="minorBidi"/>
          <w:sz w:val="22"/>
          <w:szCs w:val="22"/>
          <w:lang w:val="en-US" w:eastAsia="en-US"/>
        </w:rPr>
      </w:pPr>
      <w:r>
        <w:t>UPOV/INF/23: UPOV-Code-System (Überarbeitung) (Dokument UPOV/INF/23/2 Draft 1)</w:t>
      </w:r>
      <w:r>
        <w:tab/>
      </w:r>
      <w:r>
        <w:fldChar w:fldCharType="begin"/>
      </w:r>
      <w:r>
        <w:instrText xml:space="preserve"> PAGEREF _Toc145586604 \h </w:instrText>
      </w:r>
      <w:r>
        <w:fldChar w:fldCharType="separate"/>
      </w:r>
      <w:r>
        <w:t>9</w:t>
      </w:r>
      <w:r>
        <w:fldChar w:fldCharType="end"/>
      </w:r>
    </w:p>
    <w:p w14:paraId="6D4EACF4" w14:textId="77D7FCC0" w:rsidR="00DB5B81" w:rsidRDefault="00DB5B81">
      <w:pPr>
        <w:pStyle w:val="TOC2"/>
        <w:rPr>
          <w:rFonts w:asciiTheme="minorHAnsi" w:eastAsiaTheme="minorEastAsia" w:hAnsiTheme="minorHAnsi" w:cstheme="minorBidi"/>
          <w:noProof/>
          <w:sz w:val="22"/>
          <w:szCs w:val="22"/>
          <w:lang w:val="en-US" w:eastAsia="en-US"/>
        </w:rPr>
      </w:pPr>
      <w:r>
        <w:rPr>
          <w:noProof/>
        </w:rPr>
        <w:t>b)</w:t>
      </w:r>
      <w:r>
        <w:rPr>
          <w:rFonts w:asciiTheme="minorHAnsi" w:eastAsiaTheme="minorEastAsia" w:hAnsiTheme="minorHAnsi" w:cstheme="minorBidi"/>
          <w:noProof/>
          <w:sz w:val="22"/>
          <w:szCs w:val="22"/>
          <w:lang w:val="en-US" w:eastAsia="en-US"/>
        </w:rPr>
        <w:tab/>
      </w:r>
      <w:r>
        <w:rPr>
          <w:noProof/>
        </w:rPr>
        <w:t>Erläuterungen:</w:t>
      </w:r>
      <w:r>
        <w:rPr>
          <w:noProof/>
        </w:rPr>
        <w:tab/>
      </w:r>
      <w:r>
        <w:rPr>
          <w:noProof/>
        </w:rPr>
        <w:fldChar w:fldCharType="begin"/>
      </w:r>
      <w:r>
        <w:rPr>
          <w:noProof/>
        </w:rPr>
        <w:instrText xml:space="preserve"> PAGEREF _Toc145586605 \h </w:instrText>
      </w:r>
      <w:r>
        <w:rPr>
          <w:noProof/>
        </w:rPr>
      </w:r>
      <w:r>
        <w:rPr>
          <w:noProof/>
        </w:rPr>
        <w:fldChar w:fldCharType="separate"/>
      </w:r>
      <w:r>
        <w:rPr>
          <w:noProof/>
        </w:rPr>
        <w:t>9</w:t>
      </w:r>
      <w:r>
        <w:rPr>
          <w:noProof/>
        </w:rPr>
        <w:fldChar w:fldCharType="end"/>
      </w:r>
    </w:p>
    <w:p w14:paraId="7E4DFA69" w14:textId="35F6E19E" w:rsidR="00DB5B81" w:rsidRDefault="00DB5B81" w:rsidP="00D31CCC">
      <w:pPr>
        <w:pStyle w:val="TOC3"/>
        <w:rPr>
          <w:rFonts w:asciiTheme="minorHAnsi" w:eastAsiaTheme="minorEastAsia" w:hAnsiTheme="minorHAnsi" w:cstheme="minorBidi"/>
          <w:sz w:val="22"/>
          <w:szCs w:val="22"/>
          <w:lang w:val="en-US" w:eastAsia="en-US"/>
        </w:rPr>
      </w:pPr>
      <w:r>
        <w:t>UPOV/EXN/DEN</w:t>
      </w:r>
      <w:r w:rsidRPr="003F08CD">
        <w:rPr>
          <w:b/>
        </w:rPr>
        <w:t xml:space="preserve">: </w:t>
      </w:r>
      <w:r>
        <w:t>Erläuterungen zu Sortenbezeichnungen nach dem UPOV-Übereinkommen (Überarbeitung) (</w:t>
      </w:r>
      <w:r w:rsidRPr="003F08CD">
        <w:rPr>
          <w:rFonts w:cs="Arial"/>
          <w:snapToGrid w:val="0"/>
        </w:rPr>
        <w:t>Anlage I dieses Dokuments)</w:t>
      </w:r>
      <w:r>
        <w:tab/>
      </w:r>
      <w:r>
        <w:fldChar w:fldCharType="begin"/>
      </w:r>
      <w:r>
        <w:instrText xml:space="preserve"> PAGEREF _Toc145586606 \h </w:instrText>
      </w:r>
      <w:r>
        <w:fldChar w:fldCharType="separate"/>
      </w:r>
      <w:r>
        <w:t>9</w:t>
      </w:r>
      <w:r>
        <w:fldChar w:fldCharType="end"/>
      </w:r>
    </w:p>
    <w:p w14:paraId="108C82F6" w14:textId="46B806DD" w:rsidR="00DB5B81" w:rsidRDefault="00DB5B81">
      <w:pPr>
        <w:pStyle w:val="TOC4"/>
        <w:rPr>
          <w:rFonts w:asciiTheme="minorHAnsi" w:eastAsiaTheme="minorEastAsia" w:hAnsiTheme="minorHAnsi" w:cstheme="minorBidi"/>
          <w:noProof/>
          <w:sz w:val="22"/>
          <w:szCs w:val="22"/>
          <w:lang w:val="en-US" w:eastAsia="en-US"/>
        </w:rPr>
      </w:pPr>
      <w:r>
        <w:rPr>
          <w:noProof/>
        </w:rPr>
        <w:t xml:space="preserve">Neue Sortenbezeichnungsklassen für </w:t>
      </w:r>
      <w:r w:rsidRPr="003F08CD">
        <w:rPr>
          <w:i/>
          <w:iCs/>
          <w:noProof/>
        </w:rPr>
        <w:t>Allium</w:t>
      </w:r>
      <w:r>
        <w:rPr>
          <w:noProof/>
        </w:rPr>
        <w:tab/>
      </w:r>
      <w:r>
        <w:rPr>
          <w:noProof/>
        </w:rPr>
        <w:fldChar w:fldCharType="begin"/>
      </w:r>
      <w:r>
        <w:rPr>
          <w:noProof/>
        </w:rPr>
        <w:instrText xml:space="preserve"> PAGEREF _Toc145586607 \h </w:instrText>
      </w:r>
      <w:r>
        <w:rPr>
          <w:noProof/>
        </w:rPr>
      </w:r>
      <w:r>
        <w:rPr>
          <w:noProof/>
        </w:rPr>
        <w:fldChar w:fldCharType="separate"/>
      </w:r>
      <w:r>
        <w:rPr>
          <w:noProof/>
        </w:rPr>
        <w:t>9</w:t>
      </w:r>
      <w:r>
        <w:rPr>
          <w:noProof/>
        </w:rPr>
        <w:fldChar w:fldCharType="end"/>
      </w:r>
    </w:p>
    <w:p w14:paraId="7988D1BC" w14:textId="26E1506A" w:rsidR="00DB5B81" w:rsidRDefault="00DB5B81">
      <w:pPr>
        <w:pStyle w:val="TOC4"/>
        <w:rPr>
          <w:rFonts w:asciiTheme="minorHAnsi" w:eastAsiaTheme="minorEastAsia" w:hAnsiTheme="minorHAnsi" w:cstheme="minorBidi"/>
          <w:noProof/>
          <w:sz w:val="22"/>
          <w:szCs w:val="22"/>
          <w:lang w:val="en-US" w:eastAsia="en-US"/>
        </w:rPr>
      </w:pPr>
      <w:r>
        <w:rPr>
          <w:noProof/>
        </w:rPr>
        <w:t xml:space="preserve">Neue Sortenbezeichnungsklassen für </w:t>
      </w:r>
      <w:r w:rsidRPr="003F08CD">
        <w:rPr>
          <w:i/>
          <w:iCs/>
          <w:noProof/>
        </w:rPr>
        <w:t>Prunus</w:t>
      </w:r>
      <w:r>
        <w:rPr>
          <w:noProof/>
        </w:rPr>
        <w:tab/>
      </w:r>
      <w:r>
        <w:rPr>
          <w:noProof/>
        </w:rPr>
        <w:fldChar w:fldCharType="begin"/>
      </w:r>
      <w:r>
        <w:rPr>
          <w:noProof/>
        </w:rPr>
        <w:instrText xml:space="preserve"> PAGEREF _Toc145586608 \h </w:instrText>
      </w:r>
      <w:r>
        <w:rPr>
          <w:noProof/>
        </w:rPr>
      </w:r>
      <w:r>
        <w:rPr>
          <w:noProof/>
        </w:rPr>
        <w:fldChar w:fldCharType="separate"/>
      </w:r>
      <w:r>
        <w:rPr>
          <w:noProof/>
        </w:rPr>
        <w:t>9</w:t>
      </w:r>
      <w:r>
        <w:rPr>
          <w:noProof/>
        </w:rPr>
        <w:fldChar w:fldCharType="end"/>
      </w:r>
    </w:p>
    <w:p w14:paraId="10E3063F" w14:textId="1FD72CD0" w:rsidR="00DB5B81" w:rsidRDefault="00DB5B81">
      <w:pPr>
        <w:pStyle w:val="TOC4"/>
        <w:rPr>
          <w:rFonts w:asciiTheme="minorHAnsi" w:eastAsiaTheme="minorEastAsia" w:hAnsiTheme="minorHAnsi" w:cstheme="minorBidi"/>
          <w:noProof/>
          <w:sz w:val="22"/>
          <w:szCs w:val="22"/>
          <w:lang w:val="en-US" w:eastAsia="en-US"/>
        </w:rPr>
      </w:pPr>
      <w:r>
        <w:rPr>
          <w:noProof/>
        </w:rPr>
        <w:t xml:space="preserve">Sortengruppen für </w:t>
      </w:r>
      <w:r w:rsidRPr="003F08CD">
        <w:rPr>
          <w:i/>
          <w:iCs/>
          <w:noProof/>
        </w:rPr>
        <w:t>Beta</w:t>
      </w:r>
      <w:r>
        <w:rPr>
          <w:noProof/>
        </w:rPr>
        <w:tab/>
      </w:r>
      <w:r>
        <w:rPr>
          <w:noProof/>
        </w:rPr>
        <w:fldChar w:fldCharType="begin"/>
      </w:r>
      <w:r>
        <w:rPr>
          <w:noProof/>
        </w:rPr>
        <w:instrText xml:space="preserve"> PAGEREF _Toc145586609 \h </w:instrText>
      </w:r>
      <w:r>
        <w:rPr>
          <w:noProof/>
        </w:rPr>
      </w:r>
      <w:r>
        <w:rPr>
          <w:noProof/>
        </w:rPr>
        <w:fldChar w:fldCharType="separate"/>
      </w:r>
      <w:r>
        <w:rPr>
          <w:noProof/>
        </w:rPr>
        <w:t>9</w:t>
      </w:r>
      <w:r>
        <w:rPr>
          <w:noProof/>
        </w:rPr>
        <w:fldChar w:fldCharType="end"/>
      </w:r>
    </w:p>
    <w:p w14:paraId="7073568E" w14:textId="7D75B9FE" w:rsidR="00DB5B81" w:rsidRDefault="00DB5B81">
      <w:pPr>
        <w:pStyle w:val="TOC2"/>
        <w:rPr>
          <w:rFonts w:asciiTheme="minorHAnsi" w:eastAsiaTheme="minorEastAsia" w:hAnsiTheme="minorHAnsi" w:cstheme="minorBidi"/>
          <w:noProof/>
          <w:sz w:val="22"/>
          <w:szCs w:val="22"/>
          <w:lang w:val="en-US" w:eastAsia="en-US"/>
        </w:rPr>
      </w:pPr>
      <w:r>
        <w:rPr>
          <w:noProof/>
        </w:rPr>
        <w:t>c)</w:t>
      </w:r>
      <w:r>
        <w:rPr>
          <w:rFonts w:asciiTheme="minorHAnsi" w:eastAsiaTheme="minorEastAsia" w:hAnsiTheme="minorHAnsi" w:cstheme="minorBidi"/>
          <w:noProof/>
          <w:sz w:val="22"/>
          <w:szCs w:val="22"/>
          <w:lang w:val="en-US" w:eastAsia="en-US"/>
        </w:rPr>
        <w:tab/>
      </w:r>
      <w:r>
        <w:rPr>
          <w:noProof/>
        </w:rPr>
        <w:t>TGP-Dokumente:</w:t>
      </w:r>
      <w:r>
        <w:rPr>
          <w:noProof/>
        </w:rPr>
        <w:tab/>
      </w:r>
      <w:r>
        <w:rPr>
          <w:noProof/>
        </w:rPr>
        <w:fldChar w:fldCharType="begin"/>
      </w:r>
      <w:r>
        <w:rPr>
          <w:noProof/>
        </w:rPr>
        <w:instrText xml:space="preserve"> PAGEREF _Toc145586610 \h </w:instrText>
      </w:r>
      <w:r>
        <w:rPr>
          <w:noProof/>
        </w:rPr>
      </w:r>
      <w:r>
        <w:rPr>
          <w:noProof/>
        </w:rPr>
        <w:fldChar w:fldCharType="separate"/>
      </w:r>
      <w:r>
        <w:rPr>
          <w:noProof/>
        </w:rPr>
        <w:t>10</w:t>
      </w:r>
      <w:r>
        <w:rPr>
          <w:noProof/>
        </w:rPr>
        <w:fldChar w:fldCharType="end"/>
      </w:r>
    </w:p>
    <w:p w14:paraId="13CC8438" w14:textId="75C074FB" w:rsidR="00DB5B81" w:rsidRDefault="00DB5B81" w:rsidP="00D31CCC">
      <w:pPr>
        <w:pStyle w:val="TOC3"/>
        <w:rPr>
          <w:rFonts w:asciiTheme="minorHAnsi" w:eastAsiaTheme="minorEastAsia" w:hAnsiTheme="minorHAnsi" w:cstheme="minorBidi"/>
          <w:sz w:val="22"/>
          <w:szCs w:val="22"/>
          <w:lang w:val="en-US" w:eastAsia="en-US"/>
        </w:rPr>
      </w:pPr>
      <w:r>
        <w:t xml:space="preserve">Dokument TGP/7 „Erstellung von Prüfungsrichtlinien“, GN 13, Absatz 3.6, (Überarbeitung): Krankheitsresistenzmerkmale: Hinzufügung von Ausprägungsstufen und Platzierung von Krankheitsresistenzmerkmalen ohne Sternchen in Abschnitt 5 des Technischen Fragebogens </w:t>
      </w:r>
      <w:r>
        <w:br/>
        <w:t>(Anlage II dieses Dokuments)</w:t>
      </w:r>
      <w:r>
        <w:tab/>
      </w:r>
      <w:r>
        <w:fldChar w:fldCharType="begin"/>
      </w:r>
      <w:r>
        <w:instrText xml:space="preserve"> PAGEREF _Toc145586611 \h </w:instrText>
      </w:r>
      <w:r>
        <w:fldChar w:fldCharType="separate"/>
      </w:r>
      <w:r>
        <w:t>10</w:t>
      </w:r>
      <w:r>
        <w:fldChar w:fldCharType="end"/>
      </w:r>
    </w:p>
    <w:p w14:paraId="27F90AEC" w14:textId="7C217D4D" w:rsidR="00DB5B81" w:rsidRDefault="00DB5B81" w:rsidP="00D31CCC">
      <w:pPr>
        <w:pStyle w:val="TOC3"/>
        <w:rPr>
          <w:rFonts w:asciiTheme="minorHAnsi" w:eastAsiaTheme="minorEastAsia" w:hAnsiTheme="minorHAnsi" w:cstheme="minorBidi"/>
          <w:sz w:val="22"/>
          <w:szCs w:val="22"/>
          <w:lang w:val="en-US" w:eastAsia="en-US"/>
        </w:rPr>
      </w:pPr>
      <w:r>
        <w:t>TGP/12: Anleitung zu bestimmten physiologischen Merkmalen (Überarbeitung): Beispiel von Krankheitsresistenzmerkmalen (vergleiche Anlage IV dieses Dokuments)</w:t>
      </w:r>
      <w:r>
        <w:tab/>
      </w:r>
      <w:r>
        <w:fldChar w:fldCharType="begin"/>
      </w:r>
      <w:r>
        <w:instrText xml:space="preserve"> PAGEREF _Toc145586612 \h </w:instrText>
      </w:r>
      <w:r>
        <w:fldChar w:fldCharType="separate"/>
      </w:r>
      <w:r>
        <w:t>10</w:t>
      </w:r>
      <w:r>
        <w:fldChar w:fldCharType="end"/>
      </w:r>
    </w:p>
    <w:p w14:paraId="1824CA84" w14:textId="1B706349" w:rsidR="00DB5B81" w:rsidRDefault="00DB5B81">
      <w:pPr>
        <w:pStyle w:val="TOC1"/>
        <w:rPr>
          <w:rFonts w:asciiTheme="minorHAnsi" w:eastAsiaTheme="minorEastAsia" w:hAnsiTheme="minorHAnsi" w:cstheme="minorBidi"/>
          <w:caps w:val="0"/>
          <w:noProof/>
          <w:sz w:val="22"/>
          <w:szCs w:val="22"/>
          <w:lang w:val="en-US" w:eastAsia="en-US"/>
        </w:rPr>
      </w:pPr>
      <w:r>
        <w:rPr>
          <w:noProof/>
        </w:rPr>
        <w:t>Dem Technischen Ausschuss zur Annahme vorgeschlagene Angelegenheiten</w:t>
      </w:r>
      <w:r>
        <w:rPr>
          <w:noProof/>
        </w:rPr>
        <w:tab/>
      </w:r>
      <w:r>
        <w:rPr>
          <w:noProof/>
        </w:rPr>
        <w:fldChar w:fldCharType="begin"/>
      </w:r>
      <w:r>
        <w:rPr>
          <w:noProof/>
        </w:rPr>
        <w:instrText xml:space="preserve"> PAGEREF _Toc145586613 \h </w:instrText>
      </w:r>
      <w:r>
        <w:rPr>
          <w:noProof/>
        </w:rPr>
      </w:r>
      <w:r>
        <w:rPr>
          <w:noProof/>
        </w:rPr>
        <w:fldChar w:fldCharType="separate"/>
      </w:r>
      <w:r>
        <w:rPr>
          <w:noProof/>
        </w:rPr>
        <w:t>11</w:t>
      </w:r>
      <w:r>
        <w:rPr>
          <w:noProof/>
        </w:rPr>
        <w:fldChar w:fldCharType="end"/>
      </w:r>
    </w:p>
    <w:p w14:paraId="5679E811" w14:textId="0BF8D12A" w:rsidR="00DB5B81" w:rsidRDefault="00DB5B81">
      <w:pPr>
        <w:pStyle w:val="TOC2"/>
        <w:rPr>
          <w:rFonts w:asciiTheme="minorHAnsi" w:eastAsiaTheme="minorEastAsia" w:hAnsiTheme="minorHAnsi" w:cstheme="minorBidi"/>
          <w:noProof/>
          <w:sz w:val="22"/>
          <w:szCs w:val="22"/>
          <w:lang w:val="en-US" w:eastAsia="en-US"/>
        </w:rPr>
      </w:pPr>
      <w:r>
        <w:rPr>
          <w:noProof/>
        </w:rPr>
        <w:t>a)</w:t>
      </w:r>
      <w:r>
        <w:rPr>
          <w:rFonts w:asciiTheme="minorHAnsi" w:eastAsiaTheme="minorEastAsia" w:hAnsiTheme="minorHAnsi" w:cstheme="minorBidi"/>
          <w:noProof/>
          <w:sz w:val="22"/>
          <w:szCs w:val="22"/>
          <w:lang w:val="en-US" w:eastAsia="en-US"/>
        </w:rPr>
        <w:tab/>
      </w:r>
      <w:r>
        <w:rPr>
          <w:noProof/>
        </w:rPr>
        <w:t>Erläuterungen:</w:t>
      </w:r>
      <w:r>
        <w:rPr>
          <w:noProof/>
        </w:rPr>
        <w:tab/>
      </w:r>
      <w:r>
        <w:rPr>
          <w:noProof/>
        </w:rPr>
        <w:fldChar w:fldCharType="begin"/>
      </w:r>
      <w:r>
        <w:rPr>
          <w:noProof/>
        </w:rPr>
        <w:instrText xml:space="preserve"> PAGEREF _Toc145586614 \h </w:instrText>
      </w:r>
      <w:r>
        <w:rPr>
          <w:noProof/>
        </w:rPr>
      </w:r>
      <w:r>
        <w:rPr>
          <w:noProof/>
        </w:rPr>
        <w:fldChar w:fldCharType="separate"/>
      </w:r>
      <w:r>
        <w:rPr>
          <w:noProof/>
        </w:rPr>
        <w:t>11</w:t>
      </w:r>
      <w:r>
        <w:rPr>
          <w:noProof/>
        </w:rPr>
        <w:fldChar w:fldCharType="end"/>
      </w:r>
    </w:p>
    <w:p w14:paraId="1DC8C445" w14:textId="6D7D4DBF" w:rsidR="00DB5B81" w:rsidRDefault="00DB5B81" w:rsidP="00D31CCC">
      <w:pPr>
        <w:pStyle w:val="TOC3"/>
        <w:rPr>
          <w:rFonts w:asciiTheme="minorHAnsi" w:eastAsiaTheme="minorEastAsia" w:hAnsiTheme="minorHAnsi" w:cstheme="minorBidi"/>
          <w:sz w:val="22"/>
          <w:szCs w:val="22"/>
          <w:lang w:val="en-US" w:eastAsia="en-US"/>
        </w:rPr>
      </w:pPr>
      <w:r>
        <w:t>UPOV/EXN/DEN</w:t>
      </w:r>
      <w:r w:rsidRPr="003F08CD">
        <w:rPr>
          <w:b/>
        </w:rPr>
        <w:t xml:space="preserve">: </w:t>
      </w:r>
      <w:r>
        <w:t>Erläuterungen zu Sortenbezeichnungen nach dem UPOV-Übereinkommen (Überarbeitung)</w:t>
      </w:r>
      <w:r>
        <w:tab/>
      </w:r>
      <w:r>
        <w:fldChar w:fldCharType="begin"/>
      </w:r>
      <w:r>
        <w:instrText xml:space="preserve"> PAGEREF _Toc145586615 \h </w:instrText>
      </w:r>
      <w:r>
        <w:fldChar w:fldCharType="separate"/>
      </w:r>
      <w:r>
        <w:t>11</w:t>
      </w:r>
      <w:r>
        <w:fldChar w:fldCharType="end"/>
      </w:r>
    </w:p>
    <w:p w14:paraId="3A1E5AB7" w14:textId="2356F0A6" w:rsidR="00DB5B81" w:rsidRDefault="00DB5B81">
      <w:pPr>
        <w:pStyle w:val="TOC4"/>
        <w:rPr>
          <w:rFonts w:asciiTheme="minorHAnsi" w:eastAsiaTheme="minorEastAsia" w:hAnsiTheme="minorHAnsi" w:cstheme="minorBidi"/>
          <w:noProof/>
          <w:sz w:val="22"/>
          <w:szCs w:val="22"/>
          <w:lang w:val="en-US" w:eastAsia="en-US"/>
        </w:rPr>
      </w:pPr>
      <w:r>
        <w:rPr>
          <w:noProof/>
        </w:rPr>
        <w:t>Änderung der Sortenbezeichnungsklassen für Brassica</w:t>
      </w:r>
      <w:r>
        <w:rPr>
          <w:noProof/>
        </w:rPr>
        <w:tab/>
      </w:r>
      <w:r>
        <w:rPr>
          <w:noProof/>
        </w:rPr>
        <w:fldChar w:fldCharType="begin"/>
      </w:r>
      <w:r>
        <w:rPr>
          <w:noProof/>
        </w:rPr>
        <w:instrText xml:space="preserve"> PAGEREF _Toc145586616 \h </w:instrText>
      </w:r>
      <w:r>
        <w:rPr>
          <w:noProof/>
        </w:rPr>
      </w:r>
      <w:r>
        <w:rPr>
          <w:noProof/>
        </w:rPr>
        <w:fldChar w:fldCharType="separate"/>
      </w:r>
      <w:r>
        <w:rPr>
          <w:noProof/>
        </w:rPr>
        <w:t>11</w:t>
      </w:r>
      <w:r>
        <w:rPr>
          <w:noProof/>
        </w:rPr>
        <w:fldChar w:fldCharType="end"/>
      </w:r>
    </w:p>
    <w:p w14:paraId="398AFB8B" w14:textId="72A3CB1D" w:rsidR="00DB5B81" w:rsidRDefault="00DB5B81">
      <w:pPr>
        <w:pStyle w:val="TOC2"/>
        <w:rPr>
          <w:rFonts w:asciiTheme="minorHAnsi" w:eastAsiaTheme="minorEastAsia" w:hAnsiTheme="minorHAnsi" w:cstheme="minorBidi"/>
          <w:noProof/>
          <w:sz w:val="22"/>
          <w:szCs w:val="22"/>
          <w:lang w:val="en-US" w:eastAsia="en-US"/>
        </w:rPr>
      </w:pPr>
      <w:r>
        <w:rPr>
          <w:noProof/>
        </w:rPr>
        <w:t>b)</w:t>
      </w:r>
      <w:r>
        <w:rPr>
          <w:rFonts w:asciiTheme="minorHAnsi" w:eastAsiaTheme="minorEastAsia" w:hAnsiTheme="minorHAnsi" w:cstheme="minorBidi"/>
          <w:noProof/>
          <w:sz w:val="22"/>
          <w:szCs w:val="22"/>
          <w:lang w:val="en-US" w:eastAsia="en-US"/>
        </w:rPr>
        <w:tab/>
      </w:r>
      <w:r>
        <w:rPr>
          <w:noProof/>
        </w:rPr>
        <w:t>TGP-Dokumente</w:t>
      </w:r>
      <w:r>
        <w:rPr>
          <w:noProof/>
        </w:rPr>
        <w:tab/>
      </w:r>
      <w:r>
        <w:rPr>
          <w:noProof/>
        </w:rPr>
        <w:fldChar w:fldCharType="begin"/>
      </w:r>
      <w:r>
        <w:rPr>
          <w:noProof/>
        </w:rPr>
        <w:instrText xml:space="preserve"> PAGEREF _Toc145586617 \h </w:instrText>
      </w:r>
      <w:r>
        <w:rPr>
          <w:noProof/>
        </w:rPr>
      </w:r>
      <w:r>
        <w:rPr>
          <w:noProof/>
        </w:rPr>
        <w:fldChar w:fldCharType="separate"/>
      </w:r>
      <w:r>
        <w:rPr>
          <w:noProof/>
        </w:rPr>
        <w:t>11</w:t>
      </w:r>
      <w:r>
        <w:rPr>
          <w:noProof/>
        </w:rPr>
        <w:fldChar w:fldCharType="end"/>
      </w:r>
    </w:p>
    <w:p w14:paraId="23E0CDE7" w14:textId="7354B505" w:rsidR="00DB5B81" w:rsidRDefault="00DB5B81" w:rsidP="00D31CCC">
      <w:pPr>
        <w:pStyle w:val="TOC3"/>
        <w:rPr>
          <w:rFonts w:asciiTheme="minorHAnsi" w:eastAsiaTheme="minorEastAsia" w:hAnsiTheme="minorHAnsi" w:cstheme="minorBidi"/>
          <w:sz w:val="22"/>
          <w:szCs w:val="22"/>
          <w:lang w:val="en-US" w:eastAsia="en-US"/>
        </w:rPr>
      </w:pPr>
      <w:r>
        <w:t>TGP/5: Abschnitt 6 „UPOV-Bericht über die technische Prüfung und UPOV-Sortenbeschreibung“ (Überarbeitung)</w:t>
      </w:r>
      <w:r>
        <w:tab/>
      </w:r>
      <w:r>
        <w:tab/>
      </w:r>
      <w:r>
        <w:fldChar w:fldCharType="begin"/>
      </w:r>
      <w:r>
        <w:instrText xml:space="preserve"> PAGEREF _Toc145586618 \h </w:instrText>
      </w:r>
      <w:r>
        <w:fldChar w:fldCharType="separate"/>
      </w:r>
      <w:r>
        <w:t>11</w:t>
      </w:r>
      <w:r>
        <w:fldChar w:fldCharType="end"/>
      </w:r>
    </w:p>
    <w:p w14:paraId="0247D88F" w14:textId="13B17A21" w:rsidR="00DB5B81" w:rsidRDefault="00DB5B81">
      <w:pPr>
        <w:pStyle w:val="TOC4"/>
        <w:rPr>
          <w:rFonts w:asciiTheme="minorHAnsi" w:eastAsiaTheme="minorEastAsia" w:hAnsiTheme="minorHAnsi" w:cstheme="minorBidi"/>
          <w:noProof/>
          <w:sz w:val="22"/>
          <w:szCs w:val="22"/>
          <w:lang w:val="en-US" w:eastAsia="en-US"/>
        </w:rPr>
      </w:pPr>
      <w:r>
        <w:rPr>
          <w:noProof/>
        </w:rPr>
        <w:t>Neue Vorschläge:</w:t>
      </w:r>
      <w:r>
        <w:rPr>
          <w:noProof/>
        </w:rPr>
        <w:tab/>
      </w:r>
      <w:r>
        <w:rPr>
          <w:noProof/>
        </w:rPr>
        <w:tab/>
      </w:r>
      <w:r>
        <w:rPr>
          <w:noProof/>
        </w:rPr>
        <w:fldChar w:fldCharType="begin"/>
      </w:r>
      <w:r>
        <w:rPr>
          <w:noProof/>
        </w:rPr>
        <w:instrText xml:space="preserve"> PAGEREF _Toc145586619 \h </w:instrText>
      </w:r>
      <w:r>
        <w:rPr>
          <w:noProof/>
        </w:rPr>
      </w:r>
      <w:r>
        <w:rPr>
          <w:noProof/>
        </w:rPr>
        <w:fldChar w:fldCharType="separate"/>
      </w:r>
      <w:r>
        <w:rPr>
          <w:noProof/>
        </w:rPr>
        <w:t>11</w:t>
      </w:r>
      <w:r>
        <w:rPr>
          <w:noProof/>
        </w:rPr>
        <w:fldChar w:fldCharType="end"/>
      </w:r>
    </w:p>
    <w:p w14:paraId="194B9DEC" w14:textId="3EABE29B" w:rsidR="00DB5B81" w:rsidRDefault="00DB5B81">
      <w:pPr>
        <w:pStyle w:val="TOC5"/>
        <w:rPr>
          <w:rFonts w:asciiTheme="minorHAnsi" w:eastAsiaTheme="minorEastAsia" w:hAnsiTheme="minorHAnsi" w:cstheme="minorBidi"/>
          <w:i w:val="0"/>
          <w:sz w:val="22"/>
          <w:szCs w:val="22"/>
          <w:lang w:val="en-US" w:eastAsia="en-US"/>
        </w:rPr>
      </w:pPr>
      <w:r>
        <w:t>UPOV-Sortenbeschreibung: Punkt 16 „Ähnliche Sorten und Unterschiede zu diesen Sorten“</w:t>
      </w:r>
      <w:r>
        <w:tab/>
      </w:r>
      <w:r>
        <w:fldChar w:fldCharType="begin"/>
      </w:r>
      <w:r>
        <w:instrText xml:space="preserve"> PAGEREF _Toc145586620 \h </w:instrText>
      </w:r>
      <w:r>
        <w:fldChar w:fldCharType="separate"/>
      </w:r>
      <w:r>
        <w:t>11</w:t>
      </w:r>
      <w:r>
        <w:fldChar w:fldCharType="end"/>
      </w:r>
    </w:p>
    <w:p w14:paraId="04F63484" w14:textId="174148BF" w:rsidR="00DB5B81" w:rsidRDefault="00DB5B81">
      <w:pPr>
        <w:pStyle w:val="TOC5"/>
        <w:rPr>
          <w:rFonts w:asciiTheme="minorHAnsi" w:eastAsiaTheme="minorEastAsia" w:hAnsiTheme="minorHAnsi" w:cstheme="minorBidi"/>
          <w:i w:val="0"/>
          <w:sz w:val="22"/>
          <w:szCs w:val="22"/>
          <w:lang w:val="en-US" w:eastAsia="en-US"/>
        </w:rPr>
      </w:pPr>
      <w:r>
        <w:t>UPOV-Sortenbeschreibung: Punkt 17 „Zusätzliche Informationen“</w:t>
      </w:r>
      <w:r>
        <w:tab/>
      </w:r>
      <w:r>
        <w:fldChar w:fldCharType="begin"/>
      </w:r>
      <w:r>
        <w:instrText xml:space="preserve"> PAGEREF _Toc145586621 \h </w:instrText>
      </w:r>
      <w:r>
        <w:fldChar w:fldCharType="separate"/>
      </w:r>
      <w:r>
        <w:t>11</w:t>
      </w:r>
      <w:r>
        <w:fldChar w:fldCharType="end"/>
      </w:r>
    </w:p>
    <w:p w14:paraId="744964E5" w14:textId="1AA6FA77" w:rsidR="00DB5B81" w:rsidRDefault="00DB5B81" w:rsidP="00D31CCC">
      <w:pPr>
        <w:pStyle w:val="TOC3"/>
        <w:rPr>
          <w:rFonts w:asciiTheme="minorHAnsi" w:eastAsiaTheme="minorEastAsia" w:hAnsiTheme="minorHAnsi" w:cstheme="minorBidi"/>
          <w:sz w:val="22"/>
          <w:szCs w:val="22"/>
          <w:lang w:val="en-US" w:eastAsia="en-US"/>
        </w:rPr>
      </w:pPr>
      <w:r w:rsidRPr="003F08CD">
        <w:rPr>
          <w:rFonts w:eastAsia="Cambria"/>
        </w:rPr>
        <w:t>TGP/5: Abschnitt 11 „Beispiele für Verfahren und Verträge bezüglich des vom Züchter eingereichten Materials“ (Überarbeitung)</w:t>
      </w:r>
      <w:r>
        <w:tab/>
      </w:r>
      <w:r>
        <w:tab/>
      </w:r>
      <w:r>
        <w:fldChar w:fldCharType="begin"/>
      </w:r>
      <w:r>
        <w:instrText xml:space="preserve"> PAGEREF _Toc145586622 \h </w:instrText>
      </w:r>
      <w:r>
        <w:fldChar w:fldCharType="separate"/>
      </w:r>
      <w:r>
        <w:t>12</w:t>
      </w:r>
      <w:r>
        <w:fldChar w:fldCharType="end"/>
      </w:r>
    </w:p>
    <w:p w14:paraId="3EB0A731" w14:textId="209702B0" w:rsidR="00DB5B81" w:rsidRDefault="00DB5B81" w:rsidP="00D31CCC">
      <w:pPr>
        <w:pStyle w:val="TOC3"/>
        <w:rPr>
          <w:rFonts w:asciiTheme="minorHAnsi" w:eastAsiaTheme="minorEastAsia" w:hAnsiTheme="minorHAnsi" w:cstheme="minorBidi"/>
          <w:sz w:val="22"/>
          <w:szCs w:val="22"/>
          <w:lang w:val="en-US" w:eastAsia="en-US"/>
        </w:rPr>
      </w:pPr>
      <w:r>
        <w:t>TGP/7: Erstellung von Prüfungsrichtlinien (Überarbeitung)</w:t>
      </w:r>
      <w:r>
        <w:tab/>
      </w:r>
      <w:r>
        <w:fldChar w:fldCharType="begin"/>
      </w:r>
      <w:r>
        <w:instrText xml:space="preserve"> PAGEREF _Toc145586623 \h </w:instrText>
      </w:r>
      <w:r>
        <w:fldChar w:fldCharType="separate"/>
      </w:r>
      <w:r>
        <w:t>12</w:t>
      </w:r>
      <w:r>
        <w:fldChar w:fldCharType="end"/>
      </w:r>
    </w:p>
    <w:p w14:paraId="1A0AE256" w14:textId="78D1288D" w:rsidR="00DB5B81" w:rsidRDefault="00DB5B81">
      <w:pPr>
        <w:pStyle w:val="TOC4"/>
        <w:rPr>
          <w:rFonts w:asciiTheme="minorHAnsi" w:eastAsiaTheme="minorEastAsia" w:hAnsiTheme="minorHAnsi" w:cstheme="minorBidi"/>
          <w:noProof/>
          <w:sz w:val="22"/>
          <w:szCs w:val="22"/>
          <w:lang w:val="en-US" w:eastAsia="en-US"/>
        </w:rPr>
      </w:pPr>
      <w:r>
        <w:rPr>
          <w:noProof/>
        </w:rPr>
        <w:t>Beispielssorten für quantitative Merkmale mit Sternchen, wenn Abbildungen vorgelegt werden (vergleiche Anlage III dieses Dokuments)</w:t>
      </w:r>
      <w:r>
        <w:rPr>
          <w:noProof/>
        </w:rPr>
        <w:tab/>
      </w:r>
      <w:r>
        <w:rPr>
          <w:noProof/>
        </w:rPr>
        <w:fldChar w:fldCharType="begin"/>
      </w:r>
      <w:r>
        <w:rPr>
          <w:noProof/>
        </w:rPr>
        <w:instrText xml:space="preserve"> PAGEREF _Toc145586624 \h </w:instrText>
      </w:r>
      <w:r>
        <w:rPr>
          <w:noProof/>
        </w:rPr>
      </w:r>
      <w:r>
        <w:rPr>
          <w:noProof/>
        </w:rPr>
        <w:fldChar w:fldCharType="separate"/>
      </w:r>
      <w:r>
        <w:rPr>
          <w:noProof/>
        </w:rPr>
        <w:t>12</w:t>
      </w:r>
      <w:r>
        <w:rPr>
          <w:noProof/>
        </w:rPr>
        <w:fldChar w:fldCharType="end"/>
      </w:r>
    </w:p>
    <w:p w14:paraId="2E99C76C" w14:textId="2338268B" w:rsidR="00DB5B81" w:rsidRDefault="00DB5B81">
      <w:pPr>
        <w:pStyle w:val="TOC4"/>
        <w:rPr>
          <w:rFonts w:asciiTheme="minorHAnsi" w:eastAsiaTheme="minorEastAsia" w:hAnsiTheme="minorHAnsi" w:cstheme="minorBidi"/>
          <w:noProof/>
          <w:sz w:val="22"/>
          <w:szCs w:val="22"/>
          <w:lang w:val="en-US" w:eastAsia="en-US"/>
        </w:rPr>
      </w:pPr>
      <w:r>
        <w:rPr>
          <w:noProof/>
        </w:rPr>
        <w:t>Neue Vorschläge für eine künftige Überarbeitung von Dokument TGP/7</w:t>
      </w:r>
      <w:r>
        <w:rPr>
          <w:noProof/>
        </w:rPr>
        <w:tab/>
      </w:r>
      <w:r>
        <w:rPr>
          <w:noProof/>
        </w:rPr>
        <w:fldChar w:fldCharType="begin"/>
      </w:r>
      <w:r>
        <w:rPr>
          <w:noProof/>
        </w:rPr>
        <w:instrText xml:space="preserve"> PAGEREF _Toc145586625 \h </w:instrText>
      </w:r>
      <w:r>
        <w:rPr>
          <w:noProof/>
        </w:rPr>
      </w:r>
      <w:r>
        <w:rPr>
          <w:noProof/>
        </w:rPr>
        <w:fldChar w:fldCharType="separate"/>
      </w:r>
      <w:r>
        <w:rPr>
          <w:noProof/>
        </w:rPr>
        <w:t>12</w:t>
      </w:r>
      <w:r>
        <w:rPr>
          <w:noProof/>
        </w:rPr>
        <w:fldChar w:fldCharType="end"/>
      </w:r>
    </w:p>
    <w:p w14:paraId="5C844D54" w14:textId="3936B872" w:rsidR="00DB5B81" w:rsidRDefault="00DB5B81">
      <w:pPr>
        <w:pStyle w:val="TOC5"/>
        <w:rPr>
          <w:rFonts w:asciiTheme="minorHAnsi" w:eastAsiaTheme="minorEastAsia" w:hAnsiTheme="minorHAnsi" w:cstheme="minorBidi"/>
          <w:i w:val="0"/>
          <w:sz w:val="22"/>
          <w:szCs w:val="22"/>
          <w:lang w:val="en-US" w:eastAsia="en-US"/>
        </w:rPr>
      </w:pPr>
      <w:r>
        <w:t>ASW 3 – Erläuterung der Wachstumsperiode</w:t>
      </w:r>
      <w:r>
        <w:tab/>
      </w:r>
      <w:r>
        <w:fldChar w:fldCharType="begin"/>
      </w:r>
      <w:r>
        <w:instrText xml:space="preserve"> PAGEREF _Toc145586626 \h </w:instrText>
      </w:r>
      <w:r>
        <w:fldChar w:fldCharType="separate"/>
      </w:r>
      <w:r>
        <w:t>12</w:t>
      </w:r>
      <w:r>
        <w:fldChar w:fldCharType="end"/>
      </w:r>
    </w:p>
    <w:p w14:paraId="5A977A36" w14:textId="6E5E452E" w:rsidR="00DB5B81" w:rsidRDefault="00DB5B81">
      <w:pPr>
        <w:pStyle w:val="TOC5"/>
        <w:rPr>
          <w:rFonts w:asciiTheme="minorHAnsi" w:eastAsiaTheme="minorEastAsia" w:hAnsiTheme="minorHAnsi" w:cstheme="minorBidi"/>
          <w:i w:val="0"/>
          <w:sz w:val="22"/>
          <w:szCs w:val="22"/>
          <w:lang w:val="en-US" w:eastAsia="en-US"/>
        </w:rPr>
      </w:pPr>
      <w:r>
        <w:t>ASW 7 b) – Anzahl der zu prüfenden Pflanzen/Pflanzenteile</w:t>
      </w:r>
      <w:r>
        <w:tab/>
      </w:r>
      <w:r>
        <w:fldChar w:fldCharType="begin"/>
      </w:r>
      <w:r>
        <w:instrText xml:space="preserve"> PAGEREF _Toc145586627 \h </w:instrText>
      </w:r>
      <w:r>
        <w:fldChar w:fldCharType="separate"/>
      </w:r>
      <w:r>
        <w:t>13</w:t>
      </w:r>
      <w:r>
        <w:fldChar w:fldCharType="end"/>
      </w:r>
    </w:p>
    <w:p w14:paraId="00385CA3" w14:textId="337BF073" w:rsidR="00DB5B81" w:rsidRDefault="00DB5B81" w:rsidP="00D31CCC">
      <w:pPr>
        <w:pStyle w:val="TOC3"/>
        <w:rPr>
          <w:rFonts w:asciiTheme="minorHAnsi" w:eastAsiaTheme="minorEastAsia" w:hAnsiTheme="minorHAnsi" w:cstheme="minorBidi"/>
          <w:sz w:val="22"/>
          <w:szCs w:val="22"/>
          <w:lang w:val="en-US" w:eastAsia="en-US"/>
        </w:rPr>
      </w:pPr>
      <w:r>
        <w:t>Dokument TGP/12: „Anleitung zu bestimmten physiologischen Merkmalen”</w:t>
      </w:r>
      <w:r>
        <w:tab/>
      </w:r>
      <w:r>
        <w:fldChar w:fldCharType="begin"/>
      </w:r>
      <w:r>
        <w:instrText xml:space="preserve"> PAGEREF _Toc145586628 \h </w:instrText>
      </w:r>
      <w:r>
        <w:fldChar w:fldCharType="separate"/>
      </w:r>
      <w:r>
        <w:t>13</w:t>
      </w:r>
      <w:r>
        <w:fldChar w:fldCharType="end"/>
      </w:r>
    </w:p>
    <w:p w14:paraId="0D4685BA" w14:textId="28F2A1D3" w:rsidR="00DB5B81" w:rsidRDefault="00DB5B81">
      <w:pPr>
        <w:pStyle w:val="TOC2"/>
        <w:rPr>
          <w:rFonts w:asciiTheme="minorHAnsi" w:eastAsiaTheme="minorEastAsia" w:hAnsiTheme="minorHAnsi" w:cstheme="minorBidi"/>
          <w:noProof/>
          <w:sz w:val="22"/>
          <w:szCs w:val="22"/>
          <w:lang w:val="en-US" w:eastAsia="en-US"/>
        </w:rPr>
      </w:pPr>
      <w:r>
        <w:rPr>
          <w:noProof/>
        </w:rPr>
        <w:t>Angelegenheiten zur Information</w:t>
      </w:r>
      <w:r>
        <w:rPr>
          <w:noProof/>
        </w:rPr>
        <w:tab/>
      </w:r>
      <w:r>
        <w:rPr>
          <w:noProof/>
        </w:rPr>
        <w:fldChar w:fldCharType="begin"/>
      </w:r>
      <w:r>
        <w:rPr>
          <w:noProof/>
        </w:rPr>
        <w:instrText xml:space="preserve"> PAGEREF _Toc145586629 \h </w:instrText>
      </w:r>
      <w:r>
        <w:rPr>
          <w:noProof/>
        </w:rPr>
      </w:r>
      <w:r>
        <w:rPr>
          <w:noProof/>
        </w:rPr>
        <w:fldChar w:fldCharType="separate"/>
      </w:r>
      <w:r>
        <w:rPr>
          <w:noProof/>
        </w:rPr>
        <w:t>14</w:t>
      </w:r>
      <w:r>
        <w:rPr>
          <w:noProof/>
        </w:rPr>
        <w:fldChar w:fldCharType="end"/>
      </w:r>
    </w:p>
    <w:p w14:paraId="0386AF7E" w14:textId="6584E000" w:rsidR="009B2D47" w:rsidRPr="0088502A" w:rsidRDefault="00E85A20" w:rsidP="001672FB">
      <w:pPr>
        <w:tabs>
          <w:tab w:val="left" w:pos="2790"/>
        </w:tabs>
        <w:spacing w:before="120" w:after="120"/>
        <w:ind w:left="1138" w:hanging="1138"/>
        <w:rPr>
          <w:rFonts w:eastAsiaTheme="minorEastAsia" w:cs="Arial"/>
          <w:sz w:val="18"/>
          <w:szCs w:val="18"/>
        </w:rPr>
      </w:pPr>
      <w:r w:rsidRPr="0088502A">
        <w:rPr>
          <w:rFonts w:cs="Arial"/>
          <w:bCs/>
          <w:caps/>
          <w:noProof/>
          <w:snapToGrid w:val="0"/>
          <w:sz w:val="18"/>
          <w:highlight w:val="yellow"/>
        </w:rPr>
        <w:fldChar w:fldCharType="end"/>
      </w:r>
      <w:r>
        <w:rPr>
          <w:rFonts w:eastAsiaTheme="minorEastAsia" w:cs="Arial"/>
          <w:sz w:val="18"/>
          <w:szCs w:val="18"/>
        </w:rPr>
        <w:t>ANLAGE I:</w:t>
      </w:r>
      <w:r>
        <w:rPr>
          <w:rFonts w:eastAsiaTheme="minorEastAsia" w:cs="Arial"/>
          <w:sz w:val="18"/>
          <w:szCs w:val="18"/>
        </w:rPr>
        <w:tab/>
        <w:t>UPOV/EXN/DEN „ERLÄUTERUNGEN ZU SORTENBEZEICHNUNGEN NACH DEM UPOV-ÜBEREINKOMMEN“ (ÜBERARBEITUNG)</w:t>
      </w:r>
    </w:p>
    <w:p w14:paraId="61072001" w14:textId="2C406158" w:rsidR="005810CC" w:rsidRPr="0088502A" w:rsidRDefault="009B2D47" w:rsidP="00734B36">
      <w:pPr>
        <w:keepNext/>
        <w:keepLines/>
        <w:tabs>
          <w:tab w:val="left" w:pos="2070"/>
        </w:tabs>
        <w:spacing w:before="120"/>
        <w:ind w:left="1138" w:hanging="1138"/>
        <w:rPr>
          <w:rFonts w:eastAsiaTheme="minorEastAsia" w:cs="Arial"/>
          <w:sz w:val="18"/>
          <w:szCs w:val="18"/>
        </w:rPr>
      </w:pPr>
      <w:r>
        <w:rPr>
          <w:rFonts w:eastAsiaTheme="minorEastAsia" w:cs="Arial"/>
          <w:sz w:val="18"/>
          <w:szCs w:val="18"/>
        </w:rPr>
        <w:t>ANLAGE II:</w:t>
      </w:r>
      <w:r>
        <w:rPr>
          <w:rFonts w:eastAsiaTheme="minorEastAsia" w:cs="Arial"/>
          <w:sz w:val="18"/>
          <w:szCs w:val="18"/>
        </w:rPr>
        <w:tab/>
        <w:t>TGP/7 „ERSTELLUNG VON PRÜFUNGSRICHTLINIEN“ (ÜBERARBEITUNG):</w:t>
      </w:r>
      <w:r w:rsidR="0062652A">
        <w:rPr>
          <w:rFonts w:eastAsiaTheme="minorEastAsia" w:cs="Arial"/>
          <w:sz w:val="18"/>
          <w:szCs w:val="18"/>
        </w:rPr>
        <w:t xml:space="preserve"> </w:t>
      </w:r>
    </w:p>
    <w:p w14:paraId="6963BF25" w14:textId="38BEAB2E" w:rsidR="005810CC" w:rsidRPr="0088502A" w:rsidRDefault="005810CC" w:rsidP="00734B36">
      <w:pPr>
        <w:keepNext/>
        <w:keepLines/>
        <w:tabs>
          <w:tab w:val="left" w:pos="2070"/>
        </w:tabs>
        <w:spacing w:before="60" w:after="60"/>
        <w:ind w:left="1138" w:hanging="1138"/>
        <w:rPr>
          <w:rFonts w:eastAsiaTheme="minorEastAsia" w:cs="Arial"/>
          <w:i/>
          <w:sz w:val="18"/>
          <w:szCs w:val="18"/>
        </w:rPr>
      </w:pPr>
      <w:r>
        <w:rPr>
          <w:rFonts w:eastAsiaTheme="minorEastAsia" w:cs="Arial"/>
          <w:sz w:val="18"/>
          <w:szCs w:val="18"/>
        </w:rPr>
        <w:tab/>
      </w:r>
      <w:r>
        <w:rPr>
          <w:rFonts w:eastAsiaTheme="minorEastAsia" w:cs="Arial"/>
          <w:i/>
          <w:sz w:val="18"/>
          <w:szCs w:val="18"/>
        </w:rPr>
        <w:t>Umwandlung von Standardwortlaut für alle Prüfungsrichtlinien in optionalen Wortlaut</w:t>
      </w:r>
      <w:r w:rsidR="00542140">
        <w:rPr>
          <w:rFonts w:eastAsiaTheme="minorEastAsia" w:cs="Arial"/>
          <w:i/>
          <w:sz w:val="18"/>
          <w:szCs w:val="18"/>
        </w:rPr>
        <w:t>,</w:t>
      </w:r>
      <w:r>
        <w:rPr>
          <w:rFonts w:eastAsiaTheme="minorEastAsia" w:cs="Arial"/>
          <w:i/>
          <w:sz w:val="18"/>
          <w:szCs w:val="18"/>
        </w:rPr>
        <w:t xml:space="preserve"> </w:t>
      </w:r>
    </w:p>
    <w:p w14:paraId="32A8E727" w14:textId="77777777" w:rsidR="009B2D47" w:rsidRPr="0088502A" w:rsidRDefault="001672FB" w:rsidP="00734B36">
      <w:pPr>
        <w:keepNext/>
        <w:keepLines/>
        <w:tabs>
          <w:tab w:val="left" w:pos="2070"/>
        </w:tabs>
        <w:spacing w:before="60" w:after="60"/>
        <w:ind w:left="1138" w:hanging="1138"/>
        <w:rPr>
          <w:rFonts w:eastAsiaTheme="minorEastAsia" w:cs="Arial"/>
          <w:i/>
          <w:sz w:val="18"/>
          <w:szCs w:val="18"/>
        </w:rPr>
      </w:pPr>
      <w:r>
        <w:rPr>
          <w:rFonts w:eastAsiaTheme="minorEastAsia" w:cs="Arial"/>
          <w:i/>
          <w:sz w:val="18"/>
          <w:szCs w:val="18"/>
        </w:rPr>
        <w:tab/>
        <w:t>Krankheitsresistenzmerkmale: Hinzufügung von Ausprägungsstufen und Platzierung von Krankheitsresistenzmerkmalen ohne Sternchen in Abschnitt 5 des Technischen Fragebogens</w:t>
      </w:r>
    </w:p>
    <w:p w14:paraId="14B88E8C" w14:textId="74F456A0" w:rsidR="001672FB" w:rsidRDefault="009B2D47" w:rsidP="001672FB">
      <w:pPr>
        <w:tabs>
          <w:tab w:val="left" w:pos="2070"/>
        </w:tabs>
        <w:spacing w:before="120"/>
        <w:ind w:left="1138" w:hanging="1138"/>
        <w:rPr>
          <w:rFonts w:eastAsiaTheme="minorEastAsia" w:cs="Arial"/>
          <w:sz w:val="18"/>
          <w:szCs w:val="18"/>
        </w:rPr>
      </w:pPr>
      <w:r>
        <w:rPr>
          <w:rFonts w:eastAsiaTheme="minorEastAsia" w:cs="Arial"/>
          <w:sz w:val="18"/>
          <w:szCs w:val="18"/>
        </w:rPr>
        <w:t>ANLAGE III:</w:t>
      </w:r>
      <w:r>
        <w:rPr>
          <w:rFonts w:eastAsiaTheme="minorEastAsia" w:cs="Arial"/>
          <w:sz w:val="18"/>
          <w:szCs w:val="18"/>
        </w:rPr>
        <w:tab/>
        <w:t>MÖGLICHE KÜNFTIGE ÜBERARBEITUNG VON ANLEITUNGEN UND INFORMATIONSMATERIAL, DIE</w:t>
      </w:r>
      <w:r w:rsidR="00DB5B81">
        <w:rPr>
          <w:rFonts w:eastAsiaTheme="minorEastAsia" w:cs="Arial"/>
          <w:sz w:val="18"/>
          <w:szCs w:val="18"/>
        </w:rPr>
        <w:t> </w:t>
      </w:r>
      <w:r>
        <w:rPr>
          <w:rFonts w:eastAsiaTheme="minorEastAsia" w:cs="Arial"/>
          <w:sz w:val="18"/>
          <w:szCs w:val="18"/>
        </w:rPr>
        <w:t>IM TECHNISCHEN AUSSCHUSS ERÖRTERT WERDEN</w:t>
      </w:r>
    </w:p>
    <w:p w14:paraId="114A61A4" w14:textId="5D4931B2" w:rsidR="001B1BFE" w:rsidRPr="001B1BFE" w:rsidRDefault="001B1BFE" w:rsidP="001B1BFE">
      <w:pPr>
        <w:rPr>
          <w:rFonts w:eastAsiaTheme="minorEastAsia" w:cs="Arial"/>
          <w:i/>
          <w:iCs/>
          <w:sz w:val="18"/>
          <w:szCs w:val="18"/>
        </w:rPr>
      </w:pPr>
      <w:r>
        <w:rPr>
          <w:rFonts w:eastAsiaTheme="minorEastAsia" w:cs="Arial"/>
          <w:i/>
          <w:iCs/>
          <w:sz w:val="18"/>
          <w:szCs w:val="18"/>
        </w:rPr>
        <w:tab/>
      </w:r>
      <w:r>
        <w:rPr>
          <w:rFonts w:eastAsiaTheme="minorEastAsia" w:cs="Arial"/>
          <w:i/>
          <w:iCs/>
          <w:sz w:val="18"/>
          <w:szCs w:val="18"/>
        </w:rPr>
        <w:tab/>
        <w:t>Änderung der Sortenbezeichnungsklassen für Brassica</w:t>
      </w:r>
    </w:p>
    <w:p w14:paraId="6E7AA5BA" w14:textId="04A4F3C2" w:rsidR="001B1BFE" w:rsidRDefault="001B1BFE" w:rsidP="001B1BFE">
      <w:pPr>
        <w:tabs>
          <w:tab w:val="left" w:pos="2070"/>
        </w:tabs>
        <w:ind w:left="1138" w:hanging="1138"/>
        <w:rPr>
          <w:rFonts w:eastAsiaTheme="minorEastAsia" w:cs="Arial"/>
          <w:i/>
          <w:iCs/>
          <w:sz w:val="18"/>
          <w:szCs w:val="18"/>
        </w:rPr>
      </w:pPr>
      <w:r>
        <w:rPr>
          <w:rFonts w:eastAsiaTheme="minorEastAsia" w:cs="Arial"/>
          <w:sz w:val="18"/>
          <w:szCs w:val="18"/>
        </w:rPr>
        <w:tab/>
      </w:r>
      <w:r>
        <w:rPr>
          <w:rFonts w:eastAsiaTheme="minorEastAsia" w:cs="Arial"/>
          <w:i/>
          <w:iCs/>
          <w:sz w:val="18"/>
          <w:szCs w:val="18"/>
        </w:rPr>
        <w:t>Neue Vorschläge zur „Änderung UPOV</w:t>
      </w:r>
      <w:r>
        <w:rPr>
          <w:rFonts w:eastAsiaTheme="minorEastAsia" w:cs="Arial"/>
          <w:i/>
          <w:iCs/>
          <w:sz w:val="18"/>
          <w:szCs w:val="18"/>
        </w:rPr>
        <w:noBreakHyphen/>
        <w:t>Sortenbeschreibung“</w:t>
      </w:r>
    </w:p>
    <w:p w14:paraId="472810D9" w14:textId="3374A223" w:rsidR="001B1BFE" w:rsidRDefault="001B1BFE" w:rsidP="001B1BFE">
      <w:pPr>
        <w:tabs>
          <w:tab w:val="left" w:pos="2070"/>
        </w:tabs>
        <w:ind w:left="1138" w:hanging="1138"/>
        <w:rPr>
          <w:rFonts w:eastAsiaTheme="minorEastAsia" w:cs="Arial"/>
          <w:i/>
          <w:iCs/>
          <w:sz w:val="18"/>
          <w:szCs w:val="18"/>
        </w:rPr>
      </w:pPr>
      <w:r>
        <w:rPr>
          <w:rFonts w:eastAsiaTheme="minorEastAsia" w:cs="Arial"/>
          <w:i/>
          <w:iCs/>
          <w:sz w:val="18"/>
          <w:szCs w:val="18"/>
        </w:rPr>
        <w:tab/>
        <w:t>Zugang zu Pflanzenmaterial zum Zweck der Verwaltung von Sortensammlungen und der DUS-Prüfung</w:t>
      </w:r>
    </w:p>
    <w:p w14:paraId="1C7CEF69" w14:textId="0969D197" w:rsidR="001B1BFE" w:rsidRDefault="001B1BFE" w:rsidP="001B1BFE">
      <w:pPr>
        <w:tabs>
          <w:tab w:val="left" w:pos="2070"/>
        </w:tabs>
        <w:ind w:left="1138" w:hanging="1138"/>
        <w:rPr>
          <w:rFonts w:eastAsiaTheme="minorEastAsia" w:cs="Arial"/>
          <w:i/>
          <w:iCs/>
          <w:sz w:val="18"/>
          <w:szCs w:val="18"/>
        </w:rPr>
      </w:pPr>
      <w:r>
        <w:rPr>
          <w:rFonts w:eastAsiaTheme="minorEastAsia" w:cs="Arial"/>
          <w:i/>
          <w:iCs/>
          <w:sz w:val="18"/>
          <w:szCs w:val="18"/>
        </w:rPr>
        <w:tab/>
        <w:t>Beispielssorten für quantitative Merkmale mit Sternchen, wenn Abbildungen vorgelegt werden</w:t>
      </w:r>
    </w:p>
    <w:p w14:paraId="0741605D" w14:textId="77777777" w:rsidR="009B2D47" w:rsidRPr="0088502A" w:rsidRDefault="009B2D47" w:rsidP="001672FB">
      <w:pPr>
        <w:tabs>
          <w:tab w:val="left" w:pos="1170"/>
          <w:tab w:val="left" w:pos="2070"/>
        </w:tabs>
        <w:spacing w:before="120" w:after="60"/>
        <w:rPr>
          <w:rFonts w:eastAsiaTheme="minorEastAsia" w:cs="Arial"/>
          <w:sz w:val="18"/>
          <w:szCs w:val="18"/>
        </w:rPr>
      </w:pPr>
      <w:r>
        <w:rPr>
          <w:rFonts w:eastAsiaTheme="minorEastAsia" w:cs="Arial"/>
          <w:sz w:val="18"/>
          <w:szCs w:val="18"/>
        </w:rPr>
        <w:t>ANLAGE IV:</w:t>
      </w:r>
      <w:r>
        <w:rPr>
          <w:rFonts w:eastAsiaTheme="minorEastAsia" w:cs="Arial"/>
          <w:sz w:val="18"/>
          <w:szCs w:val="18"/>
        </w:rPr>
        <w:tab/>
        <w:t>TGP/12 „ANLEITUNG ZU BESTIMMTEN PHYSIOLOGISCHEN MERKMALEN“ (ÜBERARBEITUNG)</w:t>
      </w:r>
    </w:p>
    <w:p w14:paraId="721A788B" w14:textId="77777777" w:rsidR="00E54EAA" w:rsidRPr="0088502A" w:rsidRDefault="00E54EAA" w:rsidP="006F28F6">
      <w:pPr>
        <w:pStyle w:val="Heading1"/>
      </w:pPr>
      <w:bookmarkStart w:id="1" w:name="_Toc145586587"/>
      <w:r>
        <w:lastRenderedPageBreak/>
        <w:t>Hintergrund</w:t>
      </w:r>
      <w:bookmarkEnd w:id="1"/>
    </w:p>
    <w:p w14:paraId="7C8F6580" w14:textId="77777777" w:rsidR="00E54EAA" w:rsidRPr="0088502A" w:rsidRDefault="00E54EAA" w:rsidP="00E54EAA">
      <w:pPr>
        <w:keepNext/>
        <w:jc w:val="left"/>
        <w:rPr>
          <w:rFonts w:cs="Arial"/>
          <w:color w:val="000000"/>
        </w:rPr>
      </w:pPr>
    </w:p>
    <w:p w14:paraId="2435ED31" w14:textId="739F41B5" w:rsidR="00E54EAA" w:rsidRPr="0088502A" w:rsidRDefault="00E54EAA" w:rsidP="00E54EAA">
      <w:r w:rsidRPr="0088502A">
        <w:fldChar w:fldCharType="begin"/>
      </w:r>
      <w:r w:rsidRPr="0088502A">
        <w:instrText xml:space="preserve"> AUTONUM  </w:instrText>
      </w:r>
      <w:r w:rsidRPr="0088502A">
        <w:fldChar w:fldCharType="end"/>
      </w:r>
      <w:r>
        <w:tab/>
        <w:t>Das gebilligte Anleitungs- und Informationsmaterial wird auf der UPOV-Website veröffentlicht unter:</w:t>
      </w:r>
      <w:r w:rsidR="0062652A">
        <w:t xml:space="preserve"> </w:t>
      </w:r>
    </w:p>
    <w:p w14:paraId="43D936DC" w14:textId="77777777" w:rsidR="00050E16" w:rsidRPr="0088502A" w:rsidRDefault="001A4E8A" w:rsidP="00E54EAA">
      <w:hyperlink r:id="rId9" w:history="1">
        <w:r w:rsidR="00C83CED">
          <w:rPr>
            <w:rStyle w:val="Hyperlink"/>
          </w:rPr>
          <w:t>https://www.upov.int/upov_collection/de</w:t>
        </w:r>
      </w:hyperlink>
      <w:r w:rsidR="00C83CED">
        <w:t>.</w:t>
      </w:r>
    </w:p>
    <w:p w14:paraId="334A0881" w14:textId="48FCB71F" w:rsidR="0088502A" w:rsidRPr="0088502A" w:rsidRDefault="0088502A" w:rsidP="006F28F6">
      <w:pPr>
        <w:pStyle w:val="Heading1"/>
      </w:pPr>
      <w:bookmarkStart w:id="2" w:name="_Toc145586588"/>
      <w:r>
        <w:t>DEM RAT ZU ANNAHME VORGESCHLAGENE ANGELEGENHEITEN IM JAHR 2023</w:t>
      </w:r>
      <w:bookmarkEnd w:id="2"/>
    </w:p>
    <w:p w14:paraId="3A351B59" w14:textId="77777777" w:rsidR="0088502A" w:rsidRPr="0088502A" w:rsidRDefault="0088502A" w:rsidP="0088502A">
      <w:pPr>
        <w:keepNext/>
        <w:rPr>
          <w:sz w:val="18"/>
        </w:rPr>
      </w:pPr>
    </w:p>
    <w:p w14:paraId="2267010C" w14:textId="77777777" w:rsidR="0088502A" w:rsidRPr="0088502A" w:rsidRDefault="0088502A" w:rsidP="000B0E8D">
      <w:pPr>
        <w:pStyle w:val="Heading2"/>
      </w:pPr>
      <w:bookmarkStart w:id="3" w:name="_Toc145586589"/>
      <w:r>
        <w:t>a)</w:t>
      </w:r>
      <w:r>
        <w:tab/>
        <w:t>Informationsdokumente:</w:t>
      </w:r>
      <w:bookmarkEnd w:id="3"/>
    </w:p>
    <w:p w14:paraId="649FE96C" w14:textId="77777777" w:rsidR="0088502A" w:rsidRPr="0088502A" w:rsidRDefault="0088502A" w:rsidP="0088502A">
      <w:pPr>
        <w:keepNext/>
        <w:rPr>
          <w:sz w:val="18"/>
        </w:rPr>
      </w:pPr>
    </w:p>
    <w:p w14:paraId="65CAB9AF" w14:textId="300EDFC6" w:rsidR="0088502A" w:rsidRPr="0088502A" w:rsidRDefault="0088502A" w:rsidP="000B0E8D">
      <w:pPr>
        <w:pStyle w:val="Heading3"/>
      </w:pPr>
      <w:bookmarkStart w:id="4" w:name="_Toc145586590"/>
      <w:r>
        <w:t>UPOV/INF-EX</w:t>
      </w:r>
      <w:r w:rsidR="000B0E8D">
        <w:t xml:space="preserve">N: </w:t>
      </w:r>
      <w:r>
        <w:t>Liste der UPOV/INF-EXN-Dokumente und Datum der jüngsten Ausgabe (Überarbeitung)</w:t>
      </w:r>
      <w:r>
        <w:br/>
        <w:t>(Dokument UPOV/INF-EXN/17 Draft 1)</w:t>
      </w:r>
      <w:bookmarkEnd w:id="4"/>
    </w:p>
    <w:p w14:paraId="2D426C88" w14:textId="77777777" w:rsidR="0088502A" w:rsidRPr="0088502A" w:rsidRDefault="0088502A" w:rsidP="0088502A">
      <w:pPr>
        <w:rPr>
          <w:sz w:val="16"/>
        </w:rPr>
      </w:pPr>
    </w:p>
    <w:p w14:paraId="684A5DD8" w14:textId="237420BB" w:rsidR="0088502A" w:rsidRPr="0088502A" w:rsidRDefault="0088502A" w:rsidP="0088502A">
      <w:r w:rsidRPr="0088502A">
        <w:fldChar w:fldCharType="begin"/>
      </w:r>
      <w:r w:rsidRPr="0088502A">
        <w:instrText xml:space="preserve"> AUTONUM  </w:instrText>
      </w:r>
      <w:r w:rsidRPr="0088502A">
        <w:fldChar w:fldCharType="end"/>
      </w:r>
      <w:r>
        <w:tab/>
        <w:t>In Verbindung mit den Informationsdokumenten, um deren Annahme der Rat 2023 ersucht wird, wird vorgeschlagen, eine Überarbeitung des Dokuments UPOV/INF-EXN/16 „Liste der UPOV/INF</w:t>
      </w:r>
      <w:r>
        <w:noBreakHyphen/>
        <w:t>EXN</w:t>
      </w:r>
      <w:r>
        <w:noBreakHyphen/>
        <w:t xml:space="preserve">Dokumente und Datum der jüngsten </w:t>
      </w:r>
      <w:r w:rsidR="009D3FD4">
        <w:t>Ausgabe</w:t>
      </w:r>
      <w:r>
        <w:t>“, auf Grundlage des Dokuments UPOV/INF</w:t>
      </w:r>
      <w:r w:rsidR="000B0E8D">
        <w:noBreakHyphen/>
      </w:r>
      <w:r>
        <w:t>EXN/17 Draft 1, anzunehmen.</w:t>
      </w:r>
    </w:p>
    <w:p w14:paraId="07FF0967" w14:textId="77777777" w:rsidR="0088502A" w:rsidRPr="0088502A" w:rsidRDefault="0088502A" w:rsidP="0088502A">
      <w:pPr>
        <w:rPr>
          <w:sz w:val="16"/>
        </w:rPr>
      </w:pPr>
    </w:p>
    <w:p w14:paraId="5E187767" w14:textId="77777777" w:rsidR="0088502A" w:rsidRPr="0088502A" w:rsidRDefault="0088502A" w:rsidP="000C4286">
      <w:pPr>
        <w:keepLines/>
        <w:tabs>
          <w:tab w:val="left" w:pos="5387"/>
        </w:tabs>
        <w:ind w:left="4867"/>
        <w:rPr>
          <w:i/>
        </w:rPr>
      </w:pPr>
      <w:r w:rsidRPr="0088502A">
        <w:rPr>
          <w:i/>
        </w:rPr>
        <w:fldChar w:fldCharType="begin"/>
      </w:r>
      <w:r w:rsidRPr="0088502A">
        <w:rPr>
          <w:i/>
        </w:rPr>
        <w:instrText xml:space="preserve"> AUTONUM  </w:instrText>
      </w:r>
      <w:r w:rsidRPr="0088502A">
        <w:rPr>
          <w:i/>
        </w:rPr>
        <w:fldChar w:fldCharType="end"/>
      </w:r>
      <w:r>
        <w:rPr>
          <w:i/>
        </w:rPr>
        <w:tab/>
        <w:t>Der Rat wird ersucht, eine Überarbeitung des Dokuments UPOV/INF</w:t>
      </w:r>
      <w:r>
        <w:rPr>
          <w:i/>
        </w:rPr>
        <w:noBreakHyphen/>
        <w:t xml:space="preserve">EXN/16 auf der Grundlage von Dokument UPOV/INF-EXN/17 Draft 1 anzunehmen, vorbehaltlich der Annahme der betreffenden Dokumente. </w:t>
      </w:r>
    </w:p>
    <w:p w14:paraId="6BA99317" w14:textId="77777777" w:rsidR="0088502A" w:rsidRPr="000B0E8D" w:rsidRDefault="0088502A" w:rsidP="000B0E8D"/>
    <w:p w14:paraId="637CD00A" w14:textId="77777777" w:rsidR="0088502A" w:rsidRPr="000B0E8D" w:rsidRDefault="0088502A" w:rsidP="000B0E8D"/>
    <w:p w14:paraId="4646050C" w14:textId="77777777" w:rsidR="0088502A" w:rsidRPr="0088502A" w:rsidRDefault="0088502A" w:rsidP="000B0E8D">
      <w:pPr>
        <w:pStyle w:val="Heading2"/>
      </w:pPr>
      <w:bookmarkStart w:id="5" w:name="_Toc145586591"/>
      <w:r>
        <w:t>b)</w:t>
      </w:r>
      <w:r>
        <w:tab/>
        <w:t>Erläuterungen:</w:t>
      </w:r>
      <w:bookmarkEnd w:id="5"/>
    </w:p>
    <w:p w14:paraId="073C690A" w14:textId="77777777" w:rsidR="0088502A" w:rsidRPr="0088502A" w:rsidRDefault="0088502A" w:rsidP="0088502A">
      <w:pPr>
        <w:keepNext/>
        <w:rPr>
          <w:sz w:val="18"/>
        </w:rPr>
      </w:pPr>
    </w:p>
    <w:p w14:paraId="339669A5" w14:textId="352AAA7D" w:rsidR="0088502A" w:rsidRPr="0088502A" w:rsidRDefault="0088502A" w:rsidP="000B0E8D">
      <w:pPr>
        <w:pStyle w:val="Heading3"/>
      </w:pPr>
      <w:bookmarkStart w:id="6" w:name="_Toc145586592"/>
      <w:r>
        <w:t>UPOV/EXN/EDV</w:t>
      </w:r>
      <w:r w:rsidR="000B0E8D">
        <w:t xml:space="preserve">: </w:t>
      </w:r>
      <w:r>
        <w:t>Erläuterungen zu den im wesentlichen abgeleiteten Sorten nach der Akte von 1991 des UPOV-Übereinkommens (Überarbeitung) (Dokumente SESSIONS/2023/2</w:t>
      </w:r>
      <w:r>
        <w:rPr>
          <w:rFonts w:cs="Arial"/>
          <w:snapToGrid w:val="0"/>
        </w:rPr>
        <w:t xml:space="preserve"> </w:t>
      </w:r>
      <w:r>
        <w:t>und UPOV/EXN/EDV/3 Draft 4)</w:t>
      </w:r>
      <w:bookmarkEnd w:id="6"/>
    </w:p>
    <w:p w14:paraId="2C5F9D95" w14:textId="77777777" w:rsidR="0088502A" w:rsidRPr="0088502A" w:rsidRDefault="0088502A" w:rsidP="0088502A">
      <w:pPr>
        <w:rPr>
          <w:sz w:val="16"/>
        </w:rPr>
      </w:pPr>
    </w:p>
    <w:p w14:paraId="6B2D3145" w14:textId="77777777" w:rsidR="0088502A" w:rsidRPr="0088502A" w:rsidRDefault="0088502A" w:rsidP="0088502A">
      <w:r w:rsidRPr="0088502A">
        <w:fldChar w:fldCharType="begin"/>
      </w:r>
      <w:r w:rsidRPr="0088502A">
        <w:instrText xml:space="preserve"> AUTONUM  </w:instrText>
      </w:r>
      <w:r w:rsidRPr="0088502A">
        <w:fldChar w:fldCharType="end"/>
      </w:r>
      <w:r>
        <w:tab/>
        <w:t xml:space="preserve">Den Hintergrund zu diesem Tagesordnungspunkt liefert Dokument C/56/9 „Erläuterungen zu den im wesentlichen abgeleiteten Sorten nach der Akte von 1991 des UPOV-Übereinkommens“, Absätze 4 bis 14. </w:t>
      </w:r>
    </w:p>
    <w:p w14:paraId="3FC82398" w14:textId="77777777" w:rsidR="0088502A" w:rsidRPr="0088502A" w:rsidRDefault="0088502A" w:rsidP="0088502A">
      <w:pPr>
        <w:rPr>
          <w:sz w:val="18"/>
          <w:szCs w:val="18"/>
        </w:rPr>
      </w:pPr>
    </w:p>
    <w:p w14:paraId="7C0A5E0C" w14:textId="77777777" w:rsidR="0088502A" w:rsidRPr="0088502A" w:rsidRDefault="0088502A" w:rsidP="0088502A">
      <w:pPr>
        <w:keepLines/>
      </w:pPr>
      <w:r w:rsidRPr="0088502A">
        <w:fldChar w:fldCharType="begin"/>
      </w:r>
      <w:r w:rsidRPr="0088502A">
        <w:instrText xml:space="preserve"> AUTONUM  </w:instrText>
      </w:r>
      <w:r w:rsidRPr="0088502A">
        <w:fldChar w:fldCharType="end"/>
      </w:r>
      <w:r>
        <w:tab/>
        <w:t>Der Rat nahm auf seiner sechsundfünfzigsten ordentlichen Tagung</w:t>
      </w:r>
      <w:bookmarkStart w:id="7" w:name="_Ref139016943"/>
      <w:r>
        <w:rPr>
          <w:rStyle w:val="FootnoteReference"/>
        </w:rPr>
        <w:footnoteReference w:id="2"/>
      </w:r>
      <w:bookmarkEnd w:id="7"/>
      <w:r>
        <w:t xml:space="preserve"> zur Kenntnis, dass der Beratende Ausschuss auf seiner neunundneunzigsten Tagung</w:t>
      </w:r>
      <w:bookmarkStart w:id="8" w:name="_Ref145585686"/>
      <w:r>
        <w:rPr>
          <w:rStyle w:val="FootnoteReference"/>
        </w:rPr>
        <w:footnoteReference w:id="3"/>
      </w:r>
      <w:bookmarkEnd w:id="8"/>
      <w:r>
        <w:t xml:space="preserve"> vereinbart hatte, eine Arbeitsgruppe des Beratenden Ausschusses für im wesentlichen abgeleitete Sorten (CC/WG-EDV) einzurichten, um den Entwurf einer Überarbeitung der „Erläuterungen zu den im wesentlichen abgeleiteten Sorten nach der Akte von 1991 des UPOV-Übereinkommens“ zur Prüfung durch den Beratenden Ausschuss und den Rat im Oktober 2023 vorzubereiten (vergleiche Dokument CC/56/15 „Bericht“, Absätze 33 bis 35). </w:t>
      </w:r>
    </w:p>
    <w:p w14:paraId="34C6FEC7" w14:textId="77777777" w:rsidR="0088502A" w:rsidRPr="0088502A" w:rsidRDefault="0088502A" w:rsidP="0088502A">
      <w:pPr>
        <w:keepLines/>
        <w:rPr>
          <w:sz w:val="18"/>
          <w:szCs w:val="18"/>
        </w:rPr>
      </w:pPr>
    </w:p>
    <w:p w14:paraId="5128DB0E" w14:textId="0A6251CE" w:rsidR="0088502A" w:rsidRPr="0088502A" w:rsidRDefault="0088502A" w:rsidP="00232B25">
      <w:r w:rsidRPr="0088502A">
        <w:fldChar w:fldCharType="begin"/>
      </w:r>
      <w:r w:rsidRPr="0088502A">
        <w:instrText xml:space="preserve"> AUTONUM  </w:instrText>
      </w:r>
      <w:r w:rsidRPr="0088502A">
        <w:fldChar w:fldCharType="end"/>
      </w:r>
      <w:r>
        <w:tab/>
        <w:t xml:space="preserve">In Übereinstimmung mit der Aufgabendefinition musste die CC/WG-EDV „bis 31. Juli 2023 einen vereinbarten Entwurf für eine Überarbeitung der </w:t>
      </w:r>
      <w:r w:rsidR="00232B25">
        <w:t>„</w:t>
      </w:r>
      <w:r>
        <w:t>Erläuterungen zu den im wesentlichen abgeleiteten Sorten nach der Akte von 1991 des UPOV-Übereinkommens</w:t>
      </w:r>
      <w:r w:rsidR="00232B25">
        <w:t>“</w:t>
      </w:r>
      <w:r>
        <w:t xml:space="preserve"> (Dokument UPOV/EXN/EDV/3 Draft 4) vorbereiten.“</w:t>
      </w:r>
    </w:p>
    <w:p w14:paraId="27687BDC" w14:textId="77777777" w:rsidR="0088502A" w:rsidRPr="0088502A" w:rsidRDefault="0088502A" w:rsidP="0088502A">
      <w:pPr>
        <w:rPr>
          <w:sz w:val="18"/>
          <w:szCs w:val="18"/>
        </w:rPr>
      </w:pPr>
    </w:p>
    <w:p w14:paraId="6E645D3E" w14:textId="69BA5F1A" w:rsidR="0088502A" w:rsidRPr="0088502A" w:rsidRDefault="0088502A" w:rsidP="0088502A">
      <w:r w:rsidRPr="0088502A">
        <w:fldChar w:fldCharType="begin"/>
      </w:r>
      <w:r w:rsidRPr="0088502A">
        <w:instrText xml:space="preserve"> AUTONUM  </w:instrText>
      </w:r>
      <w:r w:rsidRPr="0088502A">
        <w:fldChar w:fldCharType="end"/>
      </w:r>
      <w:r>
        <w:tab/>
        <w:t xml:space="preserve">Der Rat nahm zur Kenntnis, dass der Beratende Ausschuss vereinbart habe, auf seiner einhundertersten Tagung das Ergebnis der CC/WG-EDV zu prüfen und dem Rat auf seiner siebenundfünfzigsten ordentlichen Tagung eine Empfehlung </w:t>
      </w:r>
      <w:r w:rsidR="00071D8E">
        <w:t>für</w:t>
      </w:r>
      <w:r>
        <w:t xml:space="preserve"> die Ersetzung oder die Aufhebung der „Erläuterungen zu den im wesentlichen abgeleiteten Sorten nach der Akte von 1991 des UPOV-Übereinkommens“ in der Fassung von 2017 abzugeben. </w:t>
      </w:r>
    </w:p>
    <w:p w14:paraId="1B5A07D1" w14:textId="77777777" w:rsidR="0088502A" w:rsidRPr="0088502A" w:rsidRDefault="0088502A" w:rsidP="0088502A">
      <w:pPr>
        <w:rPr>
          <w:sz w:val="18"/>
          <w:szCs w:val="18"/>
        </w:rPr>
      </w:pPr>
    </w:p>
    <w:p w14:paraId="67EA8CCE" w14:textId="0BE43006" w:rsidR="0088502A" w:rsidRPr="0088502A" w:rsidRDefault="0088502A" w:rsidP="0088502A">
      <w:r w:rsidRPr="0088502A">
        <w:fldChar w:fldCharType="begin"/>
      </w:r>
      <w:r w:rsidRPr="0088502A">
        <w:instrText xml:space="preserve"> AUTONUM  </w:instrText>
      </w:r>
      <w:r w:rsidRPr="0088502A">
        <w:fldChar w:fldCharType="end"/>
      </w:r>
      <w:r>
        <w:tab/>
        <w:t>Gemäß der Empfehlung des Beratenden Ausschusses vereinbarte der Rat auf seiner sechsundfünfzigsten Tagung</w:t>
      </w:r>
      <w:r w:rsidR="008A4C0B" w:rsidRPr="008A4C0B">
        <w:rPr>
          <w:vertAlign w:val="superscript"/>
        </w:rPr>
        <w:fldChar w:fldCharType="begin"/>
      </w:r>
      <w:r w:rsidR="008A4C0B" w:rsidRPr="008A4C0B">
        <w:rPr>
          <w:vertAlign w:val="superscript"/>
        </w:rPr>
        <w:instrText xml:space="preserve"> NOTEREF _Ref139016943 \h </w:instrText>
      </w:r>
      <w:r w:rsidR="008A4C0B" w:rsidRPr="008A4C0B">
        <w:rPr>
          <w:vertAlign w:val="superscript"/>
        </w:rPr>
      </w:r>
      <w:r w:rsidR="008A4C0B">
        <w:rPr>
          <w:vertAlign w:val="superscript"/>
        </w:rPr>
        <w:instrText xml:space="preserve"> \* MERGEFORMAT </w:instrText>
      </w:r>
      <w:r w:rsidR="008A4C0B" w:rsidRPr="008A4C0B">
        <w:rPr>
          <w:vertAlign w:val="superscript"/>
        </w:rPr>
        <w:fldChar w:fldCharType="separate"/>
      </w:r>
      <w:r w:rsidR="008A4C0B" w:rsidRPr="008A4C0B">
        <w:rPr>
          <w:vertAlign w:val="superscript"/>
        </w:rPr>
        <w:t>1</w:t>
      </w:r>
      <w:r w:rsidR="008A4C0B" w:rsidRPr="008A4C0B">
        <w:rPr>
          <w:vertAlign w:val="superscript"/>
        </w:rPr>
        <w:fldChar w:fldCharType="end"/>
      </w:r>
      <w:r>
        <w:t xml:space="preserve">, ein „Seminar über die Interaktion zwischen Sortenschutz und der Verwendung von Pflanzenzüchtungstechniken“ </w:t>
      </w:r>
      <w:r w:rsidR="00071D8E">
        <w:t>für den</w:t>
      </w:r>
      <w:r>
        <w:t xml:space="preserve"> 22. März 2023 in hybridem Format zu organisieren („Seminar“).</w:t>
      </w:r>
    </w:p>
    <w:p w14:paraId="2C28974D" w14:textId="77777777" w:rsidR="0088502A" w:rsidRPr="0088502A" w:rsidRDefault="0088502A" w:rsidP="0088502A">
      <w:pPr>
        <w:rPr>
          <w:sz w:val="18"/>
          <w:szCs w:val="18"/>
        </w:rPr>
      </w:pPr>
    </w:p>
    <w:p w14:paraId="2C411DFF" w14:textId="77777777" w:rsidR="0088502A" w:rsidRPr="0088502A" w:rsidRDefault="0088502A" w:rsidP="0088502A">
      <w:r w:rsidRPr="0088502A">
        <w:fldChar w:fldCharType="begin"/>
      </w:r>
      <w:r w:rsidRPr="0088502A">
        <w:instrText xml:space="preserve"> AUTONUM  </w:instrText>
      </w:r>
      <w:r w:rsidRPr="0088502A">
        <w:fldChar w:fldCharType="end"/>
      </w:r>
      <w:r>
        <w:tab/>
        <w:t xml:space="preserve">Der Rat nahm zur Kenntnis, dass der Beratende Ausschuss verpflichtet sei, eine neue Erläuterung zügig zu erarbeiten und dem Rat als Empfehlung vorzulegen. </w:t>
      </w:r>
    </w:p>
    <w:p w14:paraId="59287BE1" w14:textId="77777777" w:rsidR="0088502A" w:rsidRPr="0088502A" w:rsidRDefault="0088502A" w:rsidP="0088502A">
      <w:pPr>
        <w:rPr>
          <w:sz w:val="16"/>
        </w:rPr>
      </w:pPr>
    </w:p>
    <w:p w14:paraId="01254214" w14:textId="0DF6165F" w:rsidR="0088502A" w:rsidRPr="000B0E8D" w:rsidRDefault="0088502A" w:rsidP="0088502A">
      <w:pPr>
        <w:spacing w:after="160"/>
        <w:rPr>
          <w:spacing w:val="-4"/>
        </w:rPr>
      </w:pPr>
      <w:r w:rsidRPr="000B0E8D">
        <w:rPr>
          <w:spacing w:val="-4"/>
        </w:rPr>
        <w:fldChar w:fldCharType="begin"/>
      </w:r>
      <w:r w:rsidRPr="000B0E8D">
        <w:rPr>
          <w:spacing w:val="-4"/>
        </w:rPr>
        <w:instrText xml:space="preserve"> AUTONUM  </w:instrText>
      </w:r>
      <w:r w:rsidRPr="000B0E8D">
        <w:rPr>
          <w:spacing w:val="-4"/>
        </w:rPr>
        <w:fldChar w:fldCharType="end"/>
      </w:r>
      <w:r w:rsidRPr="000B0E8D">
        <w:rPr>
          <w:spacing w:val="-4"/>
        </w:rPr>
        <w:tab/>
        <w:t xml:space="preserve">Die </w:t>
      </w:r>
      <w:r w:rsidRPr="000B0E8D">
        <w:rPr>
          <w:rFonts w:cs="Arial"/>
          <w:spacing w:val="-4"/>
        </w:rPr>
        <w:t>CC/WG-EDV trat dreimal</w:t>
      </w:r>
      <w:r w:rsidR="00071D8E" w:rsidRPr="000B0E8D">
        <w:rPr>
          <w:rFonts w:cs="Arial"/>
          <w:spacing w:val="-4"/>
        </w:rPr>
        <w:t xml:space="preserve"> zusammen</w:t>
      </w:r>
      <w:r w:rsidRPr="000B0E8D">
        <w:rPr>
          <w:rFonts w:cs="Arial"/>
          <w:spacing w:val="-4"/>
        </w:rPr>
        <w:t>, am 14. Dezember 2022, am 27. Februar und am 24. März 2023</w:t>
      </w:r>
      <w:r w:rsidR="000B0E8D" w:rsidRPr="000B0E8D">
        <w:rPr>
          <w:rFonts w:cs="Arial"/>
          <w:spacing w:val="-4"/>
        </w:rPr>
        <w:t>.</w:t>
      </w:r>
    </w:p>
    <w:p w14:paraId="0D64BCDB" w14:textId="77777777" w:rsidR="0088502A" w:rsidRPr="0088502A" w:rsidRDefault="0088502A" w:rsidP="0088502A">
      <w:pPr>
        <w:keepNext/>
        <w:ind w:left="567" w:firstLine="567"/>
        <w:rPr>
          <w:i/>
        </w:rPr>
      </w:pPr>
      <w:r>
        <w:rPr>
          <w:i/>
        </w:rPr>
        <w:lastRenderedPageBreak/>
        <w:t xml:space="preserve">Erste Sitzung der CC/WG-EDV (14. Dezember 2022) </w:t>
      </w:r>
    </w:p>
    <w:p w14:paraId="6CADCAE4" w14:textId="77777777" w:rsidR="0088502A" w:rsidRPr="0088502A" w:rsidRDefault="0088502A" w:rsidP="0088502A">
      <w:pPr>
        <w:keepNext/>
        <w:rPr>
          <w:sz w:val="18"/>
        </w:rPr>
      </w:pPr>
    </w:p>
    <w:p w14:paraId="624D6E0C" w14:textId="439F62AC" w:rsidR="0088502A" w:rsidRPr="0088502A" w:rsidRDefault="0088502A" w:rsidP="0088502A">
      <w:r w:rsidRPr="0088502A">
        <w:fldChar w:fldCharType="begin"/>
      </w:r>
      <w:r w:rsidRPr="0088502A">
        <w:instrText xml:space="preserve"> AUTONUM  </w:instrText>
      </w:r>
      <w:r w:rsidRPr="0088502A">
        <w:fldChar w:fldCharType="end"/>
      </w:r>
      <w:r>
        <w:tab/>
        <w:t>Die CC/WG-EDV prüfte auf ihrer ersten Sitzung</w:t>
      </w:r>
      <w:r>
        <w:rPr>
          <w:rStyle w:val="FootnoteReference"/>
        </w:rPr>
        <w:footnoteReference w:id="4"/>
      </w:r>
      <w:r>
        <w:t xml:space="preserve"> das Dokument CC/WG-EDV/1/2 „Prüfung von Dokument UPOV/EXN/EDV/3 Draft 3, </w:t>
      </w:r>
      <w:bookmarkStart w:id="9" w:name="_Hlk144393147"/>
      <w:r w:rsidR="00B77862">
        <w:t>„</w:t>
      </w:r>
      <w:bookmarkEnd w:id="9"/>
      <w:r>
        <w:t>Erläuterungen zu den im wesentlichen abgeleiteten Sorten nach der Akte von 1991 des UPOV-Übereinkommens</w:t>
      </w:r>
      <w:r w:rsidR="00B77862">
        <w:t xml:space="preserve">“ </w:t>
      </w:r>
      <w:r>
        <w:t xml:space="preserve">(Überarbeitung)“ und vereinbarte wie folgt: </w:t>
      </w:r>
    </w:p>
    <w:p w14:paraId="4F83A317" w14:textId="77777777" w:rsidR="0088502A" w:rsidRPr="0088502A" w:rsidRDefault="0088502A" w:rsidP="0088502A">
      <w:pPr>
        <w:rPr>
          <w:sz w:val="12"/>
        </w:rPr>
      </w:pPr>
    </w:p>
    <w:p w14:paraId="0814964E" w14:textId="77777777" w:rsidR="0088502A" w:rsidRPr="0088502A" w:rsidRDefault="0088502A" w:rsidP="0088502A">
      <w:pPr>
        <w:spacing w:after="120"/>
        <w:ind w:left="562" w:right="461"/>
        <w:rPr>
          <w:spacing w:val="-4"/>
          <w:sz w:val="18"/>
        </w:rPr>
      </w:pPr>
      <w:r>
        <w:rPr>
          <w:spacing w:val="-4"/>
          <w:sz w:val="18"/>
        </w:rPr>
        <w:t>„16.</w:t>
      </w:r>
      <w:r>
        <w:rPr>
          <w:spacing w:val="-4"/>
          <w:sz w:val="18"/>
        </w:rPr>
        <w:tab/>
        <w:t xml:space="preserve">Die CC/WG-EDV vereinbarte, die Mitglieder der CC/WG-EDV einzuladen, Beispiele für mögliche wesentliche abgeleitete Sorten zu geben, um den Grad der Zustimmung zu bewerten. Die CC/WG-EDV ersuchte das Verbandbüro, eine Vorlage zur Angabe von Beispielen auszuarbeiten. Die CC/WG-EDV hob hervor, dass diese Beispiele nicht in den Erläuterungen enthalten sein würden. Sie vereinbarte, dass die Beispiele keine ehemaligen oder aktuellen Rechtsfälle beinhalten sollten. </w:t>
      </w:r>
    </w:p>
    <w:p w14:paraId="18D6E5DC" w14:textId="77777777" w:rsidR="0088502A" w:rsidRPr="0088502A" w:rsidRDefault="0088502A" w:rsidP="0088502A">
      <w:pPr>
        <w:ind w:left="567" w:right="459"/>
        <w:rPr>
          <w:sz w:val="18"/>
        </w:rPr>
      </w:pPr>
      <w:r>
        <w:rPr>
          <w:sz w:val="18"/>
        </w:rPr>
        <w:t>„17.</w:t>
      </w:r>
      <w:r>
        <w:rPr>
          <w:sz w:val="18"/>
        </w:rPr>
        <w:tab/>
        <w:t xml:space="preserve">Die CC/WG-EDV vereinbarte, dass eine Sammlung der erhaltenen Beispiele bis zum 18. Januar 2023 an die Mitglieder der CC/WG-EDV verbreitet würde. Die Mitglieder der CC/WG-EDV würden ersucht, bis zum 15. Februar 2023 zu äußern, welche der Beispiele sie als wesentliche abgeleitete Sorten betrachten und welche nicht. Eine Sammlung der Antworten würde bis zum 17. Februar 2023 an die CC/WG-EDV verbreitet. </w:t>
      </w:r>
    </w:p>
    <w:p w14:paraId="073CF341" w14:textId="77777777" w:rsidR="0088502A" w:rsidRPr="0088502A" w:rsidRDefault="0088502A" w:rsidP="0088502A">
      <w:pPr>
        <w:ind w:left="567" w:right="459"/>
        <w:rPr>
          <w:sz w:val="12"/>
        </w:rPr>
      </w:pPr>
    </w:p>
    <w:p w14:paraId="484CBF48" w14:textId="1CCCED66" w:rsidR="0088502A" w:rsidRPr="0088502A" w:rsidRDefault="0088502A" w:rsidP="0088502A">
      <w:pPr>
        <w:ind w:left="567" w:right="459"/>
        <w:rPr>
          <w:spacing w:val="-4"/>
          <w:sz w:val="18"/>
        </w:rPr>
      </w:pPr>
      <w:r>
        <w:rPr>
          <w:spacing w:val="-4"/>
          <w:sz w:val="18"/>
        </w:rPr>
        <w:t>„18.</w:t>
      </w:r>
      <w:r>
        <w:rPr>
          <w:spacing w:val="-4"/>
          <w:sz w:val="18"/>
        </w:rPr>
        <w:tab/>
        <w:t xml:space="preserve">Die CC/WG-EDV vereinbarte, </w:t>
      </w:r>
      <w:r w:rsidR="00B77862">
        <w:rPr>
          <w:spacing w:val="-4"/>
          <w:sz w:val="18"/>
        </w:rPr>
        <w:t>auf</w:t>
      </w:r>
      <w:r>
        <w:rPr>
          <w:spacing w:val="-4"/>
          <w:sz w:val="18"/>
        </w:rPr>
        <w:t xml:space="preserve"> ihrer nächsten Sitzung die Anmerkungen zu Absätzen 17, 22 und 27 von Dokument CC/WG-EDV/1/2, Anlage II, einschließlich Zahlen, zusammen mit der Überlegung hinsichtlich Beispiele für mögliche wesentliche abgeleitete Sorten zu prüfen.“</w:t>
      </w:r>
    </w:p>
    <w:p w14:paraId="43530F9D" w14:textId="77777777" w:rsidR="0088502A" w:rsidRPr="0088502A" w:rsidRDefault="0088502A" w:rsidP="0088502A"/>
    <w:p w14:paraId="648AC76F" w14:textId="77777777" w:rsidR="0088502A" w:rsidRPr="0088502A" w:rsidRDefault="0088502A" w:rsidP="0088502A">
      <w:pPr>
        <w:keepNext/>
        <w:ind w:left="567" w:firstLine="567"/>
        <w:rPr>
          <w:i/>
        </w:rPr>
      </w:pPr>
      <w:r>
        <w:rPr>
          <w:i/>
        </w:rPr>
        <w:t xml:space="preserve">Zweite Sitzung der CC/WG-EDV (27. Februar 2023) </w:t>
      </w:r>
    </w:p>
    <w:p w14:paraId="3B11DF84" w14:textId="77777777" w:rsidR="0088502A" w:rsidRPr="0088502A" w:rsidRDefault="0088502A" w:rsidP="0088502A">
      <w:pPr>
        <w:keepNext/>
        <w:rPr>
          <w:sz w:val="18"/>
        </w:rPr>
      </w:pPr>
    </w:p>
    <w:p w14:paraId="37B89DE6" w14:textId="71B055C6" w:rsidR="0088502A" w:rsidRPr="0088502A" w:rsidRDefault="0088502A" w:rsidP="0088502A">
      <w:pPr>
        <w:rPr>
          <w:rFonts w:cs="Arial"/>
        </w:rPr>
      </w:pPr>
      <w:r w:rsidRPr="0088502A">
        <w:rPr>
          <w:rFonts w:cs="Arial"/>
        </w:rPr>
        <w:fldChar w:fldCharType="begin"/>
      </w:r>
      <w:r w:rsidRPr="0088502A">
        <w:rPr>
          <w:rFonts w:cs="Arial"/>
        </w:rPr>
        <w:instrText xml:space="preserve"> AUTONUM  </w:instrText>
      </w:r>
      <w:r w:rsidRPr="0088502A">
        <w:rPr>
          <w:rFonts w:cs="Arial"/>
        </w:rPr>
        <w:fldChar w:fldCharType="end"/>
      </w:r>
      <w:r>
        <w:rPr>
          <w:rFonts w:cs="Arial"/>
        </w:rPr>
        <w:tab/>
        <w:t xml:space="preserve">Die CC/WG-EDV prüfte </w:t>
      </w:r>
      <w:r>
        <w:t>auf ihrer zweiten Sitzung</w:t>
      </w:r>
      <w:r>
        <w:rPr>
          <w:rStyle w:val="FootnoteReference"/>
          <w:rFonts w:cs="Arial"/>
        </w:rPr>
        <w:footnoteReference w:id="5"/>
      </w:r>
      <w:r>
        <w:rPr>
          <w:rFonts w:cs="Arial"/>
        </w:rPr>
        <w:t xml:space="preserve"> das Dokument CC/WG-EDV/2/2 „Beispiele für mögliche wesentliche abgeleitete Sorten” und merkte die breite Palette unterschiedlicher Ansichten an, die hinsichtlich der Beispiele für mögliche wesentliche abgeleitete Sorten geäußert wurde</w:t>
      </w:r>
      <w:r w:rsidR="00EE56BB">
        <w:rPr>
          <w:rFonts w:cs="Arial"/>
        </w:rPr>
        <w:t>n</w:t>
      </w:r>
      <w:r>
        <w:rPr>
          <w:rFonts w:cs="Arial"/>
        </w:rPr>
        <w:t>, was zu einer mangelnden Vereinbarung darüber geführt habe, was als wesentliche abgeleitete Sorte betrachtet werden kann und was nicht.</w:t>
      </w:r>
    </w:p>
    <w:p w14:paraId="408E5D51" w14:textId="77777777" w:rsidR="0088502A" w:rsidRPr="0088502A" w:rsidRDefault="0088502A" w:rsidP="0088502A">
      <w:pPr>
        <w:rPr>
          <w:sz w:val="18"/>
        </w:rPr>
      </w:pPr>
    </w:p>
    <w:p w14:paraId="309EC152" w14:textId="5F89868A" w:rsidR="0088502A" w:rsidRPr="0088502A" w:rsidRDefault="0088502A" w:rsidP="0088502A">
      <w:pPr>
        <w:keepLines/>
        <w:rPr>
          <w:spacing w:val="-2"/>
        </w:rPr>
      </w:pPr>
      <w:r w:rsidRPr="0088502A">
        <w:rPr>
          <w:spacing w:val="-2"/>
        </w:rPr>
        <w:fldChar w:fldCharType="begin"/>
      </w:r>
      <w:r w:rsidRPr="0088502A">
        <w:rPr>
          <w:spacing w:val="-2"/>
        </w:rPr>
        <w:instrText xml:space="preserve"> AUTONUM  </w:instrText>
      </w:r>
      <w:r w:rsidRPr="0088502A">
        <w:rPr>
          <w:spacing w:val="-2"/>
        </w:rPr>
        <w:fldChar w:fldCharType="end"/>
      </w:r>
      <w:r>
        <w:rPr>
          <w:spacing w:val="-2"/>
        </w:rPr>
        <w:tab/>
        <w:t>Die CC/WG-EDV prüfte das Dokument CC/WG-EDV/2/3 „Prüfung von Dokument UPOV/EXN/EDV/3 Draft 3 „Erläuterungen zu den im wesentlichen abgeleiteten Sorten nach der Akte von 1991 des UPOV-Übereinkommens“ (Überarbeitung)“ und vereinbarte, das Verbandsbüro darum zu bitten, einen Wortlaut für einen neuen Aufbau von Abschnitt „b) Begriffsbestimmung einer im wesentlichen abgeleiteten Sorte“ auszuarbeiten, um die in Artikel 14 Absatz 5 Buchstabe b verwendeten Begriffe zu bestimmen und die Elemente von Dokument UPOV/EXN/EDV/3 Draft 3 zu entfernen, zu denen es unterschiedliche Ansichten gäbe.</w:t>
      </w:r>
    </w:p>
    <w:p w14:paraId="556B38E9" w14:textId="77777777" w:rsidR="0088502A" w:rsidRPr="0088502A" w:rsidRDefault="0088502A" w:rsidP="0088502A"/>
    <w:p w14:paraId="0D731F7C" w14:textId="77777777" w:rsidR="0088502A" w:rsidRPr="0088502A" w:rsidRDefault="0088502A" w:rsidP="0088502A">
      <w:pPr>
        <w:ind w:left="1134"/>
        <w:rPr>
          <w:i/>
        </w:rPr>
      </w:pPr>
      <w:r>
        <w:rPr>
          <w:i/>
        </w:rPr>
        <w:t xml:space="preserve">Seminar über die Interaktion </w:t>
      </w:r>
      <w:r>
        <w:rPr>
          <w:i/>
          <w:spacing w:val="-4"/>
        </w:rPr>
        <w:t xml:space="preserve">zwischen Sortenschutz und der Verwendung von Pflanzenzüchtungstechniken (22. März 2023) </w:t>
      </w:r>
    </w:p>
    <w:p w14:paraId="148B8D8C" w14:textId="77777777" w:rsidR="0088502A" w:rsidRPr="0088502A" w:rsidRDefault="0088502A" w:rsidP="0088502A">
      <w:pPr>
        <w:rPr>
          <w:sz w:val="18"/>
        </w:rPr>
      </w:pPr>
    </w:p>
    <w:p w14:paraId="48C201DC" w14:textId="3488EA46" w:rsidR="0088502A" w:rsidRPr="000B0E8D" w:rsidRDefault="0088502A" w:rsidP="0088502A">
      <w:pPr>
        <w:rPr>
          <w:spacing w:val="-2"/>
        </w:rPr>
      </w:pPr>
      <w:r w:rsidRPr="000B0E8D">
        <w:rPr>
          <w:spacing w:val="-2"/>
        </w:rPr>
        <w:fldChar w:fldCharType="begin"/>
      </w:r>
      <w:r w:rsidRPr="000B0E8D">
        <w:rPr>
          <w:spacing w:val="-2"/>
        </w:rPr>
        <w:instrText xml:space="preserve"> AUTONUM  </w:instrText>
      </w:r>
      <w:r w:rsidRPr="000B0E8D">
        <w:rPr>
          <w:spacing w:val="-2"/>
        </w:rPr>
        <w:fldChar w:fldCharType="end"/>
      </w:r>
      <w:r w:rsidRPr="000B0E8D">
        <w:rPr>
          <w:spacing w:val="-2"/>
        </w:rPr>
        <w:tab/>
        <w:t>Das Seminar fand am 22. März 2023 mit 312 Teilnehmern statt.</w:t>
      </w:r>
      <w:r w:rsidR="0062652A" w:rsidRPr="000B0E8D">
        <w:rPr>
          <w:spacing w:val="-2"/>
        </w:rPr>
        <w:t xml:space="preserve"> </w:t>
      </w:r>
      <w:r w:rsidRPr="000B0E8D">
        <w:rPr>
          <w:spacing w:val="-2"/>
        </w:rPr>
        <w:t xml:space="preserve">Eine Videoaufzeichnung ist auf der </w:t>
      </w:r>
      <w:r w:rsidR="00D31CCC">
        <w:fldChar w:fldCharType="begin"/>
      </w:r>
      <w:r w:rsidR="00D31CCC">
        <w:instrText>HYPERLINK "https://c.connectedviews.com/05/SitePlayer/WIPOtest/?session=118855"</w:instrText>
      </w:r>
      <w:r w:rsidR="00D31CCC">
        <w:fldChar w:fldCharType="separate"/>
      </w:r>
      <w:r w:rsidRPr="000B0E8D">
        <w:rPr>
          <w:rStyle w:val="Hyperlink"/>
          <w:spacing w:val="-2"/>
        </w:rPr>
        <w:t>Webseite</w:t>
      </w:r>
      <w:r w:rsidR="00D31CCC">
        <w:rPr>
          <w:rStyle w:val="Hyperlink"/>
          <w:spacing w:val="-2"/>
        </w:rPr>
        <w:fldChar w:fldCharType="end"/>
      </w:r>
      <w:r w:rsidRPr="000B0E8D">
        <w:rPr>
          <w:spacing w:val="-2"/>
        </w:rPr>
        <w:t xml:space="preserve"> des Seminars verfügbar, einschließlich Sprachkanäle in Englisch, Französisch, Deutsch und Spanisch.</w:t>
      </w:r>
      <w:r w:rsidR="0062652A" w:rsidRPr="000B0E8D">
        <w:rPr>
          <w:spacing w:val="-2"/>
        </w:rPr>
        <w:t xml:space="preserve"> </w:t>
      </w:r>
      <w:r w:rsidRPr="000B0E8D">
        <w:rPr>
          <w:spacing w:val="-2"/>
        </w:rPr>
        <w:t xml:space="preserve">Sämtliche Präsentationen sind auf der </w:t>
      </w:r>
      <w:r w:rsidR="00D31CCC">
        <w:fldChar w:fldCharType="begin"/>
      </w:r>
      <w:r w:rsidR="00D31CCC">
        <w:instrText>HYPERLINK "https://c.connectedviews.com/05/SitePlayer/WIPOtest/?session=118855"</w:instrText>
      </w:r>
      <w:r w:rsidR="00D31CCC">
        <w:fldChar w:fldCharType="separate"/>
      </w:r>
      <w:r w:rsidRPr="000B0E8D">
        <w:rPr>
          <w:rStyle w:val="Hyperlink"/>
          <w:spacing w:val="-2"/>
        </w:rPr>
        <w:t>Webseite</w:t>
      </w:r>
      <w:r w:rsidR="00D31CCC">
        <w:rPr>
          <w:rStyle w:val="Hyperlink"/>
          <w:spacing w:val="-2"/>
        </w:rPr>
        <w:fldChar w:fldCharType="end"/>
      </w:r>
      <w:r w:rsidRPr="000B0E8D">
        <w:rPr>
          <w:spacing w:val="-2"/>
        </w:rPr>
        <w:t xml:space="preserve"> des Seminars verfügbar.</w:t>
      </w:r>
      <w:r w:rsidR="0062652A" w:rsidRPr="000B0E8D">
        <w:rPr>
          <w:spacing w:val="-2"/>
        </w:rPr>
        <w:t xml:space="preserve"> </w:t>
      </w:r>
      <w:r w:rsidRPr="000B0E8D">
        <w:rPr>
          <w:spacing w:val="-2"/>
        </w:rPr>
        <w:t xml:space="preserve">Die Beiträge des Seminars werden auf der UPOV-Webseite in Englisch, Französisch, Deutsch und Spanisch veröffentlicht werden. </w:t>
      </w:r>
    </w:p>
    <w:p w14:paraId="55CE3222" w14:textId="77777777" w:rsidR="0088502A" w:rsidRPr="0088502A" w:rsidRDefault="0088502A" w:rsidP="0088502A">
      <w:pPr>
        <w:rPr>
          <w:rFonts w:cs="Arial"/>
        </w:rPr>
      </w:pPr>
    </w:p>
    <w:p w14:paraId="62661AB1" w14:textId="77777777" w:rsidR="0088502A" w:rsidRPr="0088502A" w:rsidRDefault="0088502A" w:rsidP="0088502A">
      <w:pPr>
        <w:ind w:left="567" w:firstLine="567"/>
        <w:rPr>
          <w:i/>
        </w:rPr>
      </w:pPr>
      <w:r>
        <w:rPr>
          <w:i/>
        </w:rPr>
        <w:t>Dritte Sitzung der CC/WG-EDV (24. März 2023)</w:t>
      </w:r>
    </w:p>
    <w:p w14:paraId="021AD810" w14:textId="77777777" w:rsidR="0088502A" w:rsidRPr="0088502A" w:rsidRDefault="0088502A" w:rsidP="0088502A">
      <w:pPr>
        <w:rPr>
          <w:sz w:val="18"/>
        </w:rPr>
      </w:pPr>
    </w:p>
    <w:p w14:paraId="5ADF9688" w14:textId="6DD837B0" w:rsidR="0088502A" w:rsidRPr="0088502A" w:rsidRDefault="0088502A" w:rsidP="0088502A">
      <w:pPr>
        <w:rPr>
          <w:rFonts w:cs="Arial"/>
        </w:rPr>
      </w:pPr>
      <w:r w:rsidRPr="0088502A">
        <w:fldChar w:fldCharType="begin"/>
      </w:r>
      <w:r w:rsidRPr="0088502A">
        <w:instrText xml:space="preserve"> AUTONUM  </w:instrText>
      </w:r>
      <w:r w:rsidRPr="0088502A">
        <w:fldChar w:fldCharType="end"/>
      </w:r>
      <w:r>
        <w:tab/>
      </w:r>
      <w:r>
        <w:rPr>
          <w:rFonts w:cs="Arial"/>
        </w:rPr>
        <w:t>Die CC/WG-EDV entwickelte auf ihrer dritten Sitzung</w:t>
      </w:r>
      <w:r>
        <w:rPr>
          <w:rStyle w:val="FootnoteReference"/>
          <w:rFonts w:cs="Arial"/>
        </w:rPr>
        <w:footnoteReference w:id="6"/>
      </w:r>
      <w:r>
        <w:rPr>
          <w:rFonts w:cs="Arial"/>
        </w:rPr>
        <w:t xml:space="preserve"> einen Text als Grundlage </w:t>
      </w:r>
      <w:r w:rsidR="007E5828">
        <w:rPr>
          <w:rFonts w:cs="Arial"/>
        </w:rPr>
        <w:t xml:space="preserve">für die </w:t>
      </w:r>
      <w:r>
        <w:rPr>
          <w:rFonts w:cs="Arial"/>
        </w:rPr>
        <w:t xml:space="preserve">Überarbeitung der „Erläuterungen zu den im wesentlichen abgeleiteten Sorten nach der Akte von 1991 des UPOV-Übereinkommens“. </w:t>
      </w:r>
    </w:p>
    <w:p w14:paraId="4E9ECC81" w14:textId="77777777" w:rsidR="0088502A" w:rsidRPr="0088502A" w:rsidRDefault="0088502A" w:rsidP="0088502A">
      <w:pPr>
        <w:rPr>
          <w:rFonts w:cs="Arial"/>
          <w:sz w:val="18"/>
        </w:rPr>
      </w:pPr>
    </w:p>
    <w:p w14:paraId="3D184D53" w14:textId="77777777" w:rsidR="0088502A" w:rsidRPr="0088502A" w:rsidRDefault="0088502A" w:rsidP="0088502A">
      <w:pPr>
        <w:rPr>
          <w:rFonts w:cs="Arial"/>
          <w:lang w:eastAsia="fr-FR"/>
        </w:rPr>
      </w:pPr>
      <w:r w:rsidRPr="0088502A">
        <w:fldChar w:fldCharType="begin"/>
      </w:r>
      <w:r w:rsidRPr="0088502A">
        <w:instrText xml:space="preserve"> AUTONUM  </w:instrText>
      </w:r>
      <w:r w:rsidRPr="0088502A">
        <w:fldChar w:fldCharType="end"/>
      </w:r>
      <w:r>
        <w:tab/>
      </w:r>
      <w:r>
        <w:rPr>
          <w:rFonts w:cs="Arial"/>
        </w:rPr>
        <w:t xml:space="preserve">Am 03. März 2023 billigte die CC/WG-EDV auf dem Schriftwege den auf ihrer dritten Sitzung entwickelten Text als Grundlage für die Überarbeitung von Dokument UPOV/EXN/EDV/2 „Erläuterungen zu den im wesentlichen abgeleiteten Sorten nach der Akte von 1991 des UPOV-Übereinkommens“ (vergleiche Dokument UPOV/EXN/EDV/3 Draft 4), zur Prüfung durch den Beratenden Ausschuss auf seiner einhundertersten Tagung sowie durch den Rat auf seiner siebenundfünfzigsten ordentlichen Tagung im Oktober 2023. </w:t>
      </w:r>
    </w:p>
    <w:p w14:paraId="685B4889" w14:textId="77777777" w:rsidR="0088502A" w:rsidRPr="0088502A" w:rsidRDefault="0088502A" w:rsidP="0088502A">
      <w:pPr>
        <w:rPr>
          <w:rFonts w:cs="Arial"/>
          <w:sz w:val="18"/>
          <w:lang w:eastAsia="fr-FR"/>
        </w:rPr>
      </w:pPr>
    </w:p>
    <w:p w14:paraId="10FA9261" w14:textId="14ECE4D2" w:rsidR="0088502A" w:rsidRPr="00B264BC" w:rsidRDefault="0088502A" w:rsidP="0088502A">
      <w:pPr>
        <w:keepLines/>
        <w:rPr>
          <w:i/>
          <w:iCs/>
        </w:rPr>
      </w:pPr>
      <w:r w:rsidRPr="0088502A">
        <w:fldChar w:fldCharType="begin"/>
      </w:r>
      <w:r w:rsidRPr="0088502A">
        <w:instrText xml:space="preserve"> AUTONUM  </w:instrText>
      </w:r>
      <w:r w:rsidRPr="0088502A">
        <w:fldChar w:fldCharType="end"/>
      </w:r>
      <w:r>
        <w:tab/>
      </w:r>
      <w:r w:rsidR="00B264BC" w:rsidRPr="00B264BC">
        <w:t xml:space="preserve">Auf obiger Grundlage und vorbehaltlich der Billigung durch den Beratenden Ausschuss auf der Grundlage von Dokument UPOV/EXN/EDV/3 Draft 4 </w:t>
      </w:r>
      <w:r w:rsidR="00B264BC" w:rsidRPr="00B264BC">
        <w:rPr>
          <w:rFonts w:cs="Arial"/>
        </w:rPr>
        <w:t>auf seiner einhundertersten Tagung</w:t>
      </w:r>
      <w:r w:rsidR="00B264BC" w:rsidRPr="00B264BC">
        <w:t xml:space="preserve"> soll e</w:t>
      </w:r>
      <w:r w:rsidRPr="00B264BC">
        <w:t>ine Überarbeitung des Dokuments UPOV/EXN/EDV/2 „Erläuterungen zu den im wesentlichen abgeleiteten Sorten nach der Akte von 1991 des UPOV-Übereinkommens“ dem Rat</w:t>
      </w:r>
      <w:r w:rsidR="00B264BC" w:rsidRPr="00B264BC">
        <w:t xml:space="preserve"> auf seiner siebenundfünfzigsten ordentlichen Tagung zu</w:t>
      </w:r>
      <w:r w:rsidR="00B264BC">
        <w:t>r</w:t>
      </w:r>
      <w:r w:rsidR="00B264BC" w:rsidRPr="00B264BC">
        <w:t xml:space="preserve"> Annahme vorgelegt werden</w:t>
      </w:r>
      <w:r w:rsidRPr="00B264BC">
        <w:rPr>
          <w:i/>
          <w:iCs/>
        </w:rPr>
        <w:t>.</w:t>
      </w:r>
    </w:p>
    <w:p w14:paraId="77CE4836" w14:textId="77777777" w:rsidR="0088502A" w:rsidRPr="00B264BC" w:rsidRDefault="0088502A" w:rsidP="0088502A">
      <w:pPr>
        <w:rPr>
          <w:i/>
          <w:iCs/>
          <w:sz w:val="18"/>
        </w:rPr>
      </w:pPr>
    </w:p>
    <w:p w14:paraId="3FB52991" w14:textId="77777777" w:rsidR="0088502A" w:rsidRPr="0088502A" w:rsidRDefault="0088502A" w:rsidP="0088502A">
      <w:pPr>
        <w:keepLines/>
        <w:ind w:left="4860"/>
        <w:rPr>
          <w:i/>
        </w:rPr>
      </w:pPr>
      <w:r w:rsidRPr="0088502A">
        <w:rPr>
          <w:i/>
        </w:rPr>
        <w:fldChar w:fldCharType="begin"/>
      </w:r>
      <w:r w:rsidRPr="0088502A">
        <w:rPr>
          <w:i/>
        </w:rPr>
        <w:instrText xml:space="preserve"> AUTONUM  </w:instrText>
      </w:r>
      <w:r w:rsidRPr="0088502A">
        <w:rPr>
          <w:i/>
        </w:rPr>
        <w:fldChar w:fldCharType="end"/>
      </w:r>
      <w:r>
        <w:rPr>
          <w:i/>
        </w:rPr>
        <w:tab/>
        <w:t>Der Rat wird ersucht, eine Überarbeitung des Dokuments UPOV/EXN/EDV/2 „Erläuterungen zu den im wesentlichen abgeleiteten Sorten nach der Akte von 1991 des UPOV-Übereinkommens“ auf Grundlage von Dokument UPOV/EXN/EDV/3 Draft 4 anzunehmen.</w:t>
      </w:r>
    </w:p>
    <w:p w14:paraId="24087386" w14:textId="77777777" w:rsidR="0088502A" w:rsidRPr="000B0E8D" w:rsidRDefault="0088502A" w:rsidP="000B0E8D"/>
    <w:p w14:paraId="734498F8" w14:textId="77777777" w:rsidR="0088502A" w:rsidRPr="000B0E8D" w:rsidRDefault="0088502A" w:rsidP="000B0E8D"/>
    <w:p w14:paraId="29AD5243" w14:textId="77777777" w:rsidR="0088502A" w:rsidRPr="0088502A" w:rsidRDefault="0088502A" w:rsidP="000B0E8D">
      <w:pPr>
        <w:pStyle w:val="Heading2"/>
      </w:pPr>
      <w:bookmarkStart w:id="10" w:name="_Toc145586593"/>
      <w:r>
        <w:t>c)</w:t>
      </w:r>
      <w:r>
        <w:tab/>
        <w:t>TGP-Dokumente</w:t>
      </w:r>
      <w:bookmarkEnd w:id="10"/>
    </w:p>
    <w:p w14:paraId="7939AB07" w14:textId="77777777" w:rsidR="0088502A" w:rsidRPr="0088502A" w:rsidRDefault="0088502A" w:rsidP="0088502A">
      <w:pPr>
        <w:rPr>
          <w:sz w:val="18"/>
        </w:rPr>
      </w:pPr>
    </w:p>
    <w:p w14:paraId="346331D1" w14:textId="77777777" w:rsidR="0088502A" w:rsidRPr="0088502A" w:rsidRDefault="0088502A" w:rsidP="000B0E8D">
      <w:pPr>
        <w:pStyle w:val="Heading3"/>
        <w:rPr>
          <w:snapToGrid w:val="0"/>
        </w:rPr>
      </w:pPr>
      <w:bookmarkStart w:id="11" w:name="_Toc145586594"/>
      <w:r>
        <w:t>TGP</w:t>
      </w:r>
      <w:r>
        <w:rPr>
          <w:snapToGrid w:val="0"/>
        </w:rPr>
        <w:t>/0: „Liste der TGP-Dokumente und Datum der jüngsten Ausgabe“ (Überarbeitung) (Dokument TGP/0/15 Draft 1)</w:t>
      </w:r>
      <w:bookmarkEnd w:id="11"/>
    </w:p>
    <w:p w14:paraId="5C7AE595" w14:textId="77777777" w:rsidR="0088502A" w:rsidRPr="0088502A" w:rsidRDefault="0088502A" w:rsidP="0088502A">
      <w:pPr>
        <w:rPr>
          <w:sz w:val="18"/>
        </w:rPr>
      </w:pPr>
    </w:p>
    <w:p w14:paraId="71C669FB" w14:textId="77777777" w:rsidR="0088502A" w:rsidRPr="0088502A" w:rsidRDefault="0088502A" w:rsidP="0088502A">
      <w:r w:rsidRPr="0088502A">
        <w:fldChar w:fldCharType="begin"/>
      </w:r>
      <w:r w:rsidRPr="0088502A">
        <w:instrText xml:space="preserve"> AUTONUM  </w:instrText>
      </w:r>
      <w:r w:rsidRPr="0088502A">
        <w:fldChar w:fldCharType="end"/>
      </w:r>
      <w:r>
        <w:tab/>
        <w:t>In Verbindung mit der Annahme der überarbeiteten TGP-Dokumente durch den Rat im Jahr 2023 wird vorgeschlagen, die Überarbeitung von Dokument TGP/0 „Liste der TGP-Dokumente und Datum der jüngsten Ausgabe“ (Dokument TGP/0/14) auf der Grundlage von Dokument TGP/0/15 Draft 1 anzunehmen.</w:t>
      </w:r>
    </w:p>
    <w:p w14:paraId="63DCAEC1" w14:textId="77777777" w:rsidR="0088502A" w:rsidRPr="0088502A" w:rsidRDefault="0088502A" w:rsidP="0088502A">
      <w:pPr>
        <w:rPr>
          <w:sz w:val="16"/>
        </w:rPr>
      </w:pPr>
    </w:p>
    <w:p w14:paraId="24290399" w14:textId="77777777" w:rsidR="0088502A" w:rsidRDefault="0088502A" w:rsidP="0088502A">
      <w:pPr>
        <w:keepLines/>
        <w:ind w:left="4860"/>
        <w:rPr>
          <w:i/>
          <w:spacing w:val="-4"/>
        </w:rPr>
      </w:pPr>
      <w:r w:rsidRPr="0088502A">
        <w:rPr>
          <w:i/>
        </w:rPr>
        <w:fldChar w:fldCharType="begin"/>
      </w:r>
      <w:r w:rsidRPr="0088502A">
        <w:rPr>
          <w:i/>
          <w:spacing w:val="-4"/>
        </w:rPr>
        <w:instrText xml:space="preserve"> AUTONUM  </w:instrText>
      </w:r>
      <w:r w:rsidRPr="0088502A">
        <w:rPr>
          <w:i/>
          <w:spacing w:val="-4"/>
        </w:rPr>
        <w:fldChar w:fldCharType="end"/>
      </w:r>
      <w:r>
        <w:rPr>
          <w:i/>
          <w:spacing w:val="-4"/>
        </w:rPr>
        <w:tab/>
        <w:t>Der Rat wird ersucht, Dokument TGP/0/14 Draft 1 „Liste der TGP-Dokumente und Datum der jüngsten Ausgabe“ anzunehmen, vorbehaltlich der Annahme der betreffenden Dokumente.</w:t>
      </w:r>
    </w:p>
    <w:p w14:paraId="547BC41F" w14:textId="08E49987" w:rsidR="00E95349" w:rsidRPr="0088502A" w:rsidRDefault="00E95349" w:rsidP="006F28F6">
      <w:pPr>
        <w:pStyle w:val="Heading1"/>
      </w:pPr>
      <w:bookmarkStart w:id="12" w:name="_Toc145586595"/>
      <w:r>
        <w:t>DEM RAT ZUR ANNAHME VORGESCHLAGENE ANGELEGENHEITEN IM JAHRE 2023 – VORBEHALTLICH DER ZUSTIMMUNG DURCH DEN TECHNISCHEN AUSSCHUSS UND DEN VEWALTUNGS- UND RECHTSAUSSCHUSS</w:t>
      </w:r>
      <w:bookmarkEnd w:id="12"/>
    </w:p>
    <w:p w14:paraId="300FEEC9" w14:textId="77777777" w:rsidR="00381164" w:rsidRPr="0088502A" w:rsidRDefault="00381164" w:rsidP="000B0E8D">
      <w:pPr>
        <w:pStyle w:val="Heading2"/>
      </w:pPr>
    </w:p>
    <w:p w14:paraId="6E484FD6" w14:textId="4C1302D6" w:rsidR="00381164" w:rsidRPr="0088502A" w:rsidRDefault="00381164" w:rsidP="00381164">
      <w:pPr>
        <w:keepNext/>
      </w:pPr>
      <w:r w:rsidRPr="0088502A">
        <w:fldChar w:fldCharType="begin"/>
      </w:r>
      <w:r w:rsidRPr="0088502A">
        <w:instrText xml:space="preserve"> AUTONUM  </w:instrText>
      </w:r>
      <w:r w:rsidRPr="0088502A">
        <w:fldChar w:fldCharType="end"/>
      </w:r>
      <w:r>
        <w:tab/>
        <w:t>Die folgenden, dem Rat 2023 zur Annahme vorgeschlagenen Angelegenheiten, wurden bereits vom Technischen Ausschuss auf seiner achtundfünfzigsten Tagung</w:t>
      </w:r>
      <w:bookmarkStart w:id="13" w:name="_Ref145615980"/>
      <w:r w:rsidR="008A4C0B">
        <w:rPr>
          <w:rStyle w:val="FootnoteReference"/>
        </w:rPr>
        <w:footnoteReference w:id="7"/>
      </w:r>
      <w:bookmarkEnd w:id="13"/>
      <w:r>
        <w:t xml:space="preserve"> gebilligt, vorbehaltlich der Zustimmung durch den Verwaltungs- und Rechtsausschuss auf seiner achtzigsten Tagung.</w:t>
      </w:r>
    </w:p>
    <w:p w14:paraId="672BB522" w14:textId="64A613C0" w:rsidR="00381164" w:rsidRDefault="00381164" w:rsidP="00381164"/>
    <w:p w14:paraId="4C90A329" w14:textId="50F54EFB" w:rsidR="00CF2959" w:rsidRPr="0088502A" w:rsidRDefault="00CF2959" w:rsidP="000B0E8D">
      <w:pPr>
        <w:pStyle w:val="Heading2"/>
      </w:pPr>
      <w:bookmarkStart w:id="14" w:name="_Toc145586596"/>
      <w:r>
        <w:t>TGP-Dokumente:</w:t>
      </w:r>
      <w:bookmarkEnd w:id="14"/>
    </w:p>
    <w:p w14:paraId="40DFBDCD" w14:textId="77777777" w:rsidR="00CF2959" w:rsidRPr="0088502A" w:rsidRDefault="00CF2959" w:rsidP="000B0E8D">
      <w:pPr>
        <w:keepNext/>
      </w:pPr>
    </w:p>
    <w:p w14:paraId="12D0C4E0" w14:textId="2DA09124" w:rsidR="00381164" w:rsidRPr="0088502A" w:rsidRDefault="00381164" w:rsidP="000B0E8D">
      <w:pPr>
        <w:pStyle w:val="Heading3"/>
      </w:pPr>
      <w:bookmarkStart w:id="15" w:name="_Toc145586597"/>
      <w:r>
        <w:t>TGP/7</w:t>
      </w:r>
      <w:r w:rsidR="00DB5B81">
        <w:t xml:space="preserve">: </w:t>
      </w:r>
      <w:r>
        <w:t>Erstellung von Prüfungsrichtlinien (Überarbeitung)</w:t>
      </w:r>
      <w:bookmarkEnd w:id="15"/>
    </w:p>
    <w:p w14:paraId="6E1D91F3" w14:textId="77777777" w:rsidR="00381164" w:rsidRPr="0088502A" w:rsidRDefault="00381164" w:rsidP="00381164">
      <w:pPr>
        <w:keepNext/>
      </w:pPr>
    </w:p>
    <w:p w14:paraId="7F75098A" w14:textId="00B8B61F" w:rsidR="00381164" w:rsidRPr="0088502A" w:rsidRDefault="00381164" w:rsidP="00CF2959">
      <w:pPr>
        <w:pStyle w:val="Heading4"/>
      </w:pPr>
      <w:bookmarkStart w:id="16" w:name="_Toc141872241"/>
      <w:bookmarkStart w:id="17" w:name="_Toc145586598"/>
      <w:r>
        <w:t>Umwandlung TGP/7, Anlage 1: TG-Aufbau und allgemeingültiger Standardwortlaut (Mustervorlage für Prüfungsrichtlinien), Absatz 4.2.2 in einen zusätzlichen Standardwortlaut</w:t>
      </w:r>
      <w:bookmarkEnd w:id="16"/>
      <w:r>
        <w:t xml:space="preserve"> (Anlage II dieses Dokuments)</w:t>
      </w:r>
      <w:bookmarkEnd w:id="17"/>
    </w:p>
    <w:p w14:paraId="47FBF37C" w14:textId="77777777" w:rsidR="00381164" w:rsidRPr="0088502A" w:rsidRDefault="00381164" w:rsidP="00381164">
      <w:pPr>
        <w:keepNext/>
      </w:pPr>
    </w:p>
    <w:p w14:paraId="27B8BBBB" w14:textId="31832676" w:rsidR="00381164" w:rsidRPr="0088502A" w:rsidRDefault="00381164" w:rsidP="00381164">
      <w:pPr>
        <w:keepNext/>
        <w:keepLines/>
      </w:pPr>
      <w:r w:rsidRPr="0088502A">
        <w:fldChar w:fldCharType="begin"/>
      </w:r>
      <w:r w:rsidRPr="0088502A">
        <w:instrText xml:space="preserve"> AUTONUM  </w:instrText>
      </w:r>
      <w:r w:rsidRPr="0088502A">
        <w:fldChar w:fldCharType="end"/>
      </w:r>
      <w:r>
        <w:tab/>
        <w:t xml:space="preserve">Der TC vereinbarte </w:t>
      </w:r>
      <w:r>
        <w:rPr>
          <w:spacing w:val="-2"/>
        </w:rPr>
        <w:t>auf seiner achtundfünfzigsten Tagung</w:t>
      </w:r>
      <w:r w:rsidR="008A4C0B" w:rsidRPr="008A4C0B">
        <w:rPr>
          <w:spacing w:val="-2"/>
          <w:vertAlign w:val="superscript"/>
        </w:rPr>
        <w:fldChar w:fldCharType="begin"/>
      </w:r>
      <w:r w:rsidR="008A4C0B" w:rsidRPr="008A4C0B">
        <w:rPr>
          <w:spacing w:val="-2"/>
          <w:vertAlign w:val="superscript"/>
        </w:rPr>
        <w:instrText xml:space="preserve"> NOTEREF _Ref145615980 \h </w:instrText>
      </w:r>
      <w:r w:rsidR="008A4C0B" w:rsidRPr="008A4C0B">
        <w:rPr>
          <w:spacing w:val="-2"/>
          <w:vertAlign w:val="superscript"/>
        </w:rPr>
      </w:r>
      <w:r w:rsidR="008A4C0B">
        <w:rPr>
          <w:spacing w:val="-2"/>
          <w:vertAlign w:val="superscript"/>
        </w:rPr>
        <w:instrText xml:space="preserve"> \* MERGEFORMAT </w:instrText>
      </w:r>
      <w:r w:rsidR="008A4C0B" w:rsidRPr="008A4C0B">
        <w:rPr>
          <w:spacing w:val="-2"/>
          <w:vertAlign w:val="superscript"/>
        </w:rPr>
        <w:fldChar w:fldCharType="separate"/>
      </w:r>
      <w:r w:rsidR="008A4C0B" w:rsidRPr="008A4C0B">
        <w:rPr>
          <w:spacing w:val="-2"/>
          <w:vertAlign w:val="superscript"/>
        </w:rPr>
        <w:t>6</w:t>
      </w:r>
      <w:r w:rsidR="008A4C0B" w:rsidRPr="008A4C0B">
        <w:rPr>
          <w:spacing w:val="-2"/>
          <w:vertAlign w:val="superscript"/>
        </w:rPr>
        <w:fldChar w:fldCharType="end"/>
      </w:r>
      <w:r w:rsidR="00223C04">
        <w:rPr>
          <w:spacing w:val="-2"/>
        </w:rPr>
        <w:t xml:space="preserve"> </w:t>
      </w:r>
      <w:r>
        <w:t xml:space="preserve">die Änderung von Dokument TGP/7 „Erstellung von Prüfungsrichtlinien”, um den folgenden Standardwortlaut in der Mustervorlage für Prüfungsrichtlinien, Absatz 4.2.2, in einen optionalen „Zusätzlichen Standardwortlaut“ umzuwandeln (vergleiche Dokument TC/58/31 „Bericht“, Absatz 26): </w:t>
      </w:r>
    </w:p>
    <w:p w14:paraId="7506CD0C" w14:textId="77777777" w:rsidR="00381164" w:rsidRPr="0088502A" w:rsidRDefault="00381164" w:rsidP="00381164">
      <w:pPr>
        <w:rPr>
          <w:u w:val="single"/>
        </w:rPr>
      </w:pPr>
    </w:p>
    <w:p w14:paraId="20F53694" w14:textId="51FA320B" w:rsidR="00381164" w:rsidRPr="0088502A" w:rsidRDefault="00381164" w:rsidP="00381164">
      <w:pPr>
        <w:ind w:left="567" w:right="459"/>
        <w:rPr>
          <w:spacing w:val="-2"/>
          <w:sz w:val="18"/>
        </w:rPr>
      </w:pPr>
      <w:r>
        <w:rPr>
          <w:spacing w:val="-2"/>
          <w:sz w:val="18"/>
        </w:rPr>
        <w:t>„4.2.2 Diese Prüfungsrichtlinien wurden für die Prüfung von [Art oder Arten der Vermehrung] Sorten erarbeitet.</w:t>
      </w:r>
      <w:r w:rsidR="0062652A">
        <w:rPr>
          <w:spacing w:val="-2"/>
          <w:sz w:val="18"/>
        </w:rPr>
        <w:t xml:space="preserve"> </w:t>
      </w:r>
      <w:r>
        <w:rPr>
          <w:spacing w:val="-2"/>
          <w:sz w:val="18"/>
        </w:rPr>
        <w:t>Für Sorten mit anderen Vermehrungsarten sollten die Empfehlungen in der Allgemeinen Einführung und in Dokument TGP/13, „Anleitung für neue Typen und Arten“, Abschnitt 4.5, „Prüfung der Homogenität”, befolgt werden.“</w:t>
      </w:r>
    </w:p>
    <w:p w14:paraId="7A3B90EC" w14:textId="77777777" w:rsidR="00381164" w:rsidRPr="0088502A" w:rsidRDefault="00381164" w:rsidP="00381164"/>
    <w:p w14:paraId="5A33A0AC" w14:textId="77777777" w:rsidR="00381164" w:rsidRPr="0088502A" w:rsidRDefault="00381164" w:rsidP="00381164">
      <w:r w:rsidRPr="0088502A">
        <w:fldChar w:fldCharType="begin"/>
      </w:r>
      <w:r w:rsidRPr="0088502A">
        <w:instrText xml:space="preserve"> AUTONUM  </w:instrText>
      </w:r>
      <w:r w:rsidRPr="0088502A">
        <w:fldChar w:fldCharType="end"/>
      </w:r>
      <w:r>
        <w:tab/>
        <w:t>Eine vereinbarte Fassung des Dokuments TGP/7 sollte dem Rat, vorbehaltlich der Zustimmung durch den Verwaltungs- und Rechtsausschuss auf seiner achtzigsten Tagung, auf seiner siebenundfünfzigsten ordentlichen Tagung auf der Grundlage der in Anlage II dieses Dokuments vorgeschlagenen Änderungen zur Annahme vorgelegt werden.</w:t>
      </w:r>
    </w:p>
    <w:p w14:paraId="09A7D8E7" w14:textId="77777777" w:rsidR="00381164" w:rsidRPr="0088502A" w:rsidRDefault="00381164" w:rsidP="00381164"/>
    <w:p w14:paraId="0738D769" w14:textId="0F7A7C45" w:rsidR="00381164" w:rsidRPr="0088502A" w:rsidRDefault="00381164" w:rsidP="00381164">
      <w:pPr>
        <w:keepNext/>
        <w:keepLines/>
        <w:tabs>
          <w:tab w:val="left" w:pos="5387"/>
          <w:tab w:val="left" w:pos="5954"/>
        </w:tabs>
        <w:ind w:left="4820"/>
        <w:rPr>
          <w:i/>
        </w:rPr>
      </w:pPr>
      <w:r w:rsidRPr="0088502A">
        <w:rPr>
          <w:i/>
        </w:rPr>
        <w:fldChar w:fldCharType="begin"/>
      </w:r>
      <w:r w:rsidRPr="0088502A">
        <w:rPr>
          <w:i/>
        </w:rPr>
        <w:instrText xml:space="preserve"> AUTONUM  </w:instrText>
      </w:r>
      <w:r w:rsidRPr="0088502A">
        <w:rPr>
          <w:i/>
        </w:rPr>
        <w:fldChar w:fldCharType="end"/>
      </w:r>
      <w:r>
        <w:rPr>
          <w:i/>
        </w:rPr>
        <w:tab/>
        <w:t>Der Rat wird ersucht, eine Überarbeitung des Dokuments TGP/7 „Erstellung von Prüfungsrichtlinien“ auf der Grundlage der vorgeschlagenen Änderungen, wie in Anlage II dieses Dokuments dargelegt, anzunehmen, vorbehaltlich der Zustimmung durch den Verwaltungs- und Rechtsausschuss auf seiner achtzigsten Tagung.</w:t>
      </w:r>
    </w:p>
    <w:p w14:paraId="4ACDDC16" w14:textId="34C4ECDD" w:rsidR="00CF2959" w:rsidRDefault="00CF2959" w:rsidP="00381164"/>
    <w:p w14:paraId="36E497BB" w14:textId="4CE677C2" w:rsidR="00381164" w:rsidRPr="0088502A" w:rsidRDefault="00381164" w:rsidP="000B0E8D">
      <w:pPr>
        <w:pStyle w:val="Heading3"/>
      </w:pPr>
      <w:bookmarkStart w:id="18" w:name="_Toc145586599"/>
      <w:r>
        <w:lastRenderedPageBreak/>
        <w:t>TGP/14</w:t>
      </w:r>
      <w:r w:rsidR="00DB5B81">
        <w:t xml:space="preserve">: </w:t>
      </w:r>
      <w:r>
        <w:t>Glossar der in den UPOV-Dokumenten verwendeten Begriffe (Überarbeitung)</w:t>
      </w:r>
      <w:bookmarkEnd w:id="18"/>
      <w:r>
        <w:t xml:space="preserve"> </w:t>
      </w:r>
    </w:p>
    <w:p w14:paraId="7A9DA87D" w14:textId="77777777" w:rsidR="00381164" w:rsidRPr="0088502A" w:rsidRDefault="00381164" w:rsidP="00381164">
      <w:pPr>
        <w:keepNext/>
        <w:keepLines/>
      </w:pPr>
    </w:p>
    <w:p w14:paraId="0D55AF29" w14:textId="223655C9" w:rsidR="00381164" w:rsidRPr="0088502A" w:rsidRDefault="00381164" w:rsidP="00381164">
      <w:pPr>
        <w:keepNext/>
        <w:keepLines/>
      </w:pPr>
      <w:r>
        <w:fldChar w:fldCharType="begin"/>
      </w:r>
      <w:r>
        <w:instrText xml:space="preserve"> AUTONUM  </w:instrText>
      </w:r>
      <w:r>
        <w:fldChar w:fldCharType="end"/>
      </w:r>
      <w:r>
        <w:tab/>
        <w:t>Der TC vereinbarte auf seiner achtundfünfzigsten Tagung</w:t>
      </w:r>
      <w:r w:rsidR="001A4E8A" w:rsidRPr="008A4C0B">
        <w:rPr>
          <w:spacing w:val="-2"/>
          <w:vertAlign w:val="superscript"/>
        </w:rPr>
        <w:fldChar w:fldCharType="begin"/>
      </w:r>
      <w:r w:rsidR="001A4E8A" w:rsidRPr="008A4C0B">
        <w:rPr>
          <w:spacing w:val="-2"/>
          <w:vertAlign w:val="superscript"/>
        </w:rPr>
        <w:instrText xml:space="preserve"> NOTEREF _Ref145615980 \h </w:instrText>
      </w:r>
      <w:r w:rsidR="001A4E8A" w:rsidRPr="008A4C0B">
        <w:rPr>
          <w:spacing w:val="-2"/>
          <w:vertAlign w:val="superscript"/>
        </w:rPr>
      </w:r>
      <w:r w:rsidR="001A4E8A">
        <w:rPr>
          <w:spacing w:val="-2"/>
          <w:vertAlign w:val="superscript"/>
        </w:rPr>
        <w:instrText xml:space="preserve"> \* MERGEFORMAT </w:instrText>
      </w:r>
      <w:r w:rsidR="001A4E8A" w:rsidRPr="008A4C0B">
        <w:rPr>
          <w:spacing w:val="-2"/>
          <w:vertAlign w:val="superscript"/>
        </w:rPr>
        <w:fldChar w:fldCharType="separate"/>
      </w:r>
      <w:r w:rsidR="001A4E8A" w:rsidRPr="008A4C0B">
        <w:rPr>
          <w:spacing w:val="-2"/>
          <w:vertAlign w:val="superscript"/>
        </w:rPr>
        <w:t>6</w:t>
      </w:r>
      <w:r w:rsidR="001A4E8A" w:rsidRPr="008A4C0B">
        <w:rPr>
          <w:spacing w:val="-2"/>
          <w:vertAlign w:val="superscript"/>
        </w:rPr>
        <w:fldChar w:fldCharType="end"/>
      </w:r>
      <w:r w:rsidR="00B24886">
        <w:t xml:space="preserve"> </w:t>
      </w:r>
      <w:r>
        <w:t xml:space="preserve">die </w:t>
      </w:r>
      <w:r w:rsidR="00B325E8">
        <w:t xml:space="preserve">folgende </w:t>
      </w:r>
      <w:r>
        <w:t>Berichtigung von Dokument TGP/14 „Glossar der in den UPOV-Dokumenten verwendeten Begriffe“ (vergleiche Dokument TC/58/31 „Bericht“, Absatz 117 Buchstabe c)):</w:t>
      </w:r>
    </w:p>
    <w:p w14:paraId="2B2D732A" w14:textId="77777777" w:rsidR="00381164" w:rsidRPr="0088502A" w:rsidRDefault="00381164" w:rsidP="00381164">
      <w:pPr>
        <w:keepNext/>
        <w:keepLines/>
      </w:pPr>
    </w:p>
    <w:p w14:paraId="09A7DFBD" w14:textId="45CE8365" w:rsidR="00381164" w:rsidRPr="0088502A" w:rsidRDefault="00381164" w:rsidP="00381164">
      <w:pPr>
        <w:keepNext/>
        <w:ind w:left="567" w:right="459"/>
        <w:rPr>
          <w:sz w:val="18"/>
        </w:rPr>
      </w:pPr>
      <w:r>
        <w:rPr>
          <w:sz w:val="18"/>
        </w:rPr>
        <w:t>„c) TG/280/1 Heuchera</w:t>
      </w:r>
      <w:r w:rsidR="00542140">
        <w:rPr>
          <w:sz w:val="18"/>
        </w:rPr>
        <w:t>,</w:t>
      </w:r>
      <w:r>
        <w:rPr>
          <w:sz w:val="18"/>
        </w:rPr>
        <w:t xml:space="preserve"> Heucherella</w:t>
      </w:r>
      <w:r w:rsidR="00B325E8">
        <w:rPr>
          <w:sz w:val="18"/>
        </w:rPr>
        <w:t> </w:t>
      </w:r>
      <w:r>
        <w:rPr>
          <w:sz w:val="18"/>
        </w:rPr>
        <w:t>/</w:t>
      </w:r>
      <w:r w:rsidR="00B325E8">
        <w:rPr>
          <w:sz w:val="18"/>
        </w:rPr>
        <w:t> </w:t>
      </w:r>
      <w:r>
        <w:rPr>
          <w:sz w:val="18"/>
        </w:rPr>
        <w:t>Dokument TGP/14 „Glossar der in den UPOV-Dokumenten verwendeten Begriffe“</w:t>
      </w:r>
    </w:p>
    <w:p w14:paraId="083F0219" w14:textId="77777777" w:rsidR="00381164" w:rsidRPr="0088502A" w:rsidRDefault="00381164" w:rsidP="00381164">
      <w:pPr>
        <w:keepNext/>
        <w:ind w:left="567" w:right="459"/>
        <w:rPr>
          <w:sz w:val="18"/>
        </w:rPr>
      </w:pPr>
    </w:p>
    <w:p w14:paraId="7440218A" w14:textId="77777777" w:rsidR="00381164" w:rsidRPr="0088502A" w:rsidRDefault="00381164" w:rsidP="00381164">
      <w:pPr>
        <w:keepNext/>
        <w:ind w:left="567" w:right="459"/>
        <w:rPr>
          <w:sz w:val="18"/>
        </w:rPr>
      </w:pPr>
      <w:r>
        <w:rPr>
          <w:sz w:val="18"/>
        </w:rPr>
        <w:t xml:space="preserve">„Die Berichtigung betrifft die folgenden Punkte: </w:t>
      </w:r>
    </w:p>
    <w:p w14:paraId="5B53AEA1" w14:textId="77777777" w:rsidR="00381164" w:rsidRPr="0088502A" w:rsidRDefault="00381164" w:rsidP="00381164">
      <w:pPr>
        <w:keepNext/>
        <w:ind w:left="567" w:right="459"/>
        <w:rPr>
          <w:sz w:val="18"/>
        </w:rPr>
      </w:pPr>
    </w:p>
    <w:p w14:paraId="345F4E4D" w14:textId="77777777" w:rsidR="00381164" w:rsidRPr="0088502A" w:rsidRDefault="00381164" w:rsidP="00381164">
      <w:pPr>
        <w:keepNext/>
        <w:keepLines/>
        <w:ind w:left="567" w:right="459"/>
        <w:rPr>
          <w:sz w:val="18"/>
        </w:rPr>
      </w:pPr>
      <w:r>
        <w:rPr>
          <w:sz w:val="18"/>
        </w:rPr>
        <w:t xml:space="preserve">„• Abschnitt 8.2 Praktisches Beispiel zwei – Venus (Sorte mit mehreren Blattfarben), 45: Blattspreite: Farbe drei: Verteilung: soll lauten: „Zwischen den Adern im </w:t>
      </w:r>
      <w:r>
        <w:rPr>
          <w:strike/>
          <w:sz w:val="18"/>
          <w:highlight w:val="lightGray"/>
        </w:rPr>
        <w:t>Zwischen</w:t>
      </w:r>
      <w:r>
        <w:rPr>
          <w:sz w:val="18"/>
        </w:rPr>
        <w:t xml:space="preserve"> </w:t>
      </w:r>
      <w:r>
        <w:rPr>
          <w:sz w:val="18"/>
          <w:highlight w:val="lightGray"/>
          <w:u w:val="single"/>
        </w:rPr>
        <w:t>Mittelbereich</w:t>
      </w:r>
      <w:r>
        <w:rPr>
          <w:sz w:val="18"/>
        </w:rPr>
        <w:t xml:space="preserve"> (5)“ </w:t>
      </w:r>
    </w:p>
    <w:p w14:paraId="474BA475" w14:textId="77777777" w:rsidR="00381164" w:rsidRPr="0088502A" w:rsidRDefault="00381164" w:rsidP="00381164">
      <w:pPr>
        <w:keepNext/>
        <w:keepLines/>
        <w:ind w:left="567" w:right="459"/>
        <w:rPr>
          <w:sz w:val="18"/>
        </w:rPr>
      </w:pPr>
    </w:p>
    <w:p w14:paraId="3BF0F718" w14:textId="57D71F73" w:rsidR="00381164" w:rsidRPr="0088502A" w:rsidRDefault="00381164" w:rsidP="00381164">
      <w:pPr>
        <w:keepLines/>
        <w:ind w:left="567" w:right="459"/>
        <w:rPr>
          <w:sz w:val="18"/>
        </w:rPr>
      </w:pPr>
      <w:r>
        <w:rPr>
          <w:sz w:val="18"/>
        </w:rPr>
        <w:t xml:space="preserve">„• Diese Erläuterung </w:t>
      </w:r>
      <w:r w:rsidR="00B325E8">
        <w:rPr>
          <w:sz w:val="18"/>
        </w:rPr>
        <w:t>wird</w:t>
      </w:r>
      <w:r>
        <w:rPr>
          <w:sz w:val="18"/>
        </w:rPr>
        <w:t xml:space="preserve"> auch in Dokument TGP/14 „Glossar der in den UPOV-Dokumenten verwendeten Begriffe" wiedergegeben und würde dementsprechend berichtigt.“</w:t>
      </w:r>
    </w:p>
    <w:p w14:paraId="26441E59" w14:textId="77777777" w:rsidR="00381164" w:rsidRPr="0088502A" w:rsidRDefault="00381164" w:rsidP="00381164"/>
    <w:p w14:paraId="1E4D12E0" w14:textId="3E852449" w:rsidR="00381164" w:rsidRPr="0088502A" w:rsidRDefault="00381164" w:rsidP="00381164">
      <w:r w:rsidRPr="0088502A">
        <w:fldChar w:fldCharType="begin"/>
      </w:r>
      <w:r w:rsidRPr="0088502A">
        <w:instrText xml:space="preserve"> AUTONUM  </w:instrText>
      </w:r>
      <w:r w:rsidRPr="0088502A">
        <w:fldChar w:fldCharType="end"/>
      </w:r>
      <w:r>
        <w:tab/>
        <w:t>Die vom Technischen Ausschuss auf seiner achtundfünfzigsten Tagung</w:t>
      </w:r>
      <w:r w:rsidR="001A4E8A" w:rsidRPr="008A4C0B">
        <w:rPr>
          <w:spacing w:val="-2"/>
          <w:vertAlign w:val="superscript"/>
        </w:rPr>
        <w:fldChar w:fldCharType="begin"/>
      </w:r>
      <w:r w:rsidR="001A4E8A" w:rsidRPr="008A4C0B">
        <w:rPr>
          <w:spacing w:val="-2"/>
          <w:vertAlign w:val="superscript"/>
        </w:rPr>
        <w:instrText xml:space="preserve"> NOTEREF _Ref145615980 \h </w:instrText>
      </w:r>
      <w:r w:rsidR="001A4E8A" w:rsidRPr="008A4C0B">
        <w:rPr>
          <w:spacing w:val="-2"/>
          <w:vertAlign w:val="superscript"/>
        </w:rPr>
      </w:r>
      <w:r w:rsidR="001A4E8A">
        <w:rPr>
          <w:spacing w:val="-2"/>
          <w:vertAlign w:val="superscript"/>
        </w:rPr>
        <w:instrText xml:space="preserve"> \* MERGEFORMAT </w:instrText>
      </w:r>
      <w:r w:rsidR="001A4E8A" w:rsidRPr="008A4C0B">
        <w:rPr>
          <w:spacing w:val="-2"/>
          <w:vertAlign w:val="superscript"/>
        </w:rPr>
        <w:fldChar w:fldCharType="separate"/>
      </w:r>
      <w:r w:rsidR="001A4E8A" w:rsidRPr="008A4C0B">
        <w:rPr>
          <w:spacing w:val="-2"/>
          <w:vertAlign w:val="superscript"/>
        </w:rPr>
        <w:t>6</w:t>
      </w:r>
      <w:r w:rsidR="001A4E8A" w:rsidRPr="008A4C0B">
        <w:rPr>
          <w:spacing w:val="-2"/>
          <w:vertAlign w:val="superscript"/>
        </w:rPr>
        <w:fldChar w:fldCharType="end"/>
      </w:r>
      <w:r>
        <w:t xml:space="preserve"> gebilligte Berichtigung des Dokuments TGP/14 „Glossar der in den UPOV-Dokumenten verwendeten Begriffe“</w:t>
      </w:r>
      <w:r>
        <w:rPr>
          <w:spacing w:val="-2"/>
        </w:rPr>
        <w:t xml:space="preserve"> </w:t>
      </w:r>
      <w:r>
        <w:t xml:space="preserve">sollte dem Rat, vorbehaltlich der Zustimmung durch den Verwaltungs- und Rechtsausschuss auf seiner achtzigsten Tagung, auf seiner siebenundfünfzigsten ordentlichen Tagung zur Annahme vorgelegt werden. </w:t>
      </w:r>
    </w:p>
    <w:p w14:paraId="0DD9ED5A" w14:textId="77777777" w:rsidR="00381164" w:rsidRPr="0088502A" w:rsidRDefault="00381164" w:rsidP="00381164"/>
    <w:p w14:paraId="7C733E3A" w14:textId="38FB8A5A" w:rsidR="00381164" w:rsidRPr="0088502A" w:rsidRDefault="00381164" w:rsidP="00381164">
      <w:pPr>
        <w:keepLines/>
        <w:ind w:left="4860"/>
        <w:rPr>
          <w:i/>
          <w:spacing w:val="2"/>
        </w:rPr>
      </w:pPr>
      <w:r w:rsidRPr="0088502A">
        <w:rPr>
          <w:i/>
          <w:spacing w:val="2"/>
        </w:rPr>
        <w:fldChar w:fldCharType="begin"/>
      </w:r>
      <w:r w:rsidRPr="0088502A">
        <w:rPr>
          <w:i/>
          <w:spacing w:val="2"/>
        </w:rPr>
        <w:instrText xml:space="preserve"> AUTONUM  </w:instrText>
      </w:r>
      <w:r w:rsidRPr="0088502A">
        <w:rPr>
          <w:i/>
          <w:spacing w:val="2"/>
        </w:rPr>
        <w:fldChar w:fldCharType="end"/>
      </w:r>
      <w:r>
        <w:rPr>
          <w:i/>
          <w:spacing w:val="2"/>
        </w:rPr>
        <w:tab/>
        <w:t xml:space="preserve">Der Rat wird ersucht, </w:t>
      </w:r>
      <w:r w:rsidR="009503CA">
        <w:rPr>
          <w:i/>
          <w:spacing w:val="2"/>
        </w:rPr>
        <w:t xml:space="preserve">auf seiner </w:t>
      </w:r>
      <w:r w:rsidR="009503CA">
        <w:rPr>
          <w:i/>
        </w:rPr>
        <w:t>achtzigsten</w:t>
      </w:r>
      <w:r w:rsidR="009503CA">
        <w:rPr>
          <w:i/>
          <w:spacing w:val="2"/>
        </w:rPr>
        <w:t xml:space="preserve"> Tagung </w:t>
      </w:r>
      <w:r>
        <w:rPr>
          <w:i/>
          <w:spacing w:val="2"/>
        </w:rPr>
        <w:t>eine Überarbeitung des Dokuments TGP/14 „Glossar der in den UPOV-Dokumenten verwendeten Begriffe“ auf der Grundlage der Berichtigung, wie in Absatz 30 dieses Dokuments dargelegt, vorbehaltlich der Zustimmung durch den Verwaltungs- und Rechtsausschuss</w:t>
      </w:r>
      <w:r w:rsidR="009503CA">
        <w:rPr>
          <w:i/>
          <w:spacing w:val="2"/>
        </w:rPr>
        <w:t>, anzunehmen</w:t>
      </w:r>
      <w:r>
        <w:rPr>
          <w:i/>
          <w:spacing w:val="2"/>
        </w:rPr>
        <w:t>.</w:t>
      </w:r>
    </w:p>
    <w:p w14:paraId="6624EDF3" w14:textId="1A0A4358" w:rsidR="006F28F6" w:rsidRPr="0088502A" w:rsidRDefault="006F28F6" w:rsidP="006F28F6">
      <w:pPr>
        <w:pStyle w:val="Heading1"/>
      </w:pPr>
      <w:bookmarkStart w:id="19" w:name="_Toc145586600"/>
      <w:r>
        <w:t>DEM RAT ZUR ANNAHME VORGESCHLAGENE ANGELEGENHEITEN IM JAHRE 2023 – VORBEHALTLICH DER ZUSTIMMUNG DURCH DEN TECHNISCHEN AUSSCHUSS UND DEN VERWALTUNGS- UND RECHTSAUSSCHUSS</w:t>
      </w:r>
      <w:bookmarkEnd w:id="19"/>
    </w:p>
    <w:p w14:paraId="4A38D037" w14:textId="77777777" w:rsidR="006F28F6" w:rsidRDefault="006F28F6" w:rsidP="00C715E1">
      <w:pPr>
        <w:keepNext/>
        <w:jc w:val="left"/>
        <w:rPr>
          <w:rFonts w:cs="Arial"/>
          <w:snapToGrid w:val="0"/>
        </w:rPr>
      </w:pPr>
    </w:p>
    <w:p w14:paraId="7CEB0E6C" w14:textId="77777777" w:rsidR="008C3964" w:rsidRPr="0088502A" w:rsidRDefault="008C3964" w:rsidP="00A2729A">
      <w:r w:rsidRPr="0088502A">
        <w:fldChar w:fldCharType="begin"/>
      </w:r>
      <w:r w:rsidRPr="0088502A">
        <w:instrText xml:space="preserve"> AUTONUM  </w:instrText>
      </w:r>
      <w:r w:rsidRPr="0088502A">
        <w:fldChar w:fldCharType="end"/>
      </w:r>
      <w:r>
        <w:tab/>
        <w:t>Die folgenden Angelegenheiten werden dem Rat 2023 zur Annahme vorgelegt, vorbehaltlich der Zustimmung durch den Technischen Ausschuss und den Verwaltungs- und Rechtsausschuss auf ihren jeweiligen Tagungen 2023.</w:t>
      </w:r>
    </w:p>
    <w:p w14:paraId="609552B3" w14:textId="3D70127C" w:rsidR="008C3964" w:rsidRDefault="008C3964" w:rsidP="000B0E8D">
      <w:pPr>
        <w:pStyle w:val="Heading3"/>
      </w:pPr>
    </w:p>
    <w:p w14:paraId="0F8200FB" w14:textId="77777777" w:rsidR="000B0E8D" w:rsidRPr="000B0E8D" w:rsidRDefault="000B0E8D" w:rsidP="000B0E8D"/>
    <w:p w14:paraId="5B927478" w14:textId="77777777" w:rsidR="00E95349" w:rsidRPr="0088502A" w:rsidRDefault="00E95349" w:rsidP="000B0E8D">
      <w:pPr>
        <w:pStyle w:val="Heading2"/>
      </w:pPr>
      <w:bookmarkStart w:id="20" w:name="_Toc145586601"/>
      <w:r>
        <w:t>a)</w:t>
      </w:r>
      <w:r>
        <w:tab/>
        <w:t>Informationsdokumente:</w:t>
      </w:r>
      <w:bookmarkEnd w:id="20"/>
    </w:p>
    <w:p w14:paraId="1C8AF876" w14:textId="77777777" w:rsidR="00E95349" w:rsidRPr="0088502A" w:rsidRDefault="00E95349" w:rsidP="00E95349">
      <w:pPr>
        <w:rPr>
          <w:i/>
        </w:rPr>
      </w:pPr>
    </w:p>
    <w:p w14:paraId="1A6A8AAE" w14:textId="41024E5B" w:rsidR="00E95349" w:rsidRPr="0088502A" w:rsidRDefault="00E95349" w:rsidP="000B0E8D">
      <w:pPr>
        <w:pStyle w:val="Heading3"/>
      </w:pPr>
      <w:bookmarkStart w:id="21" w:name="_Toc145586602"/>
      <w:r>
        <w:t>UPOV/INF/16</w:t>
      </w:r>
      <w:r w:rsidR="00DB5B81">
        <w:t xml:space="preserve">: </w:t>
      </w:r>
      <w:r>
        <w:t xml:space="preserve">Austauschbare Software (Überarbeitung) </w:t>
      </w:r>
      <w:r>
        <w:rPr>
          <w:snapToGrid w:val="0"/>
        </w:rPr>
        <w:t>(Dokument UPOV/INF/16/12 Draft 1)</w:t>
      </w:r>
      <w:bookmarkEnd w:id="21"/>
    </w:p>
    <w:p w14:paraId="0456F774" w14:textId="77777777" w:rsidR="00E95349" w:rsidRPr="0088502A" w:rsidRDefault="00E95349" w:rsidP="00E95349">
      <w:pPr>
        <w:rPr>
          <w:spacing w:val="-2"/>
        </w:rPr>
      </w:pPr>
    </w:p>
    <w:p w14:paraId="175FC023" w14:textId="1FD18B99" w:rsidR="00E95349" w:rsidRPr="0088502A" w:rsidRDefault="00E95349" w:rsidP="00436F48">
      <w:pPr>
        <w:keepLines/>
        <w:rPr>
          <w:spacing w:val="2"/>
        </w:rPr>
      </w:pPr>
      <w:r w:rsidRPr="0088502A">
        <w:rPr>
          <w:snapToGrid w:val="0"/>
          <w:spacing w:val="2"/>
        </w:rPr>
        <w:fldChar w:fldCharType="begin"/>
      </w:r>
      <w:r w:rsidRPr="0088502A">
        <w:rPr>
          <w:snapToGrid w:val="0"/>
          <w:spacing w:val="2"/>
        </w:rPr>
        <w:instrText xml:space="preserve"> AUTONUM  </w:instrText>
      </w:r>
      <w:r w:rsidRPr="0088502A">
        <w:rPr>
          <w:snapToGrid w:val="0"/>
          <w:spacing w:val="2"/>
        </w:rPr>
        <w:fldChar w:fldCharType="end"/>
      </w:r>
      <w:r>
        <w:rPr>
          <w:snapToGrid w:val="0"/>
          <w:spacing w:val="2"/>
        </w:rPr>
        <w:tab/>
        <w:t xml:space="preserve">Das Verfahren zur Aufnahme von Informationen in </w:t>
      </w:r>
      <w:r>
        <w:rPr>
          <w:spacing w:val="2"/>
        </w:rPr>
        <w:t xml:space="preserve">Dokument UPOV/INF/16 wird in </w:t>
      </w:r>
      <w:r>
        <w:rPr>
          <w:snapToGrid w:val="0"/>
          <w:spacing w:val="2"/>
        </w:rPr>
        <w:t>Abschnitt 4 des Dokuments dargelegt.</w:t>
      </w:r>
      <w:r w:rsidR="0062652A">
        <w:rPr>
          <w:snapToGrid w:val="0"/>
          <w:spacing w:val="2"/>
        </w:rPr>
        <w:t xml:space="preserve"> </w:t>
      </w:r>
      <w:r>
        <w:rPr>
          <w:spacing w:val="2"/>
        </w:rPr>
        <w:t xml:space="preserve">Das Verbandsbüro </w:t>
      </w:r>
      <w:r w:rsidR="009503CA">
        <w:rPr>
          <w:spacing w:val="2"/>
        </w:rPr>
        <w:t>gab</w:t>
      </w:r>
      <w:r>
        <w:rPr>
          <w:spacing w:val="2"/>
        </w:rPr>
        <w:t xml:space="preserve"> am 26. Mai 2023 das Rundschreiben E-23/081 an die bezeichneten Personen der Verbandsmitglieder im Technischen Ausschuss heraus</w:t>
      </w:r>
      <w:r w:rsidR="009503CA">
        <w:rPr>
          <w:spacing w:val="2"/>
        </w:rPr>
        <w:t xml:space="preserve"> </w:t>
      </w:r>
      <w:r>
        <w:rPr>
          <w:spacing w:val="2"/>
        </w:rPr>
        <w:t xml:space="preserve">und </w:t>
      </w:r>
      <w:r w:rsidR="009503CA">
        <w:rPr>
          <w:spacing w:val="2"/>
        </w:rPr>
        <w:t xml:space="preserve">ersuchte </w:t>
      </w:r>
      <w:r>
        <w:rPr>
          <w:spacing w:val="2"/>
        </w:rPr>
        <w:t xml:space="preserve">diese darin, Informationen betreffend der folgenden Punkte zu erteilen bzw. zu aktualisieren: </w:t>
      </w:r>
      <w:r>
        <w:rPr>
          <w:spacing w:val="2"/>
        </w:rPr>
        <w:br/>
        <w:t xml:space="preserve">1) Software, </w:t>
      </w:r>
      <w:r>
        <w:rPr>
          <w:color w:val="000000"/>
          <w:spacing w:val="2"/>
        </w:rPr>
        <w:t>die von Verbandsmitgliedern für Sortenschutz-Zwecke entwickelt oder individuell angepasst wurde</w:t>
      </w:r>
      <w:r w:rsidR="00DF64E2">
        <w:rPr>
          <w:color w:val="000000"/>
          <w:spacing w:val="2"/>
        </w:rPr>
        <w:t xml:space="preserve">, welche die Verbandsmitglieder </w:t>
      </w:r>
      <w:r>
        <w:rPr>
          <w:color w:val="000000"/>
          <w:spacing w:val="2"/>
        </w:rPr>
        <w:t>anderen Verbandmitgliedern zur Verfügung stellen möchten</w:t>
      </w:r>
      <w:r w:rsidR="00542140">
        <w:rPr>
          <w:spacing w:val="2"/>
        </w:rPr>
        <w:t>,</w:t>
      </w:r>
      <w:r w:rsidR="0062652A">
        <w:rPr>
          <w:spacing w:val="2"/>
        </w:rPr>
        <w:t xml:space="preserve"> </w:t>
      </w:r>
      <w:r>
        <w:rPr>
          <w:spacing w:val="2"/>
        </w:rPr>
        <w:t>und 2) die Nutzung der in Dokument UPOV/INF/16/11 „Austauschbare Software“ enthaltenen Software.</w:t>
      </w:r>
      <w:r w:rsidR="0062652A">
        <w:rPr>
          <w:spacing w:val="2"/>
        </w:rPr>
        <w:t xml:space="preserve"> </w:t>
      </w:r>
      <w:r>
        <w:rPr>
          <w:spacing w:val="2"/>
        </w:rPr>
        <w:t>Antworten gingen aus Argentinien ein und wurden in Dokument UPOV/INF/16/12 Draft 1 aufgenommen.</w:t>
      </w:r>
    </w:p>
    <w:p w14:paraId="4F5AAB85" w14:textId="77777777" w:rsidR="00E95349" w:rsidRPr="0088502A" w:rsidRDefault="00E95349" w:rsidP="00E95349"/>
    <w:p w14:paraId="6472FEFB" w14:textId="0089DE06" w:rsidR="00E95349" w:rsidRPr="0088502A" w:rsidRDefault="00E95349" w:rsidP="00E95349">
      <w:pPr>
        <w:keepLines/>
      </w:pPr>
      <w:r w:rsidRPr="0088502A">
        <w:fldChar w:fldCharType="begin"/>
      </w:r>
      <w:r w:rsidRPr="0088502A">
        <w:instrText xml:space="preserve"> AUTONUM  </w:instrText>
      </w:r>
      <w:r w:rsidRPr="0088502A">
        <w:fldChar w:fldCharType="end"/>
      </w:r>
      <w:r>
        <w:tab/>
        <w:t xml:space="preserve">Eine vereinbarte Überarbeitung des Dokuments </w:t>
      </w:r>
      <w:r>
        <w:rPr>
          <w:spacing w:val="-2"/>
        </w:rPr>
        <w:t xml:space="preserve">UPOV/INF/16/11 „Austauschbare Software“ </w:t>
      </w:r>
      <w:r>
        <w:t xml:space="preserve">sollte dem Rat, vorbehaltlich der Zustimmung durch den Technischen Ausschuss auf seiner neunundfünfzigsten Tagung und den Verwaltungs- und Rechtsausschuss auf seiner achtzigsten Tagung, auf seiner siebenundfünfzigsten ordentlichen Tagung auf der Grundlage der </w:t>
      </w:r>
      <w:r>
        <w:rPr>
          <w:spacing w:val="-2"/>
        </w:rPr>
        <w:t>in Dokument UPOV/INF/16/12 Draft 1</w:t>
      </w:r>
      <w:r>
        <w:t xml:space="preserve"> vorgeschlagenen Überarbeitungen zur Annahme vorgelegt werden.</w:t>
      </w:r>
    </w:p>
    <w:p w14:paraId="2AACD214" w14:textId="77777777" w:rsidR="00E95349" w:rsidRPr="0088502A" w:rsidRDefault="00E95349" w:rsidP="008378AB"/>
    <w:p w14:paraId="43041C83" w14:textId="77777777" w:rsidR="00E95349" w:rsidRPr="0088502A" w:rsidRDefault="00E95349" w:rsidP="00581323">
      <w:pPr>
        <w:keepLines/>
        <w:tabs>
          <w:tab w:val="left" w:pos="5387"/>
          <w:tab w:val="left" w:pos="5954"/>
        </w:tabs>
        <w:spacing w:after="240"/>
        <w:ind w:left="4824"/>
        <w:rPr>
          <w:i/>
        </w:rPr>
      </w:pPr>
      <w:r w:rsidRPr="0088502A">
        <w:rPr>
          <w:i/>
        </w:rPr>
        <w:lastRenderedPageBreak/>
        <w:fldChar w:fldCharType="begin"/>
      </w:r>
      <w:r w:rsidRPr="0088502A">
        <w:rPr>
          <w:i/>
        </w:rPr>
        <w:instrText xml:space="preserve"> AUTONUM  </w:instrText>
      </w:r>
      <w:r w:rsidRPr="0088502A">
        <w:rPr>
          <w:i/>
        </w:rPr>
        <w:fldChar w:fldCharType="end"/>
      </w:r>
      <w:r>
        <w:rPr>
          <w:i/>
        </w:rPr>
        <w:tab/>
        <w:t>Der Rat wird ersucht, die Überarbeitung von Dokument UPOV/INF/16/11 „Austauschbare Software“ auf der Grundlage von Dokument UPOV/INF/16/12 Draft 1 anzunehmen, vorbehaltlich der Zustimmung durch den Technischen Ausschuss und den Verwaltungs- und Rechtsausschuss auf ihren jeweiligen Tagungen 2023.</w:t>
      </w:r>
    </w:p>
    <w:p w14:paraId="0FC69FDD" w14:textId="040CF743" w:rsidR="00E95349" w:rsidRPr="0088502A" w:rsidRDefault="00E95349" w:rsidP="000B0E8D">
      <w:pPr>
        <w:pStyle w:val="Heading3"/>
      </w:pPr>
      <w:bookmarkStart w:id="22" w:name="_Toc145586603"/>
      <w:r>
        <w:t>UPOV/INF/22</w:t>
      </w:r>
      <w:r w:rsidR="00DB5B81">
        <w:t xml:space="preserve">: </w:t>
      </w:r>
      <w:r>
        <w:t>Von Verbandsmitgliedern verwendete Software und Ausrüstung (Überarbeitung)</w:t>
      </w:r>
      <w:r>
        <w:br/>
        <w:t>(Dokument UPOV/INF/22/10 Draft 1)</w:t>
      </w:r>
      <w:bookmarkEnd w:id="22"/>
    </w:p>
    <w:p w14:paraId="51EFA5B2" w14:textId="77777777" w:rsidR="00E95349" w:rsidRPr="0088502A" w:rsidRDefault="00E95349" w:rsidP="00223DD7">
      <w:pPr>
        <w:keepNext/>
      </w:pPr>
    </w:p>
    <w:p w14:paraId="71B47148" w14:textId="39268738" w:rsidR="00C43571" w:rsidRPr="0088502A" w:rsidRDefault="00C43571" w:rsidP="00223DD7">
      <w:pPr>
        <w:keepNext/>
      </w:pPr>
      <w:r w:rsidRPr="0088502A">
        <w:fldChar w:fldCharType="begin"/>
      </w:r>
      <w:r w:rsidRPr="0088502A">
        <w:instrText xml:space="preserve"> AUTONUM  </w:instrText>
      </w:r>
      <w:r w:rsidRPr="0088502A">
        <w:fldChar w:fldCharType="end"/>
      </w:r>
      <w:r>
        <w:tab/>
      </w:r>
      <w:r w:rsidRPr="006339BD">
        <w:rPr>
          <w:rStyle w:val="ui-provider"/>
          <w:rFonts w:ascii="Arial" w:hAnsi="Arial" w:cs="Arial"/>
        </w:rPr>
        <w:t xml:space="preserve">Das Verbandsbüro </w:t>
      </w:r>
      <w:r w:rsidR="005A43DA">
        <w:rPr>
          <w:rStyle w:val="ui-provider"/>
          <w:rFonts w:ascii="Arial" w:hAnsi="Arial" w:cs="Arial"/>
        </w:rPr>
        <w:t>gab</w:t>
      </w:r>
      <w:r w:rsidRPr="006339BD">
        <w:rPr>
          <w:rStyle w:val="ui-provider"/>
          <w:rFonts w:ascii="Arial" w:hAnsi="Arial" w:cs="Arial"/>
        </w:rPr>
        <w:t xml:space="preserve"> am 26. Mai 2023 das Rundschreiben E-23/081 an die bezeichneten Personen der Verbandsmitglieder im Technischen Ausschuss heraus</w:t>
      </w:r>
      <w:r w:rsidR="005A43DA">
        <w:rPr>
          <w:rStyle w:val="ui-provider"/>
          <w:rFonts w:ascii="Arial" w:hAnsi="Arial" w:cs="Arial"/>
        </w:rPr>
        <w:t xml:space="preserve"> </w:t>
      </w:r>
      <w:r w:rsidRPr="006339BD">
        <w:rPr>
          <w:rStyle w:val="ui-provider"/>
          <w:rFonts w:ascii="Arial" w:hAnsi="Arial" w:cs="Arial"/>
        </w:rPr>
        <w:t xml:space="preserve">und </w:t>
      </w:r>
      <w:r w:rsidR="005A43DA">
        <w:rPr>
          <w:rStyle w:val="ui-provider"/>
          <w:rFonts w:ascii="Arial" w:hAnsi="Arial" w:cs="Arial"/>
        </w:rPr>
        <w:t xml:space="preserve">ersuchte </w:t>
      </w:r>
      <w:r w:rsidRPr="006339BD">
        <w:rPr>
          <w:rStyle w:val="ui-provider"/>
          <w:rFonts w:ascii="Arial" w:hAnsi="Arial" w:cs="Arial"/>
        </w:rPr>
        <w:t xml:space="preserve">diese </w:t>
      </w:r>
      <w:r w:rsidR="005A43DA">
        <w:rPr>
          <w:rStyle w:val="ui-provider"/>
          <w:rFonts w:ascii="Arial" w:hAnsi="Arial" w:cs="Arial"/>
        </w:rPr>
        <w:t>darin</w:t>
      </w:r>
      <w:r w:rsidRPr="006339BD">
        <w:rPr>
          <w:rStyle w:val="ui-provider"/>
          <w:rFonts w:ascii="Arial" w:hAnsi="Arial" w:cs="Arial"/>
        </w:rPr>
        <w:t>, Informationen betreffend der von ihnen verwendete Software und Ausrüstung in Dokument UPOV/INF/22/9, „Von Verbandsmitgliedern verwendete Software und Ausrüstung“,</w:t>
      </w:r>
      <w:r>
        <w:t xml:space="preserve"> zu erteilen bzw. zu aktualisieren.</w:t>
      </w:r>
      <w:r w:rsidR="0062652A">
        <w:t xml:space="preserve"> </w:t>
      </w:r>
      <w:r>
        <w:t>Antworten gingen aus Argentinien, Belarus, Kroatien und der Ukraine ein und wurden in Dokument UPOV/INF/22/10 Draft 1 aufgenommen.</w:t>
      </w:r>
    </w:p>
    <w:p w14:paraId="326ACC45" w14:textId="77777777" w:rsidR="00C43571" w:rsidRPr="0088502A" w:rsidRDefault="00C43571" w:rsidP="00E95349"/>
    <w:p w14:paraId="462B494F" w14:textId="77777777" w:rsidR="00E95349" w:rsidRPr="0088502A" w:rsidRDefault="00E95349" w:rsidP="00E95349">
      <w:pPr>
        <w:keepLines/>
      </w:pPr>
      <w:r w:rsidRPr="0088502A">
        <w:fldChar w:fldCharType="begin"/>
      </w:r>
      <w:r w:rsidRPr="0088502A">
        <w:instrText xml:space="preserve"> AUTONUM  </w:instrText>
      </w:r>
      <w:r w:rsidRPr="0088502A">
        <w:fldChar w:fldCharType="end"/>
      </w:r>
      <w:r>
        <w:tab/>
        <w:t xml:space="preserve">Eine vereinbarte Überarbeitung des Dokuments </w:t>
      </w:r>
      <w:r>
        <w:rPr>
          <w:spacing w:val="-2"/>
        </w:rPr>
        <w:t>UPOV/</w:t>
      </w:r>
      <w:r>
        <w:t>INF/22/9 „Von Verbandsmitgliedern verwendete Software und Ausrüstung“</w:t>
      </w:r>
      <w:r>
        <w:rPr>
          <w:spacing w:val="-2"/>
        </w:rPr>
        <w:t xml:space="preserve"> </w:t>
      </w:r>
      <w:r>
        <w:t xml:space="preserve">sollte dem Rat, vorbehaltlich der Zustimmung durch den Technischen Ausschuss auf seiner neunundfünfzigsten Tagung und den Verwaltungs- und Rechtsausschuss auf seiner achtzigsten Tagung, auf seiner siebenundfünfzigsten ordentlichen Tagung auf der Grundlage der </w:t>
      </w:r>
      <w:r>
        <w:rPr>
          <w:spacing w:val="-2"/>
        </w:rPr>
        <w:t>in Dokument</w:t>
      </w:r>
      <w:r>
        <w:t xml:space="preserve"> UPOV/INF/22/10 Draft 1 vorgeschlagenen Überarbeitungen zur Annahme vorgelegt werden.</w:t>
      </w:r>
    </w:p>
    <w:p w14:paraId="05A8382A" w14:textId="77777777" w:rsidR="00E95349" w:rsidRPr="0088502A" w:rsidRDefault="00E95349" w:rsidP="00E95349">
      <w:pPr>
        <w:rPr>
          <w:spacing w:val="-4"/>
        </w:rPr>
      </w:pPr>
    </w:p>
    <w:p w14:paraId="217F5C48" w14:textId="77777777" w:rsidR="00E95349" w:rsidRPr="0088502A" w:rsidRDefault="00E95349" w:rsidP="00E95349">
      <w:pPr>
        <w:keepNext/>
        <w:keepLines/>
        <w:tabs>
          <w:tab w:val="left" w:pos="5387"/>
          <w:tab w:val="left" w:pos="5954"/>
        </w:tabs>
        <w:ind w:left="4820"/>
        <w:rPr>
          <w:i/>
          <w:spacing w:val="-4"/>
        </w:rPr>
      </w:pPr>
      <w:r w:rsidRPr="0088502A">
        <w:rPr>
          <w:i/>
          <w:spacing w:val="-4"/>
        </w:rPr>
        <w:fldChar w:fldCharType="begin"/>
      </w:r>
      <w:r w:rsidRPr="0088502A">
        <w:rPr>
          <w:i/>
          <w:spacing w:val="-4"/>
        </w:rPr>
        <w:instrText xml:space="preserve"> AUTONUM  </w:instrText>
      </w:r>
      <w:r w:rsidRPr="0088502A">
        <w:rPr>
          <w:i/>
          <w:spacing w:val="-4"/>
        </w:rPr>
        <w:fldChar w:fldCharType="end"/>
      </w:r>
      <w:r>
        <w:rPr>
          <w:i/>
          <w:spacing w:val="-4"/>
        </w:rPr>
        <w:tab/>
        <w:t>Der Rat wird ersucht, die Überarbeitung von Dokument UPOV/INF/22/9 „Von Verbandsmitgliedern verwendete Software und Ausrüstung“ auf der Grundlage von Dokument UPOV/INF/22/10 Draft 1 anzunehmen, vorbehaltlich der Zustimmung durch den Technischen Ausschuss und den Verwaltungs- und Rechtsausschuss auf ihren jeweiligen Tagungen 2023.</w:t>
      </w:r>
    </w:p>
    <w:p w14:paraId="2E03F266" w14:textId="77777777" w:rsidR="000D64F4" w:rsidRPr="0088502A" w:rsidRDefault="000D64F4" w:rsidP="00E95349"/>
    <w:p w14:paraId="68770E64" w14:textId="277DB5EC" w:rsidR="00E95349" w:rsidRPr="0088502A" w:rsidRDefault="00E95349" w:rsidP="000B0E8D">
      <w:pPr>
        <w:pStyle w:val="Heading3"/>
      </w:pPr>
      <w:bookmarkStart w:id="23" w:name="_Toc145586604"/>
      <w:r>
        <w:t>UPOV/INF/23</w:t>
      </w:r>
      <w:r w:rsidR="00DB5B81">
        <w:t xml:space="preserve">: </w:t>
      </w:r>
      <w:r>
        <w:t>UPOV-Code-System (Überarbeitung) (Dokument UPOV/INF/23/2 Draft 1)</w:t>
      </w:r>
      <w:bookmarkEnd w:id="23"/>
    </w:p>
    <w:p w14:paraId="3A6FFC47" w14:textId="77777777" w:rsidR="00E95349" w:rsidRPr="0088502A" w:rsidRDefault="00E95349" w:rsidP="00BD6525">
      <w:pPr>
        <w:keepNext/>
      </w:pPr>
    </w:p>
    <w:p w14:paraId="752E037C" w14:textId="373493FA" w:rsidR="00E95349" w:rsidRPr="000B0E8D" w:rsidRDefault="00E95349" w:rsidP="00E95349">
      <w:pPr>
        <w:rPr>
          <w:spacing w:val="2"/>
        </w:rPr>
      </w:pPr>
      <w:r w:rsidRPr="000B0E8D">
        <w:rPr>
          <w:spacing w:val="2"/>
        </w:rPr>
        <w:fldChar w:fldCharType="begin"/>
      </w:r>
      <w:r w:rsidRPr="000B0E8D">
        <w:rPr>
          <w:spacing w:val="2"/>
        </w:rPr>
        <w:instrText xml:space="preserve"> AUTONUM  </w:instrText>
      </w:r>
      <w:r w:rsidRPr="000B0E8D">
        <w:rPr>
          <w:spacing w:val="2"/>
        </w:rPr>
        <w:fldChar w:fldCharType="end"/>
      </w:r>
      <w:r w:rsidRPr="000B0E8D">
        <w:rPr>
          <w:spacing w:val="2"/>
        </w:rPr>
        <w:tab/>
        <w:t>Der TC vereinbarte auf seiner achtundfünfzigsten Tagung</w:t>
      </w:r>
      <w:r w:rsidR="001A4E8A" w:rsidRPr="008A4C0B">
        <w:rPr>
          <w:spacing w:val="-2"/>
          <w:vertAlign w:val="superscript"/>
        </w:rPr>
        <w:fldChar w:fldCharType="begin"/>
      </w:r>
      <w:r w:rsidR="001A4E8A" w:rsidRPr="008A4C0B">
        <w:rPr>
          <w:spacing w:val="-2"/>
          <w:vertAlign w:val="superscript"/>
        </w:rPr>
        <w:instrText xml:space="preserve"> NOTEREF _Ref145615980 \h </w:instrText>
      </w:r>
      <w:r w:rsidR="001A4E8A" w:rsidRPr="008A4C0B">
        <w:rPr>
          <w:spacing w:val="-2"/>
          <w:vertAlign w:val="superscript"/>
        </w:rPr>
      </w:r>
      <w:r w:rsidR="001A4E8A">
        <w:rPr>
          <w:spacing w:val="-2"/>
          <w:vertAlign w:val="superscript"/>
        </w:rPr>
        <w:instrText xml:space="preserve"> \* MERGEFORMAT </w:instrText>
      </w:r>
      <w:r w:rsidR="001A4E8A" w:rsidRPr="008A4C0B">
        <w:rPr>
          <w:spacing w:val="-2"/>
          <w:vertAlign w:val="superscript"/>
        </w:rPr>
        <w:fldChar w:fldCharType="separate"/>
      </w:r>
      <w:r w:rsidR="001A4E8A" w:rsidRPr="008A4C0B">
        <w:rPr>
          <w:spacing w:val="-2"/>
          <w:vertAlign w:val="superscript"/>
        </w:rPr>
        <w:t>6</w:t>
      </w:r>
      <w:r w:rsidR="001A4E8A" w:rsidRPr="008A4C0B">
        <w:rPr>
          <w:spacing w:val="-2"/>
          <w:vertAlign w:val="superscript"/>
        </w:rPr>
        <w:fldChar w:fldCharType="end"/>
      </w:r>
      <w:r w:rsidR="008C28DF" w:rsidRPr="000B0E8D">
        <w:rPr>
          <w:spacing w:val="2"/>
        </w:rPr>
        <w:fldChar w:fldCharType="begin"/>
      </w:r>
      <w:r w:rsidR="008C28DF" w:rsidRPr="000B0E8D">
        <w:rPr>
          <w:spacing w:val="2"/>
        </w:rPr>
        <w:instrText xml:space="preserve"> NOTEREF _Ref138847310 \f \h </w:instrText>
      </w:r>
      <w:r w:rsidR="000B0E8D" w:rsidRPr="000B0E8D">
        <w:rPr>
          <w:spacing w:val="2"/>
        </w:rPr>
        <w:instrText xml:space="preserve"> \* MERGEFORMAT </w:instrText>
      </w:r>
      <w:r w:rsidR="008C28DF" w:rsidRPr="000B0E8D">
        <w:rPr>
          <w:spacing w:val="2"/>
        </w:rPr>
      </w:r>
      <w:r w:rsidR="001A4E8A">
        <w:rPr>
          <w:spacing w:val="2"/>
        </w:rPr>
        <w:fldChar w:fldCharType="separate"/>
      </w:r>
      <w:r w:rsidR="008C28DF" w:rsidRPr="000B0E8D">
        <w:rPr>
          <w:spacing w:val="2"/>
        </w:rPr>
        <w:fldChar w:fldCharType="end"/>
      </w:r>
      <w:r w:rsidRPr="000B0E8D">
        <w:rPr>
          <w:spacing w:val="2"/>
        </w:rPr>
        <w:t>, das Dokument UPOV/INF/23 „UPOV</w:t>
      </w:r>
      <w:r w:rsidR="000B0E8D" w:rsidRPr="000B0E8D">
        <w:rPr>
          <w:spacing w:val="2"/>
        </w:rPr>
        <w:noBreakHyphen/>
      </w:r>
      <w:r w:rsidRPr="000B0E8D">
        <w:rPr>
          <w:spacing w:val="2"/>
        </w:rPr>
        <w:t>Code</w:t>
      </w:r>
      <w:r w:rsidR="000B0E8D" w:rsidRPr="000B0E8D">
        <w:rPr>
          <w:spacing w:val="2"/>
        </w:rPr>
        <w:noBreakHyphen/>
      </w:r>
      <w:r w:rsidRPr="000B0E8D">
        <w:rPr>
          <w:spacing w:val="2"/>
        </w:rPr>
        <w:t>System“ zu überarbeiten und die Höchstzahl der Zeichen zu klären, die im angehängten Element der UPOV</w:t>
      </w:r>
      <w:r w:rsidR="000B0E8D" w:rsidRPr="000B0E8D">
        <w:rPr>
          <w:spacing w:val="2"/>
        </w:rPr>
        <w:noBreakHyphen/>
      </w:r>
      <w:r w:rsidRPr="000B0E8D">
        <w:rPr>
          <w:spacing w:val="2"/>
        </w:rPr>
        <w:t>Codes zu verwenden sind (vergleiche Dokument TC/58/31 „Bericht“, Absatz 22).</w:t>
      </w:r>
    </w:p>
    <w:p w14:paraId="0148A822" w14:textId="77777777" w:rsidR="00E95349" w:rsidRPr="0088502A" w:rsidRDefault="00E95349" w:rsidP="00E95349"/>
    <w:p w14:paraId="5B66CC09" w14:textId="77777777" w:rsidR="00E95349" w:rsidRPr="0088502A" w:rsidRDefault="00E95349" w:rsidP="00E95349">
      <w:pPr>
        <w:keepLines/>
      </w:pPr>
      <w:r w:rsidRPr="0088502A">
        <w:fldChar w:fldCharType="begin"/>
      </w:r>
      <w:r w:rsidRPr="0088502A">
        <w:instrText xml:space="preserve"> AUTONUM  </w:instrText>
      </w:r>
      <w:r w:rsidRPr="0088502A">
        <w:fldChar w:fldCharType="end"/>
      </w:r>
      <w:r>
        <w:tab/>
        <w:t>Eine vereinbarte Überarbeitung des Dokuments UPOV/INF/23/1 „UPOV-Code-System“</w:t>
      </w:r>
      <w:r>
        <w:rPr>
          <w:spacing w:val="-2"/>
        </w:rPr>
        <w:t xml:space="preserve"> </w:t>
      </w:r>
      <w:r>
        <w:t xml:space="preserve">sollte dem Rat, vorbehaltlich der Zustimmung durch den Verwaltungs- und Rechtsausschuss auf seiner achtzigsten Tagung, auf seiner siebenundfünfzigsten ordentlichen Tagung auf Grundlage der </w:t>
      </w:r>
      <w:r>
        <w:rPr>
          <w:spacing w:val="-2"/>
        </w:rPr>
        <w:t>in Dokument</w:t>
      </w:r>
      <w:r>
        <w:t xml:space="preserve"> UPOV/INF/23/2 Draft 1 vorgeschlagenen Überarbeitungen zur Annahme vorgelegt werden.</w:t>
      </w:r>
    </w:p>
    <w:p w14:paraId="11AE4B24" w14:textId="77777777" w:rsidR="00361C74" w:rsidRPr="0088502A" w:rsidRDefault="00361C74" w:rsidP="00E95349"/>
    <w:p w14:paraId="66856929" w14:textId="6E79DEEB" w:rsidR="00E95349" w:rsidRPr="000B0E8D" w:rsidRDefault="00E95349" w:rsidP="000B0E8D">
      <w:pPr>
        <w:keepLines/>
        <w:ind w:left="4867"/>
        <w:rPr>
          <w:i/>
          <w:spacing w:val="-2"/>
        </w:rPr>
      </w:pPr>
      <w:r w:rsidRPr="000B0E8D">
        <w:rPr>
          <w:i/>
          <w:spacing w:val="-2"/>
        </w:rPr>
        <w:fldChar w:fldCharType="begin"/>
      </w:r>
      <w:r w:rsidRPr="000B0E8D">
        <w:rPr>
          <w:i/>
          <w:spacing w:val="-2"/>
        </w:rPr>
        <w:instrText xml:space="preserve"> AUTONUM  </w:instrText>
      </w:r>
      <w:r w:rsidRPr="000B0E8D">
        <w:rPr>
          <w:i/>
          <w:spacing w:val="-2"/>
        </w:rPr>
        <w:fldChar w:fldCharType="end"/>
      </w:r>
      <w:r w:rsidRPr="000B0E8D">
        <w:rPr>
          <w:i/>
          <w:spacing w:val="-2"/>
        </w:rPr>
        <w:tab/>
        <w:t>Der Rat wird ersucht, die Überarbeitung von Dokument UPOV/INF/23/1 „UPOV</w:t>
      </w:r>
      <w:r w:rsidRPr="000B0E8D">
        <w:rPr>
          <w:i/>
          <w:spacing w:val="-2"/>
        </w:rPr>
        <w:noBreakHyphen/>
        <w:t>Code-System“ auf der Grundlage von Dokument UPOV/INF/23/2 Draft 1 anzunehmen, vorbehaltlich der Zustimmung durch den Technischen Ausschuss und den Verwaltungs- und Rechtsausschuss auf ihren jeweiligen Tagungen 2023.</w:t>
      </w:r>
    </w:p>
    <w:p w14:paraId="5469CA77" w14:textId="6C7E83EA" w:rsidR="000B0E8D" w:rsidRDefault="000B0E8D" w:rsidP="000B0E8D"/>
    <w:p w14:paraId="4C97915B" w14:textId="77777777" w:rsidR="000B0E8D" w:rsidRPr="000B0E8D" w:rsidRDefault="000B0E8D" w:rsidP="000B0E8D"/>
    <w:p w14:paraId="272035DE" w14:textId="77777777" w:rsidR="00E95349" w:rsidRPr="0088502A" w:rsidRDefault="00E95349" w:rsidP="000B0E8D">
      <w:pPr>
        <w:pStyle w:val="Heading2"/>
      </w:pPr>
      <w:bookmarkStart w:id="24" w:name="_Toc145586605"/>
      <w:r>
        <w:t>b)</w:t>
      </w:r>
      <w:r>
        <w:tab/>
        <w:t>Erläuterungen:</w:t>
      </w:r>
      <w:bookmarkEnd w:id="24"/>
    </w:p>
    <w:p w14:paraId="19BF55AD" w14:textId="77777777" w:rsidR="00E95349" w:rsidRPr="0088502A" w:rsidRDefault="00E95349" w:rsidP="00CF2959">
      <w:pPr>
        <w:keepLines/>
        <w:ind w:left="567"/>
        <w:jc w:val="left"/>
      </w:pPr>
    </w:p>
    <w:p w14:paraId="5C468106" w14:textId="0894B5BD" w:rsidR="00E95349" w:rsidRPr="0088502A" w:rsidRDefault="00E95349" w:rsidP="000B0E8D">
      <w:pPr>
        <w:pStyle w:val="Heading3"/>
      </w:pPr>
      <w:bookmarkStart w:id="25" w:name="_Toc145586606"/>
      <w:r>
        <w:t>UPOV/EXN/DEN</w:t>
      </w:r>
      <w:r w:rsidR="00DB5B81">
        <w:rPr>
          <w:b/>
        </w:rPr>
        <w:t xml:space="preserve">: </w:t>
      </w:r>
      <w:r>
        <w:t>Erläuterungen zu Sortenbezeichnungen nach dem UPOV-Übereinkommen (Überarbeitung) (</w:t>
      </w:r>
      <w:r>
        <w:rPr>
          <w:rFonts w:cs="Arial"/>
          <w:snapToGrid w:val="0"/>
        </w:rPr>
        <w:t>Anlage I dieses Dokuments)</w:t>
      </w:r>
      <w:bookmarkEnd w:id="25"/>
    </w:p>
    <w:p w14:paraId="17D09F58" w14:textId="77777777" w:rsidR="00E95349" w:rsidRPr="0088502A" w:rsidRDefault="00E95349" w:rsidP="00E95349"/>
    <w:p w14:paraId="397DB67B" w14:textId="77777777" w:rsidR="00CF541E" w:rsidRPr="0088502A" w:rsidRDefault="00CF541E" w:rsidP="00CF2959">
      <w:pPr>
        <w:pStyle w:val="Heading4"/>
      </w:pPr>
      <w:bookmarkStart w:id="26" w:name="_Toc129334471"/>
      <w:bookmarkStart w:id="27" w:name="_Toc137831129"/>
      <w:bookmarkStart w:id="28" w:name="_Toc145586607"/>
      <w:r>
        <w:t xml:space="preserve">Neue Sortenbezeichnungsklassen für </w:t>
      </w:r>
      <w:r>
        <w:rPr>
          <w:i/>
          <w:iCs/>
        </w:rPr>
        <w:t>Allium</w:t>
      </w:r>
      <w:bookmarkEnd w:id="26"/>
      <w:bookmarkEnd w:id="27"/>
      <w:bookmarkEnd w:id="28"/>
    </w:p>
    <w:p w14:paraId="26CE5969" w14:textId="77777777" w:rsidR="00CF541E" w:rsidRPr="0088502A" w:rsidRDefault="00CF541E" w:rsidP="00CF541E">
      <w:pPr>
        <w:keepNext/>
      </w:pPr>
    </w:p>
    <w:p w14:paraId="5548EAFC" w14:textId="7DA89F1A" w:rsidR="00CF541E" w:rsidRPr="0088502A" w:rsidRDefault="00CF541E" w:rsidP="00CF541E">
      <w:r w:rsidRPr="0088502A">
        <w:fldChar w:fldCharType="begin"/>
      </w:r>
      <w:r w:rsidRPr="0088502A">
        <w:instrText xml:space="preserve"> AUTONUM  </w:instrText>
      </w:r>
      <w:r w:rsidRPr="0088502A">
        <w:fldChar w:fldCharType="end"/>
      </w:r>
      <w:r>
        <w:tab/>
        <w:t xml:space="preserve">Die TWV und TWO vereinbarten auf ihren Tagungen 2023, die Bildung neuer Sortenbezeichnungsklassen innerhalb der Gattung </w:t>
      </w:r>
      <w:r>
        <w:rPr>
          <w:i/>
        </w:rPr>
        <w:t>Allium</w:t>
      </w:r>
      <w:r>
        <w:t xml:space="preserve"> vorzuschlagen, wie in Anlage I dieses Dokuments unter Vorschlag 1 dargelegt (vergleiche Dokumente TWV/57/26 „</w:t>
      </w:r>
      <w:r>
        <w:rPr>
          <w:i/>
          <w:iCs/>
        </w:rPr>
        <w:t>Report</w:t>
      </w:r>
      <w:r>
        <w:t>“, Absatz 38, und TWO/55/11 „</w:t>
      </w:r>
      <w:r>
        <w:rPr>
          <w:i/>
          <w:iCs/>
        </w:rPr>
        <w:t>Report</w:t>
      </w:r>
      <w:r>
        <w:t xml:space="preserve">”, Absatz 27). </w:t>
      </w:r>
    </w:p>
    <w:p w14:paraId="696B9737" w14:textId="77777777" w:rsidR="00BD6525" w:rsidRPr="0088502A" w:rsidRDefault="00BD6525" w:rsidP="00E95349">
      <w:bookmarkStart w:id="29" w:name="_Hlk142986039"/>
    </w:p>
    <w:p w14:paraId="5F9518BB" w14:textId="77777777" w:rsidR="00CF541E" w:rsidRPr="0088502A" w:rsidRDefault="00CF541E" w:rsidP="00CF2959">
      <w:pPr>
        <w:pStyle w:val="Heading4"/>
      </w:pPr>
      <w:bookmarkStart w:id="30" w:name="_Toc137831130"/>
      <w:bookmarkStart w:id="31" w:name="_Toc145586608"/>
      <w:r>
        <w:lastRenderedPageBreak/>
        <w:t xml:space="preserve">Neue Sortenbezeichnungsklassen für </w:t>
      </w:r>
      <w:r>
        <w:rPr>
          <w:i/>
          <w:iCs/>
        </w:rPr>
        <w:t>Prunus</w:t>
      </w:r>
      <w:bookmarkEnd w:id="30"/>
      <w:bookmarkEnd w:id="31"/>
    </w:p>
    <w:p w14:paraId="75E2B285" w14:textId="77777777" w:rsidR="009E4252" w:rsidRPr="0088502A" w:rsidRDefault="009E4252" w:rsidP="00CF541E"/>
    <w:p w14:paraId="14E78A6F" w14:textId="13319DF9" w:rsidR="003A1CE4" w:rsidRPr="0088502A" w:rsidRDefault="003A1CE4" w:rsidP="003A1CE4">
      <w:r w:rsidRPr="0088502A">
        <w:fldChar w:fldCharType="begin"/>
      </w:r>
      <w:r w:rsidRPr="0088502A">
        <w:instrText xml:space="preserve"> AUTONUM  </w:instrText>
      </w:r>
      <w:r w:rsidRPr="0088502A">
        <w:fldChar w:fldCharType="end"/>
      </w:r>
      <w:r>
        <w:tab/>
        <w:t xml:space="preserve">Die TWF vereinbarte, die Bildung neuer Ausnahme-Sortenbezeichnungsklassen für </w:t>
      </w:r>
      <w:r>
        <w:rPr>
          <w:i/>
        </w:rPr>
        <w:t>Prunus</w:t>
      </w:r>
      <w:r>
        <w:t xml:space="preserve"> vorzuschlagen, wie in Anlage I dieses Dokuments unter Vorschlag 2 dargelegt. Die TWF war sich einig, dass die Züchtung neuer </w:t>
      </w:r>
      <w:r>
        <w:rPr>
          <w:i/>
        </w:rPr>
        <w:t>Prunus</w:t>
      </w:r>
      <w:r>
        <w:t xml:space="preserve"> Sorten zu komplexen Hybriden führen könn</w:t>
      </w:r>
      <w:r w:rsidR="00845CF4">
        <w:t>t</w:t>
      </w:r>
      <w:r>
        <w:t xml:space="preserve">e, </w:t>
      </w:r>
      <w:r w:rsidR="00845CF4">
        <w:t>die</w:t>
      </w:r>
      <w:r>
        <w:t xml:space="preserve"> die Verwendung von mehr als einer Sortenbezeichnungsklasse sowie eine sorgfältige Auslegung der Nomenklatur erforderlich mache</w:t>
      </w:r>
      <w:r w:rsidR="00845CF4">
        <w:t>n könnten</w:t>
      </w:r>
      <w:r>
        <w:t xml:space="preserve"> (vergleiche Anlage I und Dokument TWF/54/13 „</w:t>
      </w:r>
      <w:r>
        <w:rPr>
          <w:i/>
          <w:iCs/>
        </w:rPr>
        <w:t>Report</w:t>
      </w:r>
      <w:r>
        <w:t>“, Absätze 29 bis 31).</w:t>
      </w:r>
    </w:p>
    <w:p w14:paraId="11B69061" w14:textId="77777777" w:rsidR="00CF541E" w:rsidRPr="0088502A" w:rsidRDefault="00CF541E" w:rsidP="00CF541E"/>
    <w:p w14:paraId="4F7B33B8" w14:textId="53E9796E" w:rsidR="00B63151" w:rsidRDefault="00E62F26" w:rsidP="008679DF">
      <w:r w:rsidRPr="0088502A">
        <w:fldChar w:fldCharType="begin"/>
      </w:r>
      <w:r w:rsidRPr="0088502A">
        <w:instrText xml:space="preserve"> AUTONUM  </w:instrText>
      </w:r>
      <w:r w:rsidRPr="0088502A">
        <w:fldChar w:fldCharType="end"/>
      </w:r>
      <w:r>
        <w:tab/>
        <w:t xml:space="preserve"> Wie in Anlage I, Vorschlag 2, Absatz 6 dargelegt, würde dieser Ansatz eine Anforderung von Sortenbezeichnungen für Arthybriden einführen, die sich von den Sortenbezeichnungen in den Kassen aller Elternarten unterschieden.</w:t>
      </w:r>
      <w:r w:rsidR="0062652A">
        <w:t xml:space="preserve"> </w:t>
      </w:r>
      <w:r>
        <w:t>Eine ähnliche Anforderung besteht bereits für Sorten, die ausschließlich anhand ihrer Gattung identifiziert werden und bei denen die Sorte zu einer der Bezeichnungsklassen gehört, die in Dokument UPOV/EXN/DEN, Klassenliste, Teil I, „Klassen innerhalb einer Gattung“, aufgeführt sind.</w:t>
      </w:r>
    </w:p>
    <w:bookmarkEnd w:id="29"/>
    <w:p w14:paraId="21B5A1F8" w14:textId="77777777" w:rsidR="008232AC" w:rsidRPr="0088502A" w:rsidRDefault="008232AC" w:rsidP="00CF541E"/>
    <w:p w14:paraId="50137D1C" w14:textId="4DCFE4F2" w:rsidR="00CF541E" w:rsidRPr="0088502A" w:rsidRDefault="007A39F1" w:rsidP="00CF2959">
      <w:pPr>
        <w:pStyle w:val="Heading4"/>
        <w:rPr>
          <w:lang w:eastAsia="nl-NL"/>
        </w:rPr>
      </w:pPr>
      <w:bookmarkStart w:id="32" w:name="_Toc145586609"/>
      <w:bookmarkStart w:id="33" w:name="_Toc137831131"/>
      <w:r>
        <w:t xml:space="preserve">Sortengruppen für </w:t>
      </w:r>
      <w:r>
        <w:rPr>
          <w:i/>
          <w:iCs/>
        </w:rPr>
        <w:t>Beta</w:t>
      </w:r>
      <w:bookmarkEnd w:id="32"/>
      <w:r>
        <w:t xml:space="preserve"> </w:t>
      </w:r>
      <w:bookmarkEnd w:id="33"/>
    </w:p>
    <w:p w14:paraId="16B38918" w14:textId="77777777" w:rsidR="00CF541E" w:rsidRPr="0088502A" w:rsidRDefault="00CF541E" w:rsidP="00CF541E">
      <w:pPr>
        <w:keepNext/>
        <w:keepLines/>
      </w:pPr>
    </w:p>
    <w:p w14:paraId="009F231B" w14:textId="2AAC391B" w:rsidR="00CF541E" w:rsidRPr="0088502A" w:rsidRDefault="00CF541E" w:rsidP="00CF541E">
      <w:pPr>
        <w:keepNext/>
        <w:keepLines/>
      </w:pPr>
      <w:r w:rsidRPr="0088502A">
        <w:fldChar w:fldCharType="begin"/>
      </w:r>
      <w:r w:rsidRPr="0088502A">
        <w:instrText xml:space="preserve"> AUTONUM  </w:instrText>
      </w:r>
      <w:r w:rsidRPr="0088502A">
        <w:fldChar w:fldCharType="end"/>
      </w:r>
      <w:r>
        <w:tab/>
        <w:t xml:space="preserve">Die TWV und die TWA vereinbarten auf ihren Tagungen 2023 die Bildung von Sortengruppen für die UPOV-Codes </w:t>
      </w:r>
      <w:r>
        <w:rPr>
          <w:i/>
        </w:rPr>
        <w:t xml:space="preserve">Beta vulgaris </w:t>
      </w:r>
      <w:r>
        <w:t xml:space="preserve">L. ssp. </w:t>
      </w:r>
      <w:r>
        <w:rPr>
          <w:i/>
        </w:rPr>
        <w:t>vulgaris</w:t>
      </w:r>
      <w:r>
        <w:t xml:space="preserve">, wie in Anlage I dieses Dokuments unter Vorschlag 3 dargelegt, mit den folgenden </w:t>
      </w:r>
      <w:r>
        <w:rPr>
          <w:rFonts w:cs="Maiandra GD"/>
          <w:snapToGrid w:val="0"/>
          <w:color w:val="000000"/>
          <w:szCs w:val="18"/>
        </w:rPr>
        <w:t xml:space="preserve">Sortengruppennamen: Futterrübe, Rote Rübe, Mangold und Zuckerrüben </w:t>
      </w:r>
      <w:r>
        <w:t>(vergleiche Dokumente TWV/57/26 „</w:t>
      </w:r>
      <w:r>
        <w:rPr>
          <w:i/>
          <w:iCs/>
        </w:rPr>
        <w:t>Report</w:t>
      </w:r>
      <w:r>
        <w:t>“, Absätze 40 und 41, und TWA/52/11 „</w:t>
      </w:r>
      <w:r>
        <w:rPr>
          <w:i/>
          <w:iCs/>
        </w:rPr>
        <w:t>Report</w:t>
      </w:r>
      <w:r>
        <w:t xml:space="preserve">“, Absätze 31 und 32). </w:t>
      </w:r>
    </w:p>
    <w:p w14:paraId="74127DED" w14:textId="77777777" w:rsidR="00CF541E" w:rsidRPr="0088502A" w:rsidRDefault="00CF541E" w:rsidP="00E95349"/>
    <w:p w14:paraId="0475D301" w14:textId="77777777" w:rsidR="00E95349" w:rsidRPr="0088502A" w:rsidRDefault="00E95349" w:rsidP="00E95349">
      <w:pPr>
        <w:keepLines/>
      </w:pPr>
      <w:r w:rsidRPr="0088502A">
        <w:fldChar w:fldCharType="begin"/>
      </w:r>
      <w:r w:rsidRPr="0088502A">
        <w:instrText xml:space="preserve"> AUTONUM  </w:instrText>
      </w:r>
      <w:r w:rsidRPr="0088502A">
        <w:fldChar w:fldCharType="end"/>
      </w:r>
      <w:r>
        <w:tab/>
        <w:t xml:space="preserve">Eine vereinbarte Fassung des Dokuments UPOV/EXN/DEN „Erläuterungen zu Sortenbezeichnungen nach dem UPOV-Übereinkommen“ sollte dem Rat, vorbehaltlich der Zustimmung durch den Technischen Ausschuss auf seiner neunundfünfzigsten Tagung und den Verwaltungs- und Rechtsausschuss auf seiner achtzigsten Tagung, auf seiner siebenundfünfzigsten ordentlichen Tagung auf der Grundlage der in </w:t>
      </w:r>
      <w:r>
        <w:rPr>
          <w:spacing w:val="-2"/>
        </w:rPr>
        <w:t>Anlage I dieses Dokuments</w:t>
      </w:r>
      <w:r>
        <w:t xml:space="preserve"> vorgeschlagenen Überarbeitungen zur Annahme vorgelegt werden.</w:t>
      </w:r>
    </w:p>
    <w:p w14:paraId="372C8D94" w14:textId="77777777" w:rsidR="00E95349" w:rsidRPr="0088502A" w:rsidRDefault="00E95349" w:rsidP="00E95349"/>
    <w:p w14:paraId="434033CB" w14:textId="6F8E31C7" w:rsidR="00E95349" w:rsidRPr="0088502A" w:rsidRDefault="00E95349" w:rsidP="00BD6525">
      <w:pPr>
        <w:keepNext/>
        <w:keepLines/>
        <w:tabs>
          <w:tab w:val="left" w:pos="5387"/>
          <w:tab w:val="left" w:pos="5954"/>
        </w:tabs>
        <w:ind w:left="4820"/>
        <w:rPr>
          <w:i/>
        </w:rPr>
      </w:pPr>
      <w:r w:rsidRPr="0088502A">
        <w:rPr>
          <w:i/>
        </w:rPr>
        <w:fldChar w:fldCharType="begin"/>
      </w:r>
      <w:r w:rsidRPr="0088502A">
        <w:rPr>
          <w:i/>
        </w:rPr>
        <w:instrText xml:space="preserve"> AUTONUM  </w:instrText>
      </w:r>
      <w:r w:rsidRPr="0088502A">
        <w:rPr>
          <w:i/>
        </w:rPr>
        <w:fldChar w:fldCharType="end"/>
      </w:r>
      <w:r>
        <w:rPr>
          <w:i/>
        </w:rPr>
        <w:tab/>
        <w:t xml:space="preserve">Der Rat wird ersucht, eine Überarbeitung des Dokuments UPOV/EXN/DEN/1 „Erläuterungen zu Sortenbezeichnungen nach dem UPOV-Übereinkommen“ auf der Grundlage der vorgeschlagenen Änderungen, wie in Anlage I dieses Dokuments unter Vorschlag 1 (Allium), 2 (Prunus) und 3 (Beta) dargelegt, </w:t>
      </w:r>
      <w:r w:rsidR="00845CF4">
        <w:rPr>
          <w:i/>
        </w:rPr>
        <w:t xml:space="preserve">anzunehmen, </w:t>
      </w:r>
      <w:r>
        <w:rPr>
          <w:i/>
        </w:rPr>
        <w:t>vorbehaltlich der Zustimmung durch den Technischen Ausschuss und den Verwaltungs- und Rechtsausschuss auf ihren jeweiligen Tagungen 2023.</w:t>
      </w:r>
    </w:p>
    <w:p w14:paraId="110FC219" w14:textId="6BA0E436" w:rsidR="00E95349" w:rsidRDefault="00E95349" w:rsidP="00E95349"/>
    <w:p w14:paraId="165FCE27" w14:textId="77777777" w:rsidR="000B0E8D" w:rsidRPr="0088502A" w:rsidRDefault="000B0E8D" w:rsidP="00E95349"/>
    <w:p w14:paraId="2495FA46" w14:textId="77777777" w:rsidR="00E95349" w:rsidRPr="0088502A" w:rsidRDefault="00E95349" w:rsidP="000B0E8D">
      <w:pPr>
        <w:pStyle w:val="Heading2"/>
      </w:pPr>
      <w:bookmarkStart w:id="34" w:name="_Toc145586610"/>
      <w:r>
        <w:t>c)</w:t>
      </w:r>
      <w:r>
        <w:tab/>
        <w:t>TGP-Dokumente:</w:t>
      </w:r>
      <w:bookmarkEnd w:id="34"/>
    </w:p>
    <w:p w14:paraId="28AF03F5" w14:textId="77777777" w:rsidR="00AF20CC" w:rsidRPr="0088502A" w:rsidRDefault="00AF20CC" w:rsidP="00AF20CC"/>
    <w:p w14:paraId="5D378E24" w14:textId="1D391315" w:rsidR="00AF20CC" w:rsidRPr="000B0E8D" w:rsidRDefault="00AF20CC" w:rsidP="000B0E8D">
      <w:pPr>
        <w:pStyle w:val="Heading3"/>
      </w:pPr>
      <w:bookmarkStart w:id="35" w:name="_Toc145586611"/>
      <w:r w:rsidRPr="000B0E8D">
        <w:t xml:space="preserve">Dokument TGP/7 „Erstellung von Prüfungsrichtlinien“, GN 13, Absatz 3.6, (Überarbeitung): Krankheitsresistenzmerkmale: Hinzufügung von Ausprägungsstufen und Platzierung von Krankheitsresistenzmerkmalen ohne Sternchen in Abschnitt 5 des Technischen Fragebogens </w:t>
      </w:r>
      <w:r w:rsidR="000B0E8D">
        <w:br/>
      </w:r>
      <w:r w:rsidRPr="000B0E8D">
        <w:t>(Anlage II dieses Dokuments)</w:t>
      </w:r>
      <w:bookmarkEnd w:id="35"/>
    </w:p>
    <w:p w14:paraId="3754E780" w14:textId="77777777" w:rsidR="00AF20CC" w:rsidRPr="0088502A" w:rsidRDefault="00AF20CC" w:rsidP="00AF20CC">
      <w:pPr>
        <w:keepNext/>
      </w:pPr>
    </w:p>
    <w:p w14:paraId="4F41ECF8" w14:textId="77777777" w:rsidR="00AF20CC" w:rsidRPr="0088502A" w:rsidRDefault="00AF20CC" w:rsidP="00AF20CC">
      <w:r w:rsidRPr="0088502A">
        <w:fldChar w:fldCharType="begin"/>
      </w:r>
      <w:r w:rsidRPr="0088502A">
        <w:instrText xml:space="preserve"> AUTONUM  </w:instrText>
      </w:r>
      <w:r w:rsidRPr="0088502A">
        <w:fldChar w:fldCharType="end"/>
      </w:r>
      <w:r>
        <w:tab/>
        <w:t>Die TWV und die TWA vereinbarten auf ihren Tagungen 2023 die Überarbeitung von Dokument TGP/7 GN 13 „Merkmale mit besonderen Funktionen“, um zu klären, dass nicht in der Merkmalstabelle mit einem Sternchen angegebene Krankheitsresistenzmerkmale in Abschnitt 5 der Technischen Fragebögen (TQ) mit dem Zusatz einer Ausprägungsstufe „nicht geprüft” dargestellt werden dürfen, sofern das Merkmal nicht als Gruppierungsmerkmal verwendet wurde (vergleiche Dokumente TWV/57/26 „</w:t>
      </w:r>
      <w:r>
        <w:rPr>
          <w:i/>
          <w:iCs/>
        </w:rPr>
        <w:t>Report</w:t>
      </w:r>
      <w:r>
        <w:t>“, Absatz 14, und TWA/52/11 „</w:t>
      </w:r>
      <w:r>
        <w:rPr>
          <w:i/>
          <w:iCs/>
        </w:rPr>
        <w:t>Report</w:t>
      </w:r>
      <w:r>
        <w:t>“, Absatz 19).</w:t>
      </w:r>
    </w:p>
    <w:p w14:paraId="2F2CCD45" w14:textId="77777777" w:rsidR="00AF20CC" w:rsidRPr="0088502A" w:rsidRDefault="00AF20CC" w:rsidP="00AF20CC"/>
    <w:p w14:paraId="64CBAE79" w14:textId="4B5AAFC8" w:rsidR="00AF20CC" w:rsidRPr="0088502A" w:rsidRDefault="00AF20CC" w:rsidP="00AF20CC">
      <w:r w:rsidRPr="0088502A">
        <w:fldChar w:fldCharType="begin"/>
      </w:r>
      <w:r w:rsidRPr="0088502A">
        <w:instrText xml:space="preserve"> AUTONUM  </w:instrText>
      </w:r>
      <w:r w:rsidRPr="0088502A">
        <w:fldChar w:fldCharType="end"/>
      </w:r>
      <w:r>
        <w:tab/>
      </w:r>
      <w:r w:rsidR="006A5249">
        <w:t>Vorbehaltlich der Zustimmung durch den Technischen Ausschuss auf seiner neunundfünfzigsten Tagung und den Verwaltungs- und Rechtsausschuss auf seiner achtzigsten Tagung sollte e</w:t>
      </w:r>
      <w:r>
        <w:t>ine vereinbarte Fassung des Dokuments TGP/7 „Erstellung von Prüfungsrichtlinien“ dem Rat auf seiner siebenundfünfzigsten ordentlichen Tagung auf der Grundlage der in Anlage II dieses Dokuments vorgeschlagenen Änderungen zur Annahme vorgelegt werden</w:t>
      </w:r>
      <w:r w:rsidR="006A5249">
        <w:t>.</w:t>
      </w:r>
    </w:p>
    <w:p w14:paraId="74F15310" w14:textId="77777777" w:rsidR="00AF20CC" w:rsidRPr="0088502A" w:rsidRDefault="00AF20CC" w:rsidP="00AF20CC"/>
    <w:p w14:paraId="690C775C" w14:textId="7A054B26" w:rsidR="00E95349" w:rsidRPr="0088502A" w:rsidRDefault="00E95349" w:rsidP="000B0E8D">
      <w:pPr>
        <w:pStyle w:val="Heading3"/>
      </w:pPr>
      <w:bookmarkStart w:id="36" w:name="_Toc145586612"/>
      <w:r>
        <w:t>TGP/12</w:t>
      </w:r>
      <w:r w:rsidR="00DB5B81">
        <w:t xml:space="preserve">: </w:t>
      </w:r>
      <w:r>
        <w:t>Anleitung zu bestimmten physiologischen Merkmalen (Überarbeitung)</w:t>
      </w:r>
      <w:r w:rsidR="000B0E8D">
        <w:t xml:space="preserve">: </w:t>
      </w:r>
      <w:r>
        <w:t>Beispiel von Krankheitsresistenzmerkmalen (vergleiche Anlage IV dieses Dokuments)</w:t>
      </w:r>
      <w:bookmarkEnd w:id="36"/>
    </w:p>
    <w:p w14:paraId="1E4BE9A7" w14:textId="77777777" w:rsidR="00E95349" w:rsidRPr="0088502A" w:rsidRDefault="00E95349" w:rsidP="00E7615F"/>
    <w:p w14:paraId="614F6E5A" w14:textId="66DA5C26" w:rsidR="00E7615F" w:rsidRPr="0088502A" w:rsidRDefault="00E7615F" w:rsidP="00E7615F">
      <w:r w:rsidRPr="0088502A">
        <w:fldChar w:fldCharType="begin"/>
      </w:r>
      <w:r w:rsidRPr="0088502A">
        <w:instrText xml:space="preserve"> AUTONUM  </w:instrText>
      </w:r>
      <w:r w:rsidRPr="0088502A">
        <w:fldChar w:fldCharType="end"/>
      </w:r>
      <w:r>
        <w:tab/>
        <w:t>Den Hintergrund zu diesem Thema liefert die Anlage IV dieses Dokuments.</w:t>
      </w:r>
    </w:p>
    <w:p w14:paraId="3F4965DC" w14:textId="77777777" w:rsidR="007D615F" w:rsidRPr="00CC1204" w:rsidRDefault="007D615F" w:rsidP="00E95349"/>
    <w:p w14:paraId="7DD589BA" w14:textId="4838B5CB" w:rsidR="00921B1A" w:rsidRPr="0088502A" w:rsidRDefault="00921B1A" w:rsidP="001F29EA">
      <w:pPr>
        <w:keepNext/>
        <w:keepLines/>
      </w:pPr>
      <w:r w:rsidRPr="0088502A">
        <w:fldChar w:fldCharType="begin"/>
      </w:r>
      <w:r w:rsidRPr="0088502A">
        <w:instrText xml:space="preserve"> AUTONUM  </w:instrText>
      </w:r>
      <w:r w:rsidRPr="0088502A">
        <w:fldChar w:fldCharType="end"/>
      </w:r>
      <w:r>
        <w:tab/>
        <w:t>Die TWV stellte auf ihrer siebenundfünfzigsten Tagung</w:t>
      </w:r>
      <w:bookmarkStart w:id="37" w:name="_Ref145616140"/>
      <w:r w:rsidR="001A4E8A">
        <w:rPr>
          <w:rStyle w:val="FootnoteReference"/>
        </w:rPr>
        <w:footnoteReference w:id="8"/>
      </w:r>
      <w:bookmarkEnd w:id="37"/>
      <w:r>
        <w:t xml:space="preserve"> fest, dass das in Dokument TGP/12/2, </w:t>
      </w:r>
      <w:r w:rsidR="006A5249">
        <w:t xml:space="preserve">unter </w:t>
      </w:r>
      <w:r>
        <w:t>Abschnitt 2.3.2 genannte Beispiel der Prüfungsrichtlinien für Melone derzeit überarbeitet wird.</w:t>
      </w:r>
      <w:r w:rsidR="0062652A">
        <w:t xml:space="preserve"> </w:t>
      </w:r>
      <w:r>
        <w:t>Die TWV vereinbarte die Überarbeitung des Beispiels für Merkmale in Dokument TGP/12 gemäß der in Anlage IV dieses Dokuments vorgeschlagenen Überarbeitung der Prüfungsrichtlinien für Melone (vergleiche Dokument TWV/57/26 „Report“, Absatz 16):</w:t>
      </w:r>
    </w:p>
    <w:p w14:paraId="0411987D" w14:textId="77777777" w:rsidR="00561854" w:rsidRPr="0088502A" w:rsidRDefault="00561854" w:rsidP="00921B1A"/>
    <w:p w14:paraId="3213A6E3" w14:textId="1797B9DA" w:rsidR="00E95349" w:rsidRPr="0088502A" w:rsidRDefault="00E95349" w:rsidP="00E95349">
      <w:r w:rsidRPr="0088502A">
        <w:fldChar w:fldCharType="begin"/>
      </w:r>
      <w:r w:rsidRPr="0088502A">
        <w:instrText xml:space="preserve"> AUTONUM  </w:instrText>
      </w:r>
      <w:r w:rsidRPr="0088502A">
        <w:fldChar w:fldCharType="end"/>
      </w:r>
      <w:r>
        <w:tab/>
      </w:r>
      <w:r w:rsidR="00546689">
        <w:t xml:space="preserve">Vorbehaltlich der Zustimmung durch den Technischen Ausschuss auf seiner neunundfünfzigsten Tagung und den Verwaltungs- und Rechtsausschuss auf seiner achtzigsten Tagung sollte dem Rat eine </w:t>
      </w:r>
      <w:r>
        <w:t>vereinbarte Fassung des Dokuments TGP/12 „Anleitung zu bestimmten physiologischen Merkmalen“ auf seiner siebenundfünfzigsten ordentlichen Tagung zur Annahme vorgelegt werden, um das Beispiel für Merkmale in Abschnitt 2.3.2, wie in Anlage IV dieses Dokuments dargelegt, zu überarbeiten.</w:t>
      </w:r>
    </w:p>
    <w:p w14:paraId="36F62423" w14:textId="77777777" w:rsidR="00E95349" w:rsidRPr="0088502A" w:rsidRDefault="00E95349" w:rsidP="00E95349"/>
    <w:p w14:paraId="1BD52C1B" w14:textId="7170AC45" w:rsidR="00E95349" w:rsidRPr="0088502A" w:rsidRDefault="00E95349" w:rsidP="00970D54">
      <w:pPr>
        <w:keepLines/>
        <w:ind w:left="4860"/>
        <w:rPr>
          <w:i/>
        </w:rPr>
      </w:pPr>
      <w:r w:rsidRPr="0088502A">
        <w:rPr>
          <w:i/>
        </w:rPr>
        <w:fldChar w:fldCharType="begin"/>
      </w:r>
      <w:r w:rsidRPr="0088502A">
        <w:rPr>
          <w:i/>
        </w:rPr>
        <w:instrText xml:space="preserve"> AUTONUM  </w:instrText>
      </w:r>
      <w:r w:rsidRPr="0088502A">
        <w:rPr>
          <w:i/>
        </w:rPr>
        <w:fldChar w:fldCharType="end"/>
      </w:r>
      <w:r>
        <w:rPr>
          <w:i/>
        </w:rPr>
        <w:tab/>
        <w:t xml:space="preserve">Der Rat wird ersucht, die Überarbeitung von Dokument TGP/12 „Anleitung zu bestimmten physiologischen Merkmalen” </w:t>
      </w:r>
      <w:r>
        <w:t xml:space="preserve">Abschnitt 2.3.2, </w:t>
      </w:r>
      <w:r>
        <w:rPr>
          <w:i/>
        </w:rPr>
        <w:t xml:space="preserve">wie in Anlage IV, Absatz 3 dieses Dokuments dargelegt, </w:t>
      </w:r>
      <w:r w:rsidR="00034D3B">
        <w:rPr>
          <w:i/>
        </w:rPr>
        <w:t xml:space="preserve">anzunehmen, </w:t>
      </w:r>
      <w:r>
        <w:rPr>
          <w:i/>
        </w:rPr>
        <w:t>vorbehaltlich der Zustimmung des Technischen Ausschusses und des Verwaltungs- und Rechtsausschusses auf ihren jeweiligen</w:t>
      </w:r>
      <w:r w:rsidR="00467BF9">
        <w:rPr>
          <w:i/>
        </w:rPr>
        <w:t xml:space="preserve"> </w:t>
      </w:r>
      <w:r>
        <w:rPr>
          <w:i/>
        </w:rPr>
        <w:t>Tagungen 2023.</w:t>
      </w:r>
    </w:p>
    <w:p w14:paraId="443CCAAE" w14:textId="77777777" w:rsidR="001B3055" w:rsidRDefault="001B3055">
      <w:pPr>
        <w:jc w:val="left"/>
        <w:rPr>
          <w:caps/>
        </w:rPr>
      </w:pPr>
      <w:r>
        <w:br w:type="page"/>
      </w:r>
    </w:p>
    <w:p w14:paraId="0F47AFAD" w14:textId="7204FBCD" w:rsidR="0088502A" w:rsidRPr="0088502A" w:rsidRDefault="0088502A" w:rsidP="006F28F6">
      <w:pPr>
        <w:pStyle w:val="Heading1"/>
      </w:pPr>
      <w:bookmarkStart w:id="38" w:name="_Toc145586613"/>
      <w:r>
        <w:lastRenderedPageBreak/>
        <w:t>Dem Technischen Ausschuss zur Annahme vorgeschlagene Angelegenheiten</w:t>
      </w:r>
      <w:bookmarkEnd w:id="38"/>
    </w:p>
    <w:p w14:paraId="4C2B3293" w14:textId="77777777" w:rsidR="0088502A" w:rsidRPr="0088502A" w:rsidRDefault="0088502A" w:rsidP="0088502A"/>
    <w:p w14:paraId="30400A1E" w14:textId="77DC0A56" w:rsidR="0088502A" w:rsidRPr="0088502A" w:rsidRDefault="0088502A" w:rsidP="0088502A">
      <w:r w:rsidRPr="0088502A">
        <w:fldChar w:fldCharType="begin"/>
      </w:r>
      <w:r w:rsidRPr="0088502A">
        <w:instrText xml:space="preserve"> AUTONUM  </w:instrText>
      </w:r>
      <w:r w:rsidRPr="0088502A">
        <w:fldChar w:fldCharType="end"/>
      </w:r>
      <w:r>
        <w:tab/>
        <w:t>Der folgende Abschnitt stellt die dem Technischen Ausschuss zur Annahme vorgeschlagene</w:t>
      </w:r>
      <w:r w:rsidR="00900A93">
        <w:t>n</w:t>
      </w:r>
      <w:r>
        <w:t xml:space="preserve"> Angelegenheiten vor.</w:t>
      </w:r>
    </w:p>
    <w:p w14:paraId="238BF232" w14:textId="189B62BF" w:rsidR="0088502A" w:rsidRDefault="0088502A" w:rsidP="0088502A"/>
    <w:p w14:paraId="1C280A76" w14:textId="77777777" w:rsidR="000B0E8D" w:rsidRPr="0088502A" w:rsidRDefault="000B0E8D" w:rsidP="0088502A"/>
    <w:p w14:paraId="4AD730C5" w14:textId="77777777" w:rsidR="0088502A" w:rsidRPr="0088502A" w:rsidRDefault="0088502A" w:rsidP="000B0E8D">
      <w:pPr>
        <w:pStyle w:val="Heading2"/>
      </w:pPr>
      <w:bookmarkStart w:id="39" w:name="_Toc145586614"/>
      <w:r>
        <w:t>a)</w:t>
      </w:r>
      <w:r>
        <w:tab/>
        <w:t>Erläuterungen:</w:t>
      </w:r>
      <w:bookmarkEnd w:id="39"/>
    </w:p>
    <w:p w14:paraId="3C76CFC8" w14:textId="77777777" w:rsidR="0088502A" w:rsidRPr="0088502A" w:rsidRDefault="0088502A" w:rsidP="0088502A">
      <w:pPr>
        <w:ind w:left="567"/>
        <w:jc w:val="left"/>
      </w:pPr>
    </w:p>
    <w:p w14:paraId="350DF9CF" w14:textId="700236D6" w:rsidR="0088502A" w:rsidRPr="0088502A" w:rsidRDefault="0088502A" w:rsidP="000B0E8D">
      <w:pPr>
        <w:pStyle w:val="Heading3"/>
        <w:rPr>
          <w:rFonts w:cs="Arial"/>
          <w:snapToGrid w:val="0"/>
        </w:rPr>
      </w:pPr>
      <w:bookmarkStart w:id="40" w:name="_Toc145586615"/>
      <w:r>
        <w:t>UPOV/EXN/DEN</w:t>
      </w:r>
      <w:r w:rsidR="000B0E8D">
        <w:rPr>
          <w:b/>
        </w:rPr>
        <w:t xml:space="preserve">: </w:t>
      </w:r>
      <w:r>
        <w:t>Erläuterungen zu Sortenbezeichnungen nach dem UPOV-Übereinkommen (Überarbeitung)</w:t>
      </w:r>
      <w:bookmarkEnd w:id="40"/>
    </w:p>
    <w:p w14:paraId="74353EFB" w14:textId="77777777" w:rsidR="0088502A" w:rsidRPr="0088502A" w:rsidRDefault="0088502A" w:rsidP="0088502A"/>
    <w:p w14:paraId="39BE19A5" w14:textId="77777777" w:rsidR="0088502A" w:rsidRPr="0088502A" w:rsidRDefault="0088502A" w:rsidP="00CF2959">
      <w:pPr>
        <w:pStyle w:val="Heading4"/>
      </w:pPr>
      <w:bookmarkStart w:id="41" w:name="_Toc129334470"/>
      <w:bookmarkStart w:id="42" w:name="_Toc137831128"/>
      <w:bookmarkStart w:id="43" w:name="_Toc145586616"/>
      <w:r>
        <w:t>Änderung der Sortenbezeichnungsklassen für Brassica</w:t>
      </w:r>
      <w:bookmarkEnd w:id="41"/>
      <w:bookmarkEnd w:id="42"/>
      <w:bookmarkEnd w:id="43"/>
    </w:p>
    <w:p w14:paraId="4CEAAF86" w14:textId="77777777" w:rsidR="0088502A" w:rsidRPr="0088502A" w:rsidRDefault="0088502A" w:rsidP="0088502A"/>
    <w:p w14:paraId="625C86B0" w14:textId="6E0E8F4E" w:rsidR="0088502A" w:rsidRPr="0088502A" w:rsidRDefault="0088502A" w:rsidP="0088502A">
      <w:r w:rsidRPr="0088502A">
        <w:fldChar w:fldCharType="begin"/>
      </w:r>
      <w:r w:rsidRPr="0088502A">
        <w:instrText xml:space="preserve"> AUTONUM  </w:instrText>
      </w:r>
      <w:r w:rsidRPr="0088502A">
        <w:fldChar w:fldCharType="end"/>
      </w:r>
      <w:r>
        <w:tab/>
        <w:t>Den Hintergrund zu diesem Thema liefert die Anlage III dieses Dokuments.</w:t>
      </w:r>
      <w:r w:rsidR="0062652A">
        <w:t xml:space="preserve"> </w:t>
      </w:r>
      <w:r>
        <w:t>Die TWV auf ihrer siebenundfünfzigsten Tagung</w:t>
      </w:r>
      <w:r w:rsidR="001A4E8A" w:rsidRPr="001A4E8A">
        <w:rPr>
          <w:vertAlign w:val="superscript"/>
        </w:rPr>
        <w:fldChar w:fldCharType="begin"/>
      </w:r>
      <w:r w:rsidR="001A4E8A" w:rsidRPr="001A4E8A">
        <w:rPr>
          <w:vertAlign w:val="superscript"/>
        </w:rPr>
        <w:instrText xml:space="preserve"> NOTEREF _Ref145616140 \h </w:instrText>
      </w:r>
      <w:r w:rsidR="001A4E8A" w:rsidRPr="001A4E8A">
        <w:rPr>
          <w:vertAlign w:val="superscript"/>
        </w:rPr>
      </w:r>
      <w:r w:rsidR="001A4E8A">
        <w:rPr>
          <w:vertAlign w:val="superscript"/>
        </w:rPr>
        <w:instrText xml:space="preserve"> \* MERGEFORMAT </w:instrText>
      </w:r>
      <w:r w:rsidR="001A4E8A" w:rsidRPr="001A4E8A">
        <w:rPr>
          <w:vertAlign w:val="superscript"/>
        </w:rPr>
        <w:fldChar w:fldCharType="separate"/>
      </w:r>
      <w:r w:rsidR="001A4E8A" w:rsidRPr="001A4E8A">
        <w:rPr>
          <w:vertAlign w:val="superscript"/>
        </w:rPr>
        <w:t>7</w:t>
      </w:r>
      <w:r w:rsidR="001A4E8A" w:rsidRPr="001A4E8A">
        <w:rPr>
          <w:vertAlign w:val="superscript"/>
        </w:rPr>
        <w:fldChar w:fldCharType="end"/>
      </w:r>
      <w:r>
        <w:t xml:space="preserve"> und die TWA auf ihrer zweiundfünfzigsten Tagung</w:t>
      </w:r>
      <w:bookmarkStart w:id="44" w:name="_Ref138846618"/>
      <w:r>
        <w:rPr>
          <w:rStyle w:val="FootnoteReference"/>
        </w:rPr>
        <w:footnoteReference w:id="9"/>
      </w:r>
      <w:bookmarkEnd w:id="44"/>
      <w:r>
        <w:t xml:space="preserve"> prüften den Vorschlag, die bestehende Sortenklasse für </w:t>
      </w:r>
      <w:r>
        <w:rPr>
          <w:i/>
        </w:rPr>
        <w:t>Brassica</w:t>
      </w:r>
      <w:r>
        <w:t xml:space="preserve"> in Dokument UPOV/EXN/DEN zu ändern und eine neue Sortenklasse zu bilden (vergleiche Anlage III dieses Dokuments). </w:t>
      </w:r>
    </w:p>
    <w:p w14:paraId="12A7F411" w14:textId="77777777" w:rsidR="0088502A" w:rsidRPr="0088502A" w:rsidRDefault="0088502A" w:rsidP="0088502A"/>
    <w:p w14:paraId="504AF9C1" w14:textId="4E702265" w:rsidR="0088502A" w:rsidRPr="0088502A" w:rsidRDefault="0088502A" w:rsidP="0088502A">
      <w:r w:rsidRPr="0088502A">
        <w:fldChar w:fldCharType="begin"/>
      </w:r>
      <w:r w:rsidRPr="0088502A">
        <w:instrText xml:space="preserve"> AUTONUM  </w:instrText>
      </w:r>
      <w:r w:rsidRPr="0088502A">
        <w:fldChar w:fldCharType="end"/>
      </w:r>
      <w:r>
        <w:tab/>
        <w:t>Die TWV</w:t>
      </w:r>
      <w:bookmarkStart w:id="45" w:name="_Ref138407710"/>
      <w:r>
        <w:t xml:space="preserve"> </w:t>
      </w:r>
      <w:bookmarkEnd w:id="45"/>
      <w:r>
        <w:t xml:space="preserve">vereinbarte, die Änderungen für die Sortenbezeichnungsklassen für </w:t>
      </w:r>
      <w:r>
        <w:rPr>
          <w:i/>
        </w:rPr>
        <w:t>Brassica</w:t>
      </w:r>
      <w:r w:rsidR="00CF5752">
        <w:t xml:space="preserve">, </w:t>
      </w:r>
      <w:r>
        <w:t>wie in Anlage III dieses Dokuments dargelegt</w:t>
      </w:r>
      <w:r w:rsidR="00CF5752">
        <w:t>,</w:t>
      </w:r>
      <w:r>
        <w:t xml:space="preserve"> vorzuschlagen (vergleiche Dokument TWV/57/26 „</w:t>
      </w:r>
      <w:r>
        <w:rPr>
          <w:i/>
          <w:iCs/>
        </w:rPr>
        <w:t>Report</w:t>
      </w:r>
      <w:r>
        <w:t>“, Absatz 37).</w:t>
      </w:r>
    </w:p>
    <w:p w14:paraId="675C4930" w14:textId="77777777" w:rsidR="0088502A" w:rsidRPr="0088502A" w:rsidRDefault="0088502A" w:rsidP="0088502A"/>
    <w:p w14:paraId="5A709BBD" w14:textId="5791F7CC" w:rsidR="0088502A" w:rsidRPr="0088502A" w:rsidRDefault="0088502A" w:rsidP="0088502A">
      <w:r w:rsidRPr="0088502A">
        <w:fldChar w:fldCharType="begin"/>
      </w:r>
      <w:r w:rsidRPr="0088502A">
        <w:instrText xml:space="preserve"> AUTONUM  </w:instrText>
      </w:r>
      <w:r w:rsidRPr="0088502A">
        <w:fldChar w:fldCharType="end"/>
      </w:r>
      <w:r>
        <w:tab/>
        <w:t>Die TWA war sich einig, dass es nicht möglich wäre, einen Konsens für die vorgeschlagene Bildung einer eigenständige Bezeichnungsklasse für Rapssorten (UPOV-Code BRASS_NAP_NUS) zu erzielen.</w:t>
      </w:r>
      <w:r w:rsidR="0062652A">
        <w:t xml:space="preserve"> </w:t>
      </w:r>
      <w:r>
        <w:t xml:space="preserve">Die TWA </w:t>
      </w:r>
      <w:r w:rsidR="0036125B">
        <w:t>nahm zur Kenntnis</w:t>
      </w:r>
      <w:r>
        <w:t>, dass gewisse Sorten anhand ihrer endgültigen Verwendung gruppiert werden könnten (z. B. Futter, Öl, Gemüse), in manchen Fällen jedoch nicht auf der Grundlage der bestehenden Merkmale der DUS-Prüfung.</w:t>
      </w:r>
      <w:r w:rsidR="0062652A">
        <w:t xml:space="preserve"> </w:t>
      </w:r>
      <w:r>
        <w:t xml:space="preserve">Die TWA </w:t>
      </w:r>
      <w:r w:rsidR="0036125B">
        <w:t>nahm zur Kenntnis</w:t>
      </w:r>
      <w:r>
        <w:t xml:space="preserve">, dass eine Einigung auf die Prüfung von Sortenbezeichnungen für verschiedene Unterarten von </w:t>
      </w:r>
      <w:r>
        <w:rPr>
          <w:i/>
        </w:rPr>
        <w:t>Brassica napus</w:t>
      </w:r>
      <w:r>
        <w:t xml:space="preserve"> sowie </w:t>
      </w:r>
      <w:r>
        <w:rPr>
          <w:i/>
        </w:rPr>
        <w:t>B. nigra</w:t>
      </w:r>
      <w:r>
        <w:t xml:space="preserve"> und </w:t>
      </w:r>
      <w:r>
        <w:rPr>
          <w:i/>
        </w:rPr>
        <w:t>B. rapa</w:t>
      </w:r>
      <w:r>
        <w:t xml:space="preserve"> in eigenständigen Bezeichnungsklassen nicht möglich sei (vergleiche Dokument TWA/52/11 „</w:t>
      </w:r>
      <w:r>
        <w:rPr>
          <w:i/>
          <w:iCs/>
        </w:rPr>
        <w:t>Report</w:t>
      </w:r>
      <w:r>
        <w:t>“, Absätze</w:t>
      </w:r>
      <w:r w:rsidR="000B0E8D">
        <w:t> </w:t>
      </w:r>
      <w:r>
        <w:t>28 und 29).</w:t>
      </w:r>
    </w:p>
    <w:p w14:paraId="2D1391AE" w14:textId="77777777" w:rsidR="0088502A" w:rsidRPr="0088502A" w:rsidRDefault="0088502A" w:rsidP="0088502A"/>
    <w:p w14:paraId="62C888E4" w14:textId="77777777" w:rsidR="0088502A" w:rsidRPr="0088502A" w:rsidRDefault="0088502A" w:rsidP="0088502A">
      <w:pPr>
        <w:keepLines/>
        <w:tabs>
          <w:tab w:val="left" w:pos="5387"/>
          <w:tab w:val="left" w:pos="5954"/>
        </w:tabs>
        <w:ind w:left="4820"/>
        <w:rPr>
          <w:spacing w:val="-4"/>
        </w:rPr>
      </w:pPr>
      <w:r w:rsidRPr="0088502A">
        <w:rPr>
          <w:i/>
          <w:spacing w:val="-4"/>
        </w:rPr>
        <w:fldChar w:fldCharType="begin"/>
      </w:r>
      <w:r w:rsidRPr="0088502A">
        <w:rPr>
          <w:i/>
          <w:spacing w:val="-4"/>
        </w:rPr>
        <w:instrText xml:space="preserve"> AUTONUM  </w:instrText>
      </w:r>
      <w:r w:rsidRPr="0088502A">
        <w:rPr>
          <w:i/>
          <w:spacing w:val="-4"/>
        </w:rPr>
        <w:fldChar w:fldCharType="end"/>
      </w:r>
      <w:r>
        <w:rPr>
          <w:i/>
          <w:spacing w:val="-4"/>
        </w:rPr>
        <w:tab/>
        <w:t xml:space="preserve">Der TC wird ersucht zu prüfen, ob die Weiterführung der Erörterungen über die Änderung und Bildung einer neuen Sortenklasse für </w:t>
      </w:r>
      <w:r>
        <w:rPr>
          <w:spacing w:val="-4"/>
        </w:rPr>
        <w:t>Brassica</w:t>
      </w:r>
      <w:r>
        <w:rPr>
          <w:i/>
          <w:spacing w:val="-4"/>
        </w:rPr>
        <w:t xml:space="preserve"> weitergeführt werden sollte, wie in Anlage III dieses Dokuments dargelegt.</w:t>
      </w:r>
    </w:p>
    <w:p w14:paraId="42387403" w14:textId="77777777" w:rsidR="0088502A" w:rsidRPr="0088502A" w:rsidRDefault="0088502A" w:rsidP="0088502A"/>
    <w:p w14:paraId="0AC7611F" w14:textId="77777777" w:rsidR="0088502A" w:rsidRPr="0088502A" w:rsidRDefault="0088502A" w:rsidP="0088502A"/>
    <w:p w14:paraId="1DE5A76C" w14:textId="77777777" w:rsidR="0088502A" w:rsidRPr="0088502A" w:rsidRDefault="0088502A" w:rsidP="000B0E8D">
      <w:pPr>
        <w:pStyle w:val="Heading2"/>
      </w:pPr>
      <w:bookmarkStart w:id="46" w:name="_Toc145586617"/>
      <w:r>
        <w:t>b)</w:t>
      </w:r>
      <w:r>
        <w:tab/>
        <w:t>TGP-Dokumente</w:t>
      </w:r>
      <w:bookmarkEnd w:id="46"/>
      <w:r>
        <w:t xml:space="preserve"> </w:t>
      </w:r>
    </w:p>
    <w:p w14:paraId="0E54A6D0" w14:textId="77777777" w:rsidR="0088502A" w:rsidRPr="0088502A" w:rsidRDefault="0088502A" w:rsidP="0088502A">
      <w:pPr>
        <w:keepNext/>
      </w:pPr>
    </w:p>
    <w:p w14:paraId="60904577" w14:textId="062CC5A2" w:rsidR="0088502A" w:rsidRPr="0088502A" w:rsidRDefault="0088502A" w:rsidP="000B0E8D">
      <w:pPr>
        <w:pStyle w:val="Heading3"/>
      </w:pPr>
      <w:bookmarkStart w:id="47" w:name="_Toc145586618"/>
      <w:r>
        <w:t>TGP/5:</w:t>
      </w:r>
      <w:r w:rsidR="000B0E8D">
        <w:t xml:space="preserve"> </w:t>
      </w:r>
      <w:r>
        <w:t>Abschnitt 6 „UPOV-Bericht über die technische Prüfung und UPOV-Sortenbeschreibung“ (Überarbeitung)</w:t>
      </w:r>
      <w:bookmarkEnd w:id="47"/>
    </w:p>
    <w:p w14:paraId="19C5C026" w14:textId="77777777" w:rsidR="0088502A" w:rsidRPr="0088502A" w:rsidRDefault="0088502A" w:rsidP="0088502A">
      <w:pPr>
        <w:keepNext/>
      </w:pPr>
    </w:p>
    <w:p w14:paraId="52692415" w14:textId="77777777" w:rsidR="0088502A" w:rsidRPr="0088502A" w:rsidRDefault="0088502A" w:rsidP="0088502A">
      <w:pPr>
        <w:keepNext/>
      </w:pPr>
      <w:r w:rsidRPr="0088502A">
        <w:rPr>
          <w:rFonts w:cs="Arial"/>
        </w:rPr>
        <w:fldChar w:fldCharType="begin"/>
      </w:r>
      <w:r w:rsidRPr="0088502A">
        <w:rPr>
          <w:rFonts w:eastAsia="MS Mincho"/>
        </w:rPr>
        <w:instrText xml:space="preserve"> AUTONUM  </w:instrText>
      </w:r>
      <w:r w:rsidRPr="0088502A">
        <w:rPr>
          <w:rFonts w:eastAsia="MS Mincho"/>
        </w:rPr>
        <w:fldChar w:fldCharType="end"/>
      </w:r>
      <w:r>
        <w:rPr>
          <w:rFonts w:eastAsia="MS Mincho"/>
        </w:rPr>
        <w:tab/>
        <w:t>Den Hintergrund zu diesem Thema liefert die Anlage III dieses Dokuments.</w:t>
      </w:r>
    </w:p>
    <w:p w14:paraId="269A0EE6" w14:textId="77777777" w:rsidR="0088502A" w:rsidRPr="0088502A" w:rsidRDefault="0088502A" w:rsidP="0088502A">
      <w:pPr>
        <w:keepNext/>
      </w:pPr>
    </w:p>
    <w:p w14:paraId="7F3A5C27" w14:textId="77777777" w:rsidR="0088502A" w:rsidRPr="0088502A" w:rsidRDefault="0088502A" w:rsidP="00CF2959">
      <w:pPr>
        <w:pStyle w:val="Heading4"/>
      </w:pPr>
      <w:bookmarkStart w:id="48" w:name="_Toc145586619"/>
      <w:r>
        <w:t>Neue Vorschläge:</w:t>
      </w:r>
      <w:bookmarkEnd w:id="48"/>
      <w:r>
        <w:t xml:space="preserve"> </w:t>
      </w:r>
    </w:p>
    <w:p w14:paraId="7CEE32C2" w14:textId="77777777" w:rsidR="0088502A" w:rsidRPr="0088502A" w:rsidRDefault="0088502A" w:rsidP="0088502A">
      <w:pPr>
        <w:keepNext/>
      </w:pPr>
    </w:p>
    <w:p w14:paraId="45CE0090" w14:textId="29CA91A6" w:rsidR="002647D9" w:rsidRDefault="002647D9" w:rsidP="002647D9">
      <w:pPr>
        <w:pStyle w:val="Heading5"/>
      </w:pPr>
      <w:bookmarkStart w:id="49" w:name="_Toc145586620"/>
      <w:r>
        <w:t>UPOV-Sortenbeschreibung: Punkt 16 „Ähnliche Sorten und Unterschiede zu diesen Sorten“</w:t>
      </w:r>
      <w:bookmarkEnd w:id="49"/>
    </w:p>
    <w:p w14:paraId="5B4264F8" w14:textId="53053346" w:rsidR="002647D9" w:rsidRDefault="002647D9" w:rsidP="002647D9"/>
    <w:p w14:paraId="098CF696" w14:textId="5B744E9A" w:rsidR="002647D9" w:rsidRDefault="002647D9" w:rsidP="002647D9">
      <w:r w:rsidRPr="0088502A">
        <w:fldChar w:fldCharType="begin"/>
      </w:r>
      <w:r w:rsidRPr="0088502A">
        <w:instrText xml:space="preserve"> AUTONUM  </w:instrText>
      </w:r>
      <w:r w:rsidRPr="0088502A">
        <w:fldChar w:fldCharType="end"/>
      </w:r>
      <w:r>
        <w:tab/>
        <w:t>Die TWF vereinbarte auf ihrer vierundfünfzigsten Tagung</w:t>
      </w:r>
      <w:bookmarkStart w:id="50" w:name="_Ref145616178"/>
      <w:r>
        <w:rPr>
          <w:rStyle w:val="FootnoteReference"/>
        </w:rPr>
        <w:footnoteReference w:id="10"/>
      </w:r>
      <w:bookmarkEnd w:id="50"/>
      <w:r>
        <w:t xml:space="preserve">, </w:t>
      </w:r>
      <w:r w:rsidR="0036125B">
        <w:t xml:space="preserve">zusätzliche Hintergrundinformationen für Abschnitt 16 „Ähnliche Sorten und Unterschiede zu diesen Sorten“ vorzuschlagen, </w:t>
      </w:r>
      <w:r>
        <w:t>um zu klären, welche Sorten in der UPOV Sortenbeschreibung ein</w:t>
      </w:r>
      <w:r w:rsidR="0036125B">
        <w:t xml:space="preserve">getragen werden sollen </w:t>
      </w:r>
      <w:r>
        <w:t>(vergleiche Anlage III dieses Dokuments und Dokument TWF//54/13 „</w:t>
      </w:r>
      <w:r>
        <w:rPr>
          <w:i/>
          <w:iCs/>
        </w:rPr>
        <w:t>Report</w:t>
      </w:r>
      <w:r>
        <w:t>“, Absätze 17 und 18).</w:t>
      </w:r>
    </w:p>
    <w:p w14:paraId="32BEDB19" w14:textId="77777777" w:rsidR="002647D9" w:rsidRPr="002647D9" w:rsidRDefault="002647D9" w:rsidP="002647D9"/>
    <w:p w14:paraId="591E4093" w14:textId="0A48E6CA" w:rsidR="0088502A" w:rsidRPr="0088502A" w:rsidRDefault="0088502A" w:rsidP="0088502A">
      <w:pPr>
        <w:pStyle w:val="Heading5"/>
      </w:pPr>
      <w:bookmarkStart w:id="51" w:name="_Toc145586621"/>
      <w:r>
        <w:t>UPOV-Sortenbeschreibung: Punkt 17 „Zusätzliche Informationen“</w:t>
      </w:r>
      <w:bookmarkEnd w:id="51"/>
    </w:p>
    <w:p w14:paraId="78A02A3B" w14:textId="77777777" w:rsidR="0088502A" w:rsidRPr="0088502A" w:rsidRDefault="0088502A" w:rsidP="0088502A">
      <w:pPr>
        <w:keepNext/>
      </w:pPr>
    </w:p>
    <w:p w14:paraId="6653C312" w14:textId="19B6BE45" w:rsidR="0088502A" w:rsidRPr="0088502A" w:rsidRDefault="0088502A" w:rsidP="000B0E8D">
      <w:pPr>
        <w:spacing w:after="120"/>
        <w:rPr>
          <w:rFonts w:eastAsia="MS Mincho"/>
        </w:rPr>
      </w:pPr>
      <w:r w:rsidRPr="0088502A">
        <w:rPr>
          <w:rFonts w:eastAsia="MS Mincho"/>
        </w:rPr>
        <w:fldChar w:fldCharType="begin"/>
      </w:r>
      <w:r w:rsidRPr="0088502A">
        <w:rPr>
          <w:rFonts w:eastAsia="MS Mincho"/>
        </w:rPr>
        <w:instrText xml:space="preserve"> AUTONUM  </w:instrText>
      </w:r>
      <w:r w:rsidRPr="0088502A">
        <w:rPr>
          <w:rFonts w:eastAsia="MS Mincho"/>
        </w:rPr>
        <w:fldChar w:fldCharType="end"/>
      </w:r>
      <w:r>
        <w:rPr>
          <w:rFonts w:eastAsia="MS Mincho"/>
        </w:rPr>
        <w:tab/>
        <w:t>Die TWO vereinbarte auf ihrer fünfundfünfzigsten Tagung</w:t>
      </w:r>
      <w:bookmarkStart w:id="52" w:name="_Ref145616252"/>
      <w:r>
        <w:rPr>
          <w:rStyle w:val="FootnoteReference"/>
          <w:rFonts w:eastAsia="MS Mincho"/>
        </w:rPr>
        <w:footnoteReference w:id="11"/>
      </w:r>
      <w:bookmarkEnd w:id="52"/>
      <w:r>
        <w:rPr>
          <w:rFonts w:eastAsia="MS Mincho"/>
        </w:rPr>
        <w:t>, eine nicht erschöpfende Liste von Beispielen für Zusatzinformationen vorzuschlagen und in das Dokument TGP/5, Abschnitt 6 aufzunehmen (vergleiche Anlage III dieses Dokuments und Dokument TWO/55/11 „</w:t>
      </w:r>
      <w:r>
        <w:rPr>
          <w:rFonts w:eastAsia="MS Mincho"/>
          <w:i/>
          <w:iCs/>
        </w:rPr>
        <w:t>Report</w:t>
      </w:r>
      <w:r>
        <w:rPr>
          <w:rFonts w:eastAsia="MS Mincho"/>
        </w:rPr>
        <w:t>“, Absätze 21 bis 25)</w:t>
      </w:r>
      <w:r w:rsidR="0036125B">
        <w:rPr>
          <w:rFonts w:eastAsia="MS Mincho"/>
        </w:rPr>
        <w:t>.</w:t>
      </w:r>
      <w:r w:rsidR="0036125B">
        <w:rPr>
          <w:rStyle w:val="FootnoteReference"/>
          <w:rFonts w:eastAsia="MS Mincho"/>
        </w:rPr>
        <w:t>.</w:t>
      </w:r>
    </w:p>
    <w:p w14:paraId="0CB258D7" w14:textId="71A4AB5D" w:rsidR="0088502A" w:rsidRPr="0088502A" w:rsidRDefault="0088502A" w:rsidP="0088502A">
      <w:pPr>
        <w:tabs>
          <w:tab w:val="left" w:pos="5387"/>
        </w:tabs>
        <w:ind w:left="4820"/>
        <w:rPr>
          <w:i/>
        </w:rPr>
      </w:pPr>
      <w:r w:rsidRPr="0088502A">
        <w:rPr>
          <w:i/>
        </w:rPr>
        <w:lastRenderedPageBreak/>
        <w:fldChar w:fldCharType="begin"/>
      </w:r>
      <w:r w:rsidRPr="0088502A">
        <w:rPr>
          <w:i/>
        </w:rPr>
        <w:instrText xml:space="preserve"> AUTONUM  </w:instrText>
      </w:r>
      <w:r w:rsidRPr="0088502A">
        <w:rPr>
          <w:i/>
        </w:rPr>
        <w:fldChar w:fldCharType="end"/>
      </w:r>
      <w:r>
        <w:rPr>
          <w:i/>
        </w:rPr>
        <w:tab/>
        <w:t>Der TC wird ersucht zu prüfen, ob die TWP ersucht werden sollen, auf ihren Tagungen 2024 die vorgeschlagenen Änderungen von Dokument TGP/5, Abschnitt 6 „UPOV-Sortenbeschreibung“, Punkte 16 und 17, wie in Anlage III, Absätze 5 bis 13 dieses Dokuments dargelegt, zu prüfen.</w:t>
      </w:r>
    </w:p>
    <w:p w14:paraId="3106D9FE" w14:textId="77777777" w:rsidR="0088502A" w:rsidRPr="000B0E8D" w:rsidRDefault="0088502A" w:rsidP="000B0E8D"/>
    <w:p w14:paraId="16C2FBA2" w14:textId="556FF6B9" w:rsidR="0088502A" w:rsidRPr="0088502A" w:rsidRDefault="0088502A" w:rsidP="000B0E8D">
      <w:pPr>
        <w:pStyle w:val="Heading3"/>
      </w:pPr>
      <w:bookmarkStart w:id="53" w:name="_Toc145586622"/>
      <w:r>
        <w:rPr>
          <w:rFonts w:eastAsia="Cambria"/>
        </w:rPr>
        <w:t>TGP/5: Abschnitt 1</w:t>
      </w:r>
      <w:r w:rsidR="000B0E8D">
        <w:rPr>
          <w:rFonts w:eastAsia="Cambria"/>
        </w:rPr>
        <w:t>1</w:t>
      </w:r>
      <w:r>
        <w:rPr>
          <w:rFonts w:eastAsia="Cambria"/>
        </w:rPr>
        <w:t xml:space="preserve"> „Beispiele für Verfahren und Verträge bezüglich des vom Züchter eingereichten Materials“ (Überarbeitung)</w:t>
      </w:r>
      <w:bookmarkEnd w:id="53"/>
    </w:p>
    <w:p w14:paraId="513C3F0E" w14:textId="77777777" w:rsidR="0088502A" w:rsidRPr="0088502A" w:rsidRDefault="0088502A" w:rsidP="0088502A">
      <w:pPr>
        <w:keepNext/>
        <w:keepLines/>
      </w:pPr>
    </w:p>
    <w:p w14:paraId="0F4BE7B0" w14:textId="77777777" w:rsidR="0088502A" w:rsidRPr="0088502A" w:rsidRDefault="0088502A" w:rsidP="0088502A">
      <w:r w:rsidRPr="0088502A">
        <w:rPr>
          <w:rFonts w:cs="Arial"/>
        </w:rPr>
        <w:fldChar w:fldCharType="begin"/>
      </w:r>
      <w:r w:rsidRPr="0088502A">
        <w:rPr>
          <w:rFonts w:eastAsia="MS Mincho"/>
        </w:rPr>
        <w:instrText xml:space="preserve"> AUTONUM  </w:instrText>
      </w:r>
      <w:r w:rsidRPr="0088502A">
        <w:rPr>
          <w:rFonts w:eastAsia="MS Mincho"/>
        </w:rPr>
        <w:fldChar w:fldCharType="end"/>
      </w:r>
      <w:r>
        <w:rPr>
          <w:rFonts w:eastAsia="MS Mincho"/>
        </w:rPr>
        <w:tab/>
        <w:t>Den Hintergrund zu diesem Thema liefert die Anlage III dieses Dokuments.</w:t>
      </w:r>
    </w:p>
    <w:p w14:paraId="6E03F81E" w14:textId="77777777" w:rsidR="0088502A" w:rsidRPr="0088502A" w:rsidRDefault="0088502A" w:rsidP="0088502A"/>
    <w:p w14:paraId="2952850B" w14:textId="5D97FB95" w:rsidR="0088502A" w:rsidRPr="0088502A" w:rsidRDefault="0088502A" w:rsidP="0088502A">
      <w:pPr>
        <w:keepNext/>
        <w:rPr>
          <w:rFonts w:eastAsia="Cambria"/>
          <w:spacing w:val="-6"/>
        </w:rPr>
      </w:pPr>
      <w:r w:rsidRPr="0088502A">
        <w:fldChar w:fldCharType="begin"/>
      </w:r>
      <w:r w:rsidRPr="0088502A">
        <w:instrText xml:space="preserve"> AUTONUM  </w:instrText>
      </w:r>
      <w:r w:rsidRPr="0088502A">
        <w:fldChar w:fldCharType="end"/>
      </w:r>
      <w:r>
        <w:tab/>
        <w:t>Die TWF vereinbarte auf ihrer vierundfünfzigsten Tagung</w:t>
      </w:r>
      <w:r w:rsidR="001A4E8A" w:rsidRPr="001A4E8A">
        <w:rPr>
          <w:vertAlign w:val="superscript"/>
        </w:rPr>
        <w:fldChar w:fldCharType="begin"/>
      </w:r>
      <w:r w:rsidR="001A4E8A" w:rsidRPr="001A4E8A">
        <w:rPr>
          <w:vertAlign w:val="superscript"/>
        </w:rPr>
        <w:instrText xml:space="preserve"> NOTEREF _Ref145616178 \h </w:instrText>
      </w:r>
      <w:r w:rsidR="001A4E8A" w:rsidRPr="001A4E8A">
        <w:rPr>
          <w:vertAlign w:val="superscript"/>
        </w:rPr>
      </w:r>
      <w:r w:rsidR="001A4E8A">
        <w:rPr>
          <w:vertAlign w:val="superscript"/>
        </w:rPr>
        <w:instrText xml:space="preserve"> \* MERGEFORMAT </w:instrText>
      </w:r>
      <w:r w:rsidR="001A4E8A" w:rsidRPr="001A4E8A">
        <w:rPr>
          <w:vertAlign w:val="superscript"/>
        </w:rPr>
        <w:fldChar w:fldCharType="separate"/>
      </w:r>
      <w:r w:rsidR="001A4E8A" w:rsidRPr="001A4E8A">
        <w:rPr>
          <w:vertAlign w:val="superscript"/>
        </w:rPr>
        <w:t>9</w:t>
      </w:r>
      <w:r w:rsidR="001A4E8A" w:rsidRPr="001A4E8A">
        <w:rPr>
          <w:vertAlign w:val="superscript"/>
        </w:rPr>
        <w:fldChar w:fldCharType="end"/>
      </w:r>
      <w:r>
        <w:t xml:space="preserve">, die Änderung von Dokument TGP/5, Abschnitt 11 „Beispiele für Verfahren und Verträge bezüglich des vom Züchter eingereichten Materials“ vorzuschlagen und eine </w:t>
      </w:r>
      <w:r>
        <w:rPr>
          <w:rFonts w:eastAsia="Cambria"/>
          <w:spacing w:val="-6"/>
        </w:rPr>
        <w:t>Liste der Elemente zu erstellen, die in die Anträge auf</w:t>
      </w:r>
      <w:r>
        <w:t xml:space="preserve"> Einreichung von Pflanzenmaterial der Kandidatensorte und der allgemein bekannten Sorten für die DUS-Prüfung aufgenommen werden sollen (vergleiche Dokument TWF/54/13 „</w:t>
      </w:r>
      <w:r>
        <w:rPr>
          <w:i/>
          <w:iCs/>
        </w:rPr>
        <w:t>Report</w:t>
      </w:r>
      <w:r>
        <w:t>“, Absätze 19 und 20).</w:t>
      </w:r>
    </w:p>
    <w:p w14:paraId="3CF74C45" w14:textId="77777777" w:rsidR="00465871" w:rsidRDefault="00465871" w:rsidP="0088502A">
      <w:pPr>
        <w:tabs>
          <w:tab w:val="left" w:pos="5387"/>
        </w:tabs>
        <w:ind w:left="4820"/>
        <w:rPr>
          <w:i/>
        </w:rPr>
      </w:pPr>
    </w:p>
    <w:p w14:paraId="2CE7F212" w14:textId="7E3A2F82" w:rsidR="0088502A" w:rsidRPr="0088502A" w:rsidRDefault="0088502A" w:rsidP="0088502A">
      <w:pPr>
        <w:tabs>
          <w:tab w:val="left" w:pos="5387"/>
        </w:tabs>
        <w:ind w:left="4820"/>
        <w:rPr>
          <w:i/>
        </w:rPr>
      </w:pPr>
      <w:r w:rsidRPr="0088502A">
        <w:rPr>
          <w:i/>
        </w:rPr>
        <w:fldChar w:fldCharType="begin"/>
      </w:r>
      <w:r w:rsidRPr="0088502A">
        <w:rPr>
          <w:i/>
        </w:rPr>
        <w:instrText xml:space="preserve"> AUTONUM  </w:instrText>
      </w:r>
      <w:r w:rsidRPr="0088502A">
        <w:rPr>
          <w:i/>
        </w:rPr>
        <w:fldChar w:fldCharType="end"/>
      </w:r>
      <w:r>
        <w:rPr>
          <w:i/>
        </w:rPr>
        <w:tab/>
        <w:t>Der TC wird ersucht zu prüfen, ob die TWP ersucht werden sollen, auf ihren Tagungen 2024 einen Vorschlag zur Änderung von Dokument TGP/5, Abschnitt 11, „Beispiele für Verfahren und Verträge bezüglich des vom Züchter eingereichten Materials“ vorzuschlagen und eine Liste der Elemente zu erstellen, die in die Anträge von Pflanzenmaterial für die DUS-Prüfung aufgenommen werden sollen, wie in Anlage III, Absätze 14 und 15 dieses Dokuments dargelegt.</w:t>
      </w:r>
    </w:p>
    <w:p w14:paraId="6E7F8AA9" w14:textId="77777777" w:rsidR="0088502A" w:rsidRPr="0088502A" w:rsidRDefault="0088502A" w:rsidP="0088502A"/>
    <w:p w14:paraId="2DF75F92" w14:textId="009FC441" w:rsidR="0088502A" w:rsidRPr="0088502A" w:rsidRDefault="0088502A" w:rsidP="000B0E8D">
      <w:pPr>
        <w:pStyle w:val="Heading3"/>
      </w:pPr>
      <w:bookmarkStart w:id="54" w:name="_Toc145586623"/>
      <w:r>
        <w:t>TGP/7</w:t>
      </w:r>
      <w:r w:rsidR="00DB5B81">
        <w:t xml:space="preserve">: </w:t>
      </w:r>
      <w:r>
        <w:t>Erstellung von Prüfungsrichtlinien (Überarbeitung)</w:t>
      </w:r>
      <w:bookmarkEnd w:id="54"/>
    </w:p>
    <w:p w14:paraId="061A265B" w14:textId="77777777" w:rsidR="0088502A" w:rsidRPr="0088502A" w:rsidRDefault="0088502A" w:rsidP="000B0E8D">
      <w:pPr>
        <w:pStyle w:val="Heading3"/>
      </w:pPr>
    </w:p>
    <w:p w14:paraId="343E1B05" w14:textId="77777777" w:rsidR="0088502A" w:rsidRPr="0088502A" w:rsidRDefault="0088502A" w:rsidP="00CF2959">
      <w:pPr>
        <w:pStyle w:val="Heading4"/>
      </w:pPr>
      <w:bookmarkStart w:id="55" w:name="_Toc145586624"/>
      <w:r>
        <w:t>Beispielssorten für quantitative Merkmale mit Sternchen, wenn Abbildungen vorgelegt werden</w:t>
      </w:r>
      <w:r>
        <w:br/>
        <w:t>(vergleiche Anlage III dieses Dokuments)</w:t>
      </w:r>
      <w:bookmarkEnd w:id="55"/>
    </w:p>
    <w:p w14:paraId="4D9F5DDE" w14:textId="77777777" w:rsidR="0088502A" w:rsidRPr="0088502A" w:rsidRDefault="0088502A" w:rsidP="0088502A"/>
    <w:p w14:paraId="75E0D953" w14:textId="7A65DD2B" w:rsidR="0088502A" w:rsidRPr="0088502A" w:rsidRDefault="0088502A" w:rsidP="0088502A">
      <w:r>
        <w:fldChar w:fldCharType="begin"/>
      </w:r>
      <w:r>
        <w:instrText xml:space="preserve"> AUTONUM  </w:instrText>
      </w:r>
      <w:r>
        <w:fldChar w:fldCharType="end"/>
      </w:r>
      <w:r>
        <w:tab/>
        <w:t xml:space="preserve">Die TWP erörterten auf ihren Tagungen 2023 mögliche Änderungen des Dokuments TGP/7, GN 28 „Beispielssorten“, wie in Anlage III, Absätze 16 bis 26, dargelegt. </w:t>
      </w:r>
    </w:p>
    <w:p w14:paraId="4DFE3086" w14:textId="73A5B734" w:rsidR="0088502A" w:rsidRDefault="0088502A" w:rsidP="0088502A">
      <w:pPr>
        <w:rPr>
          <w:spacing w:val="-2"/>
        </w:rPr>
      </w:pPr>
    </w:p>
    <w:p w14:paraId="1CB1CAEA" w14:textId="74F66935" w:rsidR="00C51AB2" w:rsidRDefault="00C51AB2" w:rsidP="00C51AB2">
      <w:pPr>
        <w:keepLines/>
        <w:tabs>
          <w:tab w:val="left" w:pos="5387"/>
          <w:tab w:val="left" w:pos="5954"/>
        </w:tabs>
        <w:ind w:left="4820"/>
        <w:rPr>
          <w:i/>
        </w:rPr>
      </w:pPr>
      <w:r w:rsidRPr="0088502A">
        <w:rPr>
          <w:i/>
        </w:rPr>
        <w:fldChar w:fldCharType="begin"/>
      </w:r>
      <w:r w:rsidRPr="0088502A">
        <w:rPr>
          <w:i/>
        </w:rPr>
        <w:instrText xml:space="preserve"> AUTONUM  </w:instrText>
      </w:r>
      <w:r w:rsidRPr="0088502A">
        <w:rPr>
          <w:i/>
        </w:rPr>
        <w:fldChar w:fldCharType="end"/>
      </w:r>
      <w:r>
        <w:rPr>
          <w:i/>
        </w:rPr>
        <w:tab/>
        <w:t>Der TC wird ersucht, die Erörterungen über etwaige Änderungen des Dokuments TGP/7, GN 28 „Beispielssorten“, wie in Anlage III, Absätze 16 bis 26, dargelegt, zur Kenntnis zu nehmen.</w:t>
      </w:r>
    </w:p>
    <w:p w14:paraId="7B7DC8C1" w14:textId="77777777" w:rsidR="00C51AB2" w:rsidRPr="0088502A" w:rsidRDefault="00C51AB2" w:rsidP="0088502A">
      <w:pPr>
        <w:rPr>
          <w:spacing w:val="-2"/>
        </w:rPr>
      </w:pPr>
    </w:p>
    <w:p w14:paraId="2B9869C2" w14:textId="77777777" w:rsidR="0088502A" w:rsidRPr="0088502A" w:rsidRDefault="0088502A" w:rsidP="00CF2959">
      <w:pPr>
        <w:pStyle w:val="Heading4"/>
      </w:pPr>
      <w:bookmarkStart w:id="56" w:name="_Toc145586625"/>
      <w:r>
        <w:t>Neue Vorschläge für eine künftige Überarbeitung von Dokument TGP/7</w:t>
      </w:r>
      <w:bookmarkEnd w:id="56"/>
    </w:p>
    <w:p w14:paraId="111E1298" w14:textId="77777777" w:rsidR="0088502A" w:rsidRPr="00CC1204" w:rsidRDefault="0088502A" w:rsidP="0088502A"/>
    <w:p w14:paraId="49BBFFE6" w14:textId="77777777" w:rsidR="0088502A" w:rsidRPr="0088502A" w:rsidRDefault="0088502A" w:rsidP="0088502A">
      <w:pPr>
        <w:pStyle w:val="Heading5"/>
      </w:pPr>
      <w:bookmarkStart w:id="57" w:name="_Toc145586626"/>
      <w:r>
        <w:t>ASW 3 – Erläuterung der Wachstumsperiode</w:t>
      </w:r>
      <w:bookmarkEnd w:id="57"/>
      <w:r>
        <w:t xml:space="preserve"> </w:t>
      </w:r>
    </w:p>
    <w:p w14:paraId="4C54FA9D" w14:textId="77777777" w:rsidR="0088502A" w:rsidRPr="0088502A" w:rsidRDefault="0088502A" w:rsidP="0088502A"/>
    <w:p w14:paraId="731F2DA0" w14:textId="657E86D9" w:rsidR="0088502A" w:rsidRPr="0088502A" w:rsidRDefault="0088502A" w:rsidP="0088502A">
      <w:r w:rsidRPr="0088502A">
        <w:fldChar w:fldCharType="begin"/>
      </w:r>
      <w:r w:rsidRPr="0088502A">
        <w:instrText xml:space="preserve"> AUTONUM  </w:instrText>
      </w:r>
      <w:r w:rsidRPr="0088502A">
        <w:fldChar w:fldCharType="end"/>
      </w:r>
      <w:r>
        <w:tab/>
        <w:t>Die TWF prüfte auf ihrer vierundfünfzigsten Tagung</w:t>
      </w:r>
      <w:r w:rsidR="001A4E8A" w:rsidRPr="001A4E8A">
        <w:rPr>
          <w:vertAlign w:val="superscript"/>
        </w:rPr>
        <w:fldChar w:fldCharType="begin"/>
      </w:r>
      <w:r w:rsidR="001A4E8A" w:rsidRPr="001A4E8A">
        <w:rPr>
          <w:vertAlign w:val="superscript"/>
        </w:rPr>
        <w:instrText xml:space="preserve"> NOTEREF _Ref145616178 \h </w:instrText>
      </w:r>
      <w:r w:rsidR="001A4E8A" w:rsidRPr="001A4E8A">
        <w:rPr>
          <w:vertAlign w:val="superscript"/>
        </w:rPr>
      </w:r>
      <w:r w:rsidR="001A4E8A">
        <w:rPr>
          <w:vertAlign w:val="superscript"/>
        </w:rPr>
        <w:instrText xml:space="preserve"> \* MERGEFORMAT </w:instrText>
      </w:r>
      <w:r w:rsidR="001A4E8A" w:rsidRPr="001A4E8A">
        <w:rPr>
          <w:vertAlign w:val="superscript"/>
        </w:rPr>
        <w:fldChar w:fldCharType="separate"/>
      </w:r>
      <w:r w:rsidR="001A4E8A" w:rsidRPr="001A4E8A">
        <w:rPr>
          <w:vertAlign w:val="superscript"/>
        </w:rPr>
        <w:t>9</w:t>
      </w:r>
      <w:r w:rsidR="001A4E8A" w:rsidRPr="001A4E8A">
        <w:rPr>
          <w:vertAlign w:val="superscript"/>
        </w:rPr>
        <w:fldChar w:fldCharType="end"/>
      </w:r>
      <w:r>
        <w:t xml:space="preserve"> das Dokument TWF/54/9 „Angelegenheiten, die bezüglich der vom Technischen Ausschuss zur Prüfung vorgelegten Prüfungsrichtlinien zu bereinigen sind: Apfel (Obstsorten)“.</w:t>
      </w:r>
      <w:r w:rsidR="0062652A">
        <w:t xml:space="preserve"> </w:t>
      </w:r>
      <w:r>
        <w:t xml:space="preserve">Die TWF </w:t>
      </w:r>
      <w:r w:rsidR="00864B81">
        <w:t>nahm zur Kenntnis</w:t>
      </w:r>
      <w:r>
        <w:t>, dass gewisse Merkmale in den Prüfungsrichtlinien für Äpfel vor dem Knospenaufbruch erfasst werden und vereinbarte, dass dies in Widerspruch zu dem bestehenden Standardwortlaut für die Wach</w:t>
      </w:r>
      <w:r w:rsidR="00467BF9">
        <w:t>s</w:t>
      </w:r>
      <w:r>
        <w:t>tumsperiode von „Obstarten mit klar definierter Ruheperiode“ steht. Die TWF vereinbarte vorzuschlagen, das Dokument TGP/7, ASW Abschnitt 3 Buchstabe a zu ändern und schlug folgenden Wortlaut vor (vergleiche Dokument TWF/54/13 „</w:t>
      </w:r>
      <w:r>
        <w:rPr>
          <w:i/>
          <w:iCs/>
        </w:rPr>
        <w:t>Report</w:t>
      </w:r>
      <w:r>
        <w:t xml:space="preserve">“, Absatz 15): </w:t>
      </w:r>
    </w:p>
    <w:p w14:paraId="0E26561A" w14:textId="77777777" w:rsidR="0088502A" w:rsidRPr="0088502A" w:rsidRDefault="0088502A" w:rsidP="0088502A">
      <w:pPr>
        <w:rPr>
          <w:sz w:val="18"/>
          <w:szCs w:val="18"/>
        </w:rPr>
      </w:pPr>
    </w:p>
    <w:p w14:paraId="6FC1EA66" w14:textId="77777777" w:rsidR="0088502A" w:rsidRPr="0088502A" w:rsidRDefault="0088502A" w:rsidP="0088502A">
      <w:pPr>
        <w:pStyle w:val="ListParagraph"/>
        <w:tabs>
          <w:tab w:val="left" w:pos="1134"/>
        </w:tabs>
        <w:ind w:left="1134"/>
        <w:rPr>
          <w:sz w:val="18"/>
          <w:szCs w:val="18"/>
        </w:rPr>
      </w:pPr>
      <w:bookmarkStart w:id="58" w:name="_Toc47696963"/>
      <w:r>
        <w:rPr>
          <w:sz w:val="18"/>
          <w:szCs w:val="18"/>
        </w:rPr>
        <w:t>a)</w:t>
      </w:r>
      <w:r>
        <w:rPr>
          <w:sz w:val="18"/>
          <w:szCs w:val="18"/>
        </w:rPr>
        <w:tab/>
        <w:t>Obstarten mit deutlich abgegrenzter Ruheperiode</w:t>
      </w:r>
      <w:bookmarkEnd w:id="58"/>
    </w:p>
    <w:p w14:paraId="7D4A4BC7" w14:textId="77777777" w:rsidR="0088502A" w:rsidRPr="0088502A" w:rsidRDefault="0088502A" w:rsidP="0088502A">
      <w:pPr>
        <w:pStyle w:val="ListParagraph"/>
        <w:tabs>
          <w:tab w:val="left" w:pos="1134"/>
        </w:tabs>
        <w:ind w:left="567"/>
        <w:rPr>
          <w:sz w:val="18"/>
          <w:szCs w:val="18"/>
        </w:rPr>
      </w:pPr>
    </w:p>
    <w:p w14:paraId="264A13E5" w14:textId="77777777" w:rsidR="0088502A" w:rsidRPr="0088502A" w:rsidRDefault="0088502A" w:rsidP="0088502A">
      <w:pPr>
        <w:keepNext/>
        <w:tabs>
          <w:tab w:val="left" w:pos="851"/>
          <w:tab w:val="left" w:pos="1134"/>
        </w:tabs>
        <w:ind w:left="567" w:right="567"/>
        <w:rPr>
          <w:sz w:val="18"/>
          <w:szCs w:val="18"/>
        </w:rPr>
      </w:pPr>
      <w:r>
        <w:rPr>
          <w:sz w:val="18"/>
          <w:szCs w:val="18"/>
        </w:rPr>
        <w:t>„3.1.2</w:t>
      </w:r>
      <w:r>
        <w:rPr>
          <w:sz w:val="18"/>
          <w:szCs w:val="18"/>
        </w:rPr>
        <w:tab/>
        <w:t xml:space="preserve">Als Wachstumsperiode wird die Dauer einer Vegetationsperiode angesehen, die mit </w:t>
      </w:r>
      <w:r>
        <w:rPr>
          <w:sz w:val="18"/>
          <w:szCs w:val="18"/>
          <w:highlight w:val="lightGray"/>
          <w:u w:val="single"/>
        </w:rPr>
        <w:t>der Winterruheperiode</w:t>
      </w:r>
      <w:r>
        <w:rPr>
          <w:sz w:val="18"/>
          <w:szCs w:val="18"/>
        </w:rPr>
        <w:t xml:space="preserve"> beginnt, </w:t>
      </w:r>
      <w:r>
        <w:rPr>
          <w:sz w:val="18"/>
          <w:szCs w:val="18"/>
          <w:highlight w:val="lightGray"/>
          <w:u w:val="single"/>
        </w:rPr>
        <w:t>sich mit dem</w:t>
      </w:r>
      <w:r>
        <w:rPr>
          <w:sz w:val="18"/>
          <w:szCs w:val="18"/>
        </w:rPr>
        <w:t xml:space="preserve"> </w:t>
      </w:r>
      <w:r>
        <w:rPr>
          <w:strike/>
          <w:sz w:val="18"/>
          <w:szCs w:val="18"/>
          <w:highlight w:val="lightGray"/>
        </w:rPr>
        <w:t xml:space="preserve">und dem </w:t>
      </w:r>
      <w:r>
        <w:rPr>
          <w:sz w:val="18"/>
          <w:szCs w:val="18"/>
        </w:rPr>
        <w:t>Knospenaufbruch (blühend und/oder vegetativ)</w:t>
      </w:r>
      <w:r>
        <w:rPr>
          <w:strike/>
          <w:sz w:val="18"/>
          <w:szCs w:val="18"/>
          <w:highlight w:val="lightGray"/>
        </w:rPr>
        <w:t xml:space="preserve"> beginnt</w:t>
      </w:r>
      <w:r>
        <w:rPr>
          <w:sz w:val="18"/>
          <w:szCs w:val="18"/>
        </w:rPr>
        <w:t xml:space="preserve">, </w:t>
      </w:r>
      <w:r>
        <w:rPr>
          <w:strike/>
          <w:sz w:val="18"/>
          <w:szCs w:val="18"/>
          <w:highlight w:val="lightGray"/>
        </w:rPr>
        <w:t xml:space="preserve">sich mit und </w:t>
      </w:r>
      <w:r>
        <w:rPr>
          <w:sz w:val="18"/>
          <w:szCs w:val="18"/>
        </w:rPr>
        <w:t xml:space="preserve">der Blüte und der Ernte der Früchte fortsetzt und </w:t>
      </w:r>
      <w:r>
        <w:rPr>
          <w:sz w:val="18"/>
          <w:szCs w:val="18"/>
          <w:highlight w:val="lightGray"/>
          <w:u w:val="single"/>
        </w:rPr>
        <w:t>mit</w:t>
      </w:r>
      <w:r>
        <w:rPr>
          <w:sz w:val="18"/>
          <w:szCs w:val="18"/>
        </w:rPr>
        <w:t xml:space="preserve"> </w:t>
      </w:r>
      <w:r>
        <w:rPr>
          <w:strike/>
          <w:sz w:val="18"/>
          <w:szCs w:val="18"/>
          <w:highlight w:val="lightGray"/>
        </w:rPr>
        <w:t xml:space="preserve">am Ende </w:t>
      </w:r>
      <w:r>
        <w:rPr>
          <w:sz w:val="18"/>
          <w:szCs w:val="18"/>
          <w:highlight w:val="lightGray"/>
          <w:u w:val="single"/>
        </w:rPr>
        <w:t>Beginn</w:t>
      </w:r>
      <w:r>
        <w:rPr>
          <w:sz w:val="18"/>
          <w:szCs w:val="18"/>
        </w:rPr>
        <w:t xml:space="preserve"> der darauffolgenden Ruheperiode </w:t>
      </w:r>
      <w:r>
        <w:rPr>
          <w:strike/>
          <w:sz w:val="18"/>
          <w:szCs w:val="18"/>
          <w:highlight w:val="lightGray"/>
        </w:rPr>
        <w:t xml:space="preserve">mit dem Schwellen neuer Jahresknospen </w:t>
      </w:r>
      <w:r>
        <w:rPr>
          <w:sz w:val="18"/>
          <w:szCs w:val="18"/>
        </w:rPr>
        <w:t>endet.“</w:t>
      </w:r>
    </w:p>
    <w:p w14:paraId="02EA02C0" w14:textId="02FFD502" w:rsidR="0088502A" w:rsidRDefault="0088502A" w:rsidP="0088502A">
      <w:pPr>
        <w:rPr>
          <w:rFonts w:cs="Arial"/>
          <w:u w:val="single"/>
        </w:rPr>
      </w:pPr>
    </w:p>
    <w:p w14:paraId="2B9B5537" w14:textId="77777777" w:rsidR="007E0829" w:rsidRPr="0088502A" w:rsidRDefault="007E0829" w:rsidP="0088502A">
      <w:pPr>
        <w:rPr>
          <w:rFonts w:cs="Arial"/>
          <w:u w:val="single"/>
        </w:rPr>
      </w:pPr>
    </w:p>
    <w:p w14:paraId="667828F5" w14:textId="10CBFF9A" w:rsidR="0088502A" w:rsidRPr="0088502A" w:rsidRDefault="0088502A" w:rsidP="00D31CCC">
      <w:pPr>
        <w:pStyle w:val="Heading5"/>
      </w:pPr>
      <w:bookmarkStart w:id="59" w:name="_Toc47696980"/>
      <w:bookmarkStart w:id="60" w:name="_Toc145586627"/>
      <w:r>
        <w:lastRenderedPageBreak/>
        <w:t>ASW 7 b) – Anzahl der zu prüfenden Pflanzen/Pflanzenteile</w:t>
      </w:r>
      <w:bookmarkEnd w:id="59"/>
      <w:bookmarkEnd w:id="60"/>
    </w:p>
    <w:p w14:paraId="2AC83B77" w14:textId="77777777" w:rsidR="0088502A" w:rsidRPr="0088502A" w:rsidRDefault="0088502A" w:rsidP="00D31CCC">
      <w:pPr>
        <w:keepNext/>
        <w:rPr>
          <w:rFonts w:cs="Arial"/>
        </w:rPr>
      </w:pPr>
    </w:p>
    <w:p w14:paraId="5E9E0365" w14:textId="45EF1FCF" w:rsidR="0088502A" w:rsidRPr="0088502A" w:rsidRDefault="0088502A" w:rsidP="0088502A">
      <w:pPr>
        <w:rPr>
          <w:rFonts w:cs="Arial"/>
        </w:rPr>
      </w:pPr>
      <w:r w:rsidRPr="0088502A">
        <w:fldChar w:fldCharType="begin"/>
      </w:r>
      <w:r w:rsidRPr="0088502A">
        <w:instrText xml:space="preserve"> AUTONUM  </w:instrText>
      </w:r>
      <w:r w:rsidRPr="0088502A">
        <w:fldChar w:fldCharType="end"/>
      </w:r>
      <w:r>
        <w:tab/>
      </w:r>
      <w:r>
        <w:rPr>
          <w:rFonts w:cs="Arial"/>
        </w:rPr>
        <w:t>Die TWF prüfte auf ihrer vierundfünfzigsten Tagung</w:t>
      </w:r>
      <w:r w:rsidR="001A4E8A" w:rsidRPr="001A4E8A">
        <w:rPr>
          <w:rFonts w:cs="Arial"/>
          <w:vertAlign w:val="superscript"/>
        </w:rPr>
        <w:fldChar w:fldCharType="begin"/>
      </w:r>
      <w:r w:rsidR="001A4E8A" w:rsidRPr="001A4E8A">
        <w:rPr>
          <w:rFonts w:cs="Arial"/>
          <w:vertAlign w:val="superscript"/>
        </w:rPr>
        <w:instrText xml:space="preserve"> NOTEREF _Ref145616178 \h </w:instrText>
      </w:r>
      <w:r w:rsidR="001A4E8A" w:rsidRPr="001A4E8A">
        <w:rPr>
          <w:rFonts w:cs="Arial"/>
          <w:vertAlign w:val="superscript"/>
        </w:rPr>
      </w:r>
      <w:r w:rsidR="001A4E8A">
        <w:rPr>
          <w:rFonts w:cs="Arial"/>
          <w:vertAlign w:val="superscript"/>
        </w:rPr>
        <w:instrText xml:space="preserve"> \* MERGEFORMAT </w:instrText>
      </w:r>
      <w:r w:rsidR="001A4E8A" w:rsidRPr="001A4E8A">
        <w:rPr>
          <w:rFonts w:cs="Arial"/>
          <w:vertAlign w:val="superscript"/>
        </w:rPr>
        <w:fldChar w:fldCharType="separate"/>
      </w:r>
      <w:r w:rsidR="001A4E8A" w:rsidRPr="001A4E8A">
        <w:rPr>
          <w:rFonts w:cs="Arial"/>
          <w:vertAlign w:val="superscript"/>
        </w:rPr>
        <w:t>9</w:t>
      </w:r>
      <w:r w:rsidR="001A4E8A" w:rsidRPr="001A4E8A">
        <w:rPr>
          <w:rFonts w:cs="Arial"/>
          <w:vertAlign w:val="superscript"/>
        </w:rPr>
        <w:fldChar w:fldCharType="end"/>
      </w:r>
      <w:r>
        <w:rPr>
          <w:rFonts w:cs="Arial"/>
        </w:rPr>
        <w:t xml:space="preserve"> den Standardwortlaut der Prüfungsrichtlinien betreffend der Erfassung der Anzahl der zu prüfenden Pflanzenteile von Einzelpflanzen bei der Prüfung auf Unterscheidbarkeit.</w:t>
      </w:r>
      <w:r w:rsidR="0062652A">
        <w:rPr>
          <w:rFonts w:cs="Arial"/>
        </w:rPr>
        <w:t xml:space="preserve"> </w:t>
      </w:r>
      <w:r>
        <w:rPr>
          <w:rFonts w:cs="Arial"/>
        </w:rPr>
        <w:t xml:space="preserve">Die TWF vereinbarte, dass klargestellt werden sollte, dass die Anzahl, die in den Prüfungsrichtlinien angegebene </w:t>
      </w:r>
      <w:r w:rsidR="00501AE4">
        <w:rPr>
          <w:rFonts w:cs="Arial"/>
        </w:rPr>
        <w:t>wird</w:t>
      </w:r>
      <w:r>
        <w:rPr>
          <w:rFonts w:cs="Arial"/>
        </w:rPr>
        <w:t xml:space="preserve">, die Mindestanzahl </w:t>
      </w:r>
      <w:r w:rsidR="00501AE4">
        <w:rPr>
          <w:rFonts w:cs="Arial"/>
        </w:rPr>
        <w:t>darstellt</w:t>
      </w:r>
      <w:r>
        <w:rPr>
          <w:rFonts w:cs="Arial"/>
        </w:rPr>
        <w:t>.</w:t>
      </w:r>
      <w:r w:rsidR="0062652A">
        <w:rPr>
          <w:rFonts w:cs="Arial"/>
        </w:rPr>
        <w:t xml:space="preserve"> </w:t>
      </w:r>
      <w:r>
        <w:rPr>
          <w:rFonts w:cs="Arial"/>
        </w:rPr>
        <w:t>Die TWF vereinbarte vorzuschlagen, den „Zusätzlichen Standardwortlaut</w:t>
      </w:r>
      <w:r w:rsidR="00520F20">
        <w:rPr>
          <w:rFonts w:cs="Arial"/>
        </w:rPr>
        <w:t> </w:t>
      </w:r>
      <w:r>
        <w:rPr>
          <w:rFonts w:cs="Arial"/>
        </w:rPr>
        <w:t>7</w:t>
      </w:r>
      <w:r w:rsidR="00520F20">
        <w:rPr>
          <w:rFonts w:cs="Arial"/>
        </w:rPr>
        <w:t> </w:t>
      </w:r>
      <w:r>
        <w:rPr>
          <w:rFonts w:cs="Arial"/>
        </w:rPr>
        <w:t xml:space="preserve">b)“ in Dokument TGP/7 zu ändern und schlug folgenden Wortlaut vor </w:t>
      </w:r>
      <w:r>
        <w:rPr>
          <w:spacing w:val="-2"/>
        </w:rPr>
        <w:t>(vergleiche Dokument TWF/54/13 „</w:t>
      </w:r>
      <w:r>
        <w:rPr>
          <w:i/>
          <w:iCs/>
        </w:rPr>
        <w:t>Report</w:t>
      </w:r>
      <w:r>
        <w:rPr>
          <w:spacing w:val="-2"/>
        </w:rPr>
        <w:t>“, Absatz 16)</w:t>
      </w:r>
      <w:r>
        <w:rPr>
          <w:rFonts w:cs="Arial"/>
        </w:rPr>
        <w:t>:</w:t>
      </w:r>
      <w:r w:rsidR="0062652A">
        <w:rPr>
          <w:rFonts w:cs="Arial"/>
        </w:rPr>
        <w:t xml:space="preserve"> </w:t>
      </w:r>
    </w:p>
    <w:p w14:paraId="6EF51840" w14:textId="77777777" w:rsidR="0088502A" w:rsidRPr="0088502A" w:rsidRDefault="0088502A" w:rsidP="0088502A"/>
    <w:p w14:paraId="4BB031EE" w14:textId="77777777" w:rsidR="0088502A" w:rsidRPr="0088502A" w:rsidRDefault="0088502A" w:rsidP="0088502A">
      <w:pPr>
        <w:ind w:left="567" w:right="567"/>
        <w:rPr>
          <w:sz w:val="18"/>
        </w:rPr>
      </w:pPr>
      <w:r>
        <w:rPr>
          <w:sz w:val="18"/>
        </w:rPr>
        <w:t xml:space="preserve">„Bei Erfassungen an Pflanzenteilen sollte(n) von jeder Pflanze </w:t>
      </w:r>
      <w:r>
        <w:rPr>
          <w:sz w:val="18"/>
          <w:highlight w:val="lightGray"/>
          <w:u w:val="single"/>
        </w:rPr>
        <w:t>mindestens</w:t>
      </w:r>
      <w:r>
        <w:rPr>
          <w:sz w:val="18"/>
        </w:rPr>
        <w:t xml:space="preserve"> { y } Teil(e) entnommen werden.“</w:t>
      </w:r>
    </w:p>
    <w:p w14:paraId="417859D8" w14:textId="77777777" w:rsidR="0088502A" w:rsidRPr="0088502A" w:rsidRDefault="0088502A" w:rsidP="0088502A">
      <w:pPr>
        <w:rPr>
          <w:spacing w:val="-2"/>
        </w:rPr>
      </w:pPr>
    </w:p>
    <w:p w14:paraId="411B79E7" w14:textId="24667A0F" w:rsidR="0088502A" w:rsidRDefault="0088502A" w:rsidP="0088502A">
      <w:pPr>
        <w:keepLines/>
        <w:tabs>
          <w:tab w:val="left" w:pos="5387"/>
          <w:tab w:val="left" w:pos="5954"/>
        </w:tabs>
        <w:ind w:left="4820"/>
        <w:rPr>
          <w:i/>
        </w:rPr>
      </w:pPr>
      <w:r w:rsidRPr="0088502A">
        <w:rPr>
          <w:i/>
        </w:rPr>
        <w:fldChar w:fldCharType="begin"/>
      </w:r>
      <w:r w:rsidRPr="0088502A">
        <w:rPr>
          <w:i/>
        </w:rPr>
        <w:instrText xml:space="preserve"> AUTONUM  </w:instrText>
      </w:r>
      <w:r w:rsidRPr="0088502A">
        <w:rPr>
          <w:i/>
        </w:rPr>
        <w:fldChar w:fldCharType="end"/>
      </w:r>
      <w:r>
        <w:rPr>
          <w:i/>
        </w:rPr>
        <w:tab/>
        <w:t>Der TC wird ersucht zu prüfen, ob die TWP ersucht werden sollen, auf ihren Tagungen 2024 die vorgeschlagenen Änderungen von Dokument TGP/7, ASW 3</w:t>
      </w:r>
      <w:r w:rsidR="000952DB">
        <w:rPr>
          <w:i/>
        </w:rPr>
        <w:t> </w:t>
      </w:r>
      <w:r>
        <w:rPr>
          <w:i/>
        </w:rPr>
        <w:t>a) und ASW 7</w:t>
      </w:r>
      <w:r w:rsidR="000952DB">
        <w:rPr>
          <w:i/>
        </w:rPr>
        <w:t> </w:t>
      </w:r>
      <w:r>
        <w:rPr>
          <w:i/>
        </w:rPr>
        <w:t>b), wie in den Absätze</w:t>
      </w:r>
      <w:r w:rsidR="000952DB">
        <w:rPr>
          <w:i/>
        </w:rPr>
        <w:t>n</w:t>
      </w:r>
      <w:r>
        <w:rPr>
          <w:i/>
        </w:rPr>
        <w:t xml:space="preserve"> 68 und 69 dieses Dokuments dargelegt, zu prüfen.</w:t>
      </w:r>
    </w:p>
    <w:p w14:paraId="4D2B7D2E" w14:textId="77777777" w:rsidR="007C7653" w:rsidRPr="0088502A" w:rsidRDefault="007C7653" w:rsidP="0088502A"/>
    <w:p w14:paraId="79F80DCB" w14:textId="14E34C16" w:rsidR="0088502A" w:rsidRPr="0088502A" w:rsidRDefault="0088502A" w:rsidP="000B0E8D">
      <w:pPr>
        <w:pStyle w:val="Heading3"/>
      </w:pPr>
      <w:bookmarkStart w:id="61" w:name="_Toc145586628"/>
      <w:r>
        <w:t>Dokument TGP/12</w:t>
      </w:r>
      <w:r w:rsidR="00DB5B81">
        <w:t xml:space="preserve">: </w:t>
      </w:r>
      <w:r>
        <w:t>„Anleitung zu bestimmten physiologischen Merkmalen”</w:t>
      </w:r>
      <w:bookmarkEnd w:id="61"/>
    </w:p>
    <w:p w14:paraId="3C360CAC" w14:textId="77777777" w:rsidR="0088502A" w:rsidRPr="0088502A" w:rsidRDefault="0088502A" w:rsidP="0088502A">
      <w:pPr>
        <w:jc w:val="left"/>
      </w:pPr>
    </w:p>
    <w:p w14:paraId="0090F9EE" w14:textId="0B1EB9F6" w:rsidR="0088502A" w:rsidRPr="0088502A" w:rsidRDefault="0088502A" w:rsidP="0088502A">
      <w:pPr>
        <w:spacing w:after="240"/>
      </w:pPr>
      <w:r w:rsidRPr="0088502A">
        <w:fldChar w:fldCharType="begin"/>
      </w:r>
      <w:r w:rsidRPr="0088502A">
        <w:instrText xml:space="preserve"> AUTONUM  </w:instrText>
      </w:r>
      <w:r w:rsidRPr="0088502A">
        <w:fldChar w:fldCharType="end"/>
      </w:r>
      <w:r>
        <w:tab/>
        <w:t>Die TWV hörte auf ihrer siebenundfünfzigsten Tagung</w:t>
      </w:r>
      <w:r w:rsidR="001A4E8A" w:rsidRPr="001A4E8A">
        <w:rPr>
          <w:vertAlign w:val="superscript"/>
        </w:rPr>
        <w:fldChar w:fldCharType="begin"/>
      </w:r>
      <w:r w:rsidR="001A4E8A" w:rsidRPr="001A4E8A">
        <w:rPr>
          <w:vertAlign w:val="superscript"/>
        </w:rPr>
        <w:instrText xml:space="preserve"> NOTEREF _Ref145616140 \h </w:instrText>
      </w:r>
      <w:r w:rsidR="001A4E8A" w:rsidRPr="001A4E8A">
        <w:rPr>
          <w:vertAlign w:val="superscript"/>
        </w:rPr>
      </w:r>
      <w:r w:rsidR="001A4E8A">
        <w:rPr>
          <w:vertAlign w:val="superscript"/>
        </w:rPr>
        <w:instrText xml:space="preserve"> \* MERGEFORMAT </w:instrText>
      </w:r>
      <w:r w:rsidR="001A4E8A" w:rsidRPr="001A4E8A">
        <w:rPr>
          <w:vertAlign w:val="superscript"/>
        </w:rPr>
        <w:fldChar w:fldCharType="separate"/>
      </w:r>
      <w:r w:rsidR="001A4E8A" w:rsidRPr="001A4E8A">
        <w:rPr>
          <w:vertAlign w:val="superscript"/>
        </w:rPr>
        <w:t>7</w:t>
      </w:r>
      <w:r w:rsidR="001A4E8A" w:rsidRPr="001A4E8A">
        <w:rPr>
          <w:vertAlign w:val="superscript"/>
        </w:rPr>
        <w:fldChar w:fldCharType="end"/>
      </w:r>
      <w:r>
        <w:t xml:space="preserve"> ein Referat über “Krankheitsresistenzmerkmale” von einem Sachverständigen von Euroseeds im Auftrag von CropLife International, Euroseeds und dem Internationalen Saatgutverband (ISF).</w:t>
      </w:r>
      <w:r w:rsidR="0062652A">
        <w:t xml:space="preserve"> </w:t>
      </w:r>
      <w:r>
        <w:t xml:space="preserve">Eine Kopie des Referats ist in Dokument TWV/57/10 Add enthalten </w:t>
      </w:r>
      <w:r>
        <w:rPr>
          <w:rFonts w:eastAsia="MS Mincho"/>
        </w:rPr>
        <w:t>(vergleiche Dokument TWV/57/26 „</w:t>
      </w:r>
      <w:r>
        <w:rPr>
          <w:rFonts w:eastAsia="MS Mincho"/>
          <w:i/>
          <w:iCs/>
        </w:rPr>
        <w:t>Report</w:t>
      </w:r>
      <w:r>
        <w:rPr>
          <w:rFonts w:eastAsia="MS Mincho"/>
        </w:rPr>
        <w:t>“, Absätze 25 und 28).</w:t>
      </w:r>
    </w:p>
    <w:p w14:paraId="54D0D1F6" w14:textId="165D2C40" w:rsidR="0088502A" w:rsidRPr="0088502A" w:rsidRDefault="0088502A" w:rsidP="0088502A">
      <w:r w:rsidRPr="0088502A">
        <w:fldChar w:fldCharType="begin"/>
      </w:r>
      <w:r w:rsidRPr="0088502A">
        <w:instrText xml:space="preserve"> AUTONUM  </w:instrText>
      </w:r>
      <w:r w:rsidRPr="0088502A">
        <w:fldChar w:fldCharType="end"/>
      </w:r>
      <w:r>
        <w:tab/>
        <w:t xml:space="preserve">Die TWV </w:t>
      </w:r>
      <w:r w:rsidR="00864B81">
        <w:t>nahm zur Kenntnis</w:t>
      </w:r>
      <w:r>
        <w:t>, dass sich die in der komprimierten Notenskala (Noten 1,</w:t>
      </w:r>
      <w:r w:rsidR="0036125B">
        <w:t> </w:t>
      </w:r>
      <w:r>
        <w:t>2</w:t>
      </w:r>
      <w:r w:rsidR="0036125B">
        <w:t> , </w:t>
      </w:r>
      <w:r>
        <w:t xml:space="preserve">3) verwendete Terminologie </w:t>
      </w:r>
      <w:r w:rsidR="00501AE4">
        <w:t>in den</w:t>
      </w:r>
      <w:r>
        <w:t xml:space="preserve"> UPOV-Prüfungsrichtlinien für quantitative Krankheitsresistenzmerkmale von der Terminologie unterscheidet, die im </w:t>
      </w:r>
      <w:r w:rsidR="00B500D2">
        <w:t>Sektor</w:t>
      </w:r>
      <w:r>
        <w:t xml:space="preserve"> Saatgut </w:t>
      </w:r>
      <w:r w:rsidR="00B500D2">
        <w:t xml:space="preserve">für </w:t>
      </w:r>
      <w:r>
        <w:t>Gemüsepflanzen verwendet wird</w:t>
      </w:r>
      <w:r w:rsidR="00501AE4">
        <w:t>.</w:t>
      </w:r>
    </w:p>
    <w:p w14:paraId="6A13B48A" w14:textId="6C19A107" w:rsidR="0088502A" w:rsidRDefault="0088502A" w:rsidP="0088502A"/>
    <w:p w14:paraId="11020633" w14:textId="449C57FB" w:rsidR="0088502A" w:rsidRPr="0088502A" w:rsidRDefault="0088502A" w:rsidP="005615C0">
      <w:pPr>
        <w:keepLines/>
      </w:pPr>
      <w:r w:rsidRPr="0088502A">
        <w:fldChar w:fldCharType="begin"/>
      </w:r>
      <w:r w:rsidRPr="0088502A">
        <w:instrText xml:space="preserve"> AUTONUM  </w:instrText>
      </w:r>
      <w:r w:rsidRPr="0088502A">
        <w:fldChar w:fldCharType="end"/>
      </w:r>
      <w:r>
        <w:tab/>
        <w:t xml:space="preserve">Die TWV vereinbarte, dass die folgende Tabelle in den UPOV-Prüfungsrichtlinien, unter Verwendung der im </w:t>
      </w:r>
      <w:r w:rsidR="00B500D2">
        <w:t xml:space="preserve">Sektor </w:t>
      </w:r>
      <w:r>
        <w:t xml:space="preserve">Saatgut für Gemüsepflanzen verwendeten Terminologie, </w:t>
      </w:r>
      <w:r w:rsidR="00501AE4">
        <w:t xml:space="preserve">äquivalente </w:t>
      </w:r>
      <w:r>
        <w:t>Ausprägungsstufen b</w:t>
      </w:r>
      <w:r w:rsidR="00501AE4">
        <w:t>ietet</w:t>
      </w:r>
      <w:r>
        <w:t>:</w:t>
      </w:r>
    </w:p>
    <w:p w14:paraId="15B493DE" w14:textId="77777777" w:rsidR="0088502A" w:rsidRPr="0088502A" w:rsidRDefault="0088502A" w:rsidP="005615C0"/>
    <w:tbl>
      <w:tblPr>
        <w:tblpPr w:leftFromText="180" w:rightFromText="180" w:vertAnchor="text" w:horzAnchor="margin" w:tblpXSpec="center" w:tblpY="22"/>
        <w:tblW w:w="9634" w:type="dxa"/>
        <w:tblLook w:val="04A0" w:firstRow="1" w:lastRow="0" w:firstColumn="1" w:lastColumn="0" w:noHBand="0" w:noVBand="1"/>
      </w:tblPr>
      <w:tblGrid>
        <w:gridCol w:w="787"/>
        <w:gridCol w:w="4253"/>
        <w:gridCol w:w="4677"/>
      </w:tblGrid>
      <w:tr w:rsidR="0088502A" w:rsidRPr="0088502A" w14:paraId="2C5D9722" w14:textId="77777777" w:rsidTr="005615C0">
        <w:trPr>
          <w:cantSplit/>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96E1C" w14:textId="77777777" w:rsidR="0088502A" w:rsidRPr="0088502A" w:rsidRDefault="0088502A" w:rsidP="00501AE4">
            <w:pPr>
              <w:ind w:left="-536" w:firstLine="536"/>
              <w:jc w:val="left"/>
              <w:rPr>
                <w:rFonts w:cs="Arial"/>
                <w:color w:val="000000"/>
                <w:sz w:val="18"/>
              </w:rPr>
            </w:pPr>
            <w:r w:rsidRPr="0088502A">
              <w:rPr>
                <w:rFonts w:cs="Arial"/>
                <w:color w:val="000000"/>
                <w:sz w:val="18"/>
              </w:rPr>
              <w:t> </w:t>
            </w:r>
          </w:p>
        </w:tc>
        <w:tc>
          <w:tcPr>
            <w:tcW w:w="8930" w:type="dxa"/>
            <w:gridSpan w:val="2"/>
            <w:tcBorders>
              <w:top w:val="single" w:sz="4" w:space="0" w:color="auto"/>
              <w:left w:val="nil"/>
              <w:bottom w:val="single" w:sz="4" w:space="0" w:color="auto"/>
              <w:right w:val="single" w:sz="4" w:space="0" w:color="auto"/>
            </w:tcBorders>
            <w:shd w:val="clear" w:color="auto" w:fill="auto"/>
            <w:vAlign w:val="center"/>
            <w:hideMark/>
          </w:tcPr>
          <w:p w14:paraId="5822066E" w14:textId="00A447F0" w:rsidR="0088502A" w:rsidRPr="0088502A" w:rsidRDefault="0088502A" w:rsidP="00FF6FF1">
            <w:pPr>
              <w:ind w:left="-819" w:firstLine="819"/>
              <w:jc w:val="center"/>
              <w:rPr>
                <w:rFonts w:cs="Arial"/>
                <w:color w:val="000000"/>
                <w:sz w:val="18"/>
              </w:rPr>
            </w:pPr>
            <w:r>
              <w:rPr>
                <w:rFonts w:cs="Arial"/>
                <w:color w:val="000000"/>
                <w:sz w:val="18"/>
              </w:rPr>
              <w:t>Gleichwertige Ausprägungsstufen in den UPOV-Prüfungsrichtlinien, unter Verwendung der im S</w:t>
            </w:r>
            <w:r w:rsidR="00B500D2">
              <w:rPr>
                <w:rFonts w:cs="Arial"/>
                <w:color w:val="000000"/>
                <w:sz w:val="18"/>
              </w:rPr>
              <w:t>ektor S</w:t>
            </w:r>
            <w:r>
              <w:rPr>
                <w:rFonts w:cs="Arial"/>
                <w:color w:val="000000"/>
                <w:sz w:val="18"/>
              </w:rPr>
              <w:t>aatgut für Gemüsepflanzen verwendeten Terminologie</w:t>
            </w:r>
          </w:p>
        </w:tc>
      </w:tr>
      <w:tr w:rsidR="0088502A" w:rsidRPr="0088502A" w14:paraId="3EED7143" w14:textId="77777777" w:rsidTr="005615C0">
        <w:trPr>
          <w:cantSplit/>
          <w:trHeight w:val="26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7BBFC8" w14:textId="77777777" w:rsidR="0088502A" w:rsidRPr="0088502A" w:rsidRDefault="0088502A" w:rsidP="00501AE4">
            <w:pPr>
              <w:ind w:left="-536" w:firstLine="536"/>
              <w:jc w:val="left"/>
              <w:rPr>
                <w:rFonts w:cs="Arial"/>
                <w:sz w:val="18"/>
              </w:rPr>
            </w:pPr>
            <w:r w:rsidRPr="0088502A">
              <w:rPr>
                <w:rFonts w:cs="Arial"/>
                <w:sz w:val="18"/>
              </w:rPr>
              <w:t> </w:t>
            </w:r>
          </w:p>
        </w:tc>
        <w:tc>
          <w:tcPr>
            <w:tcW w:w="4253" w:type="dxa"/>
            <w:tcBorders>
              <w:top w:val="nil"/>
              <w:left w:val="nil"/>
              <w:bottom w:val="single" w:sz="4" w:space="0" w:color="auto"/>
              <w:right w:val="single" w:sz="4" w:space="0" w:color="auto"/>
            </w:tcBorders>
            <w:shd w:val="clear" w:color="auto" w:fill="auto"/>
            <w:noWrap/>
            <w:vAlign w:val="center"/>
            <w:hideMark/>
          </w:tcPr>
          <w:p w14:paraId="2F7919A0" w14:textId="77777777" w:rsidR="0088502A" w:rsidRPr="0088502A" w:rsidRDefault="0088502A" w:rsidP="00FF6FF1">
            <w:pPr>
              <w:ind w:left="-819" w:firstLine="819"/>
              <w:jc w:val="center"/>
              <w:rPr>
                <w:rFonts w:cs="Arial"/>
                <w:bCs/>
                <w:sz w:val="18"/>
              </w:rPr>
            </w:pPr>
            <w:r>
              <w:rPr>
                <w:rFonts w:cs="Arial"/>
                <w:bCs/>
                <w:sz w:val="18"/>
              </w:rPr>
              <w:t>Ausprägungsstufen in UPOV-Prüfungsrichtlinien</w:t>
            </w:r>
          </w:p>
        </w:tc>
        <w:tc>
          <w:tcPr>
            <w:tcW w:w="4677" w:type="dxa"/>
            <w:tcBorders>
              <w:top w:val="nil"/>
              <w:left w:val="nil"/>
              <w:bottom w:val="single" w:sz="4" w:space="0" w:color="auto"/>
              <w:right w:val="single" w:sz="4" w:space="0" w:color="auto"/>
            </w:tcBorders>
            <w:shd w:val="clear" w:color="auto" w:fill="auto"/>
            <w:vAlign w:val="center"/>
            <w:hideMark/>
          </w:tcPr>
          <w:p w14:paraId="53D8CAEB" w14:textId="423110ED" w:rsidR="0088502A" w:rsidRPr="0088502A" w:rsidRDefault="0088502A" w:rsidP="00FF6FF1">
            <w:pPr>
              <w:ind w:left="-819" w:firstLine="819"/>
              <w:jc w:val="center"/>
              <w:rPr>
                <w:rFonts w:cs="Arial"/>
                <w:bCs/>
                <w:sz w:val="18"/>
              </w:rPr>
            </w:pPr>
            <w:r>
              <w:rPr>
                <w:rFonts w:cs="Arial"/>
                <w:bCs/>
                <w:sz w:val="18"/>
              </w:rPr>
              <w:t xml:space="preserve">Im </w:t>
            </w:r>
            <w:r w:rsidR="00B500D2">
              <w:rPr>
                <w:rFonts w:cs="Arial"/>
                <w:bCs/>
                <w:sz w:val="18"/>
              </w:rPr>
              <w:t xml:space="preserve">Sektor </w:t>
            </w:r>
            <w:r>
              <w:rPr>
                <w:rFonts w:cs="Arial"/>
                <w:bCs/>
                <w:sz w:val="18"/>
              </w:rPr>
              <w:t>Saatgut für Gemüsepflanzen verwendete Terminologie</w:t>
            </w:r>
            <w:r>
              <w:rPr>
                <w:rStyle w:val="FootnoteReference"/>
                <w:rFonts w:cs="Arial"/>
                <w:bCs/>
                <w:sz w:val="18"/>
              </w:rPr>
              <w:footnoteReference w:id="12"/>
            </w:r>
          </w:p>
        </w:tc>
      </w:tr>
      <w:tr w:rsidR="0088502A" w:rsidRPr="0088502A" w14:paraId="6EF43830" w14:textId="77777777" w:rsidTr="005615C0">
        <w:trPr>
          <w:cantSplit/>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61EF3A7" w14:textId="0B13E5E4" w:rsidR="0088502A" w:rsidRPr="0088502A" w:rsidRDefault="0088502A" w:rsidP="00501AE4">
            <w:pPr>
              <w:ind w:left="-536" w:firstLine="536"/>
              <w:jc w:val="right"/>
              <w:rPr>
                <w:rFonts w:cs="Arial"/>
                <w:sz w:val="18"/>
              </w:rPr>
            </w:pPr>
            <w:r>
              <w:rPr>
                <w:rFonts w:cs="Arial"/>
                <w:sz w:val="18"/>
              </w:rPr>
              <w:t>UPOV-</w:t>
            </w:r>
            <w:r w:rsidR="00501AE4">
              <w:rPr>
                <w:rFonts w:cs="Arial"/>
                <w:sz w:val="18"/>
              </w:rPr>
              <w:t>Anmer-</w:t>
            </w:r>
            <w:r w:rsidR="00501AE4">
              <w:rPr>
                <w:rFonts w:cs="Arial"/>
                <w:sz w:val="18"/>
              </w:rPr>
              <w:br/>
              <w:t>kungen </w:t>
            </w:r>
          </w:p>
        </w:tc>
        <w:tc>
          <w:tcPr>
            <w:tcW w:w="4253" w:type="dxa"/>
            <w:tcBorders>
              <w:top w:val="nil"/>
              <w:left w:val="nil"/>
              <w:bottom w:val="single" w:sz="4" w:space="0" w:color="auto"/>
              <w:right w:val="single" w:sz="4" w:space="0" w:color="auto"/>
            </w:tcBorders>
            <w:shd w:val="clear" w:color="auto" w:fill="auto"/>
            <w:vAlign w:val="center"/>
            <w:hideMark/>
          </w:tcPr>
          <w:p w14:paraId="5C761F1D" w14:textId="77777777" w:rsidR="0088502A" w:rsidRPr="0088502A" w:rsidRDefault="0088502A" w:rsidP="00FF6FF1">
            <w:pPr>
              <w:ind w:left="-819" w:firstLine="819"/>
              <w:jc w:val="left"/>
              <w:rPr>
                <w:rFonts w:cs="Arial"/>
                <w:sz w:val="18"/>
              </w:rPr>
            </w:pPr>
            <w:r>
              <w:rPr>
                <w:rFonts w:cs="Arial"/>
                <w:sz w:val="18"/>
              </w:rPr>
              <w:t>Resistenz gegen (Name der Krankheitsresistenz) ist:</w:t>
            </w:r>
          </w:p>
        </w:tc>
        <w:tc>
          <w:tcPr>
            <w:tcW w:w="4677" w:type="dxa"/>
            <w:tcBorders>
              <w:top w:val="nil"/>
              <w:left w:val="nil"/>
              <w:bottom w:val="single" w:sz="4" w:space="0" w:color="auto"/>
              <w:right w:val="single" w:sz="4" w:space="0" w:color="auto"/>
            </w:tcBorders>
            <w:shd w:val="clear" w:color="auto" w:fill="auto"/>
            <w:vAlign w:val="center"/>
            <w:hideMark/>
          </w:tcPr>
          <w:p w14:paraId="3A948662" w14:textId="77777777" w:rsidR="0088502A" w:rsidRPr="0088502A" w:rsidRDefault="0088502A" w:rsidP="00C45E20">
            <w:pPr>
              <w:jc w:val="left"/>
              <w:rPr>
                <w:rFonts w:cs="Arial"/>
                <w:sz w:val="18"/>
              </w:rPr>
            </w:pPr>
            <w:r>
              <w:rPr>
                <w:rFonts w:cs="Arial"/>
                <w:sz w:val="18"/>
              </w:rPr>
              <w:t>Reaktion einer Pflanzensorte auf eine bestimmte Krankheit ist:</w:t>
            </w:r>
          </w:p>
        </w:tc>
      </w:tr>
      <w:tr w:rsidR="0088502A" w:rsidRPr="0088502A" w14:paraId="78EC72A3" w14:textId="77777777" w:rsidTr="005615C0">
        <w:trPr>
          <w:cantSplit/>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1C7A6E" w14:textId="77777777" w:rsidR="0088502A" w:rsidRPr="0088502A" w:rsidRDefault="0088502A" w:rsidP="00501AE4">
            <w:pPr>
              <w:ind w:left="-536" w:firstLine="536"/>
              <w:jc w:val="right"/>
              <w:rPr>
                <w:rFonts w:cs="Arial"/>
                <w:sz w:val="18"/>
              </w:rPr>
            </w:pPr>
            <w:r>
              <w:rPr>
                <w:rFonts w:cs="Arial"/>
                <w:sz w:val="18"/>
              </w:rPr>
              <w:t>1</w:t>
            </w:r>
          </w:p>
        </w:tc>
        <w:tc>
          <w:tcPr>
            <w:tcW w:w="4253" w:type="dxa"/>
            <w:tcBorders>
              <w:top w:val="nil"/>
              <w:left w:val="nil"/>
              <w:bottom w:val="single" w:sz="4" w:space="0" w:color="auto"/>
              <w:right w:val="single" w:sz="4" w:space="0" w:color="auto"/>
            </w:tcBorders>
            <w:shd w:val="clear" w:color="auto" w:fill="auto"/>
            <w:noWrap/>
            <w:vAlign w:val="center"/>
            <w:hideMark/>
          </w:tcPr>
          <w:p w14:paraId="2191A481" w14:textId="77777777" w:rsidR="0088502A" w:rsidRPr="0088502A" w:rsidRDefault="0088502A" w:rsidP="00FF6FF1">
            <w:pPr>
              <w:ind w:left="-819" w:firstLine="819"/>
              <w:jc w:val="left"/>
              <w:rPr>
                <w:rFonts w:cs="Arial"/>
                <w:sz w:val="18"/>
              </w:rPr>
            </w:pPr>
            <w:r>
              <w:rPr>
                <w:rFonts w:cs="Arial"/>
                <w:sz w:val="18"/>
              </w:rPr>
              <w:t>fehlend oder gering</w:t>
            </w:r>
          </w:p>
        </w:tc>
        <w:tc>
          <w:tcPr>
            <w:tcW w:w="4677" w:type="dxa"/>
            <w:tcBorders>
              <w:top w:val="nil"/>
              <w:left w:val="nil"/>
              <w:bottom w:val="single" w:sz="4" w:space="0" w:color="auto"/>
              <w:right w:val="single" w:sz="4" w:space="0" w:color="auto"/>
            </w:tcBorders>
            <w:shd w:val="clear" w:color="auto" w:fill="auto"/>
            <w:noWrap/>
            <w:vAlign w:val="center"/>
            <w:hideMark/>
          </w:tcPr>
          <w:p w14:paraId="6B60BAD5" w14:textId="77777777" w:rsidR="0088502A" w:rsidRPr="0088502A" w:rsidRDefault="0088502A" w:rsidP="00FF6FF1">
            <w:pPr>
              <w:ind w:left="-819" w:firstLine="819"/>
              <w:jc w:val="left"/>
              <w:rPr>
                <w:rFonts w:cs="Arial"/>
                <w:sz w:val="18"/>
              </w:rPr>
            </w:pPr>
            <w:r>
              <w:rPr>
                <w:rFonts w:cs="Arial"/>
                <w:sz w:val="18"/>
              </w:rPr>
              <w:t>Anfälligkeit (S)</w:t>
            </w:r>
          </w:p>
        </w:tc>
      </w:tr>
      <w:tr w:rsidR="0088502A" w:rsidRPr="0088502A" w14:paraId="1EE5AE91" w14:textId="77777777" w:rsidTr="005615C0">
        <w:trPr>
          <w:cantSplit/>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1F6E1C2" w14:textId="77777777" w:rsidR="0088502A" w:rsidRPr="0088502A" w:rsidRDefault="0088502A" w:rsidP="00501AE4">
            <w:pPr>
              <w:ind w:left="-536" w:firstLine="536"/>
              <w:jc w:val="right"/>
              <w:rPr>
                <w:rFonts w:cs="Arial"/>
                <w:sz w:val="18"/>
              </w:rPr>
            </w:pPr>
            <w:r>
              <w:rPr>
                <w:rFonts w:cs="Arial"/>
                <w:sz w:val="18"/>
              </w:rPr>
              <w:t>2</w:t>
            </w:r>
          </w:p>
        </w:tc>
        <w:tc>
          <w:tcPr>
            <w:tcW w:w="4253" w:type="dxa"/>
            <w:tcBorders>
              <w:top w:val="nil"/>
              <w:left w:val="nil"/>
              <w:bottom w:val="single" w:sz="4" w:space="0" w:color="auto"/>
              <w:right w:val="single" w:sz="4" w:space="0" w:color="auto"/>
            </w:tcBorders>
            <w:shd w:val="clear" w:color="auto" w:fill="auto"/>
            <w:noWrap/>
            <w:vAlign w:val="center"/>
            <w:hideMark/>
          </w:tcPr>
          <w:p w14:paraId="173FA3C6" w14:textId="77777777" w:rsidR="0088502A" w:rsidRPr="0088502A" w:rsidRDefault="0088502A" w:rsidP="00FF6FF1">
            <w:pPr>
              <w:ind w:left="-819" w:firstLine="819"/>
              <w:jc w:val="left"/>
              <w:rPr>
                <w:rFonts w:cs="Arial"/>
                <w:sz w:val="18"/>
              </w:rPr>
            </w:pPr>
            <w:r>
              <w:rPr>
                <w:rFonts w:cs="Arial"/>
                <w:sz w:val="18"/>
              </w:rPr>
              <w:t>mittel</w:t>
            </w:r>
          </w:p>
        </w:tc>
        <w:tc>
          <w:tcPr>
            <w:tcW w:w="4677" w:type="dxa"/>
            <w:tcBorders>
              <w:top w:val="nil"/>
              <w:left w:val="nil"/>
              <w:bottom w:val="single" w:sz="4" w:space="0" w:color="auto"/>
              <w:right w:val="single" w:sz="4" w:space="0" w:color="auto"/>
            </w:tcBorders>
            <w:shd w:val="clear" w:color="auto" w:fill="auto"/>
            <w:noWrap/>
            <w:vAlign w:val="center"/>
            <w:hideMark/>
          </w:tcPr>
          <w:p w14:paraId="7F7AA3AA" w14:textId="0E3E188B" w:rsidR="0088502A" w:rsidRPr="0088502A" w:rsidRDefault="00294C8C" w:rsidP="00FF6FF1">
            <w:pPr>
              <w:ind w:left="-819" w:firstLine="819"/>
              <w:jc w:val="left"/>
              <w:rPr>
                <w:rFonts w:cs="Arial"/>
                <w:sz w:val="18"/>
              </w:rPr>
            </w:pPr>
            <w:r>
              <w:rPr>
                <w:rFonts w:cs="Arial"/>
                <w:sz w:val="18"/>
              </w:rPr>
              <w:t>I</w:t>
            </w:r>
            <w:r w:rsidR="0088502A">
              <w:rPr>
                <w:rFonts w:cs="Arial"/>
                <w:sz w:val="18"/>
              </w:rPr>
              <w:t>ntermediäre Resistenz (IR)</w:t>
            </w:r>
          </w:p>
        </w:tc>
      </w:tr>
      <w:tr w:rsidR="0088502A" w:rsidRPr="0088502A" w14:paraId="1D03E5AC" w14:textId="77777777" w:rsidTr="005615C0">
        <w:trPr>
          <w:cantSplit/>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66A340" w14:textId="77777777" w:rsidR="0088502A" w:rsidRPr="0088502A" w:rsidRDefault="0088502A" w:rsidP="00501AE4">
            <w:pPr>
              <w:ind w:left="-536" w:firstLine="536"/>
              <w:jc w:val="right"/>
              <w:rPr>
                <w:rFonts w:cs="Arial"/>
                <w:sz w:val="18"/>
              </w:rPr>
            </w:pPr>
            <w:r>
              <w:rPr>
                <w:rFonts w:cs="Arial"/>
                <w:sz w:val="18"/>
              </w:rPr>
              <w:t>3</w:t>
            </w:r>
          </w:p>
        </w:tc>
        <w:tc>
          <w:tcPr>
            <w:tcW w:w="4253" w:type="dxa"/>
            <w:tcBorders>
              <w:top w:val="nil"/>
              <w:left w:val="nil"/>
              <w:bottom w:val="single" w:sz="4" w:space="0" w:color="auto"/>
              <w:right w:val="single" w:sz="4" w:space="0" w:color="auto"/>
            </w:tcBorders>
            <w:shd w:val="clear" w:color="auto" w:fill="auto"/>
            <w:noWrap/>
            <w:vAlign w:val="center"/>
            <w:hideMark/>
          </w:tcPr>
          <w:p w14:paraId="3891BF64" w14:textId="3807C09C" w:rsidR="0088502A" w:rsidRPr="0088502A" w:rsidRDefault="00274A5F" w:rsidP="00FF6FF1">
            <w:pPr>
              <w:ind w:left="-819" w:firstLine="819"/>
              <w:jc w:val="left"/>
              <w:rPr>
                <w:rFonts w:cs="Arial"/>
                <w:sz w:val="18"/>
              </w:rPr>
            </w:pPr>
            <w:r>
              <w:rPr>
                <w:rFonts w:cs="Arial"/>
                <w:sz w:val="18"/>
              </w:rPr>
              <w:t>hoch</w:t>
            </w:r>
          </w:p>
        </w:tc>
        <w:tc>
          <w:tcPr>
            <w:tcW w:w="4677" w:type="dxa"/>
            <w:tcBorders>
              <w:top w:val="nil"/>
              <w:left w:val="nil"/>
              <w:bottom w:val="single" w:sz="4" w:space="0" w:color="auto"/>
              <w:right w:val="single" w:sz="4" w:space="0" w:color="auto"/>
            </w:tcBorders>
            <w:shd w:val="clear" w:color="auto" w:fill="auto"/>
            <w:noWrap/>
            <w:vAlign w:val="center"/>
            <w:hideMark/>
          </w:tcPr>
          <w:p w14:paraId="4A6843F5" w14:textId="77777777" w:rsidR="0088502A" w:rsidRPr="0088502A" w:rsidRDefault="0088502A" w:rsidP="00FF6FF1">
            <w:pPr>
              <w:ind w:left="-819" w:firstLine="819"/>
              <w:jc w:val="left"/>
              <w:rPr>
                <w:rFonts w:cs="Arial"/>
                <w:sz w:val="18"/>
              </w:rPr>
            </w:pPr>
            <w:r>
              <w:rPr>
                <w:rFonts w:cs="Arial"/>
                <w:sz w:val="18"/>
              </w:rPr>
              <w:t>Hohe Resistenz (HR)</w:t>
            </w:r>
          </w:p>
        </w:tc>
      </w:tr>
    </w:tbl>
    <w:p w14:paraId="398EBEE4" w14:textId="77777777" w:rsidR="0088502A" w:rsidRPr="0088502A" w:rsidRDefault="0088502A" w:rsidP="005615C0"/>
    <w:p w14:paraId="343E0EA4" w14:textId="5FE3ACCB" w:rsidR="0088502A" w:rsidRPr="0088502A" w:rsidRDefault="0088502A" w:rsidP="0088502A">
      <w:pPr>
        <w:keepNext/>
        <w:keepLines/>
      </w:pPr>
      <w:r w:rsidRPr="0088502A">
        <w:fldChar w:fldCharType="begin"/>
      </w:r>
      <w:r w:rsidRPr="0088502A">
        <w:instrText xml:space="preserve"> AUTONUM  </w:instrText>
      </w:r>
      <w:r w:rsidRPr="0088502A">
        <w:fldChar w:fldCharType="end"/>
      </w:r>
      <w:r>
        <w:tab/>
        <w:t>Die TWV vereinbarte vorzuschlagen, die Tabelle dem Dokument TGP/12 „Anleitung zu bestimmten physiologischen Merkmalen“, und darin den Erläuterungen zum Standard-Resistenzprüfungsprotokoll, hinzuzufügen.</w:t>
      </w:r>
      <w:r w:rsidR="0062652A">
        <w:t xml:space="preserve"> </w:t>
      </w:r>
      <w:r>
        <w:t>Die TWV vereinbarte, dass dieselbe Tabelle</w:t>
      </w:r>
      <w:r w:rsidR="00294C8C">
        <w:t xml:space="preserve">, wenn die </w:t>
      </w:r>
      <w:r>
        <w:t xml:space="preserve">komprimierte Notenskala </w:t>
      </w:r>
      <w:r w:rsidR="00294C8C">
        <w:t xml:space="preserve">verwendet wird, </w:t>
      </w:r>
      <w:r>
        <w:t>in die Erläuterungen der quantitativen Krankheitsresistenzmerkmale aufgenommen werden sollten.</w:t>
      </w:r>
    </w:p>
    <w:p w14:paraId="4BC46CF0" w14:textId="77777777" w:rsidR="0088502A" w:rsidRPr="0088502A" w:rsidRDefault="0088502A" w:rsidP="0088502A"/>
    <w:p w14:paraId="49941857" w14:textId="59A4A0DB" w:rsidR="0088502A" w:rsidRPr="0088502A" w:rsidRDefault="0088502A" w:rsidP="0088502A">
      <w:pPr>
        <w:keepLines/>
        <w:tabs>
          <w:tab w:val="left" w:pos="5387"/>
          <w:tab w:val="left" w:pos="5954"/>
        </w:tabs>
        <w:ind w:left="4820"/>
        <w:rPr>
          <w:i/>
          <w:spacing w:val="-2"/>
        </w:rPr>
      </w:pPr>
      <w:r w:rsidRPr="0088502A">
        <w:rPr>
          <w:i/>
          <w:spacing w:val="-2"/>
        </w:rPr>
        <w:fldChar w:fldCharType="begin"/>
      </w:r>
      <w:r w:rsidRPr="0088502A">
        <w:rPr>
          <w:i/>
          <w:spacing w:val="-2"/>
        </w:rPr>
        <w:instrText xml:space="preserve"> AUTONUM  </w:instrText>
      </w:r>
      <w:r w:rsidRPr="0088502A">
        <w:rPr>
          <w:i/>
          <w:spacing w:val="-2"/>
        </w:rPr>
        <w:fldChar w:fldCharType="end"/>
      </w:r>
      <w:r>
        <w:rPr>
          <w:i/>
          <w:spacing w:val="-2"/>
        </w:rPr>
        <w:tab/>
        <w:t xml:space="preserve">Der TC wird ersucht zu prüfen, ob </w:t>
      </w:r>
      <w:r>
        <w:rPr>
          <w:i/>
        </w:rPr>
        <w:t xml:space="preserve">das Dokument TGP/12 geändert werden sollte, um eine Tabelle über gleichwertige Ausprägungsstufen mit der im </w:t>
      </w:r>
      <w:r w:rsidR="00B500D2">
        <w:rPr>
          <w:i/>
        </w:rPr>
        <w:t xml:space="preserve">Sektor </w:t>
      </w:r>
      <w:r>
        <w:rPr>
          <w:i/>
        </w:rPr>
        <w:t>Saatgut für Gemüsepflanzen verwendeten Terminologie in die Prüfungsrichtlinien aufzunehmen,</w:t>
      </w:r>
      <w:r>
        <w:rPr>
          <w:i/>
          <w:spacing w:val="-2"/>
        </w:rPr>
        <w:t xml:space="preserve"> wie in Absätzen 71 bis 74 dieses Dokuments dargelegt.</w:t>
      </w:r>
    </w:p>
    <w:p w14:paraId="5176A3B0" w14:textId="43590CD8" w:rsidR="0088502A" w:rsidRDefault="0088502A" w:rsidP="0088502A"/>
    <w:p w14:paraId="4A4E9B0D" w14:textId="77777777" w:rsidR="000B0E8D" w:rsidRDefault="000B0E8D" w:rsidP="0088502A"/>
    <w:p w14:paraId="507D80F2" w14:textId="666A4A86" w:rsidR="00346711" w:rsidRDefault="007147BE" w:rsidP="000B0E8D">
      <w:pPr>
        <w:pStyle w:val="Heading2"/>
      </w:pPr>
      <w:bookmarkStart w:id="62" w:name="_Toc145586629"/>
      <w:r>
        <w:lastRenderedPageBreak/>
        <w:t>Angelegenheiten zur Information</w:t>
      </w:r>
      <w:bookmarkEnd w:id="62"/>
    </w:p>
    <w:p w14:paraId="16B9DDB5" w14:textId="7F3DFB5B" w:rsidR="007147BE" w:rsidRDefault="007147BE" w:rsidP="000B0E8D">
      <w:pPr>
        <w:keepNext/>
      </w:pPr>
    </w:p>
    <w:p w14:paraId="5A699CE3" w14:textId="77777777" w:rsidR="007147BE" w:rsidRDefault="007147BE" w:rsidP="000B0E8D">
      <w:pPr>
        <w:keepNext/>
      </w:pPr>
      <w:r>
        <w:fldChar w:fldCharType="begin"/>
      </w:r>
      <w:r>
        <w:instrText xml:space="preserve"> AUTONUM  </w:instrText>
      </w:r>
      <w:r>
        <w:fldChar w:fldCharType="end"/>
      </w:r>
      <w:r>
        <w:tab/>
        <w:t xml:space="preserve">Angelegenheiten zur Information über eine mögliche künftige Überarbeitung der folgenden Dokumente werden in Anlage III dieses Dokuments dargelegt: </w:t>
      </w:r>
    </w:p>
    <w:p w14:paraId="18B56D3A" w14:textId="449F20BB" w:rsidR="007147BE" w:rsidRDefault="007147BE" w:rsidP="000B0E8D">
      <w:pPr>
        <w:keepNext/>
      </w:pPr>
    </w:p>
    <w:p w14:paraId="66DE9F6C" w14:textId="77777777" w:rsidR="007147BE" w:rsidRDefault="007147BE" w:rsidP="00C83CED">
      <w:pPr>
        <w:pStyle w:val="ListParagraph"/>
        <w:numPr>
          <w:ilvl w:val="0"/>
          <w:numId w:val="16"/>
        </w:numPr>
        <w:ind w:left="1134" w:hanging="567"/>
      </w:pPr>
      <w:r>
        <w:t>TGP/8: „Prüfungsanlage und Verfahren für die Prüfung der Unterscheidbarkeit, der Homogenität und der Beständigkeit“, Abschnitt 9 „Das kombinierte Homogenitätskriterium über mehrere Jahre (COYU)“, und</w:t>
      </w:r>
    </w:p>
    <w:p w14:paraId="2BA40C00" w14:textId="77777777" w:rsidR="007147BE" w:rsidRDefault="007147BE" w:rsidP="00C83CED">
      <w:pPr>
        <w:ind w:left="1134" w:hanging="567"/>
      </w:pPr>
    </w:p>
    <w:p w14:paraId="07E0C381" w14:textId="797C2BAA" w:rsidR="007147BE" w:rsidRDefault="007147BE" w:rsidP="00C83CED">
      <w:pPr>
        <w:pStyle w:val="ListParagraph"/>
        <w:numPr>
          <w:ilvl w:val="0"/>
          <w:numId w:val="16"/>
        </w:numPr>
        <w:ind w:left="1134" w:hanging="567"/>
      </w:pPr>
      <w:r>
        <w:t>Dokument TGP/9: „Prüfung der Unterscheidbarkeit“, „Anzahl von Pflanzen beim Vergleich von Sorten während der Prüfung“</w:t>
      </w:r>
    </w:p>
    <w:p w14:paraId="65C94529" w14:textId="77777777" w:rsidR="007147BE" w:rsidRDefault="007147BE" w:rsidP="0088502A"/>
    <w:p w14:paraId="522C6F5F" w14:textId="3254C32D" w:rsidR="007147BE" w:rsidRPr="0088502A" w:rsidRDefault="007147BE" w:rsidP="007147BE">
      <w:pPr>
        <w:keepLines/>
        <w:tabs>
          <w:tab w:val="left" w:pos="5387"/>
          <w:tab w:val="left" w:pos="5954"/>
        </w:tabs>
        <w:ind w:left="4820"/>
        <w:rPr>
          <w:i/>
          <w:spacing w:val="-2"/>
        </w:rPr>
      </w:pPr>
      <w:r w:rsidRPr="0088502A">
        <w:rPr>
          <w:i/>
          <w:spacing w:val="-2"/>
        </w:rPr>
        <w:fldChar w:fldCharType="begin"/>
      </w:r>
      <w:r w:rsidRPr="0088502A">
        <w:rPr>
          <w:i/>
          <w:spacing w:val="-2"/>
        </w:rPr>
        <w:instrText xml:space="preserve"> AUTONUM  </w:instrText>
      </w:r>
      <w:r w:rsidRPr="0088502A">
        <w:rPr>
          <w:i/>
          <w:spacing w:val="-2"/>
        </w:rPr>
        <w:fldChar w:fldCharType="end"/>
      </w:r>
      <w:r>
        <w:rPr>
          <w:i/>
          <w:spacing w:val="-2"/>
        </w:rPr>
        <w:tab/>
        <w:t>Der TC wird ersucht, die Angelegenheiten zur Information über etwaige künftige Überarbeitungen von TGP Dokumenten</w:t>
      </w:r>
      <w:r>
        <w:rPr>
          <w:i/>
        </w:rPr>
        <w:t>,</w:t>
      </w:r>
      <w:r>
        <w:rPr>
          <w:i/>
          <w:spacing w:val="-2"/>
        </w:rPr>
        <w:t xml:space="preserve"> wie in Anlage III dieses Dokuments dargelegt, zur Kenntnis zu nehmen.</w:t>
      </w:r>
    </w:p>
    <w:p w14:paraId="3B4D7BAE" w14:textId="77777777" w:rsidR="007147BE" w:rsidRDefault="007147BE" w:rsidP="0088502A"/>
    <w:p w14:paraId="22A8EC25" w14:textId="5FC8F435" w:rsidR="00346711" w:rsidRDefault="00346711" w:rsidP="0088502A">
      <w:r w:rsidRPr="0088502A">
        <w:rPr>
          <w:i/>
          <w:noProof/>
          <w:spacing w:val="-4"/>
          <w:sz w:val="10"/>
        </w:rPr>
        <mc:AlternateContent>
          <mc:Choice Requires="wps">
            <w:drawing>
              <wp:anchor distT="0" distB="0" distL="114300" distR="114300" simplePos="0" relativeHeight="251666432" behindDoc="0" locked="0" layoutInCell="1" allowOverlap="1" wp14:anchorId="0F08EFAE" wp14:editId="1E5ED1FB">
                <wp:simplePos x="0" y="0"/>
                <wp:positionH relativeFrom="column">
                  <wp:posOffset>5050193</wp:posOffset>
                </wp:positionH>
                <wp:positionV relativeFrom="paragraph">
                  <wp:posOffset>71386</wp:posOffset>
                </wp:positionV>
                <wp:extent cx="1399735" cy="260252"/>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1399735" cy="260252"/>
                        </a:xfrm>
                        <a:prstGeom prst="rect">
                          <a:avLst/>
                        </a:prstGeom>
                        <a:noFill/>
                        <a:ln w="6350">
                          <a:noFill/>
                        </a:ln>
                      </wps:spPr>
                      <wps:txbx>
                        <w:txbxContent>
                          <w:p w14:paraId="0323D61A" w14:textId="77777777" w:rsidR="00982DEC" w:rsidRDefault="00982DEC">
                            <w:r>
                              <w:t>[Anlagen folgen]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08EFAE" id="_x0000_t202" coordsize="21600,21600" o:spt="202" path="m,l,21600r21600,l21600,xe">
                <v:stroke joinstyle="miter"/>
                <v:path gradientshapeok="t" o:connecttype="rect"/>
              </v:shapetype>
              <v:shape id="Text Box 1" o:spid="_x0000_s1026" type="#_x0000_t202" style="position:absolute;left:0;text-align:left;margin-left:397.65pt;margin-top:5.6pt;width:110.2pt;height: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" filled="f" stroked="f" strokeweight=".5pt">
                <v:textbox>
                  <w:txbxContent>
                    <w:p w14:paraId="0323D61A" w14:textId="77777777" w:rsidR="00982DEC" w:rsidRDefault="00982DEC">
                      <w:r>
                        <w:t>[Anlagen folgen]</w:t>
                      </w:r>
                    </w:p>
                  </w:txbxContent>
                </v:textbox>
              </v:shape>
            </w:pict>
          </mc:Fallback>
        </mc:AlternateContent>
      </w:r>
    </w:p>
    <w:p w14:paraId="4F7267DC" w14:textId="77777777" w:rsidR="0088502A" w:rsidRPr="0088502A" w:rsidRDefault="0088502A" w:rsidP="0088502A"/>
    <w:p w14:paraId="7307435A" w14:textId="72AC7F86" w:rsidR="009236D6" w:rsidRPr="0088502A" w:rsidRDefault="009236D6" w:rsidP="009236D6">
      <w:pPr>
        <w:keepLines/>
        <w:ind w:left="4860"/>
        <w:rPr>
          <w:i/>
          <w:spacing w:val="-4"/>
          <w:sz w:val="10"/>
        </w:rPr>
      </w:pPr>
    </w:p>
    <w:p w14:paraId="78AFCB21" w14:textId="77777777" w:rsidR="00A62445" w:rsidRPr="0088502A" w:rsidRDefault="00A62445">
      <w:pPr>
        <w:jc w:val="left"/>
        <w:sectPr w:rsidR="00A62445" w:rsidRPr="0088502A" w:rsidSect="00D31CCC">
          <w:headerReference w:type="default" r:id="rId10"/>
          <w:pgSz w:w="11907" w:h="16840" w:code="9"/>
          <w:pgMar w:top="510" w:right="1134" w:bottom="993" w:left="1134" w:header="510" w:footer="680" w:gutter="0"/>
          <w:pgNumType w:start="1"/>
          <w:cols w:space="720"/>
          <w:titlePg/>
        </w:sectPr>
      </w:pPr>
    </w:p>
    <w:p w14:paraId="0B109F83" w14:textId="77777777" w:rsidR="00CC2877" w:rsidRPr="0088502A" w:rsidRDefault="00CC2877" w:rsidP="00CC2877">
      <w:pPr>
        <w:jc w:val="center"/>
      </w:pPr>
      <w:r>
        <w:lastRenderedPageBreak/>
        <w:t>Dokument UPOV/EXN/DEN:</w:t>
      </w:r>
    </w:p>
    <w:p w14:paraId="17C41512" w14:textId="77777777" w:rsidR="00CC2877" w:rsidRPr="0088502A" w:rsidRDefault="00CC2877" w:rsidP="00CC2877">
      <w:pPr>
        <w:jc w:val="center"/>
      </w:pPr>
      <w:r>
        <w:t>ERLÄUTERUNGEN ZU SORTENBEZEICHNUNGEN NACH DEM UPOV-ÜBEREINKOMMEN (ÜBERARBEITUNG)</w:t>
      </w:r>
    </w:p>
    <w:p w14:paraId="58691B05" w14:textId="77777777" w:rsidR="00B2758C" w:rsidRPr="0088502A" w:rsidRDefault="00B2758C" w:rsidP="009B440E">
      <w:pPr>
        <w:jc w:val="left"/>
      </w:pPr>
    </w:p>
    <w:p w14:paraId="533E7398" w14:textId="77777777" w:rsidR="00AD4716" w:rsidRPr="0088502A" w:rsidRDefault="00AD4716" w:rsidP="009B440E">
      <w:pPr>
        <w:jc w:val="left"/>
      </w:pPr>
    </w:p>
    <w:p w14:paraId="231E2BBB" w14:textId="77777777" w:rsidR="00261AE2" w:rsidRPr="006C5C61" w:rsidRDefault="00261AE2" w:rsidP="00C93BCB">
      <w:pPr>
        <w:rPr>
          <w:iCs/>
          <w:u w:val="single"/>
        </w:rPr>
      </w:pPr>
      <w:r>
        <w:rPr>
          <w:iCs/>
          <w:u w:val="single"/>
        </w:rPr>
        <w:t xml:space="preserve">Neue Sortenbezeichnungsklassen für </w:t>
      </w:r>
      <w:r>
        <w:rPr>
          <w:i/>
          <w:u w:val="single"/>
        </w:rPr>
        <w:t>Allium</w:t>
      </w:r>
    </w:p>
    <w:p w14:paraId="578060E0" w14:textId="77777777" w:rsidR="00261AE2" w:rsidRPr="0088502A" w:rsidRDefault="00261AE2" w:rsidP="00C93BCB"/>
    <w:p w14:paraId="73115733" w14:textId="3C33F156" w:rsidR="00E94F70" w:rsidRPr="00467BF9" w:rsidRDefault="003415AF" w:rsidP="00FF16C5">
      <w:pPr>
        <w:pStyle w:val="BasistekstNaktuinbouw"/>
        <w:keepNext/>
        <w:jc w:val="both"/>
        <w:rPr>
          <w:sz w:val="18"/>
        </w:rPr>
      </w:pPr>
      <w:r>
        <w:fldChar w:fldCharType="begin"/>
      </w:r>
      <w:r>
        <w:instrText xml:space="preserve"> LISTNUM  LegalDefault \l 1 </w:instrText>
      </w:r>
      <w:r>
        <w:fldChar w:fldCharType="end">
          <w:numberingChange w:id="63" w:author="SANCHEZ VIZCAINO GOMEZ Rosa Maria" w:date="2023-08-29T11:06:00Z" w:original="1."/>
        </w:fldChar>
      </w:r>
      <w:r>
        <w:tab/>
        <w:t xml:space="preserve">Derzeit folgt die Gattung </w:t>
      </w:r>
      <w:r>
        <w:rPr>
          <w:i/>
        </w:rPr>
        <w:t>Allium</w:t>
      </w:r>
      <w:r>
        <w:t xml:space="preserve"> der allgemeinen Regel (eine Gattung/eine Klasse)</w:t>
      </w:r>
      <w:r>
        <w:rPr>
          <w:rStyle w:val="FootnoteReference"/>
          <w:sz w:val="18"/>
        </w:rPr>
        <w:footnoteReference w:id="13"/>
      </w:r>
      <w:r>
        <w:rPr>
          <w:sz w:val="18"/>
        </w:rPr>
        <w:t xml:space="preserve">. </w:t>
      </w:r>
    </w:p>
    <w:p w14:paraId="3A538BEF" w14:textId="78602AD4" w:rsidR="00261AE2" w:rsidRDefault="00261AE2" w:rsidP="006C5C61"/>
    <w:p w14:paraId="1C57EFC5" w14:textId="0A6E36E2" w:rsidR="006C5C61" w:rsidRDefault="006C5C61" w:rsidP="006C5C61">
      <w:pPr>
        <w:rPr>
          <w:i/>
          <w:iCs/>
        </w:rPr>
      </w:pPr>
      <w:r>
        <w:rPr>
          <w:i/>
          <w:iCs/>
        </w:rPr>
        <w:t>Vorschlag 1: Neue Sortenbezeichnungsklassen für Allium</w:t>
      </w:r>
    </w:p>
    <w:p w14:paraId="654E6BF0" w14:textId="77777777" w:rsidR="00247062" w:rsidRPr="00467BF9" w:rsidRDefault="00247062" w:rsidP="00247062">
      <w:pPr>
        <w:pStyle w:val="BasistekstNaktuinbouw"/>
        <w:keepNext/>
        <w:jc w:val="both"/>
        <w:rPr>
          <w:sz w:val="18"/>
        </w:rPr>
      </w:pPr>
    </w:p>
    <w:p w14:paraId="4D9FE703" w14:textId="635A2772" w:rsidR="00C805AC" w:rsidRDefault="003415AF" w:rsidP="00247062">
      <w:pPr>
        <w:pStyle w:val="BasistekstNaktuinbouw"/>
        <w:keepNext/>
        <w:jc w:val="both"/>
      </w:pPr>
      <w:r>
        <w:fldChar w:fldCharType="begin"/>
      </w:r>
      <w:r>
        <w:instrText xml:space="preserve"> LISTNUM  LegalDefault \l 1 </w:instrText>
      </w:r>
      <w:r>
        <w:fldChar w:fldCharType="end"/>
      </w:r>
      <w:r>
        <w:tab/>
        <w:t xml:space="preserve">Die TWA und die TWO vereinbarten auf ihren Tagungen 2023, die Bildung </w:t>
      </w:r>
      <w:r w:rsidR="00542140">
        <w:t xml:space="preserve">folgender </w:t>
      </w:r>
      <w:r>
        <w:t xml:space="preserve">neuer Sortenbezeichnungsklassen innerhalb der Gattung </w:t>
      </w:r>
      <w:r>
        <w:rPr>
          <w:i/>
        </w:rPr>
        <w:t>Allium</w:t>
      </w:r>
      <w:r>
        <w:t xml:space="preserve"> vorzuschlagen, (</w:t>
      </w:r>
      <w:r>
        <w:rPr>
          <w:rFonts w:eastAsiaTheme="minorEastAsia" w:cs="Arial"/>
        </w:rPr>
        <w:t xml:space="preserve">vergleiche Dokumente </w:t>
      </w:r>
      <w:r>
        <w:t>TWV/57/26 „</w:t>
      </w:r>
      <w:r>
        <w:rPr>
          <w:i/>
          <w:iCs/>
        </w:rPr>
        <w:t>Report</w:t>
      </w:r>
      <w:r>
        <w:t>“, Absatz 38, und TWO/55/11 „</w:t>
      </w:r>
      <w:r>
        <w:rPr>
          <w:i/>
          <w:iCs/>
        </w:rPr>
        <w:t>Report</w:t>
      </w:r>
      <w:r>
        <w:t xml:space="preserve">”, Absatz 27) (Zusätze sind durch Hervorhebung und </w:t>
      </w:r>
      <w:r>
        <w:rPr>
          <w:highlight w:val="lightGray"/>
          <w:u w:val="single"/>
        </w:rPr>
        <w:t>Unterstreichung</w:t>
      </w:r>
      <w:r>
        <w:t xml:space="preserve"> und Streichungen sind durch Hervorhebung und </w:t>
      </w:r>
      <w:r>
        <w:rPr>
          <w:strike/>
          <w:highlight w:val="lightGray"/>
        </w:rPr>
        <w:t>Durchstreichen</w:t>
      </w:r>
      <w:r>
        <w:t xml:space="preserve"> gekennzeichnet):</w:t>
      </w:r>
    </w:p>
    <w:p w14:paraId="3903E069" w14:textId="77777777" w:rsidR="00C805AC" w:rsidRDefault="00C805AC" w:rsidP="00C805AC">
      <w:pPr>
        <w:rPr>
          <w:rFonts w:cs="Maiandra GD"/>
          <w:iCs/>
          <w:color w:val="000000"/>
          <w:szCs w:val="18"/>
          <w:lang w:eastAsia="nl-NL"/>
        </w:rPr>
      </w:pPr>
    </w:p>
    <w:p w14:paraId="322C264B" w14:textId="77777777" w:rsidR="00261AE2" w:rsidRPr="006C5C61" w:rsidRDefault="00261AE2" w:rsidP="00261AE2">
      <w:pPr>
        <w:keepNext/>
        <w:jc w:val="center"/>
        <w:rPr>
          <w:i/>
          <w:sz w:val="18"/>
          <w:highlight w:val="lightGray"/>
          <w:u w:val="single"/>
        </w:rPr>
      </w:pPr>
      <w:r>
        <w:rPr>
          <w:i/>
          <w:sz w:val="18"/>
          <w:highlight w:val="lightGray"/>
          <w:u w:val="single"/>
        </w:rPr>
        <w:t>Klassen innerhalb einer Gattung</w:t>
      </w:r>
    </w:p>
    <w:p w14:paraId="62C5D63F" w14:textId="77777777" w:rsidR="00261AE2" w:rsidRPr="006C5C61" w:rsidRDefault="00261AE2" w:rsidP="00261AE2">
      <w:pPr>
        <w:keepNext/>
        <w:jc w:val="center"/>
        <w:rPr>
          <w:i/>
          <w:sz w:val="18"/>
          <w:highlight w:val="lightGray"/>
          <w:u w:val="single"/>
        </w:rPr>
      </w:pPr>
    </w:p>
    <w:tbl>
      <w:tblPr>
        <w:tblW w:w="956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559"/>
        <w:gridCol w:w="3690"/>
        <w:gridCol w:w="2070"/>
        <w:gridCol w:w="2250"/>
      </w:tblGrid>
      <w:tr w:rsidR="00261AE2" w:rsidRPr="006C5C61" w14:paraId="7EC17267" w14:textId="77777777" w:rsidTr="004979C3">
        <w:trPr>
          <w:cantSplit/>
        </w:trPr>
        <w:tc>
          <w:tcPr>
            <w:tcW w:w="1559" w:type="dxa"/>
            <w:tcBorders>
              <w:top w:val="single" w:sz="4" w:space="0" w:color="auto"/>
              <w:left w:val="single" w:sz="4" w:space="0" w:color="auto"/>
              <w:bottom w:val="single" w:sz="4" w:space="0" w:color="auto"/>
              <w:right w:val="single" w:sz="4" w:space="0" w:color="auto"/>
            </w:tcBorders>
            <w:vAlign w:val="center"/>
          </w:tcPr>
          <w:p w14:paraId="5AB92845" w14:textId="77777777" w:rsidR="00261AE2" w:rsidRPr="006C5C61" w:rsidRDefault="00261AE2" w:rsidP="004979C3">
            <w:pPr>
              <w:keepNext/>
              <w:spacing w:before="40" w:after="40"/>
              <w:jc w:val="left"/>
              <w:rPr>
                <w:rFonts w:eastAsia="MS Mincho" w:cs="Arial"/>
                <w:sz w:val="18"/>
                <w:highlight w:val="lightGray"/>
                <w:u w:val="single"/>
              </w:rPr>
            </w:pPr>
            <w:r>
              <w:rPr>
                <w:rFonts w:eastAsia="MS Mincho" w:cs="Arial"/>
                <w:sz w:val="18"/>
                <w:highlight w:val="lightGray"/>
                <w:u w:val="single"/>
              </w:rPr>
              <w:t>Neu: Klasse 5.1</w:t>
            </w:r>
          </w:p>
        </w:tc>
        <w:tc>
          <w:tcPr>
            <w:tcW w:w="3690" w:type="dxa"/>
            <w:tcBorders>
              <w:top w:val="single" w:sz="4" w:space="0" w:color="auto"/>
              <w:left w:val="single" w:sz="4" w:space="0" w:color="auto"/>
              <w:bottom w:val="single" w:sz="4" w:space="0" w:color="auto"/>
              <w:right w:val="single" w:sz="4" w:space="0" w:color="auto"/>
            </w:tcBorders>
            <w:vAlign w:val="center"/>
          </w:tcPr>
          <w:p w14:paraId="0C4AC2CD" w14:textId="77777777" w:rsidR="00261AE2" w:rsidRPr="006C5C61" w:rsidRDefault="00261AE2" w:rsidP="004979C3">
            <w:pPr>
              <w:keepNext/>
              <w:spacing w:before="40" w:after="40"/>
              <w:jc w:val="left"/>
              <w:rPr>
                <w:rFonts w:eastAsia="MS Mincho" w:cs="Arial"/>
                <w:sz w:val="18"/>
                <w:highlight w:val="lightGray"/>
                <w:u w:val="single"/>
                <w:lang w:val="pt-BR"/>
              </w:rPr>
            </w:pPr>
            <w:r>
              <w:rPr>
                <w:rFonts w:eastAsia="MS Mincho" w:cs="Arial"/>
                <w:i/>
                <w:sz w:val="18"/>
                <w:highlight w:val="lightGray"/>
                <w:u w:val="single"/>
              </w:rPr>
              <w:t>Allium cepa</w:t>
            </w:r>
            <w:r>
              <w:rPr>
                <w:rFonts w:eastAsia="MS Mincho" w:cs="Arial"/>
                <w:sz w:val="18"/>
                <w:highlight w:val="lightGray"/>
                <w:u w:val="single"/>
              </w:rPr>
              <w:t xml:space="preserve"> L.</w:t>
            </w:r>
          </w:p>
          <w:p w14:paraId="2B1FDCE2" w14:textId="77777777" w:rsidR="00261AE2" w:rsidRPr="006C5C61" w:rsidRDefault="00261AE2" w:rsidP="004979C3">
            <w:pPr>
              <w:pStyle w:val="BasistekstNaktuinbouw"/>
              <w:keepNext/>
              <w:rPr>
                <w:rFonts w:eastAsia="MS Mincho" w:cs="Arial"/>
                <w:sz w:val="18"/>
                <w:szCs w:val="20"/>
                <w:highlight w:val="lightGray"/>
                <w:u w:val="single"/>
                <w:lang w:val="pt-BR"/>
              </w:rPr>
            </w:pPr>
            <w:r>
              <w:rPr>
                <w:rFonts w:eastAsia="MS Mincho"/>
                <w:i/>
                <w:sz w:val="18"/>
                <w:szCs w:val="20"/>
                <w:highlight w:val="lightGray"/>
                <w:u w:val="single"/>
              </w:rPr>
              <w:t>Allium fistulosum</w:t>
            </w:r>
            <w:r>
              <w:rPr>
                <w:rFonts w:eastAsia="MS Mincho"/>
                <w:sz w:val="18"/>
                <w:szCs w:val="20"/>
                <w:highlight w:val="lightGray"/>
                <w:u w:val="single"/>
              </w:rPr>
              <w:t xml:space="preserve"> L.</w:t>
            </w:r>
          </w:p>
        </w:tc>
        <w:tc>
          <w:tcPr>
            <w:tcW w:w="2070" w:type="dxa"/>
            <w:tcBorders>
              <w:top w:val="single" w:sz="4" w:space="0" w:color="auto"/>
              <w:left w:val="single" w:sz="4" w:space="0" w:color="auto"/>
              <w:bottom w:val="single" w:sz="4" w:space="0" w:color="auto"/>
              <w:right w:val="single" w:sz="4" w:space="0" w:color="auto"/>
            </w:tcBorders>
            <w:vAlign w:val="center"/>
          </w:tcPr>
          <w:p w14:paraId="00699C9A" w14:textId="77777777" w:rsidR="00261AE2" w:rsidRPr="006C5C61" w:rsidRDefault="00261AE2" w:rsidP="004979C3">
            <w:pPr>
              <w:keepNext/>
              <w:spacing w:before="40" w:after="40"/>
              <w:jc w:val="left"/>
              <w:rPr>
                <w:rFonts w:eastAsia="MS Mincho" w:cs="Arial"/>
                <w:sz w:val="18"/>
                <w:highlight w:val="lightGray"/>
                <w:u w:val="single"/>
              </w:rPr>
            </w:pPr>
            <w:r>
              <w:rPr>
                <w:rFonts w:eastAsia="MS Mincho" w:cs="Arial"/>
                <w:sz w:val="18"/>
                <w:highlight w:val="lightGray"/>
                <w:u w:val="single"/>
              </w:rPr>
              <w:t>ALLIU_CEP</w:t>
            </w:r>
          </w:p>
          <w:p w14:paraId="6EA972E5" w14:textId="77777777" w:rsidR="00261AE2" w:rsidRPr="006C5C61" w:rsidRDefault="00261AE2" w:rsidP="004979C3">
            <w:pPr>
              <w:pStyle w:val="BasistekstNaktuinbouw"/>
              <w:keepNext/>
              <w:rPr>
                <w:rFonts w:eastAsia="MS Mincho"/>
                <w:sz w:val="18"/>
                <w:szCs w:val="20"/>
                <w:highlight w:val="lightGray"/>
                <w:u w:val="single"/>
                <w:lang w:val="en-US"/>
              </w:rPr>
            </w:pPr>
            <w:r>
              <w:rPr>
                <w:rFonts w:eastAsia="MS Mincho"/>
                <w:sz w:val="18"/>
                <w:szCs w:val="20"/>
                <w:highlight w:val="lightGray"/>
                <w:u w:val="single"/>
              </w:rPr>
              <w:t>ALLIU_FIS</w:t>
            </w:r>
          </w:p>
        </w:tc>
        <w:tc>
          <w:tcPr>
            <w:tcW w:w="2250" w:type="dxa"/>
            <w:tcBorders>
              <w:top w:val="single" w:sz="4" w:space="0" w:color="auto"/>
              <w:left w:val="single" w:sz="4" w:space="0" w:color="auto"/>
              <w:bottom w:val="single" w:sz="4" w:space="0" w:color="auto"/>
              <w:right w:val="single" w:sz="4" w:space="0" w:color="auto"/>
            </w:tcBorders>
            <w:vAlign w:val="center"/>
          </w:tcPr>
          <w:p w14:paraId="75A9A8CF" w14:textId="24CC73F8" w:rsidR="00261AE2" w:rsidRPr="006C5C61" w:rsidRDefault="00261AE2" w:rsidP="004979C3">
            <w:pPr>
              <w:keepNext/>
              <w:spacing w:before="40" w:after="40"/>
              <w:jc w:val="left"/>
              <w:rPr>
                <w:rFonts w:eastAsia="MS Mincho" w:cs="Arial"/>
                <w:sz w:val="18"/>
                <w:highlight w:val="lightGray"/>
                <w:u w:val="single"/>
              </w:rPr>
            </w:pPr>
            <w:r>
              <w:rPr>
                <w:rFonts w:eastAsia="MS Mincho" w:cs="Arial"/>
                <w:sz w:val="18"/>
                <w:highlight w:val="lightGray"/>
                <w:u w:val="single"/>
              </w:rPr>
              <w:t>Zwiebel, Echalion</w:t>
            </w:r>
            <w:r w:rsidR="00542140">
              <w:rPr>
                <w:rFonts w:eastAsia="MS Mincho" w:cs="Arial"/>
                <w:sz w:val="18"/>
                <w:highlight w:val="lightGray"/>
                <w:u w:val="single"/>
              </w:rPr>
              <w:t>,</w:t>
            </w:r>
            <w:r>
              <w:rPr>
                <w:rFonts w:eastAsia="MS Mincho" w:cs="Arial"/>
                <w:sz w:val="18"/>
                <w:highlight w:val="lightGray"/>
                <w:u w:val="single"/>
              </w:rPr>
              <w:t xml:space="preserve"> Schalotte</w:t>
            </w:r>
          </w:p>
          <w:p w14:paraId="08BE11E7" w14:textId="77777777" w:rsidR="00261AE2" w:rsidRPr="006C5C61" w:rsidRDefault="00261AE2" w:rsidP="004979C3">
            <w:pPr>
              <w:pStyle w:val="BasistekstNaktuinbouw"/>
              <w:keepNext/>
              <w:rPr>
                <w:rFonts w:eastAsia="MS Mincho"/>
                <w:sz w:val="18"/>
                <w:szCs w:val="20"/>
                <w:highlight w:val="lightGray"/>
                <w:u w:val="single"/>
                <w:lang w:val="en-US"/>
              </w:rPr>
            </w:pPr>
            <w:r>
              <w:rPr>
                <w:rFonts w:eastAsia="MS Mincho"/>
                <w:sz w:val="18"/>
                <w:szCs w:val="20"/>
                <w:highlight w:val="lightGray"/>
                <w:u w:val="single"/>
              </w:rPr>
              <w:t>Winterheckenzwiebel</w:t>
            </w:r>
          </w:p>
        </w:tc>
      </w:tr>
      <w:tr w:rsidR="00261AE2" w:rsidRPr="006C5C61" w14:paraId="23A4F3E3" w14:textId="77777777" w:rsidTr="004979C3">
        <w:trPr>
          <w:cantSplit/>
          <w:trHeight w:val="479"/>
        </w:trPr>
        <w:tc>
          <w:tcPr>
            <w:tcW w:w="1559" w:type="dxa"/>
            <w:tcBorders>
              <w:top w:val="single" w:sz="4" w:space="0" w:color="auto"/>
              <w:left w:val="single" w:sz="4" w:space="0" w:color="auto"/>
              <w:bottom w:val="single" w:sz="4" w:space="0" w:color="auto"/>
              <w:right w:val="single" w:sz="4" w:space="0" w:color="auto"/>
            </w:tcBorders>
            <w:vAlign w:val="center"/>
          </w:tcPr>
          <w:p w14:paraId="5E4ECF0E" w14:textId="77777777" w:rsidR="00261AE2" w:rsidRPr="006C5C61" w:rsidRDefault="00261AE2" w:rsidP="004979C3">
            <w:pPr>
              <w:keepNext/>
              <w:spacing w:before="40" w:after="40"/>
              <w:jc w:val="left"/>
              <w:rPr>
                <w:rFonts w:eastAsia="MS Mincho" w:cs="Arial"/>
                <w:sz w:val="18"/>
                <w:highlight w:val="lightGray"/>
                <w:u w:val="single"/>
              </w:rPr>
            </w:pPr>
            <w:r>
              <w:rPr>
                <w:rFonts w:eastAsia="MS Mincho" w:cs="Arial"/>
                <w:sz w:val="18"/>
                <w:highlight w:val="lightGray"/>
                <w:u w:val="single"/>
              </w:rPr>
              <w:t>Neu: Klasse 5.2</w:t>
            </w:r>
          </w:p>
        </w:tc>
        <w:tc>
          <w:tcPr>
            <w:tcW w:w="3690" w:type="dxa"/>
            <w:tcBorders>
              <w:top w:val="single" w:sz="4" w:space="0" w:color="auto"/>
              <w:left w:val="single" w:sz="4" w:space="0" w:color="auto"/>
              <w:bottom w:val="single" w:sz="4" w:space="0" w:color="auto"/>
              <w:right w:val="single" w:sz="4" w:space="0" w:color="auto"/>
            </w:tcBorders>
            <w:vAlign w:val="center"/>
          </w:tcPr>
          <w:p w14:paraId="106A2CD2" w14:textId="77777777" w:rsidR="00261AE2" w:rsidRPr="006C5C61" w:rsidRDefault="00261AE2" w:rsidP="004979C3">
            <w:pPr>
              <w:keepNext/>
              <w:spacing w:before="40" w:after="40"/>
              <w:jc w:val="left"/>
              <w:rPr>
                <w:rFonts w:eastAsia="MS Mincho" w:cs="Arial"/>
                <w:sz w:val="18"/>
                <w:highlight w:val="lightGray"/>
                <w:u w:val="single"/>
              </w:rPr>
            </w:pPr>
            <w:bookmarkStart w:id="64" w:name="_Hlk126838106"/>
            <w:r>
              <w:rPr>
                <w:rFonts w:eastAsia="MS Mincho" w:cs="Arial"/>
                <w:i/>
                <w:sz w:val="18"/>
                <w:highlight w:val="lightGray"/>
                <w:u w:val="single"/>
              </w:rPr>
              <w:t>Allium sativum</w:t>
            </w:r>
            <w:r>
              <w:rPr>
                <w:rFonts w:eastAsia="MS Mincho" w:cs="Arial"/>
                <w:sz w:val="18"/>
                <w:highlight w:val="lightGray"/>
                <w:u w:val="single"/>
              </w:rPr>
              <w:t xml:space="preserve"> L.</w:t>
            </w:r>
            <w:bookmarkEnd w:id="64"/>
          </w:p>
        </w:tc>
        <w:tc>
          <w:tcPr>
            <w:tcW w:w="2070" w:type="dxa"/>
            <w:tcBorders>
              <w:top w:val="single" w:sz="4" w:space="0" w:color="auto"/>
              <w:left w:val="single" w:sz="4" w:space="0" w:color="auto"/>
              <w:bottom w:val="single" w:sz="4" w:space="0" w:color="auto"/>
              <w:right w:val="single" w:sz="4" w:space="0" w:color="auto"/>
            </w:tcBorders>
            <w:vAlign w:val="center"/>
          </w:tcPr>
          <w:p w14:paraId="54463ADF" w14:textId="77777777" w:rsidR="00261AE2" w:rsidRPr="006C5C61" w:rsidRDefault="00261AE2" w:rsidP="004979C3">
            <w:pPr>
              <w:keepNext/>
              <w:spacing w:before="40" w:after="40"/>
              <w:jc w:val="left"/>
              <w:rPr>
                <w:rFonts w:eastAsia="MS Mincho" w:cs="Arial"/>
                <w:sz w:val="18"/>
                <w:highlight w:val="lightGray"/>
                <w:u w:val="single"/>
              </w:rPr>
            </w:pPr>
            <w:r>
              <w:rPr>
                <w:rFonts w:eastAsia="MS Mincho" w:cs="Arial"/>
                <w:sz w:val="18"/>
                <w:highlight w:val="lightGray"/>
                <w:u w:val="single"/>
              </w:rPr>
              <w:t>ALLIU_SAT</w:t>
            </w:r>
          </w:p>
        </w:tc>
        <w:tc>
          <w:tcPr>
            <w:tcW w:w="2250" w:type="dxa"/>
            <w:tcBorders>
              <w:top w:val="single" w:sz="4" w:space="0" w:color="auto"/>
              <w:left w:val="single" w:sz="4" w:space="0" w:color="auto"/>
              <w:bottom w:val="single" w:sz="4" w:space="0" w:color="auto"/>
              <w:right w:val="single" w:sz="4" w:space="0" w:color="auto"/>
            </w:tcBorders>
            <w:vAlign w:val="center"/>
          </w:tcPr>
          <w:p w14:paraId="254D5AE6" w14:textId="77777777" w:rsidR="00261AE2" w:rsidRPr="006C5C61" w:rsidRDefault="00261AE2" w:rsidP="004979C3">
            <w:pPr>
              <w:keepNext/>
              <w:spacing w:before="40" w:after="40"/>
              <w:jc w:val="left"/>
              <w:rPr>
                <w:rFonts w:eastAsia="MS Mincho" w:cs="Arial"/>
                <w:sz w:val="18"/>
                <w:highlight w:val="lightGray"/>
                <w:u w:val="single"/>
              </w:rPr>
            </w:pPr>
            <w:r>
              <w:rPr>
                <w:rFonts w:eastAsia="MS Mincho" w:cs="Arial"/>
                <w:sz w:val="18"/>
                <w:highlight w:val="lightGray"/>
                <w:u w:val="single"/>
              </w:rPr>
              <w:t>Knoblauch</w:t>
            </w:r>
          </w:p>
        </w:tc>
      </w:tr>
      <w:tr w:rsidR="00261AE2" w:rsidRPr="006C5C61" w14:paraId="61AA7706" w14:textId="77777777" w:rsidTr="004979C3">
        <w:trPr>
          <w:cantSplit/>
        </w:trPr>
        <w:tc>
          <w:tcPr>
            <w:tcW w:w="1559" w:type="dxa"/>
            <w:tcBorders>
              <w:top w:val="single" w:sz="4" w:space="0" w:color="auto"/>
              <w:left w:val="single" w:sz="4" w:space="0" w:color="auto"/>
              <w:bottom w:val="single" w:sz="4" w:space="0" w:color="auto"/>
              <w:right w:val="single" w:sz="4" w:space="0" w:color="auto"/>
            </w:tcBorders>
            <w:vAlign w:val="center"/>
          </w:tcPr>
          <w:p w14:paraId="0A2D0623" w14:textId="77777777" w:rsidR="00261AE2" w:rsidRPr="006C5C61" w:rsidRDefault="00261AE2" w:rsidP="004979C3">
            <w:pPr>
              <w:keepNext/>
              <w:spacing w:before="40" w:after="40"/>
              <w:jc w:val="left"/>
              <w:rPr>
                <w:rFonts w:eastAsia="MS Mincho" w:cs="Arial"/>
                <w:sz w:val="18"/>
                <w:highlight w:val="lightGray"/>
                <w:u w:val="single"/>
              </w:rPr>
            </w:pPr>
            <w:r>
              <w:rPr>
                <w:rFonts w:eastAsia="MS Mincho" w:cs="Arial"/>
                <w:sz w:val="18"/>
                <w:highlight w:val="lightGray"/>
                <w:u w:val="single"/>
              </w:rPr>
              <w:t>Neu: Klasse 5.3</w:t>
            </w:r>
          </w:p>
        </w:tc>
        <w:tc>
          <w:tcPr>
            <w:tcW w:w="3690" w:type="dxa"/>
            <w:tcBorders>
              <w:top w:val="single" w:sz="4" w:space="0" w:color="auto"/>
              <w:left w:val="single" w:sz="4" w:space="0" w:color="auto"/>
              <w:bottom w:val="single" w:sz="4" w:space="0" w:color="auto"/>
              <w:right w:val="single" w:sz="4" w:space="0" w:color="auto"/>
            </w:tcBorders>
            <w:vAlign w:val="center"/>
          </w:tcPr>
          <w:p w14:paraId="7C5128CE" w14:textId="77777777" w:rsidR="00261AE2" w:rsidRPr="006C5C61" w:rsidRDefault="00261AE2" w:rsidP="004979C3">
            <w:pPr>
              <w:keepNext/>
              <w:spacing w:before="40" w:after="40"/>
              <w:jc w:val="left"/>
              <w:rPr>
                <w:rFonts w:eastAsia="MS Mincho" w:cs="Arial"/>
                <w:sz w:val="18"/>
                <w:highlight w:val="lightGray"/>
                <w:u w:val="single"/>
              </w:rPr>
            </w:pPr>
            <w:r>
              <w:rPr>
                <w:rFonts w:eastAsia="MS Mincho" w:cs="Arial"/>
                <w:i/>
                <w:sz w:val="18"/>
                <w:highlight w:val="lightGray"/>
                <w:u w:val="single"/>
              </w:rPr>
              <w:t>Allium</w:t>
            </w:r>
            <w:r>
              <w:rPr>
                <w:rFonts w:eastAsia="MS Mincho" w:cs="Arial"/>
                <w:sz w:val="18"/>
                <w:highlight w:val="lightGray"/>
                <w:u w:val="single"/>
              </w:rPr>
              <w:t xml:space="preserve"> außer Klassen 5.1 und 5.2</w:t>
            </w:r>
          </w:p>
          <w:p w14:paraId="50975A99" w14:textId="77777777" w:rsidR="00261AE2" w:rsidRPr="006C5C61" w:rsidRDefault="00261AE2" w:rsidP="004979C3">
            <w:pPr>
              <w:keepNext/>
              <w:spacing w:before="40" w:after="40"/>
              <w:jc w:val="left"/>
              <w:rPr>
                <w:rFonts w:eastAsia="MS Mincho" w:cs="Arial"/>
                <w:sz w:val="18"/>
                <w:highlight w:val="lightGray"/>
                <w:u w:val="single"/>
              </w:rPr>
            </w:pPr>
          </w:p>
        </w:tc>
        <w:tc>
          <w:tcPr>
            <w:tcW w:w="2070" w:type="dxa"/>
            <w:tcBorders>
              <w:top w:val="single" w:sz="4" w:space="0" w:color="auto"/>
              <w:left w:val="single" w:sz="4" w:space="0" w:color="auto"/>
              <w:bottom w:val="single" w:sz="4" w:space="0" w:color="auto"/>
              <w:right w:val="single" w:sz="4" w:space="0" w:color="auto"/>
            </w:tcBorders>
            <w:vAlign w:val="center"/>
          </w:tcPr>
          <w:p w14:paraId="597B91D9" w14:textId="77777777" w:rsidR="00261AE2" w:rsidRPr="006C5C61" w:rsidRDefault="00261AE2" w:rsidP="004979C3">
            <w:pPr>
              <w:keepNext/>
              <w:spacing w:before="40" w:after="40"/>
              <w:jc w:val="left"/>
              <w:rPr>
                <w:color w:val="000000"/>
                <w:sz w:val="18"/>
                <w:highlight w:val="lightGray"/>
                <w:u w:val="single"/>
              </w:rPr>
            </w:pPr>
            <w:r>
              <w:rPr>
                <w:color w:val="000000"/>
                <w:sz w:val="18"/>
                <w:highlight w:val="lightGray"/>
                <w:u w:val="single"/>
              </w:rPr>
              <w:t>außer Klassen 5.1 und 5.2</w:t>
            </w:r>
          </w:p>
        </w:tc>
        <w:tc>
          <w:tcPr>
            <w:tcW w:w="2250" w:type="dxa"/>
            <w:tcBorders>
              <w:top w:val="single" w:sz="4" w:space="0" w:color="auto"/>
              <w:left w:val="single" w:sz="4" w:space="0" w:color="auto"/>
              <w:bottom w:val="single" w:sz="4" w:space="0" w:color="auto"/>
              <w:right w:val="single" w:sz="4" w:space="0" w:color="auto"/>
            </w:tcBorders>
            <w:vAlign w:val="center"/>
          </w:tcPr>
          <w:p w14:paraId="74970BBE" w14:textId="77777777" w:rsidR="00261AE2" w:rsidRPr="006C5C61" w:rsidRDefault="00261AE2" w:rsidP="004979C3">
            <w:pPr>
              <w:keepNext/>
              <w:spacing w:before="40" w:after="40"/>
              <w:jc w:val="left"/>
              <w:rPr>
                <w:rFonts w:eastAsia="MS Mincho" w:cs="Arial"/>
                <w:sz w:val="18"/>
                <w:highlight w:val="lightGray"/>
                <w:u w:val="single"/>
              </w:rPr>
            </w:pPr>
            <w:r>
              <w:rPr>
                <w:rFonts w:eastAsia="MS Mincho" w:cs="Arial"/>
                <w:sz w:val="18"/>
                <w:highlight w:val="lightGray"/>
                <w:u w:val="single"/>
              </w:rPr>
              <w:t>-</w:t>
            </w:r>
          </w:p>
        </w:tc>
      </w:tr>
    </w:tbl>
    <w:p w14:paraId="4B9300F6" w14:textId="77777777" w:rsidR="00C805AC" w:rsidRPr="0088502A" w:rsidRDefault="00C805AC" w:rsidP="00C93BCB">
      <w:pPr>
        <w:rPr>
          <w:i/>
        </w:rPr>
      </w:pPr>
    </w:p>
    <w:p w14:paraId="50520608" w14:textId="77777777" w:rsidR="004979C3" w:rsidRPr="0088502A" w:rsidRDefault="004979C3" w:rsidP="00C93BCB">
      <w:pPr>
        <w:rPr>
          <w:i/>
        </w:rPr>
      </w:pPr>
    </w:p>
    <w:p w14:paraId="75BE4B60" w14:textId="77777777" w:rsidR="006232E9" w:rsidRPr="006C5C61" w:rsidRDefault="006232E9" w:rsidP="00C93BCB">
      <w:pPr>
        <w:rPr>
          <w:iCs/>
          <w:u w:val="single"/>
        </w:rPr>
      </w:pPr>
      <w:bookmarkStart w:id="65" w:name="_Toc129334472"/>
      <w:r>
        <w:rPr>
          <w:iCs/>
          <w:u w:val="single"/>
        </w:rPr>
        <w:t>Neue Sortenbezeichnungsklassen für Prunus</w:t>
      </w:r>
      <w:bookmarkEnd w:id="65"/>
    </w:p>
    <w:p w14:paraId="205EA65A" w14:textId="77777777" w:rsidR="006232E9" w:rsidRPr="0088502A" w:rsidRDefault="006232E9" w:rsidP="00C93BCB">
      <w:pPr>
        <w:rPr>
          <w:i/>
        </w:rPr>
      </w:pPr>
    </w:p>
    <w:p w14:paraId="6A208390" w14:textId="53E8DBC9" w:rsidR="00FF1E5B" w:rsidRPr="0088502A" w:rsidRDefault="003415AF" w:rsidP="00C93BCB">
      <w:r>
        <w:fldChar w:fldCharType="begin"/>
      </w:r>
      <w:r>
        <w:instrText xml:space="preserve"> LISTNUM  LegalDefault \l 1 </w:instrText>
      </w:r>
      <w:r>
        <w:fldChar w:fldCharType="end">
          <w:numberingChange w:id="66" w:author="SANCHEZ VIZCAINO GOMEZ Rosa Maria" w:date="2023-08-29T11:06:00Z" w:original="3."/>
        </w:fldChar>
      </w:r>
      <w:r>
        <w:tab/>
        <w:t xml:space="preserve">Derzeit folgt die Gattung </w:t>
      </w:r>
      <w:r>
        <w:rPr>
          <w:i/>
        </w:rPr>
        <w:t>Prunus</w:t>
      </w:r>
      <w:r>
        <w:t xml:space="preserve"> der allgemeinen Regel (eine Gattung/eine Klasse)</w:t>
      </w:r>
      <w:r>
        <w:rPr>
          <w:vertAlign w:val="superscript"/>
        </w:rPr>
        <w:t>10</w:t>
      </w:r>
      <w:r>
        <w:t>.</w:t>
      </w:r>
    </w:p>
    <w:p w14:paraId="7C642657" w14:textId="77777777" w:rsidR="00FF1E5B" w:rsidRPr="0088502A" w:rsidRDefault="00FF1E5B" w:rsidP="00C93BCB">
      <w:pPr>
        <w:rPr>
          <w:i/>
        </w:rPr>
      </w:pPr>
    </w:p>
    <w:p w14:paraId="291FE18D" w14:textId="671091E6" w:rsidR="00FF16C5" w:rsidRPr="0088502A" w:rsidRDefault="003415AF" w:rsidP="00FF16C5">
      <w:r>
        <w:fldChar w:fldCharType="begin"/>
      </w:r>
      <w:r>
        <w:instrText xml:space="preserve"> LISTNUM  LegalDefault \l 1 </w:instrText>
      </w:r>
      <w:r>
        <w:fldChar w:fldCharType="end">
          <w:numberingChange w:id="67" w:author="SANCHEZ VIZCAINO GOMEZ Rosa Maria" w:date="2023-08-29T11:06:00Z" w:original="4."/>
        </w:fldChar>
      </w:r>
      <w:r>
        <w:tab/>
        <w:t>Die TWO prüfte auf ihrer fünfundfünfzigsten Tagung</w:t>
      </w:r>
      <w:r w:rsidR="001A4E8A" w:rsidRPr="001A4E8A">
        <w:rPr>
          <w:vertAlign w:val="superscript"/>
        </w:rPr>
        <w:fldChar w:fldCharType="begin"/>
      </w:r>
      <w:r w:rsidR="001A4E8A" w:rsidRPr="001A4E8A">
        <w:rPr>
          <w:vertAlign w:val="superscript"/>
        </w:rPr>
        <w:instrText xml:space="preserve"> NOTEREF _Ref145616252 \h </w:instrText>
      </w:r>
      <w:r w:rsidR="001A4E8A" w:rsidRPr="001A4E8A">
        <w:rPr>
          <w:vertAlign w:val="superscript"/>
        </w:rPr>
      </w:r>
      <w:r w:rsidR="001A4E8A">
        <w:rPr>
          <w:vertAlign w:val="superscript"/>
        </w:rPr>
        <w:instrText xml:space="preserve"> \* MERGEFORMAT </w:instrText>
      </w:r>
      <w:r w:rsidR="001A4E8A" w:rsidRPr="001A4E8A">
        <w:rPr>
          <w:vertAlign w:val="superscript"/>
        </w:rPr>
        <w:fldChar w:fldCharType="separate"/>
      </w:r>
      <w:r w:rsidR="001A4E8A" w:rsidRPr="001A4E8A">
        <w:rPr>
          <w:vertAlign w:val="superscript"/>
        </w:rPr>
        <w:t>10</w:t>
      </w:r>
      <w:r w:rsidR="001A4E8A" w:rsidRPr="001A4E8A">
        <w:rPr>
          <w:vertAlign w:val="superscript"/>
        </w:rPr>
        <w:fldChar w:fldCharType="end"/>
      </w:r>
      <w:r w:rsidR="001717AC">
        <w:t xml:space="preserve"> </w:t>
      </w:r>
      <w:r>
        <w:t xml:space="preserve">den Vorschlag, eine neue Sortenbezeichnung für die Gattung </w:t>
      </w:r>
      <w:r>
        <w:rPr>
          <w:i/>
        </w:rPr>
        <w:t xml:space="preserve">Prunus </w:t>
      </w:r>
      <w:r>
        <w:t>zu bilden.</w:t>
      </w:r>
      <w:r w:rsidR="0062652A">
        <w:t xml:space="preserve"> </w:t>
      </w:r>
      <w:r>
        <w:t xml:space="preserve">Die TWO nahm das Vorhandensein von Ziersorten der Gattung </w:t>
      </w:r>
      <w:r>
        <w:rPr>
          <w:i/>
        </w:rPr>
        <w:t>Prunus</w:t>
      </w:r>
      <w:r>
        <w:t xml:space="preserve"> zur Kenntnis, einschließlich von Arthybriden, und vereinbarte vorzuschlagen, dass die TWF diese Information bei ihren Erörterungen über die mögliche Bildung neuer Sortenbezeichnungsklassen zu berücksichtigen </w:t>
      </w:r>
      <w:r>
        <w:rPr>
          <w:rFonts w:eastAsiaTheme="minorEastAsia" w:cs="Arial"/>
        </w:rPr>
        <w:t xml:space="preserve">(vergleiche Dokumente </w:t>
      </w:r>
      <w:r>
        <w:t>TWO/55/11 „</w:t>
      </w:r>
      <w:r>
        <w:rPr>
          <w:i/>
          <w:iCs/>
        </w:rPr>
        <w:t>Report</w:t>
      </w:r>
      <w:r>
        <w:t>“, Absatz 28, und TWF/54/13 „</w:t>
      </w:r>
      <w:r>
        <w:rPr>
          <w:i/>
          <w:iCs/>
        </w:rPr>
        <w:t>Report</w:t>
      </w:r>
      <w:r>
        <w:t xml:space="preserve">“, Absätze 29 bis 31). </w:t>
      </w:r>
    </w:p>
    <w:p w14:paraId="471CA122" w14:textId="77777777" w:rsidR="00FF16C5" w:rsidRPr="0088502A" w:rsidRDefault="00FF16C5" w:rsidP="00FF16C5"/>
    <w:p w14:paraId="305E770F" w14:textId="091D67C5" w:rsidR="009E4252" w:rsidRPr="0088502A" w:rsidRDefault="003415AF" w:rsidP="009E4252">
      <w:r>
        <w:fldChar w:fldCharType="begin"/>
      </w:r>
      <w:r>
        <w:instrText xml:space="preserve"> LISTNUM  LegalDefault \l 1 </w:instrText>
      </w:r>
      <w:r>
        <w:fldChar w:fldCharType="end">
          <w:numberingChange w:id="68" w:author="SANCHEZ VIZCAINO GOMEZ Rosa Maria" w:date="2023-08-29T11:06:00Z" w:original="5."/>
        </w:fldChar>
      </w:r>
      <w:r>
        <w:tab/>
        <w:t>Die TWF prüfte auf ihrer vierundfünfzigsten Tagung</w:t>
      </w:r>
      <w:r w:rsidR="001A4E8A" w:rsidRPr="001A4E8A">
        <w:rPr>
          <w:vertAlign w:val="superscript"/>
        </w:rPr>
        <w:fldChar w:fldCharType="begin"/>
      </w:r>
      <w:r w:rsidR="001A4E8A" w:rsidRPr="001A4E8A">
        <w:rPr>
          <w:vertAlign w:val="superscript"/>
        </w:rPr>
        <w:instrText xml:space="preserve"> NOTEREF _Ref145616178 \h </w:instrText>
      </w:r>
      <w:r w:rsidR="001A4E8A" w:rsidRPr="001A4E8A">
        <w:rPr>
          <w:vertAlign w:val="superscript"/>
        </w:rPr>
      </w:r>
      <w:r w:rsidR="001A4E8A">
        <w:rPr>
          <w:vertAlign w:val="superscript"/>
        </w:rPr>
        <w:instrText xml:space="preserve"> \* MERGEFORMAT </w:instrText>
      </w:r>
      <w:r w:rsidR="001A4E8A" w:rsidRPr="001A4E8A">
        <w:rPr>
          <w:vertAlign w:val="superscript"/>
        </w:rPr>
        <w:fldChar w:fldCharType="separate"/>
      </w:r>
      <w:r w:rsidR="001A4E8A" w:rsidRPr="001A4E8A">
        <w:rPr>
          <w:vertAlign w:val="superscript"/>
        </w:rPr>
        <w:t>9</w:t>
      </w:r>
      <w:r w:rsidR="001A4E8A" w:rsidRPr="001A4E8A">
        <w:rPr>
          <w:vertAlign w:val="superscript"/>
        </w:rPr>
        <w:fldChar w:fldCharType="end"/>
      </w:r>
      <w:r w:rsidR="001717AC">
        <w:t xml:space="preserve"> </w:t>
      </w:r>
      <w:r>
        <w:t>die Bemerkung der TWO auf ihrer fünfundfünfzigsten Tagung</w:t>
      </w:r>
      <w:r w:rsidR="001A4E8A" w:rsidRPr="001A4E8A">
        <w:rPr>
          <w:vertAlign w:val="superscript"/>
        </w:rPr>
        <w:fldChar w:fldCharType="begin"/>
      </w:r>
      <w:r w:rsidR="001A4E8A" w:rsidRPr="001A4E8A">
        <w:rPr>
          <w:vertAlign w:val="superscript"/>
        </w:rPr>
        <w:instrText xml:space="preserve"> NOTEREF _Ref145616252 \h </w:instrText>
      </w:r>
      <w:r w:rsidR="001A4E8A" w:rsidRPr="001A4E8A">
        <w:rPr>
          <w:vertAlign w:val="superscript"/>
        </w:rPr>
      </w:r>
      <w:r w:rsidR="001A4E8A">
        <w:rPr>
          <w:vertAlign w:val="superscript"/>
        </w:rPr>
        <w:instrText xml:space="preserve"> \* MERGEFORMAT </w:instrText>
      </w:r>
      <w:r w:rsidR="001A4E8A" w:rsidRPr="001A4E8A">
        <w:rPr>
          <w:vertAlign w:val="superscript"/>
        </w:rPr>
        <w:fldChar w:fldCharType="separate"/>
      </w:r>
      <w:r w:rsidR="001A4E8A" w:rsidRPr="001A4E8A">
        <w:rPr>
          <w:vertAlign w:val="superscript"/>
        </w:rPr>
        <w:t>10</w:t>
      </w:r>
      <w:r w:rsidR="001A4E8A" w:rsidRPr="001A4E8A">
        <w:rPr>
          <w:vertAlign w:val="superscript"/>
        </w:rPr>
        <w:fldChar w:fldCharType="end"/>
      </w:r>
      <w:r w:rsidR="001717AC">
        <w:t xml:space="preserve"> </w:t>
      </w:r>
      <w:r w:rsidR="00286482" w:rsidRPr="0088502A">
        <w:fldChar w:fldCharType="begin"/>
      </w:r>
      <w:r w:rsidR="00286482" w:rsidRPr="0088502A">
        <w:instrText xml:space="preserve"> NOTEREF _Ref138847577 \f \h </w:instrText>
      </w:r>
      <w:r w:rsidR="001A4E8A">
        <w:fldChar w:fldCharType="separate"/>
      </w:r>
      <w:r w:rsidR="00286482" w:rsidRPr="0088502A">
        <w:fldChar w:fldCharType="end"/>
      </w:r>
      <w:r w:rsidR="00E10C79">
        <w:t>im Hinblick auf das</w:t>
      </w:r>
      <w:r>
        <w:t xml:space="preserve"> Vorhandensein von Pflaumenziersorten als Ergebnis von Kreuzungen verschiedener Arten und vereinbarte, dass solche Fälle entsprechend dem Vorschlag, die Bezeichnungsklassen aller beteiligter Elternteile anzuwenden, behandelt werden könnten, ohne Verwechslungen im Hinblick auf die Identität der Sorte hervorzurufen. </w:t>
      </w:r>
    </w:p>
    <w:p w14:paraId="330A4EE5" w14:textId="77777777" w:rsidR="009E4252" w:rsidRPr="0088502A" w:rsidRDefault="009E4252" w:rsidP="009E4252"/>
    <w:p w14:paraId="5A9394D9" w14:textId="10845963" w:rsidR="00FF16C5" w:rsidRDefault="00FF16C5" w:rsidP="006C5C61">
      <w:pPr>
        <w:keepNext/>
      </w:pPr>
    </w:p>
    <w:p w14:paraId="235E2855" w14:textId="77777777" w:rsidR="00992D6A" w:rsidRDefault="00992D6A">
      <w:pPr>
        <w:jc w:val="left"/>
        <w:rPr>
          <w:i/>
          <w:iCs/>
        </w:rPr>
      </w:pPr>
      <w:r>
        <w:rPr>
          <w:i/>
          <w:iCs/>
        </w:rPr>
        <w:br w:type="page"/>
      </w:r>
    </w:p>
    <w:p w14:paraId="4065DC45" w14:textId="38580254" w:rsidR="006C5C61" w:rsidRDefault="006C5C61" w:rsidP="00C805AC">
      <w:pPr>
        <w:keepNext/>
        <w:rPr>
          <w:i/>
          <w:iCs/>
        </w:rPr>
      </w:pPr>
      <w:r>
        <w:rPr>
          <w:i/>
          <w:iCs/>
        </w:rPr>
        <w:lastRenderedPageBreak/>
        <w:t>Vorschlag 2: Neue Sortenbezeichnungsklassen für Prunus</w:t>
      </w:r>
    </w:p>
    <w:p w14:paraId="4D51BA92" w14:textId="77777777" w:rsidR="00247062" w:rsidRPr="006C5C61" w:rsidRDefault="00247062" w:rsidP="00C805AC">
      <w:pPr>
        <w:keepNext/>
        <w:rPr>
          <w:i/>
          <w:iCs/>
        </w:rPr>
      </w:pPr>
    </w:p>
    <w:p w14:paraId="6B390FCE" w14:textId="5C798CD3" w:rsidR="00C805AC" w:rsidRDefault="003415AF" w:rsidP="00C805AC">
      <w:pPr>
        <w:keepNext/>
        <w:rPr>
          <w:rFonts w:cs="Maiandra GD"/>
          <w:iCs/>
          <w:color w:val="000000"/>
          <w:szCs w:val="18"/>
          <w:lang w:eastAsia="nl-NL"/>
        </w:rPr>
      </w:pPr>
      <w:r>
        <w:fldChar w:fldCharType="begin"/>
      </w:r>
      <w:r>
        <w:instrText xml:space="preserve"> LISTNUM  LegalDefault \l 1 </w:instrText>
      </w:r>
      <w:r>
        <w:fldChar w:fldCharType="end">
          <w:numberingChange w:id="69" w:author="SANCHEZ VIZCAINO GOMEZ Rosa Maria" w:date="2023-08-29T11:06:00Z" w:original="6."/>
        </w:fldChar>
      </w:r>
      <w:r>
        <w:tab/>
        <w:t xml:space="preserve">Die TWF vereinbarte, die Bildung neuer Ausnahme-Sortenbezeichnungsklassen für </w:t>
      </w:r>
      <w:r>
        <w:rPr>
          <w:i/>
        </w:rPr>
        <w:t>Prunus</w:t>
      </w:r>
      <w:r>
        <w:t xml:space="preserve"> wie folgt vorzuschlagen (Zusätze sind durch Hervorhebung und </w:t>
      </w:r>
      <w:r>
        <w:rPr>
          <w:highlight w:val="lightGray"/>
          <w:u w:val="single"/>
        </w:rPr>
        <w:t>Unterstreichung</w:t>
      </w:r>
      <w:r>
        <w:t xml:space="preserve"> und Streichungen sind durch Hervorhebung und </w:t>
      </w:r>
      <w:r>
        <w:rPr>
          <w:strike/>
          <w:highlight w:val="lightGray"/>
        </w:rPr>
        <w:t>Durchstreichen</w:t>
      </w:r>
      <w:r>
        <w:t xml:space="preserve"> gekennzeichnet):</w:t>
      </w:r>
    </w:p>
    <w:p w14:paraId="6A7E1DDB" w14:textId="77777777" w:rsidR="00992D6A" w:rsidRPr="00992D6A" w:rsidRDefault="00992D6A" w:rsidP="00992D6A">
      <w:pPr>
        <w:rPr>
          <w:rFonts w:eastAsia="MS Mincho"/>
        </w:rPr>
      </w:pPr>
    </w:p>
    <w:p w14:paraId="034C41BD" w14:textId="77777777" w:rsidR="00992D6A" w:rsidRPr="00992D6A" w:rsidRDefault="00992D6A" w:rsidP="00992D6A">
      <w:pPr>
        <w:jc w:val="center"/>
        <w:rPr>
          <w:rFonts w:eastAsia="MS Mincho"/>
        </w:rPr>
      </w:pPr>
      <w:r>
        <w:rPr>
          <w:rFonts w:eastAsia="MS Mincho"/>
        </w:rPr>
        <w:t>KLASSENLISTE</w:t>
      </w:r>
    </w:p>
    <w:p w14:paraId="1F82A7B5" w14:textId="77777777" w:rsidR="00992D6A" w:rsidRPr="00992D6A" w:rsidRDefault="00992D6A" w:rsidP="00992D6A">
      <w:pPr>
        <w:rPr>
          <w:rFonts w:eastAsia="MS Mincho"/>
        </w:rPr>
      </w:pPr>
    </w:p>
    <w:p w14:paraId="72689F7F" w14:textId="77777777" w:rsidR="00992D6A" w:rsidRPr="00992D6A" w:rsidRDefault="00992D6A" w:rsidP="00992D6A">
      <w:pPr>
        <w:keepNext/>
        <w:jc w:val="center"/>
        <w:outlineLvl w:val="7"/>
        <w:rPr>
          <w:rFonts w:eastAsia="MS Mincho"/>
          <w:u w:val="single"/>
        </w:rPr>
      </w:pPr>
      <w:r>
        <w:rPr>
          <w:rFonts w:eastAsia="MS Mincho"/>
          <w:u w:val="single"/>
        </w:rPr>
        <w:t>Teil I</w:t>
      </w:r>
    </w:p>
    <w:p w14:paraId="32BBCCB0" w14:textId="77777777" w:rsidR="00992D6A" w:rsidRPr="00992D6A" w:rsidRDefault="00992D6A" w:rsidP="00992D6A">
      <w:pPr>
        <w:spacing w:before="60"/>
        <w:ind w:left="284" w:hanging="284"/>
        <w:rPr>
          <w:rFonts w:eastAsia="MS Mincho"/>
          <w:sz w:val="16"/>
        </w:rPr>
      </w:pPr>
    </w:p>
    <w:p w14:paraId="69A85806" w14:textId="77777777" w:rsidR="00992D6A" w:rsidRPr="00992D6A" w:rsidRDefault="00992D6A" w:rsidP="00992D6A">
      <w:pPr>
        <w:jc w:val="center"/>
        <w:rPr>
          <w:rFonts w:eastAsia="MS Mincho"/>
          <w:i/>
        </w:rPr>
      </w:pPr>
      <w:r>
        <w:rPr>
          <w:rFonts w:eastAsia="MS Mincho"/>
          <w:i/>
        </w:rPr>
        <w:t>Klassen innerhalb einer Gattung</w:t>
      </w:r>
    </w:p>
    <w:p w14:paraId="0F630178" w14:textId="77777777" w:rsidR="00992D6A" w:rsidRDefault="00992D6A" w:rsidP="00992D6A"/>
    <w:p w14:paraId="643C1954" w14:textId="26CDA5F8" w:rsidR="00992D6A" w:rsidRPr="00B8036A" w:rsidRDefault="00992D6A" w:rsidP="00542140">
      <w:pPr>
        <w:rPr>
          <w:highlight w:val="lightGray"/>
          <w:u w:val="single"/>
        </w:rPr>
      </w:pPr>
      <w:r>
        <w:rPr>
          <w:highlight w:val="lightGray"/>
          <w:u w:val="single"/>
        </w:rPr>
        <w:t xml:space="preserve">Bezeichnungen für Sorten, die ausschließlich auf Ebene der Gattung identifiziert </w:t>
      </w:r>
      <w:r w:rsidRPr="00542140">
        <w:rPr>
          <w:highlight w:val="lightGray"/>
          <w:u w:val="single"/>
        </w:rPr>
        <w:t>werden und bei denen die Sorte einer der in der nachfolgenden Liste von „Klassen innerhalb einer Gattung</w:t>
      </w:r>
      <w:r w:rsidR="00542140" w:rsidRPr="00542140">
        <w:rPr>
          <w:highlight w:val="lightGray"/>
        </w:rPr>
        <w:t>“</w:t>
      </w:r>
      <w:r w:rsidRPr="00542140">
        <w:rPr>
          <w:highlight w:val="lightGray"/>
          <w:u w:val="single"/>
        </w:rPr>
        <w:t xml:space="preserve"> aufgeführten </w:t>
      </w:r>
      <w:r>
        <w:rPr>
          <w:highlight w:val="lightGray"/>
          <w:u w:val="single"/>
        </w:rPr>
        <w:t>Gattung angehören, müssen sich von den Bezeichnungen in</w:t>
      </w:r>
      <w:r w:rsidR="00542140">
        <w:rPr>
          <w:highlight w:val="lightGray"/>
          <w:u w:val="single"/>
        </w:rPr>
        <w:t>nerhalb</w:t>
      </w:r>
      <w:r>
        <w:rPr>
          <w:highlight w:val="lightGray"/>
          <w:u w:val="single"/>
        </w:rPr>
        <w:t xml:space="preserve"> dieser Gattung unterscheiden.</w:t>
      </w:r>
    </w:p>
    <w:p w14:paraId="3324371C" w14:textId="77777777" w:rsidR="00992D6A" w:rsidRPr="00992D6A" w:rsidRDefault="00992D6A" w:rsidP="00992D6A">
      <w:pPr>
        <w:rPr>
          <w:rFonts w:eastAsia="MS Mincho"/>
          <w:lang w:eastAsia="ja-JP"/>
        </w:rPr>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5670"/>
        <w:gridCol w:w="2551"/>
      </w:tblGrid>
      <w:tr w:rsidR="00992D6A" w:rsidRPr="00992D6A" w14:paraId="0BB5C353" w14:textId="77777777" w:rsidTr="00254999">
        <w:trPr>
          <w:cantSplit/>
          <w:tblHeader/>
        </w:trPr>
        <w:tc>
          <w:tcPr>
            <w:tcW w:w="1418" w:type="dxa"/>
            <w:shd w:val="clear" w:color="auto" w:fill="D9D9D9" w:themeFill="background1" w:themeFillShade="D9"/>
            <w:vAlign w:val="center"/>
          </w:tcPr>
          <w:p w14:paraId="610D39D7" w14:textId="77777777" w:rsidR="00992D6A" w:rsidRPr="00992D6A" w:rsidRDefault="00992D6A" w:rsidP="00992D6A">
            <w:pPr>
              <w:spacing w:before="40" w:after="60"/>
              <w:jc w:val="left"/>
              <w:rPr>
                <w:rFonts w:eastAsia="MS Mincho"/>
                <w:sz w:val="18"/>
                <w:u w:val="single"/>
              </w:rPr>
            </w:pPr>
          </w:p>
        </w:tc>
        <w:tc>
          <w:tcPr>
            <w:tcW w:w="5670" w:type="dxa"/>
            <w:shd w:val="clear" w:color="auto" w:fill="D9D9D9" w:themeFill="background1" w:themeFillShade="D9"/>
            <w:vAlign w:val="center"/>
          </w:tcPr>
          <w:p w14:paraId="5370C6A5" w14:textId="77777777" w:rsidR="00992D6A" w:rsidRPr="00992D6A" w:rsidRDefault="00992D6A" w:rsidP="00992D6A">
            <w:pPr>
              <w:spacing w:before="40" w:after="60"/>
              <w:jc w:val="center"/>
              <w:rPr>
                <w:rFonts w:eastAsia="MS Mincho"/>
                <w:sz w:val="18"/>
                <w:u w:val="single"/>
              </w:rPr>
            </w:pPr>
            <w:r>
              <w:rPr>
                <w:rFonts w:eastAsia="MS Mincho"/>
                <w:sz w:val="18"/>
                <w:u w:val="single"/>
              </w:rPr>
              <w:t>Botanische Namen</w:t>
            </w:r>
          </w:p>
        </w:tc>
        <w:tc>
          <w:tcPr>
            <w:tcW w:w="2551" w:type="dxa"/>
            <w:shd w:val="clear" w:color="auto" w:fill="D9D9D9" w:themeFill="background1" w:themeFillShade="D9"/>
            <w:vAlign w:val="center"/>
          </w:tcPr>
          <w:p w14:paraId="2881841B" w14:textId="77777777" w:rsidR="00992D6A" w:rsidRPr="00992D6A" w:rsidRDefault="00992D6A" w:rsidP="00992D6A">
            <w:pPr>
              <w:spacing w:before="40" w:after="60"/>
              <w:jc w:val="center"/>
              <w:rPr>
                <w:rFonts w:eastAsia="MS Mincho"/>
                <w:sz w:val="18"/>
                <w:u w:val="single"/>
              </w:rPr>
            </w:pPr>
            <w:r>
              <w:rPr>
                <w:rFonts w:eastAsia="MS Mincho"/>
                <w:sz w:val="18"/>
                <w:u w:val="single"/>
              </w:rPr>
              <w:t>UPOV-Codes</w:t>
            </w:r>
          </w:p>
        </w:tc>
      </w:tr>
    </w:tbl>
    <w:p w14:paraId="752DE260" w14:textId="78924679" w:rsidR="00B8036A" w:rsidRDefault="00B8036A" w:rsidP="00992D6A">
      <w:pPr>
        <w:rPr>
          <w:highlight w:val="lightGray"/>
        </w:rPr>
      </w:pPr>
    </w:p>
    <w:p w14:paraId="1EA6757D" w14:textId="10209E0A" w:rsidR="00992D6A" w:rsidRPr="00992D6A" w:rsidRDefault="00992D6A" w:rsidP="00992D6A">
      <w:pPr>
        <w:jc w:val="center"/>
      </w:pPr>
      <w:r>
        <w:t>[…]</w:t>
      </w:r>
    </w:p>
    <w:p w14:paraId="7C010706" w14:textId="77777777" w:rsidR="00992D6A" w:rsidRPr="00B8036A" w:rsidRDefault="00992D6A" w:rsidP="00992D6A">
      <w:pPr>
        <w:rPr>
          <w:highlight w:val="lightGray"/>
        </w:rPr>
      </w:pPr>
    </w:p>
    <w:p w14:paraId="34B0528C" w14:textId="71603F0B" w:rsidR="006232E9" w:rsidRPr="00467BF9" w:rsidRDefault="00B8036A" w:rsidP="00B8036A">
      <w:pPr>
        <w:pStyle w:val="BasistekstNaktuinbouw"/>
        <w:keepNext/>
        <w:jc w:val="both"/>
        <w:rPr>
          <w:sz w:val="18"/>
          <w:highlight w:val="lightGray"/>
          <w:u w:val="single"/>
        </w:rPr>
      </w:pPr>
      <w:r>
        <w:rPr>
          <w:highlight w:val="lightGray"/>
          <w:u w:val="single"/>
        </w:rPr>
        <w:t xml:space="preserve">Klasse 6: </w:t>
      </w:r>
      <w:r>
        <w:rPr>
          <w:i/>
          <w:iCs/>
          <w:highlight w:val="lightGray"/>
          <w:u w:val="single"/>
        </w:rPr>
        <w:t>Prunus</w:t>
      </w:r>
      <w:r>
        <w:rPr>
          <w:highlight w:val="lightGray"/>
          <w:u w:val="single"/>
        </w:rPr>
        <w:t xml:space="preserve">: Die Sortenbezeichnungen für Arthybride in Klasse 6 müssen sich von den Sortenbezeichnungen in den Klassen aller Elternarten unterscheiden. </w:t>
      </w:r>
    </w:p>
    <w:p w14:paraId="0E8E0BA8" w14:textId="77777777" w:rsidR="00B8036A" w:rsidRPr="00467BF9" w:rsidRDefault="00B8036A" w:rsidP="00B8036A">
      <w:pPr>
        <w:pStyle w:val="BasistekstNaktuinbouw"/>
        <w:keepNext/>
        <w:jc w:val="both"/>
        <w:rPr>
          <w:sz w:val="18"/>
          <w:highlight w:val="lightGray"/>
          <w:u w:val="single"/>
        </w:rPr>
      </w:pPr>
    </w:p>
    <w:tbl>
      <w:tblPr>
        <w:tblW w:w="9634" w:type="dxa"/>
        <w:tblCellMar>
          <w:left w:w="0" w:type="dxa"/>
          <w:right w:w="0" w:type="dxa"/>
        </w:tblCellMar>
        <w:tblLook w:val="04A0" w:firstRow="1" w:lastRow="0" w:firstColumn="1" w:lastColumn="0" w:noHBand="0" w:noVBand="1"/>
      </w:tblPr>
      <w:tblGrid>
        <w:gridCol w:w="1413"/>
        <w:gridCol w:w="5528"/>
        <w:gridCol w:w="2693"/>
      </w:tblGrid>
      <w:tr w:rsidR="00954ED3" w:rsidRPr="00F66E13" w14:paraId="0C00D32F" w14:textId="77777777" w:rsidTr="00954ED3">
        <w:trPr>
          <w:cantSplit/>
        </w:trPr>
        <w:tc>
          <w:tcPr>
            <w:tcW w:w="141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6B5B843F" w14:textId="77777777" w:rsidR="00954ED3" w:rsidRPr="00F66E13" w:rsidRDefault="00954ED3" w:rsidP="00C805AC">
            <w:pPr>
              <w:keepNext/>
              <w:spacing w:before="40" w:after="40"/>
              <w:ind w:left="-1529" w:firstLine="1529"/>
              <w:jc w:val="left"/>
              <w:rPr>
                <w:rFonts w:cs="Arial"/>
                <w:sz w:val="18"/>
                <w:szCs w:val="18"/>
                <w:highlight w:val="lightGray"/>
                <w:u w:val="single"/>
              </w:rPr>
            </w:pPr>
            <w:r>
              <w:rPr>
                <w:rFonts w:cs="Arial"/>
                <w:sz w:val="18"/>
                <w:szCs w:val="18"/>
                <w:highlight w:val="lightGray"/>
                <w:u w:val="single"/>
              </w:rPr>
              <w:t>Neu: Klasse 6.1</w:t>
            </w:r>
          </w:p>
        </w:tc>
        <w:tc>
          <w:tcPr>
            <w:tcW w:w="552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30ED585A" w14:textId="77777777" w:rsidR="00954ED3" w:rsidRPr="00F66E13" w:rsidRDefault="00954ED3" w:rsidP="00C805AC">
            <w:pPr>
              <w:keepNext/>
              <w:spacing w:before="40" w:after="40"/>
              <w:jc w:val="left"/>
              <w:rPr>
                <w:rFonts w:cs="Arial"/>
                <w:sz w:val="18"/>
                <w:szCs w:val="18"/>
                <w:highlight w:val="lightGray"/>
                <w:u w:val="single"/>
                <w:lang w:val="fr-CH"/>
              </w:rPr>
            </w:pPr>
            <w:r w:rsidRPr="00467BF9">
              <w:rPr>
                <w:rFonts w:cs="Arial"/>
                <w:i/>
                <w:sz w:val="18"/>
                <w:szCs w:val="18"/>
                <w:highlight w:val="lightGray"/>
                <w:u w:val="single"/>
                <w:lang w:val="fr-FR"/>
              </w:rPr>
              <w:t xml:space="preserve">Prunus </w:t>
            </w:r>
            <w:proofErr w:type="spellStart"/>
            <w:r w:rsidRPr="00467BF9">
              <w:rPr>
                <w:rFonts w:cs="Arial"/>
                <w:i/>
                <w:sz w:val="18"/>
                <w:szCs w:val="18"/>
                <w:highlight w:val="lightGray"/>
                <w:u w:val="single"/>
                <w:lang w:val="fr-FR"/>
              </w:rPr>
              <w:t>avium</w:t>
            </w:r>
            <w:proofErr w:type="spellEnd"/>
            <w:r w:rsidRPr="00467BF9">
              <w:rPr>
                <w:rFonts w:cs="Arial"/>
                <w:sz w:val="18"/>
                <w:szCs w:val="18"/>
                <w:highlight w:val="lightGray"/>
                <w:u w:val="single"/>
                <w:lang w:val="fr-FR"/>
              </w:rPr>
              <w:t xml:space="preserve"> (L.) L.</w:t>
            </w:r>
          </w:p>
          <w:p w14:paraId="1C634B17" w14:textId="77777777" w:rsidR="00954ED3" w:rsidRPr="00F66E13" w:rsidRDefault="00954ED3" w:rsidP="00C805AC">
            <w:pPr>
              <w:keepNext/>
              <w:spacing w:before="40" w:after="40"/>
              <w:jc w:val="left"/>
              <w:rPr>
                <w:rFonts w:cs="Arial"/>
                <w:sz w:val="18"/>
                <w:szCs w:val="18"/>
                <w:highlight w:val="lightGray"/>
                <w:u w:val="single"/>
                <w:lang w:val="fr-CH"/>
              </w:rPr>
            </w:pPr>
            <w:r w:rsidRPr="00467BF9">
              <w:rPr>
                <w:rFonts w:cs="Arial"/>
                <w:i/>
                <w:sz w:val="18"/>
                <w:szCs w:val="18"/>
                <w:highlight w:val="lightGray"/>
                <w:u w:val="single"/>
                <w:lang w:val="fr-FR"/>
              </w:rPr>
              <w:t xml:space="preserve">Prunus </w:t>
            </w:r>
            <w:proofErr w:type="spellStart"/>
            <w:r w:rsidRPr="00467BF9">
              <w:rPr>
                <w:rFonts w:cs="Arial"/>
                <w:i/>
                <w:sz w:val="18"/>
                <w:szCs w:val="18"/>
                <w:highlight w:val="lightGray"/>
                <w:u w:val="single"/>
                <w:lang w:val="fr-FR"/>
              </w:rPr>
              <w:t>cerasus</w:t>
            </w:r>
            <w:proofErr w:type="spellEnd"/>
            <w:r w:rsidRPr="00467BF9">
              <w:rPr>
                <w:rFonts w:cs="Arial"/>
                <w:sz w:val="18"/>
                <w:szCs w:val="18"/>
                <w:highlight w:val="lightGray"/>
                <w:u w:val="single"/>
                <w:lang w:val="fr-FR"/>
              </w:rPr>
              <w:t xml:space="preserve"> L.</w:t>
            </w:r>
          </w:p>
          <w:p w14:paraId="28447564" w14:textId="77777777" w:rsidR="00954ED3" w:rsidRPr="00F66E13" w:rsidRDefault="00954ED3" w:rsidP="00C805AC">
            <w:pPr>
              <w:keepNext/>
              <w:spacing w:before="40" w:after="40"/>
              <w:jc w:val="left"/>
              <w:rPr>
                <w:rFonts w:cs="Arial"/>
                <w:sz w:val="18"/>
                <w:szCs w:val="18"/>
                <w:highlight w:val="lightGray"/>
                <w:u w:val="single"/>
                <w:lang w:val="fr-CH"/>
              </w:rPr>
            </w:pPr>
          </w:p>
        </w:tc>
        <w:tc>
          <w:tcPr>
            <w:tcW w:w="26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65585478" w14:textId="77777777" w:rsidR="00954ED3" w:rsidRPr="00F66E13" w:rsidRDefault="00954ED3" w:rsidP="00C805AC">
            <w:pPr>
              <w:keepNext/>
              <w:spacing w:before="40" w:after="40"/>
              <w:jc w:val="left"/>
              <w:rPr>
                <w:rFonts w:cs="Arial"/>
                <w:sz w:val="18"/>
                <w:szCs w:val="18"/>
                <w:highlight w:val="lightGray"/>
                <w:u w:val="single"/>
              </w:rPr>
            </w:pPr>
            <w:r>
              <w:rPr>
                <w:rFonts w:cs="Arial"/>
                <w:sz w:val="18"/>
                <w:szCs w:val="18"/>
                <w:highlight w:val="lightGray"/>
                <w:u w:val="single"/>
              </w:rPr>
              <w:t>PRUNU_AVI</w:t>
            </w:r>
          </w:p>
          <w:p w14:paraId="3BDEB5AE" w14:textId="77777777" w:rsidR="00954ED3" w:rsidRPr="00F66E13" w:rsidRDefault="00954ED3" w:rsidP="00C805AC">
            <w:pPr>
              <w:keepNext/>
              <w:spacing w:before="40" w:after="40"/>
              <w:jc w:val="left"/>
              <w:rPr>
                <w:rFonts w:cs="Arial"/>
                <w:sz w:val="18"/>
                <w:szCs w:val="18"/>
                <w:highlight w:val="lightGray"/>
                <w:u w:val="single"/>
              </w:rPr>
            </w:pPr>
            <w:r>
              <w:rPr>
                <w:rFonts w:cs="Arial"/>
                <w:sz w:val="18"/>
                <w:szCs w:val="18"/>
                <w:highlight w:val="lightGray"/>
                <w:u w:val="single"/>
              </w:rPr>
              <w:t>PRUNU_CSS</w:t>
            </w:r>
          </w:p>
          <w:p w14:paraId="08AD62F4" w14:textId="21ED1075" w:rsidR="00F66E13" w:rsidRPr="00F66E13" w:rsidRDefault="00F66E13" w:rsidP="00C805AC">
            <w:pPr>
              <w:keepNext/>
              <w:spacing w:before="40" w:after="40"/>
              <w:jc w:val="left"/>
              <w:rPr>
                <w:rFonts w:cs="Arial"/>
                <w:sz w:val="18"/>
                <w:szCs w:val="18"/>
                <w:highlight w:val="lightGray"/>
                <w:u w:val="single"/>
              </w:rPr>
            </w:pPr>
            <w:r>
              <w:rPr>
                <w:sz w:val="18"/>
                <w:szCs w:val="18"/>
                <w:highlight w:val="lightGray"/>
                <w:u w:val="single"/>
              </w:rPr>
              <w:t>Bei Kreuzungen verschiedener Arten werden die Klassen aller Elternarten angewandt.</w:t>
            </w:r>
          </w:p>
        </w:tc>
      </w:tr>
      <w:tr w:rsidR="00954ED3" w:rsidRPr="00F66E13" w14:paraId="6E1814E0" w14:textId="77777777" w:rsidTr="00954ED3">
        <w:trPr>
          <w:cantSplit/>
        </w:trPr>
        <w:tc>
          <w:tcPr>
            <w:tcW w:w="141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16B27609" w14:textId="77777777" w:rsidR="00954ED3" w:rsidRPr="00F66E13" w:rsidRDefault="00954ED3" w:rsidP="004979C3">
            <w:pPr>
              <w:keepNext/>
              <w:spacing w:before="40" w:after="40"/>
              <w:ind w:left="-1529" w:firstLine="1529"/>
              <w:jc w:val="left"/>
              <w:rPr>
                <w:rFonts w:cs="Arial"/>
                <w:sz w:val="18"/>
                <w:szCs w:val="18"/>
                <w:highlight w:val="lightGray"/>
                <w:u w:val="single"/>
              </w:rPr>
            </w:pPr>
            <w:r>
              <w:rPr>
                <w:rFonts w:cs="Arial"/>
                <w:sz w:val="18"/>
                <w:szCs w:val="18"/>
                <w:highlight w:val="lightGray"/>
                <w:u w:val="single"/>
              </w:rPr>
              <w:t>Neu: Klasse 6.2</w:t>
            </w:r>
          </w:p>
        </w:tc>
        <w:tc>
          <w:tcPr>
            <w:tcW w:w="552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57670771" w14:textId="77777777" w:rsidR="00954ED3" w:rsidRPr="00C52F43" w:rsidRDefault="00954ED3" w:rsidP="004979C3">
            <w:pPr>
              <w:keepNext/>
              <w:spacing w:before="40" w:after="40"/>
              <w:jc w:val="left"/>
              <w:rPr>
                <w:rFonts w:cs="Arial"/>
                <w:sz w:val="18"/>
                <w:szCs w:val="18"/>
                <w:highlight w:val="lightGray"/>
                <w:u w:val="single"/>
                <w:lang w:val="fr-FR"/>
              </w:rPr>
            </w:pPr>
            <w:r w:rsidRPr="00467BF9">
              <w:rPr>
                <w:rFonts w:cs="Arial"/>
                <w:i/>
                <w:sz w:val="18"/>
                <w:szCs w:val="18"/>
                <w:highlight w:val="lightGray"/>
                <w:u w:val="single"/>
                <w:lang w:val="fr-FR"/>
              </w:rPr>
              <w:t xml:space="preserve">Prunus </w:t>
            </w:r>
            <w:proofErr w:type="spellStart"/>
            <w:r w:rsidRPr="00467BF9">
              <w:rPr>
                <w:rFonts w:cs="Arial"/>
                <w:i/>
                <w:sz w:val="18"/>
                <w:szCs w:val="18"/>
                <w:highlight w:val="lightGray"/>
                <w:u w:val="single"/>
                <w:lang w:val="fr-FR"/>
              </w:rPr>
              <w:t>domestica</w:t>
            </w:r>
            <w:proofErr w:type="spellEnd"/>
            <w:r w:rsidRPr="00467BF9">
              <w:rPr>
                <w:rFonts w:cs="Arial"/>
                <w:sz w:val="18"/>
                <w:szCs w:val="18"/>
                <w:highlight w:val="lightGray"/>
                <w:u w:val="single"/>
                <w:lang w:val="fr-FR"/>
              </w:rPr>
              <w:t xml:space="preserve"> L.</w:t>
            </w:r>
          </w:p>
          <w:p w14:paraId="26956187" w14:textId="77777777" w:rsidR="00954ED3" w:rsidRPr="00C52F43" w:rsidRDefault="00954ED3" w:rsidP="004979C3">
            <w:pPr>
              <w:keepNext/>
              <w:spacing w:before="40" w:after="40"/>
              <w:jc w:val="left"/>
              <w:rPr>
                <w:rFonts w:cs="Arial"/>
                <w:sz w:val="18"/>
                <w:szCs w:val="18"/>
                <w:highlight w:val="lightGray"/>
                <w:u w:val="single"/>
                <w:lang w:val="fr-FR"/>
              </w:rPr>
            </w:pPr>
            <w:r w:rsidRPr="00467BF9">
              <w:rPr>
                <w:rFonts w:cs="Arial"/>
                <w:i/>
                <w:sz w:val="18"/>
                <w:szCs w:val="18"/>
                <w:highlight w:val="lightGray"/>
                <w:u w:val="single"/>
                <w:lang w:val="fr-FR"/>
              </w:rPr>
              <w:t xml:space="preserve">Prunus </w:t>
            </w:r>
            <w:proofErr w:type="spellStart"/>
            <w:r w:rsidRPr="00467BF9">
              <w:rPr>
                <w:rFonts w:cs="Arial"/>
                <w:i/>
                <w:sz w:val="18"/>
                <w:szCs w:val="18"/>
                <w:highlight w:val="lightGray"/>
                <w:u w:val="single"/>
                <w:lang w:val="fr-FR"/>
              </w:rPr>
              <w:t>salicina</w:t>
            </w:r>
            <w:proofErr w:type="spellEnd"/>
            <w:r w:rsidRPr="00467BF9">
              <w:rPr>
                <w:rFonts w:cs="Arial"/>
                <w:sz w:val="18"/>
                <w:szCs w:val="18"/>
                <w:highlight w:val="lightGray"/>
                <w:u w:val="single"/>
                <w:lang w:val="fr-FR"/>
              </w:rPr>
              <w:t xml:space="preserve"> </w:t>
            </w:r>
            <w:proofErr w:type="spellStart"/>
            <w:r w:rsidRPr="00467BF9">
              <w:rPr>
                <w:rFonts w:cs="Arial"/>
                <w:sz w:val="18"/>
                <w:szCs w:val="18"/>
                <w:highlight w:val="lightGray"/>
                <w:u w:val="single"/>
                <w:lang w:val="fr-FR"/>
              </w:rPr>
              <w:t>Lindley</w:t>
            </w:r>
            <w:proofErr w:type="spellEnd"/>
          </w:p>
          <w:p w14:paraId="4BCB4BF6" w14:textId="77777777" w:rsidR="00954ED3" w:rsidRPr="00C52F43" w:rsidRDefault="00954ED3" w:rsidP="004979C3">
            <w:pPr>
              <w:keepNext/>
              <w:spacing w:before="40" w:after="40"/>
              <w:jc w:val="left"/>
              <w:rPr>
                <w:rFonts w:cs="Arial"/>
                <w:sz w:val="18"/>
                <w:szCs w:val="18"/>
                <w:highlight w:val="lightGray"/>
                <w:u w:val="single"/>
                <w:lang w:val="fr-FR"/>
              </w:rPr>
            </w:pPr>
            <w:r>
              <w:rPr>
                <w:rFonts w:cs="Arial"/>
                <w:i/>
                <w:sz w:val="18"/>
                <w:szCs w:val="18"/>
                <w:highlight w:val="lightGray"/>
                <w:u w:val="single"/>
              </w:rPr>
              <w:t>Prunus armeniaca</w:t>
            </w:r>
            <w:r>
              <w:rPr>
                <w:rFonts w:cs="Arial"/>
                <w:sz w:val="18"/>
                <w:szCs w:val="18"/>
                <w:highlight w:val="lightGray"/>
                <w:u w:val="single"/>
              </w:rPr>
              <w:t xml:space="preserve"> L.</w:t>
            </w:r>
          </w:p>
          <w:p w14:paraId="512E06FD" w14:textId="77777777" w:rsidR="00954ED3" w:rsidRPr="00C52F43" w:rsidRDefault="00954ED3" w:rsidP="004979C3">
            <w:pPr>
              <w:keepNext/>
              <w:spacing w:before="40" w:after="40"/>
              <w:jc w:val="left"/>
              <w:rPr>
                <w:rFonts w:cs="Arial"/>
                <w:sz w:val="18"/>
                <w:szCs w:val="18"/>
                <w:highlight w:val="lightGray"/>
                <w:u w:val="single"/>
                <w:lang w:val="fr-FR"/>
              </w:rPr>
            </w:pPr>
            <w:r>
              <w:rPr>
                <w:rFonts w:cs="Arial"/>
                <w:i/>
                <w:sz w:val="18"/>
                <w:szCs w:val="18"/>
                <w:highlight w:val="lightGray"/>
                <w:u w:val="single"/>
              </w:rPr>
              <w:t>Prunus mume</w:t>
            </w:r>
            <w:r>
              <w:rPr>
                <w:rFonts w:cs="Arial"/>
                <w:sz w:val="18"/>
                <w:szCs w:val="18"/>
                <w:highlight w:val="lightGray"/>
                <w:u w:val="single"/>
              </w:rPr>
              <w:t xml:space="preserve"> Siebold &amp; Zucc.</w:t>
            </w:r>
          </w:p>
          <w:p w14:paraId="6DCF03F4" w14:textId="77777777" w:rsidR="00954ED3" w:rsidRPr="00C52F43" w:rsidRDefault="00954ED3" w:rsidP="004979C3">
            <w:pPr>
              <w:keepNext/>
              <w:spacing w:before="40" w:after="40"/>
              <w:jc w:val="left"/>
              <w:rPr>
                <w:rFonts w:cs="Arial"/>
                <w:sz w:val="18"/>
                <w:szCs w:val="18"/>
                <w:highlight w:val="lightGray"/>
                <w:u w:val="single"/>
                <w:lang w:val="fr-FR"/>
              </w:rPr>
            </w:pPr>
          </w:p>
        </w:tc>
        <w:tc>
          <w:tcPr>
            <w:tcW w:w="26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39D7A4FF" w14:textId="77777777" w:rsidR="00954ED3" w:rsidRPr="00F66E13" w:rsidRDefault="00954ED3" w:rsidP="004979C3">
            <w:pPr>
              <w:keepNext/>
              <w:spacing w:before="40" w:after="40"/>
              <w:jc w:val="left"/>
              <w:rPr>
                <w:rFonts w:cs="Arial"/>
                <w:sz w:val="18"/>
                <w:szCs w:val="18"/>
                <w:highlight w:val="lightGray"/>
                <w:u w:val="single"/>
                <w:lang w:val="fr-CH"/>
              </w:rPr>
            </w:pPr>
            <w:r w:rsidRPr="00467BF9">
              <w:rPr>
                <w:rFonts w:cs="Arial"/>
                <w:sz w:val="18"/>
                <w:szCs w:val="18"/>
                <w:highlight w:val="lightGray"/>
                <w:u w:val="single"/>
                <w:lang w:val="fr-FR"/>
              </w:rPr>
              <w:t>PRUNU_DOM</w:t>
            </w:r>
          </w:p>
          <w:p w14:paraId="20E1A022" w14:textId="77777777" w:rsidR="00954ED3" w:rsidRPr="00F66E13" w:rsidRDefault="00954ED3" w:rsidP="004979C3">
            <w:pPr>
              <w:keepNext/>
              <w:spacing w:before="40" w:after="40"/>
              <w:jc w:val="left"/>
              <w:rPr>
                <w:rFonts w:cs="Arial"/>
                <w:sz w:val="18"/>
                <w:szCs w:val="18"/>
                <w:highlight w:val="lightGray"/>
                <w:u w:val="single"/>
                <w:lang w:val="fr-CH"/>
              </w:rPr>
            </w:pPr>
            <w:r w:rsidRPr="00467BF9">
              <w:rPr>
                <w:rFonts w:cs="Arial"/>
                <w:sz w:val="18"/>
                <w:szCs w:val="18"/>
                <w:highlight w:val="lightGray"/>
                <w:u w:val="single"/>
                <w:lang w:val="fr-FR"/>
              </w:rPr>
              <w:t>PRUNU_SAL</w:t>
            </w:r>
          </w:p>
          <w:p w14:paraId="0AC8F57F" w14:textId="77777777" w:rsidR="00954ED3" w:rsidRPr="00F66E13" w:rsidRDefault="00954ED3" w:rsidP="004979C3">
            <w:pPr>
              <w:keepNext/>
              <w:spacing w:before="40" w:after="40"/>
              <w:jc w:val="left"/>
              <w:rPr>
                <w:rFonts w:cs="Arial"/>
                <w:sz w:val="18"/>
                <w:szCs w:val="18"/>
                <w:highlight w:val="lightGray"/>
                <w:u w:val="single"/>
                <w:lang w:val="fr-CH"/>
              </w:rPr>
            </w:pPr>
            <w:r w:rsidRPr="00467BF9">
              <w:rPr>
                <w:rFonts w:cs="Arial"/>
                <w:sz w:val="18"/>
                <w:szCs w:val="18"/>
                <w:highlight w:val="lightGray"/>
                <w:u w:val="single"/>
                <w:lang w:val="fr-FR"/>
              </w:rPr>
              <w:t>PRUNU_ARM</w:t>
            </w:r>
          </w:p>
          <w:p w14:paraId="50160A5E" w14:textId="77777777" w:rsidR="00954ED3" w:rsidRPr="00F66E13" w:rsidRDefault="00954ED3" w:rsidP="004979C3">
            <w:pPr>
              <w:keepNext/>
              <w:spacing w:before="40" w:after="40"/>
              <w:jc w:val="left"/>
              <w:rPr>
                <w:rFonts w:cs="Arial"/>
                <w:sz w:val="18"/>
                <w:szCs w:val="18"/>
                <w:highlight w:val="lightGray"/>
                <w:u w:val="single"/>
              </w:rPr>
            </w:pPr>
            <w:r>
              <w:rPr>
                <w:rFonts w:cs="Arial"/>
                <w:sz w:val="18"/>
                <w:szCs w:val="18"/>
                <w:highlight w:val="lightGray"/>
                <w:u w:val="single"/>
              </w:rPr>
              <w:t>PRUNU_MUM</w:t>
            </w:r>
          </w:p>
          <w:p w14:paraId="5A7EC501" w14:textId="32538450" w:rsidR="00F66E13" w:rsidRPr="00F66E13" w:rsidRDefault="00F66E13" w:rsidP="004979C3">
            <w:pPr>
              <w:keepNext/>
              <w:spacing w:before="40" w:after="40"/>
              <w:jc w:val="left"/>
              <w:rPr>
                <w:rFonts w:cs="Arial"/>
                <w:sz w:val="18"/>
                <w:szCs w:val="18"/>
                <w:highlight w:val="lightGray"/>
                <w:u w:val="single"/>
              </w:rPr>
            </w:pPr>
            <w:r>
              <w:rPr>
                <w:sz w:val="18"/>
                <w:szCs w:val="18"/>
                <w:highlight w:val="lightGray"/>
                <w:u w:val="single"/>
              </w:rPr>
              <w:t>Bei Kreuzungen verschiedener Arten werden die Klassen aller Elternarten angewandt.</w:t>
            </w:r>
          </w:p>
        </w:tc>
      </w:tr>
      <w:tr w:rsidR="00954ED3" w:rsidRPr="00F66E13" w14:paraId="65BA482E" w14:textId="77777777" w:rsidTr="00954ED3">
        <w:trPr>
          <w:cantSplit/>
        </w:trPr>
        <w:tc>
          <w:tcPr>
            <w:tcW w:w="141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2CE5CF23" w14:textId="77777777" w:rsidR="00954ED3" w:rsidRPr="00F66E13" w:rsidRDefault="00954ED3" w:rsidP="004979C3">
            <w:pPr>
              <w:keepNext/>
              <w:spacing w:before="40" w:after="40"/>
              <w:ind w:left="-1529" w:firstLine="1529"/>
              <w:jc w:val="left"/>
              <w:rPr>
                <w:rFonts w:cs="Arial"/>
                <w:sz w:val="18"/>
                <w:szCs w:val="18"/>
                <w:highlight w:val="lightGray"/>
                <w:u w:val="single"/>
              </w:rPr>
            </w:pPr>
            <w:r>
              <w:rPr>
                <w:rFonts w:cs="Arial"/>
                <w:sz w:val="18"/>
                <w:szCs w:val="18"/>
                <w:highlight w:val="lightGray"/>
                <w:u w:val="single"/>
              </w:rPr>
              <w:t>Neu: Klasse 6.3</w:t>
            </w:r>
          </w:p>
        </w:tc>
        <w:tc>
          <w:tcPr>
            <w:tcW w:w="552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07482BA3" w14:textId="77777777" w:rsidR="00954ED3" w:rsidRPr="00F66E13" w:rsidRDefault="00954ED3" w:rsidP="004979C3">
            <w:pPr>
              <w:keepNext/>
              <w:spacing w:before="40" w:after="40"/>
              <w:jc w:val="left"/>
              <w:rPr>
                <w:rFonts w:cs="Arial"/>
                <w:sz w:val="18"/>
                <w:szCs w:val="18"/>
                <w:highlight w:val="lightGray"/>
                <w:u w:val="single"/>
              </w:rPr>
            </w:pPr>
            <w:r>
              <w:rPr>
                <w:rFonts w:cs="Arial"/>
                <w:i/>
                <w:sz w:val="18"/>
                <w:szCs w:val="18"/>
                <w:highlight w:val="lightGray"/>
                <w:u w:val="single"/>
              </w:rPr>
              <w:t>Prunus persica</w:t>
            </w:r>
            <w:r>
              <w:rPr>
                <w:rFonts w:cs="Arial"/>
                <w:sz w:val="18"/>
                <w:szCs w:val="18"/>
                <w:highlight w:val="lightGray"/>
                <w:u w:val="single"/>
              </w:rPr>
              <w:t xml:space="preserve"> (L.) Batsch.</w:t>
            </w:r>
          </w:p>
          <w:p w14:paraId="76BECF59" w14:textId="77777777" w:rsidR="00954ED3" w:rsidRPr="00467BF9" w:rsidRDefault="00954ED3" w:rsidP="004979C3">
            <w:pPr>
              <w:keepNext/>
              <w:spacing w:before="40" w:after="40"/>
              <w:jc w:val="left"/>
              <w:rPr>
                <w:rFonts w:cs="Arial"/>
                <w:sz w:val="18"/>
                <w:szCs w:val="18"/>
                <w:highlight w:val="lightGray"/>
                <w:u w:val="single"/>
              </w:rPr>
            </w:pPr>
            <w:r>
              <w:rPr>
                <w:rFonts w:eastAsia="Yu Gothic" w:cs="Arial"/>
                <w:i/>
                <w:sz w:val="18"/>
                <w:szCs w:val="18"/>
                <w:highlight w:val="lightGray"/>
                <w:u w:val="single"/>
              </w:rPr>
              <w:t>Prunus dulcis</w:t>
            </w:r>
            <w:r>
              <w:rPr>
                <w:rFonts w:eastAsia="Yu Gothic" w:cs="Arial"/>
                <w:sz w:val="18"/>
                <w:szCs w:val="18"/>
                <w:highlight w:val="lightGray"/>
                <w:u w:val="single"/>
              </w:rPr>
              <w:t xml:space="preserve"> (Mill.) D. A. Webb</w:t>
            </w:r>
          </w:p>
        </w:tc>
        <w:tc>
          <w:tcPr>
            <w:tcW w:w="26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11257FF2" w14:textId="77777777" w:rsidR="00954ED3" w:rsidRPr="00F66E13" w:rsidRDefault="00954ED3" w:rsidP="004979C3">
            <w:pPr>
              <w:keepNext/>
              <w:spacing w:before="40" w:after="40"/>
              <w:jc w:val="left"/>
              <w:rPr>
                <w:rFonts w:cs="Arial"/>
                <w:sz w:val="18"/>
                <w:szCs w:val="18"/>
                <w:highlight w:val="lightGray"/>
                <w:u w:val="single"/>
              </w:rPr>
            </w:pPr>
            <w:r>
              <w:rPr>
                <w:rFonts w:cs="Arial"/>
                <w:sz w:val="18"/>
                <w:szCs w:val="18"/>
                <w:highlight w:val="lightGray"/>
                <w:u w:val="single"/>
              </w:rPr>
              <w:t>PRUNU_PER</w:t>
            </w:r>
          </w:p>
          <w:p w14:paraId="04D53800" w14:textId="77777777" w:rsidR="00954ED3" w:rsidRPr="00F66E13" w:rsidRDefault="00954ED3" w:rsidP="004979C3">
            <w:pPr>
              <w:keepNext/>
              <w:spacing w:before="40" w:after="40"/>
              <w:jc w:val="left"/>
              <w:rPr>
                <w:rFonts w:cs="Arial"/>
                <w:sz w:val="18"/>
                <w:szCs w:val="18"/>
                <w:highlight w:val="lightGray"/>
                <w:u w:val="single"/>
              </w:rPr>
            </w:pPr>
            <w:r>
              <w:rPr>
                <w:rFonts w:cs="Arial"/>
                <w:sz w:val="18"/>
                <w:szCs w:val="18"/>
                <w:highlight w:val="lightGray"/>
                <w:u w:val="single"/>
              </w:rPr>
              <w:t>PRUNU_DUL</w:t>
            </w:r>
          </w:p>
          <w:p w14:paraId="66AA2F11" w14:textId="13ABBFA3" w:rsidR="00F66E13" w:rsidRPr="00F66E13" w:rsidRDefault="00F66E13" w:rsidP="004979C3">
            <w:pPr>
              <w:keepNext/>
              <w:spacing w:before="40" w:after="40"/>
              <w:jc w:val="left"/>
              <w:rPr>
                <w:rFonts w:cs="Arial"/>
                <w:sz w:val="18"/>
                <w:szCs w:val="18"/>
                <w:highlight w:val="lightGray"/>
                <w:u w:val="single"/>
              </w:rPr>
            </w:pPr>
            <w:r>
              <w:rPr>
                <w:sz w:val="18"/>
                <w:szCs w:val="18"/>
                <w:highlight w:val="lightGray"/>
                <w:u w:val="single"/>
              </w:rPr>
              <w:t>Bei Kreuzungen verschiedener Arten werden die Klassen aller Elternarten angewandt.</w:t>
            </w:r>
          </w:p>
        </w:tc>
      </w:tr>
      <w:tr w:rsidR="00954ED3" w:rsidRPr="00F66E13" w14:paraId="291D191B" w14:textId="77777777" w:rsidTr="00954ED3">
        <w:trPr>
          <w:cantSplit/>
          <w:trHeight w:val="1056"/>
        </w:trPr>
        <w:tc>
          <w:tcPr>
            <w:tcW w:w="141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366FF5C3" w14:textId="77777777" w:rsidR="00954ED3" w:rsidRPr="00F66E13" w:rsidRDefault="00954ED3" w:rsidP="00954ED3">
            <w:pPr>
              <w:keepNext/>
              <w:spacing w:before="40" w:after="40"/>
              <w:ind w:left="-1529" w:firstLine="1529"/>
              <w:jc w:val="left"/>
              <w:rPr>
                <w:rFonts w:cs="Arial"/>
                <w:sz w:val="18"/>
                <w:szCs w:val="18"/>
                <w:highlight w:val="lightGray"/>
                <w:u w:val="single"/>
              </w:rPr>
            </w:pPr>
            <w:r>
              <w:rPr>
                <w:rFonts w:cs="Arial"/>
                <w:sz w:val="18"/>
                <w:szCs w:val="18"/>
                <w:highlight w:val="lightGray"/>
                <w:u w:val="single"/>
              </w:rPr>
              <w:t>Neu: Klasse 6.4</w:t>
            </w:r>
          </w:p>
        </w:tc>
        <w:tc>
          <w:tcPr>
            <w:tcW w:w="552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003406A5" w14:textId="546053FB" w:rsidR="00954ED3" w:rsidRPr="00F66E13" w:rsidRDefault="00954ED3" w:rsidP="00954ED3">
            <w:pPr>
              <w:keepNext/>
              <w:spacing w:before="40" w:after="40"/>
              <w:jc w:val="left"/>
              <w:rPr>
                <w:rFonts w:cs="Arial"/>
                <w:sz w:val="18"/>
                <w:szCs w:val="18"/>
                <w:highlight w:val="lightGray"/>
                <w:u w:val="single"/>
              </w:rPr>
            </w:pPr>
            <w:r>
              <w:rPr>
                <w:rFonts w:cs="Arial"/>
                <w:i/>
                <w:sz w:val="18"/>
                <w:szCs w:val="18"/>
                <w:highlight w:val="lightGray"/>
                <w:u w:val="single"/>
              </w:rPr>
              <w:t>Prunus</w:t>
            </w:r>
            <w:r>
              <w:rPr>
                <w:rFonts w:cs="Arial"/>
                <w:sz w:val="18"/>
                <w:szCs w:val="18"/>
                <w:highlight w:val="lightGray"/>
                <w:u w:val="single"/>
              </w:rPr>
              <w:t xml:space="preserve"> außer Klassen 6.1, 6.2 und 6.3, einschließlich PRUNU in mehr als einer Klasse.</w:t>
            </w:r>
          </w:p>
        </w:tc>
        <w:tc>
          <w:tcPr>
            <w:tcW w:w="26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66EFA262" w14:textId="0CD303FB" w:rsidR="00954ED3" w:rsidRPr="00F66E13" w:rsidRDefault="00954ED3" w:rsidP="00954ED3">
            <w:pPr>
              <w:jc w:val="left"/>
              <w:rPr>
                <w:rFonts w:cs="Arial"/>
                <w:sz w:val="18"/>
                <w:szCs w:val="18"/>
                <w:highlight w:val="lightGray"/>
                <w:u w:val="single"/>
              </w:rPr>
            </w:pPr>
            <w:r>
              <w:rPr>
                <w:rFonts w:cs="Arial"/>
                <w:sz w:val="18"/>
                <w:szCs w:val="18"/>
                <w:highlight w:val="lightGray"/>
                <w:u w:val="single"/>
              </w:rPr>
              <w:t>außer Klassen 6.1, 6.2 und 6.3, einschließlich PRUNU in mehr als einer Klasse.</w:t>
            </w:r>
            <w:r w:rsidR="0062652A">
              <w:rPr>
                <w:rFonts w:cs="Arial"/>
                <w:sz w:val="18"/>
                <w:szCs w:val="18"/>
                <w:highlight w:val="lightGray"/>
                <w:u w:val="single"/>
              </w:rPr>
              <w:t xml:space="preserve"> </w:t>
            </w:r>
          </w:p>
        </w:tc>
      </w:tr>
    </w:tbl>
    <w:p w14:paraId="5C58E6B7" w14:textId="77777777" w:rsidR="006232E9" w:rsidRPr="0088502A" w:rsidRDefault="006232E9" w:rsidP="00C93BCB">
      <w:pPr>
        <w:rPr>
          <w:i/>
        </w:rPr>
      </w:pPr>
    </w:p>
    <w:p w14:paraId="60B33B1D" w14:textId="0C9ECB28" w:rsidR="004C4A5A" w:rsidRPr="0088502A" w:rsidRDefault="003415AF" w:rsidP="00C93BCB">
      <w:r>
        <w:fldChar w:fldCharType="begin"/>
      </w:r>
      <w:r>
        <w:instrText xml:space="preserve"> LISTNUM  LegalDefault \l 1 </w:instrText>
      </w:r>
      <w:r>
        <w:fldChar w:fldCharType="end">
          <w:numberingChange w:id="70" w:author="SANCHEZ VIZCAINO GOMEZ Rosa Maria" w:date="2023-08-29T11:06:00Z" w:original="7."/>
        </w:fldChar>
      </w:r>
      <w:r>
        <w:tab/>
        <w:t>Es sollte angemerkt werden, dass dieser Ansatz eine Anforderung von Sortenbezeichnungen für Arthybride einführen würde, die sich von den Sortenbezeichnungen in den Klassen aller Elternarten unterscheiden.</w:t>
      </w:r>
      <w:r w:rsidR="0062652A">
        <w:t xml:space="preserve"> </w:t>
      </w:r>
      <w:r>
        <w:t>Eine ähnliche Anforderung besteht bereits für Sorten, die ausschließlich anhand ihrer Gattung identifiziert werden und bei denen die Sorte zu einer der Bezeichnungsklassen gehört, die in Dokument UPOV/EXN/DEN, Klassenliste, Teil I, „Klassen innerhalb einer Gattung“, aufgeführt sind.</w:t>
      </w:r>
    </w:p>
    <w:p w14:paraId="336DE04B" w14:textId="77777777" w:rsidR="00FD453B" w:rsidRPr="00C83CED" w:rsidRDefault="00FD453B" w:rsidP="00C93BCB">
      <w:pPr>
        <w:rPr>
          <w:sz w:val="18"/>
        </w:rPr>
      </w:pPr>
    </w:p>
    <w:p w14:paraId="19427AE9" w14:textId="77777777" w:rsidR="004979C3" w:rsidRPr="0088502A" w:rsidRDefault="004979C3" w:rsidP="00C93BCB">
      <w:pPr>
        <w:rPr>
          <w:i/>
          <w:sz w:val="18"/>
        </w:rPr>
      </w:pPr>
    </w:p>
    <w:p w14:paraId="3AD4604A" w14:textId="77777777" w:rsidR="00224706" w:rsidRDefault="00224706">
      <w:pPr>
        <w:jc w:val="left"/>
        <w:rPr>
          <w:u w:val="single"/>
          <w:lang w:eastAsia="nl-NL"/>
        </w:rPr>
      </w:pPr>
      <w:r>
        <w:rPr>
          <w:u w:val="single"/>
          <w:lang w:eastAsia="nl-NL"/>
        </w:rPr>
        <w:br w:type="page"/>
      </w:r>
    </w:p>
    <w:p w14:paraId="0F6846EA" w14:textId="69353F90" w:rsidR="00247062" w:rsidRPr="00247062" w:rsidRDefault="00247062" w:rsidP="00C93BCB">
      <w:pPr>
        <w:rPr>
          <w:u w:val="single"/>
          <w:lang w:eastAsia="nl-NL"/>
        </w:rPr>
      </w:pPr>
      <w:r>
        <w:rPr>
          <w:u w:val="single"/>
        </w:rPr>
        <w:lastRenderedPageBreak/>
        <w:t xml:space="preserve">Sortengruppen für </w:t>
      </w:r>
      <w:r>
        <w:rPr>
          <w:i/>
          <w:iCs/>
          <w:u w:val="single"/>
        </w:rPr>
        <w:t>Beta vulgaris</w:t>
      </w:r>
      <w:r>
        <w:rPr>
          <w:u w:val="single"/>
        </w:rPr>
        <w:t xml:space="preserve"> L. ssp.</w:t>
      </w:r>
      <w:r>
        <w:rPr>
          <w:i/>
          <w:iCs/>
          <w:u w:val="single"/>
        </w:rPr>
        <w:t xml:space="preserve"> vulgaris</w:t>
      </w:r>
    </w:p>
    <w:p w14:paraId="476D75A7" w14:textId="77777777" w:rsidR="00247062" w:rsidRPr="0088502A" w:rsidRDefault="00247062" w:rsidP="00C93BCB">
      <w:pPr>
        <w:rPr>
          <w:i/>
          <w:sz w:val="18"/>
        </w:rPr>
      </w:pPr>
    </w:p>
    <w:p w14:paraId="18D8B960" w14:textId="3F85236E" w:rsidR="004D2941" w:rsidRPr="0088502A" w:rsidRDefault="003415AF" w:rsidP="004D2941">
      <w:pPr>
        <w:rPr>
          <w:rFonts w:eastAsiaTheme="minorEastAsia"/>
          <w:lang w:eastAsia="ja-JP"/>
        </w:rPr>
      </w:pPr>
      <w:r>
        <w:fldChar w:fldCharType="begin"/>
      </w:r>
      <w:r>
        <w:instrText xml:space="preserve"> LISTNUM  LegalDefault \l 1 </w:instrText>
      </w:r>
      <w:r>
        <w:fldChar w:fldCharType="end">
          <w:numberingChange w:id="71" w:author="SANCHEZ VIZCAINO GOMEZ Rosa Maria" w:date="2023-08-29T11:06:00Z" w:original="8."/>
        </w:fldChar>
      </w:r>
      <w:r>
        <w:tab/>
      </w:r>
      <w:r>
        <w:rPr>
          <w:rFonts w:eastAsia="MS Mincho" w:cs="Arial"/>
          <w:snapToGrid w:val="0"/>
        </w:rPr>
        <w:t>Der TC vereinbarte auf seiner achtundfünfzigsten Tagung</w:t>
      </w:r>
      <w:r w:rsidR="001A4E8A" w:rsidRPr="008A4C0B">
        <w:rPr>
          <w:spacing w:val="-2"/>
          <w:vertAlign w:val="superscript"/>
        </w:rPr>
        <w:fldChar w:fldCharType="begin"/>
      </w:r>
      <w:r w:rsidR="001A4E8A" w:rsidRPr="008A4C0B">
        <w:rPr>
          <w:spacing w:val="-2"/>
          <w:vertAlign w:val="superscript"/>
        </w:rPr>
        <w:instrText xml:space="preserve"> NOTEREF _Ref145615980 \h </w:instrText>
      </w:r>
      <w:r w:rsidR="001A4E8A" w:rsidRPr="008A4C0B">
        <w:rPr>
          <w:spacing w:val="-2"/>
          <w:vertAlign w:val="superscript"/>
        </w:rPr>
      </w:r>
      <w:r w:rsidR="001A4E8A">
        <w:rPr>
          <w:spacing w:val="-2"/>
          <w:vertAlign w:val="superscript"/>
        </w:rPr>
        <w:instrText xml:space="preserve"> \* MERGEFORMAT </w:instrText>
      </w:r>
      <w:r w:rsidR="001A4E8A" w:rsidRPr="008A4C0B">
        <w:rPr>
          <w:spacing w:val="-2"/>
          <w:vertAlign w:val="superscript"/>
        </w:rPr>
        <w:fldChar w:fldCharType="separate"/>
      </w:r>
      <w:r w:rsidR="001A4E8A" w:rsidRPr="008A4C0B">
        <w:rPr>
          <w:spacing w:val="-2"/>
          <w:vertAlign w:val="superscript"/>
        </w:rPr>
        <w:t>6</w:t>
      </w:r>
      <w:r w:rsidR="001A4E8A" w:rsidRPr="008A4C0B">
        <w:rPr>
          <w:spacing w:val="-2"/>
          <w:vertAlign w:val="superscript"/>
        </w:rPr>
        <w:fldChar w:fldCharType="end"/>
      </w:r>
      <w:r>
        <w:rPr>
          <w:rFonts w:eastAsiaTheme="minorEastAsia"/>
        </w:rPr>
        <w:fldChar w:fldCharType="begin"/>
      </w:r>
      <w:r>
        <w:rPr>
          <w:rStyle w:val="FootnoteReference"/>
          <w:rFonts w:eastAsia="MS Mincho"/>
        </w:rPr>
        <w:instrText xml:space="preserve"> NOTEREF _Ref138847310 \f \h </w:instrText>
      </w:r>
      <w:r>
        <w:rPr>
          <w:rFonts w:eastAsiaTheme="minorEastAsia"/>
        </w:rPr>
      </w:r>
      <w:r w:rsidR="001A4E8A">
        <w:fldChar w:fldCharType="separate"/>
      </w:r>
      <w:r>
        <w:fldChar w:fldCharType="end"/>
      </w:r>
      <w:r>
        <w:rPr>
          <w:rFonts w:eastAsia="MS Mincho" w:cs="Arial"/>
          <w:snapToGrid w:val="0"/>
        </w:rPr>
        <w:t xml:space="preserve">, die TWA und die TWV zu ersuchen, auf ihren Tagungen 2023 zu prüfen, </w:t>
      </w:r>
      <w:r>
        <w:rPr>
          <w:rFonts w:eastAsia="MS Mincho"/>
          <w:snapToGrid w:val="0"/>
        </w:rPr>
        <w:t xml:space="preserve">ob neue Sortengruppen für </w:t>
      </w:r>
      <w:r>
        <w:rPr>
          <w:rFonts w:eastAsiaTheme="minorEastAsia"/>
        </w:rPr>
        <w:t>die UPOV-</w:t>
      </w:r>
      <w:r>
        <w:rPr>
          <w:rFonts w:eastAsia="MS Mincho"/>
        </w:rPr>
        <w:t xml:space="preserve">Codes </w:t>
      </w:r>
      <w:r>
        <w:rPr>
          <w:rFonts w:eastAsia="MS Mincho"/>
          <w:snapToGrid w:val="0"/>
        </w:rPr>
        <w:t xml:space="preserve">für </w:t>
      </w:r>
      <w:r>
        <w:rPr>
          <w:rFonts w:eastAsia="MS Mincho"/>
          <w:i/>
          <w:snapToGrid w:val="0"/>
        </w:rPr>
        <w:t>Beta</w:t>
      </w:r>
      <w:r>
        <w:rPr>
          <w:rFonts w:eastAsiaTheme="minorEastAsia"/>
          <w:i/>
        </w:rPr>
        <w:t xml:space="preserve"> vulgaris </w:t>
      </w:r>
      <w:r>
        <w:rPr>
          <w:rFonts w:eastAsia="MS Mincho"/>
        </w:rPr>
        <w:t>L. ssp</w:t>
      </w:r>
      <w:r>
        <w:rPr>
          <w:rFonts w:eastAsiaTheme="minorEastAsia"/>
          <w:i/>
        </w:rPr>
        <w:t>. vulgaris</w:t>
      </w:r>
      <w:r>
        <w:rPr>
          <w:rFonts w:eastAsia="MS Mincho" w:cs="Arial"/>
          <w:snapToGrid w:val="0"/>
        </w:rPr>
        <w:t xml:space="preserve"> gebildet werden </w:t>
      </w:r>
      <w:r w:rsidR="00D05EB9">
        <w:rPr>
          <w:rFonts w:eastAsia="MS Mincho" w:cs="Arial"/>
          <w:snapToGrid w:val="0"/>
        </w:rPr>
        <w:t xml:space="preserve">sollten, </w:t>
      </w:r>
      <w:r>
        <w:rPr>
          <w:rFonts w:eastAsia="MS Mincho" w:cs="Arial"/>
          <w:snapToGrid w:val="0"/>
        </w:rPr>
        <w:t xml:space="preserve">und der UPOV-Code BETAA_VUL_GV gestrichen werden sollte, um zu vermeiden, dass sich eine Sorte </w:t>
      </w:r>
      <w:r>
        <w:rPr>
          <w:rFonts w:eastAsia="MS Mincho"/>
        </w:rPr>
        <w:t>nicht mit Sicherheit einer der Sortengruppen zu</w:t>
      </w:r>
      <w:r w:rsidR="00D05EB9">
        <w:rPr>
          <w:rFonts w:eastAsia="MS Mincho"/>
        </w:rPr>
        <w:t xml:space="preserve">geordnet werden kann </w:t>
      </w:r>
      <w:r>
        <w:rPr>
          <w:rFonts w:eastAsia="MS Mincho"/>
        </w:rPr>
        <w:t>(vergleiche Dokumente TC/58/10</w:t>
      </w:r>
      <w:r w:rsidR="000B0E8D" w:rsidRPr="000B0E8D">
        <w:rPr>
          <w:rFonts w:eastAsia="MS Mincho"/>
        </w:rPr>
        <w:t xml:space="preserve"> </w:t>
      </w:r>
      <w:r w:rsidR="000B0E8D" w:rsidRPr="000B0E8D">
        <w:rPr>
          <w:rFonts w:eastAsia="MS Mincho"/>
          <w:i/>
          <w:iCs/>
        </w:rPr>
        <w:t>“UPOV information databases”</w:t>
      </w:r>
      <w:r w:rsidR="000B0E8D">
        <w:rPr>
          <w:rFonts w:eastAsia="MS Mincho"/>
        </w:rPr>
        <w:t>,</w:t>
      </w:r>
      <w:r>
        <w:rPr>
          <w:rFonts w:eastAsia="MS Mincho"/>
        </w:rPr>
        <w:t xml:space="preserve"> Absatz 10 und TC/58/31 „Bericht“, Absatz 72).</w:t>
      </w:r>
    </w:p>
    <w:p w14:paraId="4D4C498D" w14:textId="77777777" w:rsidR="004D2941" w:rsidRPr="0088502A" w:rsidRDefault="004D2941" w:rsidP="004D2941">
      <w:pPr>
        <w:rPr>
          <w:rFonts w:eastAsia="MS Mincho" w:cs="Arial"/>
          <w:snapToGrid w:val="0"/>
        </w:rPr>
      </w:pPr>
    </w:p>
    <w:p w14:paraId="02AE907A" w14:textId="75A47C70" w:rsidR="004D2941" w:rsidRPr="0088502A" w:rsidRDefault="003415AF" w:rsidP="00FD453B">
      <w:pPr>
        <w:keepNext/>
        <w:keepLines/>
        <w:rPr>
          <w:spacing w:val="-2"/>
        </w:rPr>
      </w:pPr>
      <w:r>
        <w:fldChar w:fldCharType="begin"/>
      </w:r>
      <w:r>
        <w:instrText xml:space="preserve"> LISTNUM  LegalDefault \l 1 </w:instrText>
      </w:r>
      <w:r>
        <w:fldChar w:fldCharType="end">
          <w:numberingChange w:id="72" w:author="SANCHEZ VIZCAINO GOMEZ Rosa Maria" w:date="2023-08-29T11:06:00Z" w:original="9."/>
        </w:fldChar>
      </w:r>
      <w:r>
        <w:tab/>
        <w:t xml:space="preserve">Die TWV und die TWA vereinbarten auf ihren Tagungen 2023, Sortengruppen für die UPOV-Codes für </w:t>
      </w:r>
      <w:r>
        <w:rPr>
          <w:i/>
          <w:spacing w:val="-2"/>
        </w:rPr>
        <w:t xml:space="preserve">Beta vulgaris </w:t>
      </w:r>
      <w:r>
        <w:t xml:space="preserve">L. ssp. </w:t>
      </w:r>
      <w:r>
        <w:rPr>
          <w:i/>
          <w:spacing w:val="-2"/>
        </w:rPr>
        <w:t>vulgaris</w:t>
      </w:r>
      <w:r>
        <w:t>, wie in Dokument TWP/7/7 „UPOV</w:t>
      </w:r>
      <w:r>
        <w:noBreakHyphen/>
        <w:t>Informationsdatenbanken“, Absatz 8 dargelegt, zu bilden (vergleiche Dokumente TWV/57/26 „</w:t>
      </w:r>
      <w:r>
        <w:rPr>
          <w:i/>
          <w:iCs/>
        </w:rPr>
        <w:t>Report</w:t>
      </w:r>
      <w:r>
        <w:t>“, Absätze 40 und 41, und TWA/52/11 „</w:t>
      </w:r>
      <w:r>
        <w:rPr>
          <w:i/>
          <w:iCs/>
        </w:rPr>
        <w:t>Report</w:t>
      </w:r>
      <w:r>
        <w:t>“, Absätze 31 und 32).</w:t>
      </w:r>
    </w:p>
    <w:p w14:paraId="7DE93B29" w14:textId="77777777" w:rsidR="004D2941" w:rsidRPr="0088502A" w:rsidRDefault="004D2941" w:rsidP="004D2941">
      <w:pPr>
        <w:spacing w:line="240" w:lineRule="atLeast"/>
        <w:rPr>
          <w:rFonts w:cs="Maiandra GD"/>
          <w:snapToGrid w:val="0"/>
          <w:color w:val="000000"/>
          <w:szCs w:val="18"/>
          <w:lang w:eastAsia="nl-NL"/>
        </w:rPr>
      </w:pPr>
    </w:p>
    <w:p w14:paraId="778F7F7E" w14:textId="7506E45E" w:rsidR="004D2941" w:rsidRPr="0088502A" w:rsidRDefault="003415AF" w:rsidP="004D2941">
      <w:r>
        <w:fldChar w:fldCharType="begin"/>
      </w:r>
      <w:r>
        <w:instrText xml:space="preserve"> LISTNUM  LegalDefault \l 1 </w:instrText>
      </w:r>
      <w:r>
        <w:fldChar w:fldCharType="end">
          <w:numberingChange w:id="73" w:author="SANCHEZ VIZCAINO GOMEZ Rosa Maria" w:date="2023-08-29T11:06:00Z" w:original="10."/>
        </w:fldChar>
      </w:r>
      <w:r>
        <w:tab/>
      </w:r>
      <w:r>
        <w:rPr>
          <w:rFonts w:cs="Maiandra GD"/>
          <w:snapToGrid w:val="0"/>
          <w:color w:val="000000"/>
          <w:szCs w:val="18"/>
        </w:rPr>
        <w:t xml:space="preserve">Gemeinsam mit der TWV vereinbarte die TWA </w:t>
      </w:r>
      <w:r w:rsidR="00F8248E">
        <w:rPr>
          <w:rFonts w:cs="Maiandra GD"/>
          <w:snapToGrid w:val="0"/>
          <w:color w:val="000000"/>
          <w:szCs w:val="18"/>
        </w:rPr>
        <w:t>folgende</w:t>
      </w:r>
      <w:r>
        <w:rPr>
          <w:rFonts w:cs="Maiandra GD"/>
          <w:snapToGrid w:val="0"/>
          <w:color w:val="000000"/>
          <w:szCs w:val="18"/>
        </w:rPr>
        <w:t xml:space="preserve"> Benennung der Sortengruppen Futterrübe, Rote Rübe, Mangold und Zuckerrohr für </w:t>
      </w:r>
      <w:r>
        <w:rPr>
          <w:rFonts w:cs="Maiandra GD"/>
          <w:i/>
          <w:snapToGrid w:val="0"/>
          <w:color w:val="000000"/>
          <w:szCs w:val="18"/>
        </w:rPr>
        <w:t>Beta vulgaris</w:t>
      </w:r>
      <w:r>
        <w:rPr>
          <w:rFonts w:cs="Maiandra GD"/>
          <w:snapToGrid w:val="0"/>
          <w:color w:val="000000"/>
          <w:szCs w:val="18"/>
        </w:rPr>
        <w:t xml:space="preserve"> ssp. </w:t>
      </w:r>
      <w:r>
        <w:rPr>
          <w:rFonts w:cs="Maiandra GD"/>
          <w:i/>
          <w:snapToGrid w:val="0"/>
          <w:color w:val="000000"/>
          <w:szCs w:val="18"/>
        </w:rPr>
        <w:t>vulgaris</w:t>
      </w:r>
      <w:r>
        <w:rPr>
          <w:rFonts w:cs="Maiandra GD"/>
          <w:snapToGrid w:val="0"/>
          <w:color w:val="000000"/>
          <w:szCs w:val="18"/>
        </w:rPr>
        <w:t>:</w:t>
      </w:r>
    </w:p>
    <w:p w14:paraId="571AEF65" w14:textId="77777777" w:rsidR="001F666F" w:rsidRPr="0088502A" w:rsidRDefault="001F666F" w:rsidP="009236D6">
      <w:pPr>
        <w:rPr>
          <w:rFonts w:cs="Maiandra GD"/>
          <w:color w:val="000000"/>
          <w:sz w:val="16"/>
          <w:szCs w:val="18"/>
          <w:lang w:eastAsia="nl-NL"/>
        </w:rPr>
      </w:pPr>
    </w:p>
    <w:p w14:paraId="3F5EE1D0" w14:textId="77777777" w:rsidR="006232E9" w:rsidRPr="0088502A" w:rsidRDefault="006232E9" w:rsidP="00ED0359">
      <w:pPr>
        <w:spacing w:line="240" w:lineRule="atLeast"/>
        <w:ind w:left="567"/>
        <w:jc w:val="left"/>
        <w:rPr>
          <w:rFonts w:cs="Maiandra GD"/>
          <w:color w:val="000000"/>
          <w:sz w:val="18"/>
          <w:szCs w:val="18"/>
          <w:lang w:eastAsia="nl-NL"/>
        </w:rPr>
      </w:pPr>
      <w:r>
        <w:rPr>
          <w:rFonts w:cs="Maiandra GD"/>
          <w:color w:val="000000"/>
          <w:sz w:val="18"/>
          <w:szCs w:val="18"/>
          <w:u w:val="single"/>
        </w:rPr>
        <w:t xml:space="preserve">Vorschlag für Sortengruppen für </w:t>
      </w:r>
      <w:r>
        <w:rPr>
          <w:rFonts w:cs="Maiandra GD"/>
          <w:i/>
          <w:iCs/>
          <w:color w:val="000000"/>
          <w:sz w:val="18"/>
          <w:szCs w:val="18"/>
          <w:u w:val="single"/>
        </w:rPr>
        <w:t xml:space="preserve">Beta vulgaris L. </w:t>
      </w:r>
      <w:r>
        <w:rPr>
          <w:rFonts w:cs="Maiandra GD"/>
          <w:iCs/>
          <w:color w:val="000000"/>
          <w:sz w:val="18"/>
          <w:szCs w:val="18"/>
          <w:u w:val="single"/>
        </w:rPr>
        <w:t>ssp</w:t>
      </w:r>
      <w:r>
        <w:rPr>
          <w:rFonts w:cs="Maiandra GD"/>
          <w:i/>
          <w:iCs/>
          <w:color w:val="000000"/>
          <w:sz w:val="18"/>
          <w:szCs w:val="18"/>
          <w:u w:val="single"/>
        </w:rPr>
        <w:t>. vulgaris</w:t>
      </w:r>
    </w:p>
    <w:p w14:paraId="3609C686" w14:textId="77777777" w:rsidR="006232E9" w:rsidRPr="0088502A" w:rsidRDefault="006232E9" w:rsidP="00ED0359">
      <w:pPr>
        <w:ind w:left="567"/>
        <w:rPr>
          <w:sz w:val="18"/>
        </w:rPr>
      </w:pPr>
    </w:p>
    <w:tbl>
      <w:tblPr>
        <w:tblStyle w:val="TableGrid"/>
        <w:tblW w:w="8642" w:type="dxa"/>
        <w:tblInd w:w="567" w:type="dxa"/>
        <w:tblLook w:val="04A0" w:firstRow="1" w:lastRow="0" w:firstColumn="1" w:lastColumn="0" w:noHBand="0" w:noVBand="1"/>
      </w:tblPr>
      <w:tblGrid>
        <w:gridCol w:w="1615"/>
        <w:gridCol w:w="7027"/>
      </w:tblGrid>
      <w:tr w:rsidR="00291CFD" w:rsidRPr="0088502A" w14:paraId="4888BAC4" w14:textId="77777777" w:rsidTr="009236D6">
        <w:trPr>
          <w:tblHeader/>
        </w:trPr>
        <w:tc>
          <w:tcPr>
            <w:tcW w:w="1615" w:type="dxa"/>
          </w:tcPr>
          <w:p w14:paraId="3011D3FA" w14:textId="77777777" w:rsidR="00291CFD" w:rsidRPr="0088502A" w:rsidRDefault="00291CFD" w:rsidP="004D2941">
            <w:pPr>
              <w:jc w:val="left"/>
              <w:rPr>
                <w:rFonts w:cs="Maiandra GD"/>
                <w:snapToGrid w:val="0"/>
                <w:color w:val="000000"/>
                <w:sz w:val="16"/>
                <w:szCs w:val="18"/>
                <w:lang w:val="en-US"/>
              </w:rPr>
            </w:pPr>
            <w:r>
              <w:rPr>
                <w:rFonts w:cs="Maiandra GD"/>
                <w:snapToGrid w:val="0"/>
                <w:color w:val="000000"/>
                <w:sz w:val="16"/>
                <w:szCs w:val="18"/>
              </w:rPr>
              <w:t xml:space="preserve">UPOV-Code </w:t>
            </w:r>
          </w:p>
        </w:tc>
        <w:tc>
          <w:tcPr>
            <w:tcW w:w="7027" w:type="dxa"/>
          </w:tcPr>
          <w:p w14:paraId="36FDFABB" w14:textId="77777777" w:rsidR="00291CFD" w:rsidRPr="00467BF9" w:rsidRDefault="001E648C" w:rsidP="004D2941">
            <w:pPr>
              <w:jc w:val="left"/>
              <w:rPr>
                <w:rFonts w:cs="Maiandra GD"/>
                <w:snapToGrid w:val="0"/>
                <w:color w:val="000000"/>
                <w:sz w:val="16"/>
                <w:szCs w:val="18"/>
              </w:rPr>
            </w:pPr>
            <w:r>
              <w:rPr>
                <w:rFonts w:cs="Maiandra GD"/>
                <w:snapToGrid w:val="0"/>
                <w:color w:val="000000"/>
                <w:sz w:val="16"/>
                <w:szCs w:val="18"/>
              </w:rPr>
              <w:t>BOTANISCHER NAME MIT SORTENGRUPPE UND ANDEREN BOTANISCHEN NAMEN</w:t>
            </w:r>
          </w:p>
        </w:tc>
      </w:tr>
      <w:tr w:rsidR="00291CFD" w:rsidRPr="00171B2C" w14:paraId="58612FFC" w14:textId="77777777" w:rsidTr="00291CFD">
        <w:tc>
          <w:tcPr>
            <w:tcW w:w="1615" w:type="dxa"/>
          </w:tcPr>
          <w:p w14:paraId="4071BB15" w14:textId="77777777" w:rsidR="00291CFD" w:rsidRPr="0088502A" w:rsidRDefault="00291CFD" w:rsidP="004979C3">
            <w:pPr>
              <w:jc w:val="left"/>
              <w:rPr>
                <w:rFonts w:cs="Maiandra GD"/>
                <w:iCs/>
                <w:color w:val="000000"/>
                <w:sz w:val="16"/>
                <w:szCs w:val="16"/>
                <w:lang w:val="en-US"/>
              </w:rPr>
            </w:pPr>
            <w:r>
              <w:rPr>
                <w:rFonts w:cs="Maiandra GD"/>
                <w:iCs/>
                <w:color w:val="000000"/>
                <w:sz w:val="16"/>
                <w:szCs w:val="16"/>
              </w:rPr>
              <w:t>BETAA_VUL_GVA</w:t>
            </w:r>
          </w:p>
        </w:tc>
        <w:tc>
          <w:tcPr>
            <w:tcW w:w="7027" w:type="dxa"/>
          </w:tcPr>
          <w:p w14:paraId="6622F236" w14:textId="77777777" w:rsidR="00291CFD" w:rsidRPr="00467BF9" w:rsidRDefault="00291CFD" w:rsidP="004979C3">
            <w:pPr>
              <w:jc w:val="left"/>
              <w:rPr>
                <w:rFonts w:cs="Maiandra GD"/>
                <w:b/>
                <w:iCs/>
                <w:color w:val="000000"/>
                <w:sz w:val="16"/>
                <w:szCs w:val="16"/>
              </w:rPr>
            </w:pPr>
            <w:r>
              <w:rPr>
                <w:rFonts w:cs="Maiandra GD"/>
                <w:b/>
                <w:i/>
                <w:iCs/>
                <w:color w:val="000000"/>
                <w:sz w:val="16"/>
                <w:szCs w:val="16"/>
              </w:rPr>
              <w:t>Beta vulgaris</w:t>
            </w:r>
            <w:r>
              <w:rPr>
                <w:rFonts w:cs="Maiandra GD"/>
                <w:b/>
                <w:iCs/>
                <w:color w:val="000000"/>
                <w:sz w:val="16"/>
                <w:szCs w:val="16"/>
              </w:rPr>
              <w:t xml:space="preserve"> L. (Futterrübengruppe)</w:t>
            </w:r>
          </w:p>
          <w:p w14:paraId="65B2FCCC" w14:textId="77777777" w:rsidR="00291CFD" w:rsidRPr="00467BF9" w:rsidRDefault="00291CFD" w:rsidP="004979C3">
            <w:pPr>
              <w:jc w:val="left"/>
              <w:rPr>
                <w:rFonts w:cs="Maiandra GD"/>
                <w:iCs/>
                <w:color w:val="000000"/>
                <w:sz w:val="16"/>
                <w:szCs w:val="16"/>
              </w:rPr>
            </w:pPr>
          </w:p>
          <w:p w14:paraId="1E990FA1" w14:textId="77777777" w:rsidR="00FE666F" w:rsidRPr="00D94A07" w:rsidRDefault="00FE666F" w:rsidP="004979C3">
            <w:pPr>
              <w:jc w:val="left"/>
              <w:rPr>
                <w:rFonts w:cs="Maiandra GD"/>
                <w:iCs/>
                <w:color w:val="000000"/>
                <w:sz w:val="16"/>
                <w:szCs w:val="16"/>
                <w:lang w:val="pt-BR"/>
              </w:rPr>
            </w:pPr>
            <w:r>
              <w:rPr>
                <w:rFonts w:cs="Maiandra GD"/>
                <w:iCs/>
                <w:color w:val="000000"/>
                <w:sz w:val="16"/>
                <w:szCs w:val="16"/>
              </w:rPr>
              <w:t>Andere botanische Namen:</w:t>
            </w:r>
          </w:p>
          <w:p w14:paraId="70F94E14" w14:textId="77777777" w:rsidR="00291CFD" w:rsidRPr="00D94A07" w:rsidRDefault="00291CFD" w:rsidP="004979C3">
            <w:pPr>
              <w:jc w:val="left"/>
              <w:rPr>
                <w:rFonts w:cs="Maiandra GD"/>
                <w:iCs/>
                <w:color w:val="000000"/>
                <w:sz w:val="16"/>
                <w:szCs w:val="16"/>
                <w:lang w:val="pt-BR"/>
              </w:rPr>
            </w:pPr>
            <w:r w:rsidRPr="00171B2C">
              <w:rPr>
                <w:rFonts w:cs="Maiandra GD"/>
                <w:i/>
                <w:iCs/>
                <w:color w:val="000000"/>
                <w:sz w:val="16"/>
                <w:szCs w:val="16"/>
                <w:lang w:val="es-ES"/>
              </w:rPr>
              <w:t xml:space="preserve">Beta </w:t>
            </w:r>
            <w:proofErr w:type="spellStart"/>
            <w:r w:rsidRPr="00171B2C">
              <w:rPr>
                <w:rFonts w:cs="Maiandra GD"/>
                <w:i/>
                <w:iCs/>
                <w:color w:val="000000"/>
                <w:sz w:val="16"/>
                <w:szCs w:val="16"/>
                <w:lang w:val="es-ES"/>
              </w:rPr>
              <w:t>vulgaris</w:t>
            </w:r>
            <w:proofErr w:type="spellEnd"/>
            <w:r w:rsidRPr="00171B2C">
              <w:rPr>
                <w:rFonts w:cs="Maiandra GD"/>
                <w:iCs/>
                <w:color w:val="000000"/>
                <w:sz w:val="16"/>
                <w:szCs w:val="16"/>
                <w:lang w:val="es-ES"/>
              </w:rPr>
              <w:t xml:space="preserve"> L. </w:t>
            </w:r>
            <w:proofErr w:type="spellStart"/>
            <w:r w:rsidRPr="00171B2C">
              <w:rPr>
                <w:rFonts w:cs="Maiandra GD"/>
                <w:iCs/>
                <w:color w:val="000000"/>
                <w:sz w:val="16"/>
                <w:szCs w:val="16"/>
                <w:lang w:val="es-ES"/>
              </w:rPr>
              <w:t>ssp</w:t>
            </w:r>
            <w:proofErr w:type="spellEnd"/>
            <w:r w:rsidRPr="00171B2C">
              <w:rPr>
                <w:rFonts w:cs="Maiandra GD"/>
                <w:iCs/>
                <w:color w:val="000000"/>
                <w:sz w:val="16"/>
                <w:szCs w:val="16"/>
                <w:lang w:val="es-ES"/>
              </w:rPr>
              <w:t xml:space="preserve">. </w:t>
            </w:r>
            <w:proofErr w:type="spellStart"/>
            <w:r w:rsidRPr="00171B2C">
              <w:rPr>
                <w:rFonts w:cs="Maiandra GD"/>
                <w:i/>
                <w:iCs/>
                <w:color w:val="000000"/>
                <w:sz w:val="16"/>
                <w:szCs w:val="16"/>
                <w:lang w:val="es-ES"/>
              </w:rPr>
              <w:t>vulgaris</w:t>
            </w:r>
            <w:proofErr w:type="spellEnd"/>
            <w:r w:rsidRPr="00171B2C">
              <w:rPr>
                <w:rFonts w:cs="Maiandra GD"/>
                <w:iCs/>
                <w:color w:val="000000"/>
                <w:sz w:val="16"/>
                <w:szCs w:val="16"/>
                <w:lang w:val="es-ES"/>
              </w:rPr>
              <w:t xml:space="preserve"> </w:t>
            </w:r>
            <w:proofErr w:type="spellStart"/>
            <w:r w:rsidRPr="00171B2C">
              <w:rPr>
                <w:rFonts w:cs="Maiandra GD"/>
                <w:iCs/>
                <w:color w:val="000000"/>
                <w:sz w:val="16"/>
                <w:szCs w:val="16"/>
                <w:lang w:val="es-ES"/>
              </w:rPr>
              <w:t>var</w:t>
            </w:r>
            <w:proofErr w:type="spellEnd"/>
            <w:r w:rsidRPr="00171B2C">
              <w:rPr>
                <w:rFonts w:cs="Maiandra GD"/>
                <w:iCs/>
                <w:color w:val="000000"/>
                <w:sz w:val="16"/>
                <w:szCs w:val="16"/>
                <w:lang w:val="es-ES"/>
              </w:rPr>
              <w:t xml:space="preserve">. </w:t>
            </w:r>
            <w:r w:rsidRPr="00171B2C">
              <w:rPr>
                <w:rFonts w:cs="Maiandra GD"/>
                <w:i/>
                <w:iCs/>
                <w:color w:val="000000"/>
                <w:sz w:val="16"/>
                <w:szCs w:val="16"/>
                <w:lang w:val="es-ES"/>
              </w:rPr>
              <w:t>alba</w:t>
            </w:r>
            <w:r w:rsidRPr="00171B2C">
              <w:rPr>
                <w:rFonts w:cs="Maiandra GD"/>
                <w:iCs/>
                <w:color w:val="000000"/>
                <w:sz w:val="16"/>
                <w:szCs w:val="16"/>
                <w:lang w:val="es-ES"/>
              </w:rPr>
              <w:t xml:space="preserve"> DC.</w:t>
            </w:r>
          </w:p>
          <w:p w14:paraId="2735571E" w14:textId="0780AF70" w:rsidR="00291CFD" w:rsidRPr="00D94A07" w:rsidRDefault="00291CFD" w:rsidP="004979C3">
            <w:pPr>
              <w:jc w:val="left"/>
              <w:rPr>
                <w:rFonts w:cs="Maiandra GD"/>
                <w:iCs/>
                <w:color w:val="000000"/>
                <w:sz w:val="16"/>
                <w:szCs w:val="16"/>
                <w:lang w:val="pt-BR"/>
              </w:rPr>
            </w:pPr>
            <w:r w:rsidRPr="00467BF9">
              <w:rPr>
                <w:rFonts w:cs="Maiandra GD"/>
                <w:i/>
                <w:iCs/>
                <w:color w:val="000000"/>
                <w:sz w:val="16"/>
                <w:szCs w:val="16"/>
                <w:lang w:val="fr-FR"/>
              </w:rPr>
              <w:t>Beta vulgaris</w:t>
            </w:r>
            <w:r w:rsidRPr="00467BF9">
              <w:rPr>
                <w:rFonts w:cs="Maiandra GD"/>
                <w:iCs/>
                <w:color w:val="000000"/>
                <w:sz w:val="16"/>
                <w:szCs w:val="16"/>
                <w:lang w:val="fr-FR"/>
              </w:rPr>
              <w:t xml:space="preserve"> L. </w:t>
            </w:r>
            <w:proofErr w:type="spellStart"/>
            <w:r w:rsidRPr="00467BF9">
              <w:rPr>
                <w:rFonts w:cs="Maiandra GD"/>
                <w:iCs/>
                <w:color w:val="000000"/>
                <w:sz w:val="16"/>
                <w:szCs w:val="16"/>
                <w:lang w:val="fr-FR"/>
              </w:rPr>
              <w:t>ssp</w:t>
            </w:r>
            <w:proofErr w:type="spellEnd"/>
            <w:r w:rsidRPr="00467BF9">
              <w:rPr>
                <w:rFonts w:cs="Maiandra GD"/>
                <w:iCs/>
                <w:color w:val="000000"/>
                <w:sz w:val="16"/>
                <w:szCs w:val="16"/>
                <w:lang w:val="fr-FR"/>
              </w:rPr>
              <w:t xml:space="preserve">. </w:t>
            </w:r>
            <w:proofErr w:type="gramStart"/>
            <w:r w:rsidRPr="00467BF9">
              <w:rPr>
                <w:rFonts w:cs="Maiandra GD"/>
                <w:i/>
                <w:iCs/>
                <w:color w:val="000000"/>
                <w:sz w:val="16"/>
                <w:szCs w:val="16"/>
                <w:lang w:val="fr-FR"/>
              </w:rPr>
              <w:t>vulgaris</w:t>
            </w:r>
            <w:proofErr w:type="gramEnd"/>
            <w:r w:rsidRPr="00467BF9">
              <w:rPr>
                <w:rFonts w:cs="Maiandra GD"/>
                <w:iCs/>
                <w:color w:val="000000"/>
                <w:sz w:val="16"/>
                <w:szCs w:val="16"/>
                <w:lang w:val="fr-FR"/>
              </w:rPr>
              <w:t xml:space="preserve"> var. </w:t>
            </w:r>
            <w:r w:rsidRPr="00467BF9">
              <w:rPr>
                <w:rFonts w:cs="Maiandra GD"/>
                <w:i/>
                <w:iCs/>
                <w:color w:val="000000"/>
                <w:sz w:val="16"/>
                <w:szCs w:val="16"/>
                <w:lang w:val="fr-FR"/>
              </w:rPr>
              <w:t>crassa</w:t>
            </w:r>
            <w:r w:rsidRPr="00467BF9">
              <w:rPr>
                <w:rFonts w:cs="Maiandra GD"/>
                <w:iCs/>
                <w:color w:val="000000"/>
                <w:sz w:val="16"/>
                <w:szCs w:val="16"/>
                <w:lang w:val="fr-FR"/>
              </w:rPr>
              <w:t xml:space="preserve"> Alef.</w:t>
            </w:r>
            <w:r w:rsidR="00542140">
              <w:rPr>
                <w:rFonts w:cs="Maiandra GD"/>
                <w:iCs/>
                <w:color w:val="000000"/>
                <w:sz w:val="16"/>
                <w:szCs w:val="16"/>
                <w:lang w:val="fr-FR"/>
              </w:rPr>
              <w:t>,</w:t>
            </w:r>
            <w:r w:rsidRPr="00467BF9">
              <w:rPr>
                <w:rFonts w:cs="Maiandra GD"/>
                <w:iCs/>
                <w:color w:val="000000"/>
                <w:sz w:val="16"/>
                <w:szCs w:val="16"/>
                <w:lang w:val="fr-FR"/>
              </w:rPr>
              <w:t xml:space="preserve"> </w:t>
            </w:r>
          </w:p>
          <w:p w14:paraId="445BEB7F" w14:textId="496DE6F3" w:rsidR="00291CFD" w:rsidRPr="00D94A07" w:rsidRDefault="00291CFD" w:rsidP="004979C3">
            <w:pPr>
              <w:jc w:val="left"/>
              <w:rPr>
                <w:rFonts w:cs="Maiandra GD"/>
                <w:iCs/>
                <w:color w:val="000000"/>
                <w:sz w:val="16"/>
                <w:szCs w:val="16"/>
                <w:lang w:val="pt-BR"/>
              </w:rPr>
            </w:pPr>
            <w:r w:rsidRPr="00467BF9">
              <w:rPr>
                <w:rFonts w:cs="Maiandra GD"/>
                <w:i/>
                <w:iCs/>
                <w:color w:val="000000"/>
                <w:sz w:val="16"/>
                <w:szCs w:val="16"/>
                <w:lang w:val="fr-FR"/>
              </w:rPr>
              <w:t>Beta vulgaris</w:t>
            </w:r>
            <w:r w:rsidRPr="00467BF9">
              <w:rPr>
                <w:rFonts w:cs="Maiandra GD"/>
                <w:iCs/>
                <w:color w:val="000000"/>
                <w:sz w:val="16"/>
                <w:szCs w:val="16"/>
                <w:lang w:val="fr-FR"/>
              </w:rPr>
              <w:t xml:space="preserve"> L. </w:t>
            </w:r>
            <w:proofErr w:type="spellStart"/>
            <w:r w:rsidRPr="00467BF9">
              <w:rPr>
                <w:rFonts w:cs="Maiandra GD"/>
                <w:iCs/>
                <w:color w:val="000000"/>
                <w:sz w:val="16"/>
                <w:szCs w:val="16"/>
                <w:lang w:val="fr-FR"/>
              </w:rPr>
              <w:t>ssp</w:t>
            </w:r>
            <w:proofErr w:type="spellEnd"/>
            <w:r w:rsidRPr="00467BF9">
              <w:rPr>
                <w:rFonts w:cs="Maiandra GD"/>
                <w:iCs/>
                <w:color w:val="000000"/>
                <w:sz w:val="16"/>
                <w:szCs w:val="16"/>
                <w:lang w:val="fr-FR"/>
              </w:rPr>
              <w:t xml:space="preserve">. </w:t>
            </w:r>
            <w:proofErr w:type="gramStart"/>
            <w:r w:rsidRPr="00467BF9">
              <w:rPr>
                <w:rFonts w:cs="Maiandra GD"/>
                <w:i/>
                <w:iCs/>
                <w:color w:val="000000"/>
                <w:sz w:val="16"/>
                <w:szCs w:val="16"/>
                <w:lang w:val="fr-FR"/>
              </w:rPr>
              <w:t>vulgaris</w:t>
            </w:r>
            <w:proofErr w:type="gramEnd"/>
            <w:r w:rsidRPr="00467BF9">
              <w:rPr>
                <w:rFonts w:cs="Maiandra GD"/>
                <w:iCs/>
                <w:color w:val="000000"/>
                <w:sz w:val="16"/>
                <w:szCs w:val="16"/>
                <w:lang w:val="fr-FR"/>
              </w:rPr>
              <w:t xml:space="preserve"> var. </w:t>
            </w:r>
            <w:r w:rsidRPr="00467BF9">
              <w:rPr>
                <w:rFonts w:cs="Maiandra GD"/>
                <w:i/>
                <w:iCs/>
                <w:color w:val="000000"/>
                <w:sz w:val="16"/>
                <w:szCs w:val="16"/>
                <w:lang w:val="fr-FR"/>
              </w:rPr>
              <w:t>crassa</w:t>
            </w:r>
            <w:r w:rsidRPr="00467BF9">
              <w:rPr>
                <w:rFonts w:cs="Maiandra GD"/>
                <w:iCs/>
                <w:color w:val="000000"/>
                <w:sz w:val="16"/>
                <w:szCs w:val="16"/>
                <w:lang w:val="fr-FR"/>
              </w:rPr>
              <w:t xml:space="preserve"> </w:t>
            </w:r>
            <w:proofErr w:type="spellStart"/>
            <w:r w:rsidRPr="00467BF9">
              <w:rPr>
                <w:rFonts w:cs="Maiandra GD"/>
                <w:iCs/>
                <w:color w:val="000000"/>
                <w:sz w:val="16"/>
                <w:szCs w:val="16"/>
                <w:lang w:val="fr-FR"/>
              </w:rPr>
              <w:t>Mansf</w:t>
            </w:r>
            <w:proofErr w:type="spellEnd"/>
            <w:r w:rsidRPr="00467BF9">
              <w:rPr>
                <w:rFonts w:cs="Maiandra GD"/>
                <w:iCs/>
                <w:color w:val="000000"/>
                <w:sz w:val="16"/>
                <w:szCs w:val="16"/>
                <w:lang w:val="fr-FR"/>
              </w:rPr>
              <w:t>.</w:t>
            </w:r>
            <w:r w:rsidR="00542140">
              <w:rPr>
                <w:rFonts w:cs="Maiandra GD"/>
                <w:iCs/>
                <w:color w:val="000000"/>
                <w:sz w:val="16"/>
                <w:szCs w:val="16"/>
                <w:lang w:val="fr-FR"/>
              </w:rPr>
              <w:t>,</w:t>
            </w:r>
            <w:r w:rsidRPr="00467BF9">
              <w:rPr>
                <w:rFonts w:cs="Maiandra GD"/>
                <w:iCs/>
                <w:color w:val="000000"/>
                <w:sz w:val="16"/>
                <w:szCs w:val="16"/>
                <w:lang w:val="fr-FR"/>
              </w:rPr>
              <w:t xml:space="preserve"> </w:t>
            </w:r>
          </w:p>
          <w:p w14:paraId="15663990" w14:textId="77777777" w:rsidR="00291CFD" w:rsidRPr="00D94A07" w:rsidRDefault="00291CFD" w:rsidP="004979C3">
            <w:pPr>
              <w:jc w:val="left"/>
              <w:rPr>
                <w:rFonts w:cs="Maiandra GD"/>
                <w:iCs/>
                <w:color w:val="000000"/>
                <w:sz w:val="16"/>
                <w:szCs w:val="16"/>
                <w:lang w:val="pt-BR"/>
              </w:rPr>
            </w:pPr>
            <w:r w:rsidRPr="00171B2C">
              <w:rPr>
                <w:rFonts w:cs="Maiandra GD"/>
                <w:i/>
                <w:iCs/>
                <w:color w:val="000000"/>
                <w:sz w:val="16"/>
                <w:szCs w:val="16"/>
                <w:lang w:val="es-ES"/>
              </w:rPr>
              <w:t xml:space="preserve">Beta </w:t>
            </w:r>
            <w:proofErr w:type="spellStart"/>
            <w:r w:rsidRPr="00171B2C">
              <w:rPr>
                <w:rFonts w:cs="Maiandra GD"/>
                <w:i/>
                <w:iCs/>
                <w:color w:val="000000"/>
                <w:sz w:val="16"/>
                <w:szCs w:val="16"/>
                <w:lang w:val="es-ES"/>
              </w:rPr>
              <w:t>vulgaris</w:t>
            </w:r>
            <w:proofErr w:type="spellEnd"/>
            <w:r w:rsidRPr="00171B2C">
              <w:rPr>
                <w:rFonts w:cs="Maiandra GD"/>
                <w:iCs/>
                <w:color w:val="000000"/>
                <w:sz w:val="16"/>
                <w:szCs w:val="16"/>
                <w:lang w:val="es-ES"/>
              </w:rPr>
              <w:t xml:space="preserve"> L. </w:t>
            </w:r>
            <w:proofErr w:type="spellStart"/>
            <w:r w:rsidRPr="00171B2C">
              <w:rPr>
                <w:rFonts w:cs="Maiandra GD"/>
                <w:iCs/>
                <w:color w:val="000000"/>
                <w:sz w:val="16"/>
                <w:szCs w:val="16"/>
                <w:lang w:val="es-ES"/>
              </w:rPr>
              <w:t>ssp</w:t>
            </w:r>
            <w:proofErr w:type="spellEnd"/>
            <w:r w:rsidRPr="00171B2C">
              <w:rPr>
                <w:rFonts w:cs="Maiandra GD"/>
                <w:iCs/>
                <w:color w:val="000000"/>
                <w:sz w:val="16"/>
                <w:szCs w:val="16"/>
                <w:lang w:val="es-ES"/>
              </w:rPr>
              <w:t xml:space="preserve">. </w:t>
            </w:r>
            <w:proofErr w:type="spellStart"/>
            <w:r w:rsidRPr="00171B2C">
              <w:rPr>
                <w:rFonts w:cs="Maiandra GD"/>
                <w:i/>
                <w:iCs/>
                <w:color w:val="000000"/>
                <w:sz w:val="16"/>
                <w:szCs w:val="16"/>
                <w:lang w:val="es-ES"/>
              </w:rPr>
              <w:t>vulgaris</w:t>
            </w:r>
            <w:proofErr w:type="spellEnd"/>
            <w:r w:rsidRPr="00171B2C">
              <w:rPr>
                <w:rFonts w:cs="Maiandra GD"/>
                <w:iCs/>
                <w:color w:val="000000"/>
                <w:sz w:val="16"/>
                <w:szCs w:val="16"/>
                <w:lang w:val="es-ES"/>
              </w:rPr>
              <w:t xml:space="preserve"> </w:t>
            </w:r>
            <w:proofErr w:type="spellStart"/>
            <w:r w:rsidRPr="00171B2C">
              <w:rPr>
                <w:rFonts w:cs="Maiandra GD"/>
                <w:iCs/>
                <w:color w:val="000000"/>
                <w:sz w:val="16"/>
                <w:szCs w:val="16"/>
                <w:lang w:val="es-ES"/>
              </w:rPr>
              <w:t>var</w:t>
            </w:r>
            <w:proofErr w:type="spellEnd"/>
            <w:r w:rsidRPr="00171B2C">
              <w:rPr>
                <w:rFonts w:cs="Maiandra GD"/>
                <w:iCs/>
                <w:color w:val="000000"/>
                <w:sz w:val="16"/>
                <w:szCs w:val="16"/>
                <w:lang w:val="es-ES"/>
              </w:rPr>
              <w:t xml:space="preserve">. </w:t>
            </w:r>
            <w:proofErr w:type="spellStart"/>
            <w:r w:rsidRPr="00171B2C">
              <w:rPr>
                <w:rFonts w:cs="Maiandra GD"/>
                <w:i/>
                <w:iCs/>
                <w:color w:val="000000"/>
                <w:sz w:val="16"/>
                <w:szCs w:val="16"/>
                <w:lang w:val="es-ES"/>
              </w:rPr>
              <w:t>rapacea</w:t>
            </w:r>
            <w:proofErr w:type="spellEnd"/>
            <w:r w:rsidRPr="00171B2C">
              <w:rPr>
                <w:rFonts w:cs="Maiandra GD"/>
                <w:iCs/>
                <w:color w:val="000000"/>
                <w:sz w:val="16"/>
                <w:szCs w:val="16"/>
                <w:lang w:val="es-ES"/>
              </w:rPr>
              <w:t xml:space="preserve"> K. Koch</w:t>
            </w:r>
          </w:p>
          <w:p w14:paraId="0DBAF54C" w14:textId="77777777" w:rsidR="00C90618" w:rsidRPr="00D94A07" w:rsidRDefault="00C90618" w:rsidP="004979C3">
            <w:pPr>
              <w:jc w:val="left"/>
              <w:rPr>
                <w:rFonts w:cs="Maiandra GD"/>
                <w:iCs/>
                <w:color w:val="000000"/>
                <w:sz w:val="16"/>
                <w:szCs w:val="16"/>
                <w:lang w:val="pt-BR"/>
              </w:rPr>
            </w:pPr>
          </w:p>
        </w:tc>
      </w:tr>
      <w:tr w:rsidR="00291CFD" w:rsidRPr="009C58B2" w14:paraId="54D5D3C4" w14:textId="77777777" w:rsidTr="00291CFD">
        <w:tc>
          <w:tcPr>
            <w:tcW w:w="1615" w:type="dxa"/>
          </w:tcPr>
          <w:p w14:paraId="237ACC69" w14:textId="77777777" w:rsidR="00291CFD" w:rsidRPr="0088502A" w:rsidRDefault="00291CFD" w:rsidP="004979C3">
            <w:pPr>
              <w:jc w:val="left"/>
              <w:rPr>
                <w:rFonts w:cs="Maiandra GD"/>
                <w:iCs/>
                <w:color w:val="000000"/>
                <w:sz w:val="16"/>
                <w:szCs w:val="16"/>
                <w:lang w:val="en-US"/>
              </w:rPr>
            </w:pPr>
            <w:r>
              <w:rPr>
                <w:rFonts w:cs="Maiandra GD"/>
                <w:iCs/>
                <w:color w:val="000000"/>
                <w:sz w:val="16"/>
                <w:szCs w:val="16"/>
              </w:rPr>
              <w:t>BETAA_VUL_GVC</w:t>
            </w:r>
          </w:p>
        </w:tc>
        <w:tc>
          <w:tcPr>
            <w:tcW w:w="7027" w:type="dxa"/>
          </w:tcPr>
          <w:p w14:paraId="3900A745" w14:textId="278B290D" w:rsidR="00291CFD" w:rsidRPr="00467BF9" w:rsidRDefault="00291CFD" w:rsidP="00291CFD">
            <w:pPr>
              <w:jc w:val="left"/>
              <w:rPr>
                <w:rFonts w:cs="Maiandra GD"/>
                <w:b/>
                <w:iCs/>
                <w:color w:val="000000"/>
                <w:sz w:val="16"/>
                <w:szCs w:val="16"/>
              </w:rPr>
            </w:pPr>
            <w:r>
              <w:rPr>
                <w:rFonts w:cs="Maiandra GD"/>
                <w:b/>
                <w:i/>
                <w:iCs/>
                <w:color w:val="000000"/>
                <w:sz w:val="16"/>
                <w:szCs w:val="16"/>
              </w:rPr>
              <w:t>Beta vulgaris</w:t>
            </w:r>
            <w:r>
              <w:rPr>
                <w:rFonts w:cs="Maiandra GD"/>
                <w:b/>
                <w:iCs/>
                <w:color w:val="000000"/>
                <w:sz w:val="16"/>
                <w:szCs w:val="16"/>
              </w:rPr>
              <w:t xml:space="preserve"> L. (Rote Rübengruppe)</w:t>
            </w:r>
          </w:p>
          <w:p w14:paraId="691DD4B6" w14:textId="77777777" w:rsidR="00291CFD" w:rsidRPr="00467BF9" w:rsidRDefault="00291CFD" w:rsidP="004979C3">
            <w:pPr>
              <w:jc w:val="left"/>
              <w:rPr>
                <w:rFonts w:cs="Maiandra GD"/>
                <w:iCs/>
                <w:color w:val="000000"/>
                <w:sz w:val="16"/>
                <w:szCs w:val="16"/>
              </w:rPr>
            </w:pPr>
          </w:p>
          <w:p w14:paraId="3876315F" w14:textId="77777777" w:rsidR="00FE666F" w:rsidRPr="00D94A07" w:rsidRDefault="00FE666F" w:rsidP="00FE666F">
            <w:pPr>
              <w:jc w:val="left"/>
              <w:rPr>
                <w:rFonts w:cs="Maiandra GD"/>
                <w:iCs/>
                <w:color w:val="000000"/>
                <w:sz w:val="16"/>
                <w:szCs w:val="16"/>
                <w:lang w:val="pt-BR"/>
              </w:rPr>
            </w:pPr>
            <w:proofErr w:type="spellStart"/>
            <w:r w:rsidRPr="00171B2C">
              <w:rPr>
                <w:rFonts w:cs="Maiandra GD"/>
                <w:iCs/>
                <w:color w:val="000000"/>
                <w:sz w:val="16"/>
                <w:szCs w:val="16"/>
                <w:lang w:val="es-ES"/>
              </w:rPr>
              <w:t>Andere</w:t>
            </w:r>
            <w:proofErr w:type="spellEnd"/>
            <w:r w:rsidRPr="00171B2C">
              <w:rPr>
                <w:rFonts w:cs="Maiandra GD"/>
                <w:iCs/>
                <w:color w:val="000000"/>
                <w:sz w:val="16"/>
                <w:szCs w:val="16"/>
                <w:lang w:val="es-ES"/>
              </w:rPr>
              <w:t xml:space="preserve"> </w:t>
            </w:r>
            <w:proofErr w:type="spellStart"/>
            <w:r w:rsidRPr="00171B2C">
              <w:rPr>
                <w:rFonts w:cs="Maiandra GD"/>
                <w:iCs/>
                <w:color w:val="000000"/>
                <w:sz w:val="16"/>
                <w:szCs w:val="16"/>
                <w:lang w:val="es-ES"/>
              </w:rPr>
              <w:t>botanische</w:t>
            </w:r>
            <w:proofErr w:type="spellEnd"/>
            <w:r w:rsidRPr="00171B2C">
              <w:rPr>
                <w:rFonts w:cs="Maiandra GD"/>
                <w:iCs/>
                <w:color w:val="000000"/>
                <w:sz w:val="16"/>
                <w:szCs w:val="16"/>
                <w:lang w:val="es-ES"/>
              </w:rPr>
              <w:t xml:space="preserve"> </w:t>
            </w:r>
            <w:proofErr w:type="spellStart"/>
            <w:r w:rsidRPr="00171B2C">
              <w:rPr>
                <w:rFonts w:cs="Maiandra GD"/>
                <w:iCs/>
                <w:color w:val="000000"/>
                <w:sz w:val="16"/>
                <w:szCs w:val="16"/>
                <w:lang w:val="es-ES"/>
              </w:rPr>
              <w:t>Namen</w:t>
            </w:r>
            <w:proofErr w:type="spellEnd"/>
            <w:r w:rsidRPr="00171B2C">
              <w:rPr>
                <w:rFonts w:cs="Maiandra GD"/>
                <w:iCs/>
                <w:color w:val="000000"/>
                <w:sz w:val="16"/>
                <w:szCs w:val="16"/>
                <w:lang w:val="es-ES"/>
              </w:rPr>
              <w:t>:</w:t>
            </w:r>
          </w:p>
          <w:p w14:paraId="2950C887" w14:textId="77777777" w:rsidR="00291CFD" w:rsidRPr="00D94A07" w:rsidRDefault="00291CFD" w:rsidP="004979C3">
            <w:pPr>
              <w:jc w:val="left"/>
              <w:rPr>
                <w:rFonts w:cs="Maiandra GD"/>
                <w:iCs/>
                <w:color w:val="000000"/>
                <w:sz w:val="16"/>
                <w:szCs w:val="16"/>
                <w:lang w:val="pt-BR"/>
              </w:rPr>
            </w:pPr>
            <w:r w:rsidRPr="00171B2C">
              <w:rPr>
                <w:rFonts w:cs="Maiandra GD"/>
                <w:i/>
                <w:iCs/>
                <w:color w:val="000000"/>
                <w:sz w:val="16"/>
                <w:szCs w:val="16"/>
                <w:lang w:val="es-ES"/>
              </w:rPr>
              <w:t xml:space="preserve">Beta </w:t>
            </w:r>
            <w:proofErr w:type="spellStart"/>
            <w:r w:rsidRPr="00171B2C">
              <w:rPr>
                <w:rFonts w:cs="Maiandra GD"/>
                <w:i/>
                <w:iCs/>
                <w:color w:val="000000"/>
                <w:sz w:val="16"/>
                <w:szCs w:val="16"/>
                <w:lang w:val="es-ES"/>
              </w:rPr>
              <w:t>vulgaris</w:t>
            </w:r>
            <w:proofErr w:type="spellEnd"/>
            <w:r w:rsidRPr="00171B2C">
              <w:rPr>
                <w:rFonts w:cs="Maiandra GD"/>
                <w:iCs/>
                <w:color w:val="000000"/>
                <w:sz w:val="16"/>
                <w:szCs w:val="16"/>
                <w:lang w:val="es-ES"/>
              </w:rPr>
              <w:t xml:space="preserve"> L. </w:t>
            </w:r>
            <w:proofErr w:type="spellStart"/>
            <w:r w:rsidRPr="00171B2C">
              <w:rPr>
                <w:rFonts w:cs="Maiandra GD"/>
                <w:iCs/>
                <w:color w:val="000000"/>
                <w:sz w:val="16"/>
                <w:szCs w:val="16"/>
                <w:lang w:val="es-ES"/>
              </w:rPr>
              <w:t>ssp</w:t>
            </w:r>
            <w:proofErr w:type="spellEnd"/>
            <w:r w:rsidRPr="00171B2C">
              <w:rPr>
                <w:rFonts w:cs="Maiandra GD"/>
                <w:iCs/>
                <w:color w:val="000000"/>
                <w:sz w:val="16"/>
                <w:szCs w:val="16"/>
                <w:lang w:val="es-ES"/>
              </w:rPr>
              <w:t xml:space="preserve">. </w:t>
            </w:r>
            <w:proofErr w:type="spellStart"/>
            <w:r w:rsidRPr="00171B2C">
              <w:rPr>
                <w:rFonts w:cs="Maiandra GD"/>
                <w:i/>
                <w:color w:val="000000"/>
                <w:sz w:val="16"/>
                <w:szCs w:val="16"/>
                <w:lang w:val="es-ES"/>
              </w:rPr>
              <w:t>vulgaris</w:t>
            </w:r>
            <w:proofErr w:type="spellEnd"/>
            <w:r w:rsidRPr="00171B2C">
              <w:rPr>
                <w:rFonts w:cs="Maiandra GD"/>
                <w:iCs/>
                <w:color w:val="000000"/>
                <w:sz w:val="16"/>
                <w:szCs w:val="16"/>
                <w:lang w:val="es-ES"/>
              </w:rPr>
              <w:t xml:space="preserve"> </w:t>
            </w:r>
            <w:proofErr w:type="spellStart"/>
            <w:r w:rsidRPr="00171B2C">
              <w:rPr>
                <w:rFonts w:cs="Maiandra GD"/>
                <w:iCs/>
                <w:color w:val="000000"/>
                <w:sz w:val="16"/>
                <w:szCs w:val="16"/>
                <w:lang w:val="es-ES"/>
              </w:rPr>
              <w:t>var</w:t>
            </w:r>
            <w:proofErr w:type="spellEnd"/>
            <w:r w:rsidRPr="00171B2C">
              <w:rPr>
                <w:rFonts w:cs="Maiandra GD"/>
                <w:iCs/>
                <w:color w:val="000000"/>
                <w:sz w:val="16"/>
                <w:szCs w:val="16"/>
                <w:lang w:val="es-ES"/>
              </w:rPr>
              <w:t xml:space="preserve">. </w:t>
            </w:r>
            <w:proofErr w:type="spellStart"/>
            <w:r w:rsidRPr="00171B2C">
              <w:rPr>
                <w:rFonts w:cs="Maiandra GD"/>
                <w:i/>
                <w:color w:val="000000"/>
                <w:sz w:val="16"/>
                <w:szCs w:val="16"/>
                <w:lang w:val="es-ES"/>
              </w:rPr>
              <w:t>conditiva</w:t>
            </w:r>
            <w:proofErr w:type="spellEnd"/>
            <w:r w:rsidRPr="00171B2C">
              <w:rPr>
                <w:rFonts w:cs="Maiandra GD"/>
                <w:iCs/>
                <w:color w:val="000000"/>
                <w:sz w:val="16"/>
                <w:szCs w:val="16"/>
                <w:lang w:val="es-ES"/>
              </w:rPr>
              <w:t xml:space="preserve"> </w:t>
            </w:r>
            <w:proofErr w:type="spellStart"/>
            <w:r w:rsidRPr="00171B2C">
              <w:rPr>
                <w:rFonts w:cs="Maiandra GD"/>
                <w:iCs/>
                <w:color w:val="000000"/>
                <w:sz w:val="16"/>
                <w:szCs w:val="16"/>
                <w:lang w:val="es-ES"/>
              </w:rPr>
              <w:t>Alef</w:t>
            </w:r>
            <w:proofErr w:type="spellEnd"/>
            <w:r w:rsidRPr="00171B2C">
              <w:rPr>
                <w:rFonts w:cs="Maiandra GD"/>
                <w:iCs/>
                <w:color w:val="000000"/>
                <w:sz w:val="16"/>
                <w:szCs w:val="16"/>
                <w:lang w:val="es-ES"/>
              </w:rPr>
              <w:t>.</w:t>
            </w:r>
          </w:p>
          <w:p w14:paraId="1B29B3AB" w14:textId="30C79354" w:rsidR="00291CFD" w:rsidRPr="00D94A07" w:rsidRDefault="00291CFD" w:rsidP="004979C3">
            <w:pPr>
              <w:jc w:val="left"/>
              <w:rPr>
                <w:rFonts w:cs="Maiandra GD"/>
                <w:iCs/>
                <w:color w:val="000000"/>
                <w:sz w:val="16"/>
                <w:szCs w:val="16"/>
                <w:lang w:val="pt-BR"/>
              </w:rPr>
            </w:pPr>
            <w:r w:rsidRPr="00171B2C">
              <w:rPr>
                <w:rFonts w:cs="Maiandra GD"/>
                <w:i/>
                <w:iCs/>
                <w:color w:val="000000"/>
                <w:sz w:val="16"/>
                <w:szCs w:val="16"/>
                <w:lang w:val="es-ES"/>
              </w:rPr>
              <w:t xml:space="preserve">Beta </w:t>
            </w:r>
            <w:proofErr w:type="spellStart"/>
            <w:r w:rsidRPr="00171B2C">
              <w:rPr>
                <w:rFonts w:cs="Maiandra GD"/>
                <w:i/>
                <w:iCs/>
                <w:color w:val="000000"/>
                <w:sz w:val="16"/>
                <w:szCs w:val="16"/>
                <w:lang w:val="es-ES"/>
              </w:rPr>
              <w:t>vulgaris</w:t>
            </w:r>
            <w:proofErr w:type="spellEnd"/>
            <w:r w:rsidRPr="00171B2C">
              <w:rPr>
                <w:rFonts w:cs="Maiandra GD"/>
                <w:iCs/>
                <w:color w:val="000000"/>
                <w:sz w:val="16"/>
                <w:szCs w:val="16"/>
                <w:lang w:val="es-ES"/>
              </w:rPr>
              <w:t xml:space="preserve"> L. </w:t>
            </w:r>
            <w:proofErr w:type="spellStart"/>
            <w:r w:rsidRPr="00171B2C">
              <w:rPr>
                <w:rFonts w:cs="Maiandra GD"/>
                <w:iCs/>
                <w:color w:val="000000"/>
                <w:sz w:val="16"/>
                <w:szCs w:val="16"/>
                <w:lang w:val="es-ES"/>
              </w:rPr>
              <w:t>ssp</w:t>
            </w:r>
            <w:proofErr w:type="spellEnd"/>
            <w:r w:rsidRPr="00171B2C">
              <w:rPr>
                <w:rFonts w:cs="Maiandra GD"/>
                <w:iCs/>
                <w:color w:val="000000"/>
                <w:sz w:val="16"/>
                <w:szCs w:val="16"/>
                <w:lang w:val="es-ES"/>
              </w:rPr>
              <w:t xml:space="preserve">. </w:t>
            </w:r>
            <w:proofErr w:type="spellStart"/>
            <w:r w:rsidRPr="00171B2C">
              <w:rPr>
                <w:rFonts w:cs="Maiandra GD"/>
                <w:i/>
                <w:color w:val="000000"/>
                <w:sz w:val="16"/>
                <w:szCs w:val="16"/>
                <w:lang w:val="es-ES"/>
              </w:rPr>
              <w:t>vulgaris</w:t>
            </w:r>
            <w:proofErr w:type="spellEnd"/>
            <w:r w:rsidRPr="00171B2C">
              <w:rPr>
                <w:rFonts w:cs="Maiandra GD"/>
                <w:iCs/>
                <w:color w:val="000000"/>
                <w:sz w:val="16"/>
                <w:szCs w:val="16"/>
                <w:lang w:val="es-ES"/>
              </w:rPr>
              <w:t xml:space="preserve"> </w:t>
            </w:r>
            <w:proofErr w:type="spellStart"/>
            <w:r w:rsidRPr="00171B2C">
              <w:rPr>
                <w:rFonts w:cs="Maiandra GD"/>
                <w:iCs/>
                <w:color w:val="000000"/>
                <w:sz w:val="16"/>
                <w:szCs w:val="16"/>
                <w:lang w:val="es-ES"/>
              </w:rPr>
              <w:t>var</w:t>
            </w:r>
            <w:proofErr w:type="spellEnd"/>
            <w:r w:rsidRPr="00171B2C">
              <w:rPr>
                <w:rFonts w:cs="Maiandra GD"/>
                <w:iCs/>
                <w:color w:val="000000"/>
                <w:sz w:val="16"/>
                <w:szCs w:val="16"/>
                <w:lang w:val="es-ES"/>
              </w:rPr>
              <w:t xml:space="preserve">. </w:t>
            </w:r>
            <w:proofErr w:type="spellStart"/>
            <w:r w:rsidRPr="00171B2C">
              <w:rPr>
                <w:rFonts w:cs="Maiandra GD"/>
                <w:i/>
                <w:color w:val="000000"/>
                <w:sz w:val="16"/>
                <w:szCs w:val="16"/>
                <w:lang w:val="es-ES"/>
              </w:rPr>
              <w:t>esculenta</w:t>
            </w:r>
            <w:proofErr w:type="spellEnd"/>
            <w:r w:rsidRPr="00171B2C">
              <w:rPr>
                <w:rFonts w:cs="Maiandra GD"/>
                <w:iCs/>
                <w:color w:val="000000"/>
                <w:sz w:val="16"/>
                <w:szCs w:val="16"/>
                <w:lang w:val="es-ES"/>
              </w:rPr>
              <w:t xml:space="preserve"> L.</w:t>
            </w:r>
            <w:r w:rsidR="00542140" w:rsidRPr="00171B2C">
              <w:rPr>
                <w:rFonts w:cs="Maiandra GD"/>
                <w:iCs/>
                <w:color w:val="000000"/>
                <w:sz w:val="16"/>
                <w:szCs w:val="16"/>
                <w:lang w:val="es-ES"/>
              </w:rPr>
              <w:t>,</w:t>
            </w:r>
            <w:r w:rsidRPr="00171B2C">
              <w:rPr>
                <w:rFonts w:cs="Maiandra GD"/>
                <w:iCs/>
                <w:color w:val="000000"/>
                <w:sz w:val="16"/>
                <w:szCs w:val="16"/>
                <w:lang w:val="es-ES"/>
              </w:rPr>
              <w:t xml:space="preserve"> </w:t>
            </w:r>
          </w:p>
          <w:p w14:paraId="29DE6BAF" w14:textId="77777777" w:rsidR="00C90618" w:rsidRPr="00D94A07" w:rsidRDefault="00291CFD" w:rsidP="004979C3">
            <w:pPr>
              <w:jc w:val="left"/>
              <w:rPr>
                <w:rFonts w:cs="Maiandra GD"/>
                <w:iCs/>
                <w:color w:val="000000"/>
                <w:sz w:val="16"/>
                <w:szCs w:val="16"/>
                <w:lang w:val="pt-BR"/>
              </w:rPr>
            </w:pPr>
            <w:r>
              <w:rPr>
                <w:rFonts w:cs="Maiandra GD"/>
                <w:i/>
                <w:iCs/>
                <w:color w:val="000000"/>
                <w:sz w:val="16"/>
                <w:szCs w:val="16"/>
              </w:rPr>
              <w:t>Beta vulgaris</w:t>
            </w:r>
            <w:r>
              <w:rPr>
                <w:rFonts w:cs="Maiandra GD"/>
                <w:iCs/>
                <w:color w:val="000000"/>
                <w:sz w:val="16"/>
                <w:szCs w:val="16"/>
              </w:rPr>
              <w:t xml:space="preserve"> L. ssp. </w:t>
            </w:r>
            <w:r>
              <w:rPr>
                <w:rFonts w:cs="Maiandra GD"/>
                <w:i/>
                <w:color w:val="000000"/>
                <w:sz w:val="16"/>
                <w:szCs w:val="16"/>
              </w:rPr>
              <w:t>vulgaris</w:t>
            </w:r>
            <w:r>
              <w:rPr>
                <w:rFonts w:cs="Maiandra GD"/>
                <w:iCs/>
                <w:color w:val="000000"/>
                <w:sz w:val="16"/>
                <w:szCs w:val="16"/>
              </w:rPr>
              <w:t xml:space="preserve"> var. </w:t>
            </w:r>
            <w:r>
              <w:rPr>
                <w:rFonts w:cs="Maiandra GD"/>
                <w:i/>
                <w:color w:val="000000"/>
                <w:sz w:val="16"/>
                <w:szCs w:val="16"/>
              </w:rPr>
              <w:t>hortensis</w:t>
            </w:r>
          </w:p>
        </w:tc>
      </w:tr>
      <w:tr w:rsidR="00291CFD" w:rsidRPr="009C58B2" w14:paraId="2C68F3FE" w14:textId="77777777" w:rsidTr="00291CFD">
        <w:tc>
          <w:tcPr>
            <w:tcW w:w="1615" w:type="dxa"/>
          </w:tcPr>
          <w:p w14:paraId="2A29F313" w14:textId="77777777" w:rsidR="00291CFD" w:rsidRPr="0088502A" w:rsidRDefault="00291CFD" w:rsidP="004979C3">
            <w:pPr>
              <w:jc w:val="left"/>
              <w:rPr>
                <w:rFonts w:cs="Maiandra GD"/>
                <w:iCs/>
                <w:color w:val="000000"/>
                <w:sz w:val="16"/>
                <w:szCs w:val="16"/>
                <w:lang w:val="en-US"/>
              </w:rPr>
            </w:pPr>
            <w:r>
              <w:rPr>
                <w:rFonts w:cs="Maiandra GD"/>
                <w:iCs/>
                <w:color w:val="000000"/>
                <w:sz w:val="16"/>
                <w:szCs w:val="16"/>
              </w:rPr>
              <w:t>BETAA_VUL_GVF</w:t>
            </w:r>
          </w:p>
        </w:tc>
        <w:tc>
          <w:tcPr>
            <w:tcW w:w="7027" w:type="dxa"/>
          </w:tcPr>
          <w:p w14:paraId="265EF6D2" w14:textId="6EB19301" w:rsidR="00291CFD" w:rsidRPr="00467BF9" w:rsidRDefault="00291CFD" w:rsidP="004979C3">
            <w:pPr>
              <w:jc w:val="left"/>
              <w:rPr>
                <w:rFonts w:cs="Maiandra GD"/>
                <w:b/>
                <w:iCs/>
                <w:color w:val="000000"/>
                <w:sz w:val="16"/>
                <w:szCs w:val="16"/>
              </w:rPr>
            </w:pPr>
            <w:r>
              <w:rPr>
                <w:rFonts w:cs="Maiandra GD"/>
                <w:b/>
                <w:i/>
                <w:iCs/>
                <w:color w:val="000000"/>
                <w:sz w:val="16"/>
                <w:szCs w:val="16"/>
              </w:rPr>
              <w:t>Beta vulgaris</w:t>
            </w:r>
            <w:r>
              <w:rPr>
                <w:rFonts w:cs="Maiandra GD"/>
                <w:b/>
                <w:iCs/>
                <w:color w:val="000000"/>
                <w:sz w:val="16"/>
                <w:szCs w:val="16"/>
              </w:rPr>
              <w:t xml:space="preserve"> L. (Mangoldgruppe)</w:t>
            </w:r>
          </w:p>
          <w:p w14:paraId="242FA4BE" w14:textId="77777777" w:rsidR="00291CFD" w:rsidRPr="00467BF9" w:rsidRDefault="00291CFD" w:rsidP="004979C3">
            <w:pPr>
              <w:jc w:val="left"/>
              <w:rPr>
                <w:rFonts w:cs="Maiandra GD"/>
                <w:iCs/>
                <w:color w:val="000000"/>
                <w:sz w:val="16"/>
                <w:szCs w:val="16"/>
              </w:rPr>
            </w:pPr>
          </w:p>
          <w:p w14:paraId="52CFC751" w14:textId="77777777" w:rsidR="00FE666F" w:rsidRPr="00D94A07" w:rsidRDefault="00FE666F" w:rsidP="00FE666F">
            <w:pPr>
              <w:jc w:val="left"/>
              <w:rPr>
                <w:rFonts w:cs="Maiandra GD"/>
                <w:iCs/>
                <w:color w:val="000000"/>
                <w:sz w:val="16"/>
                <w:szCs w:val="16"/>
                <w:lang w:val="pt-BR"/>
              </w:rPr>
            </w:pPr>
            <w:r>
              <w:rPr>
                <w:rFonts w:cs="Maiandra GD"/>
                <w:iCs/>
                <w:color w:val="000000"/>
                <w:sz w:val="16"/>
                <w:szCs w:val="16"/>
              </w:rPr>
              <w:t>Andere botanische Namen:</w:t>
            </w:r>
          </w:p>
          <w:p w14:paraId="081E5468" w14:textId="77777777" w:rsidR="00291CFD" w:rsidRPr="00D94A07" w:rsidRDefault="00291CFD" w:rsidP="004979C3">
            <w:pPr>
              <w:jc w:val="left"/>
              <w:rPr>
                <w:rFonts w:cs="Maiandra GD"/>
                <w:iCs/>
                <w:color w:val="000000"/>
                <w:sz w:val="16"/>
                <w:szCs w:val="16"/>
                <w:lang w:val="pt-BR"/>
              </w:rPr>
            </w:pPr>
            <w:r w:rsidRPr="00467BF9">
              <w:rPr>
                <w:rFonts w:cs="Maiandra GD"/>
                <w:i/>
                <w:iCs/>
                <w:color w:val="000000"/>
                <w:sz w:val="16"/>
                <w:szCs w:val="16"/>
                <w:lang w:val="fr-FR"/>
              </w:rPr>
              <w:t>Beta vulgaris</w:t>
            </w:r>
            <w:r w:rsidRPr="00467BF9">
              <w:rPr>
                <w:rFonts w:cs="Maiandra GD"/>
                <w:iCs/>
                <w:color w:val="000000"/>
                <w:sz w:val="16"/>
                <w:szCs w:val="16"/>
                <w:lang w:val="fr-FR"/>
              </w:rPr>
              <w:t xml:space="preserve"> L. </w:t>
            </w:r>
            <w:proofErr w:type="spellStart"/>
            <w:r w:rsidRPr="00467BF9">
              <w:rPr>
                <w:rFonts w:cs="Maiandra GD"/>
                <w:iCs/>
                <w:color w:val="000000"/>
                <w:sz w:val="16"/>
                <w:szCs w:val="16"/>
                <w:lang w:val="fr-FR"/>
              </w:rPr>
              <w:t>ssp</w:t>
            </w:r>
            <w:proofErr w:type="spellEnd"/>
            <w:r w:rsidRPr="00467BF9">
              <w:rPr>
                <w:rFonts w:cs="Maiandra GD"/>
                <w:iCs/>
                <w:color w:val="000000"/>
                <w:sz w:val="16"/>
                <w:szCs w:val="16"/>
                <w:lang w:val="fr-FR"/>
              </w:rPr>
              <w:t xml:space="preserve">. </w:t>
            </w:r>
            <w:proofErr w:type="gramStart"/>
            <w:r w:rsidRPr="00467BF9">
              <w:rPr>
                <w:rFonts w:cs="Maiandra GD"/>
                <w:i/>
                <w:iCs/>
                <w:color w:val="000000"/>
                <w:sz w:val="16"/>
                <w:szCs w:val="16"/>
                <w:lang w:val="fr-FR"/>
              </w:rPr>
              <w:t>vulgaris</w:t>
            </w:r>
            <w:proofErr w:type="gramEnd"/>
            <w:r w:rsidRPr="00467BF9">
              <w:rPr>
                <w:rFonts w:cs="Maiandra GD"/>
                <w:iCs/>
                <w:color w:val="000000"/>
                <w:sz w:val="16"/>
                <w:szCs w:val="16"/>
                <w:lang w:val="fr-FR"/>
              </w:rPr>
              <w:t xml:space="preserve"> var. </w:t>
            </w:r>
            <w:proofErr w:type="spellStart"/>
            <w:r w:rsidRPr="00467BF9">
              <w:rPr>
                <w:rFonts w:cs="Maiandra GD"/>
                <w:i/>
                <w:iCs/>
                <w:color w:val="000000"/>
                <w:sz w:val="16"/>
                <w:szCs w:val="16"/>
                <w:lang w:val="fr-FR"/>
              </w:rPr>
              <w:t>flavescens</w:t>
            </w:r>
            <w:proofErr w:type="spellEnd"/>
            <w:r w:rsidRPr="00467BF9">
              <w:rPr>
                <w:rFonts w:cs="Maiandra GD"/>
                <w:iCs/>
                <w:color w:val="000000"/>
                <w:sz w:val="16"/>
                <w:szCs w:val="16"/>
                <w:lang w:val="fr-FR"/>
              </w:rPr>
              <w:t xml:space="preserve"> DC. f. crispa</w:t>
            </w:r>
          </w:p>
          <w:p w14:paraId="0E98D56D" w14:textId="0B09518B" w:rsidR="00291CFD" w:rsidRPr="00D94A07" w:rsidRDefault="00291CFD" w:rsidP="004979C3">
            <w:pPr>
              <w:jc w:val="left"/>
              <w:rPr>
                <w:rFonts w:cs="Maiandra GD"/>
                <w:iCs/>
                <w:color w:val="000000"/>
                <w:sz w:val="16"/>
                <w:szCs w:val="16"/>
                <w:lang w:val="pt-BR"/>
              </w:rPr>
            </w:pPr>
            <w:r w:rsidRPr="00467BF9">
              <w:rPr>
                <w:rFonts w:cs="Maiandra GD"/>
                <w:i/>
                <w:iCs/>
                <w:color w:val="000000"/>
                <w:sz w:val="16"/>
                <w:szCs w:val="16"/>
                <w:lang w:val="fr-FR"/>
              </w:rPr>
              <w:t>Beta vulgaris</w:t>
            </w:r>
            <w:r w:rsidRPr="00467BF9">
              <w:rPr>
                <w:rFonts w:cs="Maiandra GD"/>
                <w:iCs/>
                <w:color w:val="000000"/>
                <w:sz w:val="16"/>
                <w:szCs w:val="16"/>
                <w:lang w:val="fr-FR"/>
              </w:rPr>
              <w:t xml:space="preserve"> L. </w:t>
            </w:r>
            <w:proofErr w:type="spellStart"/>
            <w:r w:rsidRPr="00467BF9">
              <w:rPr>
                <w:rFonts w:cs="Maiandra GD"/>
                <w:iCs/>
                <w:color w:val="000000"/>
                <w:sz w:val="16"/>
                <w:szCs w:val="16"/>
                <w:lang w:val="fr-FR"/>
              </w:rPr>
              <w:t>ssp</w:t>
            </w:r>
            <w:proofErr w:type="spellEnd"/>
            <w:r w:rsidRPr="00467BF9">
              <w:rPr>
                <w:rFonts w:cs="Maiandra GD"/>
                <w:iCs/>
                <w:color w:val="000000"/>
                <w:sz w:val="16"/>
                <w:szCs w:val="16"/>
                <w:lang w:val="fr-FR"/>
              </w:rPr>
              <w:t xml:space="preserve">. </w:t>
            </w:r>
            <w:proofErr w:type="gramStart"/>
            <w:r w:rsidRPr="00467BF9">
              <w:rPr>
                <w:rFonts w:cs="Maiandra GD"/>
                <w:i/>
                <w:iCs/>
                <w:color w:val="000000"/>
                <w:sz w:val="16"/>
                <w:szCs w:val="16"/>
                <w:lang w:val="fr-FR"/>
              </w:rPr>
              <w:t>vulgaris</w:t>
            </w:r>
            <w:proofErr w:type="gramEnd"/>
            <w:r w:rsidRPr="00467BF9">
              <w:rPr>
                <w:rFonts w:cs="Maiandra GD"/>
                <w:iCs/>
                <w:color w:val="000000"/>
                <w:sz w:val="16"/>
                <w:szCs w:val="16"/>
                <w:lang w:val="fr-FR"/>
              </w:rPr>
              <w:t xml:space="preserve"> var. </w:t>
            </w:r>
            <w:r w:rsidRPr="00467BF9">
              <w:rPr>
                <w:rFonts w:cs="Maiandra GD"/>
                <w:i/>
                <w:iCs/>
                <w:color w:val="000000"/>
                <w:sz w:val="16"/>
                <w:szCs w:val="16"/>
                <w:lang w:val="fr-FR"/>
              </w:rPr>
              <w:t>cicla</w:t>
            </w:r>
            <w:r w:rsidRPr="00467BF9">
              <w:rPr>
                <w:rFonts w:cs="Maiandra GD"/>
                <w:iCs/>
                <w:color w:val="000000"/>
                <w:sz w:val="16"/>
                <w:szCs w:val="16"/>
                <w:lang w:val="fr-FR"/>
              </w:rPr>
              <w:t xml:space="preserve"> (L.) </w:t>
            </w:r>
            <w:r>
              <w:rPr>
                <w:rFonts w:cs="Maiandra GD"/>
                <w:iCs/>
                <w:color w:val="000000"/>
                <w:sz w:val="16"/>
                <w:szCs w:val="16"/>
              </w:rPr>
              <w:t>Ulrich</w:t>
            </w:r>
            <w:r w:rsidR="00542140">
              <w:rPr>
                <w:rFonts w:cs="Maiandra GD"/>
                <w:iCs/>
                <w:color w:val="000000"/>
                <w:sz w:val="16"/>
                <w:szCs w:val="16"/>
              </w:rPr>
              <w:t>,</w:t>
            </w:r>
            <w:r>
              <w:rPr>
                <w:rFonts w:cs="Maiandra GD"/>
                <w:iCs/>
                <w:color w:val="000000"/>
                <w:sz w:val="16"/>
                <w:szCs w:val="16"/>
              </w:rPr>
              <w:t xml:space="preserve"> </w:t>
            </w:r>
          </w:p>
          <w:p w14:paraId="1840808E" w14:textId="776AD62B" w:rsidR="00291CFD" w:rsidRPr="009E4C89" w:rsidRDefault="00291CFD" w:rsidP="004979C3">
            <w:pPr>
              <w:jc w:val="left"/>
              <w:rPr>
                <w:rFonts w:cs="Maiandra GD"/>
                <w:i/>
                <w:iCs/>
                <w:color w:val="000000"/>
                <w:sz w:val="16"/>
                <w:szCs w:val="16"/>
                <w:lang w:val="pt-BR"/>
              </w:rPr>
            </w:pPr>
            <w:r>
              <w:rPr>
                <w:rFonts w:cs="Maiandra GD"/>
                <w:i/>
                <w:iCs/>
                <w:color w:val="000000"/>
                <w:sz w:val="16"/>
                <w:szCs w:val="16"/>
              </w:rPr>
              <w:t>Beta vulgaris</w:t>
            </w:r>
            <w:r>
              <w:rPr>
                <w:rFonts w:cs="Maiandra GD"/>
                <w:iCs/>
                <w:color w:val="000000"/>
                <w:sz w:val="16"/>
                <w:szCs w:val="16"/>
              </w:rPr>
              <w:t xml:space="preserve"> L. ssp. </w:t>
            </w:r>
            <w:r>
              <w:rPr>
                <w:rFonts w:cs="Maiandra GD"/>
                <w:i/>
                <w:iCs/>
                <w:color w:val="000000"/>
                <w:sz w:val="16"/>
                <w:szCs w:val="16"/>
              </w:rPr>
              <w:t>vulgaris</w:t>
            </w:r>
            <w:r>
              <w:rPr>
                <w:rFonts w:cs="Maiandra GD"/>
                <w:iCs/>
                <w:color w:val="000000"/>
                <w:sz w:val="16"/>
                <w:szCs w:val="16"/>
              </w:rPr>
              <w:t xml:space="preserve"> var. </w:t>
            </w:r>
            <w:r>
              <w:rPr>
                <w:rFonts w:cs="Maiandra GD"/>
                <w:i/>
                <w:iCs/>
                <w:color w:val="000000"/>
                <w:sz w:val="16"/>
                <w:szCs w:val="16"/>
              </w:rPr>
              <w:t>vulgaris</w:t>
            </w:r>
          </w:p>
          <w:p w14:paraId="7D9085C6" w14:textId="77777777" w:rsidR="00C90618" w:rsidRPr="009E4C89" w:rsidRDefault="00C90618" w:rsidP="004979C3">
            <w:pPr>
              <w:jc w:val="left"/>
              <w:rPr>
                <w:rFonts w:cs="Maiandra GD"/>
                <w:iCs/>
                <w:color w:val="000000"/>
                <w:sz w:val="16"/>
                <w:szCs w:val="16"/>
                <w:lang w:val="pt-BR"/>
              </w:rPr>
            </w:pPr>
          </w:p>
        </w:tc>
      </w:tr>
      <w:tr w:rsidR="00291CFD" w:rsidRPr="00171B2C" w14:paraId="3F42D065" w14:textId="77777777" w:rsidTr="00291CFD">
        <w:tc>
          <w:tcPr>
            <w:tcW w:w="1615" w:type="dxa"/>
          </w:tcPr>
          <w:p w14:paraId="516522E0" w14:textId="77777777" w:rsidR="00291CFD" w:rsidRPr="0088502A" w:rsidRDefault="00291CFD" w:rsidP="004979C3">
            <w:pPr>
              <w:jc w:val="left"/>
              <w:rPr>
                <w:rFonts w:cs="Maiandra GD"/>
                <w:iCs/>
                <w:color w:val="000000"/>
                <w:sz w:val="16"/>
                <w:szCs w:val="16"/>
                <w:lang w:val="en-US"/>
              </w:rPr>
            </w:pPr>
            <w:r>
              <w:rPr>
                <w:rFonts w:cs="Maiandra GD"/>
                <w:iCs/>
                <w:color w:val="000000"/>
                <w:sz w:val="16"/>
                <w:szCs w:val="16"/>
              </w:rPr>
              <w:t>BETAA_VUL_GVS</w:t>
            </w:r>
          </w:p>
        </w:tc>
        <w:tc>
          <w:tcPr>
            <w:tcW w:w="7027" w:type="dxa"/>
          </w:tcPr>
          <w:p w14:paraId="2FF7CFC8" w14:textId="42EF43E0" w:rsidR="00291CFD" w:rsidRPr="00467BF9" w:rsidRDefault="00291CFD" w:rsidP="004979C3">
            <w:pPr>
              <w:jc w:val="left"/>
              <w:rPr>
                <w:rFonts w:cs="Maiandra GD"/>
                <w:b/>
                <w:iCs/>
                <w:color w:val="000000"/>
                <w:sz w:val="16"/>
                <w:szCs w:val="16"/>
              </w:rPr>
            </w:pPr>
            <w:r>
              <w:rPr>
                <w:rFonts w:cs="Maiandra GD"/>
                <w:b/>
                <w:i/>
                <w:color w:val="000000"/>
                <w:sz w:val="16"/>
                <w:szCs w:val="16"/>
              </w:rPr>
              <w:t>Beta vulgaris</w:t>
            </w:r>
            <w:r>
              <w:rPr>
                <w:rFonts w:cs="Maiandra GD"/>
                <w:b/>
                <w:iCs/>
                <w:color w:val="000000"/>
                <w:sz w:val="16"/>
                <w:szCs w:val="16"/>
              </w:rPr>
              <w:t xml:space="preserve"> L. (Zuckerrübengruppe)</w:t>
            </w:r>
          </w:p>
          <w:p w14:paraId="50EAEE6B" w14:textId="77777777" w:rsidR="00291CFD" w:rsidRPr="00467BF9" w:rsidRDefault="00291CFD" w:rsidP="004979C3">
            <w:pPr>
              <w:jc w:val="left"/>
              <w:rPr>
                <w:rFonts w:cs="Maiandra GD"/>
                <w:iCs/>
                <w:color w:val="000000"/>
                <w:sz w:val="16"/>
                <w:szCs w:val="16"/>
              </w:rPr>
            </w:pPr>
          </w:p>
          <w:p w14:paraId="5FC952A4" w14:textId="77777777" w:rsidR="00FE666F" w:rsidRPr="00467BF9" w:rsidRDefault="00FE666F" w:rsidP="00FE666F">
            <w:pPr>
              <w:jc w:val="left"/>
              <w:rPr>
                <w:rFonts w:cs="Maiandra GD"/>
                <w:iCs/>
                <w:color w:val="000000"/>
                <w:sz w:val="16"/>
                <w:szCs w:val="16"/>
              </w:rPr>
            </w:pPr>
            <w:r>
              <w:rPr>
                <w:rFonts w:cs="Maiandra GD"/>
                <w:iCs/>
                <w:color w:val="000000"/>
                <w:sz w:val="16"/>
                <w:szCs w:val="16"/>
              </w:rPr>
              <w:t>Andere botanische Namen:</w:t>
            </w:r>
          </w:p>
          <w:p w14:paraId="49743A44" w14:textId="77777777" w:rsidR="00291CFD" w:rsidRPr="00D94A07" w:rsidRDefault="00291CFD" w:rsidP="004979C3">
            <w:pPr>
              <w:jc w:val="left"/>
              <w:rPr>
                <w:rFonts w:cs="Maiandra GD"/>
                <w:iCs/>
                <w:color w:val="000000"/>
                <w:sz w:val="16"/>
                <w:szCs w:val="16"/>
                <w:lang w:val="pt-BR"/>
              </w:rPr>
            </w:pPr>
            <w:r w:rsidRPr="00467BF9">
              <w:rPr>
                <w:rFonts w:cs="Maiandra GD"/>
                <w:i/>
                <w:iCs/>
                <w:color w:val="000000"/>
                <w:sz w:val="16"/>
                <w:szCs w:val="16"/>
                <w:lang w:val="fr-FR"/>
              </w:rPr>
              <w:t>Beta vulgaris</w:t>
            </w:r>
            <w:r w:rsidRPr="00467BF9">
              <w:rPr>
                <w:rFonts w:cs="Maiandra GD"/>
                <w:iCs/>
                <w:color w:val="000000"/>
                <w:sz w:val="16"/>
                <w:szCs w:val="16"/>
                <w:lang w:val="fr-FR"/>
              </w:rPr>
              <w:t xml:space="preserve"> L. </w:t>
            </w:r>
            <w:proofErr w:type="spellStart"/>
            <w:r w:rsidRPr="00467BF9">
              <w:rPr>
                <w:rFonts w:cs="Maiandra GD"/>
                <w:iCs/>
                <w:color w:val="000000"/>
                <w:sz w:val="16"/>
                <w:szCs w:val="16"/>
                <w:lang w:val="fr-FR"/>
              </w:rPr>
              <w:t>ssp</w:t>
            </w:r>
            <w:proofErr w:type="spellEnd"/>
            <w:r w:rsidRPr="00467BF9">
              <w:rPr>
                <w:rFonts w:cs="Maiandra GD"/>
                <w:iCs/>
                <w:color w:val="000000"/>
                <w:sz w:val="16"/>
                <w:szCs w:val="16"/>
                <w:lang w:val="fr-FR"/>
              </w:rPr>
              <w:t xml:space="preserve">. </w:t>
            </w:r>
            <w:proofErr w:type="gramStart"/>
            <w:r w:rsidRPr="00467BF9">
              <w:rPr>
                <w:rFonts w:cs="Maiandra GD"/>
                <w:i/>
                <w:iCs/>
                <w:color w:val="000000"/>
                <w:sz w:val="16"/>
                <w:szCs w:val="16"/>
                <w:lang w:val="fr-FR"/>
              </w:rPr>
              <w:t>vulgaris</w:t>
            </w:r>
            <w:proofErr w:type="gramEnd"/>
            <w:r w:rsidRPr="00467BF9">
              <w:rPr>
                <w:rFonts w:cs="Maiandra GD"/>
                <w:iCs/>
                <w:color w:val="000000"/>
                <w:sz w:val="16"/>
                <w:szCs w:val="16"/>
                <w:lang w:val="fr-FR"/>
              </w:rPr>
              <w:t xml:space="preserve"> var. </w:t>
            </w:r>
            <w:proofErr w:type="spellStart"/>
            <w:r w:rsidRPr="00467BF9">
              <w:rPr>
                <w:rFonts w:cs="Maiandra GD"/>
                <w:i/>
                <w:iCs/>
                <w:color w:val="000000"/>
                <w:sz w:val="16"/>
                <w:szCs w:val="16"/>
                <w:lang w:val="fr-FR"/>
              </w:rPr>
              <w:t>saccharifera</w:t>
            </w:r>
            <w:proofErr w:type="spellEnd"/>
            <w:r w:rsidRPr="00467BF9">
              <w:rPr>
                <w:rFonts w:cs="Maiandra GD"/>
                <w:iCs/>
                <w:color w:val="000000"/>
                <w:sz w:val="16"/>
                <w:szCs w:val="16"/>
                <w:lang w:val="fr-FR"/>
              </w:rPr>
              <w:t xml:space="preserve"> Alef.</w:t>
            </w:r>
          </w:p>
          <w:p w14:paraId="0AEC10A2" w14:textId="77777777" w:rsidR="00291CFD" w:rsidRPr="00D94A07" w:rsidRDefault="00291CFD" w:rsidP="004979C3">
            <w:pPr>
              <w:jc w:val="left"/>
              <w:rPr>
                <w:rFonts w:cs="Maiandra GD"/>
                <w:iCs/>
                <w:color w:val="000000"/>
                <w:sz w:val="16"/>
                <w:szCs w:val="16"/>
                <w:lang w:val="pt-BR"/>
              </w:rPr>
            </w:pPr>
            <w:r w:rsidRPr="00171B2C">
              <w:rPr>
                <w:rFonts w:cs="Maiandra GD"/>
                <w:i/>
                <w:iCs/>
                <w:color w:val="000000"/>
                <w:sz w:val="16"/>
                <w:szCs w:val="16"/>
                <w:lang w:val="es-ES"/>
              </w:rPr>
              <w:t xml:space="preserve">Beta </w:t>
            </w:r>
            <w:proofErr w:type="spellStart"/>
            <w:r w:rsidRPr="00171B2C">
              <w:rPr>
                <w:rFonts w:cs="Maiandra GD"/>
                <w:i/>
                <w:iCs/>
                <w:color w:val="000000"/>
                <w:sz w:val="16"/>
                <w:szCs w:val="16"/>
                <w:lang w:val="es-ES"/>
              </w:rPr>
              <w:t>vulgaris</w:t>
            </w:r>
            <w:proofErr w:type="spellEnd"/>
            <w:r w:rsidRPr="00171B2C">
              <w:rPr>
                <w:rFonts w:cs="Maiandra GD"/>
                <w:iCs/>
                <w:color w:val="000000"/>
                <w:sz w:val="16"/>
                <w:szCs w:val="16"/>
                <w:lang w:val="es-ES"/>
              </w:rPr>
              <w:t xml:space="preserve"> L. </w:t>
            </w:r>
            <w:proofErr w:type="spellStart"/>
            <w:r w:rsidRPr="00171B2C">
              <w:rPr>
                <w:rFonts w:cs="Maiandra GD"/>
                <w:iCs/>
                <w:color w:val="000000"/>
                <w:sz w:val="16"/>
                <w:szCs w:val="16"/>
                <w:lang w:val="es-ES"/>
              </w:rPr>
              <w:t>ssp</w:t>
            </w:r>
            <w:proofErr w:type="spellEnd"/>
            <w:r w:rsidRPr="00171B2C">
              <w:rPr>
                <w:rFonts w:cs="Maiandra GD"/>
                <w:iCs/>
                <w:color w:val="000000"/>
                <w:sz w:val="16"/>
                <w:szCs w:val="16"/>
                <w:lang w:val="es-ES"/>
              </w:rPr>
              <w:t xml:space="preserve">. </w:t>
            </w:r>
            <w:proofErr w:type="spellStart"/>
            <w:r w:rsidRPr="00171B2C">
              <w:rPr>
                <w:rFonts w:cs="Maiandra GD"/>
                <w:i/>
                <w:iCs/>
                <w:color w:val="000000"/>
                <w:sz w:val="16"/>
                <w:szCs w:val="16"/>
                <w:lang w:val="es-ES"/>
              </w:rPr>
              <w:t>vulgaris</w:t>
            </w:r>
            <w:proofErr w:type="spellEnd"/>
            <w:r w:rsidRPr="00171B2C">
              <w:rPr>
                <w:rFonts w:cs="Maiandra GD"/>
                <w:iCs/>
                <w:color w:val="000000"/>
                <w:sz w:val="16"/>
                <w:szCs w:val="16"/>
                <w:lang w:val="es-ES"/>
              </w:rPr>
              <w:t xml:space="preserve"> </w:t>
            </w:r>
            <w:proofErr w:type="spellStart"/>
            <w:r w:rsidRPr="00171B2C">
              <w:rPr>
                <w:rFonts w:cs="Maiandra GD"/>
                <w:iCs/>
                <w:color w:val="000000"/>
                <w:sz w:val="16"/>
                <w:szCs w:val="16"/>
                <w:lang w:val="es-ES"/>
              </w:rPr>
              <w:t>var</w:t>
            </w:r>
            <w:proofErr w:type="spellEnd"/>
            <w:r w:rsidRPr="00171B2C">
              <w:rPr>
                <w:rFonts w:cs="Maiandra GD"/>
                <w:iCs/>
                <w:color w:val="000000"/>
                <w:sz w:val="16"/>
                <w:szCs w:val="16"/>
                <w:lang w:val="es-ES"/>
              </w:rPr>
              <w:t xml:space="preserve">. </w:t>
            </w:r>
            <w:proofErr w:type="spellStart"/>
            <w:r w:rsidRPr="00171B2C">
              <w:rPr>
                <w:rFonts w:cs="Maiandra GD"/>
                <w:i/>
                <w:iCs/>
                <w:color w:val="000000"/>
                <w:sz w:val="16"/>
                <w:szCs w:val="16"/>
                <w:lang w:val="es-ES"/>
              </w:rPr>
              <w:t>altissima</w:t>
            </w:r>
            <w:proofErr w:type="spellEnd"/>
            <w:r w:rsidRPr="00171B2C">
              <w:rPr>
                <w:rFonts w:cs="Maiandra GD"/>
                <w:iCs/>
                <w:color w:val="000000"/>
                <w:sz w:val="16"/>
                <w:szCs w:val="16"/>
                <w:lang w:val="es-ES"/>
              </w:rPr>
              <w:t xml:space="preserve"> </w:t>
            </w:r>
            <w:proofErr w:type="spellStart"/>
            <w:r w:rsidRPr="00171B2C">
              <w:rPr>
                <w:rFonts w:cs="Maiandra GD"/>
                <w:iCs/>
                <w:color w:val="000000"/>
                <w:sz w:val="16"/>
                <w:szCs w:val="16"/>
                <w:lang w:val="es-ES"/>
              </w:rPr>
              <w:t>Doell</w:t>
            </w:r>
            <w:proofErr w:type="spellEnd"/>
          </w:p>
          <w:p w14:paraId="1D46C6BC" w14:textId="77777777" w:rsidR="00FE666F" w:rsidRPr="00D94A07" w:rsidRDefault="00FE666F" w:rsidP="004979C3">
            <w:pPr>
              <w:jc w:val="left"/>
              <w:rPr>
                <w:rFonts w:cs="Maiandra GD"/>
                <w:iCs/>
                <w:color w:val="000000"/>
                <w:sz w:val="16"/>
                <w:szCs w:val="16"/>
                <w:lang w:val="pt-BR"/>
              </w:rPr>
            </w:pPr>
          </w:p>
        </w:tc>
      </w:tr>
    </w:tbl>
    <w:p w14:paraId="01419214" w14:textId="77777777" w:rsidR="006232E9" w:rsidRPr="00D94A07" w:rsidRDefault="006232E9" w:rsidP="006232E9">
      <w:pPr>
        <w:spacing w:line="240" w:lineRule="atLeast"/>
        <w:rPr>
          <w:rFonts w:cs="Maiandra GD"/>
          <w:iCs/>
          <w:color w:val="000000"/>
          <w:szCs w:val="18"/>
          <w:lang w:val="pt-BR" w:eastAsia="nl-NL"/>
        </w:rPr>
      </w:pPr>
    </w:p>
    <w:p w14:paraId="4B8DC582" w14:textId="007EBCB8" w:rsidR="00224706" w:rsidRDefault="00224706">
      <w:pPr>
        <w:jc w:val="left"/>
        <w:rPr>
          <w:rFonts w:cs="Maiandra GD"/>
          <w:iCs/>
          <w:color w:val="000000"/>
          <w:szCs w:val="18"/>
          <w:lang w:val="pt-BR" w:eastAsia="nl-NL"/>
        </w:rPr>
      </w:pPr>
      <w:r>
        <w:rPr>
          <w:rFonts w:cs="Maiandra GD"/>
          <w:iCs/>
          <w:color w:val="000000"/>
          <w:szCs w:val="18"/>
          <w:lang w:val="pt-BR" w:eastAsia="nl-NL"/>
        </w:rPr>
        <w:br w:type="page"/>
      </w:r>
    </w:p>
    <w:p w14:paraId="6552602F" w14:textId="704A44BD" w:rsidR="00C805AC" w:rsidRPr="00BB63BF" w:rsidRDefault="00C805AC" w:rsidP="00C805AC">
      <w:pPr>
        <w:rPr>
          <w:i/>
          <w:iCs/>
        </w:rPr>
      </w:pPr>
      <w:r>
        <w:rPr>
          <w:i/>
          <w:iCs/>
        </w:rPr>
        <w:lastRenderedPageBreak/>
        <w:t xml:space="preserve">Vorschlag 3: </w:t>
      </w:r>
      <w:r>
        <w:rPr>
          <w:rFonts w:cs="Maiandra GD"/>
          <w:i/>
          <w:iCs/>
          <w:color w:val="000000"/>
          <w:szCs w:val="18"/>
        </w:rPr>
        <w:t>Sortengruppen für Beta vulgaris L. ssp. vulgaris</w:t>
      </w:r>
    </w:p>
    <w:p w14:paraId="09037955" w14:textId="77777777" w:rsidR="00C805AC" w:rsidRPr="00C805AC" w:rsidRDefault="00C805AC" w:rsidP="006232E9">
      <w:pPr>
        <w:spacing w:line="240" w:lineRule="atLeast"/>
        <w:rPr>
          <w:rFonts w:cs="Maiandra GD"/>
          <w:iCs/>
          <w:color w:val="000000"/>
          <w:szCs w:val="18"/>
          <w:lang w:eastAsia="nl-NL"/>
        </w:rPr>
      </w:pPr>
    </w:p>
    <w:p w14:paraId="18DEE791" w14:textId="561B74FA" w:rsidR="00F8078E" w:rsidRPr="0088502A" w:rsidRDefault="003415AF" w:rsidP="006232E9">
      <w:pPr>
        <w:spacing w:line="240" w:lineRule="atLeast"/>
        <w:rPr>
          <w:rFonts w:cs="Maiandra GD"/>
          <w:iCs/>
          <w:color w:val="000000"/>
          <w:szCs w:val="18"/>
          <w:lang w:eastAsia="nl-NL"/>
        </w:rPr>
      </w:pPr>
      <w:r>
        <w:fldChar w:fldCharType="begin"/>
      </w:r>
      <w:r>
        <w:instrText xml:space="preserve"> LISTNUM  LegalDefault \l 1 </w:instrText>
      </w:r>
      <w:r>
        <w:fldChar w:fldCharType="end">
          <w:numberingChange w:id="74" w:author="SANCHEZ VIZCAINO GOMEZ Rosa Maria" w:date="2023-08-29T11:06:00Z" w:original="11."/>
        </w:fldChar>
      </w:r>
      <w:r>
        <w:tab/>
      </w:r>
      <w:r>
        <w:rPr>
          <w:rFonts w:cs="Maiandra GD"/>
          <w:iCs/>
          <w:color w:val="000000"/>
          <w:szCs w:val="18"/>
        </w:rPr>
        <w:t xml:space="preserve">Auf Grundlage der oben genannten Änderungen der UPOV-Codes für </w:t>
      </w:r>
      <w:r>
        <w:rPr>
          <w:rFonts w:cs="Maiandra GD"/>
          <w:i/>
          <w:iCs/>
          <w:color w:val="000000"/>
          <w:szCs w:val="18"/>
        </w:rPr>
        <w:t>B. vulgaris</w:t>
      </w:r>
      <w:r>
        <w:rPr>
          <w:rFonts w:cs="Maiandra GD"/>
          <w:iCs/>
          <w:color w:val="000000"/>
          <w:szCs w:val="18"/>
        </w:rPr>
        <w:t xml:space="preserve"> L. wird die </w:t>
      </w:r>
      <w:r w:rsidR="00F8248E">
        <w:rPr>
          <w:rFonts w:cs="Maiandra GD"/>
          <w:iCs/>
          <w:color w:val="000000"/>
          <w:szCs w:val="18"/>
        </w:rPr>
        <w:t xml:space="preserve">folgende </w:t>
      </w:r>
      <w:r>
        <w:rPr>
          <w:rFonts w:cs="Maiandra GD"/>
          <w:iCs/>
          <w:color w:val="000000"/>
          <w:szCs w:val="18"/>
        </w:rPr>
        <w:t>Änderung des Dokuments UPOV/EXN/DEN</w:t>
      </w:r>
      <w:r w:rsidR="00F8248E">
        <w:rPr>
          <w:rFonts w:cs="Maiandra GD"/>
          <w:iCs/>
          <w:color w:val="000000"/>
          <w:szCs w:val="18"/>
        </w:rPr>
        <w:t xml:space="preserve"> </w:t>
      </w:r>
      <w:r>
        <w:rPr>
          <w:rFonts w:cs="Maiandra GD"/>
          <w:iCs/>
          <w:color w:val="000000"/>
          <w:szCs w:val="18"/>
        </w:rPr>
        <w:t xml:space="preserve">vorgeschlagen </w:t>
      </w:r>
      <w:r>
        <w:t xml:space="preserve">(Zusätze sind durch Hervorhebung und </w:t>
      </w:r>
      <w:r>
        <w:rPr>
          <w:highlight w:val="lightGray"/>
          <w:u w:val="single"/>
        </w:rPr>
        <w:t xml:space="preserve">Unterstreichung </w:t>
      </w:r>
      <w:r>
        <w:t xml:space="preserve">und Streichungen sind durch Hervorhebung und </w:t>
      </w:r>
      <w:r>
        <w:rPr>
          <w:strike/>
          <w:highlight w:val="lightGray"/>
        </w:rPr>
        <w:t>Durchstreichen</w:t>
      </w:r>
      <w:r>
        <w:t xml:space="preserve"> gekennzeichnet):</w:t>
      </w:r>
    </w:p>
    <w:p w14:paraId="742C03E8" w14:textId="77777777" w:rsidR="00395B96" w:rsidRPr="0088502A" w:rsidRDefault="00395B96" w:rsidP="00157035">
      <w:pPr>
        <w:pStyle w:val="EndnoteText"/>
      </w:pPr>
    </w:p>
    <w:p w14:paraId="0798CF40" w14:textId="77777777" w:rsidR="00157035" w:rsidRPr="0088502A" w:rsidRDefault="00157035" w:rsidP="00157035">
      <w:pPr>
        <w:jc w:val="center"/>
        <w:rPr>
          <w:i/>
        </w:rPr>
      </w:pPr>
      <w:r>
        <w:rPr>
          <w:i/>
        </w:rPr>
        <w:t>Klassen innerhalb einer Gattung</w:t>
      </w:r>
    </w:p>
    <w:p w14:paraId="632797B5" w14:textId="4ED66730" w:rsidR="00395B96" w:rsidRDefault="00395B96" w:rsidP="00157035">
      <w:pPr>
        <w:pStyle w:val="Style1"/>
        <w:tabs>
          <w:tab w:val="clear" w:pos="907"/>
          <w:tab w:val="clear" w:pos="1077"/>
        </w:tabs>
        <w:rPr>
          <w:szCs w:val="20"/>
        </w:rPr>
      </w:pPr>
    </w:p>
    <w:tbl>
      <w:tblPr>
        <w:tblW w:w="964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9"/>
        <w:gridCol w:w="5673"/>
        <w:gridCol w:w="2552"/>
      </w:tblGrid>
      <w:tr w:rsidR="00395B96" w:rsidRPr="0088502A" w14:paraId="409D5DDF" w14:textId="77777777" w:rsidTr="00395B96">
        <w:trPr>
          <w:cantSplit/>
          <w:tblHeader/>
        </w:trPr>
        <w:tc>
          <w:tcPr>
            <w:tcW w:w="1418" w:type="dxa"/>
            <w:shd w:val="clear" w:color="auto" w:fill="D9D9D9" w:themeFill="background1" w:themeFillShade="D9"/>
            <w:vAlign w:val="center"/>
          </w:tcPr>
          <w:p w14:paraId="536B09A8" w14:textId="77777777" w:rsidR="00395B96" w:rsidRPr="0088502A" w:rsidRDefault="00395B96" w:rsidP="00254999">
            <w:pPr>
              <w:spacing w:before="40" w:after="60"/>
              <w:jc w:val="left"/>
              <w:rPr>
                <w:sz w:val="18"/>
                <w:u w:val="single"/>
              </w:rPr>
            </w:pPr>
          </w:p>
        </w:tc>
        <w:tc>
          <w:tcPr>
            <w:tcW w:w="5670" w:type="dxa"/>
            <w:shd w:val="clear" w:color="auto" w:fill="D9D9D9" w:themeFill="background1" w:themeFillShade="D9"/>
            <w:vAlign w:val="center"/>
          </w:tcPr>
          <w:p w14:paraId="4C5E516A" w14:textId="77777777" w:rsidR="00395B96" w:rsidRPr="0088502A" w:rsidRDefault="00395B96" w:rsidP="00254999">
            <w:pPr>
              <w:spacing w:before="40" w:after="60"/>
              <w:jc w:val="center"/>
              <w:rPr>
                <w:sz w:val="18"/>
                <w:u w:val="single"/>
              </w:rPr>
            </w:pPr>
            <w:r>
              <w:rPr>
                <w:sz w:val="18"/>
                <w:u w:val="single"/>
              </w:rPr>
              <w:t>Botanische Namen</w:t>
            </w:r>
          </w:p>
        </w:tc>
        <w:tc>
          <w:tcPr>
            <w:tcW w:w="2551" w:type="dxa"/>
            <w:shd w:val="clear" w:color="auto" w:fill="D9D9D9" w:themeFill="background1" w:themeFillShade="D9"/>
            <w:vAlign w:val="center"/>
          </w:tcPr>
          <w:p w14:paraId="5966321D" w14:textId="77777777" w:rsidR="00395B96" w:rsidRPr="0088502A" w:rsidRDefault="00395B96" w:rsidP="00254999">
            <w:pPr>
              <w:spacing w:before="40" w:after="60"/>
              <w:jc w:val="center"/>
              <w:rPr>
                <w:sz w:val="18"/>
                <w:u w:val="single"/>
              </w:rPr>
            </w:pPr>
            <w:r>
              <w:rPr>
                <w:sz w:val="18"/>
                <w:u w:val="single"/>
              </w:rPr>
              <w:t>UPOV-Codes</w:t>
            </w:r>
          </w:p>
        </w:tc>
      </w:tr>
      <w:tr w:rsidR="00395B96" w:rsidRPr="00395B96" w14:paraId="4CF584B5" w14:textId="77777777" w:rsidTr="00395B96">
        <w:trPr>
          <w:cantSplit/>
        </w:trPr>
        <w:tc>
          <w:tcPr>
            <w:tcW w:w="1418" w:type="dxa"/>
            <w:tcBorders>
              <w:left w:val="nil"/>
              <w:right w:val="nil"/>
            </w:tcBorders>
          </w:tcPr>
          <w:p w14:paraId="09F318A1" w14:textId="77777777" w:rsidR="00395B96" w:rsidRPr="00395B96" w:rsidRDefault="00395B96" w:rsidP="00395B96">
            <w:pPr>
              <w:jc w:val="left"/>
              <w:rPr>
                <w:rFonts w:eastAsia="MS Mincho"/>
                <w:sz w:val="18"/>
              </w:rPr>
            </w:pPr>
          </w:p>
        </w:tc>
        <w:tc>
          <w:tcPr>
            <w:tcW w:w="5670" w:type="dxa"/>
            <w:tcBorders>
              <w:left w:val="nil"/>
              <w:right w:val="nil"/>
            </w:tcBorders>
          </w:tcPr>
          <w:p w14:paraId="4E047E54" w14:textId="77777777" w:rsidR="00395B96" w:rsidRPr="00395B96" w:rsidRDefault="00395B96" w:rsidP="00395B96">
            <w:pPr>
              <w:jc w:val="left"/>
              <w:rPr>
                <w:rFonts w:eastAsia="MS Mincho"/>
                <w:sz w:val="18"/>
              </w:rPr>
            </w:pPr>
          </w:p>
        </w:tc>
        <w:tc>
          <w:tcPr>
            <w:tcW w:w="2551" w:type="dxa"/>
            <w:tcBorders>
              <w:left w:val="nil"/>
              <w:right w:val="nil"/>
            </w:tcBorders>
          </w:tcPr>
          <w:p w14:paraId="1D6F2BF1" w14:textId="77777777" w:rsidR="00395B96" w:rsidRPr="00395B96" w:rsidRDefault="00395B96" w:rsidP="00395B96">
            <w:pPr>
              <w:jc w:val="left"/>
              <w:rPr>
                <w:rFonts w:eastAsia="MS Mincho"/>
                <w:sz w:val="18"/>
              </w:rPr>
            </w:pPr>
          </w:p>
        </w:tc>
      </w:tr>
      <w:tr w:rsidR="00395B96" w:rsidRPr="00171B2C" w14:paraId="068FDE43" w14:textId="77777777" w:rsidTr="00395B96">
        <w:trPr>
          <w:cantSplit/>
        </w:trPr>
        <w:tc>
          <w:tcPr>
            <w:tcW w:w="1418" w:type="dxa"/>
          </w:tcPr>
          <w:p w14:paraId="01F0EA86" w14:textId="77777777" w:rsidR="00395B96" w:rsidRPr="00395B96" w:rsidRDefault="00395B96" w:rsidP="00395B96">
            <w:pPr>
              <w:spacing w:before="40" w:after="40"/>
              <w:jc w:val="left"/>
              <w:rPr>
                <w:rFonts w:eastAsia="MS Mincho"/>
                <w:sz w:val="18"/>
                <w:szCs w:val="18"/>
              </w:rPr>
            </w:pPr>
            <w:r>
              <w:rPr>
                <w:rFonts w:eastAsia="MS Mincho"/>
                <w:sz w:val="18"/>
                <w:szCs w:val="18"/>
              </w:rPr>
              <w:t>Klasse 2.1</w:t>
            </w:r>
          </w:p>
        </w:tc>
        <w:tc>
          <w:tcPr>
            <w:tcW w:w="5670" w:type="dxa"/>
          </w:tcPr>
          <w:p w14:paraId="520DC518" w14:textId="3E1D446B" w:rsidR="00D630F9" w:rsidRPr="005A2060" w:rsidRDefault="00395B96" w:rsidP="00D630F9">
            <w:pPr>
              <w:jc w:val="left"/>
              <w:rPr>
                <w:rFonts w:cs="Maiandra GD"/>
                <w:iCs/>
                <w:color w:val="000000"/>
                <w:sz w:val="18"/>
                <w:szCs w:val="18"/>
                <w:highlight w:val="lightGray"/>
                <w:u w:val="single"/>
              </w:rPr>
            </w:pPr>
            <w:r>
              <w:rPr>
                <w:rFonts w:eastAsia="MS Mincho"/>
                <w:i/>
                <w:iCs/>
                <w:sz w:val="18"/>
                <w:szCs w:val="18"/>
                <w:highlight w:val="lightGray"/>
                <w:u w:val="single"/>
              </w:rPr>
              <w:t>Beta vulgaris</w:t>
            </w:r>
            <w:r>
              <w:rPr>
                <w:rFonts w:eastAsia="MS Mincho"/>
                <w:sz w:val="18"/>
                <w:szCs w:val="18"/>
                <w:highlight w:val="lightGray"/>
              </w:rPr>
              <w:t xml:space="preserve"> </w:t>
            </w:r>
            <w:r>
              <w:rPr>
                <w:sz w:val="18"/>
                <w:szCs w:val="18"/>
                <w:highlight w:val="lightGray"/>
                <w:u w:val="single"/>
              </w:rPr>
              <w:t>Futterrübengruppe</w:t>
            </w:r>
            <w:r>
              <w:rPr>
                <w:sz w:val="18"/>
                <w:szCs w:val="18"/>
                <w:u w:val="single"/>
              </w:rPr>
              <w:t xml:space="preserve"> </w:t>
            </w:r>
            <w:r>
              <w:rPr>
                <w:sz w:val="18"/>
                <w:szCs w:val="18"/>
                <w:highlight w:val="lightGray"/>
                <w:u w:val="single"/>
              </w:rPr>
              <w:t>(</w:t>
            </w:r>
            <w:r>
              <w:rPr>
                <w:rFonts w:cs="Maiandra GD"/>
                <w:iCs/>
                <w:color w:val="000000"/>
                <w:sz w:val="18"/>
                <w:szCs w:val="18"/>
                <w:highlight w:val="lightGray"/>
                <w:u w:val="single"/>
              </w:rPr>
              <w:t xml:space="preserve">Andere botanische Namen: </w:t>
            </w:r>
          </w:p>
          <w:p w14:paraId="72A015D6" w14:textId="7A868593" w:rsidR="008F16B6" w:rsidRPr="005A2060" w:rsidRDefault="008F16B6" w:rsidP="008F16B6">
            <w:pPr>
              <w:jc w:val="left"/>
              <w:rPr>
                <w:rFonts w:eastAsia="MS Mincho"/>
                <w:sz w:val="18"/>
                <w:szCs w:val="18"/>
                <w:lang w:val="pt-BR"/>
              </w:rPr>
            </w:pPr>
            <w:r w:rsidRPr="00171B2C">
              <w:rPr>
                <w:rFonts w:eastAsia="MS Mincho"/>
                <w:i/>
                <w:sz w:val="18"/>
                <w:szCs w:val="18"/>
                <w:lang w:val="es-ES"/>
              </w:rPr>
              <w:t xml:space="preserve">Beta </w:t>
            </w:r>
            <w:proofErr w:type="spellStart"/>
            <w:r w:rsidRPr="00171B2C">
              <w:rPr>
                <w:rFonts w:eastAsia="MS Mincho"/>
                <w:i/>
                <w:sz w:val="18"/>
                <w:szCs w:val="18"/>
                <w:lang w:val="es-ES"/>
              </w:rPr>
              <w:t>vulgaris</w:t>
            </w:r>
            <w:proofErr w:type="spellEnd"/>
            <w:r w:rsidRPr="00171B2C">
              <w:rPr>
                <w:rFonts w:eastAsia="MS Mincho"/>
                <w:sz w:val="18"/>
                <w:szCs w:val="18"/>
                <w:lang w:val="es-ES"/>
              </w:rPr>
              <w:t xml:space="preserve"> L. </w:t>
            </w:r>
            <w:proofErr w:type="spellStart"/>
            <w:r w:rsidRPr="00171B2C">
              <w:rPr>
                <w:rFonts w:cs="Maiandra GD"/>
                <w:iCs/>
                <w:color w:val="000000"/>
                <w:sz w:val="18"/>
                <w:szCs w:val="18"/>
                <w:highlight w:val="lightGray"/>
                <w:u w:val="single"/>
                <w:lang w:val="es-ES"/>
              </w:rPr>
              <w:t>ssp</w:t>
            </w:r>
            <w:proofErr w:type="spellEnd"/>
            <w:r w:rsidRPr="00171B2C">
              <w:rPr>
                <w:rFonts w:cs="Maiandra GD"/>
                <w:iCs/>
                <w:color w:val="000000"/>
                <w:sz w:val="18"/>
                <w:szCs w:val="18"/>
                <w:highlight w:val="lightGray"/>
                <w:u w:val="single"/>
                <w:lang w:val="es-ES"/>
              </w:rPr>
              <w:t xml:space="preserve">. </w:t>
            </w:r>
            <w:proofErr w:type="spellStart"/>
            <w:r w:rsidRPr="00171B2C">
              <w:rPr>
                <w:rFonts w:cs="Maiandra GD"/>
                <w:i/>
                <w:iCs/>
                <w:color w:val="000000"/>
                <w:sz w:val="18"/>
                <w:szCs w:val="18"/>
                <w:highlight w:val="lightGray"/>
                <w:u w:val="single"/>
                <w:lang w:val="es-ES"/>
              </w:rPr>
              <w:t>vulgaris</w:t>
            </w:r>
            <w:proofErr w:type="spellEnd"/>
            <w:r w:rsidRPr="00171B2C">
              <w:rPr>
                <w:rFonts w:cs="Maiandra GD"/>
                <w:iCs/>
                <w:color w:val="000000"/>
                <w:sz w:val="18"/>
                <w:szCs w:val="18"/>
                <w:highlight w:val="lightGray"/>
                <w:u w:val="single"/>
                <w:lang w:val="es-ES"/>
              </w:rPr>
              <w:t xml:space="preserve"> </w:t>
            </w:r>
            <w:proofErr w:type="spellStart"/>
            <w:r w:rsidRPr="00171B2C">
              <w:rPr>
                <w:rFonts w:eastAsia="MS Mincho"/>
                <w:sz w:val="18"/>
                <w:szCs w:val="18"/>
                <w:lang w:val="es-ES"/>
              </w:rPr>
              <w:t>var</w:t>
            </w:r>
            <w:proofErr w:type="spellEnd"/>
            <w:r w:rsidRPr="00171B2C">
              <w:rPr>
                <w:rFonts w:eastAsia="MS Mincho"/>
                <w:sz w:val="18"/>
                <w:szCs w:val="18"/>
                <w:lang w:val="es-ES"/>
              </w:rPr>
              <w:t xml:space="preserve">. </w:t>
            </w:r>
            <w:r w:rsidRPr="00171B2C">
              <w:rPr>
                <w:rFonts w:eastAsia="MS Mincho"/>
                <w:i/>
                <w:sz w:val="18"/>
                <w:szCs w:val="18"/>
                <w:lang w:val="es-ES"/>
              </w:rPr>
              <w:t>alba</w:t>
            </w:r>
            <w:r w:rsidRPr="00171B2C">
              <w:rPr>
                <w:rFonts w:eastAsia="MS Mincho"/>
                <w:sz w:val="18"/>
                <w:szCs w:val="18"/>
                <w:lang w:val="es-ES"/>
              </w:rPr>
              <w:t xml:space="preserve"> DC., </w:t>
            </w:r>
          </w:p>
          <w:p w14:paraId="33DF5497" w14:textId="6D5C2589" w:rsidR="00D630F9" w:rsidRPr="005A2060" w:rsidRDefault="00D630F9" w:rsidP="00D630F9">
            <w:pPr>
              <w:jc w:val="left"/>
              <w:rPr>
                <w:rFonts w:cs="Maiandra GD"/>
                <w:iCs/>
                <w:color w:val="000000"/>
                <w:sz w:val="18"/>
                <w:szCs w:val="18"/>
                <w:highlight w:val="lightGray"/>
                <w:u w:val="single"/>
                <w:lang w:val="pt-BR"/>
              </w:rPr>
            </w:pPr>
            <w:r w:rsidRPr="00467BF9">
              <w:rPr>
                <w:rFonts w:cs="Maiandra GD"/>
                <w:i/>
                <w:iCs/>
                <w:color w:val="000000"/>
                <w:sz w:val="18"/>
                <w:szCs w:val="18"/>
                <w:highlight w:val="lightGray"/>
                <w:u w:val="single"/>
                <w:lang w:val="fr-FR"/>
              </w:rPr>
              <w:t>B. vulgaris</w:t>
            </w:r>
            <w:r w:rsidRPr="00467BF9">
              <w:rPr>
                <w:rFonts w:cs="Maiandra GD"/>
                <w:iCs/>
                <w:color w:val="000000"/>
                <w:sz w:val="18"/>
                <w:szCs w:val="18"/>
                <w:highlight w:val="lightGray"/>
                <w:u w:val="single"/>
                <w:lang w:val="fr-FR"/>
              </w:rPr>
              <w:t xml:space="preserve"> L. </w:t>
            </w:r>
            <w:proofErr w:type="spellStart"/>
            <w:r w:rsidRPr="00467BF9">
              <w:rPr>
                <w:rFonts w:cs="Maiandra GD"/>
                <w:iCs/>
                <w:color w:val="000000"/>
                <w:sz w:val="18"/>
                <w:szCs w:val="18"/>
                <w:highlight w:val="lightGray"/>
                <w:u w:val="single"/>
                <w:lang w:val="fr-FR"/>
              </w:rPr>
              <w:t>ssp</w:t>
            </w:r>
            <w:proofErr w:type="spellEnd"/>
            <w:r w:rsidRPr="00467BF9">
              <w:rPr>
                <w:rFonts w:cs="Maiandra GD"/>
                <w:iCs/>
                <w:color w:val="000000"/>
                <w:sz w:val="18"/>
                <w:szCs w:val="18"/>
                <w:highlight w:val="lightGray"/>
                <w:u w:val="single"/>
                <w:lang w:val="fr-FR"/>
              </w:rPr>
              <w:t xml:space="preserve">. </w:t>
            </w:r>
            <w:proofErr w:type="gramStart"/>
            <w:r w:rsidRPr="00467BF9">
              <w:rPr>
                <w:rFonts w:cs="Maiandra GD"/>
                <w:i/>
                <w:iCs/>
                <w:color w:val="000000"/>
                <w:sz w:val="18"/>
                <w:szCs w:val="18"/>
                <w:highlight w:val="lightGray"/>
                <w:u w:val="single"/>
                <w:lang w:val="fr-FR"/>
              </w:rPr>
              <w:t>vulgaris</w:t>
            </w:r>
            <w:proofErr w:type="gramEnd"/>
            <w:r w:rsidRPr="00467BF9">
              <w:rPr>
                <w:rFonts w:cs="Maiandra GD"/>
                <w:iCs/>
                <w:color w:val="000000"/>
                <w:sz w:val="18"/>
                <w:szCs w:val="18"/>
                <w:highlight w:val="lightGray"/>
                <w:u w:val="single"/>
                <w:lang w:val="fr-FR"/>
              </w:rPr>
              <w:t xml:space="preserve"> var. </w:t>
            </w:r>
            <w:r w:rsidRPr="00467BF9">
              <w:rPr>
                <w:rFonts w:cs="Maiandra GD"/>
                <w:i/>
                <w:iCs/>
                <w:color w:val="000000"/>
                <w:sz w:val="18"/>
                <w:szCs w:val="18"/>
                <w:highlight w:val="lightGray"/>
                <w:u w:val="single"/>
                <w:lang w:val="fr-FR"/>
              </w:rPr>
              <w:t>crassa</w:t>
            </w:r>
            <w:r w:rsidRPr="00467BF9">
              <w:rPr>
                <w:rFonts w:cs="Maiandra GD"/>
                <w:iCs/>
                <w:color w:val="000000"/>
                <w:sz w:val="18"/>
                <w:szCs w:val="18"/>
                <w:highlight w:val="lightGray"/>
                <w:u w:val="single"/>
                <w:lang w:val="fr-FR"/>
              </w:rPr>
              <w:t xml:space="preserve"> Alef.</w:t>
            </w:r>
            <w:r w:rsidR="00542140">
              <w:rPr>
                <w:rFonts w:cs="Maiandra GD"/>
                <w:iCs/>
                <w:color w:val="000000"/>
                <w:sz w:val="18"/>
                <w:szCs w:val="18"/>
                <w:highlight w:val="lightGray"/>
                <w:u w:val="single"/>
                <w:lang w:val="fr-FR"/>
              </w:rPr>
              <w:t>,</w:t>
            </w:r>
            <w:r w:rsidRPr="00467BF9">
              <w:rPr>
                <w:rFonts w:cs="Maiandra GD"/>
                <w:iCs/>
                <w:color w:val="000000"/>
                <w:sz w:val="18"/>
                <w:szCs w:val="18"/>
                <w:highlight w:val="lightGray"/>
                <w:u w:val="single"/>
                <w:lang w:val="fr-FR"/>
              </w:rPr>
              <w:t xml:space="preserve"> </w:t>
            </w:r>
          </w:p>
          <w:p w14:paraId="1C8FA356" w14:textId="6FA13F60" w:rsidR="00D630F9" w:rsidRPr="005A2060" w:rsidRDefault="00DB1A6A" w:rsidP="00D630F9">
            <w:pPr>
              <w:jc w:val="left"/>
              <w:rPr>
                <w:rFonts w:cs="Maiandra GD"/>
                <w:iCs/>
                <w:color w:val="000000"/>
                <w:sz w:val="18"/>
                <w:szCs w:val="18"/>
                <w:highlight w:val="lightGray"/>
                <w:u w:val="single"/>
                <w:lang w:val="pt-BR"/>
              </w:rPr>
            </w:pPr>
            <w:r w:rsidRPr="00467BF9">
              <w:rPr>
                <w:rFonts w:cs="Maiandra GD"/>
                <w:i/>
                <w:iCs/>
                <w:color w:val="000000"/>
                <w:sz w:val="18"/>
                <w:szCs w:val="18"/>
                <w:highlight w:val="lightGray"/>
                <w:u w:val="single"/>
                <w:lang w:val="fr-FR"/>
              </w:rPr>
              <w:t>B. vulgaris</w:t>
            </w:r>
            <w:r w:rsidRPr="00467BF9">
              <w:rPr>
                <w:rFonts w:cs="Maiandra GD"/>
                <w:iCs/>
                <w:color w:val="000000"/>
                <w:sz w:val="18"/>
                <w:szCs w:val="18"/>
                <w:highlight w:val="lightGray"/>
                <w:u w:val="single"/>
                <w:lang w:val="fr-FR"/>
              </w:rPr>
              <w:t xml:space="preserve"> L. </w:t>
            </w:r>
            <w:proofErr w:type="spellStart"/>
            <w:r w:rsidRPr="00467BF9">
              <w:rPr>
                <w:rFonts w:cs="Maiandra GD"/>
                <w:iCs/>
                <w:color w:val="000000"/>
                <w:sz w:val="18"/>
                <w:szCs w:val="18"/>
                <w:highlight w:val="lightGray"/>
                <w:u w:val="single"/>
                <w:lang w:val="fr-FR"/>
              </w:rPr>
              <w:t>ssp</w:t>
            </w:r>
            <w:proofErr w:type="spellEnd"/>
            <w:r w:rsidRPr="00467BF9">
              <w:rPr>
                <w:rFonts w:cs="Maiandra GD"/>
                <w:iCs/>
                <w:color w:val="000000"/>
                <w:sz w:val="18"/>
                <w:szCs w:val="18"/>
                <w:highlight w:val="lightGray"/>
                <w:u w:val="single"/>
                <w:lang w:val="fr-FR"/>
              </w:rPr>
              <w:t xml:space="preserve">. </w:t>
            </w:r>
            <w:proofErr w:type="gramStart"/>
            <w:r w:rsidRPr="00467BF9">
              <w:rPr>
                <w:rFonts w:cs="Maiandra GD"/>
                <w:i/>
                <w:iCs/>
                <w:color w:val="000000"/>
                <w:sz w:val="18"/>
                <w:szCs w:val="18"/>
                <w:highlight w:val="lightGray"/>
                <w:u w:val="single"/>
                <w:lang w:val="fr-FR"/>
              </w:rPr>
              <w:t>vulgaris</w:t>
            </w:r>
            <w:proofErr w:type="gramEnd"/>
            <w:r w:rsidRPr="00467BF9">
              <w:rPr>
                <w:rFonts w:cs="Maiandra GD"/>
                <w:iCs/>
                <w:color w:val="000000"/>
                <w:sz w:val="18"/>
                <w:szCs w:val="18"/>
                <w:highlight w:val="lightGray"/>
                <w:u w:val="single"/>
                <w:lang w:val="fr-FR"/>
              </w:rPr>
              <w:t xml:space="preserve"> var. </w:t>
            </w:r>
            <w:r w:rsidRPr="00467BF9">
              <w:rPr>
                <w:rFonts w:cs="Maiandra GD"/>
                <w:i/>
                <w:iCs/>
                <w:color w:val="000000"/>
                <w:sz w:val="18"/>
                <w:szCs w:val="18"/>
                <w:highlight w:val="lightGray"/>
                <w:u w:val="single"/>
                <w:lang w:val="fr-FR"/>
              </w:rPr>
              <w:t>crassa</w:t>
            </w:r>
            <w:r w:rsidRPr="00467BF9">
              <w:rPr>
                <w:rFonts w:cs="Maiandra GD"/>
                <w:iCs/>
                <w:color w:val="000000"/>
                <w:sz w:val="18"/>
                <w:szCs w:val="18"/>
                <w:highlight w:val="lightGray"/>
                <w:u w:val="single"/>
                <w:lang w:val="fr-FR"/>
              </w:rPr>
              <w:t xml:space="preserve"> </w:t>
            </w:r>
            <w:proofErr w:type="spellStart"/>
            <w:r w:rsidRPr="00467BF9">
              <w:rPr>
                <w:rFonts w:cs="Maiandra GD"/>
                <w:iCs/>
                <w:color w:val="000000"/>
                <w:sz w:val="18"/>
                <w:szCs w:val="18"/>
                <w:highlight w:val="lightGray"/>
                <w:u w:val="single"/>
                <w:lang w:val="fr-FR"/>
              </w:rPr>
              <w:t>Mansf</w:t>
            </w:r>
            <w:proofErr w:type="spellEnd"/>
            <w:r w:rsidRPr="00467BF9">
              <w:rPr>
                <w:rFonts w:cs="Maiandra GD"/>
                <w:iCs/>
                <w:color w:val="000000"/>
                <w:sz w:val="18"/>
                <w:szCs w:val="18"/>
                <w:highlight w:val="lightGray"/>
                <w:u w:val="single"/>
                <w:lang w:val="fr-FR"/>
              </w:rPr>
              <w:t>.</w:t>
            </w:r>
            <w:r w:rsidR="00542140">
              <w:rPr>
                <w:rFonts w:cs="Maiandra GD"/>
                <w:iCs/>
                <w:color w:val="000000"/>
                <w:sz w:val="18"/>
                <w:szCs w:val="18"/>
                <w:highlight w:val="lightGray"/>
                <w:u w:val="single"/>
                <w:lang w:val="fr-FR"/>
              </w:rPr>
              <w:t>,</w:t>
            </w:r>
            <w:r w:rsidR="0062652A">
              <w:rPr>
                <w:rFonts w:cs="Maiandra GD"/>
                <w:iCs/>
                <w:color w:val="000000"/>
                <w:sz w:val="18"/>
                <w:szCs w:val="18"/>
                <w:highlight w:val="lightGray"/>
                <w:u w:val="single"/>
                <w:lang w:val="fr-FR"/>
              </w:rPr>
              <w:t xml:space="preserve"> </w:t>
            </w:r>
          </w:p>
          <w:p w14:paraId="1CE87A7D" w14:textId="3569B6EE" w:rsidR="00D630F9" w:rsidRPr="005A2060" w:rsidRDefault="00DB1A6A" w:rsidP="00D630F9">
            <w:pPr>
              <w:jc w:val="left"/>
              <w:rPr>
                <w:rFonts w:cs="Maiandra GD"/>
                <w:iCs/>
                <w:color w:val="000000"/>
                <w:sz w:val="18"/>
                <w:szCs w:val="18"/>
                <w:u w:val="single"/>
                <w:lang w:val="pt-BR"/>
              </w:rPr>
            </w:pPr>
            <w:r w:rsidRPr="00171B2C">
              <w:rPr>
                <w:rFonts w:cs="Maiandra GD"/>
                <w:i/>
                <w:iCs/>
                <w:color w:val="000000"/>
                <w:sz w:val="18"/>
                <w:szCs w:val="18"/>
                <w:highlight w:val="lightGray"/>
                <w:u w:val="single"/>
                <w:lang w:val="pt-BR"/>
              </w:rPr>
              <w:t>B. vulgaris</w:t>
            </w:r>
            <w:r w:rsidRPr="00171B2C">
              <w:rPr>
                <w:rFonts w:cs="Maiandra GD"/>
                <w:iCs/>
                <w:color w:val="000000"/>
                <w:sz w:val="18"/>
                <w:szCs w:val="18"/>
                <w:highlight w:val="lightGray"/>
                <w:u w:val="single"/>
                <w:lang w:val="pt-BR"/>
              </w:rPr>
              <w:t xml:space="preserve"> L. ssp. </w:t>
            </w:r>
            <w:r w:rsidRPr="00171B2C">
              <w:rPr>
                <w:rFonts w:cs="Maiandra GD"/>
                <w:i/>
                <w:iCs/>
                <w:color w:val="000000"/>
                <w:sz w:val="18"/>
                <w:szCs w:val="18"/>
                <w:highlight w:val="lightGray"/>
                <w:u w:val="single"/>
                <w:lang w:val="pt-BR"/>
              </w:rPr>
              <w:t>vulgaris</w:t>
            </w:r>
            <w:r w:rsidRPr="00171B2C">
              <w:rPr>
                <w:rFonts w:cs="Maiandra GD"/>
                <w:iCs/>
                <w:color w:val="000000"/>
                <w:sz w:val="18"/>
                <w:szCs w:val="18"/>
                <w:highlight w:val="lightGray"/>
                <w:u w:val="single"/>
                <w:lang w:val="pt-BR"/>
              </w:rPr>
              <w:t xml:space="preserve"> var. </w:t>
            </w:r>
            <w:r w:rsidRPr="00171B2C">
              <w:rPr>
                <w:rFonts w:cs="Maiandra GD"/>
                <w:i/>
                <w:iCs/>
                <w:color w:val="000000"/>
                <w:sz w:val="18"/>
                <w:szCs w:val="18"/>
                <w:highlight w:val="lightGray"/>
                <w:u w:val="single"/>
                <w:lang w:val="pt-BR"/>
              </w:rPr>
              <w:t>rapacea</w:t>
            </w:r>
            <w:r w:rsidRPr="00171B2C">
              <w:rPr>
                <w:rFonts w:cs="Maiandra GD"/>
                <w:iCs/>
                <w:color w:val="000000"/>
                <w:sz w:val="18"/>
                <w:szCs w:val="18"/>
                <w:highlight w:val="lightGray"/>
                <w:u w:val="single"/>
                <w:lang w:val="pt-BR"/>
              </w:rPr>
              <w:t xml:space="preserve"> K. Koch</w:t>
            </w:r>
            <w:r w:rsidRPr="00171B2C">
              <w:rPr>
                <w:rFonts w:cs="Maiandra GD"/>
                <w:iCs/>
                <w:color w:val="000000"/>
                <w:sz w:val="18"/>
                <w:szCs w:val="18"/>
                <w:u w:val="single"/>
                <w:lang w:val="pt-BR"/>
              </w:rPr>
              <w:t>)</w:t>
            </w:r>
          </w:p>
          <w:p w14:paraId="1E21023A" w14:textId="77777777" w:rsidR="00D630F9" w:rsidRPr="005A2060" w:rsidRDefault="00D630F9" w:rsidP="00395B96">
            <w:pPr>
              <w:spacing w:before="40" w:after="40"/>
              <w:jc w:val="left"/>
              <w:rPr>
                <w:rFonts w:eastAsia="MS Mincho"/>
                <w:i/>
                <w:sz w:val="18"/>
                <w:szCs w:val="18"/>
                <w:lang w:val="pt-BR"/>
              </w:rPr>
            </w:pPr>
          </w:p>
          <w:p w14:paraId="24962A98" w14:textId="77777777" w:rsidR="00D630F9" w:rsidRPr="005A2060" w:rsidRDefault="00D630F9" w:rsidP="00D630F9">
            <w:pPr>
              <w:jc w:val="left"/>
              <w:rPr>
                <w:rFonts w:cs="Maiandra GD"/>
                <w:iCs/>
                <w:color w:val="000000"/>
                <w:sz w:val="18"/>
                <w:szCs w:val="18"/>
                <w:highlight w:val="lightGray"/>
                <w:u w:val="single"/>
              </w:rPr>
            </w:pPr>
            <w:r>
              <w:rPr>
                <w:rFonts w:eastAsia="MS Mincho"/>
                <w:i/>
                <w:iCs/>
                <w:sz w:val="18"/>
                <w:szCs w:val="18"/>
                <w:highlight w:val="lightGray"/>
                <w:u w:val="single"/>
              </w:rPr>
              <w:t>Beta vulgaris</w:t>
            </w:r>
            <w:r>
              <w:rPr>
                <w:rFonts w:eastAsia="MS Mincho"/>
                <w:sz w:val="18"/>
                <w:szCs w:val="18"/>
                <w:highlight w:val="lightGray"/>
              </w:rPr>
              <w:t xml:space="preserve"> </w:t>
            </w:r>
            <w:r>
              <w:rPr>
                <w:rFonts w:cs="Maiandra GD"/>
                <w:iCs/>
                <w:color w:val="000000"/>
                <w:sz w:val="18"/>
                <w:szCs w:val="18"/>
                <w:highlight w:val="lightGray"/>
                <w:u w:val="single"/>
              </w:rPr>
              <w:t>Zuckerrübengruppe</w:t>
            </w:r>
            <w:r>
              <w:rPr>
                <w:rFonts w:eastAsia="MS Mincho"/>
                <w:i/>
                <w:sz w:val="18"/>
                <w:szCs w:val="18"/>
              </w:rPr>
              <w:t xml:space="preserve"> </w:t>
            </w:r>
            <w:r>
              <w:rPr>
                <w:rFonts w:eastAsia="MS Mincho"/>
                <w:iCs/>
                <w:sz w:val="18"/>
                <w:szCs w:val="18"/>
                <w:highlight w:val="lightGray"/>
                <w:u w:val="single"/>
              </w:rPr>
              <w:t>(</w:t>
            </w:r>
            <w:r>
              <w:rPr>
                <w:rFonts w:eastAsia="MS Mincho"/>
                <w:sz w:val="18"/>
                <w:szCs w:val="18"/>
                <w:highlight w:val="lightGray"/>
              </w:rPr>
              <w:t>Andere botanische Namen:</w:t>
            </w:r>
          </w:p>
          <w:p w14:paraId="58631D4E" w14:textId="698A2A2F" w:rsidR="00D630F9" w:rsidRPr="005A2060" w:rsidRDefault="00DB1A6A" w:rsidP="00D630F9">
            <w:pPr>
              <w:jc w:val="left"/>
              <w:rPr>
                <w:rFonts w:cs="Maiandra GD"/>
                <w:iCs/>
                <w:color w:val="000000"/>
                <w:sz w:val="18"/>
                <w:szCs w:val="18"/>
                <w:u w:val="single"/>
                <w:lang w:val="pt-BR"/>
              </w:rPr>
            </w:pPr>
            <w:r w:rsidRPr="00467BF9">
              <w:rPr>
                <w:rFonts w:cs="Maiandra GD"/>
                <w:i/>
                <w:iCs/>
                <w:color w:val="000000"/>
                <w:sz w:val="18"/>
                <w:szCs w:val="18"/>
                <w:highlight w:val="lightGray"/>
                <w:u w:val="single"/>
                <w:lang w:val="fr-FR"/>
              </w:rPr>
              <w:t>Beta vulgaris</w:t>
            </w:r>
            <w:r w:rsidRPr="00467BF9">
              <w:rPr>
                <w:rFonts w:cs="Maiandra GD"/>
                <w:iCs/>
                <w:color w:val="000000"/>
                <w:sz w:val="18"/>
                <w:szCs w:val="18"/>
                <w:highlight w:val="lightGray"/>
                <w:u w:val="single"/>
                <w:lang w:val="fr-FR"/>
              </w:rPr>
              <w:t xml:space="preserve"> L. </w:t>
            </w:r>
            <w:proofErr w:type="spellStart"/>
            <w:r w:rsidRPr="00467BF9">
              <w:rPr>
                <w:rFonts w:cs="Maiandra GD"/>
                <w:iCs/>
                <w:color w:val="000000"/>
                <w:sz w:val="18"/>
                <w:szCs w:val="18"/>
                <w:highlight w:val="lightGray"/>
                <w:u w:val="single"/>
                <w:lang w:val="fr-FR"/>
              </w:rPr>
              <w:t>ssp</w:t>
            </w:r>
            <w:proofErr w:type="spellEnd"/>
            <w:r w:rsidRPr="00467BF9">
              <w:rPr>
                <w:rFonts w:cs="Maiandra GD"/>
                <w:iCs/>
                <w:color w:val="000000"/>
                <w:sz w:val="18"/>
                <w:szCs w:val="18"/>
                <w:highlight w:val="lightGray"/>
                <w:u w:val="single"/>
                <w:lang w:val="fr-FR"/>
              </w:rPr>
              <w:t xml:space="preserve">. </w:t>
            </w:r>
            <w:proofErr w:type="gramStart"/>
            <w:r w:rsidRPr="00467BF9">
              <w:rPr>
                <w:rFonts w:cs="Maiandra GD"/>
                <w:i/>
                <w:iCs/>
                <w:color w:val="000000"/>
                <w:sz w:val="18"/>
                <w:szCs w:val="18"/>
                <w:highlight w:val="lightGray"/>
                <w:u w:val="single"/>
                <w:lang w:val="fr-FR"/>
              </w:rPr>
              <w:t>vulgaris</w:t>
            </w:r>
            <w:proofErr w:type="gramEnd"/>
            <w:r w:rsidRPr="00467BF9">
              <w:rPr>
                <w:rFonts w:cs="Maiandra GD"/>
                <w:iCs/>
                <w:color w:val="000000"/>
                <w:sz w:val="18"/>
                <w:szCs w:val="18"/>
                <w:highlight w:val="lightGray"/>
                <w:u w:val="single"/>
                <w:lang w:val="fr-FR"/>
              </w:rPr>
              <w:t xml:space="preserve"> var. </w:t>
            </w:r>
            <w:proofErr w:type="spellStart"/>
            <w:r w:rsidRPr="00467BF9">
              <w:rPr>
                <w:rFonts w:cs="Maiandra GD"/>
                <w:i/>
                <w:iCs/>
                <w:color w:val="000000"/>
                <w:sz w:val="18"/>
                <w:szCs w:val="18"/>
                <w:highlight w:val="lightGray"/>
                <w:u w:val="single"/>
                <w:lang w:val="fr-FR"/>
              </w:rPr>
              <w:t>saccharifera</w:t>
            </w:r>
            <w:proofErr w:type="spellEnd"/>
            <w:r w:rsidRPr="00467BF9">
              <w:rPr>
                <w:rFonts w:cs="Maiandra GD"/>
                <w:iCs/>
                <w:color w:val="000000"/>
                <w:sz w:val="18"/>
                <w:szCs w:val="18"/>
                <w:highlight w:val="lightGray"/>
                <w:u w:val="single"/>
                <w:lang w:val="fr-FR"/>
              </w:rPr>
              <w:t xml:space="preserve"> Alef.</w:t>
            </w:r>
          </w:p>
          <w:p w14:paraId="077A30F8" w14:textId="77777777" w:rsidR="00395B96" w:rsidRDefault="00395B96" w:rsidP="00395B96">
            <w:pPr>
              <w:spacing w:before="40" w:after="40"/>
              <w:jc w:val="left"/>
              <w:rPr>
                <w:sz w:val="18"/>
                <w:szCs w:val="18"/>
                <w:u w:val="single"/>
                <w:lang w:val="pt-BR"/>
              </w:rPr>
            </w:pPr>
            <w:r w:rsidRPr="00171B2C">
              <w:rPr>
                <w:rFonts w:eastAsia="MS Mincho"/>
                <w:i/>
                <w:sz w:val="18"/>
                <w:szCs w:val="18"/>
                <w:lang w:val="es-ES"/>
              </w:rPr>
              <w:t xml:space="preserve">Beta </w:t>
            </w:r>
            <w:proofErr w:type="spellStart"/>
            <w:r w:rsidRPr="00171B2C">
              <w:rPr>
                <w:rFonts w:eastAsia="MS Mincho"/>
                <w:i/>
                <w:sz w:val="18"/>
                <w:szCs w:val="18"/>
                <w:lang w:val="es-ES"/>
              </w:rPr>
              <w:t>vulgaris</w:t>
            </w:r>
            <w:proofErr w:type="spellEnd"/>
            <w:r w:rsidRPr="00171B2C">
              <w:rPr>
                <w:rFonts w:eastAsia="MS Mincho"/>
                <w:sz w:val="18"/>
                <w:szCs w:val="18"/>
                <w:lang w:val="es-ES"/>
              </w:rPr>
              <w:t xml:space="preserve"> L. </w:t>
            </w:r>
            <w:proofErr w:type="spellStart"/>
            <w:r w:rsidRPr="00171B2C">
              <w:rPr>
                <w:rFonts w:eastAsia="MS Mincho"/>
                <w:sz w:val="18"/>
                <w:szCs w:val="18"/>
                <w:highlight w:val="lightGray"/>
                <w:u w:val="single"/>
                <w:lang w:val="es-ES"/>
              </w:rPr>
              <w:t>ssp</w:t>
            </w:r>
            <w:proofErr w:type="spellEnd"/>
            <w:r w:rsidRPr="00171B2C">
              <w:rPr>
                <w:rFonts w:eastAsia="MS Mincho"/>
                <w:sz w:val="18"/>
                <w:szCs w:val="18"/>
                <w:highlight w:val="lightGray"/>
                <w:u w:val="single"/>
                <w:lang w:val="es-ES"/>
              </w:rPr>
              <w:t xml:space="preserve">. </w:t>
            </w:r>
            <w:proofErr w:type="spellStart"/>
            <w:r w:rsidRPr="00171B2C">
              <w:rPr>
                <w:rFonts w:eastAsia="MS Mincho"/>
                <w:i/>
                <w:iCs/>
                <w:sz w:val="18"/>
                <w:szCs w:val="18"/>
                <w:highlight w:val="lightGray"/>
                <w:u w:val="single"/>
                <w:lang w:val="es-ES"/>
              </w:rPr>
              <w:t>vulgaris</w:t>
            </w:r>
            <w:proofErr w:type="spellEnd"/>
            <w:r w:rsidRPr="00171B2C">
              <w:rPr>
                <w:rFonts w:eastAsia="MS Mincho"/>
                <w:sz w:val="18"/>
                <w:szCs w:val="18"/>
                <w:lang w:val="es-ES"/>
              </w:rPr>
              <w:t xml:space="preserve"> </w:t>
            </w:r>
            <w:proofErr w:type="spellStart"/>
            <w:r w:rsidRPr="00171B2C">
              <w:rPr>
                <w:rFonts w:eastAsia="MS Mincho"/>
                <w:sz w:val="18"/>
                <w:szCs w:val="18"/>
                <w:lang w:val="es-ES"/>
              </w:rPr>
              <w:t>var</w:t>
            </w:r>
            <w:proofErr w:type="spellEnd"/>
            <w:r w:rsidRPr="00171B2C">
              <w:rPr>
                <w:rFonts w:eastAsia="MS Mincho"/>
                <w:sz w:val="18"/>
                <w:szCs w:val="18"/>
                <w:lang w:val="es-ES"/>
              </w:rPr>
              <w:t xml:space="preserve">. </w:t>
            </w:r>
            <w:proofErr w:type="spellStart"/>
            <w:r w:rsidRPr="00171B2C">
              <w:rPr>
                <w:rFonts w:eastAsia="MS Mincho"/>
                <w:i/>
                <w:sz w:val="18"/>
                <w:szCs w:val="18"/>
                <w:lang w:val="es-ES"/>
              </w:rPr>
              <w:t>altissima</w:t>
            </w:r>
            <w:proofErr w:type="spellEnd"/>
            <w:r w:rsidRPr="00171B2C">
              <w:rPr>
                <w:rFonts w:eastAsia="MS Mincho"/>
                <w:i/>
                <w:sz w:val="18"/>
                <w:szCs w:val="18"/>
                <w:lang w:val="es-ES"/>
              </w:rPr>
              <w:t xml:space="preserve"> </w:t>
            </w:r>
            <w:proofErr w:type="spellStart"/>
            <w:r w:rsidRPr="00171B2C">
              <w:rPr>
                <w:rFonts w:eastAsia="MS Mincho"/>
                <w:iCs/>
                <w:sz w:val="18"/>
                <w:szCs w:val="18"/>
                <w:highlight w:val="lightGray"/>
                <w:u w:val="single"/>
                <w:lang w:val="es-ES"/>
              </w:rPr>
              <w:t>Doell</w:t>
            </w:r>
            <w:proofErr w:type="spellEnd"/>
            <w:r w:rsidRPr="00171B2C">
              <w:rPr>
                <w:sz w:val="18"/>
                <w:szCs w:val="18"/>
                <w:highlight w:val="lightGray"/>
                <w:u w:val="single"/>
                <w:lang w:val="es-ES"/>
              </w:rPr>
              <w:t>)</w:t>
            </w:r>
          </w:p>
          <w:p w14:paraId="1261D732" w14:textId="70805CEF" w:rsidR="005A2060" w:rsidRPr="00395B96" w:rsidRDefault="005A2060" w:rsidP="00395B96">
            <w:pPr>
              <w:spacing w:before="40" w:after="40"/>
              <w:jc w:val="left"/>
              <w:rPr>
                <w:rFonts w:eastAsia="MS Mincho"/>
                <w:sz w:val="18"/>
                <w:szCs w:val="18"/>
                <w:lang w:val="pt-BR"/>
              </w:rPr>
            </w:pPr>
          </w:p>
        </w:tc>
        <w:tc>
          <w:tcPr>
            <w:tcW w:w="2551" w:type="dxa"/>
          </w:tcPr>
          <w:p w14:paraId="1692D2AE" w14:textId="33C19953" w:rsidR="00D630F9" w:rsidRPr="005A2060" w:rsidRDefault="00395B96" w:rsidP="00395B96">
            <w:pPr>
              <w:spacing w:before="40" w:after="40"/>
              <w:jc w:val="left"/>
              <w:rPr>
                <w:rFonts w:eastAsia="MS Mincho"/>
                <w:sz w:val="18"/>
                <w:szCs w:val="18"/>
                <w:lang w:val="nl-NL"/>
              </w:rPr>
            </w:pPr>
            <w:r w:rsidRPr="00467BF9">
              <w:rPr>
                <w:rFonts w:eastAsia="MS Mincho"/>
                <w:sz w:val="18"/>
                <w:szCs w:val="18"/>
                <w:lang w:val="pt-BR"/>
              </w:rPr>
              <w:t>BETAA_VUL_GVA</w:t>
            </w:r>
            <w:r w:rsidR="00542140">
              <w:rPr>
                <w:rFonts w:eastAsia="MS Mincho"/>
                <w:sz w:val="18"/>
                <w:szCs w:val="18"/>
                <w:lang w:val="pt-BR"/>
              </w:rPr>
              <w:t>,</w:t>
            </w:r>
            <w:r w:rsidR="0062652A">
              <w:rPr>
                <w:rFonts w:eastAsia="MS Mincho"/>
                <w:sz w:val="18"/>
                <w:szCs w:val="18"/>
                <w:lang w:val="pt-BR"/>
              </w:rPr>
              <w:t xml:space="preserve"> </w:t>
            </w:r>
          </w:p>
          <w:p w14:paraId="5636B268" w14:textId="77777777" w:rsidR="00D630F9" w:rsidRPr="005A2060" w:rsidRDefault="00D630F9" w:rsidP="00395B96">
            <w:pPr>
              <w:spacing w:before="40" w:after="40"/>
              <w:jc w:val="left"/>
              <w:rPr>
                <w:rFonts w:eastAsia="MS Mincho"/>
                <w:sz w:val="18"/>
                <w:szCs w:val="18"/>
                <w:lang w:val="nl-NL"/>
              </w:rPr>
            </w:pPr>
          </w:p>
          <w:p w14:paraId="585BC90E" w14:textId="77777777" w:rsidR="00D630F9" w:rsidRPr="005A2060" w:rsidRDefault="00D630F9" w:rsidP="00395B96">
            <w:pPr>
              <w:spacing w:before="40" w:after="40"/>
              <w:jc w:val="left"/>
              <w:rPr>
                <w:rFonts w:eastAsia="MS Mincho"/>
                <w:sz w:val="18"/>
                <w:szCs w:val="18"/>
                <w:lang w:val="nl-NL"/>
              </w:rPr>
            </w:pPr>
          </w:p>
          <w:p w14:paraId="43089056" w14:textId="3122D2EE" w:rsidR="00D630F9" w:rsidRPr="005A2060" w:rsidRDefault="00D630F9" w:rsidP="00395B96">
            <w:pPr>
              <w:spacing w:before="40" w:after="40"/>
              <w:jc w:val="left"/>
              <w:rPr>
                <w:rFonts w:eastAsia="MS Mincho"/>
                <w:sz w:val="18"/>
                <w:szCs w:val="18"/>
                <w:lang w:val="nl-NL"/>
              </w:rPr>
            </w:pPr>
          </w:p>
          <w:p w14:paraId="23BB7200" w14:textId="77777777" w:rsidR="00D630F9" w:rsidRPr="005A2060" w:rsidRDefault="00D630F9" w:rsidP="00395B96">
            <w:pPr>
              <w:spacing w:before="40" w:after="40"/>
              <w:jc w:val="left"/>
              <w:rPr>
                <w:rFonts w:eastAsia="MS Mincho"/>
                <w:sz w:val="18"/>
                <w:szCs w:val="18"/>
                <w:lang w:val="nl-NL"/>
              </w:rPr>
            </w:pPr>
          </w:p>
          <w:p w14:paraId="4E895BB4" w14:textId="543CFED2" w:rsidR="00395B96" w:rsidRPr="00395B96" w:rsidRDefault="00395B96" w:rsidP="00395B96">
            <w:pPr>
              <w:spacing w:before="40" w:after="40"/>
              <w:jc w:val="left"/>
              <w:rPr>
                <w:rFonts w:eastAsia="MS Mincho"/>
                <w:sz w:val="18"/>
                <w:szCs w:val="18"/>
                <w:lang w:val="nl-NL"/>
              </w:rPr>
            </w:pPr>
            <w:r w:rsidRPr="00467BF9">
              <w:rPr>
                <w:rFonts w:eastAsia="MS Mincho"/>
                <w:sz w:val="18"/>
                <w:szCs w:val="18"/>
                <w:lang w:val="pt-BR"/>
              </w:rPr>
              <w:t>BETAA_VUL_GVS</w:t>
            </w:r>
          </w:p>
        </w:tc>
      </w:tr>
      <w:tr w:rsidR="00395B96" w:rsidRPr="00171B2C" w14:paraId="6D65274E" w14:textId="77777777" w:rsidTr="00395B96">
        <w:trPr>
          <w:cantSplit/>
        </w:trPr>
        <w:tc>
          <w:tcPr>
            <w:tcW w:w="1418" w:type="dxa"/>
          </w:tcPr>
          <w:p w14:paraId="584E69F5" w14:textId="77777777" w:rsidR="00395B96" w:rsidRPr="00395B96" w:rsidRDefault="00395B96" w:rsidP="00395B96">
            <w:pPr>
              <w:spacing w:before="40" w:after="40"/>
              <w:jc w:val="left"/>
              <w:rPr>
                <w:rFonts w:eastAsia="MS Mincho"/>
                <w:sz w:val="18"/>
                <w:szCs w:val="18"/>
              </w:rPr>
            </w:pPr>
            <w:r>
              <w:rPr>
                <w:rFonts w:eastAsia="MS Mincho"/>
                <w:sz w:val="18"/>
                <w:szCs w:val="18"/>
              </w:rPr>
              <w:t>Klasse 2.2</w:t>
            </w:r>
          </w:p>
        </w:tc>
        <w:tc>
          <w:tcPr>
            <w:tcW w:w="5670" w:type="dxa"/>
          </w:tcPr>
          <w:p w14:paraId="59C222A7" w14:textId="4653D0D4" w:rsidR="005A2060" w:rsidRPr="00DB1A6A" w:rsidRDefault="005A2060" w:rsidP="005A2060">
            <w:pPr>
              <w:jc w:val="left"/>
              <w:rPr>
                <w:rFonts w:cs="Maiandra GD"/>
                <w:iCs/>
                <w:color w:val="000000"/>
                <w:sz w:val="18"/>
                <w:szCs w:val="18"/>
                <w:highlight w:val="lightGray"/>
                <w:u w:val="single"/>
              </w:rPr>
            </w:pPr>
            <w:r>
              <w:rPr>
                <w:rFonts w:eastAsia="MS Mincho"/>
                <w:i/>
                <w:iCs/>
                <w:sz w:val="18"/>
                <w:szCs w:val="18"/>
                <w:highlight w:val="lightGray"/>
                <w:u w:val="single"/>
              </w:rPr>
              <w:t>Beta vulgaris</w:t>
            </w:r>
            <w:r>
              <w:rPr>
                <w:rFonts w:eastAsia="MS Mincho"/>
                <w:sz w:val="18"/>
                <w:szCs w:val="18"/>
                <w:highlight w:val="lightGray"/>
              </w:rPr>
              <w:t xml:space="preserve"> </w:t>
            </w:r>
            <w:r>
              <w:rPr>
                <w:sz w:val="18"/>
                <w:szCs w:val="18"/>
                <w:highlight w:val="lightGray"/>
                <w:u w:val="single"/>
              </w:rPr>
              <w:t>Rote Rübengruppe</w:t>
            </w:r>
            <w:r w:rsidR="00F8248E" w:rsidRPr="00467BF9">
              <w:rPr>
                <w:rFonts w:eastAsia="MS Mincho"/>
                <w:i/>
                <w:sz w:val="18"/>
                <w:szCs w:val="18"/>
                <w:lang w:val="pt-BR"/>
              </w:rPr>
              <w:t xml:space="preserve"> </w:t>
            </w:r>
            <w:r>
              <w:rPr>
                <w:sz w:val="18"/>
                <w:szCs w:val="18"/>
                <w:highlight w:val="lightGray"/>
                <w:u w:val="single"/>
              </w:rPr>
              <w:t>(</w:t>
            </w:r>
            <w:r>
              <w:rPr>
                <w:rFonts w:cs="Maiandra GD"/>
                <w:iCs/>
                <w:color w:val="000000"/>
                <w:sz w:val="18"/>
                <w:szCs w:val="18"/>
                <w:highlight w:val="lightGray"/>
                <w:u w:val="single"/>
              </w:rPr>
              <w:t xml:space="preserve">Andere botanische Namen: </w:t>
            </w:r>
          </w:p>
          <w:p w14:paraId="29BF584F" w14:textId="4C058059" w:rsidR="00395B96" w:rsidRPr="00DB1A6A" w:rsidRDefault="00395B96" w:rsidP="00395B96">
            <w:pPr>
              <w:spacing w:before="40" w:after="40"/>
              <w:jc w:val="left"/>
              <w:rPr>
                <w:rFonts w:eastAsia="MS Mincho"/>
                <w:sz w:val="18"/>
                <w:szCs w:val="18"/>
                <w:lang w:val="pt-BR"/>
              </w:rPr>
            </w:pPr>
            <w:r w:rsidRPr="00467BF9">
              <w:rPr>
                <w:rFonts w:eastAsia="MS Mincho"/>
                <w:i/>
                <w:sz w:val="18"/>
                <w:szCs w:val="18"/>
                <w:lang w:val="fr-FR"/>
              </w:rPr>
              <w:t>Beta vulgaris</w:t>
            </w:r>
            <w:r w:rsidRPr="00467BF9">
              <w:rPr>
                <w:rFonts w:eastAsia="MS Mincho"/>
                <w:sz w:val="18"/>
                <w:szCs w:val="18"/>
                <w:lang w:val="fr-FR"/>
              </w:rPr>
              <w:t xml:space="preserve"> </w:t>
            </w:r>
            <w:proofErr w:type="spellStart"/>
            <w:r w:rsidRPr="00467BF9">
              <w:rPr>
                <w:rFonts w:eastAsia="MS Mincho"/>
                <w:sz w:val="18"/>
                <w:szCs w:val="18"/>
                <w:lang w:val="fr-FR"/>
              </w:rPr>
              <w:t>ssp</w:t>
            </w:r>
            <w:proofErr w:type="spellEnd"/>
            <w:r w:rsidRPr="00467BF9">
              <w:rPr>
                <w:rFonts w:eastAsia="MS Mincho"/>
                <w:sz w:val="18"/>
                <w:szCs w:val="18"/>
                <w:lang w:val="fr-FR"/>
              </w:rPr>
              <w:t xml:space="preserve">. </w:t>
            </w:r>
            <w:proofErr w:type="gramStart"/>
            <w:r w:rsidRPr="00467BF9">
              <w:rPr>
                <w:rFonts w:eastAsia="MS Mincho"/>
                <w:i/>
                <w:sz w:val="18"/>
                <w:szCs w:val="18"/>
                <w:lang w:val="fr-FR"/>
              </w:rPr>
              <w:t>vulgaris</w:t>
            </w:r>
            <w:proofErr w:type="gramEnd"/>
            <w:r w:rsidRPr="00467BF9">
              <w:rPr>
                <w:rFonts w:eastAsia="MS Mincho"/>
                <w:sz w:val="18"/>
                <w:szCs w:val="18"/>
                <w:lang w:val="fr-FR"/>
              </w:rPr>
              <w:t xml:space="preserve"> var. </w:t>
            </w:r>
            <w:proofErr w:type="spellStart"/>
            <w:r w:rsidRPr="00467BF9">
              <w:rPr>
                <w:rFonts w:eastAsia="MS Mincho"/>
                <w:i/>
                <w:sz w:val="18"/>
                <w:szCs w:val="18"/>
                <w:lang w:val="fr-FR"/>
              </w:rPr>
              <w:t>conditiva</w:t>
            </w:r>
            <w:proofErr w:type="spellEnd"/>
            <w:r w:rsidRPr="00467BF9">
              <w:rPr>
                <w:rFonts w:eastAsia="MS Mincho"/>
                <w:sz w:val="18"/>
                <w:szCs w:val="18"/>
                <w:lang w:val="fr-FR"/>
              </w:rPr>
              <w:t xml:space="preserve"> Alef. </w:t>
            </w:r>
            <w:r w:rsidRPr="00467BF9">
              <w:rPr>
                <w:rFonts w:eastAsia="MS Mincho"/>
                <w:strike/>
                <w:sz w:val="18"/>
                <w:szCs w:val="18"/>
                <w:highlight w:val="lightGray"/>
                <w:lang w:val="fr-FR"/>
              </w:rPr>
              <w:t>(syn.:</w:t>
            </w:r>
            <w:r w:rsidR="0062652A">
              <w:rPr>
                <w:rFonts w:eastAsia="MS Mincho"/>
                <w:strike/>
                <w:sz w:val="18"/>
                <w:szCs w:val="18"/>
                <w:highlight w:val="lightGray"/>
                <w:lang w:val="fr-FR"/>
              </w:rPr>
              <w:t xml:space="preserve"> </w:t>
            </w:r>
            <w:r w:rsidRPr="00467BF9">
              <w:rPr>
                <w:rFonts w:eastAsia="MS Mincho"/>
                <w:i/>
                <w:strike/>
                <w:sz w:val="18"/>
                <w:szCs w:val="18"/>
                <w:highlight w:val="lightGray"/>
                <w:lang w:val="fr-FR"/>
              </w:rPr>
              <w:t>B. vulgaris</w:t>
            </w:r>
            <w:r w:rsidRPr="00467BF9">
              <w:rPr>
                <w:rFonts w:eastAsia="MS Mincho"/>
                <w:strike/>
                <w:sz w:val="18"/>
                <w:szCs w:val="18"/>
                <w:highlight w:val="lightGray"/>
                <w:lang w:val="fr-FR"/>
              </w:rPr>
              <w:t xml:space="preserve"> L. var. </w:t>
            </w:r>
            <w:proofErr w:type="spellStart"/>
            <w:r w:rsidRPr="00467BF9">
              <w:rPr>
                <w:rFonts w:eastAsia="MS Mincho"/>
                <w:i/>
                <w:strike/>
                <w:sz w:val="18"/>
                <w:szCs w:val="18"/>
                <w:highlight w:val="lightGray"/>
                <w:lang w:val="fr-FR"/>
              </w:rPr>
              <w:t>rubra</w:t>
            </w:r>
            <w:proofErr w:type="spellEnd"/>
            <w:r w:rsidRPr="00467BF9">
              <w:rPr>
                <w:rFonts w:eastAsia="MS Mincho"/>
                <w:strike/>
                <w:sz w:val="18"/>
                <w:szCs w:val="18"/>
                <w:highlight w:val="lightGray"/>
                <w:lang w:val="fr-FR"/>
              </w:rPr>
              <w:t xml:space="preserve"> L.),</w:t>
            </w:r>
            <w:r w:rsidRPr="00467BF9">
              <w:rPr>
                <w:rFonts w:eastAsia="MS Mincho"/>
                <w:sz w:val="18"/>
                <w:szCs w:val="18"/>
                <w:lang w:val="fr-FR"/>
              </w:rPr>
              <w:t xml:space="preserve"> </w:t>
            </w:r>
          </w:p>
          <w:p w14:paraId="5BC5E7D3" w14:textId="67ED18F5" w:rsidR="005A2060" w:rsidRPr="00DB1A6A" w:rsidRDefault="005A2060" w:rsidP="005A2060">
            <w:pPr>
              <w:jc w:val="left"/>
              <w:rPr>
                <w:rFonts w:cs="Maiandra GD"/>
                <w:iCs/>
                <w:color w:val="000000"/>
                <w:sz w:val="18"/>
                <w:szCs w:val="18"/>
                <w:highlight w:val="lightGray"/>
                <w:u w:val="single"/>
                <w:lang w:val="pt-BR"/>
              </w:rPr>
            </w:pPr>
            <w:r w:rsidRPr="00467BF9">
              <w:rPr>
                <w:rFonts w:cs="Maiandra GD"/>
                <w:i/>
                <w:iCs/>
                <w:color w:val="000000"/>
                <w:sz w:val="18"/>
                <w:szCs w:val="18"/>
                <w:highlight w:val="lightGray"/>
                <w:u w:val="single"/>
                <w:lang w:val="fr-FR"/>
              </w:rPr>
              <w:t>B. vulgaris</w:t>
            </w:r>
            <w:r w:rsidRPr="00467BF9">
              <w:rPr>
                <w:rFonts w:cs="Maiandra GD"/>
                <w:iCs/>
                <w:color w:val="000000"/>
                <w:sz w:val="18"/>
                <w:szCs w:val="18"/>
                <w:highlight w:val="lightGray"/>
                <w:u w:val="single"/>
                <w:lang w:val="fr-FR"/>
              </w:rPr>
              <w:t xml:space="preserve"> L. </w:t>
            </w:r>
            <w:proofErr w:type="spellStart"/>
            <w:r w:rsidRPr="00467BF9">
              <w:rPr>
                <w:rFonts w:cs="Maiandra GD"/>
                <w:iCs/>
                <w:color w:val="000000"/>
                <w:sz w:val="18"/>
                <w:szCs w:val="18"/>
                <w:highlight w:val="lightGray"/>
                <w:u w:val="single"/>
                <w:lang w:val="fr-FR"/>
              </w:rPr>
              <w:t>ssp</w:t>
            </w:r>
            <w:proofErr w:type="spellEnd"/>
            <w:r w:rsidRPr="00467BF9">
              <w:rPr>
                <w:rFonts w:cs="Maiandra GD"/>
                <w:iCs/>
                <w:color w:val="000000"/>
                <w:sz w:val="18"/>
                <w:szCs w:val="18"/>
                <w:highlight w:val="lightGray"/>
                <w:u w:val="single"/>
                <w:lang w:val="fr-FR"/>
              </w:rPr>
              <w:t xml:space="preserve">. </w:t>
            </w:r>
            <w:proofErr w:type="gramStart"/>
            <w:r w:rsidRPr="00467BF9">
              <w:rPr>
                <w:rFonts w:cs="Maiandra GD"/>
                <w:i/>
                <w:color w:val="000000"/>
                <w:sz w:val="18"/>
                <w:szCs w:val="18"/>
                <w:highlight w:val="lightGray"/>
                <w:u w:val="single"/>
                <w:lang w:val="fr-FR"/>
              </w:rPr>
              <w:t>vulgaris</w:t>
            </w:r>
            <w:proofErr w:type="gramEnd"/>
            <w:r w:rsidRPr="00467BF9">
              <w:rPr>
                <w:rFonts w:cs="Maiandra GD"/>
                <w:iCs/>
                <w:color w:val="000000"/>
                <w:sz w:val="18"/>
                <w:szCs w:val="18"/>
                <w:highlight w:val="lightGray"/>
                <w:u w:val="single"/>
                <w:lang w:val="fr-FR"/>
              </w:rPr>
              <w:t xml:space="preserve"> var. </w:t>
            </w:r>
            <w:proofErr w:type="spellStart"/>
            <w:r w:rsidRPr="00467BF9">
              <w:rPr>
                <w:rFonts w:cs="Maiandra GD"/>
                <w:i/>
                <w:color w:val="000000"/>
                <w:sz w:val="18"/>
                <w:szCs w:val="18"/>
                <w:highlight w:val="lightGray"/>
                <w:u w:val="single"/>
                <w:lang w:val="fr-FR"/>
              </w:rPr>
              <w:t>esculenta</w:t>
            </w:r>
            <w:proofErr w:type="spellEnd"/>
            <w:r w:rsidRPr="00467BF9">
              <w:rPr>
                <w:rFonts w:cs="Maiandra GD"/>
                <w:iCs/>
                <w:color w:val="000000"/>
                <w:sz w:val="18"/>
                <w:szCs w:val="18"/>
                <w:highlight w:val="lightGray"/>
                <w:u w:val="single"/>
                <w:lang w:val="fr-FR"/>
              </w:rPr>
              <w:t xml:space="preserve"> L.</w:t>
            </w:r>
            <w:r w:rsidR="00542140">
              <w:rPr>
                <w:rFonts w:cs="Maiandra GD"/>
                <w:iCs/>
                <w:color w:val="000000"/>
                <w:sz w:val="18"/>
                <w:szCs w:val="18"/>
                <w:highlight w:val="lightGray"/>
                <w:u w:val="single"/>
                <w:lang w:val="fr-FR"/>
              </w:rPr>
              <w:t>,</w:t>
            </w:r>
            <w:r w:rsidRPr="00467BF9">
              <w:rPr>
                <w:rFonts w:cs="Maiandra GD"/>
                <w:iCs/>
                <w:color w:val="000000"/>
                <w:sz w:val="18"/>
                <w:szCs w:val="18"/>
                <w:highlight w:val="lightGray"/>
                <w:u w:val="single"/>
                <w:lang w:val="fr-FR"/>
              </w:rPr>
              <w:t xml:space="preserve"> </w:t>
            </w:r>
          </w:p>
          <w:p w14:paraId="6C86AE5D" w14:textId="5461EF64" w:rsidR="005A2060" w:rsidRPr="00DB1A6A" w:rsidRDefault="005A2060" w:rsidP="005A2060">
            <w:pPr>
              <w:spacing w:before="40" w:after="40"/>
              <w:jc w:val="left"/>
              <w:rPr>
                <w:rFonts w:eastAsia="MS Mincho"/>
                <w:sz w:val="18"/>
                <w:szCs w:val="18"/>
                <w:u w:val="single"/>
                <w:lang w:val="pt-BR"/>
              </w:rPr>
            </w:pPr>
            <w:r w:rsidRPr="00467BF9">
              <w:rPr>
                <w:rFonts w:cs="Maiandra GD"/>
                <w:i/>
                <w:iCs/>
                <w:color w:val="000000"/>
                <w:sz w:val="18"/>
                <w:szCs w:val="18"/>
                <w:highlight w:val="lightGray"/>
                <w:u w:val="single"/>
                <w:lang w:val="pt-BR"/>
              </w:rPr>
              <w:t>B. vulgaris</w:t>
            </w:r>
            <w:r w:rsidRPr="00467BF9">
              <w:rPr>
                <w:rFonts w:cs="Maiandra GD"/>
                <w:iCs/>
                <w:color w:val="000000"/>
                <w:sz w:val="18"/>
                <w:szCs w:val="18"/>
                <w:highlight w:val="lightGray"/>
                <w:u w:val="single"/>
                <w:lang w:val="pt-BR"/>
              </w:rPr>
              <w:t xml:space="preserve"> L. ssp. </w:t>
            </w:r>
            <w:r w:rsidRPr="00467BF9">
              <w:rPr>
                <w:rFonts w:cs="Maiandra GD"/>
                <w:i/>
                <w:color w:val="000000"/>
                <w:sz w:val="18"/>
                <w:szCs w:val="18"/>
                <w:highlight w:val="lightGray"/>
                <w:u w:val="single"/>
                <w:lang w:val="pt-BR"/>
              </w:rPr>
              <w:t>vulgaris</w:t>
            </w:r>
            <w:r w:rsidRPr="00467BF9">
              <w:rPr>
                <w:rFonts w:cs="Maiandra GD"/>
                <w:iCs/>
                <w:color w:val="000000"/>
                <w:sz w:val="18"/>
                <w:szCs w:val="18"/>
                <w:highlight w:val="lightGray"/>
                <w:u w:val="single"/>
                <w:lang w:val="pt-BR"/>
              </w:rPr>
              <w:t xml:space="preserve"> var. </w:t>
            </w:r>
            <w:r w:rsidRPr="00467BF9">
              <w:rPr>
                <w:rFonts w:cs="Maiandra GD"/>
                <w:i/>
                <w:color w:val="000000"/>
                <w:sz w:val="18"/>
                <w:szCs w:val="18"/>
                <w:highlight w:val="lightGray"/>
                <w:u w:val="single"/>
                <w:lang w:val="pt-BR"/>
              </w:rPr>
              <w:t>hortensis</w:t>
            </w:r>
          </w:p>
          <w:p w14:paraId="0F5F4AB3" w14:textId="77777777" w:rsidR="005A2060" w:rsidRPr="00DB1A6A" w:rsidRDefault="005A2060" w:rsidP="00395B96">
            <w:pPr>
              <w:spacing w:before="40" w:after="40"/>
              <w:jc w:val="left"/>
              <w:rPr>
                <w:rFonts w:eastAsia="MS Mincho"/>
                <w:sz w:val="18"/>
                <w:szCs w:val="18"/>
                <w:lang w:val="pt-BR"/>
              </w:rPr>
            </w:pPr>
          </w:p>
          <w:p w14:paraId="3E193405" w14:textId="77777777" w:rsidR="001751FC" w:rsidRPr="00467BF9" w:rsidRDefault="001751FC" w:rsidP="001751FC">
            <w:pPr>
              <w:jc w:val="left"/>
              <w:rPr>
                <w:rFonts w:cs="Maiandra GD"/>
                <w:iCs/>
                <w:color w:val="000000"/>
                <w:sz w:val="18"/>
                <w:szCs w:val="18"/>
                <w:highlight w:val="lightGray"/>
                <w:u w:val="single"/>
                <w:lang w:val="pt-BR"/>
              </w:rPr>
            </w:pPr>
            <w:r w:rsidRPr="00467BF9">
              <w:rPr>
                <w:rFonts w:eastAsia="MS Mincho"/>
                <w:i/>
                <w:iCs/>
                <w:sz w:val="18"/>
                <w:szCs w:val="18"/>
                <w:highlight w:val="lightGray"/>
                <w:u w:val="single"/>
                <w:lang w:val="pt-BR"/>
              </w:rPr>
              <w:t>Beta vulgaris</w:t>
            </w:r>
            <w:r w:rsidRPr="00467BF9">
              <w:rPr>
                <w:rFonts w:eastAsia="MS Mincho"/>
                <w:sz w:val="18"/>
                <w:szCs w:val="18"/>
                <w:highlight w:val="lightGray"/>
                <w:lang w:val="pt-BR"/>
              </w:rPr>
              <w:t xml:space="preserve"> </w:t>
            </w:r>
            <w:r w:rsidRPr="00467BF9">
              <w:rPr>
                <w:sz w:val="18"/>
                <w:szCs w:val="18"/>
                <w:highlight w:val="lightGray"/>
                <w:u w:val="single"/>
                <w:lang w:val="pt-BR"/>
              </w:rPr>
              <w:t>Mangoldgruppe</w:t>
            </w:r>
            <w:r w:rsidRPr="00467BF9">
              <w:rPr>
                <w:rFonts w:eastAsia="MS Mincho"/>
                <w:i/>
                <w:sz w:val="18"/>
                <w:szCs w:val="18"/>
                <w:lang w:val="pt-BR"/>
              </w:rPr>
              <w:t xml:space="preserve"> </w:t>
            </w:r>
            <w:r w:rsidRPr="00467BF9">
              <w:rPr>
                <w:rFonts w:eastAsia="MS Mincho"/>
                <w:sz w:val="18"/>
                <w:szCs w:val="18"/>
                <w:highlight w:val="lightGray"/>
                <w:lang w:val="pt-BR"/>
              </w:rPr>
              <w:t>(</w:t>
            </w:r>
            <w:r w:rsidRPr="00467BF9">
              <w:rPr>
                <w:rFonts w:cs="Maiandra GD"/>
                <w:iCs/>
                <w:color w:val="000000"/>
                <w:sz w:val="18"/>
                <w:szCs w:val="18"/>
                <w:highlight w:val="lightGray"/>
                <w:u w:val="single"/>
                <w:lang w:val="pt-BR"/>
              </w:rPr>
              <w:t xml:space="preserve">Other botanical names: </w:t>
            </w:r>
          </w:p>
          <w:p w14:paraId="01DBBA52" w14:textId="08828A43" w:rsidR="001751FC" w:rsidRPr="00DB1A6A" w:rsidRDefault="001751FC" w:rsidP="001751FC">
            <w:pPr>
              <w:jc w:val="left"/>
              <w:rPr>
                <w:rFonts w:cs="Maiandra GD"/>
                <w:iCs/>
                <w:color w:val="000000"/>
                <w:sz w:val="18"/>
                <w:szCs w:val="18"/>
                <w:u w:val="single"/>
                <w:lang w:val="pt-BR"/>
              </w:rPr>
            </w:pPr>
            <w:r w:rsidRPr="00467BF9">
              <w:rPr>
                <w:rFonts w:cs="Maiandra GD"/>
                <w:i/>
                <w:iCs/>
                <w:color w:val="000000"/>
                <w:sz w:val="18"/>
                <w:szCs w:val="18"/>
                <w:highlight w:val="lightGray"/>
                <w:u w:val="single"/>
                <w:lang w:val="pt-BR"/>
              </w:rPr>
              <w:t>Beta vulgaris</w:t>
            </w:r>
            <w:r w:rsidRPr="00467BF9">
              <w:rPr>
                <w:rFonts w:cs="Maiandra GD"/>
                <w:iCs/>
                <w:color w:val="000000"/>
                <w:sz w:val="18"/>
                <w:szCs w:val="18"/>
                <w:highlight w:val="lightGray"/>
                <w:u w:val="single"/>
                <w:lang w:val="pt-BR"/>
              </w:rPr>
              <w:t xml:space="preserve"> L. ssp. </w:t>
            </w:r>
            <w:r w:rsidRPr="00467BF9">
              <w:rPr>
                <w:rFonts w:cs="Maiandra GD"/>
                <w:i/>
                <w:iCs/>
                <w:color w:val="000000"/>
                <w:sz w:val="18"/>
                <w:szCs w:val="18"/>
                <w:highlight w:val="lightGray"/>
                <w:u w:val="single"/>
                <w:lang w:val="pt-BR"/>
              </w:rPr>
              <w:t>vulgaris</w:t>
            </w:r>
            <w:r w:rsidRPr="00467BF9">
              <w:rPr>
                <w:rFonts w:cs="Maiandra GD"/>
                <w:iCs/>
                <w:color w:val="000000"/>
                <w:sz w:val="18"/>
                <w:szCs w:val="18"/>
                <w:highlight w:val="lightGray"/>
                <w:u w:val="single"/>
                <w:lang w:val="pt-BR"/>
              </w:rPr>
              <w:t xml:space="preserve"> var. </w:t>
            </w:r>
            <w:r w:rsidRPr="00467BF9">
              <w:rPr>
                <w:rFonts w:cs="Maiandra GD"/>
                <w:i/>
                <w:iCs/>
                <w:color w:val="000000"/>
                <w:sz w:val="18"/>
                <w:szCs w:val="18"/>
                <w:highlight w:val="lightGray"/>
                <w:u w:val="single"/>
                <w:lang w:val="pt-BR"/>
              </w:rPr>
              <w:t>flavescens</w:t>
            </w:r>
            <w:r w:rsidRPr="00467BF9">
              <w:rPr>
                <w:rFonts w:cs="Maiandra GD"/>
                <w:iCs/>
                <w:color w:val="000000"/>
                <w:sz w:val="18"/>
                <w:szCs w:val="18"/>
                <w:highlight w:val="lightGray"/>
                <w:u w:val="single"/>
                <w:lang w:val="pt-BR"/>
              </w:rPr>
              <w:t xml:space="preserve"> DC. f. Crispa</w:t>
            </w:r>
            <w:r w:rsidRPr="00467BF9">
              <w:rPr>
                <w:rFonts w:cs="Maiandra GD"/>
                <w:iCs/>
                <w:color w:val="000000"/>
                <w:sz w:val="18"/>
                <w:szCs w:val="18"/>
                <w:u w:val="single"/>
                <w:lang w:val="pt-BR"/>
              </w:rPr>
              <w:t>,</w:t>
            </w:r>
          </w:p>
          <w:p w14:paraId="3165F517" w14:textId="77777777" w:rsidR="00395B96" w:rsidRDefault="00395B96" w:rsidP="009E4C89">
            <w:pPr>
              <w:spacing w:before="40" w:after="40"/>
              <w:jc w:val="left"/>
              <w:rPr>
                <w:sz w:val="18"/>
                <w:szCs w:val="18"/>
                <w:u w:val="single"/>
                <w:lang w:val="pt-BR"/>
              </w:rPr>
            </w:pPr>
            <w:r w:rsidRPr="00467BF9">
              <w:rPr>
                <w:rFonts w:eastAsia="MS Mincho"/>
                <w:i/>
                <w:sz w:val="18"/>
                <w:szCs w:val="18"/>
                <w:lang w:val="fr-FR"/>
              </w:rPr>
              <w:t>B. vulgaris</w:t>
            </w:r>
            <w:r w:rsidRPr="00467BF9">
              <w:rPr>
                <w:rFonts w:eastAsia="MS Mincho"/>
                <w:sz w:val="18"/>
                <w:szCs w:val="18"/>
                <w:lang w:val="fr-FR"/>
              </w:rPr>
              <w:t xml:space="preserve"> L. var. </w:t>
            </w:r>
            <w:r w:rsidRPr="00467BF9">
              <w:rPr>
                <w:rFonts w:eastAsia="MS Mincho"/>
                <w:i/>
                <w:sz w:val="18"/>
                <w:szCs w:val="18"/>
                <w:lang w:val="fr-FR"/>
              </w:rPr>
              <w:t>cicla</w:t>
            </w:r>
            <w:r w:rsidRPr="00467BF9">
              <w:rPr>
                <w:rFonts w:eastAsia="MS Mincho"/>
                <w:sz w:val="18"/>
                <w:szCs w:val="18"/>
                <w:lang w:val="fr-FR"/>
              </w:rPr>
              <w:t xml:space="preserve"> </w:t>
            </w:r>
            <w:r w:rsidRPr="00467BF9">
              <w:rPr>
                <w:rFonts w:eastAsia="MS Mincho"/>
                <w:strike/>
                <w:sz w:val="18"/>
                <w:szCs w:val="18"/>
                <w:highlight w:val="lightGray"/>
                <w:lang w:val="fr-FR"/>
              </w:rPr>
              <w:t>L.</w:t>
            </w:r>
            <w:r w:rsidRPr="00467BF9">
              <w:rPr>
                <w:rFonts w:eastAsia="MS Mincho"/>
                <w:sz w:val="18"/>
                <w:szCs w:val="18"/>
                <w:lang w:val="fr-FR"/>
              </w:rPr>
              <w:t xml:space="preserve"> </w:t>
            </w:r>
            <w:r w:rsidRPr="00467BF9">
              <w:rPr>
                <w:rFonts w:cs="Maiandra GD"/>
                <w:iCs/>
                <w:color w:val="000000"/>
                <w:sz w:val="18"/>
                <w:szCs w:val="18"/>
                <w:highlight w:val="lightGray"/>
                <w:u w:val="single"/>
                <w:lang w:val="fr-FR"/>
              </w:rPr>
              <w:t xml:space="preserve">(L.) </w:t>
            </w:r>
            <w:r>
              <w:rPr>
                <w:rFonts w:cs="Maiandra GD"/>
                <w:iCs/>
                <w:color w:val="000000"/>
                <w:sz w:val="18"/>
                <w:szCs w:val="18"/>
                <w:highlight w:val="lightGray"/>
                <w:u w:val="single"/>
              </w:rPr>
              <w:t>Ulrich</w:t>
            </w:r>
            <w:r>
              <w:rPr>
                <w:rFonts w:eastAsia="MS Mincho"/>
                <w:sz w:val="18"/>
                <w:szCs w:val="18"/>
              </w:rPr>
              <w:t xml:space="preserve">, </w:t>
            </w:r>
            <w:r>
              <w:rPr>
                <w:rFonts w:eastAsia="MS Mincho"/>
                <w:i/>
                <w:sz w:val="18"/>
                <w:szCs w:val="18"/>
              </w:rPr>
              <w:t>B. vulgaris</w:t>
            </w:r>
            <w:r>
              <w:rPr>
                <w:rFonts w:eastAsia="MS Mincho"/>
                <w:sz w:val="18"/>
                <w:szCs w:val="18"/>
              </w:rPr>
              <w:t xml:space="preserve"> L. ssp. </w:t>
            </w:r>
            <w:r>
              <w:rPr>
                <w:rFonts w:eastAsia="MS Mincho"/>
                <w:i/>
                <w:sz w:val="18"/>
                <w:szCs w:val="18"/>
              </w:rPr>
              <w:t>vulgaris</w:t>
            </w:r>
            <w:r>
              <w:rPr>
                <w:rFonts w:eastAsia="MS Mincho"/>
                <w:sz w:val="18"/>
                <w:szCs w:val="18"/>
              </w:rPr>
              <w:t xml:space="preserve"> var. </w:t>
            </w:r>
            <w:r>
              <w:rPr>
                <w:rFonts w:eastAsia="MS Mincho"/>
                <w:i/>
                <w:sz w:val="18"/>
                <w:szCs w:val="18"/>
              </w:rPr>
              <w:t>vulgaris</w:t>
            </w:r>
            <w:r>
              <w:rPr>
                <w:sz w:val="18"/>
                <w:szCs w:val="18"/>
                <w:highlight w:val="lightGray"/>
                <w:u w:val="single"/>
              </w:rPr>
              <w:t>)</w:t>
            </w:r>
          </w:p>
          <w:p w14:paraId="5343CFFE" w14:textId="7806A146" w:rsidR="006F0463" w:rsidRPr="00395B96" w:rsidRDefault="006F0463" w:rsidP="009E4C89">
            <w:pPr>
              <w:spacing w:before="40" w:after="40"/>
              <w:jc w:val="left"/>
              <w:rPr>
                <w:rFonts w:eastAsia="MS Mincho"/>
                <w:sz w:val="18"/>
                <w:szCs w:val="18"/>
                <w:lang w:val="pt-PT"/>
              </w:rPr>
            </w:pPr>
          </w:p>
        </w:tc>
        <w:tc>
          <w:tcPr>
            <w:tcW w:w="2551" w:type="dxa"/>
          </w:tcPr>
          <w:p w14:paraId="594D4DFD" w14:textId="677649B6" w:rsidR="009E4C89" w:rsidRPr="001751FC" w:rsidRDefault="00395B96" w:rsidP="00395B96">
            <w:pPr>
              <w:spacing w:before="40" w:after="40"/>
              <w:jc w:val="left"/>
              <w:rPr>
                <w:rFonts w:eastAsia="MS Mincho"/>
                <w:sz w:val="18"/>
                <w:szCs w:val="18"/>
                <w:lang w:val="nl-NL"/>
              </w:rPr>
            </w:pPr>
            <w:r w:rsidRPr="00171B2C">
              <w:rPr>
                <w:rFonts w:eastAsia="MS Mincho"/>
                <w:sz w:val="18"/>
                <w:szCs w:val="18"/>
                <w:lang w:val="pt-PT"/>
              </w:rPr>
              <w:t>BETAA_VUL_GVC</w:t>
            </w:r>
            <w:r w:rsidR="00542140" w:rsidRPr="00171B2C">
              <w:rPr>
                <w:rFonts w:eastAsia="MS Mincho"/>
                <w:sz w:val="18"/>
                <w:szCs w:val="18"/>
                <w:lang w:val="pt-PT"/>
              </w:rPr>
              <w:t>,</w:t>
            </w:r>
          </w:p>
          <w:p w14:paraId="002DA317" w14:textId="24325D7B" w:rsidR="009E4C89" w:rsidRDefault="009E4C89" w:rsidP="00395B96">
            <w:pPr>
              <w:spacing w:before="40" w:after="40"/>
              <w:jc w:val="left"/>
              <w:rPr>
                <w:rFonts w:eastAsia="MS Mincho"/>
                <w:sz w:val="18"/>
                <w:szCs w:val="18"/>
                <w:lang w:val="nl-NL"/>
              </w:rPr>
            </w:pPr>
          </w:p>
          <w:p w14:paraId="3F04744D" w14:textId="12500F93" w:rsidR="001751FC" w:rsidRDefault="001751FC" w:rsidP="00395B96">
            <w:pPr>
              <w:spacing w:before="40" w:after="40"/>
              <w:jc w:val="left"/>
              <w:rPr>
                <w:rFonts w:eastAsia="MS Mincho"/>
                <w:sz w:val="18"/>
                <w:szCs w:val="18"/>
                <w:lang w:val="nl-NL"/>
              </w:rPr>
            </w:pPr>
          </w:p>
          <w:p w14:paraId="24723A78" w14:textId="0A25536A" w:rsidR="001751FC" w:rsidRDefault="001751FC" w:rsidP="00395B96">
            <w:pPr>
              <w:spacing w:before="40" w:after="40"/>
              <w:jc w:val="left"/>
              <w:rPr>
                <w:rFonts w:eastAsia="MS Mincho"/>
                <w:sz w:val="18"/>
                <w:szCs w:val="18"/>
                <w:lang w:val="nl-NL"/>
              </w:rPr>
            </w:pPr>
          </w:p>
          <w:p w14:paraId="3C97E518" w14:textId="77777777" w:rsidR="001751FC" w:rsidRPr="001751FC" w:rsidRDefault="001751FC" w:rsidP="00395B96">
            <w:pPr>
              <w:spacing w:before="40" w:after="40"/>
              <w:jc w:val="left"/>
              <w:rPr>
                <w:rFonts w:eastAsia="MS Mincho"/>
                <w:sz w:val="18"/>
                <w:szCs w:val="18"/>
                <w:lang w:val="nl-NL"/>
              </w:rPr>
            </w:pPr>
          </w:p>
          <w:p w14:paraId="6B8F2401" w14:textId="0293EE67" w:rsidR="00395B96" w:rsidRPr="00395B96" w:rsidRDefault="00395B96" w:rsidP="00395B96">
            <w:pPr>
              <w:spacing w:before="40" w:after="40"/>
              <w:jc w:val="left"/>
              <w:rPr>
                <w:rFonts w:eastAsia="MS Mincho"/>
                <w:sz w:val="18"/>
                <w:szCs w:val="18"/>
                <w:lang w:val="nl-NL"/>
              </w:rPr>
            </w:pPr>
            <w:r w:rsidRPr="00171B2C">
              <w:rPr>
                <w:rFonts w:eastAsia="MS Mincho"/>
                <w:sz w:val="18"/>
                <w:szCs w:val="18"/>
                <w:lang w:val="pt-PT"/>
              </w:rPr>
              <w:t>BETAA_VUL_GVF</w:t>
            </w:r>
          </w:p>
        </w:tc>
      </w:tr>
      <w:tr w:rsidR="00395B96" w:rsidRPr="00395B96" w14:paraId="2A904A8B" w14:textId="77777777" w:rsidTr="00395B96">
        <w:trPr>
          <w:cantSplit/>
        </w:trPr>
        <w:tc>
          <w:tcPr>
            <w:tcW w:w="1418" w:type="dxa"/>
            <w:tcBorders>
              <w:bottom w:val="nil"/>
            </w:tcBorders>
          </w:tcPr>
          <w:p w14:paraId="5CA1DFBC" w14:textId="77777777" w:rsidR="00395B96" w:rsidRPr="00395B96" w:rsidRDefault="00395B96" w:rsidP="00395B96">
            <w:pPr>
              <w:spacing w:before="40" w:after="40"/>
              <w:jc w:val="left"/>
              <w:rPr>
                <w:rFonts w:eastAsia="MS Mincho"/>
                <w:sz w:val="18"/>
                <w:szCs w:val="18"/>
              </w:rPr>
            </w:pPr>
            <w:r>
              <w:rPr>
                <w:rFonts w:eastAsia="MS Mincho"/>
                <w:sz w:val="18"/>
                <w:szCs w:val="18"/>
              </w:rPr>
              <w:t>Klasse 2.3</w:t>
            </w:r>
          </w:p>
        </w:tc>
        <w:tc>
          <w:tcPr>
            <w:tcW w:w="5670" w:type="dxa"/>
            <w:tcBorders>
              <w:bottom w:val="nil"/>
            </w:tcBorders>
          </w:tcPr>
          <w:p w14:paraId="491107A3" w14:textId="77777777" w:rsidR="00395B96" w:rsidRPr="00395B96" w:rsidRDefault="00395B96" w:rsidP="00395B96">
            <w:pPr>
              <w:spacing w:before="40" w:after="40"/>
              <w:jc w:val="left"/>
              <w:rPr>
                <w:rFonts w:eastAsia="MS Mincho"/>
                <w:sz w:val="18"/>
                <w:szCs w:val="18"/>
              </w:rPr>
            </w:pPr>
            <w:r>
              <w:rPr>
                <w:rFonts w:eastAsia="MS Mincho"/>
                <w:i/>
                <w:sz w:val="18"/>
                <w:szCs w:val="18"/>
              </w:rPr>
              <w:t>Beta</w:t>
            </w:r>
            <w:r>
              <w:rPr>
                <w:rFonts w:eastAsia="MS Mincho"/>
                <w:sz w:val="18"/>
                <w:szCs w:val="18"/>
              </w:rPr>
              <w:t xml:space="preserve"> außer Klassen 2.1 und 2.2.</w:t>
            </w:r>
          </w:p>
        </w:tc>
        <w:tc>
          <w:tcPr>
            <w:tcW w:w="2551" w:type="dxa"/>
            <w:tcBorders>
              <w:bottom w:val="nil"/>
            </w:tcBorders>
          </w:tcPr>
          <w:p w14:paraId="2D5ED7FA" w14:textId="77777777" w:rsidR="00395B96" w:rsidRPr="00395B96" w:rsidRDefault="00395B96" w:rsidP="00395B96">
            <w:pPr>
              <w:spacing w:before="40" w:after="40"/>
              <w:jc w:val="left"/>
              <w:rPr>
                <w:rFonts w:eastAsia="MS Mincho"/>
                <w:sz w:val="18"/>
                <w:szCs w:val="18"/>
              </w:rPr>
            </w:pPr>
            <w:r>
              <w:rPr>
                <w:rFonts w:eastAsia="MS Mincho"/>
                <w:sz w:val="18"/>
                <w:szCs w:val="18"/>
              </w:rPr>
              <w:t>außer Klassen 2.1</w:t>
            </w:r>
            <w:r>
              <w:rPr>
                <w:rFonts w:eastAsia="MS Mincho"/>
                <w:sz w:val="18"/>
                <w:szCs w:val="18"/>
              </w:rPr>
              <w:br/>
              <w:t>und 2.2</w:t>
            </w:r>
          </w:p>
        </w:tc>
      </w:tr>
      <w:tr w:rsidR="00395B96" w:rsidRPr="00395B96" w14:paraId="2B7C3972" w14:textId="77777777" w:rsidTr="00395B96">
        <w:trPr>
          <w:cantSplit/>
        </w:trPr>
        <w:tc>
          <w:tcPr>
            <w:tcW w:w="1418" w:type="dxa"/>
            <w:tcBorders>
              <w:left w:val="nil"/>
              <w:bottom w:val="nil"/>
              <w:right w:val="nil"/>
            </w:tcBorders>
          </w:tcPr>
          <w:p w14:paraId="7C887D3A" w14:textId="77777777" w:rsidR="00395B96" w:rsidRPr="00395B96" w:rsidRDefault="00395B96" w:rsidP="00395B96">
            <w:pPr>
              <w:jc w:val="left"/>
              <w:rPr>
                <w:rFonts w:eastAsia="MS Mincho"/>
                <w:sz w:val="18"/>
              </w:rPr>
            </w:pPr>
          </w:p>
        </w:tc>
        <w:tc>
          <w:tcPr>
            <w:tcW w:w="5670" w:type="dxa"/>
            <w:tcBorders>
              <w:left w:val="nil"/>
              <w:bottom w:val="nil"/>
              <w:right w:val="nil"/>
            </w:tcBorders>
          </w:tcPr>
          <w:p w14:paraId="1B3905E5" w14:textId="77777777" w:rsidR="00395B96" w:rsidRPr="00395B96" w:rsidRDefault="00395B96" w:rsidP="00395B96">
            <w:pPr>
              <w:jc w:val="left"/>
              <w:rPr>
                <w:rFonts w:eastAsia="MS Mincho"/>
                <w:sz w:val="18"/>
              </w:rPr>
            </w:pPr>
          </w:p>
        </w:tc>
        <w:tc>
          <w:tcPr>
            <w:tcW w:w="2551" w:type="dxa"/>
            <w:tcBorders>
              <w:left w:val="nil"/>
              <w:bottom w:val="nil"/>
              <w:right w:val="nil"/>
            </w:tcBorders>
          </w:tcPr>
          <w:p w14:paraId="75A3E45A" w14:textId="77777777" w:rsidR="00395B96" w:rsidRPr="00395B96" w:rsidRDefault="00395B96" w:rsidP="00395B96">
            <w:pPr>
              <w:jc w:val="left"/>
              <w:rPr>
                <w:rFonts w:eastAsia="MS Mincho"/>
                <w:sz w:val="18"/>
              </w:rPr>
            </w:pPr>
          </w:p>
        </w:tc>
      </w:tr>
    </w:tbl>
    <w:p w14:paraId="40B15854" w14:textId="034D50D3" w:rsidR="00A62445" w:rsidRDefault="00A62445" w:rsidP="009B440E">
      <w:pPr>
        <w:jc w:val="left"/>
      </w:pPr>
    </w:p>
    <w:p w14:paraId="482272C3" w14:textId="77777777" w:rsidR="009F53BD" w:rsidRPr="0088502A" w:rsidRDefault="009F53BD" w:rsidP="009B440E">
      <w:pPr>
        <w:jc w:val="left"/>
      </w:pPr>
    </w:p>
    <w:p w14:paraId="6E965B51" w14:textId="77777777" w:rsidR="00A91A3A" w:rsidRPr="0088502A" w:rsidRDefault="00A91A3A" w:rsidP="009B440E">
      <w:pPr>
        <w:jc w:val="left"/>
      </w:pPr>
    </w:p>
    <w:p w14:paraId="193A133C" w14:textId="77777777" w:rsidR="00A62445" w:rsidRPr="0088502A" w:rsidRDefault="00A62445" w:rsidP="00A62445">
      <w:pPr>
        <w:jc w:val="right"/>
      </w:pPr>
      <w:r>
        <w:t>[Anlage II folgt]</w:t>
      </w:r>
    </w:p>
    <w:p w14:paraId="6400B259" w14:textId="77777777" w:rsidR="00A62445" w:rsidRPr="0088502A" w:rsidRDefault="00A62445" w:rsidP="00A62445">
      <w:pPr>
        <w:jc w:val="left"/>
      </w:pPr>
    </w:p>
    <w:p w14:paraId="09C6DA1A" w14:textId="77777777" w:rsidR="00A62445" w:rsidRPr="0088502A" w:rsidRDefault="00A62445" w:rsidP="009B440E">
      <w:pPr>
        <w:jc w:val="left"/>
        <w:sectPr w:rsidR="00A62445" w:rsidRPr="0088502A" w:rsidSect="0004198B">
          <w:headerReference w:type="default" r:id="rId11"/>
          <w:headerReference w:type="first" r:id="rId12"/>
          <w:pgSz w:w="11907" w:h="16840" w:code="9"/>
          <w:pgMar w:top="510" w:right="1134" w:bottom="1134" w:left="1134" w:header="510" w:footer="680" w:gutter="0"/>
          <w:pgNumType w:start="1"/>
          <w:cols w:space="720"/>
          <w:titlePg/>
        </w:sectPr>
      </w:pPr>
    </w:p>
    <w:p w14:paraId="2CA9BBC9" w14:textId="77777777" w:rsidR="00394D60" w:rsidRPr="0088502A" w:rsidRDefault="00394D60" w:rsidP="00394D60">
      <w:pPr>
        <w:jc w:val="center"/>
      </w:pPr>
      <w:r>
        <w:lastRenderedPageBreak/>
        <w:t>DOKUMENT TGP/7</w:t>
      </w:r>
    </w:p>
    <w:p w14:paraId="0695EB89" w14:textId="77777777" w:rsidR="008F3131" w:rsidRPr="0088502A" w:rsidRDefault="00394D60" w:rsidP="00394D60">
      <w:pPr>
        <w:jc w:val="center"/>
      </w:pPr>
      <w:r>
        <w:t>ERSTELLUNG VON PRÜFUNGSRICHTLINIEN (ÜBERARBEITUNG)</w:t>
      </w:r>
    </w:p>
    <w:p w14:paraId="40798E42" w14:textId="77777777" w:rsidR="00394D60" w:rsidRPr="0088502A" w:rsidRDefault="00394D60" w:rsidP="00394D60"/>
    <w:p w14:paraId="12534941" w14:textId="77777777" w:rsidR="00B2758C" w:rsidRPr="0088502A" w:rsidRDefault="00B2758C" w:rsidP="00394D60"/>
    <w:p w14:paraId="202DFCD6" w14:textId="5E3674FF" w:rsidR="00394D60" w:rsidRPr="009F07FA" w:rsidRDefault="008F3131" w:rsidP="004979C3">
      <w:pPr>
        <w:rPr>
          <w:u w:val="single"/>
        </w:rPr>
      </w:pPr>
      <w:r>
        <w:rPr>
          <w:u w:val="single"/>
        </w:rPr>
        <w:t xml:space="preserve">Umwandlung </w:t>
      </w:r>
      <w:r>
        <w:rPr>
          <w:spacing w:val="-2"/>
          <w:u w:val="single"/>
        </w:rPr>
        <w:t>TGP/7, Anlage 1: TG-Aufbau und allgemeingültiger Standardwortlaut (Mustervorlage für Prüfungsrichtlinien), Absatz 4.2.2</w:t>
      </w:r>
      <w:r w:rsidR="00034FCF">
        <w:rPr>
          <w:spacing w:val="-2"/>
          <w:u w:val="single"/>
        </w:rPr>
        <w:t>,</w:t>
      </w:r>
      <w:r>
        <w:rPr>
          <w:spacing w:val="-2"/>
          <w:u w:val="single"/>
        </w:rPr>
        <w:t xml:space="preserve"> </w:t>
      </w:r>
      <w:r>
        <w:rPr>
          <w:u w:val="single"/>
        </w:rPr>
        <w:t>in einen zusätzlichen Standardwortlaut</w:t>
      </w:r>
    </w:p>
    <w:p w14:paraId="1F495664" w14:textId="77777777" w:rsidR="00394D60" w:rsidRPr="0088502A" w:rsidRDefault="00394D60" w:rsidP="00394D60">
      <w:pPr>
        <w:rPr>
          <w:u w:val="single"/>
        </w:rPr>
      </w:pPr>
    </w:p>
    <w:p w14:paraId="5B83FA17" w14:textId="4DB9CFE2" w:rsidR="003960E4" w:rsidRPr="0088502A" w:rsidRDefault="003415AF" w:rsidP="00394D60">
      <w:r>
        <w:fldChar w:fldCharType="begin"/>
      </w:r>
      <w:r>
        <w:instrText xml:space="preserve"> LISTNUM  LegalDefault \l 1 \s 1 </w:instrText>
      </w:r>
      <w:r>
        <w:fldChar w:fldCharType="end">
          <w:numberingChange w:id="75" w:author="SANCHEZ VIZCAINO GOMEZ Rosa Maria" w:date="2023-08-29T11:06:00Z" w:original="1."/>
        </w:fldChar>
      </w:r>
      <w:r>
        <w:tab/>
        <w:t>Den Hintergrund zu diesem Thema liefert Dokument TC/58/5 „Ausarbeitung von Anleitung und Informationsmaterial - Mögliche künftige Überarbeitungen“, Absätze 38 und 40.</w:t>
      </w:r>
    </w:p>
    <w:p w14:paraId="711E344C" w14:textId="77777777" w:rsidR="003960E4" w:rsidRPr="0088502A" w:rsidRDefault="003960E4" w:rsidP="00394D60">
      <w:pPr>
        <w:rPr>
          <w:u w:val="single"/>
        </w:rPr>
      </w:pPr>
    </w:p>
    <w:p w14:paraId="2EC92FB0" w14:textId="15DC9124" w:rsidR="00A50B03" w:rsidRPr="0088502A" w:rsidRDefault="003415AF" w:rsidP="00A50B03">
      <w:pPr>
        <w:rPr>
          <w:spacing w:val="-2"/>
        </w:rPr>
      </w:pPr>
      <w:r>
        <w:fldChar w:fldCharType="begin"/>
      </w:r>
      <w:r>
        <w:instrText xml:space="preserve"> LISTNUM  LegalDefault \l 1 </w:instrText>
      </w:r>
      <w:r>
        <w:fldChar w:fldCharType="end">
          <w:numberingChange w:id="76" w:author="SANCHEZ VIZCAINO GOMEZ Rosa Maria" w:date="2023-08-29T11:06:00Z" w:original="2."/>
        </w:fldChar>
      </w:r>
      <w:r>
        <w:tab/>
      </w:r>
      <w:r>
        <w:rPr>
          <w:spacing w:val="-2"/>
        </w:rPr>
        <w:t>Der TC vereinbarte auf seiner achtundfünfzigsten Tagung</w:t>
      </w:r>
      <w:r w:rsidR="001A4E8A" w:rsidRPr="008A4C0B">
        <w:rPr>
          <w:spacing w:val="-2"/>
          <w:vertAlign w:val="superscript"/>
        </w:rPr>
        <w:fldChar w:fldCharType="begin"/>
      </w:r>
      <w:r w:rsidR="001A4E8A" w:rsidRPr="008A4C0B">
        <w:rPr>
          <w:spacing w:val="-2"/>
          <w:vertAlign w:val="superscript"/>
        </w:rPr>
        <w:instrText xml:space="preserve"> NOTEREF _Ref145615980 \h </w:instrText>
      </w:r>
      <w:r w:rsidR="001A4E8A" w:rsidRPr="008A4C0B">
        <w:rPr>
          <w:spacing w:val="-2"/>
          <w:vertAlign w:val="superscript"/>
        </w:rPr>
      </w:r>
      <w:r w:rsidR="001A4E8A">
        <w:rPr>
          <w:spacing w:val="-2"/>
          <w:vertAlign w:val="superscript"/>
        </w:rPr>
        <w:instrText xml:space="preserve"> \* MERGEFORMAT </w:instrText>
      </w:r>
      <w:r w:rsidR="001A4E8A" w:rsidRPr="008A4C0B">
        <w:rPr>
          <w:spacing w:val="-2"/>
          <w:vertAlign w:val="superscript"/>
        </w:rPr>
        <w:fldChar w:fldCharType="separate"/>
      </w:r>
      <w:r w:rsidR="001A4E8A" w:rsidRPr="008A4C0B">
        <w:rPr>
          <w:spacing w:val="-2"/>
          <w:vertAlign w:val="superscript"/>
        </w:rPr>
        <w:t>6</w:t>
      </w:r>
      <w:r w:rsidR="001A4E8A" w:rsidRPr="008A4C0B">
        <w:rPr>
          <w:spacing w:val="-2"/>
          <w:vertAlign w:val="superscript"/>
        </w:rPr>
        <w:fldChar w:fldCharType="end"/>
      </w:r>
      <w:r w:rsidR="003D6E64">
        <w:rPr>
          <w:spacing w:val="-2"/>
        </w:rPr>
        <w:t xml:space="preserve"> </w:t>
      </w:r>
      <w:r>
        <w:rPr>
          <w:spacing w:val="-2"/>
        </w:rPr>
        <w:t xml:space="preserve">die Änderung von Dokument TGP/7 „Erstellung von Prüfungsrichtlinien“, um den Standardwortlaut in TGP/7, Anlage 1: TG-Aufbau und allgemeingültiger Standardwortlaut (Mustervorlage für Prüfungsrichtlinien), Absatz 4.2.2, in einen zusätzlichen Standardwortlaut (optional) umzuwandeln, wie in Dokument TC/58/5 „Ausarbeitung von Anleitung und Informationsmaterial - Mögliche künftige Überarbeitungen“, Absatz 39, dargelegt (vergleiche Dokument TC/58/31 “Bericht”, Absatz 26) und wie </w:t>
      </w:r>
      <w:r w:rsidR="00034FCF">
        <w:rPr>
          <w:spacing w:val="-2"/>
        </w:rPr>
        <w:t xml:space="preserve">nachfolgend </w:t>
      </w:r>
      <w:r>
        <w:rPr>
          <w:spacing w:val="-2"/>
        </w:rPr>
        <w:t>wiedergegeben:</w:t>
      </w:r>
      <w:r w:rsidR="0062652A">
        <w:rPr>
          <w:spacing w:val="-2"/>
        </w:rPr>
        <w:t xml:space="preserve"> </w:t>
      </w:r>
    </w:p>
    <w:p w14:paraId="773731F3" w14:textId="77777777" w:rsidR="00DD7803" w:rsidRPr="0088502A" w:rsidRDefault="00DD7803" w:rsidP="00DD7803">
      <w:pPr>
        <w:rPr>
          <w:u w:val="single"/>
        </w:rPr>
      </w:pPr>
    </w:p>
    <w:p w14:paraId="1B842E44" w14:textId="75AFFEA6" w:rsidR="00DD7803" w:rsidRPr="0088502A" w:rsidRDefault="00DD7803" w:rsidP="00DD7803">
      <w:pPr>
        <w:ind w:left="567" w:right="459"/>
        <w:rPr>
          <w:spacing w:val="-2"/>
          <w:sz w:val="18"/>
        </w:rPr>
      </w:pPr>
      <w:r>
        <w:rPr>
          <w:spacing w:val="-2"/>
          <w:sz w:val="18"/>
        </w:rPr>
        <w:t>„4.2.2 Diese Prüfungsrichtlinien wurden für die Prüfung von [Art oder Arten der Vermehrung] Sorten erarbeitet.</w:t>
      </w:r>
      <w:r w:rsidR="0062652A">
        <w:rPr>
          <w:spacing w:val="-2"/>
          <w:sz w:val="18"/>
        </w:rPr>
        <w:t xml:space="preserve"> </w:t>
      </w:r>
      <w:r>
        <w:rPr>
          <w:spacing w:val="-2"/>
          <w:sz w:val="18"/>
        </w:rPr>
        <w:t>Für Sorten mit anderen Vermehrungsarten sollten die Empfehlungen in der Allgemeinen Einführung und in Dokument TGP/13 „Anleitung für neue Typen und Arten“, Abschnitt 4.5, „Prüfung der Homogenität”, befolgt werden.“</w:t>
      </w:r>
    </w:p>
    <w:p w14:paraId="38EFAB43" w14:textId="77777777" w:rsidR="00DD7803" w:rsidRPr="0088502A" w:rsidRDefault="00DD7803" w:rsidP="00394D60">
      <w:pPr>
        <w:rPr>
          <w:u w:val="single"/>
        </w:rPr>
      </w:pPr>
    </w:p>
    <w:p w14:paraId="5D8A0AE5" w14:textId="77777777" w:rsidR="00DD7803" w:rsidRPr="0088502A" w:rsidRDefault="00DD7803" w:rsidP="00394D60">
      <w:pPr>
        <w:rPr>
          <w:u w:val="single"/>
        </w:rPr>
      </w:pPr>
    </w:p>
    <w:p w14:paraId="13D0E011" w14:textId="77777777" w:rsidR="008F3131" w:rsidRPr="0088502A" w:rsidRDefault="008F3131" w:rsidP="004979C3">
      <w:pPr>
        <w:rPr>
          <w:u w:val="single"/>
        </w:rPr>
      </w:pPr>
      <w:r>
        <w:rPr>
          <w:u w:val="single"/>
        </w:rPr>
        <w:t xml:space="preserve">Krankheitsresistenzmerkmale: Hinzufügung von Ausprägungsstufen und Platzierung von Krankheitsresistenzmerkmalen ohne Sternchen in Abschnitt 5 des Technischen Fragebogens </w:t>
      </w:r>
    </w:p>
    <w:p w14:paraId="4F309CBB" w14:textId="77777777" w:rsidR="00585833" w:rsidRPr="0088502A" w:rsidRDefault="00585833" w:rsidP="00585833"/>
    <w:p w14:paraId="16F98063" w14:textId="77777777" w:rsidR="003960E4" w:rsidRPr="0088502A" w:rsidRDefault="003960E4" w:rsidP="00585833">
      <w:pPr>
        <w:rPr>
          <w:i/>
        </w:rPr>
      </w:pPr>
      <w:r>
        <w:rPr>
          <w:i/>
        </w:rPr>
        <w:t>Hintergrund</w:t>
      </w:r>
    </w:p>
    <w:p w14:paraId="7CBF1041" w14:textId="77777777" w:rsidR="003960E4" w:rsidRPr="0088502A" w:rsidRDefault="003960E4" w:rsidP="00585833"/>
    <w:p w14:paraId="48DF99F4" w14:textId="21B8D647" w:rsidR="00585833" w:rsidRPr="0088502A" w:rsidRDefault="003415AF" w:rsidP="00585833">
      <w:pPr>
        <w:keepNext/>
        <w:contextualSpacing/>
      </w:pPr>
      <w:r>
        <w:fldChar w:fldCharType="begin"/>
      </w:r>
      <w:r>
        <w:instrText xml:space="preserve"> LISTNUM  LegalDefault \l 1 </w:instrText>
      </w:r>
      <w:r>
        <w:fldChar w:fldCharType="end">
          <w:numberingChange w:id="77" w:author="SANCHEZ VIZCAINO GOMEZ Rosa Maria" w:date="2023-08-29T11:06:00Z" w:original="3."/>
        </w:fldChar>
      </w:r>
      <w:r>
        <w:tab/>
        <w:t>Die TWV vereinbarte auf ihrer fünfundfünfzigsten Tagung</w:t>
      </w:r>
      <w:r>
        <w:rPr>
          <w:vertAlign w:val="superscript"/>
        </w:rPr>
        <w:footnoteReference w:id="14"/>
      </w:r>
      <w:r>
        <w:t xml:space="preserve"> vorzuschlagen, dass Krankheitsresistenzmerkmale in Abschnitt 5 der Technischen Fragebögen (TQ) mit dem Zusatz einer Ausprägungsstufe „nicht geprüft” dargestellt werden sollten, wenn ein Merkmal nicht mit einem Sternchen in der Merkmalstabelle angegeben wurde (vergleiche Dokument TWV55/16 „</w:t>
      </w:r>
      <w:r>
        <w:rPr>
          <w:i/>
          <w:iCs/>
        </w:rPr>
        <w:t>Report</w:t>
      </w:r>
      <w:r>
        <w:t>“, Absätze 37 bis 39).</w:t>
      </w:r>
    </w:p>
    <w:p w14:paraId="452207B9" w14:textId="77777777" w:rsidR="00A50B03" w:rsidRPr="0088502A" w:rsidRDefault="00A50B03" w:rsidP="00A50B03">
      <w:pPr>
        <w:ind w:right="567"/>
      </w:pPr>
    </w:p>
    <w:p w14:paraId="458F1521" w14:textId="5131E23D" w:rsidR="00A50B03" w:rsidRPr="0088502A" w:rsidRDefault="003415AF" w:rsidP="00A50B03">
      <w:r>
        <w:fldChar w:fldCharType="begin"/>
      </w:r>
      <w:r>
        <w:instrText xml:space="preserve"> LISTNUM  LegalDefault \l 1 </w:instrText>
      </w:r>
      <w:r>
        <w:fldChar w:fldCharType="end">
          <w:numberingChange w:id="78" w:author="SANCHEZ VIZCAINO GOMEZ Rosa Maria" w:date="2023-08-29T11:06:00Z" w:original="4."/>
        </w:fldChar>
      </w:r>
      <w:r>
        <w:tab/>
        <w:t>Der TC vereinbarte auf seiner achtundfünfzigsten Tagung</w:t>
      </w:r>
      <w:r w:rsidR="001A4E8A" w:rsidRPr="008A4C0B">
        <w:rPr>
          <w:spacing w:val="-2"/>
          <w:vertAlign w:val="superscript"/>
        </w:rPr>
        <w:fldChar w:fldCharType="begin"/>
      </w:r>
      <w:r w:rsidR="001A4E8A" w:rsidRPr="008A4C0B">
        <w:rPr>
          <w:spacing w:val="-2"/>
          <w:vertAlign w:val="superscript"/>
        </w:rPr>
        <w:instrText xml:space="preserve"> NOTEREF _Ref145615980 \h </w:instrText>
      </w:r>
      <w:r w:rsidR="001A4E8A" w:rsidRPr="008A4C0B">
        <w:rPr>
          <w:spacing w:val="-2"/>
          <w:vertAlign w:val="superscript"/>
        </w:rPr>
      </w:r>
      <w:r w:rsidR="001A4E8A">
        <w:rPr>
          <w:spacing w:val="-2"/>
          <w:vertAlign w:val="superscript"/>
        </w:rPr>
        <w:instrText xml:space="preserve"> \* MERGEFORMAT </w:instrText>
      </w:r>
      <w:r w:rsidR="001A4E8A" w:rsidRPr="008A4C0B">
        <w:rPr>
          <w:spacing w:val="-2"/>
          <w:vertAlign w:val="superscript"/>
        </w:rPr>
        <w:fldChar w:fldCharType="separate"/>
      </w:r>
      <w:r w:rsidR="001A4E8A" w:rsidRPr="008A4C0B">
        <w:rPr>
          <w:spacing w:val="-2"/>
          <w:vertAlign w:val="superscript"/>
        </w:rPr>
        <w:t>6</w:t>
      </w:r>
      <w:r w:rsidR="001A4E8A" w:rsidRPr="008A4C0B">
        <w:rPr>
          <w:spacing w:val="-2"/>
          <w:vertAlign w:val="superscript"/>
        </w:rPr>
        <w:fldChar w:fldCharType="end"/>
      </w:r>
      <w:r w:rsidR="008C28DF" w:rsidRPr="0088502A">
        <w:fldChar w:fldCharType="begin"/>
      </w:r>
      <w:r w:rsidR="008C28DF" w:rsidRPr="0088502A">
        <w:instrText xml:space="preserve"> NOTEREF _Ref138847310 \f \h </w:instrText>
      </w:r>
      <w:r w:rsidR="001A4E8A">
        <w:fldChar w:fldCharType="separate"/>
      </w:r>
      <w:r w:rsidR="008C28DF" w:rsidRPr="0088502A">
        <w:fldChar w:fldCharType="end"/>
      </w:r>
      <w:r>
        <w:t xml:space="preserve">, das Verbandsbüro zu ersuchen, den TWP auf ihren Tagungen 2023 einen Vorschlag zur Änderung von Dokument TGP/7 GN 13 „Merkmale mit besonderen Funktionen” vorzulegen, um zu klären, dass nicht verpflichtende Krankheitsresistenzmerkmale in Abschnitt 5 der Technischen Fragebögen (TQ) mit dem Zusatz einer Ausprägungsstufe „nicht geprüft” dargestellt werden sollten </w:t>
      </w:r>
      <w:r>
        <w:rPr>
          <w:spacing w:val="-2"/>
        </w:rPr>
        <w:t>(vergleiche Dokument TC/58/31 „Bericht“, Absatz 27).</w:t>
      </w:r>
    </w:p>
    <w:p w14:paraId="1D2A736C" w14:textId="77777777" w:rsidR="00A50B03" w:rsidRPr="0088502A" w:rsidRDefault="00A50B03" w:rsidP="00A50B03"/>
    <w:p w14:paraId="009AC750" w14:textId="77777777" w:rsidR="003960E4" w:rsidRPr="0088502A" w:rsidRDefault="003960E4" w:rsidP="00A50B03">
      <w:pPr>
        <w:rPr>
          <w:i/>
        </w:rPr>
      </w:pPr>
      <w:r>
        <w:rPr>
          <w:i/>
        </w:rPr>
        <w:t>Prüfung durch die Technischen Arbeitsgruppen auf ihren Tagungen 2023</w:t>
      </w:r>
    </w:p>
    <w:p w14:paraId="4CDCE9B4" w14:textId="77777777" w:rsidR="003960E4" w:rsidRPr="0088502A" w:rsidRDefault="003960E4" w:rsidP="00A50B03"/>
    <w:p w14:paraId="51FE8D96" w14:textId="52460556" w:rsidR="002A54FC" w:rsidRPr="0088502A" w:rsidRDefault="003415AF" w:rsidP="002A54FC">
      <w:r>
        <w:fldChar w:fldCharType="begin"/>
      </w:r>
      <w:r>
        <w:instrText xml:space="preserve"> LISTNUM  LegalDefault \l 1 </w:instrText>
      </w:r>
      <w:r>
        <w:fldChar w:fldCharType="end">
          <w:numberingChange w:id="79" w:author="SANCHEZ VIZCAINO GOMEZ Rosa Maria" w:date="2023-08-29T11:06:00Z" w:original="5."/>
        </w:fldChar>
      </w:r>
      <w:r>
        <w:tab/>
        <w:t>Die TWV und die TWA vereinbarten auf ihren Tagungen 2023 die Überarbeitung von Dokument TGP/7 GN 13 „Merkmale mit besonderen Funktionen“, um zu klären, dass nicht in der Merkmalstabelle mit einem Sternchen angegebene Krankheitsresistenzmerkmale in Abschnitt 5 der Technischen Fragebögen (TQ) mit dem Zusatz einer Ausprägungsstufe „nicht geprüft” dargestellt werden dürfen, sofern das Merkmal nicht als Gruppierungsmerkmal verwendet wurde (vergleiche Dokumente TWV/57/26 „</w:t>
      </w:r>
      <w:r>
        <w:rPr>
          <w:i/>
          <w:iCs/>
        </w:rPr>
        <w:t>Report</w:t>
      </w:r>
      <w:r>
        <w:t>“, Absatz 14, und TWA/52/11 „</w:t>
      </w:r>
      <w:r>
        <w:rPr>
          <w:i/>
          <w:iCs/>
        </w:rPr>
        <w:t>Report</w:t>
      </w:r>
      <w:r>
        <w:t>“, Absatz 19).</w:t>
      </w:r>
    </w:p>
    <w:p w14:paraId="2D8A87B7" w14:textId="77777777" w:rsidR="0055644C" w:rsidRPr="0088502A" w:rsidRDefault="0055644C" w:rsidP="002A54FC"/>
    <w:p w14:paraId="36853140" w14:textId="77777777" w:rsidR="0055644C" w:rsidRPr="0088502A" w:rsidRDefault="0055644C" w:rsidP="00312E7F">
      <w:pPr>
        <w:rPr>
          <w:i/>
        </w:rPr>
      </w:pPr>
      <w:r>
        <w:rPr>
          <w:i/>
        </w:rPr>
        <w:t>Vorschlag</w:t>
      </w:r>
    </w:p>
    <w:p w14:paraId="2EBF3FD0" w14:textId="77777777" w:rsidR="0055644C" w:rsidRPr="0088502A" w:rsidRDefault="0055644C" w:rsidP="002A54FC"/>
    <w:p w14:paraId="79FFE70D" w14:textId="7D44DBC2" w:rsidR="0055644C" w:rsidRPr="0088502A" w:rsidRDefault="003415AF" w:rsidP="002A54FC">
      <w:r>
        <w:fldChar w:fldCharType="begin"/>
      </w:r>
      <w:r>
        <w:instrText xml:space="preserve"> LISTNUM  LegalDefault \l 1 </w:instrText>
      </w:r>
      <w:r>
        <w:fldChar w:fldCharType="end">
          <w:numberingChange w:id="80" w:author="SANCHEZ VIZCAINO GOMEZ Rosa Maria" w:date="2023-08-29T11:06:00Z" w:original="6."/>
        </w:fldChar>
      </w:r>
      <w:r>
        <w:tab/>
        <w:t xml:space="preserve">Auf Grundlage der Bemerkungen der TWP auf ihren Tagungen 2023 wird die Änderung von Dokument TGP/7 GN 13, Absatz 3.6, in folgenden Wortlaut vorgeschlagen (Zusätze sind durch Hervorhebung und </w:t>
      </w:r>
      <w:r>
        <w:rPr>
          <w:highlight w:val="lightGray"/>
          <w:u w:val="single"/>
        </w:rPr>
        <w:t>Unterstreichung</w:t>
      </w:r>
      <w:r>
        <w:t xml:space="preserve"> und Streichungen sind durch Hervorhebung und </w:t>
      </w:r>
      <w:r>
        <w:rPr>
          <w:strike/>
          <w:highlight w:val="lightGray"/>
        </w:rPr>
        <w:t>Durchstreichen</w:t>
      </w:r>
      <w:r>
        <w:t xml:space="preserve"> gekennzeichnet):</w:t>
      </w:r>
    </w:p>
    <w:p w14:paraId="694FCB6A" w14:textId="77777777" w:rsidR="00840417" w:rsidRPr="0088502A" w:rsidRDefault="00840417" w:rsidP="002A54FC"/>
    <w:p w14:paraId="353B9EB7" w14:textId="55EBB376" w:rsidR="00840417" w:rsidRPr="0088502A" w:rsidRDefault="00840417" w:rsidP="00E85A20">
      <w:pPr>
        <w:keepLines/>
        <w:ind w:left="567" w:right="567"/>
        <w:rPr>
          <w:rFonts w:cs="Arial"/>
          <w:color w:val="000000"/>
        </w:rPr>
      </w:pPr>
      <w:r>
        <w:rPr>
          <w:rFonts w:cs="Arial"/>
          <w:snapToGrid w:val="0"/>
        </w:rPr>
        <w:lastRenderedPageBreak/>
        <w:t>„3.6</w:t>
      </w:r>
      <w:r>
        <w:rPr>
          <w:rFonts w:cs="Arial"/>
          <w:snapToGrid w:val="0"/>
        </w:rPr>
        <w:tab/>
        <w:t>GN 13 4.b) erläutert: „Die aus der Merkmalstabelle ausgewählten Merkmale im Technischen Fragebogen sollten in der Regel in der Merkmalstabelle ein Sternchen erhalten“.</w:t>
      </w:r>
      <w:r w:rsidR="0062652A">
        <w:rPr>
          <w:rFonts w:cs="Arial"/>
          <w:snapToGrid w:val="0"/>
        </w:rPr>
        <w:t xml:space="preserve"> </w:t>
      </w:r>
      <w:r>
        <w:rPr>
          <w:rFonts w:cs="Arial"/>
          <w:snapToGrid w:val="0"/>
        </w:rPr>
        <w:t>Bestimmte Merkmale, insbesondere Krankheitsresistenzmerkmale, die als Gruppierungsmerkmale potenziell zweckmäßig sind, werden möglicherweise nicht mit einem Sternchen in die Merkmalstabelle aufgenommen.</w:t>
      </w:r>
      <w:r w:rsidR="0062652A">
        <w:rPr>
          <w:rFonts w:cs="Arial"/>
          <w:snapToGrid w:val="0"/>
        </w:rPr>
        <w:t xml:space="preserve"> </w:t>
      </w:r>
      <w:r>
        <w:rPr>
          <w:rFonts w:cs="Arial"/>
          <w:snapToGrid w:val="0"/>
        </w:rPr>
        <w:t>Bei Krankheitsresistenzmerkmalen kann es beispielsweise für verschiedene Verbandsmitglieder wegen technischer oder Quarantänevorschriften Hindernisse für die Verwendung des Merkmals geben.</w:t>
      </w:r>
      <w:r w:rsidR="0062652A">
        <w:rPr>
          <w:rFonts w:cs="Arial"/>
          <w:snapToGrid w:val="0"/>
        </w:rPr>
        <w:t xml:space="preserve"> </w:t>
      </w:r>
      <w:r>
        <w:rPr>
          <w:rFonts w:cs="Arial"/>
          <w:color w:val="000000"/>
        </w:rPr>
        <w:t>Dieselben Hindernisse könnten es den Antragstellern auch erschweren, Informationen über diese Merkmale zu liefern</w:t>
      </w:r>
      <w:r>
        <w:rPr>
          <w:rFonts w:cs="Arial"/>
          <w:strike/>
          <w:color w:val="000000"/>
          <w:highlight w:val="lightGray"/>
        </w:rPr>
        <w:t xml:space="preserve">, wenn sie in den </w:t>
      </w:r>
      <w:r>
        <w:rPr>
          <w:rFonts w:cs="Arial"/>
          <w:strike/>
          <w:snapToGrid w:val="0"/>
          <w:color w:val="000000"/>
          <w:highlight w:val="lightGray"/>
        </w:rPr>
        <w:t>Technischen Fragebogen</w:t>
      </w:r>
      <w:r>
        <w:rPr>
          <w:rFonts w:cs="Arial"/>
          <w:strike/>
          <w:color w:val="000000"/>
          <w:highlight w:val="lightGray"/>
        </w:rPr>
        <w:t>, Abschnitt 5 „Anzugebende Merkmale der Sorte” aufgenommen werden</w:t>
      </w:r>
      <w:r>
        <w:rPr>
          <w:rFonts w:cs="Arial"/>
          <w:color w:val="000000"/>
        </w:rPr>
        <w:t>.</w:t>
      </w:r>
      <w:r w:rsidR="0062652A">
        <w:rPr>
          <w:rFonts w:cs="Arial"/>
          <w:color w:val="000000"/>
        </w:rPr>
        <w:t xml:space="preserve"> </w:t>
      </w:r>
      <w:r>
        <w:rPr>
          <w:rFonts w:cs="Arial"/>
          <w:color w:val="000000"/>
        </w:rPr>
        <w:t>Krankheitsresistenzmerkmale</w:t>
      </w:r>
      <w:r>
        <w:rPr>
          <w:rFonts w:cs="Arial"/>
          <w:highlight w:val="lightGray"/>
          <w:u w:val="single"/>
        </w:rPr>
        <w:t>, die in der Merkmalstabelle nicht mit einem Sternchen angegeben oder als Gruppierungsmerkmal verwendet wurden, dürfen daher in Abschnitt 5 der Technischen Fragebögen (TQ) mit dem Zusatz einer Ausprägungsstufe „nicht geprüft” dargestellt werden.</w:t>
      </w:r>
      <w:r w:rsidR="0062652A">
        <w:rPr>
          <w:rFonts w:cs="Arial"/>
          <w:u w:val="single"/>
        </w:rPr>
        <w:t xml:space="preserve"> </w:t>
      </w:r>
      <w:r>
        <w:rPr>
          <w:rFonts w:cs="Arial"/>
          <w:strike/>
          <w:color w:val="000000"/>
          <w:highlight w:val="lightGray"/>
        </w:rPr>
        <w:t xml:space="preserve">Deshalb sollte in Abschnitt 7 des </w:t>
      </w:r>
      <w:r>
        <w:rPr>
          <w:rFonts w:cs="Arial"/>
          <w:strike/>
          <w:snapToGrid w:val="0"/>
          <w:color w:val="000000"/>
          <w:highlight w:val="lightGray"/>
        </w:rPr>
        <w:t>Technischen Fragebogens</w:t>
      </w:r>
      <w:r>
        <w:rPr>
          <w:rFonts w:cs="Arial"/>
          <w:strike/>
          <w:color w:val="000000"/>
          <w:highlight w:val="lightGray"/>
        </w:rPr>
        <w:t xml:space="preserve"> „Zusätzliche Informationen zur Erleichterung der Prüfung der Sorte” um Informationen für diese Merkmale ersucht werden.</w:t>
      </w:r>
      <w:r w:rsidR="0062652A">
        <w:rPr>
          <w:rFonts w:cs="Arial"/>
          <w:color w:val="000000"/>
        </w:rPr>
        <w:t xml:space="preserve"> </w:t>
      </w:r>
      <w:r w:rsidR="0062652A">
        <w:rPr>
          <w:rFonts w:cs="Arial"/>
          <w:strike/>
          <w:color w:val="000000"/>
          <w:highlight w:val="lightGray"/>
        </w:rPr>
        <w:t>Di</w:t>
      </w:r>
      <w:r>
        <w:rPr>
          <w:rFonts w:cs="Arial"/>
          <w:strike/>
          <w:color w:val="000000"/>
          <w:highlight w:val="lightGray"/>
        </w:rPr>
        <w:t>e Anleitung zur Darstellung der Merkmale für Abschnitt 5 (vgl. GN 13.3 und 13.4 oben) würde auch für die Darstellung der Merkmale in Abschnitt 7 gelten.“</w:t>
      </w:r>
    </w:p>
    <w:p w14:paraId="4B4499F6" w14:textId="77777777" w:rsidR="00840417" w:rsidRPr="0088502A" w:rsidRDefault="00840417" w:rsidP="002A54FC"/>
    <w:p w14:paraId="21D35726" w14:textId="77777777" w:rsidR="0055644C" w:rsidRPr="0088502A" w:rsidRDefault="0055644C" w:rsidP="00456825">
      <w:pPr>
        <w:jc w:val="right"/>
        <w:rPr>
          <w:rFonts w:cs="Arial"/>
          <w:sz w:val="18"/>
        </w:rPr>
      </w:pPr>
    </w:p>
    <w:p w14:paraId="43C30C0B" w14:textId="77777777" w:rsidR="0055644C" w:rsidRPr="0088502A" w:rsidRDefault="0055644C" w:rsidP="00456825">
      <w:pPr>
        <w:jc w:val="right"/>
        <w:rPr>
          <w:rFonts w:cs="Arial"/>
          <w:sz w:val="18"/>
        </w:rPr>
      </w:pPr>
    </w:p>
    <w:p w14:paraId="2CB1E787" w14:textId="77777777" w:rsidR="00A62445" w:rsidRPr="0088502A" w:rsidRDefault="00A62445" w:rsidP="00456825">
      <w:pPr>
        <w:jc w:val="right"/>
        <w:rPr>
          <w:rFonts w:cs="Arial"/>
          <w:sz w:val="18"/>
        </w:rPr>
      </w:pPr>
      <w:r>
        <w:t>[Anlage III folgt]</w:t>
      </w:r>
    </w:p>
    <w:p w14:paraId="400BDE3D" w14:textId="77777777" w:rsidR="00A62445" w:rsidRPr="0088502A" w:rsidRDefault="00A62445" w:rsidP="009B440E">
      <w:pPr>
        <w:jc w:val="left"/>
        <w:sectPr w:rsidR="00A62445" w:rsidRPr="0088502A" w:rsidSect="0004198B">
          <w:headerReference w:type="default" r:id="rId13"/>
          <w:headerReference w:type="first" r:id="rId14"/>
          <w:pgSz w:w="11907" w:h="16840" w:code="9"/>
          <w:pgMar w:top="510" w:right="1134" w:bottom="1134" w:left="1134" w:header="510" w:footer="680" w:gutter="0"/>
          <w:pgNumType w:start="1"/>
          <w:cols w:space="720"/>
          <w:titlePg/>
        </w:sectPr>
      </w:pPr>
    </w:p>
    <w:p w14:paraId="2259ACD8" w14:textId="77777777" w:rsidR="001F009B" w:rsidRPr="0088502A" w:rsidRDefault="001F009B" w:rsidP="00394D60">
      <w:pPr>
        <w:jc w:val="center"/>
      </w:pPr>
      <w:r>
        <w:lastRenderedPageBreak/>
        <w:t>VORSCHLAG FÜR KÜNFTIGE ÜBERARBEITUNG VON ANLEITUNGEN UND INFORMATIONSMATERIAL,</w:t>
      </w:r>
    </w:p>
    <w:p w14:paraId="65489669" w14:textId="77777777" w:rsidR="001F009B" w:rsidRPr="0088502A" w:rsidRDefault="001F009B" w:rsidP="00394D60">
      <w:pPr>
        <w:jc w:val="center"/>
      </w:pPr>
      <w:r>
        <w:t>DIE IM TECHNISCHEN AUSSCHUSS ERÖRTERT WERDEN</w:t>
      </w:r>
    </w:p>
    <w:p w14:paraId="2CBF1FF9" w14:textId="77777777" w:rsidR="00394D60" w:rsidRPr="0088502A" w:rsidRDefault="00394D60" w:rsidP="00394D60"/>
    <w:p w14:paraId="3B3A6787" w14:textId="18440E42" w:rsidR="00B2758C" w:rsidRPr="0088502A" w:rsidRDefault="003415AF" w:rsidP="00394D60">
      <w:r>
        <w:fldChar w:fldCharType="begin"/>
      </w:r>
      <w:r>
        <w:instrText xml:space="preserve"> LISTNUM  LegalDefault \l 1 \s 1 </w:instrText>
      </w:r>
      <w:r>
        <w:fldChar w:fldCharType="end">
          <w:numberingChange w:id="81" w:author="SANCHEZ VIZCAINO GOMEZ Rosa Maria" w:date="2023-08-29T11:06:00Z" w:original="1."/>
        </w:fldChar>
      </w:r>
      <w:r>
        <w:tab/>
        <w:t xml:space="preserve">Der folgende Abschnitt berichtet über Erörterungen im Technischen Ausschuss, die zum gegenwärtigen Zeitpunkt nicht dem Rat zu Annahme vorgeschlagen werden sollen. </w:t>
      </w:r>
    </w:p>
    <w:p w14:paraId="4AA2783D" w14:textId="77777777" w:rsidR="004769F7" w:rsidRPr="0088502A" w:rsidRDefault="004769F7" w:rsidP="00394D60"/>
    <w:p w14:paraId="55EB9FF7" w14:textId="77777777" w:rsidR="004769F7" w:rsidRPr="0088502A" w:rsidRDefault="004769F7" w:rsidP="004769F7"/>
    <w:p w14:paraId="4B649E79" w14:textId="77777777" w:rsidR="004769F7" w:rsidRPr="0088502A" w:rsidRDefault="004769F7" w:rsidP="00D86905">
      <w:pPr>
        <w:rPr>
          <w:u w:val="single"/>
        </w:rPr>
      </w:pPr>
      <w:r>
        <w:rPr>
          <w:u w:val="single"/>
        </w:rPr>
        <w:t>a)</w:t>
      </w:r>
      <w:r>
        <w:rPr>
          <w:u w:val="single"/>
        </w:rPr>
        <w:tab/>
        <w:t>Erläuterungen:</w:t>
      </w:r>
    </w:p>
    <w:p w14:paraId="6E205654" w14:textId="77777777" w:rsidR="004769F7" w:rsidRPr="0088502A" w:rsidRDefault="004769F7" w:rsidP="004769F7">
      <w:pPr>
        <w:ind w:left="567"/>
        <w:jc w:val="left"/>
      </w:pPr>
    </w:p>
    <w:p w14:paraId="699CD491" w14:textId="77777777" w:rsidR="004769F7" w:rsidRPr="0088502A" w:rsidRDefault="004769F7" w:rsidP="00D86905">
      <w:pPr>
        <w:rPr>
          <w:rFonts w:cs="Arial"/>
          <w:i/>
          <w:snapToGrid w:val="0"/>
        </w:rPr>
      </w:pPr>
      <w:r>
        <w:rPr>
          <w:i/>
        </w:rPr>
        <w:t xml:space="preserve">UPOV/EXN/DEN </w:t>
      </w:r>
      <w:r>
        <w:rPr>
          <w:b/>
          <w:i/>
        </w:rPr>
        <w:tab/>
      </w:r>
      <w:r>
        <w:rPr>
          <w:i/>
        </w:rPr>
        <w:t>Erläuterungen zu Sortenbezeichnungen nach dem UPOV-Übereinkommen (Überarbeitung)</w:t>
      </w:r>
    </w:p>
    <w:p w14:paraId="4093A8D9" w14:textId="77777777" w:rsidR="004769F7" w:rsidRPr="0088502A" w:rsidRDefault="004769F7" w:rsidP="004769F7"/>
    <w:p w14:paraId="7BC1756E" w14:textId="77777777" w:rsidR="004769F7" w:rsidRPr="0088502A" w:rsidRDefault="004769F7" w:rsidP="009F0366">
      <w:pPr>
        <w:ind w:left="709"/>
        <w:rPr>
          <w:u w:val="single"/>
        </w:rPr>
      </w:pPr>
      <w:bookmarkStart w:id="82" w:name="_Toc140511420"/>
      <w:r>
        <w:rPr>
          <w:u w:val="single"/>
        </w:rPr>
        <w:t xml:space="preserve">Änderung der Sortenbezeichnungsklassen für </w:t>
      </w:r>
      <w:r>
        <w:rPr>
          <w:i/>
          <w:iCs/>
          <w:u w:val="single"/>
        </w:rPr>
        <w:t>Brassica</w:t>
      </w:r>
      <w:bookmarkEnd w:id="82"/>
    </w:p>
    <w:p w14:paraId="47C2ECAE" w14:textId="77777777" w:rsidR="004769F7" w:rsidRPr="0088502A" w:rsidRDefault="004769F7" w:rsidP="004769F7"/>
    <w:p w14:paraId="1BFEA275" w14:textId="298A678A" w:rsidR="004769F7" w:rsidRPr="0088502A" w:rsidRDefault="003415AF" w:rsidP="004769F7">
      <w:pPr>
        <w:rPr>
          <w:spacing w:val="-2"/>
        </w:rPr>
      </w:pPr>
      <w:r>
        <w:fldChar w:fldCharType="begin"/>
      </w:r>
      <w:r>
        <w:instrText xml:space="preserve"> LISTNUM  LegalDefault \l 1 </w:instrText>
      </w:r>
      <w:r>
        <w:fldChar w:fldCharType="end">
          <w:numberingChange w:id="83" w:author="SANCHEZ VIZCAINO GOMEZ Rosa Maria" w:date="2023-08-29T11:06:00Z" w:original="2."/>
        </w:fldChar>
      </w:r>
      <w:r>
        <w:rPr>
          <w:spacing w:val="-2"/>
        </w:rPr>
        <w:tab/>
        <w:t>Den Hintergrund zu diesem Thema liefert Dokument TC/58/15 „Sortenbezeichnungen“.</w:t>
      </w:r>
      <w:r w:rsidR="0062652A">
        <w:rPr>
          <w:spacing w:val="-2"/>
        </w:rPr>
        <w:t xml:space="preserve"> </w:t>
      </w:r>
      <w:r>
        <w:rPr>
          <w:spacing w:val="-2"/>
        </w:rPr>
        <w:t>Die TWV auf ihrer siebenundfünfzigsten Tagung</w:t>
      </w:r>
      <w:r w:rsidR="001A4E8A" w:rsidRPr="001A4E8A">
        <w:rPr>
          <w:spacing w:val="-2"/>
          <w:vertAlign w:val="superscript"/>
        </w:rPr>
        <w:fldChar w:fldCharType="begin"/>
      </w:r>
      <w:r w:rsidR="001A4E8A" w:rsidRPr="001A4E8A">
        <w:rPr>
          <w:spacing w:val="-2"/>
          <w:vertAlign w:val="superscript"/>
        </w:rPr>
        <w:instrText xml:space="preserve"> NOTEREF _Ref145616140 \h </w:instrText>
      </w:r>
      <w:r w:rsidR="001A4E8A" w:rsidRPr="001A4E8A">
        <w:rPr>
          <w:spacing w:val="-2"/>
          <w:vertAlign w:val="superscript"/>
        </w:rPr>
      </w:r>
      <w:r w:rsidR="001A4E8A">
        <w:rPr>
          <w:spacing w:val="-2"/>
          <w:vertAlign w:val="superscript"/>
        </w:rPr>
        <w:instrText xml:space="preserve"> \* MERGEFORMAT </w:instrText>
      </w:r>
      <w:r w:rsidR="001A4E8A" w:rsidRPr="001A4E8A">
        <w:rPr>
          <w:spacing w:val="-2"/>
          <w:vertAlign w:val="superscript"/>
        </w:rPr>
        <w:fldChar w:fldCharType="separate"/>
      </w:r>
      <w:r w:rsidR="001A4E8A" w:rsidRPr="001A4E8A">
        <w:rPr>
          <w:spacing w:val="-2"/>
          <w:vertAlign w:val="superscript"/>
        </w:rPr>
        <w:t>7</w:t>
      </w:r>
      <w:r w:rsidR="001A4E8A" w:rsidRPr="001A4E8A">
        <w:rPr>
          <w:spacing w:val="-2"/>
          <w:vertAlign w:val="superscript"/>
        </w:rPr>
        <w:fldChar w:fldCharType="end"/>
      </w:r>
      <w:r w:rsidR="002A6131" w:rsidRPr="0088502A">
        <w:rPr>
          <w:spacing w:val="-2"/>
        </w:rPr>
        <w:t xml:space="preserve"> </w:t>
      </w:r>
      <w:r>
        <w:rPr>
          <w:spacing w:val="-2"/>
        </w:rPr>
        <w:t>und die TWA auf ihrer zweiundfünfzigsten Tagung</w:t>
      </w:r>
      <w:r w:rsidR="001A4E8A" w:rsidRPr="001A4E8A">
        <w:rPr>
          <w:spacing w:val="-2"/>
          <w:vertAlign w:val="superscript"/>
        </w:rPr>
        <w:fldChar w:fldCharType="begin"/>
      </w:r>
      <w:r w:rsidR="001A4E8A" w:rsidRPr="001A4E8A">
        <w:rPr>
          <w:spacing w:val="-2"/>
          <w:vertAlign w:val="superscript"/>
        </w:rPr>
        <w:instrText xml:space="preserve"> NOTEREF _Ref138846618 \h </w:instrText>
      </w:r>
      <w:r w:rsidR="001A4E8A" w:rsidRPr="001A4E8A">
        <w:rPr>
          <w:spacing w:val="-2"/>
          <w:vertAlign w:val="superscript"/>
        </w:rPr>
      </w:r>
      <w:r w:rsidR="001A4E8A">
        <w:rPr>
          <w:spacing w:val="-2"/>
          <w:vertAlign w:val="superscript"/>
        </w:rPr>
        <w:instrText xml:space="preserve"> \* MERGEFORMAT </w:instrText>
      </w:r>
      <w:r w:rsidR="001A4E8A" w:rsidRPr="001A4E8A">
        <w:rPr>
          <w:spacing w:val="-2"/>
          <w:vertAlign w:val="superscript"/>
        </w:rPr>
        <w:fldChar w:fldCharType="separate"/>
      </w:r>
      <w:r w:rsidR="001A4E8A" w:rsidRPr="001A4E8A">
        <w:rPr>
          <w:spacing w:val="-2"/>
          <w:vertAlign w:val="superscript"/>
        </w:rPr>
        <w:t>8</w:t>
      </w:r>
      <w:r w:rsidR="001A4E8A" w:rsidRPr="001A4E8A">
        <w:rPr>
          <w:spacing w:val="-2"/>
          <w:vertAlign w:val="superscript"/>
        </w:rPr>
        <w:fldChar w:fldCharType="end"/>
      </w:r>
      <w:r w:rsidR="002A6131" w:rsidRPr="0088502A">
        <w:rPr>
          <w:spacing w:val="-2"/>
        </w:rPr>
        <w:t xml:space="preserve"> </w:t>
      </w:r>
      <w:r>
        <w:rPr>
          <w:spacing w:val="-2"/>
        </w:rPr>
        <w:t xml:space="preserve">prüften den folgenden Vorschlag, die bestehende Sortenklasse für </w:t>
      </w:r>
      <w:r>
        <w:rPr>
          <w:i/>
          <w:spacing w:val="-2"/>
        </w:rPr>
        <w:t>Brassica</w:t>
      </w:r>
      <w:r>
        <w:rPr>
          <w:spacing w:val="-2"/>
        </w:rPr>
        <w:t xml:space="preserve"> zu ändern und eine neue Sortenklasse </w:t>
      </w:r>
      <w:r w:rsidR="002A6131">
        <w:rPr>
          <w:spacing w:val="-2"/>
        </w:rPr>
        <w:t xml:space="preserve">in Dokument UPOV/EXN/DEN </w:t>
      </w:r>
      <w:r>
        <w:rPr>
          <w:spacing w:val="-2"/>
        </w:rPr>
        <w:t xml:space="preserve">zu bilden (Zusätze sind durch Hervorhebung und </w:t>
      </w:r>
      <w:r>
        <w:rPr>
          <w:spacing w:val="-2"/>
          <w:highlight w:val="lightGray"/>
          <w:u w:val="single"/>
        </w:rPr>
        <w:t xml:space="preserve">Unterstreichung </w:t>
      </w:r>
      <w:r>
        <w:rPr>
          <w:spacing w:val="-2"/>
        </w:rPr>
        <w:t xml:space="preserve">und Streichungen sind durch Hervorhebung und </w:t>
      </w:r>
      <w:r>
        <w:rPr>
          <w:strike/>
          <w:spacing w:val="-2"/>
          <w:highlight w:val="lightGray"/>
        </w:rPr>
        <w:t>Durchstreichen</w:t>
      </w:r>
      <w:r>
        <w:rPr>
          <w:spacing w:val="-2"/>
        </w:rPr>
        <w:t xml:space="preserve"> gekennzeichnet):</w:t>
      </w:r>
    </w:p>
    <w:p w14:paraId="12AB34C7" w14:textId="77777777" w:rsidR="004769F7" w:rsidRPr="0088502A" w:rsidRDefault="004769F7" w:rsidP="004769F7">
      <w:pPr>
        <w:rPr>
          <w:sz w:val="16"/>
        </w:rPr>
      </w:pPr>
    </w:p>
    <w:p w14:paraId="4D147AB4" w14:textId="77777777" w:rsidR="004769F7" w:rsidRPr="0088502A" w:rsidRDefault="004769F7" w:rsidP="004769F7">
      <w:pPr>
        <w:keepNext/>
        <w:jc w:val="center"/>
        <w:rPr>
          <w:i/>
        </w:rPr>
      </w:pPr>
      <w:r>
        <w:rPr>
          <w:i/>
        </w:rPr>
        <w:t>Klassen innerhalb einer Gattung</w:t>
      </w:r>
    </w:p>
    <w:p w14:paraId="25B41F03" w14:textId="77777777" w:rsidR="004769F7" w:rsidRPr="0088502A" w:rsidRDefault="004769F7" w:rsidP="004769F7">
      <w:pPr>
        <w:keepNext/>
        <w:rPr>
          <w:sz w:val="16"/>
        </w:rPr>
      </w:pPr>
    </w:p>
    <w:tbl>
      <w:tblPr>
        <w:tblW w:w="9295"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215"/>
        <w:gridCol w:w="3827"/>
        <w:gridCol w:w="2126"/>
        <w:gridCol w:w="2127"/>
      </w:tblGrid>
      <w:tr w:rsidR="004769F7" w:rsidRPr="0088502A" w14:paraId="606C0F64" w14:textId="77777777" w:rsidTr="00C319D3">
        <w:trPr>
          <w:cantSplit/>
          <w:tblHeader/>
        </w:trPr>
        <w:tc>
          <w:tcPr>
            <w:tcW w:w="1215" w:type="dxa"/>
            <w:shd w:val="clear" w:color="auto" w:fill="D9D9D9" w:themeFill="background1" w:themeFillShade="D9"/>
            <w:vAlign w:val="center"/>
          </w:tcPr>
          <w:p w14:paraId="0A1684D8" w14:textId="77777777" w:rsidR="004769F7" w:rsidRPr="0088502A" w:rsidRDefault="004769F7" w:rsidP="00C319D3">
            <w:pPr>
              <w:pStyle w:val="BasistekstNaktuinbouw"/>
              <w:keepNext/>
              <w:ind w:right="-55"/>
              <w:rPr>
                <w:rFonts w:eastAsia="MS Mincho"/>
                <w:sz w:val="18"/>
                <w:szCs w:val="20"/>
                <w:lang w:val="en-US"/>
              </w:rPr>
            </w:pPr>
          </w:p>
        </w:tc>
        <w:tc>
          <w:tcPr>
            <w:tcW w:w="3827" w:type="dxa"/>
            <w:shd w:val="clear" w:color="auto" w:fill="D9D9D9" w:themeFill="background1" w:themeFillShade="D9"/>
            <w:vAlign w:val="center"/>
          </w:tcPr>
          <w:p w14:paraId="1CF30247" w14:textId="77777777" w:rsidR="004769F7" w:rsidRPr="0088502A" w:rsidRDefault="004769F7" w:rsidP="00900DD6">
            <w:pPr>
              <w:keepNext/>
              <w:spacing w:before="40" w:after="60"/>
              <w:jc w:val="center"/>
              <w:rPr>
                <w:rFonts w:eastAsia="MS Mincho"/>
                <w:sz w:val="18"/>
                <w:u w:val="single"/>
              </w:rPr>
            </w:pPr>
            <w:r>
              <w:rPr>
                <w:rFonts w:eastAsia="MS Mincho"/>
                <w:sz w:val="18"/>
                <w:u w:val="single"/>
              </w:rPr>
              <w:t>Botanische Namen</w:t>
            </w:r>
          </w:p>
        </w:tc>
        <w:tc>
          <w:tcPr>
            <w:tcW w:w="2126" w:type="dxa"/>
            <w:shd w:val="clear" w:color="auto" w:fill="D9D9D9" w:themeFill="background1" w:themeFillShade="D9"/>
            <w:vAlign w:val="center"/>
          </w:tcPr>
          <w:p w14:paraId="31AB0CED" w14:textId="77777777" w:rsidR="004769F7" w:rsidRPr="0088502A" w:rsidRDefault="004769F7" w:rsidP="00900DD6">
            <w:pPr>
              <w:keepNext/>
              <w:spacing w:before="40" w:after="60"/>
              <w:jc w:val="center"/>
              <w:rPr>
                <w:rFonts w:eastAsia="MS Mincho"/>
                <w:sz w:val="18"/>
                <w:u w:val="single"/>
              </w:rPr>
            </w:pPr>
            <w:r>
              <w:rPr>
                <w:rFonts w:eastAsia="MS Mincho"/>
                <w:sz w:val="18"/>
                <w:u w:val="single"/>
              </w:rPr>
              <w:t>UPOV-Codes</w:t>
            </w:r>
          </w:p>
        </w:tc>
        <w:tc>
          <w:tcPr>
            <w:tcW w:w="2127" w:type="dxa"/>
            <w:shd w:val="clear" w:color="auto" w:fill="D9D9D9" w:themeFill="background1" w:themeFillShade="D9"/>
          </w:tcPr>
          <w:p w14:paraId="0A1B9D3E" w14:textId="77777777" w:rsidR="004769F7" w:rsidRPr="0088502A" w:rsidRDefault="004769F7" w:rsidP="00900DD6">
            <w:pPr>
              <w:keepNext/>
              <w:spacing w:before="40" w:after="60"/>
              <w:jc w:val="center"/>
              <w:rPr>
                <w:rFonts w:eastAsia="MS Mincho"/>
                <w:sz w:val="18"/>
                <w:highlight w:val="darkGray"/>
                <w:u w:val="single"/>
              </w:rPr>
            </w:pPr>
            <w:r>
              <w:rPr>
                <w:rFonts w:eastAsia="MS Mincho"/>
                <w:sz w:val="18"/>
                <w:highlight w:val="lightGray"/>
                <w:u w:val="single"/>
              </w:rPr>
              <w:t>Landesüblicher Name</w:t>
            </w:r>
          </w:p>
        </w:tc>
      </w:tr>
      <w:tr w:rsidR="004769F7" w:rsidRPr="0088502A" w14:paraId="242F3500" w14:textId="77777777" w:rsidTr="00C319D3">
        <w:trPr>
          <w:cantSplit/>
        </w:trPr>
        <w:tc>
          <w:tcPr>
            <w:tcW w:w="1215" w:type="dxa"/>
          </w:tcPr>
          <w:p w14:paraId="2C974E30" w14:textId="77777777" w:rsidR="004769F7" w:rsidRPr="0088502A" w:rsidRDefault="004769F7" w:rsidP="00900DD6">
            <w:pPr>
              <w:keepNext/>
              <w:spacing w:before="40" w:after="40"/>
              <w:rPr>
                <w:rFonts w:eastAsia="MS Mincho" w:cs="Arial"/>
                <w:sz w:val="18"/>
              </w:rPr>
            </w:pPr>
            <w:r>
              <w:rPr>
                <w:rFonts w:eastAsia="MS Mincho" w:cs="Arial"/>
                <w:sz w:val="18"/>
              </w:rPr>
              <w:t>Klasse 1.1</w:t>
            </w:r>
          </w:p>
        </w:tc>
        <w:tc>
          <w:tcPr>
            <w:tcW w:w="3827" w:type="dxa"/>
          </w:tcPr>
          <w:p w14:paraId="439F5FA1" w14:textId="77777777" w:rsidR="004769F7" w:rsidRPr="00D94A07" w:rsidRDefault="004769F7" w:rsidP="00900DD6">
            <w:pPr>
              <w:keepNext/>
              <w:spacing w:before="40" w:after="40"/>
              <w:jc w:val="left"/>
              <w:rPr>
                <w:rFonts w:eastAsia="MS Mincho" w:cs="Arial"/>
                <w:i/>
                <w:sz w:val="18"/>
                <w:lang w:val="pt-BR"/>
              </w:rPr>
            </w:pPr>
            <w:proofErr w:type="spellStart"/>
            <w:r w:rsidRPr="00171B2C">
              <w:rPr>
                <w:rFonts w:eastAsia="MS Mincho" w:cs="Arial"/>
                <w:i/>
                <w:sz w:val="18"/>
                <w:lang w:val="es-ES"/>
              </w:rPr>
              <w:t>Brassica</w:t>
            </w:r>
            <w:proofErr w:type="spellEnd"/>
            <w:r w:rsidRPr="00171B2C">
              <w:rPr>
                <w:rFonts w:eastAsia="MS Mincho" w:cs="Arial"/>
                <w:i/>
                <w:sz w:val="18"/>
                <w:lang w:val="es-ES"/>
              </w:rPr>
              <w:t xml:space="preserve"> </w:t>
            </w:r>
            <w:proofErr w:type="spellStart"/>
            <w:r w:rsidRPr="00171B2C">
              <w:rPr>
                <w:rFonts w:eastAsia="MS Mincho" w:cs="Arial"/>
                <w:i/>
                <w:sz w:val="18"/>
                <w:lang w:val="es-ES"/>
              </w:rPr>
              <w:t>oleracea</w:t>
            </w:r>
            <w:proofErr w:type="spellEnd"/>
          </w:p>
          <w:p w14:paraId="5424754F" w14:textId="77777777" w:rsidR="004769F7" w:rsidRPr="0088502A" w:rsidRDefault="004769F7" w:rsidP="00900DD6">
            <w:pPr>
              <w:pStyle w:val="BasistekstNaktuinbouw"/>
              <w:keepNext/>
              <w:rPr>
                <w:rFonts w:eastAsia="MS Mincho"/>
                <w:sz w:val="18"/>
                <w:szCs w:val="20"/>
                <w:highlight w:val="lightGray"/>
                <w:u w:val="single"/>
                <w:lang w:val="en-US"/>
              </w:rPr>
            </w:pPr>
            <w:proofErr w:type="spellStart"/>
            <w:r w:rsidRPr="00171B2C">
              <w:rPr>
                <w:rFonts w:eastAsia="MS Mincho"/>
                <w:i/>
                <w:sz w:val="18"/>
                <w:szCs w:val="20"/>
                <w:highlight w:val="lightGray"/>
                <w:u w:val="single"/>
                <w:lang w:val="es-ES"/>
              </w:rPr>
              <w:t>Brassica</w:t>
            </w:r>
            <w:proofErr w:type="spellEnd"/>
            <w:r w:rsidRPr="00171B2C">
              <w:rPr>
                <w:rFonts w:eastAsia="MS Mincho"/>
                <w:i/>
                <w:sz w:val="18"/>
                <w:szCs w:val="20"/>
                <w:highlight w:val="lightGray"/>
                <w:u w:val="single"/>
                <w:lang w:val="es-ES"/>
              </w:rPr>
              <w:t xml:space="preserve"> </w:t>
            </w:r>
            <w:proofErr w:type="spellStart"/>
            <w:r w:rsidRPr="00171B2C">
              <w:rPr>
                <w:rFonts w:eastAsia="MS Mincho"/>
                <w:i/>
                <w:sz w:val="18"/>
                <w:szCs w:val="20"/>
                <w:highlight w:val="lightGray"/>
                <w:u w:val="single"/>
                <w:lang w:val="es-ES"/>
              </w:rPr>
              <w:t>napus</w:t>
            </w:r>
            <w:proofErr w:type="spellEnd"/>
            <w:r w:rsidRPr="00171B2C">
              <w:rPr>
                <w:rFonts w:eastAsia="MS Mincho"/>
                <w:sz w:val="18"/>
                <w:szCs w:val="20"/>
                <w:highlight w:val="lightGray"/>
                <w:u w:val="single"/>
                <w:lang w:val="es-ES"/>
              </w:rPr>
              <w:t xml:space="preserve"> </w:t>
            </w:r>
            <w:proofErr w:type="spellStart"/>
            <w:r w:rsidRPr="00171B2C">
              <w:rPr>
                <w:rFonts w:eastAsia="MS Mincho"/>
                <w:sz w:val="18"/>
                <w:szCs w:val="20"/>
                <w:highlight w:val="lightGray"/>
                <w:u w:val="single"/>
                <w:lang w:val="es-ES"/>
              </w:rPr>
              <w:t>subsp</w:t>
            </w:r>
            <w:proofErr w:type="spellEnd"/>
            <w:r w:rsidRPr="00171B2C">
              <w:rPr>
                <w:rFonts w:eastAsia="MS Mincho"/>
                <w:sz w:val="18"/>
                <w:szCs w:val="20"/>
                <w:highlight w:val="lightGray"/>
                <w:u w:val="single"/>
                <w:lang w:val="es-ES"/>
              </w:rPr>
              <w:t xml:space="preserve">. </w:t>
            </w:r>
            <w:proofErr w:type="spellStart"/>
            <w:r w:rsidRPr="00171B2C">
              <w:rPr>
                <w:rFonts w:eastAsia="MS Mincho"/>
                <w:i/>
                <w:sz w:val="18"/>
                <w:szCs w:val="20"/>
                <w:highlight w:val="lightGray"/>
                <w:u w:val="single"/>
                <w:lang w:val="es-ES"/>
              </w:rPr>
              <w:t>napus</w:t>
            </w:r>
            <w:proofErr w:type="spellEnd"/>
            <w:r w:rsidRPr="00171B2C">
              <w:rPr>
                <w:rFonts w:eastAsia="MS Mincho"/>
                <w:sz w:val="18"/>
                <w:szCs w:val="20"/>
                <w:highlight w:val="lightGray"/>
                <w:u w:val="single"/>
                <w:lang w:val="es-ES"/>
              </w:rPr>
              <w:t xml:space="preserve"> </w:t>
            </w:r>
            <w:proofErr w:type="spellStart"/>
            <w:r w:rsidRPr="00171B2C">
              <w:rPr>
                <w:rFonts w:eastAsia="MS Mincho"/>
                <w:sz w:val="18"/>
                <w:szCs w:val="20"/>
                <w:highlight w:val="lightGray"/>
                <w:u w:val="single"/>
                <w:lang w:val="es-ES"/>
              </w:rPr>
              <w:t>var</w:t>
            </w:r>
            <w:proofErr w:type="spellEnd"/>
            <w:r w:rsidRPr="00171B2C">
              <w:rPr>
                <w:rFonts w:eastAsia="MS Mincho"/>
                <w:sz w:val="18"/>
                <w:szCs w:val="20"/>
                <w:highlight w:val="lightGray"/>
                <w:u w:val="single"/>
                <w:lang w:val="es-ES"/>
              </w:rPr>
              <w:t xml:space="preserve">. </w:t>
            </w:r>
            <w:proofErr w:type="spellStart"/>
            <w:r w:rsidRPr="00171B2C">
              <w:rPr>
                <w:rFonts w:eastAsia="MS Mincho"/>
                <w:i/>
                <w:sz w:val="18"/>
                <w:szCs w:val="20"/>
                <w:highlight w:val="lightGray"/>
                <w:u w:val="single"/>
                <w:lang w:val="es-ES"/>
              </w:rPr>
              <w:t>pabularia</w:t>
            </w:r>
            <w:proofErr w:type="spellEnd"/>
            <w:r w:rsidRPr="00171B2C">
              <w:rPr>
                <w:rFonts w:eastAsia="MS Mincho"/>
                <w:sz w:val="18"/>
                <w:szCs w:val="20"/>
                <w:highlight w:val="lightGray"/>
                <w:u w:val="single"/>
                <w:lang w:val="es-ES"/>
              </w:rPr>
              <w:t xml:space="preserve"> (DC.) </w:t>
            </w:r>
            <w:r>
              <w:rPr>
                <w:rFonts w:eastAsia="MS Mincho"/>
                <w:sz w:val="18"/>
                <w:szCs w:val="20"/>
                <w:highlight w:val="lightGray"/>
                <w:u w:val="single"/>
              </w:rPr>
              <w:t xml:space="preserve">Alef. </w:t>
            </w:r>
          </w:p>
          <w:p w14:paraId="15B53F07" w14:textId="77777777" w:rsidR="004769F7" w:rsidRPr="0088502A" w:rsidRDefault="004769F7" w:rsidP="00900DD6">
            <w:pPr>
              <w:pStyle w:val="BasistekstNaktuinbouw"/>
              <w:keepNext/>
              <w:rPr>
                <w:rFonts w:eastAsia="MS Mincho"/>
                <w:sz w:val="18"/>
                <w:szCs w:val="20"/>
                <w:lang w:val="en-US"/>
              </w:rPr>
            </w:pPr>
            <w:r w:rsidRPr="00BC02C9">
              <w:rPr>
                <w:rFonts w:eastAsia="MS Mincho"/>
                <w:sz w:val="18"/>
                <w:szCs w:val="20"/>
                <w:highlight w:val="lightGray"/>
                <w:u w:val="single"/>
                <w:lang w:val="en-US"/>
              </w:rPr>
              <w:t>(</w:t>
            </w:r>
            <w:proofErr w:type="spellStart"/>
            <w:proofErr w:type="gramStart"/>
            <w:r w:rsidRPr="00BC02C9">
              <w:rPr>
                <w:rFonts w:eastAsia="MS Mincho"/>
                <w:sz w:val="18"/>
                <w:szCs w:val="20"/>
                <w:highlight w:val="lightGray"/>
                <w:u w:val="single"/>
                <w:lang w:val="en-US"/>
              </w:rPr>
              <w:t>bzw</w:t>
            </w:r>
            <w:proofErr w:type="spellEnd"/>
            <w:proofErr w:type="gramEnd"/>
            <w:r w:rsidRPr="00BC02C9">
              <w:rPr>
                <w:rFonts w:eastAsia="MS Mincho"/>
                <w:sz w:val="18"/>
                <w:szCs w:val="20"/>
                <w:highlight w:val="lightGray"/>
                <w:u w:val="single"/>
                <w:lang w:val="en-US"/>
              </w:rPr>
              <w:t xml:space="preserve">. </w:t>
            </w:r>
            <w:r w:rsidRPr="00BC02C9">
              <w:rPr>
                <w:rFonts w:eastAsia="MS Mincho"/>
                <w:i/>
                <w:sz w:val="18"/>
                <w:szCs w:val="20"/>
                <w:highlight w:val="lightGray"/>
                <w:u w:val="single"/>
                <w:lang w:val="en-US"/>
              </w:rPr>
              <w:t>Brassica napus</w:t>
            </w:r>
            <w:r w:rsidRPr="00BC02C9">
              <w:rPr>
                <w:rFonts w:eastAsia="MS Mincho"/>
                <w:sz w:val="18"/>
                <w:szCs w:val="20"/>
                <w:highlight w:val="lightGray"/>
                <w:u w:val="single"/>
                <w:lang w:val="en-US"/>
              </w:rPr>
              <w:t xml:space="preserve"> </w:t>
            </w:r>
            <w:proofErr w:type="spellStart"/>
            <w:r w:rsidRPr="00BC02C9">
              <w:rPr>
                <w:rFonts w:eastAsia="MS Mincho"/>
                <w:sz w:val="18"/>
                <w:szCs w:val="20"/>
                <w:highlight w:val="lightGray"/>
                <w:u w:val="single"/>
                <w:lang w:val="en-US"/>
              </w:rPr>
              <w:t>Pabularia</w:t>
            </w:r>
            <w:proofErr w:type="spellEnd"/>
            <w:r w:rsidRPr="00BC02C9">
              <w:rPr>
                <w:rFonts w:eastAsia="MS Mincho"/>
                <w:sz w:val="18"/>
                <w:szCs w:val="20"/>
                <w:highlight w:val="lightGray"/>
                <w:u w:val="single"/>
                <w:lang w:val="en-US"/>
              </w:rPr>
              <w:t xml:space="preserve"> Group)</w:t>
            </w:r>
          </w:p>
        </w:tc>
        <w:tc>
          <w:tcPr>
            <w:tcW w:w="2126" w:type="dxa"/>
          </w:tcPr>
          <w:p w14:paraId="653FB586" w14:textId="77777777" w:rsidR="004769F7" w:rsidRPr="00171B2C" w:rsidRDefault="004769F7" w:rsidP="00900DD6">
            <w:pPr>
              <w:keepNext/>
              <w:spacing w:before="40" w:after="40"/>
              <w:jc w:val="left"/>
              <w:rPr>
                <w:rFonts w:eastAsia="MS Mincho" w:cs="Arial"/>
                <w:sz w:val="18"/>
                <w:lang w:val="en-US"/>
              </w:rPr>
            </w:pPr>
            <w:r w:rsidRPr="00171B2C">
              <w:rPr>
                <w:rFonts w:eastAsia="MS Mincho" w:cs="Arial"/>
                <w:sz w:val="18"/>
                <w:lang w:val="en-US"/>
              </w:rPr>
              <w:t>BRASS_OLE</w:t>
            </w:r>
          </w:p>
          <w:p w14:paraId="5823C88B" w14:textId="77777777" w:rsidR="004769F7" w:rsidRPr="0088502A" w:rsidRDefault="004769F7" w:rsidP="00900DD6">
            <w:pPr>
              <w:pStyle w:val="BasistekstNaktuinbouw"/>
              <w:keepNext/>
              <w:rPr>
                <w:rFonts w:eastAsia="MS Mincho"/>
                <w:sz w:val="18"/>
                <w:szCs w:val="20"/>
                <w:u w:val="single"/>
                <w:lang w:val="en-US"/>
              </w:rPr>
            </w:pPr>
            <w:r w:rsidRPr="00171B2C">
              <w:rPr>
                <w:rFonts w:eastAsia="MS Mincho"/>
                <w:sz w:val="18"/>
                <w:szCs w:val="20"/>
                <w:highlight w:val="lightGray"/>
                <w:u w:val="single"/>
                <w:lang w:val="en-US"/>
              </w:rPr>
              <w:t>BRASS_NAP_PAB</w:t>
            </w:r>
          </w:p>
        </w:tc>
        <w:tc>
          <w:tcPr>
            <w:tcW w:w="2127" w:type="dxa"/>
          </w:tcPr>
          <w:p w14:paraId="6FD167CA" w14:textId="77777777" w:rsidR="004769F7" w:rsidRPr="0088502A" w:rsidRDefault="004769F7" w:rsidP="00900DD6">
            <w:pPr>
              <w:keepNext/>
              <w:spacing w:before="40" w:after="40"/>
              <w:rPr>
                <w:rFonts w:eastAsia="MS Mincho" w:cs="Arial"/>
                <w:sz w:val="18"/>
              </w:rPr>
            </w:pPr>
            <w:r>
              <w:rPr>
                <w:rFonts w:eastAsia="MS Mincho" w:cs="Arial"/>
                <w:sz w:val="18"/>
              </w:rPr>
              <w:t>-</w:t>
            </w:r>
          </w:p>
          <w:p w14:paraId="4F87B4C8" w14:textId="77777777" w:rsidR="004769F7" w:rsidRPr="0088502A" w:rsidRDefault="004769F7" w:rsidP="00900DD6">
            <w:pPr>
              <w:pStyle w:val="BasistekstNaktuinbouw"/>
              <w:keepNext/>
              <w:rPr>
                <w:rFonts w:eastAsia="MS Mincho"/>
                <w:sz w:val="18"/>
                <w:szCs w:val="20"/>
                <w:lang w:val="en-US"/>
              </w:rPr>
            </w:pPr>
            <w:r>
              <w:rPr>
                <w:rFonts w:eastAsia="MS Mincho"/>
                <w:sz w:val="18"/>
                <w:szCs w:val="20"/>
              </w:rPr>
              <w:t>Schnittkohl</w:t>
            </w:r>
          </w:p>
        </w:tc>
      </w:tr>
      <w:tr w:rsidR="004769F7" w:rsidRPr="0088502A" w14:paraId="7712878E" w14:textId="77777777" w:rsidTr="00C319D3">
        <w:trPr>
          <w:cantSplit/>
        </w:trPr>
        <w:tc>
          <w:tcPr>
            <w:tcW w:w="1215" w:type="dxa"/>
          </w:tcPr>
          <w:p w14:paraId="4210FA65" w14:textId="77777777" w:rsidR="004769F7" w:rsidRPr="0088502A" w:rsidRDefault="004769F7" w:rsidP="00900DD6">
            <w:pPr>
              <w:spacing w:before="40" w:after="40"/>
              <w:rPr>
                <w:rFonts w:eastAsia="MS Mincho" w:cs="Arial"/>
                <w:sz w:val="18"/>
              </w:rPr>
            </w:pPr>
            <w:r>
              <w:rPr>
                <w:rFonts w:eastAsia="MS Mincho" w:cs="Arial"/>
                <w:sz w:val="18"/>
              </w:rPr>
              <w:t>Klasse 1.2</w:t>
            </w:r>
          </w:p>
        </w:tc>
        <w:tc>
          <w:tcPr>
            <w:tcW w:w="3827" w:type="dxa"/>
          </w:tcPr>
          <w:p w14:paraId="2062D3C7" w14:textId="77777777" w:rsidR="004769F7" w:rsidRPr="0088502A" w:rsidRDefault="004769F7" w:rsidP="00900DD6">
            <w:pPr>
              <w:spacing w:before="40" w:after="40"/>
              <w:jc w:val="left"/>
              <w:rPr>
                <w:rFonts w:eastAsia="MS Mincho" w:cs="Arial"/>
                <w:sz w:val="18"/>
                <w:highlight w:val="lightGray"/>
                <w:u w:val="single"/>
              </w:rPr>
            </w:pPr>
            <w:r>
              <w:rPr>
                <w:rFonts w:eastAsia="MS Mincho" w:cs="Arial"/>
                <w:i/>
                <w:sz w:val="18"/>
                <w:highlight w:val="lightGray"/>
                <w:u w:val="single"/>
              </w:rPr>
              <w:t>Brassica napus</w:t>
            </w:r>
            <w:r>
              <w:rPr>
                <w:rFonts w:eastAsia="MS Mincho" w:cs="Arial"/>
                <w:sz w:val="18"/>
                <w:highlight w:val="lightGray"/>
                <w:u w:val="single"/>
              </w:rPr>
              <w:t xml:space="preserve"> L. subsp. </w:t>
            </w:r>
            <w:r>
              <w:rPr>
                <w:rFonts w:eastAsia="MS Mincho" w:cs="Arial"/>
                <w:i/>
                <w:sz w:val="18"/>
                <w:highlight w:val="lightGray"/>
                <w:u w:val="single"/>
              </w:rPr>
              <w:t>napus</w:t>
            </w:r>
            <w:r>
              <w:rPr>
                <w:rFonts w:eastAsia="MS Mincho" w:cs="Arial"/>
                <w:sz w:val="18"/>
                <w:highlight w:val="lightGray"/>
                <w:u w:val="single"/>
              </w:rPr>
              <w:t xml:space="preserve"> </w:t>
            </w:r>
          </w:p>
          <w:p w14:paraId="0A634007" w14:textId="77777777" w:rsidR="004769F7" w:rsidRPr="0088502A" w:rsidRDefault="004769F7" w:rsidP="00900DD6">
            <w:pPr>
              <w:spacing w:before="40" w:after="40"/>
              <w:jc w:val="left"/>
              <w:rPr>
                <w:rFonts w:eastAsia="MS Mincho" w:cs="Arial"/>
                <w:sz w:val="18"/>
                <w:highlight w:val="lightGray"/>
                <w:u w:val="single"/>
              </w:rPr>
            </w:pPr>
            <w:r>
              <w:rPr>
                <w:rFonts w:eastAsia="MS Mincho" w:cs="Arial"/>
                <w:sz w:val="18"/>
                <w:highlight w:val="lightGray"/>
                <w:u w:val="single"/>
              </w:rPr>
              <w:t xml:space="preserve">(bzw. </w:t>
            </w:r>
            <w:r>
              <w:rPr>
                <w:rFonts w:eastAsia="MS Mincho" w:cs="Arial"/>
                <w:i/>
                <w:sz w:val="18"/>
                <w:highlight w:val="lightGray"/>
                <w:u w:val="single"/>
              </w:rPr>
              <w:t>Brassica napus</w:t>
            </w:r>
            <w:r>
              <w:rPr>
                <w:rFonts w:eastAsia="MS Mincho" w:cs="Arial"/>
                <w:sz w:val="18"/>
                <w:highlight w:val="lightGray"/>
                <w:u w:val="single"/>
              </w:rPr>
              <w:t xml:space="preserve"> Rapsgruppe)</w:t>
            </w:r>
          </w:p>
        </w:tc>
        <w:tc>
          <w:tcPr>
            <w:tcW w:w="2126" w:type="dxa"/>
          </w:tcPr>
          <w:p w14:paraId="1C9C1201" w14:textId="77777777" w:rsidR="004769F7" w:rsidRPr="0088502A" w:rsidRDefault="004769F7" w:rsidP="00900DD6">
            <w:pPr>
              <w:spacing w:before="40" w:after="40"/>
              <w:jc w:val="left"/>
              <w:rPr>
                <w:rFonts w:eastAsia="MS Mincho" w:cs="Arial"/>
                <w:sz w:val="18"/>
                <w:highlight w:val="lightGray"/>
                <w:u w:val="single"/>
              </w:rPr>
            </w:pPr>
            <w:r>
              <w:rPr>
                <w:rFonts w:eastAsia="MS Mincho" w:cs="Arial"/>
                <w:sz w:val="18"/>
                <w:highlight w:val="lightGray"/>
                <w:u w:val="single"/>
              </w:rPr>
              <w:t>BRASS_NAP_NUS</w:t>
            </w:r>
          </w:p>
        </w:tc>
        <w:tc>
          <w:tcPr>
            <w:tcW w:w="2127" w:type="dxa"/>
          </w:tcPr>
          <w:p w14:paraId="2A6B7274" w14:textId="77777777" w:rsidR="004769F7" w:rsidRPr="0088502A" w:rsidRDefault="004769F7" w:rsidP="00900DD6">
            <w:pPr>
              <w:rPr>
                <w:rFonts w:eastAsia="MS Mincho" w:cs="Arial"/>
                <w:sz w:val="18"/>
              </w:rPr>
            </w:pPr>
            <w:r>
              <w:rPr>
                <w:rFonts w:eastAsia="MS Mincho" w:cs="Arial"/>
                <w:sz w:val="18"/>
              </w:rPr>
              <w:t>Raps</w:t>
            </w:r>
          </w:p>
        </w:tc>
      </w:tr>
      <w:tr w:rsidR="004769F7" w:rsidRPr="0088502A" w14:paraId="04F5961B" w14:textId="77777777" w:rsidTr="00C319D3">
        <w:trPr>
          <w:cantSplit/>
        </w:trPr>
        <w:tc>
          <w:tcPr>
            <w:tcW w:w="1215" w:type="dxa"/>
          </w:tcPr>
          <w:p w14:paraId="1CE7545D" w14:textId="77777777" w:rsidR="004769F7" w:rsidRPr="0088502A" w:rsidRDefault="004769F7" w:rsidP="00900DD6">
            <w:pPr>
              <w:spacing w:before="40" w:after="40"/>
              <w:rPr>
                <w:rFonts w:eastAsia="MS Mincho" w:cs="Arial"/>
                <w:sz w:val="18"/>
                <w:u w:val="single"/>
              </w:rPr>
            </w:pPr>
            <w:r>
              <w:rPr>
                <w:rFonts w:eastAsia="MS Mincho" w:cs="Arial"/>
                <w:sz w:val="18"/>
                <w:highlight w:val="lightGray"/>
                <w:u w:val="single"/>
              </w:rPr>
              <w:t>Klasse 1.3</w:t>
            </w:r>
          </w:p>
        </w:tc>
        <w:tc>
          <w:tcPr>
            <w:tcW w:w="3827" w:type="dxa"/>
          </w:tcPr>
          <w:p w14:paraId="719C3E56" w14:textId="77777777" w:rsidR="004769F7" w:rsidRPr="0088502A" w:rsidRDefault="004769F7" w:rsidP="00900DD6">
            <w:pPr>
              <w:spacing w:before="40" w:after="40"/>
              <w:jc w:val="left"/>
              <w:rPr>
                <w:rFonts w:eastAsia="MS Mincho" w:cs="Arial"/>
                <w:sz w:val="18"/>
                <w:u w:val="single"/>
              </w:rPr>
            </w:pPr>
            <w:r>
              <w:rPr>
                <w:rFonts w:eastAsia="MS Mincho" w:cs="Arial"/>
                <w:i/>
                <w:sz w:val="18"/>
              </w:rPr>
              <w:t>Brassica</w:t>
            </w:r>
            <w:r>
              <w:rPr>
                <w:rFonts w:eastAsia="MS Mincho" w:cs="Arial"/>
                <w:sz w:val="18"/>
              </w:rPr>
              <w:t xml:space="preserve"> außer </w:t>
            </w:r>
            <w:r>
              <w:rPr>
                <w:rFonts w:eastAsia="MS Mincho" w:cs="Arial"/>
                <w:i/>
                <w:strike/>
                <w:sz w:val="18"/>
                <w:highlight w:val="lightGray"/>
              </w:rPr>
              <w:t>B. oleracea</w:t>
            </w:r>
            <w:r>
              <w:rPr>
                <w:rFonts w:eastAsia="MS Mincho" w:cs="Arial"/>
                <w:strike/>
                <w:sz w:val="18"/>
                <w:highlight w:val="lightGray"/>
              </w:rPr>
              <w:t xml:space="preserve"> </w:t>
            </w:r>
            <w:r>
              <w:rPr>
                <w:rFonts w:eastAsia="MS Mincho" w:cs="Arial"/>
                <w:sz w:val="18"/>
                <w:highlight w:val="lightGray"/>
                <w:u w:val="single"/>
              </w:rPr>
              <w:t>Klassen 1.1 und 1.2</w:t>
            </w:r>
            <w:r>
              <w:rPr>
                <w:rFonts w:eastAsia="MS Mincho" w:cs="Arial"/>
                <w:i/>
                <w:sz w:val="18"/>
              </w:rPr>
              <w:t xml:space="preserve"> </w:t>
            </w:r>
          </w:p>
        </w:tc>
        <w:tc>
          <w:tcPr>
            <w:tcW w:w="2126" w:type="dxa"/>
          </w:tcPr>
          <w:p w14:paraId="12105F2F" w14:textId="77777777" w:rsidR="004769F7" w:rsidRPr="0088502A" w:rsidRDefault="004769F7" w:rsidP="00900DD6">
            <w:pPr>
              <w:spacing w:before="40" w:after="40"/>
              <w:jc w:val="left"/>
              <w:rPr>
                <w:rFonts w:eastAsia="MS Mincho" w:cs="Arial"/>
                <w:sz w:val="18"/>
              </w:rPr>
            </w:pPr>
            <w:r>
              <w:rPr>
                <w:rFonts w:eastAsia="MS Mincho" w:cs="Arial"/>
                <w:sz w:val="18"/>
              </w:rPr>
              <w:t xml:space="preserve">außer </w:t>
            </w:r>
            <w:r>
              <w:rPr>
                <w:rFonts w:eastAsia="MS Mincho" w:cs="Arial"/>
                <w:strike/>
                <w:sz w:val="18"/>
                <w:highlight w:val="lightGray"/>
              </w:rPr>
              <w:t xml:space="preserve">BRASS_OLE </w:t>
            </w:r>
            <w:r>
              <w:rPr>
                <w:rFonts w:eastAsia="MS Mincho" w:cs="Arial"/>
                <w:sz w:val="18"/>
                <w:highlight w:val="lightGray"/>
                <w:u w:val="single"/>
              </w:rPr>
              <w:t>Klassen 1.1 und 1.2</w:t>
            </w:r>
          </w:p>
        </w:tc>
        <w:tc>
          <w:tcPr>
            <w:tcW w:w="2127" w:type="dxa"/>
          </w:tcPr>
          <w:p w14:paraId="19203DF5" w14:textId="77777777" w:rsidR="004769F7" w:rsidRPr="0088502A" w:rsidRDefault="004769F7" w:rsidP="00900DD6">
            <w:pPr>
              <w:rPr>
                <w:rFonts w:eastAsia="MS Mincho" w:cs="Arial"/>
                <w:sz w:val="18"/>
              </w:rPr>
            </w:pPr>
            <w:r>
              <w:rPr>
                <w:rFonts w:eastAsia="MS Mincho" w:cs="Arial"/>
                <w:sz w:val="18"/>
              </w:rPr>
              <w:t>-</w:t>
            </w:r>
          </w:p>
        </w:tc>
      </w:tr>
    </w:tbl>
    <w:p w14:paraId="5C8C42D4" w14:textId="77777777" w:rsidR="004769F7" w:rsidRPr="0088502A" w:rsidRDefault="004769F7" w:rsidP="004769F7"/>
    <w:p w14:paraId="0BECA1A0" w14:textId="49884651" w:rsidR="004769F7" w:rsidRPr="0088502A" w:rsidRDefault="003415AF" w:rsidP="004769F7">
      <w:pPr>
        <w:keepNext/>
      </w:pPr>
      <w:r>
        <w:fldChar w:fldCharType="begin"/>
      </w:r>
      <w:r>
        <w:instrText xml:space="preserve"> LISTNUM  LegalDefault \l 1 </w:instrText>
      </w:r>
      <w:r>
        <w:fldChar w:fldCharType="end">
          <w:numberingChange w:id="84" w:author="SANCHEZ VIZCAINO GOMEZ Rosa Maria" w:date="2023-08-29T11:06:00Z" w:original="3."/>
        </w:fldChar>
      </w:r>
      <w:r>
        <w:tab/>
        <w:t xml:space="preserve">Die TWV vereinbarte, die Änderungen für die Sortenbezeichnungsklassen für </w:t>
      </w:r>
      <w:r>
        <w:rPr>
          <w:i/>
        </w:rPr>
        <w:t>Brassica</w:t>
      </w:r>
      <w:r w:rsidR="00C319D3">
        <w:t xml:space="preserve">, </w:t>
      </w:r>
      <w:r>
        <w:t>wie in Dokument TWP/7/4 „Ausarbeitung von Anleitung und Informationsmaterial“, Absatz 13 dargelegt</w:t>
      </w:r>
      <w:r w:rsidR="00C319D3">
        <w:t>,</w:t>
      </w:r>
      <w:r>
        <w:t xml:space="preserve"> vorzuschlagen (vergleiche Dokument TWV/57/26 „</w:t>
      </w:r>
      <w:r>
        <w:rPr>
          <w:i/>
          <w:iCs/>
        </w:rPr>
        <w:t>Report</w:t>
      </w:r>
      <w:r>
        <w:t>“, Absatz 37).</w:t>
      </w:r>
    </w:p>
    <w:p w14:paraId="10012C1A" w14:textId="77777777" w:rsidR="004769F7" w:rsidRPr="0088502A" w:rsidRDefault="004769F7" w:rsidP="004769F7"/>
    <w:p w14:paraId="2B98F79A" w14:textId="7158F8C5" w:rsidR="004769F7" w:rsidRPr="0088502A" w:rsidRDefault="003415AF" w:rsidP="004769F7">
      <w:r>
        <w:fldChar w:fldCharType="begin"/>
      </w:r>
      <w:r>
        <w:instrText xml:space="preserve"> LISTNUM  LegalDefault \l 1 </w:instrText>
      </w:r>
      <w:r>
        <w:fldChar w:fldCharType="end">
          <w:numberingChange w:id="85" w:author="SANCHEZ VIZCAINO GOMEZ Rosa Maria" w:date="2023-08-29T11:06:00Z" w:original="4."/>
        </w:fldChar>
      </w:r>
      <w:r>
        <w:tab/>
        <w:t>Die TWA war sich einig, dass es nicht möglich wäre, einen Konsens für die vorgeschlagene Bildung einer eigenständige</w:t>
      </w:r>
      <w:r w:rsidR="00C319D3">
        <w:t>n</w:t>
      </w:r>
      <w:r>
        <w:t xml:space="preserve"> Bezeichnungsklasse für Rapssorten (UPOV-Code BRASS_NAP_NUS) zu erzielen.</w:t>
      </w:r>
      <w:r w:rsidR="0062652A">
        <w:t xml:space="preserve"> </w:t>
      </w:r>
      <w:r>
        <w:t>Die TWA stellte fest, dass gewisse Sorten anhand ihrer endgültigen Verwendung gruppiert werden könnten (z. B. Futter, Öl, Gemüse), in manchen Fällen jedoch nicht auf der Grundlage der bestehenden Merkmale der DUS-Prüfung.</w:t>
      </w:r>
      <w:r w:rsidR="0062652A">
        <w:t xml:space="preserve"> </w:t>
      </w:r>
      <w:r>
        <w:t xml:space="preserve">Die TWA stellte fest, dass eine Einigung auf die Prüfung von Sortenbezeichnungen für verschiedene Unterarten von </w:t>
      </w:r>
      <w:r>
        <w:rPr>
          <w:i/>
        </w:rPr>
        <w:t>Brassica napus</w:t>
      </w:r>
      <w:r>
        <w:t xml:space="preserve"> sowie</w:t>
      </w:r>
      <w:r w:rsidR="00C319D3">
        <w:t xml:space="preserve"> von</w:t>
      </w:r>
      <w:r>
        <w:t xml:space="preserve"> </w:t>
      </w:r>
      <w:r>
        <w:rPr>
          <w:i/>
        </w:rPr>
        <w:t>B. nigra</w:t>
      </w:r>
      <w:r>
        <w:t xml:space="preserve"> un</w:t>
      </w:r>
      <w:r w:rsidR="00C319D3">
        <w:t>d von</w:t>
      </w:r>
      <w:r>
        <w:t xml:space="preserve"> </w:t>
      </w:r>
      <w:r>
        <w:rPr>
          <w:i/>
        </w:rPr>
        <w:t>B. rapa</w:t>
      </w:r>
      <w:r>
        <w:t xml:space="preserve"> in eigenständigen Bezeichnungsklassen nicht </w:t>
      </w:r>
      <w:r w:rsidR="00C319D3">
        <w:t xml:space="preserve">erzielt werden könnte </w:t>
      </w:r>
      <w:r>
        <w:t>(vergleiche Dokument TWA/52/11 „</w:t>
      </w:r>
      <w:r>
        <w:rPr>
          <w:i/>
          <w:iCs/>
        </w:rPr>
        <w:t>Report</w:t>
      </w:r>
      <w:r>
        <w:t>“, Absätze 28 und 29).</w:t>
      </w:r>
    </w:p>
    <w:p w14:paraId="265FA4AA" w14:textId="77777777" w:rsidR="004769F7" w:rsidRPr="0088502A" w:rsidRDefault="004769F7" w:rsidP="004769F7"/>
    <w:p w14:paraId="3E3CDFCE" w14:textId="77777777" w:rsidR="004769F7" w:rsidRPr="0088502A" w:rsidRDefault="004769F7" w:rsidP="00D86905">
      <w:pPr>
        <w:rPr>
          <w:u w:val="single"/>
        </w:rPr>
      </w:pPr>
      <w:r>
        <w:rPr>
          <w:u w:val="single"/>
        </w:rPr>
        <w:t>b)</w:t>
      </w:r>
      <w:r>
        <w:rPr>
          <w:u w:val="single"/>
        </w:rPr>
        <w:tab/>
        <w:t xml:space="preserve">TGP-Dokumente </w:t>
      </w:r>
    </w:p>
    <w:p w14:paraId="4062B7B4" w14:textId="77777777" w:rsidR="004769F7" w:rsidRPr="0088502A" w:rsidRDefault="004769F7" w:rsidP="004769F7"/>
    <w:p w14:paraId="262E5460" w14:textId="51342990" w:rsidR="004769F7" w:rsidRPr="0088502A" w:rsidRDefault="00B03220" w:rsidP="00D86905">
      <w:pPr>
        <w:rPr>
          <w:i/>
        </w:rPr>
      </w:pPr>
      <w:r>
        <w:rPr>
          <w:i/>
        </w:rPr>
        <w:t>Dokument TGP/5: Abschnitt 6 „UPOV-Bericht über die technische Prüfung und UPOV-Sortenbeschreibung“ (Überarbeitung)</w:t>
      </w:r>
    </w:p>
    <w:p w14:paraId="77623C08" w14:textId="77777777" w:rsidR="00B03220" w:rsidRPr="0088502A" w:rsidRDefault="00B03220" w:rsidP="00B03220"/>
    <w:p w14:paraId="0EA606C1" w14:textId="77777777" w:rsidR="00B03220" w:rsidRPr="0088502A" w:rsidRDefault="00B03220" w:rsidP="00B03220">
      <w:pPr>
        <w:ind w:left="567"/>
        <w:rPr>
          <w:u w:val="single"/>
        </w:rPr>
      </w:pPr>
      <w:bookmarkStart w:id="86" w:name="_Toc140511422"/>
      <w:r>
        <w:rPr>
          <w:u w:val="single"/>
        </w:rPr>
        <w:t>Neuer Vorschlag zur Änderung der „UPOV-Sortenbeschreibung“, Punkt 16 „Ähnliche Sorten und Unterschiede zu diesen Sorten“</w:t>
      </w:r>
      <w:bookmarkEnd w:id="86"/>
    </w:p>
    <w:p w14:paraId="125DD9BB" w14:textId="77777777" w:rsidR="00B03220" w:rsidRPr="0088502A" w:rsidRDefault="00B03220" w:rsidP="00B03220"/>
    <w:p w14:paraId="35769694" w14:textId="43242100" w:rsidR="00B03220" w:rsidRPr="0088502A" w:rsidRDefault="003415AF" w:rsidP="00B03220">
      <w:r>
        <w:fldChar w:fldCharType="begin"/>
      </w:r>
      <w:r>
        <w:instrText xml:space="preserve"> LISTNUM  LegalDefault \l 1 </w:instrText>
      </w:r>
      <w:r>
        <w:fldChar w:fldCharType="end">
          <w:numberingChange w:id="87" w:author="SANCHEZ VIZCAINO GOMEZ Rosa Maria" w:date="2023-08-29T11:06:00Z" w:original="5."/>
        </w:fldChar>
      </w:r>
      <w:r>
        <w:tab/>
        <w:t>Die TWF prüfte auf ihrer vierundfünfzigsten Tagung</w:t>
      </w:r>
      <w:r w:rsidR="001A4E8A" w:rsidRPr="001A4E8A">
        <w:rPr>
          <w:vertAlign w:val="superscript"/>
        </w:rPr>
        <w:fldChar w:fldCharType="begin"/>
      </w:r>
      <w:r w:rsidR="001A4E8A" w:rsidRPr="001A4E8A">
        <w:rPr>
          <w:vertAlign w:val="superscript"/>
        </w:rPr>
        <w:instrText xml:space="preserve"> NOTEREF _Ref145616178 \h </w:instrText>
      </w:r>
      <w:r w:rsidR="001A4E8A" w:rsidRPr="001A4E8A">
        <w:rPr>
          <w:vertAlign w:val="superscript"/>
        </w:rPr>
      </w:r>
      <w:r w:rsidR="001A4E8A">
        <w:rPr>
          <w:vertAlign w:val="superscript"/>
        </w:rPr>
        <w:instrText xml:space="preserve"> \* MERGEFORMAT </w:instrText>
      </w:r>
      <w:r w:rsidR="001A4E8A" w:rsidRPr="001A4E8A">
        <w:rPr>
          <w:vertAlign w:val="superscript"/>
        </w:rPr>
        <w:fldChar w:fldCharType="separate"/>
      </w:r>
      <w:r w:rsidR="001A4E8A" w:rsidRPr="001A4E8A">
        <w:rPr>
          <w:vertAlign w:val="superscript"/>
        </w:rPr>
        <w:t>9</w:t>
      </w:r>
      <w:r w:rsidR="001A4E8A" w:rsidRPr="001A4E8A">
        <w:rPr>
          <w:vertAlign w:val="superscript"/>
        </w:rPr>
        <w:fldChar w:fldCharType="end"/>
      </w:r>
      <w:r>
        <w:t xml:space="preserve"> das von einem Sachverständigen aus Neuseeland vorgelegte Dokument TWF/54/7</w:t>
      </w:r>
      <w:r w:rsidR="000B0E8D" w:rsidRPr="000B0E8D">
        <w:rPr>
          <w:i/>
          <w:iCs/>
        </w:rPr>
        <w:t xml:space="preserve"> “Cooperation in examination”</w:t>
      </w:r>
      <w:r>
        <w:t xml:space="preserve"> (vergleiche Dokument TWF/54/13 „</w:t>
      </w:r>
      <w:r>
        <w:rPr>
          <w:i/>
          <w:iCs/>
        </w:rPr>
        <w:t>Report</w:t>
      </w:r>
      <w:r>
        <w:t>“, Absätze 17 und 18).</w:t>
      </w:r>
    </w:p>
    <w:p w14:paraId="185FF866" w14:textId="34387CA3" w:rsidR="00B03220" w:rsidRDefault="003415AF" w:rsidP="000B0E8D">
      <w:pPr>
        <w:spacing w:before="240"/>
      </w:pPr>
      <w:r>
        <w:fldChar w:fldCharType="begin"/>
      </w:r>
      <w:r>
        <w:instrText xml:space="preserve"> LISTNUM  LegalDefault \l 1 </w:instrText>
      </w:r>
      <w:r>
        <w:fldChar w:fldCharType="end">
          <w:numberingChange w:id="88" w:author="SANCHEZ VIZCAINO GOMEZ Rosa Maria" w:date="2023-08-29T11:06:00Z" w:original="6."/>
        </w:fldChar>
      </w:r>
      <w:r>
        <w:tab/>
        <w:t xml:space="preserve">Die TWF vereinbarte, die Änderung von Dokument TGP/5, Abschnitt 6 „UPOV-Bericht über die technische Prüfung und UPOV-Sortenbeschreibung“ vorzuschlagen, um weitere Anleitungen zu Informationen über ähnliche Sorten zu geben, die bei der Prüfung berücksichtigt werden. </w:t>
      </w:r>
    </w:p>
    <w:p w14:paraId="34C931C1" w14:textId="77777777" w:rsidR="00B03220" w:rsidRDefault="00B03220" w:rsidP="00B03220"/>
    <w:p w14:paraId="258684A5" w14:textId="2D28FD3A" w:rsidR="00B03220" w:rsidRPr="0088502A" w:rsidRDefault="003415AF" w:rsidP="00B03220">
      <w:r>
        <w:lastRenderedPageBreak/>
        <w:fldChar w:fldCharType="begin"/>
      </w:r>
      <w:r>
        <w:instrText xml:space="preserve"> LISTNUM  LegalDefault \l 1 </w:instrText>
      </w:r>
      <w:r>
        <w:fldChar w:fldCharType="end">
          <w:numberingChange w:id="89" w:author="SANCHEZ VIZCAINO GOMEZ Rosa Maria" w:date="2023-08-29T11:06:00Z" w:original="7."/>
        </w:fldChar>
      </w:r>
      <w:r>
        <w:tab/>
        <w:t>Die TWF vereinbarte, folgende zusätzliche Erläuterungen in Abschnitt 16 „Ähnliche Sorten und Unterschiede zu diesen Sorten“ aufzunehmen, um zu klären, welche Sorten in der UPOV-Sortenbeschreibung angegeben werden sollten (</w:t>
      </w:r>
      <w:r>
        <w:rPr>
          <w:spacing w:val="-2"/>
        </w:rPr>
        <w:t xml:space="preserve">Zusätze sind durch Hervorhebung und </w:t>
      </w:r>
      <w:r>
        <w:rPr>
          <w:spacing w:val="-2"/>
          <w:highlight w:val="lightGray"/>
          <w:u w:val="single"/>
        </w:rPr>
        <w:t>Unterstreichung</w:t>
      </w:r>
      <w:r>
        <w:rPr>
          <w:spacing w:val="-2"/>
        </w:rPr>
        <w:t xml:space="preserve"> und Streichungen sind durch Hervorhebung und </w:t>
      </w:r>
      <w:r>
        <w:rPr>
          <w:strike/>
          <w:spacing w:val="-2"/>
          <w:highlight w:val="lightGray"/>
        </w:rPr>
        <w:t>Durchstreichen</w:t>
      </w:r>
      <w:r>
        <w:rPr>
          <w:spacing w:val="-2"/>
        </w:rPr>
        <w:t xml:space="preserve"> gekennzeichnet</w:t>
      </w:r>
      <w:r>
        <w:t>):</w:t>
      </w:r>
    </w:p>
    <w:p w14:paraId="349B6504" w14:textId="77777777" w:rsidR="00B03220" w:rsidRPr="0088502A" w:rsidRDefault="00B03220" w:rsidP="00B03220"/>
    <w:p w14:paraId="487F1156" w14:textId="77777777" w:rsidR="00B03220" w:rsidRPr="00E15078" w:rsidRDefault="00B03220" w:rsidP="00B03220">
      <w:pPr>
        <w:keepNext/>
        <w:numPr>
          <w:ilvl w:val="0"/>
          <w:numId w:val="6"/>
        </w:numPr>
        <w:spacing w:after="160" w:line="259" w:lineRule="auto"/>
        <w:ind w:left="1134" w:right="567" w:hanging="567"/>
        <w:rPr>
          <w:rFonts w:eastAsia="Calibri" w:cs="Arial"/>
          <w:snapToGrid w:val="0"/>
          <w:highlight w:val="lightGray"/>
          <w:u w:val="single"/>
        </w:rPr>
      </w:pPr>
      <w:r>
        <w:rPr>
          <w:rFonts w:eastAsia="Calibri" w:cs="Arial"/>
          <w:snapToGrid w:val="0"/>
          <w:highlight w:val="lightGray"/>
          <w:u w:val="single"/>
        </w:rPr>
        <w:t>Alle vom Prüfer befundenen Sorten, die der Vergleichssorte am ähnlichsten/nächsten sind. Ist/sind keine solche Sorte(n) vorhanden, sollte ein Zusatz wie „Es konnte keine ähnliche bzw. nächste Sorte in der Anbauprüfung festgestellt werden“ vermerkt werden.</w:t>
      </w:r>
    </w:p>
    <w:p w14:paraId="4DC8E3A3" w14:textId="2403725E" w:rsidR="00B03220" w:rsidRPr="00AE30A1" w:rsidRDefault="00B03220" w:rsidP="00B03220">
      <w:pPr>
        <w:numPr>
          <w:ilvl w:val="0"/>
          <w:numId w:val="6"/>
        </w:numPr>
        <w:spacing w:after="160" w:line="259" w:lineRule="auto"/>
        <w:ind w:left="1134" w:right="567" w:hanging="567"/>
        <w:rPr>
          <w:rFonts w:eastAsia="Calibri" w:cs="Arial"/>
          <w:snapToGrid w:val="0"/>
          <w:highlight w:val="lightGray"/>
          <w:u w:val="single"/>
        </w:rPr>
      </w:pPr>
      <w:r>
        <w:rPr>
          <w:rFonts w:eastAsia="Calibri" w:cs="Arial"/>
          <w:snapToGrid w:val="0"/>
          <w:highlight w:val="lightGray"/>
          <w:u w:val="single"/>
        </w:rPr>
        <w:t xml:space="preserve">Nur Sorten, </w:t>
      </w:r>
      <w:r w:rsidRPr="00AE30A1">
        <w:rPr>
          <w:rFonts w:eastAsia="Calibri" w:cs="Arial"/>
          <w:snapToGrid w:val="0"/>
          <w:highlight w:val="lightGray"/>
          <w:u w:val="single"/>
        </w:rPr>
        <w:t xml:space="preserve">die unter denselben </w:t>
      </w:r>
      <w:r w:rsidR="00AE30A1" w:rsidRPr="00AE30A1">
        <w:rPr>
          <w:rFonts w:eastAsia="Calibri" w:cs="Arial"/>
          <w:snapToGrid w:val="0"/>
          <w:highlight w:val="lightGray"/>
          <w:u w:val="single"/>
        </w:rPr>
        <w:t xml:space="preserve">Anbaubedingungen </w:t>
      </w:r>
      <w:r w:rsidRPr="00AE30A1">
        <w:rPr>
          <w:rFonts w:eastAsia="Calibri" w:cs="Arial"/>
          <w:snapToGrid w:val="0"/>
          <w:highlight w:val="lightGray"/>
          <w:u w:val="single"/>
        </w:rPr>
        <w:t xml:space="preserve">wie die Kandidatensorte geprüft wurden. </w:t>
      </w:r>
    </w:p>
    <w:p w14:paraId="2ED1C46D" w14:textId="77777777" w:rsidR="00B03220" w:rsidRPr="00E15078" w:rsidRDefault="00B03220" w:rsidP="00B03220">
      <w:pPr>
        <w:numPr>
          <w:ilvl w:val="0"/>
          <w:numId w:val="6"/>
        </w:numPr>
        <w:spacing w:after="160" w:line="259" w:lineRule="auto"/>
        <w:ind w:left="1134" w:right="567" w:hanging="567"/>
        <w:rPr>
          <w:rFonts w:eastAsia="Calibri" w:cs="Arial"/>
          <w:snapToGrid w:val="0"/>
          <w:highlight w:val="lightGray"/>
          <w:u w:val="single"/>
        </w:rPr>
      </w:pPr>
      <w:r>
        <w:rPr>
          <w:rFonts w:eastAsia="Calibri" w:cs="Arial"/>
          <w:snapToGrid w:val="0"/>
          <w:highlight w:val="lightGray"/>
          <w:u w:val="single"/>
        </w:rPr>
        <w:t xml:space="preserve">Sorten, die die wenigsten Merkmalsunterschiede gegenüber der Kandidatensorte aufweisen. </w:t>
      </w:r>
    </w:p>
    <w:p w14:paraId="406945C4" w14:textId="74D9C701" w:rsidR="00B03220" w:rsidRPr="009645EE" w:rsidRDefault="009645EE" w:rsidP="00B03220">
      <w:pPr>
        <w:numPr>
          <w:ilvl w:val="0"/>
          <w:numId w:val="6"/>
        </w:numPr>
        <w:spacing w:after="160" w:line="259" w:lineRule="auto"/>
        <w:ind w:left="1134" w:right="567" w:hanging="567"/>
        <w:rPr>
          <w:highlight w:val="lightGray"/>
          <w:u w:val="single"/>
        </w:rPr>
      </w:pPr>
      <w:r w:rsidRPr="009645EE">
        <w:rPr>
          <w:highlight w:val="lightGray"/>
        </w:rPr>
        <w:t xml:space="preserve">Alle Merkmale werden gleich bewertet, wobei für jede ähnliche Sorte alle Merkmale für die Unterscheidbarkeit </w:t>
      </w:r>
      <w:r w:rsidR="00744B5D">
        <w:rPr>
          <w:highlight w:val="lightGray"/>
        </w:rPr>
        <w:t xml:space="preserve">zu </w:t>
      </w:r>
      <w:r w:rsidRPr="009645EE">
        <w:rPr>
          <w:highlight w:val="lightGray"/>
        </w:rPr>
        <w:t>beinhalte</w:t>
      </w:r>
      <w:r w:rsidR="00744B5D">
        <w:rPr>
          <w:highlight w:val="lightGray"/>
        </w:rPr>
        <w:t>n sind</w:t>
      </w:r>
      <w:r w:rsidRPr="009645EE">
        <w:rPr>
          <w:highlight w:val="lightGray"/>
        </w:rPr>
        <w:t>.</w:t>
      </w:r>
    </w:p>
    <w:p w14:paraId="22DD0375" w14:textId="77777777" w:rsidR="00B03220" w:rsidRPr="0088502A" w:rsidRDefault="00B03220" w:rsidP="004769F7"/>
    <w:p w14:paraId="5784733B" w14:textId="77777777" w:rsidR="004769F7" w:rsidRPr="0088502A" w:rsidRDefault="008D6B75" w:rsidP="009F0366">
      <w:pPr>
        <w:ind w:left="567"/>
        <w:rPr>
          <w:u w:val="single"/>
        </w:rPr>
      </w:pPr>
      <w:bookmarkStart w:id="90" w:name="_Toc140511421"/>
      <w:r>
        <w:rPr>
          <w:u w:val="single"/>
        </w:rPr>
        <w:t>Neuer Vorschlag zur Änderung der „UPOV-Sortenbeschreibung“, Punkt 17 „Zusätzliche Informationen“</w:t>
      </w:r>
      <w:bookmarkEnd w:id="90"/>
    </w:p>
    <w:p w14:paraId="0F458B62" w14:textId="77777777" w:rsidR="004769F7" w:rsidRPr="0088502A" w:rsidRDefault="004769F7" w:rsidP="004769F7"/>
    <w:p w14:paraId="7A00E61F" w14:textId="4384C193" w:rsidR="004769F7" w:rsidRPr="0088502A" w:rsidRDefault="003415AF" w:rsidP="004769F7">
      <w:pPr>
        <w:rPr>
          <w:rFonts w:eastAsia="MS Mincho"/>
        </w:rPr>
      </w:pPr>
      <w:r>
        <w:fldChar w:fldCharType="begin"/>
      </w:r>
      <w:r>
        <w:instrText xml:space="preserve"> LISTNUM  LegalDefault \l 1 </w:instrText>
      </w:r>
      <w:r>
        <w:fldChar w:fldCharType="end"/>
      </w:r>
      <w:r>
        <w:rPr>
          <w:rFonts w:eastAsia="MS Mincho"/>
        </w:rPr>
        <w:tab/>
        <w:t>Die TWO prüfte auf ihrer fünfundfünfzigsten Tagung</w:t>
      </w:r>
      <w:r w:rsidR="001A4E8A" w:rsidRPr="001A4E8A">
        <w:rPr>
          <w:rFonts w:eastAsia="MS Mincho"/>
          <w:vertAlign w:val="superscript"/>
        </w:rPr>
        <w:fldChar w:fldCharType="begin"/>
      </w:r>
      <w:r w:rsidR="001A4E8A" w:rsidRPr="001A4E8A">
        <w:rPr>
          <w:rFonts w:eastAsia="MS Mincho"/>
          <w:vertAlign w:val="superscript"/>
        </w:rPr>
        <w:instrText xml:space="preserve"> NOTEREF _Ref145616252 \h </w:instrText>
      </w:r>
      <w:r w:rsidR="001A4E8A" w:rsidRPr="001A4E8A">
        <w:rPr>
          <w:rFonts w:eastAsia="MS Mincho"/>
          <w:vertAlign w:val="superscript"/>
        </w:rPr>
      </w:r>
      <w:r w:rsidR="001A4E8A">
        <w:rPr>
          <w:rFonts w:eastAsia="MS Mincho"/>
          <w:vertAlign w:val="superscript"/>
        </w:rPr>
        <w:instrText xml:space="preserve"> \* MERGEFORMAT </w:instrText>
      </w:r>
      <w:r w:rsidR="001A4E8A" w:rsidRPr="001A4E8A">
        <w:rPr>
          <w:rFonts w:eastAsia="MS Mincho"/>
          <w:vertAlign w:val="superscript"/>
        </w:rPr>
        <w:fldChar w:fldCharType="separate"/>
      </w:r>
      <w:r w:rsidR="001A4E8A" w:rsidRPr="001A4E8A">
        <w:rPr>
          <w:rFonts w:eastAsia="MS Mincho"/>
          <w:vertAlign w:val="superscript"/>
        </w:rPr>
        <w:t>10</w:t>
      </w:r>
      <w:r w:rsidR="001A4E8A" w:rsidRPr="001A4E8A">
        <w:rPr>
          <w:rFonts w:eastAsia="MS Mincho"/>
          <w:vertAlign w:val="superscript"/>
        </w:rPr>
        <w:fldChar w:fldCharType="end"/>
      </w:r>
      <w:r>
        <w:rPr>
          <w:rFonts w:eastAsia="MS Mincho"/>
        </w:rPr>
        <w:t xml:space="preserve"> das von einem Sachverständigen aus Neuseeland vorgelegte Dokument TWO/55/6 (vergleiche Dokument TWO//55/11 „</w:t>
      </w:r>
      <w:r w:rsidRPr="00CE1EC7">
        <w:rPr>
          <w:rFonts w:eastAsia="MS Mincho"/>
          <w:i/>
          <w:iCs/>
        </w:rPr>
        <w:t>Report</w:t>
      </w:r>
      <w:r>
        <w:rPr>
          <w:rFonts w:eastAsia="MS Mincho"/>
        </w:rPr>
        <w:t xml:space="preserve">“, Absätze 21 bis 25). </w:t>
      </w:r>
    </w:p>
    <w:p w14:paraId="0F8923F5" w14:textId="77777777" w:rsidR="004769F7" w:rsidRPr="0088502A" w:rsidRDefault="004769F7" w:rsidP="004769F7">
      <w:pPr>
        <w:rPr>
          <w:rFonts w:eastAsia="MS Mincho"/>
        </w:rPr>
      </w:pPr>
    </w:p>
    <w:p w14:paraId="4A456094" w14:textId="1C01D7B1" w:rsidR="00271855" w:rsidRDefault="003415AF" w:rsidP="009236D6">
      <w:pPr>
        <w:keepNext/>
        <w:keepLines/>
        <w:rPr>
          <w:rFonts w:eastAsia="MS Mincho"/>
          <w:spacing w:val="-2"/>
        </w:rPr>
      </w:pPr>
      <w:r>
        <w:fldChar w:fldCharType="begin"/>
      </w:r>
      <w:r>
        <w:instrText xml:space="preserve"> LISTNUM  LegalDefault \l 1 </w:instrText>
      </w:r>
      <w:r>
        <w:fldChar w:fldCharType="end">
          <w:numberingChange w:id="91" w:author="SANCHEZ VIZCAINO GOMEZ Rosa Maria" w:date="2023-08-29T11:06:00Z" w:original="9."/>
        </w:fldChar>
      </w:r>
      <w:r>
        <w:rPr>
          <w:rFonts w:eastAsia="MS Mincho"/>
          <w:spacing w:val="-2"/>
        </w:rPr>
        <w:tab/>
        <w:t xml:space="preserve">Die TWO prüfte den in Dokument TWO/55/6 </w:t>
      </w:r>
      <w:r w:rsidR="000B0E8D" w:rsidRPr="000B0E8D">
        <w:rPr>
          <w:rFonts w:eastAsia="MS Mincho"/>
          <w:i/>
          <w:iCs/>
          <w:spacing w:val="-2"/>
        </w:rPr>
        <w:t xml:space="preserve">“Information required to enhance the use of existing DUS test reports” </w:t>
      </w:r>
      <w:r>
        <w:rPr>
          <w:rFonts w:eastAsia="MS Mincho"/>
          <w:spacing w:val="-2"/>
        </w:rPr>
        <w:t>gemachten Vorschlag zur Änderung von Dokument TGP/5, Abschnitt 6 „UPOV</w:t>
      </w:r>
      <w:r w:rsidR="000B0E8D">
        <w:rPr>
          <w:rFonts w:eastAsia="MS Mincho"/>
          <w:spacing w:val="-2"/>
        </w:rPr>
        <w:noBreakHyphen/>
      </w:r>
      <w:r>
        <w:rPr>
          <w:rFonts w:eastAsia="MS Mincho"/>
          <w:spacing w:val="-2"/>
        </w:rPr>
        <w:t xml:space="preserve">Sortenbeschreibung“, Punkt 17 „Zusatzinformationen“, um Beispiele für „a) Zusatzinformationen“ aufzunehmen, die </w:t>
      </w:r>
      <w:r w:rsidR="007044C9">
        <w:rPr>
          <w:rFonts w:eastAsia="MS Mincho"/>
          <w:spacing w:val="-2"/>
        </w:rPr>
        <w:t xml:space="preserve">zusammen mit den </w:t>
      </w:r>
      <w:r>
        <w:rPr>
          <w:rFonts w:eastAsia="MS Mincho"/>
          <w:spacing w:val="-2"/>
        </w:rPr>
        <w:t>Sortenbeschreibungen zur Verfügung bereitgestellt werden könnten.</w:t>
      </w:r>
    </w:p>
    <w:p w14:paraId="514E81D8" w14:textId="77777777" w:rsidR="00271855" w:rsidRDefault="00271855" w:rsidP="009236D6">
      <w:pPr>
        <w:keepNext/>
        <w:keepLines/>
        <w:rPr>
          <w:rFonts w:eastAsia="MS Mincho"/>
          <w:spacing w:val="-2"/>
        </w:rPr>
      </w:pPr>
    </w:p>
    <w:p w14:paraId="1B3528AD" w14:textId="5B2DAD63" w:rsidR="004769F7" w:rsidRPr="0088502A" w:rsidRDefault="003415AF" w:rsidP="009236D6">
      <w:pPr>
        <w:keepNext/>
        <w:keepLines/>
        <w:rPr>
          <w:rFonts w:eastAsia="MS Mincho"/>
          <w:spacing w:val="-2"/>
        </w:rPr>
      </w:pPr>
      <w:r>
        <w:fldChar w:fldCharType="begin"/>
      </w:r>
      <w:r>
        <w:instrText xml:space="preserve"> LISTNUM  LegalDefault \l 1 </w:instrText>
      </w:r>
      <w:r>
        <w:fldChar w:fldCharType="end">
          <w:numberingChange w:id="92" w:author="SANCHEZ VIZCAINO GOMEZ Rosa Maria" w:date="2023-08-29T11:06:00Z" w:original="10."/>
        </w:fldChar>
      </w:r>
      <w:r>
        <w:rPr>
          <w:rFonts w:eastAsia="MS Mincho"/>
          <w:spacing w:val="-2"/>
        </w:rPr>
        <w:tab/>
        <w:t xml:space="preserve">Die TWO vereinbarte vorzuschlagen, die folgende nicht erschöpfende Liste von Beispielen für Zusatzinformationen zur Aufnahme in das Dokument TGP/5, Abschnitt 6 zu prüfen </w:t>
      </w:r>
      <w:r>
        <w:rPr>
          <w:spacing w:val="-2"/>
        </w:rPr>
        <w:t xml:space="preserve">(Zusätze sind durch Hervorhebung und </w:t>
      </w:r>
      <w:r>
        <w:rPr>
          <w:spacing w:val="-2"/>
          <w:highlight w:val="lightGray"/>
          <w:u w:val="single"/>
        </w:rPr>
        <w:t>Unterstreichung</w:t>
      </w:r>
      <w:r>
        <w:rPr>
          <w:spacing w:val="-2"/>
        </w:rPr>
        <w:t xml:space="preserve"> und Streichungen sind durch Hervorhebung und </w:t>
      </w:r>
      <w:r>
        <w:rPr>
          <w:strike/>
          <w:spacing w:val="-2"/>
          <w:highlight w:val="lightGray"/>
        </w:rPr>
        <w:t>Durchstreichen</w:t>
      </w:r>
      <w:r>
        <w:rPr>
          <w:spacing w:val="-2"/>
        </w:rPr>
        <w:t xml:space="preserve"> gekennzeichnet):</w:t>
      </w:r>
    </w:p>
    <w:p w14:paraId="616630F0" w14:textId="77777777" w:rsidR="004769F7" w:rsidRPr="0088502A" w:rsidRDefault="004769F7" w:rsidP="004769F7">
      <w:pPr>
        <w:rPr>
          <w:rFonts w:eastAsia="MS Mincho"/>
        </w:rPr>
      </w:pPr>
    </w:p>
    <w:p w14:paraId="28705AF4" w14:textId="77777777" w:rsidR="004769F7" w:rsidRPr="0088502A" w:rsidRDefault="004769F7" w:rsidP="004769F7">
      <w:pPr>
        <w:ind w:left="567" w:right="567"/>
        <w:rPr>
          <w:rFonts w:eastAsia="MS Mincho"/>
        </w:rPr>
      </w:pPr>
      <w:r>
        <w:rPr>
          <w:rFonts w:eastAsia="MS Mincho"/>
        </w:rPr>
        <w:t xml:space="preserve">„a) Zusatzinformationen </w:t>
      </w:r>
      <w:r>
        <w:rPr>
          <w:rFonts w:eastAsia="MS Mincho"/>
          <w:highlight w:val="lightGray"/>
          <w:u w:val="single"/>
        </w:rPr>
        <w:t>(z. B. COYU- oder COYD-Ergebnisse, bestimmte Merkmale unterstützende Messdaten, Skalen für gemessene Merkmale für Beispielssorten)</w:t>
      </w:r>
      <w:r>
        <w:rPr>
          <w:rFonts w:eastAsia="MS Mincho"/>
        </w:rPr>
        <w:t>“</w:t>
      </w:r>
    </w:p>
    <w:p w14:paraId="795E0E77" w14:textId="77777777" w:rsidR="004769F7" w:rsidRPr="0088502A" w:rsidRDefault="004769F7" w:rsidP="004769F7">
      <w:pPr>
        <w:rPr>
          <w:rFonts w:eastAsia="MS Mincho"/>
        </w:rPr>
      </w:pPr>
    </w:p>
    <w:p w14:paraId="285DE48B" w14:textId="309BE869" w:rsidR="004769F7" w:rsidRPr="0088502A" w:rsidRDefault="003415AF" w:rsidP="004769F7">
      <w:r>
        <w:fldChar w:fldCharType="begin"/>
      </w:r>
      <w:r>
        <w:instrText xml:space="preserve"> LISTNUM  LegalDefault \l 1 </w:instrText>
      </w:r>
      <w:r>
        <w:fldChar w:fldCharType="end">
          <w:numberingChange w:id="93" w:author="SANCHEZ VIZCAINO GOMEZ Rosa Maria" w:date="2023-08-29T11:06:00Z" w:original="11."/>
        </w:fldChar>
      </w:r>
      <w:r>
        <w:tab/>
        <w:t>Die TWO vereinbarte, die Aufnahme des folgenden Zusatzelements in die Liste der „Zusatzinformationen“ in Abschnitt 17 von Dokument TGP/5, Abschnitt 6, vorzuschlagen:</w:t>
      </w:r>
    </w:p>
    <w:p w14:paraId="35155EF8" w14:textId="77777777" w:rsidR="004769F7" w:rsidRPr="0088502A" w:rsidRDefault="004769F7" w:rsidP="004769F7"/>
    <w:p w14:paraId="0FE92BF6" w14:textId="77777777" w:rsidR="004769F7" w:rsidRPr="0088502A" w:rsidRDefault="004769F7" w:rsidP="004769F7">
      <w:pPr>
        <w:ind w:left="567"/>
        <w:rPr>
          <w:rFonts w:eastAsia="MS Mincho"/>
        </w:rPr>
      </w:pPr>
      <w:r>
        <w:t xml:space="preserve">„d) </w:t>
      </w:r>
      <w:r>
        <w:rPr>
          <w:rFonts w:eastAsia="MS Mincho"/>
          <w:highlight w:val="lightGray"/>
          <w:u w:val="single"/>
        </w:rPr>
        <w:t>Bei der Prüfung in der Anbauprüfung verwendete Beispielssorten</w:t>
      </w:r>
      <w:r>
        <w:rPr>
          <w:rFonts w:eastAsia="MS Mincho"/>
        </w:rPr>
        <w:t>“</w:t>
      </w:r>
    </w:p>
    <w:p w14:paraId="7F482400" w14:textId="77777777" w:rsidR="004769F7" w:rsidRPr="0088502A" w:rsidRDefault="004769F7" w:rsidP="004769F7">
      <w:pPr>
        <w:rPr>
          <w:rFonts w:eastAsia="MS Mincho"/>
        </w:rPr>
      </w:pPr>
    </w:p>
    <w:p w14:paraId="0D9A1794" w14:textId="4FA13E56" w:rsidR="004769F7" w:rsidRPr="0088502A" w:rsidRDefault="003415AF" w:rsidP="004769F7">
      <w:pPr>
        <w:rPr>
          <w:rFonts w:eastAsia="MS Mincho"/>
        </w:rPr>
      </w:pPr>
      <w:r>
        <w:rPr>
          <w:rFonts w:cs="Arial"/>
        </w:rPr>
        <w:fldChar w:fldCharType="begin"/>
      </w:r>
      <w:r>
        <w:instrText xml:space="preserve"> LISTNUM  LegalDefault \l 1 </w:instrText>
      </w:r>
      <w:r>
        <w:fldChar w:fldCharType="end">
          <w:numberingChange w:id="94" w:author="SANCHEZ VIZCAINO GOMEZ Rosa Maria" w:date="2023-08-29T11:06:00Z" w:original="12."/>
        </w:fldChar>
      </w:r>
      <w:r>
        <w:rPr>
          <w:rFonts w:eastAsia="MS Mincho"/>
        </w:rPr>
        <w:tab/>
        <w:t>Die TWO prüfte Dokument TGP/5, Abschnitt 6 „UPOV-Bericht über die technische Prüfung und UPOV-Sortenbeschreibung“ und vereinbarte, dass die fehlende</w:t>
      </w:r>
      <w:r w:rsidR="00F64961">
        <w:rPr>
          <w:rFonts w:eastAsia="MS Mincho"/>
        </w:rPr>
        <w:t>n</w:t>
      </w:r>
      <w:r>
        <w:rPr>
          <w:rFonts w:eastAsia="MS Mincho"/>
        </w:rPr>
        <w:t xml:space="preserve"> Informationen in Abschnitt 16 „</w:t>
      </w:r>
      <w:r>
        <w:rPr>
          <w:i/>
        </w:rPr>
        <w:t>Ähnliche Sorten und Unterschiede zu diesen Sorten</w:t>
      </w:r>
      <w:r>
        <w:rPr>
          <w:rFonts w:eastAsia="MS Mincho"/>
        </w:rPr>
        <w:t>“ die Zweckmäßigkeit des Austauschs der DUS-Prüfungsberichte beeinträchtige</w:t>
      </w:r>
      <w:r w:rsidR="00F64961">
        <w:rPr>
          <w:rFonts w:eastAsia="MS Mincho"/>
        </w:rPr>
        <w:t>n würden</w:t>
      </w:r>
      <w:r>
        <w:rPr>
          <w:rFonts w:eastAsia="MS Mincho"/>
        </w:rPr>
        <w:t>.</w:t>
      </w:r>
    </w:p>
    <w:p w14:paraId="6B873ABE" w14:textId="77777777" w:rsidR="004769F7" w:rsidRPr="0088502A" w:rsidRDefault="004769F7" w:rsidP="004769F7">
      <w:pPr>
        <w:rPr>
          <w:rFonts w:eastAsia="MS Mincho"/>
        </w:rPr>
      </w:pPr>
    </w:p>
    <w:p w14:paraId="3DE56AC8" w14:textId="5E894D76" w:rsidR="004769F7" w:rsidRPr="0088502A" w:rsidRDefault="003415AF" w:rsidP="004769F7">
      <w:r>
        <w:fldChar w:fldCharType="begin"/>
      </w:r>
      <w:r>
        <w:instrText xml:space="preserve"> LISTNUM  LegalDefault \l 1 </w:instrText>
      </w:r>
      <w:r>
        <w:fldChar w:fldCharType="end"/>
      </w:r>
      <w:r>
        <w:rPr>
          <w:rFonts w:eastAsia="MS Mincho"/>
        </w:rPr>
        <w:tab/>
        <w:t xml:space="preserve">Die TWO vereinbarte zu empfehlen, dass die Behörden, die DUS-Prüfungsberichte liefern, unter Abschnitt 16 Informationen zur Sortenbeschreibung abgeben, </w:t>
      </w:r>
      <w:r w:rsidR="00B8580B">
        <w:rPr>
          <w:rFonts w:eastAsia="MS Mincho"/>
        </w:rPr>
        <w:t>einschließlich,</w:t>
      </w:r>
      <w:r>
        <w:rPr>
          <w:rFonts w:eastAsia="MS Mincho"/>
        </w:rPr>
        <w:t xml:space="preserve"> um anzugeben, dass</w:t>
      </w:r>
      <w:r>
        <w:t xml:space="preserve"> keine ähnliche Sorte identifiziert wurde.</w:t>
      </w:r>
      <w:r w:rsidR="0062652A">
        <w:t xml:space="preserve"> </w:t>
      </w:r>
      <w:r>
        <w:t xml:space="preserve">Die TWO vereinbarte, dass, sollte eine ähnliche Sorte bzw. sollten mehrere ähnliche Sorten vorhanden sein, diese unter Abschnitt 16 des Prüfberichts angegeben werden sollte(n). </w:t>
      </w:r>
    </w:p>
    <w:p w14:paraId="1519658D" w14:textId="77777777" w:rsidR="00C61D8E" w:rsidRPr="0088502A" w:rsidRDefault="00C61D8E" w:rsidP="004769F7"/>
    <w:p w14:paraId="2B3C49BB" w14:textId="737D59EC" w:rsidR="004769F7" w:rsidRPr="0088502A" w:rsidRDefault="00B03220" w:rsidP="000B0E8D">
      <w:pPr>
        <w:keepNext/>
        <w:rPr>
          <w:i/>
        </w:rPr>
      </w:pPr>
      <w:r>
        <w:rPr>
          <w:rFonts w:eastAsia="Cambria"/>
          <w:i/>
        </w:rPr>
        <w:t>Dokument TGP/5: Abschnitt 11 „Beispiele für Verfahren und Verträge bezüglich des vom Züchter eingereichten Materials“ (Überarbeitung)</w:t>
      </w:r>
    </w:p>
    <w:p w14:paraId="42E5503E" w14:textId="77777777" w:rsidR="004769F7" w:rsidRPr="0088502A" w:rsidRDefault="004769F7" w:rsidP="000B0E8D">
      <w:pPr>
        <w:keepNext/>
      </w:pPr>
    </w:p>
    <w:p w14:paraId="72443509" w14:textId="77777777" w:rsidR="008D6B75" w:rsidRPr="00051E1E" w:rsidRDefault="00FD2D3D" w:rsidP="000B0E8D">
      <w:pPr>
        <w:keepNext/>
        <w:ind w:left="567"/>
        <w:rPr>
          <w:u w:val="single"/>
        </w:rPr>
      </w:pPr>
      <w:r>
        <w:rPr>
          <w:u w:val="single"/>
        </w:rPr>
        <w:t xml:space="preserve">Neuer Vorschlag: Zugang zu Pflanzenmaterial zum Zweck der Verwaltung von Sortensammlungen und der DUS-Prüfung </w:t>
      </w:r>
    </w:p>
    <w:p w14:paraId="3DB3844B" w14:textId="77777777" w:rsidR="008D6B75" w:rsidRPr="0088502A" w:rsidRDefault="008D6B75" w:rsidP="000B0E8D">
      <w:pPr>
        <w:keepNext/>
      </w:pPr>
    </w:p>
    <w:p w14:paraId="2AE70BFC" w14:textId="7A40ED5F" w:rsidR="004769F7" w:rsidRPr="0088502A" w:rsidRDefault="003415AF" w:rsidP="000B0E8D">
      <w:pPr>
        <w:keepLines/>
      </w:pPr>
      <w:r>
        <w:fldChar w:fldCharType="begin"/>
      </w:r>
      <w:r>
        <w:instrText xml:space="preserve"> LISTNUM  LegalDefault \l 1 </w:instrText>
      </w:r>
      <w:r>
        <w:fldChar w:fldCharType="end">
          <w:numberingChange w:id="95" w:author="SANCHEZ VIZCAINO GOMEZ Rosa Maria" w:date="2023-08-29T11:06:00Z" w:original="14."/>
        </w:fldChar>
      </w:r>
      <w:r>
        <w:tab/>
        <w:t>Die TWF prüfte auf ihrer vierundfünfzigsten Tagung</w:t>
      </w:r>
      <w:r w:rsidR="001A4E8A" w:rsidRPr="001A4E8A">
        <w:rPr>
          <w:vertAlign w:val="superscript"/>
        </w:rPr>
        <w:fldChar w:fldCharType="begin"/>
      </w:r>
      <w:r w:rsidR="001A4E8A" w:rsidRPr="001A4E8A">
        <w:rPr>
          <w:vertAlign w:val="superscript"/>
        </w:rPr>
        <w:instrText xml:space="preserve"> NOTEREF _Ref145616178 \h </w:instrText>
      </w:r>
      <w:r w:rsidR="001A4E8A" w:rsidRPr="001A4E8A">
        <w:rPr>
          <w:vertAlign w:val="superscript"/>
        </w:rPr>
      </w:r>
      <w:r w:rsidR="001A4E8A">
        <w:rPr>
          <w:vertAlign w:val="superscript"/>
        </w:rPr>
        <w:instrText xml:space="preserve"> \* MERGEFORMAT </w:instrText>
      </w:r>
      <w:r w:rsidR="001A4E8A" w:rsidRPr="001A4E8A">
        <w:rPr>
          <w:vertAlign w:val="superscript"/>
        </w:rPr>
        <w:fldChar w:fldCharType="separate"/>
      </w:r>
      <w:r w:rsidR="001A4E8A" w:rsidRPr="001A4E8A">
        <w:rPr>
          <w:vertAlign w:val="superscript"/>
        </w:rPr>
        <w:t>9</w:t>
      </w:r>
      <w:r w:rsidR="001A4E8A" w:rsidRPr="001A4E8A">
        <w:rPr>
          <w:vertAlign w:val="superscript"/>
        </w:rPr>
        <w:fldChar w:fldCharType="end"/>
      </w:r>
      <w:r>
        <w:t xml:space="preserve"> das von einem Sachverständigen der Europäischen Union vorgelegte Dokument TWF/54/7</w:t>
      </w:r>
      <w:r w:rsidR="000B0E8D">
        <w:t xml:space="preserve"> </w:t>
      </w:r>
      <w:r w:rsidR="000B0E8D" w:rsidRPr="000B0E8D">
        <w:rPr>
          <w:i/>
          <w:iCs/>
        </w:rPr>
        <w:t>“Cooperation in Examination”</w:t>
      </w:r>
      <w:r>
        <w:t xml:space="preserve"> (vergleiche Dokument TWF//54/13 „</w:t>
      </w:r>
      <w:r>
        <w:rPr>
          <w:i/>
          <w:iCs/>
        </w:rPr>
        <w:t>Report</w:t>
      </w:r>
      <w:r>
        <w:t>“, Absätze 19 und 20).</w:t>
      </w:r>
    </w:p>
    <w:p w14:paraId="7CC39B1C" w14:textId="77777777" w:rsidR="004769F7" w:rsidRPr="0088502A" w:rsidRDefault="004769F7" w:rsidP="004769F7"/>
    <w:p w14:paraId="772275D5" w14:textId="3D41B066" w:rsidR="004769F7" w:rsidRPr="0088502A" w:rsidRDefault="003415AF" w:rsidP="009236D6">
      <w:pPr>
        <w:keepNext/>
        <w:keepLines/>
        <w:rPr>
          <w:rFonts w:eastAsia="Cambria"/>
        </w:rPr>
      </w:pPr>
      <w:r>
        <w:lastRenderedPageBreak/>
        <w:fldChar w:fldCharType="begin"/>
      </w:r>
      <w:r>
        <w:instrText xml:space="preserve"> LISTNUM  LegalDefault \l 1 </w:instrText>
      </w:r>
      <w:r>
        <w:fldChar w:fldCharType="end">
          <w:numberingChange w:id="96" w:author="SANCHEZ VIZCAINO GOMEZ Rosa Maria" w:date="2023-08-29T11:06:00Z" w:original="15."/>
        </w:fldChar>
      </w:r>
      <w:r>
        <w:tab/>
      </w:r>
      <w:r w:rsidR="00EF4F29">
        <w:t>Die TWF vereinbarte, die Änderung von Dokument TGP/5, Abschnitt 11 „Beispiele für Verfahren und Verträge bezüglich des vom Züchter eingereichten Materials“ vorzuschlagen, um die folgende Liste von Elementen aufzunehmen, die für die Aufnahme in Anträge auf Einreichung von Pflanzenmaterial von Kandidatensorten und allgemein bekannten Sorten für die DUS-Prüfung zu prüfen sind</w:t>
      </w:r>
      <w:r>
        <w:rPr>
          <w:rFonts w:eastAsia="Cambria"/>
        </w:rPr>
        <w:t xml:space="preserve"> </w:t>
      </w:r>
      <w:r>
        <w:rPr>
          <w:spacing w:val="-2"/>
        </w:rPr>
        <w:t xml:space="preserve">(Zusätze sind durch Hervorhebung und </w:t>
      </w:r>
      <w:r>
        <w:rPr>
          <w:spacing w:val="-2"/>
          <w:highlight w:val="lightGray"/>
          <w:u w:val="single"/>
        </w:rPr>
        <w:t>Unterstreichung</w:t>
      </w:r>
      <w:r>
        <w:rPr>
          <w:spacing w:val="-2"/>
        </w:rPr>
        <w:t xml:space="preserve"> und Streichungen sind durch Hervorhebung und </w:t>
      </w:r>
      <w:r>
        <w:rPr>
          <w:strike/>
          <w:spacing w:val="-2"/>
          <w:highlight w:val="lightGray"/>
        </w:rPr>
        <w:t>Durchstreichen</w:t>
      </w:r>
      <w:r>
        <w:rPr>
          <w:spacing w:val="-2"/>
        </w:rPr>
        <w:t xml:space="preserve"> gekennzeichnet): </w:t>
      </w:r>
    </w:p>
    <w:p w14:paraId="000F658B" w14:textId="77777777" w:rsidR="004769F7" w:rsidRPr="00051E1E" w:rsidRDefault="004769F7" w:rsidP="004769F7">
      <w:pPr>
        <w:rPr>
          <w:rFonts w:eastAsia="Cambria" w:cs="Arial"/>
          <w:sz w:val="18"/>
        </w:rPr>
      </w:pPr>
    </w:p>
    <w:p w14:paraId="69B72E08" w14:textId="01419BFC" w:rsidR="004769F7" w:rsidRPr="00051E1E" w:rsidRDefault="004769F7" w:rsidP="004769F7">
      <w:pPr>
        <w:pStyle w:val="ListParagraph"/>
        <w:numPr>
          <w:ilvl w:val="0"/>
          <w:numId w:val="8"/>
        </w:numPr>
        <w:ind w:left="1134" w:hanging="567"/>
        <w:rPr>
          <w:highlight w:val="lightGray"/>
          <w:u w:val="single"/>
        </w:rPr>
      </w:pPr>
      <w:r>
        <w:rPr>
          <w:highlight w:val="lightGray"/>
          <w:u w:val="single"/>
        </w:rPr>
        <w:t>Schreiben an den Schutztitel</w:t>
      </w:r>
      <w:r w:rsidR="0073569A">
        <w:rPr>
          <w:highlight w:val="lightGray"/>
          <w:u w:val="single"/>
        </w:rPr>
        <w:t>inhaber</w:t>
      </w:r>
      <w:r>
        <w:rPr>
          <w:highlight w:val="lightGray"/>
          <w:u w:val="single"/>
        </w:rPr>
        <w:t xml:space="preserve"> für die Sorte oder dessen offiziellen Vertreter im Hoheitsgebiet</w:t>
      </w:r>
    </w:p>
    <w:p w14:paraId="336DCD03" w14:textId="77777777" w:rsidR="004769F7" w:rsidRPr="00051E1E" w:rsidRDefault="004769F7" w:rsidP="004769F7">
      <w:pPr>
        <w:ind w:left="1134" w:hanging="567"/>
        <w:rPr>
          <w:sz w:val="18"/>
          <w:highlight w:val="lightGray"/>
          <w:u w:val="single"/>
        </w:rPr>
      </w:pPr>
    </w:p>
    <w:p w14:paraId="165EC6FB" w14:textId="266458D0" w:rsidR="004769F7" w:rsidRPr="00051E1E" w:rsidRDefault="004769F7" w:rsidP="004769F7">
      <w:pPr>
        <w:pStyle w:val="ListParagraph"/>
        <w:numPr>
          <w:ilvl w:val="0"/>
          <w:numId w:val="8"/>
        </w:numPr>
        <w:ind w:left="1134" w:hanging="567"/>
        <w:rPr>
          <w:highlight w:val="lightGray"/>
          <w:u w:val="single"/>
        </w:rPr>
      </w:pPr>
      <w:r>
        <w:rPr>
          <w:highlight w:val="lightGray"/>
          <w:u w:val="single"/>
        </w:rPr>
        <w:t>Technische Einzelheiten, insbesondere Qualität, Quantität, Datum und Ort der Einreichung.</w:t>
      </w:r>
      <w:r w:rsidR="0062652A">
        <w:rPr>
          <w:highlight w:val="lightGray"/>
          <w:u w:val="single"/>
        </w:rPr>
        <w:t xml:space="preserve"> </w:t>
      </w:r>
      <w:r>
        <w:rPr>
          <w:highlight w:val="lightGray"/>
          <w:u w:val="single"/>
        </w:rPr>
        <w:t>Im Obstsektor muss das Material, soll es die gewünschte Qualität haben, unter Umständen häufig mehr als ein Jahr im Voraus organisiert werden. Die Behörde sollte eine gewisse Flexibilität akzeptieren, was die Bereitstellung des Materials anbelangt.</w:t>
      </w:r>
    </w:p>
    <w:p w14:paraId="4D044B52" w14:textId="77777777" w:rsidR="004769F7" w:rsidRPr="00051E1E" w:rsidRDefault="004769F7" w:rsidP="004769F7">
      <w:pPr>
        <w:ind w:left="1134" w:hanging="567"/>
        <w:rPr>
          <w:sz w:val="18"/>
          <w:highlight w:val="lightGray"/>
          <w:u w:val="single"/>
        </w:rPr>
      </w:pPr>
    </w:p>
    <w:p w14:paraId="38CA7536" w14:textId="77777777" w:rsidR="004769F7" w:rsidRPr="00051E1E" w:rsidRDefault="004769F7" w:rsidP="004769F7">
      <w:pPr>
        <w:pStyle w:val="ListParagraph"/>
        <w:numPr>
          <w:ilvl w:val="0"/>
          <w:numId w:val="8"/>
        </w:numPr>
        <w:ind w:left="1134" w:hanging="567"/>
        <w:rPr>
          <w:highlight w:val="lightGray"/>
          <w:u w:val="single"/>
        </w:rPr>
      </w:pPr>
      <w:r>
        <w:rPr>
          <w:highlight w:val="lightGray"/>
          <w:u w:val="single"/>
        </w:rPr>
        <w:t>Detaillierte Erklärungen betreffend den Zweck</w:t>
      </w:r>
    </w:p>
    <w:p w14:paraId="49FF6C16" w14:textId="77777777" w:rsidR="004769F7" w:rsidRPr="00051E1E" w:rsidRDefault="004769F7" w:rsidP="004769F7">
      <w:pPr>
        <w:rPr>
          <w:sz w:val="16"/>
          <w:highlight w:val="lightGray"/>
          <w:u w:val="single"/>
        </w:rPr>
      </w:pPr>
    </w:p>
    <w:p w14:paraId="66E26F2B" w14:textId="77777777" w:rsidR="004769F7" w:rsidRPr="00051E1E" w:rsidRDefault="004769F7" w:rsidP="004769F7">
      <w:pPr>
        <w:pStyle w:val="ListParagraph"/>
        <w:numPr>
          <w:ilvl w:val="0"/>
          <w:numId w:val="10"/>
        </w:numPr>
        <w:ind w:left="1701" w:hanging="567"/>
        <w:rPr>
          <w:highlight w:val="lightGray"/>
          <w:u w:val="single"/>
        </w:rPr>
      </w:pPr>
      <w:r>
        <w:rPr>
          <w:highlight w:val="lightGray"/>
          <w:u w:val="single"/>
        </w:rPr>
        <w:t>Sortensammlung</w:t>
      </w:r>
    </w:p>
    <w:p w14:paraId="17CFA309" w14:textId="50626EE9" w:rsidR="004769F7" w:rsidRPr="00051E1E" w:rsidRDefault="004769F7" w:rsidP="004769F7">
      <w:pPr>
        <w:pStyle w:val="ListParagraph"/>
        <w:numPr>
          <w:ilvl w:val="0"/>
          <w:numId w:val="10"/>
        </w:numPr>
        <w:ind w:left="1701" w:hanging="567"/>
        <w:rPr>
          <w:highlight w:val="lightGray"/>
          <w:u w:val="single"/>
        </w:rPr>
      </w:pPr>
      <w:r>
        <w:rPr>
          <w:highlight w:val="lightGray"/>
          <w:u w:val="single"/>
        </w:rPr>
        <w:t xml:space="preserve">Seite-an-Seite-Vergleich mit einer </w:t>
      </w:r>
      <w:r w:rsidR="0062652A">
        <w:rPr>
          <w:highlight w:val="lightGray"/>
          <w:u w:val="single"/>
        </w:rPr>
        <w:t>potenziell</w:t>
      </w:r>
      <w:r>
        <w:rPr>
          <w:highlight w:val="lightGray"/>
          <w:u w:val="single"/>
        </w:rPr>
        <w:t xml:space="preserve"> ähnlichen Kandidatensorte</w:t>
      </w:r>
    </w:p>
    <w:p w14:paraId="13AE3EA7" w14:textId="77777777" w:rsidR="004769F7" w:rsidRPr="00051E1E" w:rsidRDefault="004769F7" w:rsidP="004769F7">
      <w:pPr>
        <w:rPr>
          <w:sz w:val="18"/>
          <w:highlight w:val="lightGray"/>
          <w:u w:val="single"/>
        </w:rPr>
      </w:pPr>
    </w:p>
    <w:p w14:paraId="1EA650DB" w14:textId="77777777" w:rsidR="004769F7" w:rsidRPr="00051E1E" w:rsidRDefault="004769F7" w:rsidP="004769F7">
      <w:pPr>
        <w:pStyle w:val="ListParagraph"/>
        <w:numPr>
          <w:ilvl w:val="0"/>
          <w:numId w:val="11"/>
        </w:numPr>
        <w:ind w:left="1134" w:hanging="567"/>
        <w:rPr>
          <w:highlight w:val="lightGray"/>
          <w:u w:val="single"/>
        </w:rPr>
      </w:pPr>
      <w:r>
        <w:rPr>
          <w:highlight w:val="lightGray"/>
          <w:u w:val="single"/>
        </w:rPr>
        <w:t>Was geschieht mit dem Material während und nach der Prüfung, einschließlich DNS-Probenentnahme und DNS-Profile, und was nicht</w:t>
      </w:r>
    </w:p>
    <w:p w14:paraId="6D78A045" w14:textId="77777777" w:rsidR="004769F7" w:rsidRPr="00051E1E" w:rsidRDefault="004769F7" w:rsidP="004769F7">
      <w:pPr>
        <w:rPr>
          <w:sz w:val="16"/>
          <w:highlight w:val="lightGray"/>
          <w:u w:val="single"/>
        </w:rPr>
      </w:pPr>
    </w:p>
    <w:p w14:paraId="47A9788B" w14:textId="77777777" w:rsidR="004769F7" w:rsidRPr="00051E1E" w:rsidRDefault="004769F7" w:rsidP="004769F7">
      <w:pPr>
        <w:pStyle w:val="ListParagraph"/>
        <w:numPr>
          <w:ilvl w:val="0"/>
          <w:numId w:val="12"/>
        </w:numPr>
        <w:ind w:left="1701" w:hanging="567"/>
        <w:rPr>
          <w:highlight w:val="lightGray"/>
          <w:u w:val="single"/>
        </w:rPr>
      </w:pPr>
      <w:r>
        <w:rPr>
          <w:highlight w:val="lightGray"/>
          <w:u w:val="single"/>
        </w:rPr>
        <w:t>Verantwortlich für die Durchsetzung der Politik ist die Sortenschutzbehörde</w:t>
      </w:r>
    </w:p>
    <w:p w14:paraId="4B82418A" w14:textId="77777777" w:rsidR="004769F7" w:rsidRPr="00051E1E" w:rsidRDefault="004769F7" w:rsidP="004769F7">
      <w:pPr>
        <w:pStyle w:val="ListParagraph"/>
        <w:numPr>
          <w:ilvl w:val="0"/>
          <w:numId w:val="12"/>
        </w:numPr>
        <w:ind w:left="1701" w:hanging="567"/>
        <w:rPr>
          <w:highlight w:val="lightGray"/>
          <w:u w:val="single"/>
        </w:rPr>
      </w:pPr>
      <w:r>
        <w:rPr>
          <w:highlight w:val="lightGray"/>
          <w:u w:val="single"/>
        </w:rPr>
        <w:t>Auslösender Zweck ist die DUS-Prüfung</w:t>
      </w:r>
    </w:p>
    <w:p w14:paraId="5F192B30" w14:textId="5426C4C1" w:rsidR="004769F7" w:rsidRPr="00051E1E" w:rsidRDefault="004769F7" w:rsidP="004769F7">
      <w:pPr>
        <w:pStyle w:val="ListParagraph"/>
        <w:numPr>
          <w:ilvl w:val="0"/>
          <w:numId w:val="12"/>
        </w:numPr>
        <w:ind w:left="1701" w:hanging="567"/>
        <w:rPr>
          <w:highlight w:val="lightGray"/>
          <w:u w:val="single"/>
        </w:rPr>
      </w:pPr>
      <w:r>
        <w:rPr>
          <w:highlight w:val="lightGray"/>
          <w:u w:val="single"/>
        </w:rPr>
        <w:t>Physi</w:t>
      </w:r>
      <w:r w:rsidR="0062652A">
        <w:rPr>
          <w:highlight w:val="lightGray"/>
          <w:u w:val="single"/>
        </w:rPr>
        <w:t>s</w:t>
      </w:r>
      <w:r>
        <w:rPr>
          <w:highlight w:val="lightGray"/>
          <w:u w:val="single"/>
        </w:rPr>
        <w:t>cher Ort des Materials, Möglichkeit des Zugangs für den Inhaber, Beschreibung der gebotenen Sorgfalt und Gegebenheiten beim Anbau</w:t>
      </w:r>
    </w:p>
    <w:p w14:paraId="639ACB65" w14:textId="77777777" w:rsidR="004769F7" w:rsidRPr="00051E1E" w:rsidRDefault="004769F7" w:rsidP="004769F7">
      <w:pPr>
        <w:pStyle w:val="ListParagraph"/>
        <w:numPr>
          <w:ilvl w:val="0"/>
          <w:numId w:val="12"/>
        </w:numPr>
        <w:ind w:left="1701" w:hanging="567"/>
        <w:rPr>
          <w:highlight w:val="lightGray"/>
          <w:u w:val="single"/>
        </w:rPr>
      </w:pPr>
      <w:r>
        <w:rPr>
          <w:highlight w:val="lightGray"/>
          <w:u w:val="single"/>
        </w:rPr>
        <w:t>Inhaberschaft an dem Material</w:t>
      </w:r>
    </w:p>
    <w:p w14:paraId="4479BE4E" w14:textId="77777777" w:rsidR="004769F7" w:rsidRPr="00051E1E" w:rsidRDefault="004769F7" w:rsidP="004769F7">
      <w:pPr>
        <w:pStyle w:val="ListParagraph"/>
        <w:numPr>
          <w:ilvl w:val="0"/>
          <w:numId w:val="12"/>
        </w:numPr>
        <w:ind w:left="1701" w:hanging="567"/>
        <w:rPr>
          <w:highlight w:val="lightGray"/>
          <w:u w:val="single"/>
        </w:rPr>
      </w:pPr>
      <w:r>
        <w:rPr>
          <w:highlight w:val="lightGray"/>
          <w:u w:val="single"/>
        </w:rPr>
        <w:t>Klärung möglicher anderer Verwendungen, z. B. andere offizielle Zwecke, und welche</w:t>
      </w:r>
    </w:p>
    <w:p w14:paraId="0D867D4C" w14:textId="4EDEB7E7" w:rsidR="004769F7" w:rsidRPr="00051E1E" w:rsidRDefault="004769F7" w:rsidP="004769F7">
      <w:pPr>
        <w:pStyle w:val="ListParagraph"/>
        <w:numPr>
          <w:ilvl w:val="0"/>
          <w:numId w:val="12"/>
        </w:numPr>
        <w:ind w:left="1701" w:hanging="567"/>
        <w:rPr>
          <w:highlight w:val="lightGray"/>
          <w:u w:val="single"/>
        </w:rPr>
      </w:pPr>
      <w:r>
        <w:rPr>
          <w:highlight w:val="lightGray"/>
          <w:u w:val="single"/>
        </w:rPr>
        <w:t xml:space="preserve">Umstände, unter denen das Material an </w:t>
      </w:r>
      <w:r w:rsidR="0073569A">
        <w:rPr>
          <w:highlight w:val="lightGray"/>
          <w:u w:val="single"/>
        </w:rPr>
        <w:t xml:space="preserve">eine </w:t>
      </w:r>
      <w:r>
        <w:rPr>
          <w:highlight w:val="lightGray"/>
          <w:u w:val="single"/>
        </w:rPr>
        <w:t>andere Partei/Behörde abgegeben werden darf</w:t>
      </w:r>
    </w:p>
    <w:p w14:paraId="7B81809B" w14:textId="77777777" w:rsidR="004769F7" w:rsidRPr="00051E1E" w:rsidRDefault="004769F7" w:rsidP="004769F7">
      <w:pPr>
        <w:pStyle w:val="ListParagraph"/>
        <w:numPr>
          <w:ilvl w:val="0"/>
          <w:numId w:val="12"/>
        </w:numPr>
        <w:ind w:left="1701" w:hanging="567"/>
        <w:rPr>
          <w:highlight w:val="lightGray"/>
          <w:u w:val="single"/>
        </w:rPr>
      </w:pPr>
      <w:r>
        <w:rPr>
          <w:highlight w:val="lightGray"/>
          <w:u w:val="single"/>
        </w:rPr>
        <w:t>Klärung der Situationen, die der Zustimmung des Züchters bedürfen bzw. nicht</w:t>
      </w:r>
    </w:p>
    <w:p w14:paraId="322FBCC3" w14:textId="77777777" w:rsidR="004769F7" w:rsidRPr="00051E1E" w:rsidRDefault="004769F7" w:rsidP="004769F7">
      <w:pPr>
        <w:pStyle w:val="ListParagraph"/>
        <w:numPr>
          <w:ilvl w:val="0"/>
          <w:numId w:val="12"/>
        </w:numPr>
        <w:ind w:left="1701" w:hanging="567"/>
        <w:rPr>
          <w:highlight w:val="lightGray"/>
          <w:u w:val="single"/>
        </w:rPr>
      </w:pPr>
      <w:r>
        <w:rPr>
          <w:highlight w:val="lightGray"/>
          <w:u w:val="single"/>
        </w:rPr>
        <w:t>Wer hat Zugang zu dem Material</w:t>
      </w:r>
    </w:p>
    <w:p w14:paraId="6C694174" w14:textId="77777777" w:rsidR="004769F7" w:rsidRPr="00051E1E" w:rsidRDefault="004769F7" w:rsidP="004769F7">
      <w:pPr>
        <w:pStyle w:val="ListParagraph"/>
        <w:numPr>
          <w:ilvl w:val="0"/>
          <w:numId w:val="12"/>
        </w:numPr>
        <w:ind w:left="1701" w:hanging="567"/>
        <w:rPr>
          <w:highlight w:val="lightGray"/>
          <w:u w:val="single"/>
        </w:rPr>
      </w:pPr>
      <w:r>
        <w:rPr>
          <w:highlight w:val="lightGray"/>
          <w:u w:val="single"/>
        </w:rPr>
        <w:t>Welche Informationen werden der Öffentlichkeit verpflichtend bekannt gemacht werden müssen (Fotoaufnahmen, Beschreibungen)</w:t>
      </w:r>
    </w:p>
    <w:p w14:paraId="4A030822" w14:textId="77777777" w:rsidR="004769F7" w:rsidRPr="0088502A" w:rsidRDefault="004769F7" w:rsidP="004769F7"/>
    <w:p w14:paraId="715BD5EB" w14:textId="53A31760" w:rsidR="004769F7" w:rsidRPr="0088502A" w:rsidRDefault="00051E1E" w:rsidP="00D86905">
      <w:pPr>
        <w:rPr>
          <w:i/>
        </w:rPr>
      </w:pPr>
      <w:r>
        <w:rPr>
          <w:i/>
        </w:rPr>
        <w:t>Dokument TGP/7</w:t>
      </w:r>
      <w:r>
        <w:rPr>
          <w:i/>
        </w:rPr>
        <w:tab/>
        <w:t>„Erstellung von Prüfungsrichtlinien” (Überarbeitung)</w:t>
      </w:r>
    </w:p>
    <w:p w14:paraId="6B2A82D8" w14:textId="77777777" w:rsidR="00D86905" w:rsidRPr="0088502A" w:rsidRDefault="00D86905" w:rsidP="00D86905"/>
    <w:p w14:paraId="58EA76A7" w14:textId="77777777" w:rsidR="00D86905" w:rsidRPr="0088502A" w:rsidRDefault="00D86905" w:rsidP="009F0366">
      <w:pPr>
        <w:ind w:left="567"/>
        <w:rPr>
          <w:u w:val="single"/>
        </w:rPr>
      </w:pPr>
      <w:bookmarkStart w:id="97" w:name="_Toc137223099"/>
      <w:bookmarkStart w:id="98" w:name="_Toc140511423"/>
      <w:r>
        <w:rPr>
          <w:u w:val="single"/>
        </w:rPr>
        <w:t>Beispielssorten für quantitative Merkmale mit Sternchen, wenn Abbildungen vorgelegt werden</w:t>
      </w:r>
      <w:bookmarkEnd w:id="97"/>
      <w:bookmarkEnd w:id="98"/>
    </w:p>
    <w:p w14:paraId="35D6CAF2" w14:textId="77777777" w:rsidR="00D86905" w:rsidRPr="0088502A" w:rsidRDefault="00D86905" w:rsidP="00D86905"/>
    <w:p w14:paraId="0C347D6F" w14:textId="5F462FD8" w:rsidR="00D86905" w:rsidRPr="0088502A" w:rsidRDefault="003415AF" w:rsidP="00D86905">
      <w:r>
        <w:fldChar w:fldCharType="begin"/>
      </w:r>
      <w:r>
        <w:instrText xml:space="preserve"> LISTNUM  LegalDefault \l 1 </w:instrText>
      </w:r>
      <w:r>
        <w:fldChar w:fldCharType="end">
          <w:numberingChange w:id="99" w:author="SANCHEZ VIZCAINO GOMEZ Rosa Maria" w:date="2023-08-29T11:06:00Z" w:original="16."/>
        </w:fldChar>
      </w:r>
      <w:r>
        <w:tab/>
        <w:t>Der TC vereinbarte auf seiner achtundfünfzigsten Tagung</w:t>
      </w:r>
      <w:r w:rsidR="001A4E8A" w:rsidRPr="008A4C0B">
        <w:rPr>
          <w:spacing w:val="-2"/>
          <w:vertAlign w:val="superscript"/>
        </w:rPr>
        <w:fldChar w:fldCharType="begin"/>
      </w:r>
      <w:r w:rsidR="001A4E8A" w:rsidRPr="008A4C0B">
        <w:rPr>
          <w:spacing w:val="-2"/>
          <w:vertAlign w:val="superscript"/>
        </w:rPr>
        <w:instrText xml:space="preserve"> NOTEREF _Ref145615980 \h </w:instrText>
      </w:r>
      <w:r w:rsidR="001A4E8A" w:rsidRPr="008A4C0B">
        <w:rPr>
          <w:spacing w:val="-2"/>
          <w:vertAlign w:val="superscript"/>
        </w:rPr>
      </w:r>
      <w:r w:rsidR="001A4E8A">
        <w:rPr>
          <w:spacing w:val="-2"/>
          <w:vertAlign w:val="superscript"/>
        </w:rPr>
        <w:instrText xml:space="preserve"> \* MERGEFORMAT </w:instrText>
      </w:r>
      <w:r w:rsidR="001A4E8A" w:rsidRPr="008A4C0B">
        <w:rPr>
          <w:spacing w:val="-2"/>
          <w:vertAlign w:val="superscript"/>
        </w:rPr>
        <w:fldChar w:fldCharType="separate"/>
      </w:r>
      <w:r w:rsidR="001A4E8A" w:rsidRPr="008A4C0B">
        <w:rPr>
          <w:spacing w:val="-2"/>
          <w:vertAlign w:val="superscript"/>
        </w:rPr>
        <w:t>6</w:t>
      </w:r>
      <w:r w:rsidR="001A4E8A" w:rsidRPr="008A4C0B">
        <w:rPr>
          <w:spacing w:val="-2"/>
          <w:vertAlign w:val="superscript"/>
        </w:rPr>
        <w:fldChar w:fldCharType="end"/>
      </w:r>
      <w:r w:rsidR="00D86905" w:rsidRPr="0088502A">
        <w:fldChar w:fldCharType="begin"/>
      </w:r>
      <w:r w:rsidR="00D86905" w:rsidRPr="0088502A">
        <w:instrText xml:space="preserve"> NOTEREF _Ref138847310 \f \h </w:instrText>
      </w:r>
      <w:r w:rsidR="001A4E8A">
        <w:fldChar w:fldCharType="separate"/>
      </w:r>
      <w:r w:rsidR="00D86905" w:rsidRPr="0088502A">
        <w:fldChar w:fldCharType="end"/>
      </w:r>
      <w:r>
        <w:t>, die TWP zu ersuchen, auf ihren Tagungen 2023 die von der TWO beschriebenen Situationen als Grundlage für die Ausarbeitung einer Anleitung zu etwaigen Ausnahmen von der Anforderung, Beispielssorten für mit Sternchen versehene quantitative Merkmale bereitzustellen, zu prüfen, wenn Abbildungen vorgelegt wurden.</w:t>
      </w:r>
      <w:r w:rsidR="0062652A">
        <w:t xml:space="preserve"> </w:t>
      </w:r>
      <w:r>
        <w:t xml:space="preserve">Der TC vereinbarte, die TWP zu ersuchen, Situationen zu benennen, in denen ein solcher Ansatz anwendbar wäre (vergleiche Dokument TC/58/31 „Bericht“, Absätze 23 und 24). </w:t>
      </w:r>
    </w:p>
    <w:p w14:paraId="54BCC4CB" w14:textId="77777777" w:rsidR="00D86905" w:rsidRPr="0088502A" w:rsidRDefault="00D86905" w:rsidP="00D86905">
      <w:pPr>
        <w:ind w:left="567"/>
        <w:rPr>
          <w:u w:val="single"/>
        </w:rPr>
      </w:pPr>
    </w:p>
    <w:p w14:paraId="68D685CC" w14:textId="77777777" w:rsidR="00D86905" w:rsidRPr="0088502A" w:rsidRDefault="00D86905" w:rsidP="000B0E8D">
      <w:pPr>
        <w:keepNext/>
        <w:ind w:left="567"/>
        <w:rPr>
          <w:rFonts w:eastAsia="Calibri"/>
          <w:i/>
        </w:rPr>
      </w:pPr>
      <w:bookmarkStart w:id="100" w:name="_Toc141872251"/>
      <w:r>
        <w:rPr>
          <w:i/>
        </w:rPr>
        <w:t>Situationen, in denen Abbildungen Beispielssorten für mit Sternchen versehene quantitative Merkmale ersetzen können</w:t>
      </w:r>
      <w:bookmarkEnd w:id="100"/>
      <w:r>
        <w:rPr>
          <w:i/>
        </w:rPr>
        <w:t xml:space="preserve"> </w:t>
      </w:r>
    </w:p>
    <w:p w14:paraId="08D7CC16" w14:textId="77777777" w:rsidR="00D86905" w:rsidRPr="0088502A" w:rsidRDefault="00D86905" w:rsidP="000B0E8D">
      <w:pPr>
        <w:keepNext/>
      </w:pPr>
    </w:p>
    <w:p w14:paraId="59BD2DD3" w14:textId="7692E09C" w:rsidR="00D86905" w:rsidRPr="0088502A" w:rsidRDefault="003415AF" w:rsidP="000B0E8D">
      <w:pPr>
        <w:keepNext/>
        <w:keepLines/>
        <w:rPr>
          <w:spacing w:val="-2"/>
        </w:rPr>
      </w:pPr>
      <w:r>
        <w:fldChar w:fldCharType="begin"/>
      </w:r>
      <w:r>
        <w:instrText xml:space="preserve"> LISTNUM  LegalDefault \l 1 </w:instrText>
      </w:r>
      <w:r>
        <w:fldChar w:fldCharType="end">
          <w:numberingChange w:id="101" w:author="SANCHEZ VIZCAINO GOMEZ Rosa Maria" w:date="2023-08-29T11:06:00Z" w:original="17."/>
        </w:fldChar>
      </w:r>
      <w:r>
        <w:tab/>
        <w:t>Die TWV, TWA TWO und TWF prüften auf ihren jeweiligen Tagungen 2023 die von der TWO beschriebenen Situationen als Grundlage für die Ausarbeitung einer Anleitung zu etwaigen Ausnahmen von der Anforderung, Beispielssorten für mit Sternchen versehene quantitative Merkmale bereitzustellen, zu prüfen, wenn Abbildungen vorgelegt wurden (vergleiche Dokumente TWV/57/26 „</w:t>
      </w:r>
      <w:r>
        <w:rPr>
          <w:i/>
          <w:iCs/>
        </w:rPr>
        <w:t>Report</w:t>
      </w:r>
      <w:r>
        <w:t>“, Absätze 11 bis 13</w:t>
      </w:r>
      <w:r w:rsidR="00542140">
        <w:t>,</w:t>
      </w:r>
      <w:r>
        <w:t xml:space="preserve"> TWA/52/11 „</w:t>
      </w:r>
      <w:r>
        <w:rPr>
          <w:i/>
          <w:iCs/>
        </w:rPr>
        <w:t>Report</w:t>
      </w:r>
      <w:r>
        <w:t>“, Absätze 15 bis 17, TWO/55/11 „</w:t>
      </w:r>
      <w:r>
        <w:rPr>
          <w:i/>
          <w:iCs/>
        </w:rPr>
        <w:t>Report</w:t>
      </w:r>
      <w:r>
        <w:t>“, Absätze 10 bis 13, und TWF/54/13 „</w:t>
      </w:r>
      <w:r>
        <w:rPr>
          <w:i/>
          <w:iCs/>
        </w:rPr>
        <w:t>Report</w:t>
      </w:r>
      <w:r>
        <w:t xml:space="preserve">“, </w:t>
      </w:r>
      <w:r w:rsidR="0062652A">
        <w:t>Absatz</w:t>
      </w:r>
      <w:r>
        <w:t xml:space="preserve"> 13).</w:t>
      </w:r>
    </w:p>
    <w:p w14:paraId="4993DC95" w14:textId="77777777" w:rsidR="00D86905" w:rsidRPr="0088502A" w:rsidRDefault="00D86905" w:rsidP="00D86905"/>
    <w:p w14:paraId="48820D4E" w14:textId="48AF8743" w:rsidR="00D86905" w:rsidRPr="0088502A" w:rsidRDefault="003415AF" w:rsidP="00D86905">
      <w:pPr>
        <w:keepNext/>
      </w:pPr>
      <w:r>
        <w:lastRenderedPageBreak/>
        <w:fldChar w:fldCharType="begin"/>
      </w:r>
      <w:r>
        <w:instrText xml:space="preserve"> LISTNUM  LegalDefault \l 1 </w:instrText>
      </w:r>
      <w:r>
        <w:fldChar w:fldCharType="end">
          <w:numberingChange w:id="102" w:author="SANCHEZ VIZCAINO GOMEZ Rosa Maria" w:date="2023-08-29T11:06:00Z" w:original="18."/>
        </w:fldChar>
      </w:r>
      <w:r>
        <w:tab/>
        <w:t>Die TWV erinnerte daran, dass sie auf ihrer sechsundfünfzigsten Tagung</w:t>
      </w:r>
      <w:bookmarkStart w:id="103" w:name="_Ref138407855"/>
      <w:r>
        <w:rPr>
          <w:rStyle w:val="FootnoteReference"/>
        </w:rPr>
        <w:footnoteReference w:id="15"/>
      </w:r>
      <w:bookmarkEnd w:id="103"/>
      <w:r>
        <w:t xml:space="preserve"> folgendes vereinbart hatte (vergleiche Dokument TWV/56/22 „</w:t>
      </w:r>
      <w:r>
        <w:rPr>
          <w:i/>
          <w:iCs/>
        </w:rPr>
        <w:t>Report</w:t>
      </w:r>
      <w:r>
        <w:t xml:space="preserve">“, Absatz 9): </w:t>
      </w:r>
    </w:p>
    <w:p w14:paraId="4045469F" w14:textId="77777777" w:rsidR="00D86905" w:rsidRPr="0088502A" w:rsidRDefault="00D86905" w:rsidP="00D86905">
      <w:pPr>
        <w:keepNext/>
      </w:pPr>
    </w:p>
    <w:p w14:paraId="3CB32112" w14:textId="77777777" w:rsidR="00D86905" w:rsidRPr="0088502A" w:rsidRDefault="00D86905" w:rsidP="00D86905">
      <w:pPr>
        <w:keepLines/>
        <w:ind w:left="567" w:right="567"/>
        <w:rPr>
          <w:sz w:val="18"/>
        </w:rPr>
      </w:pPr>
      <w:r>
        <w:rPr>
          <w:sz w:val="18"/>
        </w:rPr>
        <w:t>„Die TWV vereinbarte, dass weiterhin Beispielssorten für quantitative Merkmale mit Sternchen für Gemüsearten bereitgestellt werden sollten. Die TWV vereinbarte, dass Beispielssorten für Gemüsearten leicht bereitgestellt werden könnten und für die Harmonisierung der DUS-Prüfung und die Erstellung von Sortenbeschreibungen nützlich seien. Die TWV erinnerte daran, dass die Anleitung in Dokument TGP/7 Beispielssorten für drei oder zwei Ausprägungsstufen verlange, je nach der verwendeten Notenskala.“</w:t>
      </w:r>
    </w:p>
    <w:p w14:paraId="3F088B2D" w14:textId="77777777" w:rsidR="00D86905" w:rsidRPr="0088502A" w:rsidRDefault="00D86905" w:rsidP="00D86905"/>
    <w:p w14:paraId="45D01CCE" w14:textId="464D4962" w:rsidR="00D86905" w:rsidRPr="0088502A" w:rsidRDefault="003415AF" w:rsidP="00D86905">
      <w:r>
        <w:fldChar w:fldCharType="begin"/>
      </w:r>
      <w:r>
        <w:instrText xml:space="preserve"> LISTNUM  LegalDefault \l 1 </w:instrText>
      </w:r>
      <w:r>
        <w:fldChar w:fldCharType="end">
          <w:numberingChange w:id="104" w:author="SANCHEZ VIZCAINO GOMEZ Rosa Maria" w:date="2023-08-29T11:06:00Z" w:original="19."/>
        </w:fldChar>
      </w:r>
      <w:r>
        <w:tab/>
        <w:t xml:space="preserve">Die TWV vereinbarte, dass Beispielssorten wichtig für die Ausbildung von DUS-Sachverständigen und Pflanzenzüchter seien, die die Prüfungsrichtlinien anwenden. Die TWV vereinbarte, dass Abbildungen als Ergänzung für Beispielssorten in den Erläuterungen und wenn Pflanzenmaterial einer bestimmten Sorte nicht verfügbar ist verwendet werden sollten. </w:t>
      </w:r>
    </w:p>
    <w:p w14:paraId="5BEDF469" w14:textId="181ED29F" w:rsidR="00D86905" w:rsidRPr="0088502A" w:rsidRDefault="003415AF" w:rsidP="009236D6">
      <w:pPr>
        <w:spacing w:before="120"/>
      </w:pPr>
      <w:r>
        <w:fldChar w:fldCharType="begin"/>
      </w:r>
      <w:r>
        <w:instrText xml:space="preserve"> LISTNUM  LegalDefault \l 1 </w:instrText>
      </w:r>
      <w:r>
        <w:fldChar w:fldCharType="end">
          <w:numberingChange w:id="105" w:author="SANCHEZ VIZCAINO GOMEZ Rosa Maria" w:date="2023-08-29T11:06:00Z" w:original="20."/>
        </w:fldChar>
      </w:r>
      <w:r>
        <w:tab/>
        <w:t>Die TWA vereinbarte, dass Prüfungsrichtlinien so</w:t>
      </w:r>
      <w:r w:rsidR="00467BF9">
        <w:t xml:space="preserve"> </w:t>
      </w:r>
      <w:r>
        <w:t>viel Informationen wie möglich zur Verfügung stellen sollten, um die Ausprägungsstufen eines Merkmals zu klären, z. B. die Verwendung von Abbildungen zur Ergänzung der Anwendung von Beispielssorten.</w:t>
      </w:r>
    </w:p>
    <w:p w14:paraId="52C6375C" w14:textId="77777777" w:rsidR="00D86905" w:rsidRPr="0088502A" w:rsidRDefault="00D86905" w:rsidP="00D86905"/>
    <w:p w14:paraId="1946AEBF" w14:textId="25719885" w:rsidR="00D86905" w:rsidRPr="0088502A" w:rsidRDefault="003415AF" w:rsidP="00D86905">
      <w:r>
        <w:fldChar w:fldCharType="begin"/>
      </w:r>
      <w:r>
        <w:instrText xml:space="preserve"> LISTNUM  LegalDefault \l 1 </w:instrText>
      </w:r>
      <w:r>
        <w:fldChar w:fldCharType="end">
          <w:numberingChange w:id="106" w:author="SANCHEZ VIZCAINO GOMEZ Rosa Maria" w:date="2023-08-29T11:06:00Z" w:original="21."/>
        </w:fldChar>
      </w:r>
      <w:r>
        <w:tab/>
        <w:t>Die TWA vereinbarte, die Sachverständigen aus Deutschland zu ersuchen, in Zusammenarbeit mit Kanada, den Niederlanden und dem Vereinigten Königreich einen Vorschlag für die Überarbeitung der Anleitungen in Dokument TGP/7 GN 28 „Beispielssorten“ im Hinblick auf Situationen zu erarbeiten, in denen Abbildungen Beispielssorten ersetzen könn</w:t>
      </w:r>
      <w:r w:rsidR="00715A20">
        <w:t>t</w:t>
      </w:r>
      <w:r>
        <w:t>en sowie ihre ergänzende Rolle bei der Klärung der Ausprägungsstufen eines Merkmals.</w:t>
      </w:r>
    </w:p>
    <w:p w14:paraId="47AAA58F" w14:textId="77777777" w:rsidR="00D86905" w:rsidRPr="0088502A" w:rsidRDefault="00D86905" w:rsidP="00D86905"/>
    <w:p w14:paraId="789E466C" w14:textId="7333CE24" w:rsidR="00D86905" w:rsidRPr="0088502A" w:rsidRDefault="003415AF" w:rsidP="00D86905">
      <w:r>
        <w:fldChar w:fldCharType="begin"/>
      </w:r>
      <w:r>
        <w:instrText xml:space="preserve"> LISTNUM  LegalDefault \l 1 </w:instrText>
      </w:r>
      <w:r>
        <w:fldChar w:fldCharType="end">
          <w:numberingChange w:id="107" w:author="SANCHEZ VIZCAINO GOMEZ Rosa Maria" w:date="2023-08-29T11:06:00Z" w:original="22."/>
        </w:fldChar>
      </w:r>
      <w:r>
        <w:tab/>
        <w:t>Die TWO erinnerte daran, dass Information</w:t>
      </w:r>
      <w:r w:rsidR="00715A20">
        <w:t>en</w:t>
      </w:r>
      <w:r>
        <w:t xml:space="preserve"> über Situationen, in denen dieser Ansatz anwendbar wäre, </w:t>
      </w:r>
      <w:r w:rsidR="00715A20">
        <w:t xml:space="preserve">bereits </w:t>
      </w:r>
      <w:r>
        <w:t>in Dokument TWP/7/2</w:t>
      </w:r>
      <w:r w:rsidR="000B0E8D">
        <w:t xml:space="preserve"> </w:t>
      </w:r>
      <w:r w:rsidR="000B0E8D" w:rsidRPr="000B0E8D">
        <w:rPr>
          <w:i/>
          <w:iCs/>
        </w:rPr>
        <w:t>“Development of guidance and information materials”</w:t>
      </w:r>
      <w:r>
        <w:t>, Absätze 16 und 17, dargelegt wurde</w:t>
      </w:r>
      <w:r w:rsidR="00715A20">
        <w:t>n</w:t>
      </w:r>
      <w:r>
        <w:t xml:space="preserve"> (vergleiche Dokument TWO/54/6 „</w:t>
      </w:r>
      <w:r>
        <w:rPr>
          <w:i/>
          <w:iCs/>
        </w:rPr>
        <w:t>Report</w:t>
      </w:r>
      <w:r>
        <w:t xml:space="preserve">“, Absatz 24), wie </w:t>
      </w:r>
      <w:r w:rsidR="00715A20">
        <w:t xml:space="preserve">nachfolgend </w:t>
      </w:r>
      <w:r>
        <w:t>wiedergegeben:</w:t>
      </w:r>
    </w:p>
    <w:p w14:paraId="6B009784" w14:textId="77777777" w:rsidR="00D86905" w:rsidRPr="0088502A" w:rsidRDefault="00D86905" w:rsidP="00D86905"/>
    <w:p w14:paraId="10C18D94" w14:textId="3D93DE3E" w:rsidR="00D86905" w:rsidRPr="0088502A" w:rsidRDefault="00D86905" w:rsidP="00D86905">
      <w:pPr>
        <w:keepLines/>
        <w:ind w:left="567" w:right="459"/>
        <w:rPr>
          <w:sz w:val="18"/>
        </w:rPr>
      </w:pPr>
      <w:r>
        <w:rPr>
          <w:sz w:val="18"/>
        </w:rPr>
        <w:t>„16.</w:t>
      </w:r>
      <w:r>
        <w:rPr>
          <w:sz w:val="18"/>
        </w:rPr>
        <w:tab/>
        <w:t>Die TWO stellte auf ihrer vierundfünfzigsten Tagung fest, dass Prüfungsrichtlinien für Zierpflanzen zahlreiche quantitative und pseudoqualitative Blütenmerkmale beinhalten, die nicht gemessen und nur visuell erfasst wurden (VG).</w:t>
      </w:r>
      <w:r w:rsidR="0062652A">
        <w:rPr>
          <w:sz w:val="18"/>
        </w:rPr>
        <w:t xml:space="preserve"> </w:t>
      </w:r>
      <w:r>
        <w:rPr>
          <w:sz w:val="18"/>
        </w:rPr>
        <w:t>Die TWO vereinbarte, dass die Verwendung von Abbildungen geeignet wäre, um Beispielssorten für diese Merkmale zu ersetzen und die internationale Harmonisierung weiter zu erleichtern. Die TWO vereinbarte, dass die folgenden Merkmale als Beispiele für das Vorgehen zur Ersetzung von Beispielssorten verwendet werden könnten, wenn Abbildungen vorgelegt werden (vergleiche Dokument TWO/54/6 „</w:t>
      </w:r>
      <w:r>
        <w:rPr>
          <w:i/>
          <w:iCs/>
          <w:sz w:val="18"/>
        </w:rPr>
        <w:t>Report</w:t>
      </w:r>
      <w:r>
        <w:rPr>
          <w:sz w:val="18"/>
        </w:rPr>
        <w:t>“, Absatz 24):</w:t>
      </w:r>
    </w:p>
    <w:p w14:paraId="6C612C85" w14:textId="77777777" w:rsidR="00D86905" w:rsidRPr="0088502A" w:rsidRDefault="00D86905" w:rsidP="00D86905">
      <w:pPr>
        <w:ind w:left="567" w:right="459"/>
        <w:rPr>
          <w:sz w:val="18"/>
        </w:rPr>
      </w:pPr>
    </w:p>
    <w:p w14:paraId="66F5EEA3" w14:textId="77777777" w:rsidR="00D86905" w:rsidRPr="0088502A" w:rsidRDefault="00D86905" w:rsidP="00D86905">
      <w:pPr>
        <w:pStyle w:val="ListParagraph"/>
        <w:keepNext/>
        <w:numPr>
          <w:ilvl w:val="0"/>
          <w:numId w:val="3"/>
        </w:numPr>
        <w:ind w:left="900" w:right="459"/>
        <w:rPr>
          <w:sz w:val="18"/>
        </w:rPr>
      </w:pPr>
      <w:r>
        <w:rPr>
          <w:sz w:val="18"/>
        </w:rPr>
        <w:t>Dokument TG/336/1 „Coreopsis“:</w:t>
      </w:r>
    </w:p>
    <w:tbl>
      <w:tblPr>
        <w:tblOverlap w:val="never"/>
        <w:tblW w:w="9299" w:type="dxa"/>
        <w:tblInd w:w="1134" w:type="dxa"/>
        <w:tblLayout w:type="fixed"/>
        <w:tblLook w:val="01E0" w:firstRow="1" w:lastRow="1" w:firstColumn="1" w:lastColumn="1" w:noHBand="0" w:noVBand="0"/>
      </w:tblPr>
      <w:tblGrid>
        <w:gridCol w:w="9299"/>
      </w:tblGrid>
      <w:tr w:rsidR="00D86905" w:rsidRPr="0088502A" w14:paraId="2705F8F7" w14:textId="77777777" w:rsidTr="00900DD6">
        <w:trPr>
          <w:trHeight w:val="230"/>
          <w:hidden/>
        </w:trPr>
        <w:tc>
          <w:tcPr>
            <w:tcW w:w="9299" w:type="dxa"/>
            <w:tcMar>
              <w:top w:w="0" w:type="dxa"/>
              <w:left w:w="0" w:type="dxa"/>
              <w:bottom w:w="0" w:type="dxa"/>
              <w:right w:w="0" w:type="dxa"/>
            </w:tcMar>
          </w:tcPr>
          <w:p w14:paraId="03D0DB07" w14:textId="77777777" w:rsidR="00D86905" w:rsidRPr="0088502A" w:rsidRDefault="00D86905" w:rsidP="00900DD6">
            <w:pPr>
              <w:keepNext/>
              <w:ind w:right="459"/>
              <w:rPr>
                <w:vanish/>
                <w:sz w:val="18"/>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D86905" w:rsidRPr="0088502A" w14:paraId="691EAA39" w14:textId="77777777" w:rsidTr="00900DD6">
              <w:tc>
                <w:tcPr>
                  <w:tcW w:w="9299" w:type="dxa"/>
                  <w:tcMar>
                    <w:top w:w="0" w:type="dxa"/>
                    <w:left w:w="0" w:type="dxa"/>
                    <w:bottom w:w="0" w:type="dxa"/>
                    <w:right w:w="0" w:type="dxa"/>
                  </w:tcMar>
                </w:tcPr>
                <w:p w14:paraId="7E6F6006" w14:textId="77777777" w:rsidR="00D86905" w:rsidRPr="0088502A" w:rsidRDefault="00D86905" w:rsidP="00900DD6">
                  <w:pPr>
                    <w:keepNext/>
                    <w:ind w:right="459"/>
                    <w:rPr>
                      <w:sz w:val="18"/>
                    </w:rPr>
                  </w:pPr>
                  <w:r>
                    <w:rPr>
                      <w:rFonts w:eastAsia="Arial" w:cs="Arial"/>
                      <w:color w:val="000000"/>
                      <w:sz w:val="18"/>
                    </w:rPr>
                    <w:t>Zu 24: Zungenblüte: Stellung des basalen Teils (QN)</w:t>
                  </w:r>
                </w:p>
                <w:p w14:paraId="11C3C722" w14:textId="62015D82" w:rsidR="00D86905" w:rsidRPr="0088502A" w:rsidRDefault="0062652A" w:rsidP="00900DD6">
                  <w:pPr>
                    <w:keepNext/>
                    <w:ind w:right="459"/>
                    <w:rPr>
                      <w:sz w:val="18"/>
                    </w:rPr>
                  </w:pPr>
                  <w:r>
                    <w:rPr>
                      <w:rFonts w:eastAsia="Arial" w:cs="Arial"/>
                      <w:color w:val="000000"/>
                      <w:sz w:val="18"/>
                    </w:rPr>
                    <w:t xml:space="preserve"> </w:t>
                  </w:r>
                </w:p>
                <w:tbl>
                  <w:tblPr>
                    <w:tblOverlap w:val="never"/>
                    <w:tblW w:w="7088" w:type="dxa"/>
                    <w:tblLayout w:type="fixed"/>
                    <w:tblLook w:val="01E0" w:firstRow="1" w:lastRow="1" w:firstColumn="1" w:lastColumn="1" w:noHBand="0" w:noVBand="0"/>
                  </w:tblPr>
                  <w:tblGrid>
                    <w:gridCol w:w="1701"/>
                    <w:gridCol w:w="1701"/>
                    <w:gridCol w:w="1843"/>
                    <w:gridCol w:w="1843"/>
                  </w:tblGrid>
                  <w:tr w:rsidR="00D86905" w:rsidRPr="0088502A" w14:paraId="28860A2B" w14:textId="77777777" w:rsidTr="00900DD6">
                    <w:tc>
                      <w:tcPr>
                        <w:tcW w:w="1701" w:type="dxa"/>
                        <w:tcMar>
                          <w:top w:w="0" w:type="dxa"/>
                          <w:left w:w="0" w:type="dxa"/>
                          <w:bottom w:w="0" w:type="dxa"/>
                          <w:right w:w="0" w:type="dxa"/>
                        </w:tcMar>
                      </w:tcPr>
                      <w:p w14:paraId="1EBB2E0F" w14:textId="77777777" w:rsidR="00D86905" w:rsidRPr="0088502A" w:rsidRDefault="00D86905" w:rsidP="00900DD6">
                        <w:pPr>
                          <w:keepNext/>
                          <w:ind w:right="459"/>
                          <w:jc w:val="center"/>
                          <w:rPr>
                            <w:sz w:val="18"/>
                          </w:rPr>
                        </w:pPr>
                        <w:r w:rsidRPr="0088502A">
                          <w:rPr>
                            <w:noProof/>
                            <w:sz w:val="18"/>
                          </w:rPr>
                          <mc:AlternateContent>
                            <mc:Choice Requires="wps">
                              <w:drawing>
                                <wp:anchor distT="0" distB="0" distL="114300" distR="114300" simplePos="0" relativeHeight="251659264" behindDoc="0" locked="0" layoutInCell="1" allowOverlap="1" wp14:anchorId="70B04B43" wp14:editId="36444400">
                                  <wp:simplePos x="0" y="0"/>
                                  <wp:positionH relativeFrom="column">
                                    <wp:posOffset>0</wp:posOffset>
                                  </wp:positionH>
                                  <wp:positionV relativeFrom="paragraph">
                                    <wp:posOffset>0</wp:posOffset>
                                  </wp:positionV>
                                  <wp:extent cx="635000" cy="635000"/>
                                  <wp:effectExtent l="0" t="0" r="3175" b="3175"/>
                                  <wp:wrapNone/>
                                  <wp:docPr id="61" name="AutoShape 20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6BE51" id="AutoShape 208"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d4fuwIAANI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BEd4f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8502A">
                          <w:rPr>
                            <w:noProof/>
                            <w:sz w:val="18"/>
                          </w:rPr>
                          <w:drawing>
                            <wp:inline distT="0" distB="0" distL="0" distR="0" wp14:anchorId="73F174CF" wp14:editId="111B2DFA">
                              <wp:extent cx="753110" cy="532765"/>
                              <wp:effectExtent l="0" t="0" r="0" b="0"/>
                              <wp:docPr id="132" name="Picture 132" descr="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10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3110" cy="532765"/>
                                      </a:xfrm>
                                      <a:prstGeom prst="rect">
                                        <a:avLst/>
                                      </a:prstGeom>
                                      <a:noFill/>
                                      <a:ln>
                                        <a:noFill/>
                                      </a:ln>
                                    </pic:spPr>
                                  </pic:pic>
                                </a:graphicData>
                              </a:graphic>
                            </wp:inline>
                          </w:drawing>
                        </w:r>
                      </w:p>
                    </w:tc>
                    <w:tc>
                      <w:tcPr>
                        <w:tcW w:w="1701" w:type="dxa"/>
                        <w:tcMar>
                          <w:top w:w="0" w:type="dxa"/>
                          <w:left w:w="0" w:type="dxa"/>
                          <w:bottom w:w="0" w:type="dxa"/>
                          <w:right w:w="0" w:type="dxa"/>
                        </w:tcMar>
                      </w:tcPr>
                      <w:p w14:paraId="0DE2AC9A" w14:textId="77777777" w:rsidR="00D86905" w:rsidRPr="0088502A" w:rsidRDefault="00D86905" w:rsidP="00900DD6">
                        <w:pPr>
                          <w:keepNext/>
                          <w:ind w:right="459"/>
                          <w:jc w:val="center"/>
                          <w:rPr>
                            <w:sz w:val="18"/>
                          </w:rPr>
                        </w:pPr>
                        <w:r w:rsidRPr="0088502A">
                          <w:rPr>
                            <w:noProof/>
                            <w:sz w:val="18"/>
                          </w:rPr>
                          <mc:AlternateContent>
                            <mc:Choice Requires="wps">
                              <w:drawing>
                                <wp:anchor distT="0" distB="0" distL="114300" distR="114300" simplePos="0" relativeHeight="251660288" behindDoc="0" locked="0" layoutInCell="1" allowOverlap="1" wp14:anchorId="5ABF7E33" wp14:editId="7F595512">
                                  <wp:simplePos x="0" y="0"/>
                                  <wp:positionH relativeFrom="column">
                                    <wp:posOffset>0</wp:posOffset>
                                  </wp:positionH>
                                  <wp:positionV relativeFrom="paragraph">
                                    <wp:posOffset>0</wp:posOffset>
                                  </wp:positionV>
                                  <wp:extent cx="635000" cy="635000"/>
                                  <wp:effectExtent l="0" t="0" r="3175" b="3175"/>
                                  <wp:wrapNone/>
                                  <wp:docPr id="62" name="AutoShape 20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0518C" id="AutoShape 209"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luwIAANI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sLwl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8502A">
                          <w:rPr>
                            <w:noProof/>
                            <w:sz w:val="18"/>
                          </w:rPr>
                          <w:drawing>
                            <wp:inline distT="0" distB="0" distL="0" distR="0" wp14:anchorId="21219EFC" wp14:editId="21DCDE60">
                              <wp:extent cx="875030" cy="494030"/>
                              <wp:effectExtent l="0" t="0" r="0" b="0"/>
                              <wp:docPr id="133" name="Picture 133" descr="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10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75030" cy="494030"/>
                                      </a:xfrm>
                                      <a:prstGeom prst="rect">
                                        <a:avLst/>
                                      </a:prstGeom>
                                      <a:noFill/>
                                      <a:ln>
                                        <a:noFill/>
                                      </a:ln>
                                    </pic:spPr>
                                  </pic:pic>
                                </a:graphicData>
                              </a:graphic>
                            </wp:inline>
                          </w:drawing>
                        </w:r>
                      </w:p>
                    </w:tc>
                    <w:tc>
                      <w:tcPr>
                        <w:tcW w:w="1843" w:type="dxa"/>
                        <w:tcMar>
                          <w:top w:w="0" w:type="dxa"/>
                          <w:left w:w="0" w:type="dxa"/>
                          <w:bottom w:w="0" w:type="dxa"/>
                          <w:right w:w="0" w:type="dxa"/>
                        </w:tcMar>
                      </w:tcPr>
                      <w:p w14:paraId="4C04376F" w14:textId="77777777" w:rsidR="00D86905" w:rsidRPr="0088502A" w:rsidRDefault="00D86905" w:rsidP="00900DD6">
                        <w:pPr>
                          <w:keepNext/>
                          <w:ind w:right="459"/>
                          <w:jc w:val="center"/>
                          <w:rPr>
                            <w:sz w:val="18"/>
                          </w:rPr>
                        </w:pPr>
                        <w:r w:rsidRPr="0088502A">
                          <w:rPr>
                            <w:noProof/>
                            <w:sz w:val="18"/>
                          </w:rPr>
                          <mc:AlternateContent>
                            <mc:Choice Requires="wps">
                              <w:drawing>
                                <wp:anchor distT="0" distB="0" distL="114300" distR="114300" simplePos="0" relativeHeight="251661312" behindDoc="0" locked="0" layoutInCell="1" allowOverlap="1" wp14:anchorId="314BBE86" wp14:editId="41D8F69E">
                                  <wp:simplePos x="0" y="0"/>
                                  <wp:positionH relativeFrom="column">
                                    <wp:posOffset>0</wp:posOffset>
                                  </wp:positionH>
                                  <wp:positionV relativeFrom="paragraph">
                                    <wp:posOffset>0</wp:posOffset>
                                  </wp:positionV>
                                  <wp:extent cx="635000" cy="635000"/>
                                  <wp:effectExtent l="0" t="0" r="3175" b="3175"/>
                                  <wp:wrapNone/>
                                  <wp:docPr id="63" name="AutoShape 2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03062" id="AutoShape 210"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nhwuwIAANI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v6nhw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8502A">
                          <w:rPr>
                            <w:noProof/>
                            <w:sz w:val="18"/>
                          </w:rPr>
                          <w:drawing>
                            <wp:inline distT="0" distB="0" distL="0" distR="0" wp14:anchorId="3B79E05E" wp14:editId="4DA14F3D">
                              <wp:extent cx="904875" cy="459740"/>
                              <wp:effectExtent l="0" t="0" r="0" b="0"/>
                              <wp:docPr id="134" name="Picture 134"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10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4875" cy="459740"/>
                                      </a:xfrm>
                                      <a:prstGeom prst="rect">
                                        <a:avLst/>
                                      </a:prstGeom>
                                      <a:noFill/>
                                      <a:ln>
                                        <a:noFill/>
                                      </a:ln>
                                    </pic:spPr>
                                  </pic:pic>
                                </a:graphicData>
                              </a:graphic>
                            </wp:inline>
                          </w:drawing>
                        </w:r>
                      </w:p>
                    </w:tc>
                    <w:tc>
                      <w:tcPr>
                        <w:tcW w:w="1843" w:type="dxa"/>
                        <w:tcMar>
                          <w:top w:w="0" w:type="dxa"/>
                          <w:left w:w="0" w:type="dxa"/>
                          <w:bottom w:w="0" w:type="dxa"/>
                          <w:right w:w="0" w:type="dxa"/>
                        </w:tcMar>
                      </w:tcPr>
                      <w:p w14:paraId="58CF6C99" w14:textId="77777777" w:rsidR="00D86905" w:rsidRPr="0088502A" w:rsidRDefault="00D86905" w:rsidP="00900DD6">
                        <w:pPr>
                          <w:keepNext/>
                          <w:ind w:right="459"/>
                          <w:jc w:val="center"/>
                          <w:rPr>
                            <w:sz w:val="18"/>
                          </w:rPr>
                        </w:pPr>
                        <w:r w:rsidRPr="0088502A">
                          <w:rPr>
                            <w:noProof/>
                            <w:sz w:val="18"/>
                          </w:rPr>
                          <mc:AlternateContent>
                            <mc:Choice Requires="wps">
                              <w:drawing>
                                <wp:anchor distT="0" distB="0" distL="114300" distR="114300" simplePos="0" relativeHeight="251662336" behindDoc="0" locked="0" layoutInCell="1" allowOverlap="1" wp14:anchorId="4069AFE0" wp14:editId="318D009D">
                                  <wp:simplePos x="0" y="0"/>
                                  <wp:positionH relativeFrom="column">
                                    <wp:posOffset>0</wp:posOffset>
                                  </wp:positionH>
                                  <wp:positionV relativeFrom="paragraph">
                                    <wp:posOffset>0</wp:posOffset>
                                  </wp:positionV>
                                  <wp:extent cx="635000" cy="635000"/>
                                  <wp:effectExtent l="0" t="0" r="3175" b="3175"/>
                                  <wp:wrapNone/>
                                  <wp:docPr id="128" name="AutoShape 2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45F5E" id="AutoShape 211"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ZAcuw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OOZAc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8502A">
                          <w:rPr>
                            <w:noProof/>
                            <w:sz w:val="18"/>
                          </w:rPr>
                          <w:drawing>
                            <wp:inline distT="0" distB="0" distL="0" distR="0" wp14:anchorId="095D5184" wp14:editId="5C0CFD8F">
                              <wp:extent cx="953770" cy="464820"/>
                              <wp:effectExtent l="0" t="0" r="0" b="0"/>
                              <wp:docPr id="135" name="Picture 135" descr="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10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3770" cy="464820"/>
                                      </a:xfrm>
                                      <a:prstGeom prst="rect">
                                        <a:avLst/>
                                      </a:prstGeom>
                                      <a:noFill/>
                                      <a:ln>
                                        <a:noFill/>
                                      </a:ln>
                                    </pic:spPr>
                                  </pic:pic>
                                </a:graphicData>
                              </a:graphic>
                            </wp:inline>
                          </w:drawing>
                        </w:r>
                      </w:p>
                    </w:tc>
                  </w:tr>
                  <w:tr w:rsidR="00D86905" w:rsidRPr="0088502A" w14:paraId="7F4BF591" w14:textId="77777777" w:rsidTr="00900DD6">
                    <w:tc>
                      <w:tcPr>
                        <w:tcW w:w="1701" w:type="dxa"/>
                        <w:tcMar>
                          <w:top w:w="0" w:type="dxa"/>
                          <w:left w:w="0" w:type="dxa"/>
                          <w:bottom w:w="0" w:type="dxa"/>
                          <w:right w:w="0" w:type="dxa"/>
                        </w:tcMar>
                      </w:tcPr>
                      <w:p w14:paraId="3940CC45" w14:textId="77777777" w:rsidR="00D86905" w:rsidRPr="0088502A" w:rsidRDefault="00D86905" w:rsidP="00900DD6">
                        <w:pPr>
                          <w:keepNext/>
                          <w:ind w:right="459"/>
                          <w:jc w:val="center"/>
                          <w:rPr>
                            <w:sz w:val="18"/>
                          </w:rPr>
                        </w:pPr>
                        <w:r>
                          <w:rPr>
                            <w:rFonts w:eastAsia="Arial" w:cs="Arial"/>
                            <w:color w:val="000000"/>
                            <w:sz w:val="18"/>
                          </w:rPr>
                          <w:t>1</w:t>
                        </w:r>
                      </w:p>
                    </w:tc>
                    <w:tc>
                      <w:tcPr>
                        <w:tcW w:w="1701" w:type="dxa"/>
                        <w:tcMar>
                          <w:top w:w="0" w:type="dxa"/>
                          <w:left w:w="0" w:type="dxa"/>
                          <w:bottom w:w="0" w:type="dxa"/>
                          <w:right w:w="0" w:type="dxa"/>
                        </w:tcMar>
                      </w:tcPr>
                      <w:p w14:paraId="05E932D6" w14:textId="77777777" w:rsidR="00D86905" w:rsidRPr="0088502A" w:rsidRDefault="00D86905" w:rsidP="00900DD6">
                        <w:pPr>
                          <w:keepNext/>
                          <w:ind w:right="459"/>
                          <w:jc w:val="center"/>
                          <w:rPr>
                            <w:sz w:val="18"/>
                          </w:rPr>
                        </w:pPr>
                        <w:r>
                          <w:rPr>
                            <w:rFonts w:eastAsia="Arial" w:cs="Arial"/>
                            <w:color w:val="000000"/>
                            <w:sz w:val="18"/>
                          </w:rPr>
                          <w:t>2</w:t>
                        </w:r>
                      </w:p>
                    </w:tc>
                    <w:tc>
                      <w:tcPr>
                        <w:tcW w:w="1843" w:type="dxa"/>
                        <w:tcMar>
                          <w:top w:w="0" w:type="dxa"/>
                          <w:left w:w="0" w:type="dxa"/>
                          <w:bottom w:w="0" w:type="dxa"/>
                          <w:right w:w="0" w:type="dxa"/>
                        </w:tcMar>
                      </w:tcPr>
                      <w:p w14:paraId="5E4FDEF5" w14:textId="77777777" w:rsidR="00D86905" w:rsidRPr="0088502A" w:rsidRDefault="00D86905" w:rsidP="00900DD6">
                        <w:pPr>
                          <w:keepNext/>
                          <w:ind w:right="459"/>
                          <w:jc w:val="center"/>
                          <w:rPr>
                            <w:sz w:val="18"/>
                          </w:rPr>
                        </w:pPr>
                        <w:r>
                          <w:rPr>
                            <w:rFonts w:eastAsia="Arial" w:cs="Arial"/>
                            <w:color w:val="000000"/>
                            <w:sz w:val="18"/>
                          </w:rPr>
                          <w:t>3</w:t>
                        </w:r>
                      </w:p>
                    </w:tc>
                    <w:tc>
                      <w:tcPr>
                        <w:tcW w:w="1843" w:type="dxa"/>
                        <w:tcMar>
                          <w:top w:w="0" w:type="dxa"/>
                          <w:left w:w="0" w:type="dxa"/>
                          <w:bottom w:w="0" w:type="dxa"/>
                          <w:right w:w="0" w:type="dxa"/>
                        </w:tcMar>
                      </w:tcPr>
                      <w:p w14:paraId="39294514" w14:textId="77777777" w:rsidR="00D86905" w:rsidRPr="0088502A" w:rsidRDefault="00D86905" w:rsidP="00900DD6">
                        <w:pPr>
                          <w:keepNext/>
                          <w:ind w:right="459"/>
                          <w:jc w:val="center"/>
                          <w:rPr>
                            <w:sz w:val="18"/>
                          </w:rPr>
                        </w:pPr>
                        <w:r>
                          <w:rPr>
                            <w:rFonts w:eastAsia="Arial" w:cs="Arial"/>
                            <w:color w:val="000000"/>
                            <w:sz w:val="18"/>
                          </w:rPr>
                          <w:t>4</w:t>
                        </w:r>
                      </w:p>
                    </w:tc>
                  </w:tr>
                  <w:tr w:rsidR="00D86905" w:rsidRPr="0088502A" w14:paraId="385990A2" w14:textId="77777777" w:rsidTr="00900DD6">
                    <w:tc>
                      <w:tcPr>
                        <w:tcW w:w="1701" w:type="dxa"/>
                        <w:tcMar>
                          <w:top w:w="0" w:type="dxa"/>
                          <w:left w:w="0" w:type="dxa"/>
                          <w:bottom w:w="0" w:type="dxa"/>
                          <w:right w:w="0" w:type="dxa"/>
                        </w:tcMar>
                      </w:tcPr>
                      <w:p w14:paraId="2018ABB2" w14:textId="77777777" w:rsidR="00D86905" w:rsidRPr="0088502A" w:rsidRDefault="00D86905" w:rsidP="00900DD6">
                        <w:pPr>
                          <w:keepNext/>
                          <w:ind w:right="459"/>
                          <w:jc w:val="center"/>
                          <w:rPr>
                            <w:sz w:val="18"/>
                          </w:rPr>
                        </w:pPr>
                        <w:r>
                          <w:rPr>
                            <w:rFonts w:eastAsia="Arial" w:cs="Arial"/>
                            <w:color w:val="000000"/>
                            <w:sz w:val="18"/>
                          </w:rPr>
                          <w:t>stark nach</w:t>
                        </w:r>
                        <w:r>
                          <w:rPr>
                            <w:rFonts w:eastAsia="Arial" w:cs="Arial"/>
                            <w:color w:val="000000"/>
                            <w:sz w:val="18"/>
                          </w:rPr>
                          <w:br/>
                          <w:t>oben stehend</w:t>
                        </w:r>
                      </w:p>
                    </w:tc>
                    <w:tc>
                      <w:tcPr>
                        <w:tcW w:w="1701" w:type="dxa"/>
                        <w:tcMar>
                          <w:top w:w="0" w:type="dxa"/>
                          <w:left w:w="0" w:type="dxa"/>
                          <w:bottom w:w="0" w:type="dxa"/>
                          <w:right w:w="0" w:type="dxa"/>
                        </w:tcMar>
                      </w:tcPr>
                      <w:p w14:paraId="6D7F946B" w14:textId="77777777" w:rsidR="00D86905" w:rsidRPr="0088502A" w:rsidRDefault="00D86905" w:rsidP="00900DD6">
                        <w:pPr>
                          <w:keepNext/>
                          <w:ind w:right="459"/>
                          <w:jc w:val="center"/>
                          <w:rPr>
                            <w:sz w:val="18"/>
                          </w:rPr>
                        </w:pPr>
                        <w:r>
                          <w:rPr>
                            <w:rFonts w:eastAsia="Arial" w:cs="Arial"/>
                            <w:color w:val="000000"/>
                            <w:sz w:val="18"/>
                          </w:rPr>
                          <w:t>mäßig nach oben stehend</w:t>
                        </w:r>
                      </w:p>
                    </w:tc>
                    <w:tc>
                      <w:tcPr>
                        <w:tcW w:w="1843" w:type="dxa"/>
                        <w:tcMar>
                          <w:top w:w="0" w:type="dxa"/>
                          <w:left w:w="0" w:type="dxa"/>
                          <w:bottom w:w="0" w:type="dxa"/>
                          <w:right w:w="0" w:type="dxa"/>
                        </w:tcMar>
                      </w:tcPr>
                      <w:p w14:paraId="526DB505" w14:textId="77777777" w:rsidR="00D86905" w:rsidRPr="0088502A" w:rsidRDefault="00D86905" w:rsidP="00900DD6">
                        <w:pPr>
                          <w:keepNext/>
                          <w:ind w:right="459"/>
                          <w:jc w:val="center"/>
                          <w:rPr>
                            <w:sz w:val="18"/>
                          </w:rPr>
                        </w:pPr>
                        <w:r>
                          <w:rPr>
                            <w:rFonts w:eastAsia="Arial" w:cs="Arial"/>
                            <w:color w:val="000000"/>
                            <w:sz w:val="18"/>
                          </w:rPr>
                          <w:t>leicht nach</w:t>
                        </w:r>
                        <w:r>
                          <w:rPr>
                            <w:rFonts w:eastAsia="Arial" w:cs="Arial"/>
                            <w:color w:val="000000"/>
                            <w:sz w:val="18"/>
                          </w:rPr>
                          <w:br/>
                          <w:t>oben stehend</w:t>
                        </w:r>
                      </w:p>
                    </w:tc>
                    <w:tc>
                      <w:tcPr>
                        <w:tcW w:w="1843" w:type="dxa"/>
                        <w:tcMar>
                          <w:top w:w="0" w:type="dxa"/>
                          <w:left w:w="0" w:type="dxa"/>
                          <w:bottom w:w="0" w:type="dxa"/>
                          <w:right w:w="0" w:type="dxa"/>
                        </w:tcMar>
                      </w:tcPr>
                      <w:p w14:paraId="55C66D3D" w14:textId="77777777" w:rsidR="00D86905" w:rsidRPr="0088502A" w:rsidRDefault="00D86905" w:rsidP="00900DD6">
                        <w:pPr>
                          <w:keepNext/>
                          <w:ind w:right="459"/>
                          <w:jc w:val="center"/>
                          <w:rPr>
                            <w:sz w:val="18"/>
                          </w:rPr>
                        </w:pPr>
                        <w:r>
                          <w:rPr>
                            <w:rFonts w:eastAsia="Arial" w:cs="Arial"/>
                            <w:color w:val="000000"/>
                            <w:sz w:val="18"/>
                          </w:rPr>
                          <w:t>horizontal</w:t>
                        </w:r>
                      </w:p>
                    </w:tc>
                  </w:tr>
                </w:tbl>
                <w:p w14:paraId="5F0E57AA" w14:textId="77777777" w:rsidR="00D86905" w:rsidRPr="0088502A" w:rsidRDefault="00D86905" w:rsidP="00900DD6">
                  <w:pPr>
                    <w:keepNext/>
                    <w:ind w:right="459"/>
                    <w:rPr>
                      <w:sz w:val="18"/>
                    </w:rPr>
                  </w:pPr>
                </w:p>
                <w:tbl>
                  <w:tblPr>
                    <w:tblOverlap w:val="never"/>
                    <w:tblW w:w="5529" w:type="dxa"/>
                    <w:tblLayout w:type="fixed"/>
                    <w:tblLook w:val="01E0" w:firstRow="1" w:lastRow="1" w:firstColumn="1" w:lastColumn="1" w:noHBand="0" w:noVBand="0"/>
                  </w:tblPr>
                  <w:tblGrid>
                    <w:gridCol w:w="1985"/>
                    <w:gridCol w:w="1843"/>
                    <w:gridCol w:w="1701"/>
                  </w:tblGrid>
                  <w:tr w:rsidR="00D86905" w:rsidRPr="0088502A" w14:paraId="6B3C88F4" w14:textId="77777777" w:rsidTr="00900DD6">
                    <w:tc>
                      <w:tcPr>
                        <w:tcW w:w="1985" w:type="dxa"/>
                        <w:tcMar>
                          <w:top w:w="0" w:type="dxa"/>
                          <w:left w:w="0" w:type="dxa"/>
                          <w:bottom w:w="0" w:type="dxa"/>
                          <w:right w:w="0" w:type="dxa"/>
                        </w:tcMar>
                      </w:tcPr>
                      <w:p w14:paraId="4445F32B" w14:textId="77777777" w:rsidR="00D86905" w:rsidRPr="0088502A" w:rsidRDefault="00D86905" w:rsidP="00900DD6">
                        <w:pPr>
                          <w:keepNext/>
                          <w:ind w:right="459"/>
                          <w:jc w:val="center"/>
                          <w:rPr>
                            <w:sz w:val="18"/>
                          </w:rPr>
                        </w:pPr>
                        <w:r w:rsidRPr="0088502A">
                          <w:rPr>
                            <w:noProof/>
                            <w:sz w:val="18"/>
                          </w:rPr>
                          <mc:AlternateContent>
                            <mc:Choice Requires="wps">
                              <w:drawing>
                                <wp:anchor distT="0" distB="0" distL="114300" distR="114300" simplePos="0" relativeHeight="251663360" behindDoc="0" locked="0" layoutInCell="1" allowOverlap="1" wp14:anchorId="79683129" wp14:editId="2D32E669">
                                  <wp:simplePos x="0" y="0"/>
                                  <wp:positionH relativeFrom="column">
                                    <wp:posOffset>0</wp:posOffset>
                                  </wp:positionH>
                                  <wp:positionV relativeFrom="paragraph">
                                    <wp:posOffset>0</wp:posOffset>
                                  </wp:positionV>
                                  <wp:extent cx="635000" cy="635000"/>
                                  <wp:effectExtent l="0" t="0" r="3175" b="3175"/>
                                  <wp:wrapNone/>
                                  <wp:docPr id="129" name="AutoShape 2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EF4D5" id="AutoShape 212"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UKZuw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gWUKZ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8502A">
                          <w:rPr>
                            <w:noProof/>
                            <w:sz w:val="18"/>
                          </w:rPr>
                          <w:drawing>
                            <wp:inline distT="0" distB="0" distL="0" distR="0" wp14:anchorId="14BE0F02" wp14:editId="5A52706E">
                              <wp:extent cx="1104900" cy="494030"/>
                              <wp:effectExtent l="0" t="0" r="0" b="0"/>
                              <wp:docPr id="136" name="Picture 136" descr="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1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4900" cy="494030"/>
                                      </a:xfrm>
                                      <a:prstGeom prst="rect">
                                        <a:avLst/>
                                      </a:prstGeom>
                                      <a:noFill/>
                                      <a:ln>
                                        <a:noFill/>
                                      </a:ln>
                                    </pic:spPr>
                                  </pic:pic>
                                </a:graphicData>
                              </a:graphic>
                            </wp:inline>
                          </w:drawing>
                        </w:r>
                      </w:p>
                    </w:tc>
                    <w:tc>
                      <w:tcPr>
                        <w:tcW w:w="1843" w:type="dxa"/>
                        <w:tcMar>
                          <w:top w:w="0" w:type="dxa"/>
                          <w:left w:w="0" w:type="dxa"/>
                          <w:bottom w:w="0" w:type="dxa"/>
                          <w:right w:w="0" w:type="dxa"/>
                        </w:tcMar>
                      </w:tcPr>
                      <w:p w14:paraId="4A8E8D5D" w14:textId="77777777" w:rsidR="00D86905" w:rsidRPr="0088502A" w:rsidRDefault="00D86905" w:rsidP="00900DD6">
                        <w:pPr>
                          <w:keepNext/>
                          <w:ind w:right="459"/>
                          <w:jc w:val="center"/>
                          <w:rPr>
                            <w:sz w:val="18"/>
                          </w:rPr>
                        </w:pPr>
                        <w:r w:rsidRPr="0088502A">
                          <w:rPr>
                            <w:noProof/>
                            <w:sz w:val="18"/>
                          </w:rPr>
                          <mc:AlternateContent>
                            <mc:Choice Requires="wps">
                              <w:drawing>
                                <wp:anchor distT="0" distB="0" distL="114300" distR="114300" simplePos="0" relativeHeight="251664384" behindDoc="0" locked="0" layoutInCell="1" allowOverlap="1" wp14:anchorId="27B00859" wp14:editId="273D16C0">
                                  <wp:simplePos x="0" y="0"/>
                                  <wp:positionH relativeFrom="column">
                                    <wp:posOffset>0</wp:posOffset>
                                  </wp:positionH>
                                  <wp:positionV relativeFrom="paragraph">
                                    <wp:posOffset>0</wp:posOffset>
                                  </wp:positionV>
                                  <wp:extent cx="635000" cy="635000"/>
                                  <wp:effectExtent l="0" t="0" r="3175" b="3175"/>
                                  <wp:wrapNone/>
                                  <wp:docPr id="130" name="AutoShape 2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851C1" id="AutoShape 213"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if+Eh7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88502A">
                          <w:rPr>
                            <w:noProof/>
                            <w:sz w:val="18"/>
                          </w:rPr>
                          <w:drawing>
                            <wp:inline distT="0" distB="0" distL="0" distR="0" wp14:anchorId="6D9E841C" wp14:editId="753F277F">
                              <wp:extent cx="953770" cy="400685"/>
                              <wp:effectExtent l="0" t="0" r="0" b="0"/>
                              <wp:docPr id="137" name="Picture 137"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3770" cy="400685"/>
                                      </a:xfrm>
                                      <a:prstGeom prst="rect">
                                        <a:avLst/>
                                      </a:prstGeom>
                                      <a:noFill/>
                                      <a:ln>
                                        <a:noFill/>
                                      </a:ln>
                                    </pic:spPr>
                                  </pic:pic>
                                </a:graphicData>
                              </a:graphic>
                            </wp:inline>
                          </w:drawing>
                        </w:r>
                      </w:p>
                    </w:tc>
                    <w:tc>
                      <w:tcPr>
                        <w:tcW w:w="1701" w:type="dxa"/>
                        <w:tcMar>
                          <w:top w:w="0" w:type="dxa"/>
                          <w:left w:w="0" w:type="dxa"/>
                          <w:bottom w:w="0" w:type="dxa"/>
                          <w:right w:w="0" w:type="dxa"/>
                        </w:tcMar>
                      </w:tcPr>
                      <w:p w14:paraId="59D21355" w14:textId="77777777" w:rsidR="00D86905" w:rsidRPr="0088502A" w:rsidRDefault="00D86905" w:rsidP="00900DD6">
                        <w:pPr>
                          <w:keepNext/>
                          <w:ind w:right="459"/>
                          <w:jc w:val="center"/>
                          <w:rPr>
                            <w:sz w:val="18"/>
                          </w:rPr>
                        </w:pPr>
                        <w:r w:rsidRPr="0088502A">
                          <w:rPr>
                            <w:noProof/>
                            <w:sz w:val="18"/>
                          </w:rPr>
                          <mc:AlternateContent>
                            <mc:Choice Requires="wps">
                              <w:drawing>
                                <wp:anchor distT="0" distB="0" distL="114300" distR="114300" simplePos="0" relativeHeight="251665408" behindDoc="0" locked="0" layoutInCell="1" allowOverlap="1" wp14:anchorId="12DB20C3" wp14:editId="7B84826C">
                                  <wp:simplePos x="0" y="0"/>
                                  <wp:positionH relativeFrom="column">
                                    <wp:posOffset>0</wp:posOffset>
                                  </wp:positionH>
                                  <wp:positionV relativeFrom="paragraph">
                                    <wp:posOffset>0</wp:posOffset>
                                  </wp:positionV>
                                  <wp:extent cx="635000" cy="635000"/>
                                  <wp:effectExtent l="0" t="0" r="3175" b="3175"/>
                                  <wp:wrapNone/>
                                  <wp:docPr id="131" name="AutoShape 2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01411" id="AutoShape 214"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NtuwIAANM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qmDNt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8502A">
                          <w:rPr>
                            <w:noProof/>
                            <w:sz w:val="18"/>
                          </w:rPr>
                          <w:drawing>
                            <wp:inline distT="0" distB="0" distL="0" distR="0" wp14:anchorId="258C622C" wp14:editId="159EEC0F">
                              <wp:extent cx="914400" cy="400685"/>
                              <wp:effectExtent l="0" t="0" r="0" b="0"/>
                              <wp:docPr id="138" name="Picture 138" descr="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400685"/>
                                      </a:xfrm>
                                      <a:prstGeom prst="rect">
                                        <a:avLst/>
                                      </a:prstGeom>
                                      <a:noFill/>
                                      <a:ln>
                                        <a:noFill/>
                                      </a:ln>
                                    </pic:spPr>
                                  </pic:pic>
                                </a:graphicData>
                              </a:graphic>
                            </wp:inline>
                          </w:drawing>
                        </w:r>
                      </w:p>
                    </w:tc>
                  </w:tr>
                  <w:tr w:rsidR="00D86905" w:rsidRPr="0088502A" w14:paraId="388A2B44" w14:textId="77777777" w:rsidTr="00900DD6">
                    <w:tc>
                      <w:tcPr>
                        <w:tcW w:w="1985" w:type="dxa"/>
                        <w:tcMar>
                          <w:top w:w="0" w:type="dxa"/>
                          <w:left w:w="0" w:type="dxa"/>
                          <w:bottom w:w="0" w:type="dxa"/>
                          <w:right w:w="0" w:type="dxa"/>
                        </w:tcMar>
                      </w:tcPr>
                      <w:p w14:paraId="0C5EFA1F" w14:textId="77777777" w:rsidR="00D86905" w:rsidRPr="0088502A" w:rsidRDefault="00D86905" w:rsidP="00900DD6">
                        <w:pPr>
                          <w:keepNext/>
                          <w:ind w:right="459"/>
                          <w:jc w:val="center"/>
                          <w:rPr>
                            <w:sz w:val="18"/>
                          </w:rPr>
                        </w:pPr>
                        <w:r>
                          <w:rPr>
                            <w:rFonts w:eastAsia="Arial" w:cs="Arial"/>
                            <w:color w:val="000000"/>
                            <w:sz w:val="18"/>
                          </w:rPr>
                          <w:t>5</w:t>
                        </w:r>
                      </w:p>
                    </w:tc>
                    <w:tc>
                      <w:tcPr>
                        <w:tcW w:w="1843" w:type="dxa"/>
                        <w:tcMar>
                          <w:top w:w="0" w:type="dxa"/>
                          <w:left w:w="0" w:type="dxa"/>
                          <w:bottom w:w="0" w:type="dxa"/>
                          <w:right w:w="0" w:type="dxa"/>
                        </w:tcMar>
                      </w:tcPr>
                      <w:p w14:paraId="32AE25F1" w14:textId="77777777" w:rsidR="00D86905" w:rsidRPr="0088502A" w:rsidRDefault="00D86905" w:rsidP="00900DD6">
                        <w:pPr>
                          <w:keepNext/>
                          <w:ind w:right="459"/>
                          <w:jc w:val="center"/>
                          <w:rPr>
                            <w:sz w:val="18"/>
                          </w:rPr>
                        </w:pPr>
                        <w:r>
                          <w:rPr>
                            <w:rFonts w:eastAsia="Arial" w:cs="Arial"/>
                            <w:color w:val="000000"/>
                            <w:sz w:val="18"/>
                          </w:rPr>
                          <w:t>6</w:t>
                        </w:r>
                      </w:p>
                    </w:tc>
                    <w:tc>
                      <w:tcPr>
                        <w:tcW w:w="1701" w:type="dxa"/>
                        <w:tcMar>
                          <w:top w:w="0" w:type="dxa"/>
                          <w:left w:w="0" w:type="dxa"/>
                          <w:bottom w:w="0" w:type="dxa"/>
                          <w:right w:w="0" w:type="dxa"/>
                        </w:tcMar>
                      </w:tcPr>
                      <w:p w14:paraId="5DF26E9B" w14:textId="77777777" w:rsidR="00D86905" w:rsidRPr="0088502A" w:rsidRDefault="00D86905" w:rsidP="00900DD6">
                        <w:pPr>
                          <w:keepNext/>
                          <w:ind w:right="459"/>
                          <w:jc w:val="center"/>
                          <w:rPr>
                            <w:sz w:val="18"/>
                          </w:rPr>
                        </w:pPr>
                        <w:r>
                          <w:rPr>
                            <w:rFonts w:eastAsia="Arial" w:cs="Arial"/>
                            <w:color w:val="000000"/>
                            <w:sz w:val="18"/>
                          </w:rPr>
                          <w:t>7</w:t>
                        </w:r>
                      </w:p>
                    </w:tc>
                  </w:tr>
                  <w:tr w:rsidR="00D86905" w:rsidRPr="0088502A" w14:paraId="2C8FBAD2" w14:textId="77777777" w:rsidTr="00900DD6">
                    <w:tc>
                      <w:tcPr>
                        <w:tcW w:w="1985" w:type="dxa"/>
                        <w:tcMar>
                          <w:top w:w="0" w:type="dxa"/>
                          <w:left w:w="0" w:type="dxa"/>
                          <w:bottom w:w="0" w:type="dxa"/>
                          <w:right w:w="0" w:type="dxa"/>
                        </w:tcMar>
                      </w:tcPr>
                      <w:p w14:paraId="27AAAC51" w14:textId="77777777" w:rsidR="00D86905" w:rsidRPr="0088502A" w:rsidRDefault="00D86905" w:rsidP="00900DD6">
                        <w:pPr>
                          <w:keepNext/>
                          <w:ind w:right="459"/>
                          <w:jc w:val="center"/>
                          <w:rPr>
                            <w:sz w:val="18"/>
                          </w:rPr>
                        </w:pPr>
                        <w:r>
                          <w:rPr>
                            <w:rFonts w:eastAsia="Arial" w:cs="Arial"/>
                            <w:color w:val="000000"/>
                            <w:sz w:val="18"/>
                          </w:rPr>
                          <w:t xml:space="preserve">leicht nach </w:t>
                        </w:r>
                        <w:r>
                          <w:rPr>
                            <w:rFonts w:eastAsia="Arial" w:cs="Arial"/>
                            <w:color w:val="000000"/>
                            <w:sz w:val="18"/>
                          </w:rPr>
                          <w:br/>
                          <w:t>unten stehend</w:t>
                        </w:r>
                      </w:p>
                    </w:tc>
                    <w:tc>
                      <w:tcPr>
                        <w:tcW w:w="1843" w:type="dxa"/>
                        <w:tcMar>
                          <w:top w:w="0" w:type="dxa"/>
                          <w:left w:w="0" w:type="dxa"/>
                          <w:bottom w:w="0" w:type="dxa"/>
                          <w:right w:w="0" w:type="dxa"/>
                        </w:tcMar>
                      </w:tcPr>
                      <w:p w14:paraId="59A16662" w14:textId="77777777" w:rsidR="00D86905" w:rsidRPr="0088502A" w:rsidRDefault="00D86905" w:rsidP="00900DD6">
                        <w:pPr>
                          <w:keepNext/>
                          <w:ind w:right="459"/>
                          <w:jc w:val="center"/>
                          <w:rPr>
                            <w:sz w:val="18"/>
                          </w:rPr>
                        </w:pPr>
                        <w:r>
                          <w:rPr>
                            <w:rFonts w:eastAsia="Arial" w:cs="Arial"/>
                            <w:color w:val="000000"/>
                            <w:sz w:val="18"/>
                          </w:rPr>
                          <w:t>mäßig nach unten stehend</w:t>
                        </w:r>
                      </w:p>
                    </w:tc>
                    <w:tc>
                      <w:tcPr>
                        <w:tcW w:w="1701" w:type="dxa"/>
                        <w:tcMar>
                          <w:top w:w="0" w:type="dxa"/>
                          <w:left w:w="0" w:type="dxa"/>
                          <w:bottom w:w="0" w:type="dxa"/>
                          <w:right w:w="0" w:type="dxa"/>
                        </w:tcMar>
                      </w:tcPr>
                      <w:p w14:paraId="1FE197F8" w14:textId="77777777" w:rsidR="00D86905" w:rsidRPr="0088502A" w:rsidRDefault="00D86905" w:rsidP="00900DD6">
                        <w:pPr>
                          <w:keepNext/>
                          <w:ind w:right="459"/>
                          <w:jc w:val="center"/>
                          <w:rPr>
                            <w:sz w:val="18"/>
                          </w:rPr>
                        </w:pPr>
                        <w:r>
                          <w:rPr>
                            <w:rFonts w:eastAsia="Arial" w:cs="Arial"/>
                            <w:color w:val="000000"/>
                            <w:sz w:val="18"/>
                          </w:rPr>
                          <w:t>stark nach unten stehend</w:t>
                        </w:r>
                      </w:p>
                    </w:tc>
                  </w:tr>
                </w:tbl>
                <w:p w14:paraId="20FEC6D5" w14:textId="77777777" w:rsidR="00D86905" w:rsidRPr="0088502A" w:rsidRDefault="00D86905" w:rsidP="00900DD6">
                  <w:pPr>
                    <w:keepNext/>
                    <w:ind w:right="459"/>
                    <w:rPr>
                      <w:sz w:val="18"/>
                    </w:rPr>
                  </w:pPr>
                </w:p>
              </w:tc>
            </w:tr>
          </w:tbl>
          <w:p w14:paraId="58754C89" w14:textId="77777777" w:rsidR="00D86905" w:rsidRPr="0088502A" w:rsidRDefault="00D86905" w:rsidP="00900DD6">
            <w:pPr>
              <w:keepNext/>
              <w:spacing w:line="1" w:lineRule="auto"/>
              <w:ind w:right="459"/>
              <w:rPr>
                <w:sz w:val="18"/>
              </w:rPr>
            </w:pPr>
          </w:p>
        </w:tc>
      </w:tr>
    </w:tbl>
    <w:p w14:paraId="2B2CE35D" w14:textId="77777777" w:rsidR="00D86905" w:rsidRPr="0088502A" w:rsidRDefault="00D86905" w:rsidP="00D86905">
      <w:pPr>
        <w:ind w:left="567" w:right="459"/>
      </w:pPr>
    </w:p>
    <w:p w14:paraId="741B3322" w14:textId="77777777" w:rsidR="00D86905" w:rsidRPr="0088502A" w:rsidRDefault="00D86905" w:rsidP="00D86905">
      <w:pPr>
        <w:pStyle w:val="ListParagraph"/>
        <w:keepNext/>
        <w:numPr>
          <w:ilvl w:val="0"/>
          <w:numId w:val="3"/>
        </w:numPr>
        <w:ind w:left="900" w:right="459"/>
        <w:rPr>
          <w:sz w:val="18"/>
        </w:rPr>
      </w:pPr>
      <w:r>
        <w:rPr>
          <w:sz w:val="18"/>
        </w:rPr>
        <w:lastRenderedPageBreak/>
        <w:t>Dokument TG/336/1 „Coreopsis“:</w:t>
      </w:r>
    </w:p>
    <w:p w14:paraId="5285A313" w14:textId="77777777" w:rsidR="00D86905" w:rsidRPr="0088502A" w:rsidRDefault="00D86905" w:rsidP="00D86905">
      <w:pPr>
        <w:keepNext/>
        <w:ind w:left="1134" w:right="459"/>
        <w:rPr>
          <w:rFonts w:eastAsia="Arial" w:cs="Arial"/>
          <w:color w:val="000000"/>
          <w:sz w:val="18"/>
        </w:rPr>
      </w:pPr>
    </w:p>
    <w:p w14:paraId="6BCDF654" w14:textId="77777777" w:rsidR="00D86905" w:rsidRPr="0088502A" w:rsidRDefault="00D86905" w:rsidP="00D86905">
      <w:pPr>
        <w:keepNext/>
        <w:ind w:left="1134" w:right="459"/>
        <w:rPr>
          <w:rFonts w:eastAsia="Arial" w:cs="Arial"/>
          <w:color w:val="000000"/>
          <w:sz w:val="18"/>
        </w:rPr>
      </w:pPr>
      <w:r>
        <w:rPr>
          <w:rFonts w:eastAsia="Arial" w:cs="Arial"/>
          <w:color w:val="000000"/>
          <w:sz w:val="18"/>
        </w:rPr>
        <w:t>„Zu 29: Zungenblüte: Verteilung der Hauptfarbe (PQ)</w:t>
      </w:r>
    </w:p>
    <w:p w14:paraId="576FD9F8" w14:textId="77777777" w:rsidR="00D86905" w:rsidRPr="0088502A" w:rsidRDefault="00D86905" w:rsidP="00D86905">
      <w:pPr>
        <w:keepNext/>
        <w:ind w:left="1134" w:right="459"/>
        <w:rPr>
          <w:sz w:val="18"/>
        </w:rPr>
      </w:pPr>
    </w:p>
    <w:p w14:paraId="7909D6D5" w14:textId="77777777" w:rsidR="00D86905" w:rsidRPr="0088502A" w:rsidRDefault="00D86905" w:rsidP="00D86905">
      <w:pPr>
        <w:keepNext/>
        <w:ind w:left="567" w:right="459"/>
        <w:jc w:val="center"/>
        <w:rPr>
          <w:sz w:val="18"/>
        </w:rPr>
      </w:pPr>
      <w:r w:rsidRPr="0088502A">
        <w:rPr>
          <w:noProof/>
          <w:sz w:val="18"/>
        </w:rPr>
        <w:drawing>
          <wp:inline distT="0" distB="0" distL="0" distR="0" wp14:anchorId="0CD2A629" wp14:editId="083D3AE8">
            <wp:extent cx="3472981" cy="2447553"/>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478941" cy="2451753"/>
                    </a:xfrm>
                    <a:prstGeom prst="rect">
                      <a:avLst/>
                    </a:prstGeom>
                  </pic:spPr>
                </pic:pic>
              </a:graphicData>
            </a:graphic>
          </wp:inline>
        </w:drawing>
      </w:r>
    </w:p>
    <w:p w14:paraId="09839E1F" w14:textId="77777777" w:rsidR="00D86905" w:rsidRPr="0088502A" w:rsidRDefault="00D86905" w:rsidP="00D86905">
      <w:pPr>
        <w:ind w:left="567" w:right="459"/>
        <w:rPr>
          <w:sz w:val="18"/>
        </w:rPr>
      </w:pPr>
    </w:p>
    <w:p w14:paraId="1955BEBD" w14:textId="77777777" w:rsidR="00D86905" w:rsidRPr="0088502A" w:rsidRDefault="00D86905" w:rsidP="00D86905">
      <w:pPr>
        <w:pStyle w:val="ListParagraph"/>
        <w:keepNext/>
        <w:keepLines/>
        <w:numPr>
          <w:ilvl w:val="0"/>
          <w:numId w:val="3"/>
        </w:numPr>
        <w:ind w:left="900" w:right="459"/>
        <w:rPr>
          <w:sz w:val="18"/>
        </w:rPr>
      </w:pPr>
      <w:r>
        <w:rPr>
          <w:sz w:val="18"/>
        </w:rPr>
        <w:t>Dokument TG/168/3 „Statice“: Zu 24: Blütenstand: Typ (PQ)</w:t>
      </w:r>
    </w:p>
    <w:p w14:paraId="09832A56" w14:textId="77777777" w:rsidR="00D86905" w:rsidRPr="0088502A" w:rsidRDefault="00D86905" w:rsidP="00D86905">
      <w:pPr>
        <w:keepNext/>
        <w:keepLines/>
        <w:ind w:left="567" w:right="459"/>
        <w:jc w:val="center"/>
        <w:rPr>
          <w:sz w:val="18"/>
        </w:rPr>
      </w:pPr>
      <w:r w:rsidRPr="0088502A">
        <w:rPr>
          <w:noProof/>
          <w:sz w:val="18"/>
        </w:rPr>
        <w:drawing>
          <wp:inline distT="0" distB="0" distL="0" distR="0" wp14:anchorId="300978C0" wp14:editId="766A2681">
            <wp:extent cx="2236737" cy="2991586"/>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247182" cy="3005556"/>
                    </a:xfrm>
                    <a:prstGeom prst="rect">
                      <a:avLst/>
                    </a:prstGeom>
                  </pic:spPr>
                </pic:pic>
              </a:graphicData>
            </a:graphic>
          </wp:inline>
        </w:drawing>
      </w:r>
    </w:p>
    <w:p w14:paraId="07FBD846" w14:textId="77777777" w:rsidR="00D86905" w:rsidRPr="0088502A" w:rsidRDefault="00D86905" w:rsidP="00D86905">
      <w:pPr>
        <w:ind w:left="567" w:right="459"/>
        <w:rPr>
          <w:sz w:val="18"/>
        </w:rPr>
      </w:pPr>
    </w:p>
    <w:p w14:paraId="63A49D4A" w14:textId="77777777" w:rsidR="00D86905" w:rsidRPr="0088502A" w:rsidRDefault="00D86905" w:rsidP="00D86905"/>
    <w:p w14:paraId="3D331200" w14:textId="17010C59" w:rsidR="00D86905" w:rsidRPr="0088502A" w:rsidRDefault="003415AF" w:rsidP="00D86905">
      <w:r>
        <w:fldChar w:fldCharType="begin"/>
      </w:r>
      <w:r>
        <w:instrText xml:space="preserve"> LISTNUM  LegalDefault \l 1 </w:instrText>
      </w:r>
      <w:r>
        <w:fldChar w:fldCharType="end"/>
      </w:r>
      <w:r>
        <w:tab/>
        <w:t xml:space="preserve">Die TWO vereinbarte, dass ein solcher Ansatz auch für Sorten mit wenigen Beispielssorten anwendbar wäre, bei denen Pflanzenmaterial schwer zu beschaffen ist. </w:t>
      </w:r>
    </w:p>
    <w:p w14:paraId="6B4655FA" w14:textId="77777777" w:rsidR="00D86905" w:rsidRPr="0088502A" w:rsidRDefault="00D86905" w:rsidP="00D86905"/>
    <w:p w14:paraId="045D38B5" w14:textId="7B1551DE" w:rsidR="00D86905" w:rsidRPr="0088502A" w:rsidRDefault="003415AF" w:rsidP="00D86905">
      <w:r>
        <w:fldChar w:fldCharType="begin"/>
      </w:r>
      <w:r>
        <w:instrText xml:space="preserve"> LISTNUM  LegalDefault \l 1 </w:instrText>
      </w:r>
      <w:r>
        <w:fldChar w:fldCharType="end">
          <w:numberingChange w:id="108" w:author="SANCHEZ VIZCAINO GOMEZ Rosa Maria" w:date="2023-08-29T11:06:00Z" w:original="24."/>
        </w:fldChar>
      </w:r>
      <w:r>
        <w:tab/>
        <w:t>Die TWA nahm zur Kenntnis, dass die TWA auf ihrer zweiundfünfzigsten Tagung vereinbarte hatte, die Sachverständigen aus Deutschland zu ersuchen, in Zusammenarbeit mit Kanada, den Niederlanden und dem Vereinigten Königreich einen Vorschlag für die Überarbeitung der Anleitungen in Dokument TGP/7 GN 28 „Beispielssorten“ im Hinblick auf</w:t>
      </w:r>
      <w:r w:rsidR="00A97CEC">
        <w:t xml:space="preserve"> die</w:t>
      </w:r>
      <w:r>
        <w:t xml:space="preserve"> Situationen zu erarbeiten, in denen Abbildungen Beispielssorten ersetzen könn</w:t>
      </w:r>
      <w:r w:rsidR="00A97CEC">
        <w:t>t</w:t>
      </w:r>
      <w:r>
        <w:t>en</w:t>
      </w:r>
      <w:r w:rsidR="00A97CEC">
        <w:t>,</w:t>
      </w:r>
      <w:r>
        <w:t xml:space="preserve"> sowie </w:t>
      </w:r>
      <w:r w:rsidR="00A97CEC">
        <w:t xml:space="preserve">im Hinblick auf </w:t>
      </w:r>
      <w:r>
        <w:t>ihre ergänzende Rolle bei der Klärung der Ausprägungsstufen eines Merkmals.</w:t>
      </w:r>
    </w:p>
    <w:p w14:paraId="075525FD" w14:textId="77777777" w:rsidR="00D86905" w:rsidRPr="0088502A" w:rsidRDefault="00D86905" w:rsidP="00D86905"/>
    <w:p w14:paraId="689F1128" w14:textId="60AC86BE" w:rsidR="00D86905" w:rsidRPr="0088502A" w:rsidRDefault="003415AF" w:rsidP="00D86905">
      <w:r>
        <w:fldChar w:fldCharType="begin"/>
      </w:r>
      <w:r>
        <w:instrText xml:space="preserve"> LISTNUM  LegalDefault \l 1 </w:instrText>
      </w:r>
      <w:r>
        <w:fldChar w:fldCharType="end"/>
      </w:r>
      <w:r>
        <w:tab/>
        <w:t xml:space="preserve">Die TWO vereinbarte, die Sachverständigen aus Kanada, der Europäischen Union, </w:t>
      </w:r>
      <w:r w:rsidR="0062652A">
        <w:t>Frankreich</w:t>
      </w:r>
      <w:r>
        <w:t xml:space="preserve"> und dem Vereinigten Königreich zu ersuchen, sich der TWV anzuschließen, um einen Vorschlag zur Änderung von Dokument TGP/7 GN 28 auszuarbeiten. </w:t>
      </w:r>
    </w:p>
    <w:p w14:paraId="396218DA" w14:textId="77777777" w:rsidR="00D86905" w:rsidRPr="0088502A" w:rsidRDefault="00D86905" w:rsidP="00D86905"/>
    <w:p w14:paraId="03603D90" w14:textId="26FFD9AE" w:rsidR="00D86905" w:rsidRPr="0088502A" w:rsidRDefault="003415AF" w:rsidP="00D86905">
      <w:r>
        <w:fldChar w:fldCharType="begin"/>
      </w:r>
      <w:r>
        <w:instrText xml:space="preserve"> LISTNUM  LegalDefault \l 1 </w:instrText>
      </w:r>
      <w:r>
        <w:fldChar w:fldCharType="end"/>
      </w:r>
      <w:r>
        <w:tab/>
        <w:t>Die TWF vereinbarte auf ihrer vierundfünfzigsten Tagung</w:t>
      </w:r>
      <w:r w:rsidR="001A4E8A" w:rsidRPr="001A4E8A">
        <w:rPr>
          <w:vertAlign w:val="superscript"/>
        </w:rPr>
        <w:fldChar w:fldCharType="begin"/>
      </w:r>
      <w:r w:rsidR="001A4E8A" w:rsidRPr="001A4E8A">
        <w:rPr>
          <w:vertAlign w:val="superscript"/>
        </w:rPr>
        <w:instrText xml:space="preserve"> NOTEREF _Ref145616178 \h </w:instrText>
      </w:r>
      <w:r w:rsidR="001A4E8A" w:rsidRPr="001A4E8A">
        <w:rPr>
          <w:vertAlign w:val="superscript"/>
        </w:rPr>
      </w:r>
      <w:r w:rsidR="001A4E8A">
        <w:rPr>
          <w:vertAlign w:val="superscript"/>
        </w:rPr>
        <w:instrText xml:space="preserve"> \* MERGEFORMAT </w:instrText>
      </w:r>
      <w:r w:rsidR="001A4E8A" w:rsidRPr="001A4E8A">
        <w:rPr>
          <w:vertAlign w:val="superscript"/>
        </w:rPr>
        <w:fldChar w:fldCharType="separate"/>
      </w:r>
      <w:r w:rsidR="001A4E8A" w:rsidRPr="001A4E8A">
        <w:rPr>
          <w:vertAlign w:val="superscript"/>
        </w:rPr>
        <w:t>9</w:t>
      </w:r>
      <w:r w:rsidR="001A4E8A" w:rsidRPr="001A4E8A">
        <w:rPr>
          <w:vertAlign w:val="superscript"/>
        </w:rPr>
        <w:fldChar w:fldCharType="end"/>
      </w:r>
      <w:r>
        <w:fldChar w:fldCharType="begin"/>
      </w:r>
      <w:r>
        <w:rPr>
          <w:rStyle w:val="FootnoteReference"/>
        </w:rPr>
        <w:instrText xml:space="preserve"> NOTEREF _Ref138847656 \f \h </w:instrText>
      </w:r>
      <w:r w:rsidR="001A4E8A">
        <w:fldChar w:fldCharType="separate"/>
      </w:r>
      <w:r>
        <w:fldChar w:fldCharType="end"/>
      </w:r>
      <w:r>
        <w:t>, das Prüfungsrichtlinien nach Möglichkeit Beispielssorten und Abbildungen bereitstellen sollten. Die TWF nahm zur Kenntnis, dass es bei manchen Beispielssorten, die nicht weit verbreitet sind oder nicht mehr angebaut werden, Schwierigkeiten bei der Beschaffung von Pflanzenmaterial geben könnte. Die TWF nahm die Interessenbekundungen der Sachverständigen aus Australien und Ungarn</w:t>
      </w:r>
      <w:r w:rsidR="00C6273C">
        <w:t xml:space="preserve"> zur Kenntnis</w:t>
      </w:r>
      <w:r>
        <w:t xml:space="preserve">, sich den Sachverständigen der TWA und TWO </w:t>
      </w:r>
      <w:r w:rsidR="00C6273C">
        <w:lastRenderedPageBreak/>
        <w:t xml:space="preserve">bei der </w:t>
      </w:r>
      <w:r>
        <w:t xml:space="preserve">Ausarbeitung eines Vorschlags zur Änderung von Dokument TGP/7 GN 28 anzuschließen (vergleiche Dokument TWF/54/13 </w:t>
      </w:r>
      <w:r w:rsidR="00CE1EC7">
        <w:t>„</w:t>
      </w:r>
      <w:r w:rsidR="00CE1EC7" w:rsidRPr="00CE1EC7">
        <w:rPr>
          <w:rFonts w:eastAsia="MS Mincho"/>
          <w:i/>
          <w:iCs/>
        </w:rPr>
        <w:t>Report</w:t>
      </w:r>
      <w:r w:rsidR="00CE1EC7">
        <w:rPr>
          <w:rFonts w:eastAsia="MS Mincho"/>
          <w:i/>
          <w:iCs/>
        </w:rPr>
        <w:t>“</w:t>
      </w:r>
      <w:r>
        <w:t>, Absatz 14).</w:t>
      </w:r>
    </w:p>
    <w:p w14:paraId="1E26730A" w14:textId="72903DD1" w:rsidR="00D86905" w:rsidRDefault="00D86905" w:rsidP="00D86905"/>
    <w:p w14:paraId="22A06866" w14:textId="77777777" w:rsidR="000B0E8D" w:rsidRPr="0088502A" w:rsidRDefault="000B0E8D" w:rsidP="00D86905"/>
    <w:p w14:paraId="62FF9068" w14:textId="4E97A6E1" w:rsidR="00D86905" w:rsidRDefault="00D86905" w:rsidP="004769F7"/>
    <w:p w14:paraId="2AE9D23E" w14:textId="0893118B" w:rsidR="005615C0" w:rsidRDefault="005615C0" w:rsidP="004769F7">
      <w:r>
        <w:t>ANGELEGENHEITEN ZUR INFORMATION</w:t>
      </w:r>
    </w:p>
    <w:p w14:paraId="0D14A564" w14:textId="77777777" w:rsidR="005615C0" w:rsidRPr="0088502A" w:rsidRDefault="005615C0" w:rsidP="004769F7"/>
    <w:p w14:paraId="0153D7C0" w14:textId="668127E9" w:rsidR="004769F7" w:rsidRPr="0088502A" w:rsidRDefault="004769F7" w:rsidP="00D86905">
      <w:pPr>
        <w:rPr>
          <w:i/>
        </w:rPr>
      </w:pPr>
      <w:r>
        <w:rPr>
          <w:i/>
        </w:rPr>
        <w:t>Dokument TGP/8: Prüfungsanlage und Verfahren für die Prüfung der Unterscheidbarkeit, der Homogenität und der Beständigkeit</w:t>
      </w:r>
    </w:p>
    <w:p w14:paraId="08889ECB" w14:textId="77777777" w:rsidR="004769F7" w:rsidRPr="0088502A" w:rsidRDefault="004769F7" w:rsidP="004769F7">
      <w:pPr>
        <w:keepNext/>
        <w:outlineLvl w:val="2"/>
        <w:rPr>
          <w:i/>
        </w:rPr>
      </w:pPr>
    </w:p>
    <w:p w14:paraId="7C409481" w14:textId="77777777" w:rsidR="004769F7" w:rsidRPr="0088502A" w:rsidRDefault="004769F7" w:rsidP="009F0366">
      <w:pPr>
        <w:ind w:left="567"/>
        <w:rPr>
          <w:u w:val="single"/>
        </w:rPr>
      </w:pPr>
      <w:bookmarkStart w:id="109" w:name="_Toc140511425"/>
      <w:r>
        <w:rPr>
          <w:u w:val="single"/>
        </w:rPr>
        <w:t>Abschnitt 9 „Das kombinierte Homogenitätskriterium über mehrere Jahre (COYU)“</w:t>
      </w:r>
      <w:bookmarkEnd w:id="109"/>
    </w:p>
    <w:p w14:paraId="548E1E7F" w14:textId="77777777" w:rsidR="004769F7" w:rsidRPr="0088502A" w:rsidRDefault="004769F7" w:rsidP="004769F7">
      <w:pPr>
        <w:keepNext/>
      </w:pPr>
    </w:p>
    <w:p w14:paraId="6B34D982" w14:textId="0A55184D" w:rsidR="004769F7" w:rsidRPr="0088502A" w:rsidRDefault="003415AF" w:rsidP="004769F7">
      <w:pPr>
        <w:keepNext/>
      </w:pPr>
      <w:r>
        <w:fldChar w:fldCharType="begin"/>
      </w:r>
      <w:r>
        <w:instrText xml:space="preserve"> LISTNUM  LegalDefault \l 1 </w:instrText>
      </w:r>
      <w:r>
        <w:fldChar w:fldCharType="end"/>
      </w:r>
      <w:r>
        <w:tab/>
        <w:t>Der TC nahm auf seiner achtundfünfzigsten Tagung</w:t>
      </w:r>
      <w:r w:rsidR="001A4E8A" w:rsidRPr="008A4C0B">
        <w:rPr>
          <w:spacing w:val="-2"/>
          <w:vertAlign w:val="superscript"/>
        </w:rPr>
        <w:fldChar w:fldCharType="begin"/>
      </w:r>
      <w:r w:rsidR="001A4E8A" w:rsidRPr="008A4C0B">
        <w:rPr>
          <w:spacing w:val="-2"/>
          <w:vertAlign w:val="superscript"/>
        </w:rPr>
        <w:instrText xml:space="preserve"> NOTEREF _Ref145615980 \h </w:instrText>
      </w:r>
      <w:r w:rsidR="001A4E8A" w:rsidRPr="008A4C0B">
        <w:rPr>
          <w:spacing w:val="-2"/>
          <w:vertAlign w:val="superscript"/>
        </w:rPr>
      </w:r>
      <w:r w:rsidR="001A4E8A">
        <w:rPr>
          <w:spacing w:val="-2"/>
          <w:vertAlign w:val="superscript"/>
        </w:rPr>
        <w:instrText xml:space="preserve"> \* MERGEFORMAT </w:instrText>
      </w:r>
      <w:r w:rsidR="001A4E8A" w:rsidRPr="008A4C0B">
        <w:rPr>
          <w:spacing w:val="-2"/>
          <w:vertAlign w:val="superscript"/>
        </w:rPr>
        <w:fldChar w:fldCharType="separate"/>
      </w:r>
      <w:r w:rsidR="001A4E8A" w:rsidRPr="008A4C0B">
        <w:rPr>
          <w:spacing w:val="-2"/>
          <w:vertAlign w:val="superscript"/>
        </w:rPr>
        <w:t>6</w:t>
      </w:r>
      <w:r w:rsidR="001A4E8A" w:rsidRPr="008A4C0B">
        <w:rPr>
          <w:spacing w:val="-2"/>
          <w:vertAlign w:val="superscript"/>
        </w:rPr>
        <w:fldChar w:fldCharType="end"/>
      </w:r>
      <w:r>
        <w:t xml:space="preserve"> zur Kenntnis, dass eine </w:t>
      </w:r>
      <w:r w:rsidR="00C6273C">
        <w:t xml:space="preserve">neue </w:t>
      </w:r>
      <w:r>
        <w:t xml:space="preserve">Version von DUSTNT, die COYU mit Splines enthält (DUST9NT), bis September 2023 lanciert werden würde, sobald die aus der Testphase ermittelten Verbesserungen, einschließlich Extrapolation, aufgenommen worden seien (vergleiche Dokument TC/58/31 „Bericht“, Absätze 28 bis 33). </w:t>
      </w:r>
    </w:p>
    <w:p w14:paraId="6589353A" w14:textId="77777777" w:rsidR="004769F7" w:rsidRPr="0088502A" w:rsidRDefault="004769F7" w:rsidP="004769F7"/>
    <w:p w14:paraId="5BCBEC94" w14:textId="16C3FEE8" w:rsidR="004769F7" w:rsidRPr="0088502A" w:rsidRDefault="003415AF" w:rsidP="004769F7">
      <w:r>
        <w:fldChar w:fldCharType="begin"/>
      </w:r>
      <w:r>
        <w:instrText xml:space="preserve"> LISTNUM  LegalDefault \l 1 </w:instrText>
      </w:r>
      <w:r>
        <w:fldChar w:fldCharType="end"/>
      </w:r>
      <w:r>
        <w:tab/>
        <w:t xml:space="preserve">Der TC nahm zur Kenntnis, </w:t>
      </w:r>
      <w:r>
        <w:rPr>
          <w:rFonts w:cs="Arial"/>
        </w:rPr>
        <w:t>dass weitere Überarbeitungen von Dokument TGP/8 erforderlich seien, um eine Anleitung zur Extrapolation und zu den Mindestdatenanforderungen aufzunehmen.</w:t>
      </w:r>
    </w:p>
    <w:p w14:paraId="393FC2EE" w14:textId="77777777" w:rsidR="004769F7" w:rsidRPr="0088502A" w:rsidRDefault="004769F7" w:rsidP="004769F7"/>
    <w:p w14:paraId="5E260425" w14:textId="2110526D" w:rsidR="004769F7" w:rsidRPr="0088502A" w:rsidRDefault="003415AF" w:rsidP="004769F7">
      <w:r>
        <w:fldChar w:fldCharType="begin"/>
      </w:r>
      <w:r>
        <w:instrText xml:space="preserve"> LISTNUM  LegalDefault \l 1 </w:instrText>
      </w:r>
      <w:r>
        <w:fldChar w:fldCharType="end"/>
      </w:r>
      <w:r>
        <w:tab/>
        <w:t>Der TC nahm die Empfehlungen zur Kenntnis, dass die Pflanzensachverständigen bei der Extrapolation die Homogenität besonders berücksichtigen sollten.</w:t>
      </w:r>
    </w:p>
    <w:p w14:paraId="7379D78E" w14:textId="77777777" w:rsidR="004769F7" w:rsidRPr="0088502A" w:rsidRDefault="004769F7" w:rsidP="004769F7"/>
    <w:p w14:paraId="244F53CE" w14:textId="4A4EFE08" w:rsidR="004769F7" w:rsidRPr="0088502A" w:rsidRDefault="003415AF" w:rsidP="004769F7">
      <w:r>
        <w:fldChar w:fldCharType="begin"/>
      </w:r>
      <w:r>
        <w:instrText xml:space="preserve"> LISTNUM  LegalDefault \l 1 </w:instrText>
      </w:r>
      <w:r>
        <w:fldChar w:fldCharType="end"/>
      </w:r>
      <w:r>
        <w:tab/>
        <w:t>Der TC nahm zur Kenntnis, dass die TWM vereinbarte hatte, dass weitere Erörterungen über Ansätze erforderlich seien, wenn eine Extrapolation angezeigt sei, und vereinbarte hatte, das Vereinigte Königreich und andere Mitglieder zu ersuchen, auf der zweiten Tagung der TWM Bericht zu erstatten.</w:t>
      </w:r>
    </w:p>
    <w:p w14:paraId="124ECAFF" w14:textId="77777777" w:rsidR="004769F7" w:rsidRPr="0088502A" w:rsidRDefault="004769F7" w:rsidP="004769F7"/>
    <w:p w14:paraId="73CE6536" w14:textId="6A469B7C" w:rsidR="004769F7" w:rsidRPr="0088502A" w:rsidRDefault="003415AF" w:rsidP="004769F7">
      <w:pPr>
        <w:rPr>
          <w:i/>
          <w:sz w:val="18"/>
        </w:rPr>
      </w:pPr>
      <w:r>
        <w:fldChar w:fldCharType="begin"/>
      </w:r>
      <w:r>
        <w:instrText xml:space="preserve"> LISTNUM  LegalDefault \l 1 </w:instrText>
      </w:r>
      <w:r>
        <w:fldChar w:fldCharType="end"/>
      </w:r>
      <w:r>
        <w:tab/>
        <w:t>Der TC vereinbarte, die TW</w:t>
      </w:r>
      <w:r w:rsidR="00C6273C">
        <w:t>M</w:t>
      </w:r>
      <w:r>
        <w:t xml:space="preserve"> darum zu bitten, einen Bericht über die Ergebnisse der Testphase der COYU-Splines-Software zu erstellen, der dem T</w:t>
      </w:r>
      <w:r w:rsidR="00C6273C">
        <w:t xml:space="preserve">C </w:t>
      </w:r>
      <w:r>
        <w:t>in Verbindung mit der Überarbeitung von Dokument TGP/8 zur Prüfung vorgelegt werden soll.</w:t>
      </w:r>
    </w:p>
    <w:p w14:paraId="500DBAE2" w14:textId="77777777" w:rsidR="004769F7" w:rsidRPr="0088502A" w:rsidRDefault="004769F7" w:rsidP="004769F7">
      <w:pPr>
        <w:rPr>
          <w:u w:val="single"/>
        </w:rPr>
      </w:pPr>
    </w:p>
    <w:p w14:paraId="39C74A17" w14:textId="77777777" w:rsidR="004769F7" w:rsidRPr="0088502A" w:rsidRDefault="004769F7" w:rsidP="004769F7">
      <w:pPr>
        <w:rPr>
          <w:u w:val="single"/>
        </w:rPr>
      </w:pPr>
    </w:p>
    <w:p w14:paraId="2D7233F7" w14:textId="77777777" w:rsidR="004769F7" w:rsidRPr="0088502A" w:rsidRDefault="004769F7" w:rsidP="00D86905">
      <w:pPr>
        <w:rPr>
          <w:i/>
        </w:rPr>
      </w:pPr>
      <w:r>
        <w:rPr>
          <w:i/>
        </w:rPr>
        <w:t>Dokument TGP/9 „Prüfung der Unterscheidbarkeit“</w:t>
      </w:r>
    </w:p>
    <w:p w14:paraId="11405BE2" w14:textId="77777777" w:rsidR="004769F7" w:rsidRPr="0088502A" w:rsidRDefault="004769F7" w:rsidP="004769F7"/>
    <w:p w14:paraId="6D1195B6" w14:textId="77777777" w:rsidR="004769F7" w:rsidRPr="0088502A" w:rsidRDefault="004769F7" w:rsidP="009F0366">
      <w:pPr>
        <w:ind w:left="709"/>
        <w:rPr>
          <w:u w:val="single"/>
        </w:rPr>
      </w:pPr>
      <w:bookmarkStart w:id="110" w:name="_Toc140511426"/>
      <w:r>
        <w:rPr>
          <w:u w:val="single"/>
        </w:rPr>
        <w:t>Anzahl von Pflanzen beim Vergleich von Sorten während der Prüfung</w:t>
      </w:r>
      <w:bookmarkEnd w:id="110"/>
    </w:p>
    <w:p w14:paraId="56A95230" w14:textId="77777777" w:rsidR="004769F7" w:rsidRPr="00CC1204" w:rsidRDefault="004769F7" w:rsidP="004769F7"/>
    <w:p w14:paraId="38C2EB02" w14:textId="6F7842BB" w:rsidR="004769F7" w:rsidRPr="0088502A" w:rsidRDefault="003415AF" w:rsidP="004769F7">
      <w:r>
        <w:fldChar w:fldCharType="begin"/>
      </w:r>
      <w:r>
        <w:instrText xml:space="preserve"> LISTNUM  LegalDefault \l 1 </w:instrText>
      </w:r>
      <w:r>
        <w:fldChar w:fldCharType="end">
          <w:numberingChange w:id="111" w:author="SANCHEZ VIZCAINO GOMEZ Rosa Maria" w:date="2023-08-29T11:06:00Z" w:original="32."/>
        </w:fldChar>
      </w:r>
      <w:r>
        <w:tab/>
        <w:t>Die TWF prüfte auf ihrer dreiundfünfzigsten Tagung</w:t>
      </w:r>
      <w:r>
        <w:rPr>
          <w:rStyle w:val="FootnoteReference"/>
        </w:rPr>
        <w:footnoteReference w:id="16"/>
      </w:r>
      <w:r>
        <w:t xml:space="preserve"> das Dokument TWF/53/7 </w:t>
      </w:r>
      <w:r w:rsidR="000B0E8D" w:rsidRPr="000B0E8D">
        <w:rPr>
          <w:i/>
          <w:iCs/>
        </w:rPr>
        <w:t>“Matters relevant in DUS examination for the fruit sector”</w:t>
      </w:r>
      <w:r w:rsidR="000B0E8D">
        <w:t xml:space="preserve"> </w:t>
      </w:r>
      <w:r>
        <w:t>sowie einen von Sachverständigen aus Brasilien und der Europäischen Union ausgearbeiteten Vorschlag zur Änderung der Anleitung in Dokument TGP/9 „Prüfung der Unterscheidbarkeit“, um die Möglichkeit zu klären, unter bestimmten Umständen eine geringere Anzahl von Pflanzen für die allgemein bekannten Sorten bei der Prüfung zu berücksichtigen (vergleiche Dokument TWF/53/14 „</w:t>
      </w:r>
      <w:r w:rsidRPr="00CE1EC7">
        <w:rPr>
          <w:i/>
          <w:iCs/>
        </w:rPr>
        <w:t>Report</w:t>
      </w:r>
      <w:r>
        <w:t xml:space="preserve">“, Absätze 24 bis 26). </w:t>
      </w:r>
    </w:p>
    <w:p w14:paraId="28BE70F6" w14:textId="77777777" w:rsidR="004769F7" w:rsidRPr="0088502A" w:rsidRDefault="004769F7" w:rsidP="004769F7"/>
    <w:p w14:paraId="2D0060EA" w14:textId="6CD4FA8C" w:rsidR="004769F7" w:rsidRPr="0088502A" w:rsidRDefault="003415AF" w:rsidP="004769F7">
      <w:pPr>
        <w:rPr>
          <w:rFonts w:eastAsia="Cambria"/>
        </w:rPr>
      </w:pPr>
      <w:r>
        <w:rPr>
          <w:rFonts w:cs="Arial"/>
        </w:rPr>
        <w:fldChar w:fldCharType="begin"/>
      </w:r>
      <w:r>
        <w:instrText xml:space="preserve"> LISTNUM  LegalDefault \l 1 </w:instrText>
      </w:r>
      <w:r>
        <w:fldChar w:fldCharType="end">
          <w:numberingChange w:id="112" w:author="SANCHEZ VIZCAINO GOMEZ Rosa Maria" w:date="2023-08-29T11:06:00Z" w:original="33."/>
        </w:fldChar>
      </w:r>
      <w:r>
        <w:rPr>
          <w:rFonts w:eastAsia="Cambria"/>
        </w:rPr>
        <w:tab/>
        <w:t xml:space="preserve">Die TWF vereinbarte, dass es in der Praxis Schwierigkeiten bei der Durchführung von DUS-Prüfungen von Obstarten mit derselben </w:t>
      </w:r>
      <w:r>
        <w:t>in den Prüfungsrichtlinien angegebenen Anzahl Pflanzen sowohl für die Kandidatensorte als auch für eine sehr ähnliche allgemein bekannte Sorte g</w:t>
      </w:r>
      <w:r w:rsidR="00F20C51">
        <w:t>ä</w:t>
      </w:r>
      <w:r>
        <w:t>be.</w:t>
      </w:r>
      <w:r w:rsidR="0062652A">
        <w:t xml:space="preserve"> </w:t>
      </w:r>
      <w:r>
        <w:t xml:space="preserve">Die TWF vereinbarte, dass es möglich sein sollte, </w:t>
      </w:r>
      <w:r>
        <w:rPr>
          <w:rFonts w:eastAsia="Cambria"/>
        </w:rPr>
        <w:t xml:space="preserve">eine geringere Anzahl von Pflanzen der ähnlichen allgemein bekannten Sorte zu berücksichtigen, sofern keine Prüfung der Homogenität vorgesehen ist. </w:t>
      </w:r>
    </w:p>
    <w:p w14:paraId="0292B8CB" w14:textId="77777777" w:rsidR="004769F7" w:rsidRPr="0088502A" w:rsidRDefault="004769F7" w:rsidP="004769F7">
      <w:pPr>
        <w:rPr>
          <w:rFonts w:eastAsia="Cambria"/>
        </w:rPr>
      </w:pPr>
    </w:p>
    <w:p w14:paraId="51C7F7AC" w14:textId="59E306D2" w:rsidR="004769F7" w:rsidRPr="000B0E8D" w:rsidRDefault="003415AF" w:rsidP="004769F7">
      <w:pPr>
        <w:rPr>
          <w:spacing w:val="-2"/>
        </w:rPr>
      </w:pPr>
      <w:r w:rsidRPr="000B0E8D">
        <w:rPr>
          <w:spacing w:val="-2"/>
        </w:rPr>
        <w:fldChar w:fldCharType="begin"/>
      </w:r>
      <w:r w:rsidRPr="000B0E8D">
        <w:rPr>
          <w:spacing w:val="-2"/>
        </w:rPr>
        <w:instrText xml:space="preserve"> LISTNUM  LegalDefault \l 1 </w:instrText>
      </w:r>
      <w:r w:rsidRPr="000B0E8D">
        <w:rPr>
          <w:spacing w:val="-2"/>
        </w:rPr>
        <w:fldChar w:fldCharType="end">
          <w:numberingChange w:id="113" w:author="SANCHEZ VIZCAINO GOMEZ Rosa Maria" w:date="2023-08-29T11:06:00Z" w:original="34."/>
        </w:fldChar>
      </w:r>
      <w:r w:rsidRPr="000B0E8D">
        <w:rPr>
          <w:spacing w:val="-2"/>
        </w:rPr>
        <w:tab/>
        <w:t>Die TWF vereinbarte vorzuschlagen, das Dokument TGP/9 zu ändern und schlug folgenden Wortlaut vor:</w:t>
      </w:r>
    </w:p>
    <w:p w14:paraId="7F75569A" w14:textId="77777777" w:rsidR="004769F7" w:rsidRPr="0088502A" w:rsidRDefault="004769F7" w:rsidP="004769F7"/>
    <w:p w14:paraId="53884FF9" w14:textId="07F69ECD" w:rsidR="004769F7" w:rsidRPr="0088502A" w:rsidRDefault="004769F7" w:rsidP="004769F7">
      <w:pPr>
        <w:ind w:left="567" w:right="567"/>
      </w:pPr>
      <w:r>
        <w:rPr>
          <w:sz w:val="18"/>
        </w:rPr>
        <w:t xml:space="preserve">„5.5.5 </w:t>
      </w:r>
      <w:r>
        <w:t xml:space="preserve">Die erforderliche Genauigkeit der Aufzeichnungen hängt von der Größe des Unterschieds zwischen der Kandidatensorte und den allgemein bekannten Sorten ab. Sind zwei Sorten sehr ähnlich, ist es wichtig, die Werte beider Sorten mit gleich hoher Genauigkeit aufzuzeichnen. Die in den Prüfungsrichtlinien festgelegte Anzahl der Pflanzen gilt </w:t>
      </w:r>
      <w:r>
        <w:rPr>
          <w:highlight w:val="lightGray"/>
          <w:u w:val="single"/>
        </w:rPr>
        <w:t>im Allgemeinen</w:t>
      </w:r>
      <w:r>
        <w:t xml:space="preserve"> sowohl für die Kandidatensorte als auch die ähnliche allgemein bekannte Sorte.</w:t>
      </w:r>
      <w:r w:rsidR="0062652A">
        <w:t xml:space="preserve"> </w:t>
      </w:r>
      <w:r>
        <w:rPr>
          <w:strike/>
          <w:highlight w:val="lightGray"/>
        </w:rPr>
        <w:t>Andernfalls</w:t>
      </w:r>
      <w:r>
        <w:t xml:space="preserve"> </w:t>
      </w:r>
      <w:r>
        <w:rPr>
          <w:highlight w:val="lightGray"/>
          <w:u w:val="single"/>
        </w:rPr>
        <w:t>Allerdings</w:t>
      </w:r>
      <w:r>
        <w:t xml:space="preserve"> ist es möglich, im Anbauversuch eine geringere Anzahl von Pflanzen für die allgemein bekannte Sorte zu berücksichtigen, sofern für diese Sorte</w:t>
      </w:r>
      <w:r>
        <w:rPr>
          <w:strike/>
          <w:highlight w:val="lightGray"/>
        </w:rPr>
        <w:t>, d.h. Sorten in der Sortensammlung,</w:t>
      </w:r>
      <w:r>
        <w:t xml:space="preserve"> keine Prüfung der Homogenität vorgesehen ist.”</w:t>
      </w:r>
    </w:p>
    <w:p w14:paraId="2F70F161" w14:textId="77777777" w:rsidR="004769F7" w:rsidRPr="0088502A" w:rsidRDefault="004769F7" w:rsidP="004769F7">
      <w:pPr>
        <w:jc w:val="left"/>
      </w:pPr>
    </w:p>
    <w:p w14:paraId="1AE8DBA0" w14:textId="65C0F495" w:rsidR="004769F7" w:rsidRPr="0088502A" w:rsidRDefault="003415AF" w:rsidP="004769F7">
      <w:r>
        <w:lastRenderedPageBreak/>
        <w:fldChar w:fldCharType="begin"/>
      </w:r>
      <w:r>
        <w:instrText xml:space="preserve"> LISTNUM  LegalDefault \l 1 </w:instrText>
      </w:r>
      <w:r>
        <w:fldChar w:fldCharType="end">
          <w:numberingChange w:id="114" w:author="SANCHEZ VIZCAINO GOMEZ Rosa Maria" w:date="2023-08-29T11:06:00Z" w:original="35."/>
        </w:fldChar>
      </w:r>
      <w:r>
        <w:tab/>
        <w:t>Der TC prüfte auf seiner achtundfünfzigsten Tagung</w:t>
      </w:r>
      <w:r w:rsidR="001A4E8A" w:rsidRPr="008A4C0B">
        <w:rPr>
          <w:spacing w:val="-2"/>
          <w:vertAlign w:val="superscript"/>
        </w:rPr>
        <w:fldChar w:fldCharType="begin"/>
      </w:r>
      <w:r w:rsidR="001A4E8A" w:rsidRPr="008A4C0B">
        <w:rPr>
          <w:spacing w:val="-2"/>
          <w:vertAlign w:val="superscript"/>
        </w:rPr>
        <w:instrText xml:space="preserve"> NOTEREF _Ref145615980 \h </w:instrText>
      </w:r>
      <w:r w:rsidR="001A4E8A" w:rsidRPr="008A4C0B">
        <w:rPr>
          <w:spacing w:val="-2"/>
          <w:vertAlign w:val="superscript"/>
        </w:rPr>
      </w:r>
      <w:r w:rsidR="001A4E8A">
        <w:rPr>
          <w:spacing w:val="-2"/>
          <w:vertAlign w:val="superscript"/>
        </w:rPr>
        <w:instrText xml:space="preserve"> \* MERGEFORMAT </w:instrText>
      </w:r>
      <w:r w:rsidR="001A4E8A" w:rsidRPr="008A4C0B">
        <w:rPr>
          <w:spacing w:val="-2"/>
          <w:vertAlign w:val="superscript"/>
        </w:rPr>
        <w:fldChar w:fldCharType="separate"/>
      </w:r>
      <w:r w:rsidR="001A4E8A" w:rsidRPr="008A4C0B">
        <w:rPr>
          <w:spacing w:val="-2"/>
          <w:vertAlign w:val="superscript"/>
        </w:rPr>
        <w:t>6</w:t>
      </w:r>
      <w:r w:rsidR="001A4E8A" w:rsidRPr="008A4C0B">
        <w:rPr>
          <w:spacing w:val="-2"/>
          <w:vertAlign w:val="superscript"/>
        </w:rPr>
        <w:fldChar w:fldCharType="end"/>
      </w:r>
      <w:r>
        <w:t xml:space="preserve"> den Vorschlag der TWF, das Dokument TGP/9 „Prüfung der Unterscheidbarkeit“ zu ändern, um die Möglichkeit zu klären, unter bestimmten Umständen eine geringere Anzahl von Pflanzen für die allgemein bekannten Sorten als die Kandidatensorte bei der Prüfung zu berücksichtigen, wie in Dokument TC/58/5</w:t>
      </w:r>
      <w:r w:rsidR="000B0E8D" w:rsidRPr="000B0E8D">
        <w:rPr>
          <w:i/>
          <w:iCs/>
        </w:rPr>
        <w:t xml:space="preserve"> “Development of guidance and information materials - Possible future revisions”</w:t>
      </w:r>
      <w:r>
        <w:t>, Absatz 60, dargelegt (vergleiche Dokument TC/58/31 „Bericht“, Absätze 35 bis 37).</w:t>
      </w:r>
      <w:r w:rsidR="0062652A">
        <w:t xml:space="preserve"> </w:t>
      </w:r>
    </w:p>
    <w:p w14:paraId="723E443E" w14:textId="77777777" w:rsidR="004769F7" w:rsidRPr="0088502A" w:rsidRDefault="004769F7" w:rsidP="004769F7"/>
    <w:p w14:paraId="59CCE46D" w14:textId="26D9FE4E" w:rsidR="004769F7" w:rsidRPr="0088502A" w:rsidRDefault="003415AF" w:rsidP="004769F7">
      <w:r>
        <w:fldChar w:fldCharType="begin"/>
      </w:r>
      <w:r>
        <w:instrText xml:space="preserve"> LISTNUM  LegalDefault \l 1 </w:instrText>
      </w:r>
      <w:r>
        <w:fldChar w:fldCharType="end"/>
      </w:r>
      <w:r>
        <w:tab/>
        <w:t xml:space="preserve">Der TC nahm die von der TWF </w:t>
      </w:r>
      <w:r w:rsidR="0062652A">
        <w:t>berichteten,</w:t>
      </w:r>
      <w:r>
        <w:t xml:space="preserve"> praktischen Schwierigkeiten zur Kenntnis, Anbauprüfungen mit der gleichen Anzahl Pflanzen für Beispielssorten und die Kandidatensorte zu organisieren. </w:t>
      </w:r>
    </w:p>
    <w:p w14:paraId="246404A3" w14:textId="77777777" w:rsidR="004769F7" w:rsidRPr="0088502A" w:rsidRDefault="004769F7" w:rsidP="004769F7"/>
    <w:p w14:paraId="2C12AF4B" w14:textId="5F61F9C8" w:rsidR="004769F7" w:rsidRPr="0088502A" w:rsidRDefault="003415AF" w:rsidP="004769F7">
      <w:r>
        <w:fldChar w:fldCharType="begin"/>
      </w:r>
      <w:r>
        <w:instrText xml:space="preserve"> LISTNUM  LegalDefault \l 1 </w:instrText>
      </w:r>
      <w:r>
        <w:fldChar w:fldCharType="end"/>
      </w:r>
      <w:r>
        <w:tab/>
        <w:t xml:space="preserve">Der TC vereinbarte, die Verfasser von Brasilien und der Europäischen Union zu ersuchen, den Entwurf so auszuarbeiten, dass er in Einklang mit den anderen Absätzen des Abschnitts in Dokument TGP/9 </w:t>
      </w:r>
      <w:r w:rsidR="00F20C51">
        <w:t>stehe</w:t>
      </w:r>
      <w:r>
        <w:t>, welche die erforderliche Genauigkeit der Aufzeichnungen betreffen. Der TC vereinbarte, dass der überarbeitete Entwurf den TWP auf ihren Sitzungen 2023 vorgelegt werden sollte.</w:t>
      </w:r>
    </w:p>
    <w:p w14:paraId="63DB8E0F" w14:textId="77777777" w:rsidR="004769F7" w:rsidRPr="00CC1204" w:rsidRDefault="004769F7" w:rsidP="004769F7"/>
    <w:p w14:paraId="78E5D007" w14:textId="4D81A07E" w:rsidR="004769F7" w:rsidRPr="0088502A" w:rsidRDefault="003415AF" w:rsidP="004769F7">
      <w:r>
        <w:fldChar w:fldCharType="begin"/>
      </w:r>
      <w:r>
        <w:instrText xml:space="preserve"> LISTNUM  LegalDefault \l 1 </w:instrText>
      </w:r>
      <w:r>
        <w:fldChar w:fldCharType="end"/>
      </w:r>
      <w:r>
        <w:tab/>
        <w:t>Die Sachverständigen</w:t>
      </w:r>
      <w:r>
        <w:rPr>
          <w:rFonts w:cs="Arial"/>
        </w:rPr>
        <w:t xml:space="preserve"> aus Brasilien und der Europäischen Union teilten dem Verbandsbüro mit, </w:t>
      </w:r>
      <w:r w:rsidR="00F20C51">
        <w:t>dass ein Dokument in dieser Sache den TWP auf ihren Tagungen 2024 vorgelegt werden wird.</w:t>
      </w:r>
    </w:p>
    <w:p w14:paraId="236AA30B" w14:textId="77777777" w:rsidR="004769F7" w:rsidRPr="0088502A" w:rsidRDefault="004769F7" w:rsidP="004769F7">
      <w:pPr>
        <w:rPr>
          <w:u w:val="single"/>
        </w:rPr>
      </w:pPr>
    </w:p>
    <w:p w14:paraId="4CFD9245" w14:textId="77777777" w:rsidR="004769F7" w:rsidRPr="0088502A" w:rsidRDefault="004769F7" w:rsidP="00394D60"/>
    <w:p w14:paraId="36E14087" w14:textId="77777777" w:rsidR="00A62445" w:rsidRPr="0088502A" w:rsidRDefault="00A62445" w:rsidP="00A62445">
      <w:pPr>
        <w:ind w:left="567" w:right="567"/>
        <w:rPr>
          <w:rFonts w:cs="Arial"/>
          <w:sz w:val="18"/>
        </w:rPr>
      </w:pPr>
    </w:p>
    <w:p w14:paraId="7A753E40" w14:textId="77777777" w:rsidR="00A62445" w:rsidRPr="0088502A" w:rsidRDefault="00A62445" w:rsidP="00A62445">
      <w:pPr>
        <w:jc w:val="right"/>
      </w:pPr>
      <w:r>
        <w:t>[Anlage IV folgt]</w:t>
      </w:r>
    </w:p>
    <w:p w14:paraId="7EE21AD4" w14:textId="77777777" w:rsidR="00A62445" w:rsidRPr="0088502A" w:rsidRDefault="00A62445" w:rsidP="00A62445">
      <w:pPr>
        <w:ind w:left="567" w:right="567"/>
        <w:rPr>
          <w:rFonts w:cs="Arial"/>
          <w:sz w:val="18"/>
        </w:rPr>
      </w:pPr>
    </w:p>
    <w:p w14:paraId="432C2157" w14:textId="77777777" w:rsidR="00A62445" w:rsidRPr="0088502A" w:rsidRDefault="00A62445" w:rsidP="009B440E">
      <w:pPr>
        <w:jc w:val="left"/>
        <w:sectPr w:rsidR="00A62445" w:rsidRPr="0088502A" w:rsidSect="0004198B">
          <w:headerReference w:type="default" r:id="rId24"/>
          <w:headerReference w:type="first" r:id="rId25"/>
          <w:pgSz w:w="11907" w:h="16840" w:code="9"/>
          <w:pgMar w:top="510" w:right="1134" w:bottom="1134" w:left="1134" w:header="510" w:footer="680" w:gutter="0"/>
          <w:pgNumType w:start="1"/>
          <w:cols w:space="720"/>
          <w:titlePg/>
        </w:sectPr>
      </w:pPr>
    </w:p>
    <w:p w14:paraId="3ACA57A4" w14:textId="7B3D75FE" w:rsidR="008F3131" w:rsidRPr="0088502A" w:rsidRDefault="00B2758C" w:rsidP="00B2758C">
      <w:pPr>
        <w:jc w:val="center"/>
      </w:pPr>
      <w:r>
        <w:lastRenderedPageBreak/>
        <w:t>DOKUMENT TGP/12</w:t>
      </w:r>
      <w:r w:rsidR="00274A5F">
        <w:t>:</w:t>
      </w:r>
      <w:r>
        <w:t xml:space="preserve"> ANLEITUNG ZU BESTIMMTEN PHYSIOLOGISCHEN MERKMALEN (ÜBERARBEITUNG)</w:t>
      </w:r>
    </w:p>
    <w:p w14:paraId="787B93DF" w14:textId="77777777" w:rsidR="009236D6" w:rsidRPr="0088502A" w:rsidRDefault="009236D6" w:rsidP="00B2758C">
      <w:pPr>
        <w:ind w:right="-284"/>
        <w:jc w:val="left"/>
      </w:pPr>
    </w:p>
    <w:p w14:paraId="37E4BA8A" w14:textId="77777777" w:rsidR="008F3131" w:rsidRPr="0088502A" w:rsidRDefault="008F3131" w:rsidP="0037709B">
      <w:pPr>
        <w:rPr>
          <w:u w:val="single"/>
        </w:rPr>
      </w:pPr>
      <w:r>
        <w:rPr>
          <w:u w:val="single"/>
        </w:rPr>
        <w:t>Beispiel von Krankheitsresistenzmerkmalen: Wort „hoch-" nur in einer Ausprägungsstufe</w:t>
      </w:r>
    </w:p>
    <w:p w14:paraId="5CD50298" w14:textId="77777777" w:rsidR="00A62445" w:rsidRPr="0088502A" w:rsidRDefault="00A62445" w:rsidP="009B440E">
      <w:pPr>
        <w:jc w:val="left"/>
      </w:pPr>
    </w:p>
    <w:p w14:paraId="72D15F7A" w14:textId="77777777" w:rsidR="0037709B" w:rsidRPr="0088502A" w:rsidRDefault="0037709B" w:rsidP="00566666">
      <w:pPr>
        <w:jc w:val="left"/>
        <w:rPr>
          <w:i/>
        </w:rPr>
      </w:pPr>
      <w:r>
        <w:rPr>
          <w:i/>
        </w:rPr>
        <w:t xml:space="preserve">Hintergrund </w:t>
      </w:r>
    </w:p>
    <w:p w14:paraId="6548B87D" w14:textId="77777777" w:rsidR="0037709B" w:rsidRPr="0088502A" w:rsidRDefault="0037709B" w:rsidP="009B440E">
      <w:pPr>
        <w:jc w:val="left"/>
      </w:pPr>
    </w:p>
    <w:p w14:paraId="31DA8647" w14:textId="17364725" w:rsidR="0037709B" w:rsidRPr="0088502A" w:rsidRDefault="00282450" w:rsidP="0037709B">
      <w:pPr>
        <w:keepNext/>
        <w:keepLines/>
        <w:rPr>
          <w:snapToGrid w:val="0"/>
        </w:rPr>
      </w:pPr>
      <w:r>
        <w:fldChar w:fldCharType="begin"/>
      </w:r>
      <w:r>
        <w:instrText xml:space="preserve"> LISTNUM  LegalDefault \l 1 \s 1 </w:instrText>
      </w:r>
      <w:r>
        <w:fldChar w:fldCharType="end">
          <w:numberingChange w:id="115" w:author="SANCHEZ VIZCAINO GOMEZ Rosa Maria" w:date="2023-08-29T11:06:00Z" w:original="1."/>
        </w:fldChar>
      </w:r>
      <w:r>
        <w:tab/>
        <w:t>Der TC prüfte auf seiner siebenundfünfzigsten Tagung</w:t>
      </w:r>
      <w:r w:rsidR="001A4E8A">
        <w:rPr>
          <w:rStyle w:val="FootnoteReference"/>
        </w:rPr>
        <w:footnoteReference w:id="17"/>
      </w:r>
      <w:r w:rsidR="00E94B16">
        <w:t xml:space="preserve"> </w:t>
      </w:r>
      <w:r w:rsidR="00DE61DB" w:rsidRPr="0088502A">
        <w:fldChar w:fldCharType="begin"/>
      </w:r>
      <w:r w:rsidR="00DE61DB" w:rsidRPr="0088502A">
        <w:instrText xml:space="preserve"> NOTEREF _Ref139017631 \f \h </w:instrText>
      </w:r>
      <w:r w:rsidR="001A4E8A">
        <w:fldChar w:fldCharType="separate"/>
      </w:r>
      <w:r w:rsidR="00DE61DB" w:rsidRPr="0088502A">
        <w:fldChar w:fldCharType="end"/>
      </w:r>
      <w:r>
        <w:t xml:space="preserve">das Beispiel von Krankheitsresistenzmerkmalen in Dokument TGP/12, Abschnitt 2.3.2, und </w:t>
      </w:r>
      <w:r>
        <w:rPr>
          <w:snapToGrid w:val="0"/>
        </w:rPr>
        <w:t>merkte an, dass das Wort „hoch-" nur für die resistente Ausprägungsstufe verwendet werde.</w:t>
      </w:r>
      <w:r w:rsidR="0062652A">
        <w:rPr>
          <w:snapToGrid w:val="0"/>
        </w:rPr>
        <w:t xml:space="preserve"> </w:t>
      </w:r>
      <w:r>
        <w:rPr>
          <w:snapToGrid w:val="0"/>
        </w:rPr>
        <w:t>Der TC vereinbarte, die TWV zu ersuchen, das Beispiel weitergehend zu prüfen (vergleiche Dokument TC/57/25 „Bericht“, Absätze 44 und 45):</w:t>
      </w:r>
    </w:p>
    <w:p w14:paraId="275E16BB" w14:textId="77777777" w:rsidR="0037709B" w:rsidRPr="0088502A" w:rsidRDefault="0037709B" w:rsidP="00A50B03">
      <w:pPr>
        <w:keepNext/>
        <w:keepLines/>
        <w:rPr>
          <w:snapToGrid w:val="0"/>
        </w:rPr>
      </w:pPr>
    </w:p>
    <w:p w14:paraId="5F9ABB9B" w14:textId="77777777" w:rsidR="0037709B" w:rsidRPr="0088502A" w:rsidRDefault="0037709B" w:rsidP="0037709B">
      <w:pPr>
        <w:keepNext/>
        <w:keepLines/>
        <w:ind w:left="567"/>
        <w:jc w:val="left"/>
      </w:pPr>
      <w:r>
        <w:rPr>
          <w:u w:val="single"/>
        </w:rPr>
        <w:t>„Beispiel mit einer Skala '1 bis 3'</w:t>
      </w:r>
      <w:r>
        <w:t>:</w:t>
      </w:r>
      <w:r>
        <w:tab/>
        <w:t xml:space="preserve">Resistenz gegen </w:t>
      </w:r>
      <w:r>
        <w:rPr>
          <w:i/>
          <w:iCs/>
        </w:rPr>
        <w:t>Sphaerotheca fuliginea</w:t>
      </w:r>
      <w:r>
        <w:t xml:space="preserve"> (</w:t>
      </w:r>
      <w:r>
        <w:rPr>
          <w:i/>
          <w:iCs/>
        </w:rPr>
        <w:t>Podosphaera xanthii</w:t>
      </w:r>
      <w:r>
        <w:t>) (Echter Mehltau) bei Melone (UPOV-Prüfungsrichtlinien: TG/104/5)</w:t>
      </w:r>
    </w:p>
    <w:p w14:paraId="4E1C0193" w14:textId="77777777" w:rsidR="0037709B" w:rsidRPr="0088502A" w:rsidRDefault="0037709B" w:rsidP="0037709B">
      <w:pPr>
        <w:keepNext/>
        <w:keepLines/>
        <w:rPr>
          <w:sz w:val="18"/>
        </w:rPr>
      </w:pPr>
    </w:p>
    <w:tbl>
      <w:tblPr>
        <w:tblW w:w="7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8"/>
        <w:gridCol w:w="425"/>
        <w:gridCol w:w="1733"/>
        <w:gridCol w:w="1734"/>
        <w:gridCol w:w="1484"/>
        <w:gridCol w:w="850"/>
        <w:gridCol w:w="818"/>
      </w:tblGrid>
      <w:tr w:rsidR="0037709B" w:rsidRPr="0088502A" w14:paraId="62E7F591" w14:textId="77777777" w:rsidTr="00274A5F">
        <w:trPr>
          <w:cantSplit/>
          <w:tblHeader/>
          <w:jc w:val="center"/>
        </w:trPr>
        <w:tc>
          <w:tcPr>
            <w:tcW w:w="578" w:type="dxa"/>
            <w:tcBorders>
              <w:top w:val="single" w:sz="6" w:space="0" w:color="auto"/>
              <w:left w:val="nil"/>
              <w:bottom w:val="single" w:sz="4" w:space="0" w:color="auto"/>
              <w:right w:val="nil"/>
            </w:tcBorders>
            <w:vAlign w:val="center"/>
          </w:tcPr>
          <w:p w14:paraId="23753D32" w14:textId="77777777" w:rsidR="0037709B" w:rsidRPr="0088502A" w:rsidRDefault="0037709B" w:rsidP="00D31CCC">
            <w:pPr>
              <w:keepNext/>
              <w:keepLines/>
              <w:spacing w:before="40" w:after="40"/>
              <w:jc w:val="left"/>
              <w:rPr>
                <w:sz w:val="16"/>
              </w:rPr>
            </w:pPr>
          </w:p>
        </w:tc>
        <w:tc>
          <w:tcPr>
            <w:tcW w:w="425" w:type="dxa"/>
            <w:tcBorders>
              <w:top w:val="single" w:sz="6" w:space="0" w:color="auto"/>
              <w:left w:val="nil"/>
              <w:bottom w:val="single" w:sz="4" w:space="0" w:color="auto"/>
              <w:right w:val="nil"/>
            </w:tcBorders>
            <w:vAlign w:val="center"/>
          </w:tcPr>
          <w:p w14:paraId="63B96401" w14:textId="77777777" w:rsidR="0037709B" w:rsidRPr="0088502A" w:rsidRDefault="0037709B" w:rsidP="00D31CCC">
            <w:pPr>
              <w:keepNext/>
              <w:keepLines/>
              <w:spacing w:before="40" w:after="40"/>
              <w:jc w:val="left"/>
              <w:rPr>
                <w:sz w:val="16"/>
              </w:rPr>
            </w:pPr>
          </w:p>
        </w:tc>
        <w:tc>
          <w:tcPr>
            <w:tcW w:w="1733" w:type="dxa"/>
            <w:tcBorders>
              <w:top w:val="single" w:sz="6" w:space="0" w:color="auto"/>
              <w:left w:val="nil"/>
              <w:bottom w:val="single" w:sz="4" w:space="0" w:color="auto"/>
              <w:right w:val="nil"/>
            </w:tcBorders>
            <w:vAlign w:val="center"/>
          </w:tcPr>
          <w:p w14:paraId="5A3E6715" w14:textId="227C0AEE" w:rsidR="0037709B" w:rsidRPr="0088502A" w:rsidRDefault="00274A5F" w:rsidP="00D31CCC">
            <w:pPr>
              <w:keepNext/>
              <w:keepLines/>
              <w:spacing w:before="40" w:after="40"/>
              <w:jc w:val="left"/>
              <w:rPr>
                <w:sz w:val="16"/>
              </w:rPr>
            </w:pPr>
            <w:r>
              <w:rPr>
                <w:sz w:val="16"/>
              </w:rPr>
              <w:t>Deutsch</w:t>
            </w:r>
          </w:p>
        </w:tc>
        <w:tc>
          <w:tcPr>
            <w:tcW w:w="1734" w:type="dxa"/>
            <w:tcBorders>
              <w:top w:val="single" w:sz="6" w:space="0" w:color="auto"/>
              <w:left w:val="nil"/>
              <w:bottom w:val="single" w:sz="4" w:space="0" w:color="auto"/>
              <w:right w:val="nil"/>
            </w:tcBorders>
            <w:vAlign w:val="center"/>
          </w:tcPr>
          <w:p w14:paraId="27057FF9" w14:textId="77777777" w:rsidR="0037709B" w:rsidRPr="0088502A" w:rsidRDefault="0037709B" w:rsidP="00D31CCC">
            <w:pPr>
              <w:keepNext/>
              <w:keepLines/>
              <w:spacing w:before="40" w:after="40"/>
              <w:jc w:val="left"/>
              <w:rPr>
                <w:sz w:val="16"/>
              </w:rPr>
            </w:pPr>
          </w:p>
        </w:tc>
        <w:tc>
          <w:tcPr>
            <w:tcW w:w="1484" w:type="dxa"/>
            <w:tcBorders>
              <w:top w:val="single" w:sz="6" w:space="0" w:color="auto"/>
              <w:left w:val="nil"/>
              <w:bottom w:val="single" w:sz="4" w:space="0" w:color="auto"/>
              <w:right w:val="nil"/>
            </w:tcBorders>
            <w:vAlign w:val="center"/>
          </w:tcPr>
          <w:p w14:paraId="190B4A27" w14:textId="77777777" w:rsidR="0037709B" w:rsidRPr="0088502A" w:rsidRDefault="0037709B" w:rsidP="00D31CCC">
            <w:pPr>
              <w:keepNext/>
              <w:keepLines/>
              <w:spacing w:before="40" w:after="40"/>
              <w:jc w:val="left"/>
              <w:rPr>
                <w:sz w:val="16"/>
              </w:rPr>
            </w:pPr>
          </w:p>
        </w:tc>
        <w:tc>
          <w:tcPr>
            <w:tcW w:w="850" w:type="dxa"/>
            <w:tcBorders>
              <w:top w:val="single" w:sz="6" w:space="0" w:color="auto"/>
              <w:left w:val="nil"/>
              <w:bottom w:val="single" w:sz="4" w:space="0" w:color="auto"/>
              <w:right w:val="nil"/>
            </w:tcBorders>
            <w:vAlign w:val="center"/>
          </w:tcPr>
          <w:p w14:paraId="612873B6" w14:textId="6C44A6F1" w:rsidR="0037709B" w:rsidRPr="0088502A" w:rsidRDefault="0037709B" w:rsidP="00D31CCC">
            <w:pPr>
              <w:keepNext/>
              <w:keepLines/>
              <w:spacing w:before="40" w:after="40"/>
              <w:jc w:val="left"/>
              <w:rPr>
                <w:sz w:val="16"/>
              </w:rPr>
            </w:pPr>
            <w:r>
              <w:rPr>
                <w:sz w:val="16"/>
              </w:rPr>
              <w:t>Beispiels</w:t>
            </w:r>
            <w:r w:rsidR="00274A5F">
              <w:rPr>
                <w:sz w:val="16"/>
              </w:rPr>
              <w:t>-</w:t>
            </w:r>
            <w:r>
              <w:rPr>
                <w:sz w:val="16"/>
              </w:rPr>
              <w:t>sorten</w:t>
            </w:r>
          </w:p>
        </w:tc>
        <w:tc>
          <w:tcPr>
            <w:tcW w:w="818" w:type="dxa"/>
            <w:tcBorders>
              <w:top w:val="single" w:sz="6" w:space="0" w:color="auto"/>
              <w:left w:val="nil"/>
              <w:bottom w:val="single" w:sz="4" w:space="0" w:color="auto"/>
              <w:right w:val="nil"/>
            </w:tcBorders>
            <w:vAlign w:val="center"/>
          </w:tcPr>
          <w:p w14:paraId="67EBFA23" w14:textId="4C28C87C" w:rsidR="0037709B" w:rsidRPr="0088502A" w:rsidRDefault="0037709B" w:rsidP="00D31CCC">
            <w:pPr>
              <w:keepNext/>
              <w:keepLines/>
              <w:spacing w:before="40" w:after="40"/>
              <w:jc w:val="left"/>
              <w:rPr>
                <w:sz w:val="16"/>
              </w:rPr>
            </w:pPr>
            <w:r>
              <w:rPr>
                <w:sz w:val="16"/>
              </w:rPr>
              <w:t>Anmer</w:t>
            </w:r>
            <w:r w:rsidR="00274A5F">
              <w:rPr>
                <w:sz w:val="16"/>
              </w:rPr>
              <w:t>-</w:t>
            </w:r>
            <w:r>
              <w:rPr>
                <w:sz w:val="16"/>
              </w:rPr>
              <w:t>kung</w:t>
            </w:r>
          </w:p>
        </w:tc>
      </w:tr>
      <w:tr w:rsidR="0037709B" w:rsidRPr="0088502A" w14:paraId="0A830C17" w14:textId="77777777" w:rsidTr="00274A5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single" w:sz="4" w:space="0" w:color="auto"/>
              <w:left w:val="nil"/>
              <w:bottom w:val="nil"/>
            </w:tcBorders>
          </w:tcPr>
          <w:p w14:paraId="77C4A83E" w14:textId="77777777" w:rsidR="0037709B" w:rsidRPr="0088502A" w:rsidRDefault="0037709B" w:rsidP="00D31CCC">
            <w:pPr>
              <w:keepNext/>
              <w:keepLines/>
              <w:spacing w:before="40" w:after="40"/>
              <w:jc w:val="left"/>
              <w:rPr>
                <w:b/>
                <w:bCs/>
                <w:sz w:val="16"/>
              </w:rPr>
            </w:pPr>
            <w:r>
              <w:rPr>
                <w:b/>
                <w:bCs/>
                <w:sz w:val="16"/>
              </w:rPr>
              <w:t>70.</w:t>
            </w:r>
            <w:r>
              <w:rPr>
                <w:b/>
                <w:bCs/>
                <w:sz w:val="16"/>
              </w:rPr>
              <w:br/>
            </w:r>
            <w:r>
              <w:rPr>
                <w:b/>
                <w:bCs/>
                <w:sz w:val="16"/>
              </w:rPr>
              <w:br/>
              <w:t>(+)</w:t>
            </w:r>
          </w:p>
        </w:tc>
        <w:tc>
          <w:tcPr>
            <w:tcW w:w="425" w:type="dxa"/>
            <w:tcBorders>
              <w:top w:val="single" w:sz="4" w:space="0" w:color="auto"/>
              <w:bottom w:val="nil"/>
            </w:tcBorders>
          </w:tcPr>
          <w:p w14:paraId="4E775A4B" w14:textId="77777777" w:rsidR="0037709B" w:rsidRPr="0088502A" w:rsidRDefault="0037709B" w:rsidP="00D31CCC">
            <w:pPr>
              <w:keepNext/>
              <w:keepLines/>
              <w:spacing w:before="40" w:after="40"/>
              <w:jc w:val="left"/>
              <w:rPr>
                <w:b/>
                <w:bCs/>
                <w:sz w:val="16"/>
              </w:rPr>
            </w:pPr>
            <w:r>
              <w:rPr>
                <w:b/>
                <w:bCs/>
                <w:sz w:val="16"/>
              </w:rPr>
              <w:t>VG</w:t>
            </w:r>
            <w:r>
              <w:rPr>
                <w:b/>
                <w:bCs/>
                <w:sz w:val="16"/>
              </w:rPr>
              <w:br/>
            </w:r>
            <w:r>
              <w:rPr>
                <w:b/>
                <w:bCs/>
                <w:sz w:val="16"/>
              </w:rPr>
              <w:br/>
            </w:r>
            <w:r>
              <w:rPr>
                <w:b/>
                <w:bCs/>
                <w:sz w:val="16"/>
              </w:rPr>
              <w:br/>
            </w:r>
            <w:r>
              <w:rPr>
                <w:b/>
                <w:bCs/>
                <w:sz w:val="16"/>
              </w:rPr>
              <w:br/>
            </w:r>
            <w:r>
              <w:rPr>
                <w:b/>
                <w:bCs/>
                <w:sz w:val="16"/>
              </w:rPr>
              <w:br/>
            </w:r>
          </w:p>
        </w:tc>
        <w:tc>
          <w:tcPr>
            <w:tcW w:w="1733" w:type="dxa"/>
            <w:tcBorders>
              <w:top w:val="single" w:sz="4" w:space="0" w:color="auto"/>
              <w:bottom w:val="nil"/>
            </w:tcBorders>
          </w:tcPr>
          <w:p w14:paraId="53CFCE2E" w14:textId="77777777" w:rsidR="0037709B" w:rsidRPr="0088502A" w:rsidRDefault="0037709B" w:rsidP="00D31CCC">
            <w:pPr>
              <w:keepNext/>
              <w:keepLines/>
              <w:spacing w:before="40" w:after="40"/>
              <w:jc w:val="left"/>
              <w:rPr>
                <w:b/>
                <w:bCs/>
                <w:sz w:val="16"/>
              </w:rPr>
            </w:pPr>
            <w:r>
              <w:rPr>
                <w:b/>
                <w:bCs/>
                <w:sz w:val="16"/>
              </w:rPr>
              <w:t>Resistenz gegen Sphaerotheca fuliginea (</w:t>
            </w:r>
            <w:r>
              <w:rPr>
                <w:b/>
                <w:bCs/>
                <w:snapToGrid w:val="0"/>
                <w:sz w:val="16"/>
              </w:rPr>
              <w:t>Podosphaera xanthii</w:t>
            </w:r>
            <w:r>
              <w:rPr>
                <w:b/>
                <w:bCs/>
                <w:sz w:val="16"/>
              </w:rPr>
              <w:t xml:space="preserve">) </w:t>
            </w:r>
            <w:r>
              <w:rPr>
                <w:b/>
                <w:bCs/>
                <w:sz w:val="16"/>
              </w:rPr>
              <w:br/>
              <w:t>(Echter Mehltau)</w:t>
            </w:r>
          </w:p>
        </w:tc>
        <w:tc>
          <w:tcPr>
            <w:tcW w:w="1734" w:type="dxa"/>
            <w:tcBorders>
              <w:top w:val="single" w:sz="4" w:space="0" w:color="auto"/>
              <w:bottom w:val="nil"/>
            </w:tcBorders>
          </w:tcPr>
          <w:p w14:paraId="662599DE" w14:textId="77777777" w:rsidR="0037709B" w:rsidRPr="0088502A" w:rsidRDefault="0037709B" w:rsidP="00D31CCC">
            <w:pPr>
              <w:keepNext/>
              <w:keepLines/>
              <w:spacing w:before="40" w:after="40"/>
              <w:jc w:val="left"/>
              <w:rPr>
                <w:b/>
                <w:bCs/>
                <w:sz w:val="16"/>
              </w:rPr>
            </w:pPr>
          </w:p>
        </w:tc>
        <w:tc>
          <w:tcPr>
            <w:tcW w:w="1484" w:type="dxa"/>
            <w:tcBorders>
              <w:top w:val="single" w:sz="4" w:space="0" w:color="auto"/>
              <w:bottom w:val="nil"/>
            </w:tcBorders>
          </w:tcPr>
          <w:p w14:paraId="4B8CCDB6" w14:textId="77777777" w:rsidR="0037709B" w:rsidRPr="0088502A" w:rsidRDefault="0037709B" w:rsidP="00D31CCC">
            <w:pPr>
              <w:keepNext/>
              <w:keepLines/>
              <w:spacing w:before="40" w:after="40"/>
              <w:jc w:val="left"/>
              <w:rPr>
                <w:b/>
                <w:bCs/>
                <w:sz w:val="16"/>
              </w:rPr>
            </w:pPr>
          </w:p>
        </w:tc>
        <w:tc>
          <w:tcPr>
            <w:tcW w:w="850" w:type="dxa"/>
            <w:tcBorders>
              <w:top w:val="single" w:sz="4" w:space="0" w:color="auto"/>
              <w:bottom w:val="nil"/>
            </w:tcBorders>
          </w:tcPr>
          <w:p w14:paraId="73BCA6D1" w14:textId="77777777" w:rsidR="0037709B" w:rsidRPr="0088502A" w:rsidRDefault="0037709B" w:rsidP="00D31CCC">
            <w:pPr>
              <w:keepNext/>
              <w:keepLines/>
              <w:spacing w:before="40" w:after="40"/>
              <w:jc w:val="left"/>
              <w:rPr>
                <w:b/>
                <w:bCs/>
                <w:sz w:val="16"/>
              </w:rPr>
            </w:pPr>
          </w:p>
        </w:tc>
        <w:tc>
          <w:tcPr>
            <w:tcW w:w="818" w:type="dxa"/>
            <w:tcBorders>
              <w:top w:val="single" w:sz="4" w:space="0" w:color="auto"/>
              <w:bottom w:val="nil"/>
              <w:right w:val="nil"/>
            </w:tcBorders>
          </w:tcPr>
          <w:p w14:paraId="275888C1" w14:textId="77777777" w:rsidR="0037709B" w:rsidRPr="0088502A" w:rsidRDefault="0037709B" w:rsidP="00D31CCC">
            <w:pPr>
              <w:keepNext/>
              <w:keepLines/>
              <w:spacing w:before="40" w:after="40"/>
              <w:jc w:val="left"/>
              <w:rPr>
                <w:b/>
                <w:bCs/>
                <w:sz w:val="16"/>
              </w:rPr>
            </w:pPr>
          </w:p>
        </w:tc>
      </w:tr>
      <w:tr w:rsidR="0037709B" w:rsidRPr="0088502A" w14:paraId="3B1ECE42" w14:textId="77777777" w:rsidTr="00274A5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14:paraId="607375C4" w14:textId="77777777" w:rsidR="0037709B" w:rsidRPr="0088502A" w:rsidRDefault="0037709B" w:rsidP="00D31CCC">
            <w:pPr>
              <w:keepNext/>
              <w:keepLines/>
              <w:spacing w:before="40" w:after="40"/>
              <w:jc w:val="left"/>
              <w:rPr>
                <w:b/>
                <w:sz w:val="16"/>
              </w:rPr>
            </w:pPr>
            <w:r>
              <w:rPr>
                <w:b/>
                <w:sz w:val="16"/>
              </w:rPr>
              <w:t>70,1</w:t>
            </w:r>
          </w:p>
        </w:tc>
        <w:tc>
          <w:tcPr>
            <w:tcW w:w="425" w:type="dxa"/>
            <w:tcBorders>
              <w:top w:val="nil"/>
              <w:bottom w:val="nil"/>
            </w:tcBorders>
          </w:tcPr>
          <w:p w14:paraId="4879CEDF" w14:textId="77777777" w:rsidR="0037709B" w:rsidRPr="0088502A" w:rsidRDefault="0037709B" w:rsidP="00D31CCC">
            <w:pPr>
              <w:keepNext/>
              <w:keepLines/>
              <w:spacing w:before="40" w:after="40"/>
              <w:jc w:val="left"/>
              <w:rPr>
                <w:b/>
                <w:sz w:val="16"/>
              </w:rPr>
            </w:pPr>
          </w:p>
        </w:tc>
        <w:tc>
          <w:tcPr>
            <w:tcW w:w="1733" w:type="dxa"/>
            <w:tcBorders>
              <w:top w:val="nil"/>
              <w:bottom w:val="nil"/>
            </w:tcBorders>
          </w:tcPr>
          <w:p w14:paraId="040225B8" w14:textId="77777777" w:rsidR="0037709B" w:rsidRPr="0088502A" w:rsidRDefault="0037709B" w:rsidP="00D31CCC">
            <w:pPr>
              <w:keepNext/>
              <w:keepLines/>
              <w:spacing w:before="40" w:after="40"/>
              <w:jc w:val="left"/>
              <w:rPr>
                <w:b/>
                <w:sz w:val="16"/>
              </w:rPr>
            </w:pPr>
            <w:r>
              <w:rPr>
                <w:b/>
                <w:sz w:val="16"/>
              </w:rPr>
              <w:t>Pathotyp 1</w:t>
            </w:r>
          </w:p>
        </w:tc>
        <w:tc>
          <w:tcPr>
            <w:tcW w:w="1734" w:type="dxa"/>
            <w:tcBorders>
              <w:top w:val="nil"/>
              <w:bottom w:val="nil"/>
            </w:tcBorders>
          </w:tcPr>
          <w:p w14:paraId="616DBC1D" w14:textId="77777777" w:rsidR="0037709B" w:rsidRPr="0088502A" w:rsidRDefault="0037709B" w:rsidP="00D31CCC">
            <w:pPr>
              <w:keepNext/>
              <w:keepLines/>
              <w:spacing w:before="40" w:after="40"/>
              <w:jc w:val="left"/>
              <w:rPr>
                <w:b/>
                <w:sz w:val="16"/>
              </w:rPr>
            </w:pPr>
          </w:p>
        </w:tc>
        <w:tc>
          <w:tcPr>
            <w:tcW w:w="1484" w:type="dxa"/>
            <w:tcBorders>
              <w:top w:val="nil"/>
              <w:bottom w:val="nil"/>
            </w:tcBorders>
          </w:tcPr>
          <w:p w14:paraId="49D68E2F" w14:textId="77777777" w:rsidR="0037709B" w:rsidRPr="0088502A" w:rsidRDefault="0037709B" w:rsidP="00D31CCC">
            <w:pPr>
              <w:keepNext/>
              <w:keepLines/>
              <w:spacing w:before="40" w:after="40"/>
              <w:jc w:val="left"/>
              <w:rPr>
                <w:b/>
                <w:sz w:val="16"/>
              </w:rPr>
            </w:pPr>
          </w:p>
        </w:tc>
        <w:tc>
          <w:tcPr>
            <w:tcW w:w="850" w:type="dxa"/>
            <w:tcBorders>
              <w:top w:val="nil"/>
              <w:bottom w:val="nil"/>
            </w:tcBorders>
          </w:tcPr>
          <w:p w14:paraId="47197F42" w14:textId="77777777" w:rsidR="0037709B" w:rsidRPr="0088502A" w:rsidRDefault="0037709B" w:rsidP="00D31CCC">
            <w:pPr>
              <w:keepNext/>
              <w:keepLines/>
              <w:spacing w:before="40" w:after="40"/>
              <w:jc w:val="left"/>
              <w:rPr>
                <w:sz w:val="16"/>
              </w:rPr>
            </w:pPr>
          </w:p>
        </w:tc>
        <w:tc>
          <w:tcPr>
            <w:tcW w:w="818" w:type="dxa"/>
            <w:tcBorders>
              <w:top w:val="nil"/>
              <w:bottom w:val="nil"/>
              <w:right w:val="nil"/>
            </w:tcBorders>
          </w:tcPr>
          <w:p w14:paraId="3833ED2E" w14:textId="77777777" w:rsidR="0037709B" w:rsidRPr="0088502A" w:rsidRDefault="0037709B" w:rsidP="00D31CCC">
            <w:pPr>
              <w:keepNext/>
              <w:keepLines/>
              <w:spacing w:before="40" w:after="40"/>
              <w:jc w:val="left"/>
              <w:rPr>
                <w:sz w:val="16"/>
              </w:rPr>
            </w:pPr>
          </w:p>
        </w:tc>
      </w:tr>
      <w:tr w:rsidR="0037709B" w:rsidRPr="0088502A" w14:paraId="5857DD0A" w14:textId="77777777" w:rsidTr="00274A5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14:paraId="27DB9DEF" w14:textId="77777777" w:rsidR="0037709B" w:rsidRPr="0088502A" w:rsidRDefault="0037709B" w:rsidP="00D31CCC">
            <w:pPr>
              <w:keepNext/>
              <w:keepLines/>
              <w:spacing w:before="40" w:after="40"/>
              <w:jc w:val="left"/>
              <w:rPr>
                <w:sz w:val="16"/>
              </w:rPr>
            </w:pPr>
            <w:r>
              <w:rPr>
                <w:sz w:val="16"/>
              </w:rPr>
              <w:t>QN</w:t>
            </w:r>
          </w:p>
        </w:tc>
        <w:tc>
          <w:tcPr>
            <w:tcW w:w="425" w:type="dxa"/>
            <w:tcBorders>
              <w:top w:val="nil"/>
              <w:bottom w:val="nil"/>
            </w:tcBorders>
          </w:tcPr>
          <w:p w14:paraId="2F469924" w14:textId="77777777" w:rsidR="0037709B" w:rsidRPr="0088502A" w:rsidRDefault="0037709B" w:rsidP="00D31CCC">
            <w:pPr>
              <w:keepNext/>
              <w:keepLines/>
              <w:spacing w:before="40" w:after="40"/>
              <w:jc w:val="left"/>
              <w:rPr>
                <w:sz w:val="16"/>
              </w:rPr>
            </w:pPr>
          </w:p>
        </w:tc>
        <w:tc>
          <w:tcPr>
            <w:tcW w:w="1733" w:type="dxa"/>
            <w:tcBorders>
              <w:top w:val="nil"/>
              <w:bottom w:val="nil"/>
            </w:tcBorders>
          </w:tcPr>
          <w:p w14:paraId="426DC036" w14:textId="77777777" w:rsidR="0037709B" w:rsidRPr="0088502A" w:rsidRDefault="0037709B" w:rsidP="00D31CCC">
            <w:pPr>
              <w:keepNext/>
              <w:keepLines/>
              <w:spacing w:before="40" w:after="40"/>
              <w:jc w:val="left"/>
              <w:rPr>
                <w:sz w:val="16"/>
              </w:rPr>
            </w:pPr>
            <w:r>
              <w:rPr>
                <w:sz w:val="16"/>
              </w:rPr>
              <w:t>anfällig</w:t>
            </w:r>
          </w:p>
        </w:tc>
        <w:tc>
          <w:tcPr>
            <w:tcW w:w="1734" w:type="dxa"/>
            <w:tcBorders>
              <w:top w:val="nil"/>
              <w:bottom w:val="nil"/>
            </w:tcBorders>
          </w:tcPr>
          <w:p w14:paraId="0773B20F" w14:textId="77777777" w:rsidR="0037709B" w:rsidRPr="0088502A" w:rsidRDefault="0037709B" w:rsidP="00D31CCC">
            <w:pPr>
              <w:keepNext/>
              <w:keepLines/>
              <w:spacing w:before="40" w:after="40"/>
              <w:jc w:val="left"/>
              <w:rPr>
                <w:sz w:val="16"/>
              </w:rPr>
            </w:pPr>
          </w:p>
        </w:tc>
        <w:tc>
          <w:tcPr>
            <w:tcW w:w="1484" w:type="dxa"/>
            <w:tcBorders>
              <w:top w:val="nil"/>
              <w:bottom w:val="nil"/>
            </w:tcBorders>
          </w:tcPr>
          <w:p w14:paraId="7C82A623" w14:textId="77777777" w:rsidR="0037709B" w:rsidRPr="0088502A" w:rsidRDefault="0037709B" w:rsidP="00D31CCC">
            <w:pPr>
              <w:keepNext/>
              <w:keepLines/>
              <w:spacing w:before="40" w:after="40"/>
              <w:jc w:val="left"/>
              <w:rPr>
                <w:sz w:val="16"/>
              </w:rPr>
            </w:pPr>
          </w:p>
        </w:tc>
        <w:tc>
          <w:tcPr>
            <w:tcW w:w="850" w:type="dxa"/>
            <w:tcBorders>
              <w:top w:val="nil"/>
              <w:bottom w:val="nil"/>
            </w:tcBorders>
          </w:tcPr>
          <w:p w14:paraId="3B2C91DD" w14:textId="77777777" w:rsidR="0037709B" w:rsidRPr="0088502A" w:rsidRDefault="0037709B" w:rsidP="00D31CCC">
            <w:pPr>
              <w:keepNext/>
              <w:keepLines/>
              <w:spacing w:before="40" w:after="40"/>
              <w:jc w:val="left"/>
              <w:rPr>
                <w:sz w:val="16"/>
              </w:rPr>
            </w:pPr>
            <w:r>
              <w:rPr>
                <w:sz w:val="16"/>
              </w:rPr>
              <w:t>[…]</w:t>
            </w:r>
          </w:p>
        </w:tc>
        <w:tc>
          <w:tcPr>
            <w:tcW w:w="818" w:type="dxa"/>
            <w:tcBorders>
              <w:top w:val="nil"/>
              <w:bottom w:val="nil"/>
              <w:right w:val="nil"/>
            </w:tcBorders>
          </w:tcPr>
          <w:p w14:paraId="37E49C95" w14:textId="77777777" w:rsidR="0037709B" w:rsidRPr="0088502A" w:rsidRDefault="0037709B" w:rsidP="00D31CCC">
            <w:pPr>
              <w:keepNext/>
              <w:keepLines/>
              <w:spacing w:before="40" w:after="40"/>
              <w:jc w:val="left"/>
              <w:rPr>
                <w:sz w:val="16"/>
              </w:rPr>
            </w:pPr>
            <w:r>
              <w:rPr>
                <w:sz w:val="16"/>
              </w:rPr>
              <w:t>1</w:t>
            </w:r>
          </w:p>
        </w:tc>
      </w:tr>
      <w:tr w:rsidR="0037709B" w:rsidRPr="0088502A" w14:paraId="70A484B5" w14:textId="77777777" w:rsidTr="00274A5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14:paraId="3DC7AB77" w14:textId="77777777" w:rsidR="0037709B" w:rsidRPr="0088502A" w:rsidRDefault="0037709B" w:rsidP="00D31CCC">
            <w:pPr>
              <w:keepNext/>
              <w:keepLines/>
              <w:spacing w:before="40" w:after="40"/>
              <w:jc w:val="left"/>
              <w:rPr>
                <w:sz w:val="16"/>
              </w:rPr>
            </w:pPr>
          </w:p>
        </w:tc>
        <w:tc>
          <w:tcPr>
            <w:tcW w:w="425" w:type="dxa"/>
            <w:tcBorders>
              <w:top w:val="nil"/>
              <w:bottom w:val="nil"/>
            </w:tcBorders>
          </w:tcPr>
          <w:p w14:paraId="3009BE1C" w14:textId="77777777" w:rsidR="0037709B" w:rsidRPr="0088502A" w:rsidRDefault="0037709B" w:rsidP="00D31CCC">
            <w:pPr>
              <w:keepNext/>
              <w:keepLines/>
              <w:spacing w:before="40" w:after="40"/>
              <w:jc w:val="left"/>
              <w:rPr>
                <w:sz w:val="16"/>
              </w:rPr>
            </w:pPr>
          </w:p>
        </w:tc>
        <w:tc>
          <w:tcPr>
            <w:tcW w:w="3467" w:type="dxa"/>
            <w:gridSpan w:val="2"/>
            <w:tcBorders>
              <w:top w:val="nil"/>
              <w:bottom w:val="nil"/>
            </w:tcBorders>
          </w:tcPr>
          <w:p w14:paraId="00CF15C3" w14:textId="225ABC9A" w:rsidR="0037709B" w:rsidRPr="0088502A" w:rsidRDefault="0037709B" w:rsidP="00D31CCC">
            <w:pPr>
              <w:keepNext/>
              <w:keepLines/>
              <w:spacing w:before="40" w:after="40"/>
              <w:jc w:val="left"/>
              <w:rPr>
                <w:sz w:val="16"/>
              </w:rPr>
            </w:pPr>
            <w:r>
              <w:rPr>
                <w:sz w:val="16"/>
              </w:rPr>
              <w:t xml:space="preserve">intermediäre Resistenz </w:t>
            </w:r>
          </w:p>
        </w:tc>
        <w:tc>
          <w:tcPr>
            <w:tcW w:w="1484" w:type="dxa"/>
            <w:tcBorders>
              <w:top w:val="nil"/>
              <w:bottom w:val="nil"/>
            </w:tcBorders>
          </w:tcPr>
          <w:p w14:paraId="2382884C" w14:textId="77777777" w:rsidR="0037709B" w:rsidRPr="0088502A" w:rsidRDefault="0037709B" w:rsidP="00D31CCC">
            <w:pPr>
              <w:keepNext/>
              <w:keepLines/>
              <w:spacing w:before="40" w:after="40"/>
              <w:jc w:val="left"/>
              <w:rPr>
                <w:sz w:val="16"/>
              </w:rPr>
            </w:pPr>
          </w:p>
        </w:tc>
        <w:tc>
          <w:tcPr>
            <w:tcW w:w="850" w:type="dxa"/>
            <w:tcBorders>
              <w:top w:val="nil"/>
              <w:bottom w:val="nil"/>
            </w:tcBorders>
          </w:tcPr>
          <w:p w14:paraId="61B396C3" w14:textId="77777777" w:rsidR="0037709B" w:rsidRPr="0088502A" w:rsidRDefault="0037709B" w:rsidP="00D31CCC">
            <w:pPr>
              <w:keepNext/>
              <w:keepLines/>
              <w:spacing w:before="40" w:after="40"/>
              <w:jc w:val="left"/>
              <w:rPr>
                <w:sz w:val="16"/>
              </w:rPr>
            </w:pPr>
            <w:r>
              <w:rPr>
                <w:sz w:val="16"/>
              </w:rPr>
              <w:t>[…]</w:t>
            </w:r>
          </w:p>
        </w:tc>
        <w:tc>
          <w:tcPr>
            <w:tcW w:w="818" w:type="dxa"/>
            <w:tcBorders>
              <w:top w:val="nil"/>
              <w:bottom w:val="nil"/>
              <w:right w:val="nil"/>
            </w:tcBorders>
          </w:tcPr>
          <w:p w14:paraId="41ABA34C" w14:textId="77777777" w:rsidR="0037709B" w:rsidRPr="0088502A" w:rsidRDefault="0037709B" w:rsidP="00D31CCC">
            <w:pPr>
              <w:keepNext/>
              <w:keepLines/>
              <w:spacing w:before="40" w:after="40"/>
              <w:jc w:val="left"/>
              <w:rPr>
                <w:sz w:val="16"/>
              </w:rPr>
            </w:pPr>
            <w:r>
              <w:rPr>
                <w:sz w:val="16"/>
              </w:rPr>
              <w:t>2</w:t>
            </w:r>
          </w:p>
        </w:tc>
      </w:tr>
      <w:tr w:rsidR="0037709B" w:rsidRPr="0088502A" w14:paraId="5AEDD5F0" w14:textId="77777777" w:rsidTr="00274A5F">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single" w:sz="4" w:space="0" w:color="auto"/>
            </w:tcBorders>
          </w:tcPr>
          <w:p w14:paraId="7283F562" w14:textId="77777777" w:rsidR="0037709B" w:rsidRPr="0088502A" w:rsidRDefault="0037709B" w:rsidP="00D31CCC">
            <w:pPr>
              <w:keepNext/>
              <w:keepLines/>
              <w:spacing w:before="40" w:after="40"/>
              <w:jc w:val="left"/>
              <w:rPr>
                <w:sz w:val="16"/>
              </w:rPr>
            </w:pPr>
          </w:p>
        </w:tc>
        <w:tc>
          <w:tcPr>
            <w:tcW w:w="425" w:type="dxa"/>
            <w:tcBorders>
              <w:top w:val="nil"/>
              <w:bottom w:val="single" w:sz="4" w:space="0" w:color="auto"/>
            </w:tcBorders>
          </w:tcPr>
          <w:p w14:paraId="4B69A484" w14:textId="77777777" w:rsidR="0037709B" w:rsidRPr="0088502A" w:rsidRDefault="0037709B" w:rsidP="00D31CCC">
            <w:pPr>
              <w:keepNext/>
              <w:keepLines/>
              <w:spacing w:before="40" w:after="40"/>
              <w:jc w:val="left"/>
              <w:rPr>
                <w:sz w:val="16"/>
              </w:rPr>
            </w:pPr>
          </w:p>
        </w:tc>
        <w:tc>
          <w:tcPr>
            <w:tcW w:w="1733" w:type="dxa"/>
            <w:tcBorders>
              <w:top w:val="nil"/>
              <w:bottom w:val="single" w:sz="4" w:space="0" w:color="auto"/>
            </w:tcBorders>
          </w:tcPr>
          <w:p w14:paraId="2ED935CB" w14:textId="34AE0031" w:rsidR="0037709B" w:rsidRPr="0088502A" w:rsidRDefault="0037709B" w:rsidP="00D31CCC">
            <w:pPr>
              <w:keepNext/>
              <w:keepLines/>
              <w:spacing w:before="40" w:after="40"/>
              <w:jc w:val="left"/>
              <w:rPr>
                <w:sz w:val="16"/>
              </w:rPr>
            </w:pPr>
            <w:r>
              <w:rPr>
                <w:sz w:val="16"/>
              </w:rPr>
              <w:t>hochresistent</w:t>
            </w:r>
          </w:p>
        </w:tc>
        <w:tc>
          <w:tcPr>
            <w:tcW w:w="1734" w:type="dxa"/>
            <w:tcBorders>
              <w:top w:val="nil"/>
              <w:bottom w:val="single" w:sz="4" w:space="0" w:color="auto"/>
            </w:tcBorders>
          </w:tcPr>
          <w:p w14:paraId="5DF17E6B" w14:textId="77777777" w:rsidR="0037709B" w:rsidRPr="0088502A" w:rsidRDefault="0037709B" w:rsidP="00D31CCC">
            <w:pPr>
              <w:keepNext/>
              <w:keepLines/>
              <w:spacing w:before="40" w:after="40"/>
              <w:jc w:val="left"/>
              <w:rPr>
                <w:sz w:val="16"/>
              </w:rPr>
            </w:pPr>
          </w:p>
        </w:tc>
        <w:tc>
          <w:tcPr>
            <w:tcW w:w="1484" w:type="dxa"/>
            <w:tcBorders>
              <w:top w:val="nil"/>
              <w:bottom w:val="single" w:sz="4" w:space="0" w:color="auto"/>
            </w:tcBorders>
          </w:tcPr>
          <w:p w14:paraId="148BA843" w14:textId="77777777" w:rsidR="0037709B" w:rsidRPr="0088502A" w:rsidRDefault="0037709B" w:rsidP="00D31CCC">
            <w:pPr>
              <w:keepNext/>
              <w:keepLines/>
              <w:spacing w:before="40" w:after="40"/>
              <w:jc w:val="left"/>
              <w:rPr>
                <w:sz w:val="16"/>
              </w:rPr>
            </w:pPr>
          </w:p>
        </w:tc>
        <w:tc>
          <w:tcPr>
            <w:tcW w:w="850" w:type="dxa"/>
            <w:tcBorders>
              <w:top w:val="nil"/>
              <w:bottom w:val="single" w:sz="4" w:space="0" w:color="auto"/>
            </w:tcBorders>
          </w:tcPr>
          <w:p w14:paraId="4CC2E091" w14:textId="77777777" w:rsidR="0037709B" w:rsidRPr="0088502A" w:rsidRDefault="0037709B" w:rsidP="00D31CCC">
            <w:pPr>
              <w:keepNext/>
              <w:keepLines/>
              <w:spacing w:before="40" w:after="40"/>
              <w:jc w:val="left"/>
              <w:rPr>
                <w:sz w:val="16"/>
              </w:rPr>
            </w:pPr>
            <w:r>
              <w:rPr>
                <w:sz w:val="16"/>
              </w:rPr>
              <w:t>[…]</w:t>
            </w:r>
          </w:p>
        </w:tc>
        <w:tc>
          <w:tcPr>
            <w:tcW w:w="818" w:type="dxa"/>
            <w:tcBorders>
              <w:top w:val="nil"/>
              <w:bottom w:val="single" w:sz="4" w:space="0" w:color="auto"/>
              <w:right w:val="nil"/>
            </w:tcBorders>
          </w:tcPr>
          <w:p w14:paraId="6B2DE66D" w14:textId="77777777" w:rsidR="0037709B" w:rsidRPr="0088502A" w:rsidRDefault="0037709B" w:rsidP="00D31CCC">
            <w:pPr>
              <w:keepNext/>
              <w:keepLines/>
              <w:spacing w:before="40" w:after="40"/>
              <w:jc w:val="left"/>
              <w:rPr>
                <w:sz w:val="16"/>
              </w:rPr>
            </w:pPr>
            <w:r>
              <w:rPr>
                <w:sz w:val="16"/>
              </w:rPr>
              <w:t>3</w:t>
            </w:r>
          </w:p>
        </w:tc>
      </w:tr>
    </w:tbl>
    <w:p w14:paraId="71353938" w14:textId="77777777" w:rsidR="0037709B" w:rsidRPr="0088502A" w:rsidRDefault="0037709B" w:rsidP="0037709B">
      <w:pPr>
        <w:jc w:val="left"/>
      </w:pPr>
    </w:p>
    <w:p w14:paraId="21E0FBCD" w14:textId="77777777" w:rsidR="003A1CE4" w:rsidRPr="0088502A" w:rsidRDefault="003A1CE4" w:rsidP="003A1CE4"/>
    <w:p w14:paraId="4F28B506" w14:textId="7F76587C" w:rsidR="0037709B" w:rsidRPr="0088502A" w:rsidRDefault="0037709B" w:rsidP="00566666">
      <w:pPr>
        <w:keepNext/>
        <w:rPr>
          <w:i/>
        </w:rPr>
      </w:pPr>
      <w:r>
        <w:rPr>
          <w:i/>
        </w:rPr>
        <w:t>Prüfungen 2023 durch die Technische Arbeitsgruppe für Gemüsearten (TWV)</w:t>
      </w:r>
    </w:p>
    <w:p w14:paraId="67B580F1" w14:textId="77777777" w:rsidR="0037709B" w:rsidRPr="0088502A" w:rsidRDefault="0037709B" w:rsidP="0037709B">
      <w:pPr>
        <w:keepNext/>
      </w:pPr>
    </w:p>
    <w:p w14:paraId="39208E9E" w14:textId="4BABC23B" w:rsidR="0037709B" w:rsidRPr="0088502A" w:rsidRDefault="00282450" w:rsidP="0037709B">
      <w:pPr>
        <w:keepNext/>
        <w:keepLines/>
        <w:rPr>
          <w:snapToGrid w:val="0"/>
          <w:spacing w:val="-4"/>
        </w:rPr>
      </w:pPr>
      <w:r>
        <w:fldChar w:fldCharType="begin"/>
      </w:r>
      <w:r>
        <w:instrText xml:space="preserve"> LISTNUM  LegalDefault \l 1 </w:instrText>
      </w:r>
      <w:r>
        <w:fldChar w:fldCharType="end">
          <w:numberingChange w:id="116" w:author="SANCHEZ VIZCAINO GOMEZ Rosa Maria" w:date="2023-08-29T11:06:00Z" w:original="2."/>
        </w:fldChar>
      </w:r>
      <w:r>
        <w:tab/>
        <w:t xml:space="preserve">Die TWV prüfte </w:t>
      </w:r>
      <w:r>
        <w:rPr>
          <w:spacing w:val="-4"/>
        </w:rPr>
        <w:t>auf ihrer siebenundfünfzigsten Tagung</w:t>
      </w:r>
      <w:r w:rsidR="001A4E8A" w:rsidRPr="001A4E8A">
        <w:rPr>
          <w:spacing w:val="-4"/>
          <w:vertAlign w:val="superscript"/>
        </w:rPr>
        <w:fldChar w:fldCharType="begin"/>
      </w:r>
      <w:r w:rsidR="001A4E8A" w:rsidRPr="001A4E8A">
        <w:rPr>
          <w:spacing w:val="-4"/>
          <w:vertAlign w:val="superscript"/>
        </w:rPr>
        <w:instrText xml:space="preserve"> NOTEREF _Ref145616140 \h </w:instrText>
      </w:r>
      <w:r w:rsidR="001A4E8A" w:rsidRPr="001A4E8A">
        <w:rPr>
          <w:spacing w:val="-4"/>
          <w:vertAlign w:val="superscript"/>
        </w:rPr>
      </w:r>
      <w:r w:rsidR="001A4E8A">
        <w:rPr>
          <w:spacing w:val="-4"/>
          <w:vertAlign w:val="superscript"/>
        </w:rPr>
        <w:instrText xml:space="preserve"> \* MERGEFORMAT </w:instrText>
      </w:r>
      <w:r w:rsidR="001A4E8A" w:rsidRPr="001A4E8A">
        <w:rPr>
          <w:spacing w:val="-4"/>
          <w:vertAlign w:val="superscript"/>
        </w:rPr>
        <w:fldChar w:fldCharType="separate"/>
      </w:r>
      <w:r w:rsidR="001A4E8A" w:rsidRPr="001A4E8A">
        <w:rPr>
          <w:spacing w:val="-4"/>
          <w:vertAlign w:val="superscript"/>
        </w:rPr>
        <w:t>7</w:t>
      </w:r>
      <w:r w:rsidR="001A4E8A" w:rsidRPr="001A4E8A">
        <w:rPr>
          <w:spacing w:val="-4"/>
          <w:vertAlign w:val="superscript"/>
        </w:rPr>
        <w:fldChar w:fldCharType="end"/>
      </w:r>
      <w:r>
        <w:t xml:space="preserve"> die Überarbeitung der Ausprägungsstufen in dem Beispiel für Merkmale in Dokument TGP/12/2, Abschnitt 2.3.2, um die Verwendung des Wortes „hoch-“ in nur einer Ausprägungsstufe zu behandeln (vergleiche Dokument TWV</w:t>
      </w:r>
      <w:r w:rsidR="000B0E8D">
        <w:t>/57/26</w:t>
      </w:r>
      <w:r>
        <w:t xml:space="preserve"> „</w:t>
      </w:r>
      <w:r>
        <w:rPr>
          <w:i/>
          <w:iCs/>
        </w:rPr>
        <w:t>Report</w:t>
      </w:r>
      <w:r>
        <w:t>“, Absätze 15 und 16).</w:t>
      </w:r>
    </w:p>
    <w:p w14:paraId="310C20E9" w14:textId="1DDC4DC9" w:rsidR="0037709B" w:rsidRDefault="0037709B" w:rsidP="0037709B">
      <w:pPr>
        <w:jc w:val="left"/>
      </w:pPr>
    </w:p>
    <w:p w14:paraId="27A0E6C5" w14:textId="5C296324" w:rsidR="008A735E" w:rsidRDefault="008A735E" w:rsidP="008A735E">
      <w:pPr>
        <w:ind w:firstLine="567"/>
        <w:jc w:val="left"/>
        <w:rPr>
          <w:u w:val="single"/>
        </w:rPr>
      </w:pPr>
      <w:r>
        <w:rPr>
          <w:u w:val="single"/>
        </w:rPr>
        <w:t>Vorschlag: Ersetzung des Beispiels für Merkmale in Dokument TGP/12/2, Abschnitt 2.3.2</w:t>
      </w:r>
    </w:p>
    <w:p w14:paraId="3ACD3398" w14:textId="77777777" w:rsidR="008A735E" w:rsidRPr="008A735E" w:rsidRDefault="008A735E" w:rsidP="008A735E">
      <w:pPr>
        <w:ind w:firstLine="567"/>
        <w:jc w:val="left"/>
        <w:rPr>
          <w:u w:val="single"/>
        </w:rPr>
      </w:pPr>
    </w:p>
    <w:p w14:paraId="3957587F" w14:textId="3320EB7C" w:rsidR="0037709B" w:rsidRDefault="00282450" w:rsidP="0037709B">
      <w:pPr>
        <w:keepNext/>
      </w:pPr>
      <w:r>
        <w:fldChar w:fldCharType="begin"/>
      </w:r>
      <w:r>
        <w:instrText xml:space="preserve"> LISTNUM  LegalDefault \l 1 </w:instrText>
      </w:r>
      <w:r>
        <w:fldChar w:fldCharType="end">
          <w:numberingChange w:id="117" w:author="SANCHEZ VIZCAINO GOMEZ Rosa Maria" w:date="2023-08-29T11:06:00Z" w:original="3."/>
        </w:fldChar>
      </w:r>
      <w:r>
        <w:tab/>
        <w:t>Die TWV stellte fest, dass das in Dokument TGP/12/2</w:t>
      </w:r>
      <w:r w:rsidR="006A5249">
        <w:t xml:space="preserve"> unter </w:t>
      </w:r>
      <w:r>
        <w:t xml:space="preserve">Abschnitt 2.3.2 genannte Beispiel der Prüfungsrichtlinien für Melone derzeit überarbeitet wird. Die TWV vereinbarte, das Beispiel für Merkmale in Dokument TGP/12 gemäß der vorgeschlagenen Überarbeitung der Prüfungsrichtlinien für Melone zu überarbeiten und schlug folgenden Wortlaut vor </w:t>
      </w:r>
      <w:r>
        <w:rPr>
          <w:spacing w:val="-2"/>
        </w:rPr>
        <w:t xml:space="preserve">(Zusätze sind durch Hervorhebung und </w:t>
      </w:r>
      <w:r>
        <w:rPr>
          <w:spacing w:val="-2"/>
          <w:highlight w:val="lightGray"/>
          <w:u w:val="single"/>
        </w:rPr>
        <w:t>Unterstreichung</w:t>
      </w:r>
      <w:r>
        <w:rPr>
          <w:spacing w:val="-2"/>
        </w:rPr>
        <w:t xml:space="preserve"> und Streichungen sind durch Hervorhebung und </w:t>
      </w:r>
      <w:r>
        <w:rPr>
          <w:strike/>
          <w:spacing w:val="-2"/>
          <w:highlight w:val="lightGray"/>
        </w:rPr>
        <w:t>Durchstreichen</w:t>
      </w:r>
      <w:r>
        <w:rPr>
          <w:spacing w:val="-2"/>
        </w:rPr>
        <w:t xml:space="preserve"> gekennzeichnet):</w:t>
      </w:r>
    </w:p>
    <w:p w14:paraId="7167EEA4" w14:textId="77777777" w:rsidR="000177A2" w:rsidRPr="0088502A" w:rsidRDefault="000177A2" w:rsidP="0037709B">
      <w:pPr>
        <w:keepNext/>
      </w:pPr>
    </w:p>
    <w:p w14:paraId="66EACF69" w14:textId="77777777" w:rsidR="0037709B" w:rsidRPr="008A735E" w:rsidRDefault="0037709B" w:rsidP="0037709B">
      <w:pPr>
        <w:keepNext/>
        <w:rPr>
          <w:u w:val="single"/>
        </w:rPr>
      </w:pPr>
    </w:p>
    <w:tbl>
      <w:tblPr>
        <w:tblW w:w="5204" w:type="dxa"/>
        <w:tblInd w:w="1276"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567"/>
        <w:gridCol w:w="567"/>
        <w:gridCol w:w="1843"/>
        <w:gridCol w:w="1559"/>
        <w:gridCol w:w="668"/>
      </w:tblGrid>
      <w:tr w:rsidR="0037709B" w:rsidRPr="008A735E" w14:paraId="36519BE2" w14:textId="77777777" w:rsidTr="00093162">
        <w:trPr>
          <w:trHeight w:val="500"/>
        </w:trPr>
        <w:tc>
          <w:tcPr>
            <w:tcW w:w="567" w:type="dxa"/>
            <w:tcBorders>
              <w:top w:val="single" w:sz="4" w:space="0" w:color="auto"/>
              <w:left w:val="nil"/>
              <w:bottom w:val="nil"/>
              <w:right w:val="nil"/>
            </w:tcBorders>
            <w:hideMark/>
          </w:tcPr>
          <w:p w14:paraId="5923CFBA" w14:textId="77777777" w:rsidR="0037709B" w:rsidRPr="008A735E" w:rsidRDefault="0037709B" w:rsidP="00093162">
            <w:pPr>
              <w:pStyle w:val="Normaltb"/>
              <w:spacing w:before="60" w:after="60"/>
              <w:jc w:val="center"/>
              <w:rPr>
                <w:rFonts w:ascii="Arial" w:hAnsi="Arial" w:cs="Arial"/>
                <w:sz w:val="16"/>
                <w:szCs w:val="16"/>
                <w:highlight w:val="lightGray"/>
                <w:u w:val="single"/>
              </w:rPr>
            </w:pPr>
            <w:r>
              <w:rPr>
                <w:rFonts w:ascii="Arial" w:hAnsi="Arial" w:cs="Arial"/>
                <w:sz w:val="16"/>
                <w:szCs w:val="16"/>
                <w:highlight w:val="lightGray"/>
                <w:u w:val="single"/>
              </w:rPr>
              <w:t>70.</w:t>
            </w:r>
          </w:p>
        </w:tc>
        <w:tc>
          <w:tcPr>
            <w:tcW w:w="567" w:type="dxa"/>
            <w:tcBorders>
              <w:top w:val="single" w:sz="4" w:space="0" w:color="auto"/>
              <w:left w:val="nil"/>
              <w:bottom w:val="nil"/>
              <w:right w:val="nil"/>
            </w:tcBorders>
            <w:hideMark/>
          </w:tcPr>
          <w:p w14:paraId="4DE4F194" w14:textId="77777777" w:rsidR="0037709B" w:rsidRPr="008A735E" w:rsidRDefault="0037709B" w:rsidP="00093162">
            <w:pPr>
              <w:pStyle w:val="Normaltb"/>
              <w:spacing w:before="60" w:after="60"/>
              <w:rPr>
                <w:rFonts w:ascii="Arial" w:hAnsi="Arial" w:cs="Arial"/>
                <w:sz w:val="16"/>
                <w:szCs w:val="16"/>
                <w:highlight w:val="lightGray"/>
                <w:u w:val="single"/>
              </w:rPr>
            </w:pPr>
            <w:r>
              <w:rPr>
                <w:rFonts w:ascii="Arial" w:hAnsi="Arial" w:cs="Arial"/>
                <w:sz w:val="16"/>
                <w:szCs w:val="16"/>
                <w:highlight w:val="lightGray"/>
                <w:u w:val="single"/>
              </w:rPr>
              <w:t>VG</w:t>
            </w:r>
            <w:r>
              <w:rPr>
                <w:rFonts w:ascii="Arial" w:hAnsi="Arial" w:cs="Arial"/>
                <w:sz w:val="16"/>
                <w:szCs w:val="16"/>
                <w:highlight w:val="lightGray"/>
                <w:u w:val="single"/>
              </w:rPr>
              <w:br/>
            </w:r>
          </w:p>
        </w:tc>
        <w:tc>
          <w:tcPr>
            <w:tcW w:w="1843" w:type="dxa"/>
            <w:tcBorders>
              <w:top w:val="single" w:sz="4" w:space="0" w:color="auto"/>
              <w:left w:val="nil"/>
              <w:bottom w:val="nil"/>
              <w:right w:val="nil"/>
            </w:tcBorders>
            <w:hideMark/>
          </w:tcPr>
          <w:p w14:paraId="6314A0E4" w14:textId="77777777" w:rsidR="0037709B" w:rsidRPr="008A735E" w:rsidRDefault="0037709B" w:rsidP="00093162">
            <w:pPr>
              <w:pStyle w:val="Normaltb"/>
              <w:spacing w:before="60" w:after="60"/>
              <w:rPr>
                <w:rFonts w:ascii="Arial" w:hAnsi="Arial" w:cs="Arial"/>
                <w:sz w:val="16"/>
                <w:szCs w:val="16"/>
                <w:highlight w:val="lightGray"/>
                <w:u w:val="single"/>
              </w:rPr>
            </w:pPr>
            <w:r>
              <w:rPr>
                <w:rFonts w:ascii="Arial" w:hAnsi="Arial" w:cs="Arial"/>
                <w:sz w:val="16"/>
                <w:szCs w:val="16"/>
                <w:highlight w:val="lightGray"/>
                <w:u w:val="single"/>
              </w:rPr>
              <w:t xml:space="preserve">Resistenz gegen </w:t>
            </w:r>
            <w:r>
              <w:rPr>
                <w:rFonts w:ascii="Arial" w:hAnsi="Arial" w:cs="Arial"/>
                <w:i/>
                <w:sz w:val="16"/>
                <w:szCs w:val="16"/>
                <w:highlight w:val="lightGray"/>
                <w:u w:val="single"/>
              </w:rPr>
              <w:t xml:space="preserve">Podosphaera xanthii </w:t>
            </w:r>
            <w:r>
              <w:rPr>
                <w:rFonts w:ascii="Arial" w:hAnsi="Arial" w:cs="Arial"/>
                <w:iCs/>
                <w:snapToGrid w:val="0"/>
                <w:sz w:val="16"/>
                <w:szCs w:val="16"/>
                <w:highlight w:val="lightGray"/>
                <w:u w:val="single"/>
              </w:rPr>
              <w:t>(Px)</w:t>
            </w:r>
            <w:r>
              <w:rPr>
                <w:rFonts w:ascii="Arial" w:hAnsi="Arial" w:cs="Arial"/>
                <w:snapToGrid w:val="0"/>
                <w:sz w:val="16"/>
                <w:szCs w:val="16"/>
                <w:highlight w:val="lightGray"/>
                <w:u w:val="single"/>
              </w:rPr>
              <w:t xml:space="preserve"> (ex</w:t>
            </w:r>
            <w:r>
              <w:rPr>
                <w:rFonts w:ascii="Arial" w:hAnsi="Arial" w:cs="Arial"/>
                <w:i/>
                <w:snapToGrid w:val="0"/>
                <w:sz w:val="16"/>
                <w:szCs w:val="16"/>
                <w:highlight w:val="lightGray"/>
                <w:u w:val="single"/>
              </w:rPr>
              <w:t xml:space="preserve"> Sphaerotheca fuliginea)</w:t>
            </w:r>
            <w:r>
              <w:rPr>
                <w:rFonts w:ascii="Arial" w:hAnsi="Arial" w:cs="Arial"/>
                <w:sz w:val="16"/>
                <w:szCs w:val="16"/>
                <w:highlight w:val="lightGray"/>
                <w:u w:val="single"/>
              </w:rPr>
              <w:t xml:space="preserve"> (Echter Mehltau)</w:t>
            </w:r>
          </w:p>
        </w:tc>
        <w:tc>
          <w:tcPr>
            <w:tcW w:w="1559" w:type="dxa"/>
            <w:tcBorders>
              <w:top w:val="single" w:sz="4" w:space="0" w:color="auto"/>
              <w:left w:val="nil"/>
              <w:bottom w:val="nil"/>
              <w:right w:val="nil"/>
            </w:tcBorders>
          </w:tcPr>
          <w:p w14:paraId="296D3AC6" w14:textId="77777777" w:rsidR="0037709B" w:rsidRPr="008A735E" w:rsidRDefault="0037709B" w:rsidP="00093162">
            <w:pPr>
              <w:pStyle w:val="Normaltb"/>
              <w:spacing w:before="60" w:after="60"/>
              <w:rPr>
                <w:rFonts w:ascii="Arial" w:hAnsi="Arial" w:cs="Arial"/>
                <w:noProof w:val="0"/>
                <w:sz w:val="16"/>
                <w:szCs w:val="16"/>
                <w:highlight w:val="lightGray"/>
                <w:u w:val="single"/>
              </w:rPr>
            </w:pPr>
          </w:p>
        </w:tc>
        <w:tc>
          <w:tcPr>
            <w:tcW w:w="668" w:type="dxa"/>
            <w:tcBorders>
              <w:top w:val="single" w:sz="4" w:space="0" w:color="auto"/>
              <w:left w:val="nil"/>
              <w:bottom w:val="nil"/>
              <w:right w:val="nil"/>
            </w:tcBorders>
          </w:tcPr>
          <w:p w14:paraId="5E747FA4" w14:textId="77777777" w:rsidR="0037709B" w:rsidRPr="008A735E" w:rsidRDefault="0037709B" w:rsidP="00093162">
            <w:pPr>
              <w:pStyle w:val="Normaltb"/>
              <w:spacing w:before="60" w:after="60"/>
              <w:rPr>
                <w:rFonts w:ascii="Arial" w:hAnsi="Arial" w:cs="Arial"/>
                <w:noProof w:val="0"/>
                <w:sz w:val="16"/>
                <w:szCs w:val="16"/>
                <w:highlight w:val="lightGray"/>
                <w:u w:val="single"/>
              </w:rPr>
            </w:pPr>
          </w:p>
        </w:tc>
      </w:tr>
      <w:tr w:rsidR="0037709B" w:rsidRPr="008A735E" w14:paraId="0EFDF4A0" w14:textId="77777777" w:rsidTr="00093162">
        <w:trPr>
          <w:trHeight w:val="157"/>
        </w:trPr>
        <w:tc>
          <w:tcPr>
            <w:tcW w:w="567" w:type="dxa"/>
            <w:tcBorders>
              <w:top w:val="nil"/>
              <w:left w:val="nil"/>
              <w:bottom w:val="nil"/>
              <w:right w:val="nil"/>
            </w:tcBorders>
          </w:tcPr>
          <w:p w14:paraId="73D5F6C1" w14:textId="77777777" w:rsidR="0037709B" w:rsidRPr="008A735E" w:rsidRDefault="0037709B" w:rsidP="00093162">
            <w:pPr>
              <w:pStyle w:val="Normalt"/>
              <w:keepNext/>
              <w:spacing w:before="60" w:after="60"/>
              <w:rPr>
                <w:rFonts w:ascii="Arial" w:hAnsi="Arial" w:cs="Arial"/>
                <w:b/>
                <w:noProof w:val="0"/>
                <w:sz w:val="16"/>
                <w:szCs w:val="16"/>
                <w:highlight w:val="lightGray"/>
                <w:u w:val="single"/>
              </w:rPr>
            </w:pPr>
          </w:p>
        </w:tc>
        <w:tc>
          <w:tcPr>
            <w:tcW w:w="567" w:type="dxa"/>
            <w:tcBorders>
              <w:top w:val="nil"/>
              <w:left w:val="nil"/>
              <w:bottom w:val="nil"/>
              <w:right w:val="nil"/>
            </w:tcBorders>
          </w:tcPr>
          <w:p w14:paraId="72683927" w14:textId="77777777" w:rsidR="0037709B" w:rsidRPr="008A735E" w:rsidRDefault="0037709B" w:rsidP="00093162">
            <w:pPr>
              <w:pStyle w:val="Normalt"/>
              <w:keepNext/>
              <w:spacing w:before="60" w:after="60"/>
              <w:rPr>
                <w:rFonts w:ascii="Arial" w:hAnsi="Arial" w:cs="Arial"/>
                <w:b/>
                <w:noProof w:val="0"/>
                <w:sz w:val="16"/>
                <w:szCs w:val="16"/>
                <w:highlight w:val="lightGray"/>
                <w:u w:val="single"/>
              </w:rPr>
            </w:pPr>
          </w:p>
        </w:tc>
        <w:tc>
          <w:tcPr>
            <w:tcW w:w="1843" w:type="dxa"/>
            <w:tcBorders>
              <w:top w:val="nil"/>
              <w:left w:val="nil"/>
              <w:bottom w:val="nil"/>
              <w:right w:val="nil"/>
            </w:tcBorders>
            <w:hideMark/>
          </w:tcPr>
          <w:p w14:paraId="236594DD" w14:textId="77777777" w:rsidR="0037709B" w:rsidRPr="008A735E" w:rsidRDefault="0037709B" w:rsidP="00093162">
            <w:pPr>
              <w:pStyle w:val="Normalt"/>
              <w:keepNext/>
              <w:spacing w:before="60" w:after="60"/>
              <w:rPr>
                <w:rFonts w:ascii="Arial" w:hAnsi="Arial" w:cs="Arial"/>
                <w:sz w:val="16"/>
                <w:szCs w:val="16"/>
                <w:highlight w:val="lightGray"/>
                <w:u w:val="single"/>
              </w:rPr>
            </w:pPr>
            <w:r>
              <w:rPr>
                <w:rFonts w:ascii="Arial" w:hAnsi="Arial" w:cs="Arial"/>
                <w:sz w:val="16"/>
                <w:szCs w:val="16"/>
                <w:highlight w:val="lightGray"/>
                <w:u w:val="single"/>
              </w:rPr>
              <w:t>---------------------------------</w:t>
            </w:r>
          </w:p>
        </w:tc>
        <w:tc>
          <w:tcPr>
            <w:tcW w:w="1559" w:type="dxa"/>
            <w:tcBorders>
              <w:top w:val="nil"/>
              <w:left w:val="nil"/>
              <w:bottom w:val="nil"/>
              <w:right w:val="nil"/>
            </w:tcBorders>
            <w:hideMark/>
          </w:tcPr>
          <w:p w14:paraId="0B0CBA54" w14:textId="77777777" w:rsidR="0037709B" w:rsidRPr="008A735E" w:rsidRDefault="0037709B" w:rsidP="00093162">
            <w:pPr>
              <w:pStyle w:val="Normalt"/>
              <w:keepNext/>
              <w:spacing w:before="60" w:after="60"/>
              <w:rPr>
                <w:rFonts w:ascii="Arial" w:hAnsi="Arial" w:cs="Arial"/>
                <w:sz w:val="16"/>
                <w:szCs w:val="16"/>
                <w:highlight w:val="lightGray"/>
                <w:u w:val="single"/>
              </w:rPr>
            </w:pPr>
            <w:r>
              <w:rPr>
                <w:rFonts w:ascii="Arial" w:hAnsi="Arial" w:cs="Arial"/>
                <w:sz w:val="16"/>
                <w:szCs w:val="16"/>
                <w:highlight w:val="lightGray"/>
                <w:u w:val="single"/>
              </w:rPr>
              <w:t>---------------------------</w:t>
            </w:r>
          </w:p>
        </w:tc>
        <w:tc>
          <w:tcPr>
            <w:tcW w:w="668" w:type="dxa"/>
            <w:tcBorders>
              <w:top w:val="nil"/>
              <w:left w:val="nil"/>
              <w:bottom w:val="nil"/>
              <w:right w:val="nil"/>
            </w:tcBorders>
            <w:hideMark/>
          </w:tcPr>
          <w:p w14:paraId="0254EC68" w14:textId="77777777" w:rsidR="0037709B" w:rsidRPr="008A735E" w:rsidRDefault="0037709B" w:rsidP="00093162">
            <w:pPr>
              <w:pStyle w:val="Normalt"/>
              <w:keepNext/>
              <w:spacing w:before="60" w:after="60"/>
              <w:rPr>
                <w:rFonts w:ascii="Arial" w:hAnsi="Arial" w:cs="Arial"/>
                <w:sz w:val="16"/>
                <w:szCs w:val="16"/>
                <w:highlight w:val="lightGray"/>
                <w:u w:val="single"/>
              </w:rPr>
            </w:pPr>
            <w:r>
              <w:rPr>
                <w:rFonts w:ascii="Arial" w:hAnsi="Arial" w:cs="Arial"/>
                <w:sz w:val="16"/>
                <w:szCs w:val="16"/>
                <w:highlight w:val="lightGray"/>
                <w:u w:val="single"/>
              </w:rPr>
              <w:t>-------</w:t>
            </w:r>
          </w:p>
        </w:tc>
      </w:tr>
      <w:tr w:rsidR="0037709B" w:rsidRPr="008A735E" w14:paraId="1114CFB0" w14:textId="77777777" w:rsidTr="00093162">
        <w:trPr>
          <w:trHeight w:val="500"/>
        </w:trPr>
        <w:tc>
          <w:tcPr>
            <w:tcW w:w="567" w:type="dxa"/>
            <w:tcBorders>
              <w:top w:val="nil"/>
              <w:left w:val="nil"/>
              <w:bottom w:val="nil"/>
              <w:right w:val="nil"/>
            </w:tcBorders>
            <w:hideMark/>
          </w:tcPr>
          <w:p w14:paraId="3F9E635D" w14:textId="77777777" w:rsidR="0037709B" w:rsidRPr="008A735E" w:rsidRDefault="0037709B" w:rsidP="00093162">
            <w:pPr>
              <w:pStyle w:val="Normalt"/>
              <w:keepNext/>
              <w:spacing w:before="60" w:after="60"/>
              <w:jc w:val="center"/>
              <w:rPr>
                <w:rFonts w:ascii="Arial" w:hAnsi="Arial" w:cs="Arial"/>
                <w:b/>
                <w:sz w:val="16"/>
                <w:szCs w:val="16"/>
                <w:highlight w:val="lightGray"/>
                <w:u w:val="single"/>
              </w:rPr>
            </w:pPr>
            <w:r>
              <w:rPr>
                <w:rFonts w:ascii="Arial" w:hAnsi="Arial" w:cs="Arial"/>
                <w:b/>
                <w:sz w:val="16"/>
                <w:szCs w:val="16"/>
                <w:highlight w:val="lightGray"/>
                <w:u w:val="single"/>
              </w:rPr>
              <w:t>70,1</w:t>
            </w:r>
            <w:r>
              <w:rPr>
                <w:rFonts w:ascii="Arial" w:hAnsi="Arial" w:cs="Arial"/>
                <w:b/>
                <w:sz w:val="16"/>
                <w:szCs w:val="16"/>
                <w:highlight w:val="lightGray"/>
                <w:u w:val="single"/>
              </w:rPr>
              <w:br/>
            </w:r>
            <w:r>
              <w:rPr>
                <w:rFonts w:ascii="Arial" w:hAnsi="Arial" w:cs="Arial"/>
                <w:b/>
                <w:sz w:val="16"/>
                <w:szCs w:val="16"/>
                <w:highlight w:val="lightGray"/>
                <w:u w:val="single"/>
              </w:rPr>
              <w:br/>
              <w:t>(+)</w:t>
            </w:r>
          </w:p>
        </w:tc>
        <w:tc>
          <w:tcPr>
            <w:tcW w:w="567" w:type="dxa"/>
            <w:tcBorders>
              <w:top w:val="nil"/>
              <w:left w:val="nil"/>
              <w:bottom w:val="nil"/>
              <w:right w:val="nil"/>
            </w:tcBorders>
          </w:tcPr>
          <w:p w14:paraId="3A56AAF8" w14:textId="77777777" w:rsidR="0037709B" w:rsidRPr="008A735E" w:rsidRDefault="0037709B" w:rsidP="00093162">
            <w:pPr>
              <w:pStyle w:val="Normalt"/>
              <w:keepNext/>
              <w:spacing w:before="60" w:after="60"/>
              <w:jc w:val="center"/>
              <w:rPr>
                <w:rFonts w:ascii="Arial" w:hAnsi="Arial" w:cs="Arial"/>
                <w:b/>
                <w:sz w:val="16"/>
                <w:szCs w:val="16"/>
                <w:highlight w:val="lightGray"/>
                <w:u w:val="single"/>
              </w:rPr>
            </w:pPr>
          </w:p>
        </w:tc>
        <w:tc>
          <w:tcPr>
            <w:tcW w:w="1843" w:type="dxa"/>
            <w:tcBorders>
              <w:top w:val="nil"/>
              <w:left w:val="nil"/>
              <w:bottom w:val="nil"/>
              <w:right w:val="nil"/>
            </w:tcBorders>
            <w:hideMark/>
          </w:tcPr>
          <w:p w14:paraId="29E9D12C" w14:textId="77777777" w:rsidR="0037709B" w:rsidRPr="008A735E" w:rsidRDefault="0037709B" w:rsidP="00093162">
            <w:pPr>
              <w:pStyle w:val="Normalt"/>
              <w:keepNext/>
              <w:spacing w:before="60" w:after="60"/>
              <w:rPr>
                <w:rFonts w:ascii="Arial" w:hAnsi="Arial" w:cs="Arial"/>
                <w:b/>
                <w:sz w:val="16"/>
                <w:szCs w:val="16"/>
                <w:highlight w:val="lightGray"/>
                <w:u w:val="single"/>
              </w:rPr>
            </w:pPr>
            <w:r>
              <w:rPr>
                <w:rFonts w:ascii="Arial" w:hAnsi="Arial" w:cs="Arial"/>
                <w:b/>
                <w:sz w:val="16"/>
                <w:szCs w:val="16"/>
                <w:highlight w:val="lightGray"/>
                <w:u w:val="single"/>
              </w:rPr>
              <w:t xml:space="preserve">Pathotyp 1 </w:t>
            </w:r>
            <w:r>
              <w:rPr>
                <w:rFonts w:ascii="Arial" w:hAnsi="Arial" w:cs="Arial"/>
                <w:b/>
                <w:bCs/>
                <w:iCs/>
                <w:snapToGrid w:val="0"/>
                <w:sz w:val="16"/>
                <w:szCs w:val="16"/>
                <w:highlight w:val="lightGray"/>
                <w:u w:val="single"/>
              </w:rPr>
              <w:t>(Px: 1)</w:t>
            </w:r>
          </w:p>
        </w:tc>
        <w:tc>
          <w:tcPr>
            <w:tcW w:w="1559" w:type="dxa"/>
            <w:tcBorders>
              <w:top w:val="nil"/>
              <w:left w:val="nil"/>
              <w:bottom w:val="nil"/>
              <w:right w:val="nil"/>
            </w:tcBorders>
          </w:tcPr>
          <w:p w14:paraId="0A0A601A" w14:textId="77777777" w:rsidR="0037709B" w:rsidRPr="008A735E" w:rsidRDefault="0037709B" w:rsidP="00093162">
            <w:pPr>
              <w:pStyle w:val="Normalt"/>
              <w:keepNext/>
              <w:spacing w:before="60" w:after="60"/>
              <w:rPr>
                <w:rFonts w:ascii="Arial" w:hAnsi="Arial" w:cs="Arial"/>
                <w:sz w:val="16"/>
                <w:szCs w:val="16"/>
                <w:highlight w:val="lightGray"/>
                <w:u w:val="single"/>
              </w:rPr>
            </w:pPr>
          </w:p>
        </w:tc>
        <w:tc>
          <w:tcPr>
            <w:tcW w:w="668" w:type="dxa"/>
            <w:tcBorders>
              <w:top w:val="nil"/>
              <w:left w:val="nil"/>
              <w:bottom w:val="nil"/>
              <w:right w:val="nil"/>
            </w:tcBorders>
          </w:tcPr>
          <w:p w14:paraId="4B157420" w14:textId="77777777" w:rsidR="0037709B" w:rsidRPr="008A735E" w:rsidRDefault="0037709B" w:rsidP="00093162">
            <w:pPr>
              <w:pStyle w:val="Normalt"/>
              <w:keepNext/>
              <w:spacing w:before="60" w:after="60"/>
              <w:jc w:val="center"/>
              <w:rPr>
                <w:rFonts w:ascii="Arial" w:hAnsi="Arial" w:cs="Arial"/>
                <w:sz w:val="16"/>
                <w:szCs w:val="16"/>
                <w:highlight w:val="lightGray"/>
                <w:u w:val="single"/>
              </w:rPr>
            </w:pPr>
          </w:p>
        </w:tc>
      </w:tr>
      <w:tr w:rsidR="0037709B" w:rsidRPr="008A735E" w14:paraId="0F5F1B95" w14:textId="77777777" w:rsidTr="00093162">
        <w:trPr>
          <w:trHeight w:hRule="exact" w:val="309"/>
        </w:trPr>
        <w:tc>
          <w:tcPr>
            <w:tcW w:w="567" w:type="dxa"/>
            <w:tcBorders>
              <w:top w:val="nil"/>
              <w:left w:val="nil"/>
              <w:bottom w:val="nil"/>
              <w:right w:val="nil"/>
            </w:tcBorders>
            <w:hideMark/>
          </w:tcPr>
          <w:p w14:paraId="6670412B" w14:textId="77777777" w:rsidR="0037709B" w:rsidRPr="008A735E" w:rsidRDefault="0037709B" w:rsidP="00093162">
            <w:pPr>
              <w:pStyle w:val="Normalt"/>
              <w:spacing w:before="60" w:after="60"/>
              <w:jc w:val="center"/>
              <w:rPr>
                <w:rFonts w:ascii="Arial" w:hAnsi="Arial" w:cs="Arial"/>
                <w:b/>
                <w:sz w:val="16"/>
                <w:szCs w:val="16"/>
                <w:highlight w:val="lightGray"/>
                <w:u w:val="single"/>
              </w:rPr>
            </w:pPr>
            <w:r>
              <w:rPr>
                <w:rFonts w:ascii="Arial" w:hAnsi="Arial" w:cs="Arial"/>
                <w:b/>
                <w:noProof w:val="0"/>
                <w:sz w:val="16"/>
                <w:szCs w:val="16"/>
                <w:highlight w:val="lightGray"/>
                <w:u w:val="single"/>
              </w:rPr>
              <w:t>QN</w:t>
            </w:r>
          </w:p>
        </w:tc>
        <w:tc>
          <w:tcPr>
            <w:tcW w:w="567" w:type="dxa"/>
            <w:tcBorders>
              <w:top w:val="nil"/>
              <w:left w:val="nil"/>
              <w:bottom w:val="nil"/>
              <w:right w:val="nil"/>
            </w:tcBorders>
          </w:tcPr>
          <w:p w14:paraId="7B80EB3B" w14:textId="77777777" w:rsidR="0037709B" w:rsidRPr="008A735E" w:rsidRDefault="0037709B" w:rsidP="00093162">
            <w:pPr>
              <w:pStyle w:val="Normalt"/>
              <w:spacing w:before="60" w:after="60"/>
              <w:jc w:val="center"/>
              <w:rPr>
                <w:rFonts w:ascii="Arial" w:hAnsi="Arial" w:cs="Arial"/>
                <w:sz w:val="16"/>
                <w:szCs w:val="16"/>
                <w:highlight w:val="lightGray"/>
                <w:u w:val="single"/>
              </w:rPr>
            </w:pPr>
          </w:p>
        </w:tc>
        <w:tc>
          <w:tcPr>
            <w:tcW w:w="1843" w:type="dxa"/>
            <w:tcBorders>
              <w:top w:val="nil"/>
              <w:left w:val="nil"/>
              <w:bottom w:val="nil"/>
              <w:right w:val="nil"/>
            </w:tcBorders>
            <w:vAlign w:val="center"/>
            <w:hideMark/>
          </w:tcPr>
          <w:p w14:paraId="1BCD23C2" w14:textId="77777777" w:rsidR="0037709B" w:rsidRPr="008A735E" w:rsidRDefault="0037709B" w:rsidP="00093162">
            <w:pPr>
              <w:pStyle w:val="Normalt"/>
              <w:spacing w:before="60" w:after="60"/>
              <w:rPr>
                <w:rFonts w:ascii="Arial" w:hAnsi="Arial" w:cs="Arial"/>
                <w:strike/>
                <w:sz w:val="16"/>
                <w:szCs w:val="16"/>
                <w:highlight w:val="lightGray"/>
                <w:u w:val="single"/>
              </w:rPr>
            </w:pPr>
            <w:r>
              <w:rPr>
                <w:rFonts w:ascii="Arial" w:hAnsi="Arial" w:cs="Arial"/>
                <w:sz w:val="16"/>
                <w:szCs w:val="16"/>
                <w:highlight w:val="lightGray"/>
                <w:u w:val="single"/>
              </w:rPr>
              <w:t>fehlend oder gering</w:t>
            </w:r>
          </w:p>
        </w:tc>
        <w:tc>
          <w:tcPr>
            <w:tcW w:w="1559" w:type="dxa"/>
            <w:tcBorders>
              <w:top w:val="nil"/>
              <w:left w:val="nil"/>
              <w:bottom w:val="nil"/>
              <w:right w:val="nil"/>
            </w:tcBorders>
            <w:vAlign w:val="center"/>
            <w:hideMark/>
          </w:tcPr>
          <w:p w14:paraId="27E17D8E" w14:textId="77777777" w:rsidR="0037709B" w:rsidRPr="008A735E" w:rsidRDefault="0037709B" w:rsidP="00093162">
            <w:pPr>
              <w:jc w:val="left"/>
              <w:rPr>
                <w:rFonts w:cs="Arial"/>
                <w:color w:val="000000"/>
                <w:sz w:val="16"/>
                <w:szCs w:val="16"/>
                <w:highlight w:val="lightGray"/>
                <w:u w:val="single"/>
                <w:lang w:eastAsia="fr-FR"/>
              </w:rPr>
            </w:pPr>
            <w:r>
              <w:rPr>
                <w:rFonts w:cs="Arial"/>
                <w:color w:val="000000"/>
                <w:sz w:val="16"/>
                <w:szCs w:val="16"/>
                <w:highlight w:val="lightGray"/>
                <w:u w:val="single"/>
              </w:rPr>
              <w:t>Védrantais</w:t>
            </w:r>
          </w:p>
        </w:tc>
        <w:tc>
          <w:tcPr>
            <w:tcW w:w="668" w:type="dxa"/>
            <w:tcBorders>
              <w:top w:val="nil"/>
              <w:left w:val="nil"/>
              <w:bottom w:val="nil"/>
              <w:right w:val="nil"/>
            </w:tcBorders>
            <w:vAlign w:val="center"/>
            <w:hideMark/>
          </w:tcPr>
          <w:p w14:paraId="109A6D48" w14:textId="77777777" w:rsidR="0037709B" w:rsidRPr="008A735E" w:rsidRDefault="0037709B" w:rsidP="00093162">
            <w:pPr>
              <w:pStyle w:val="Normalt"/>
              <w:spacing w:before="60" w:after="60"/>
              <w:jc w:val="center"/>
              <w:rPr>
                <w:rFonts w:ascii="Arial" w:hAnsi="Arial" w:cs="Arial"/>
                <w:sz w:val="16"/>
                <w:szCs w:val="16"/>
                <w:highlight w:val="lightGray"/>
                <w:u w:val="single"/>
              </w:rPr>
            </w:pPr>
            <w:r>
              <w:rPr>
                <w:rFonts w:ascii="Arial" w:hAnsi="Arial" w:cs="Arial"/>
                <w:sz w:val="16"/>
                <w:szCs w:val="16"/>
                <w:highlight w:val="lightGray"/>
                <w:u w:val="single"/>
              </w:rPr>
              <w:t>1</w:t>
            </w:r>
          </w:p>
        </w:tc>
      </w:tr>
      <w:tr w:rsidR="0037709B" w:rsidRPr="008A735E" w14:paraId="04036844" w14:textId="77777777" w:rsidTr="00093162">
        <w:trPr>
          <w:trHeight w:hRule="exact" w:val="363"/>
        </w:trPr>
        <w:tc>
          <w:tcPr>
            <w:tcW w:w="567" w:type="dxa"/>
            <w:tcBorders>
              <w:top w:val="nil"/>
              <w:left w:val="nil"/>
              <w:bottom w:val="nil"/>
              <w:right w:val="nil"/>
            </w:tcBorders>
          </w:tcPr>
          <w:p w14:paraId="4EB1CDFD" w14:textId="77777777" w:rsidR="0037709B" w:rsidRPr="008A735E" w:rsidRDefault="0037709B" w:rsidP="00093162">
            <w:pPr>
              <w:pStyle w:val="Normalt"/>
              <w:spacing w:before="60" w:after="60"/>
              <w:jc w:val="center"/>
              <w:rPr>
                <w:rFonts w:ascii="Arial" w:hAnsi="Arial" w:cs="Arial"/>
                <w:b/>
                <w:sz w:val="16"/>
                <w:szCs w:val="16"/>
                <w:highlight w:val="lightGray"/>
                <w:u w:val="single"/>
              </w:rPr>
            </w:pPr>
          </w:p>
        </w:tc>
        <w:tc>
          <w:tcPr>
            <w:tcW w:w="567" w:type="dxa"/>
            <w:tcBorders>
              <w:top w:val="nil"/>
              <w:left w:val="nil"/>
              <w:bottom w:val="nil"/>
              <w:right w:val="nil"/>
            </w:tcBorders>
          </w:tcPr>
          <w:p w14:paraId="163838DB" w14:textId="77777777" w:rsidR="0037709B" w:rsidRPr="008A735E" w:rsidRDefault="0037709B" w:rsidP="00093162">
            <w:pPr>
              <w:pStyle w:val="Normalt"/>
              <w:spacing w:before="60" w:after="60"/>
              <w:jc w:val="center"/>
              <w:rPr>
                <w:rFonts w:ascii="Arial" w:hAnsi="Arial" w:cs="Arial"/>
                <w:sz w:val="16"/>
                <w:szCs w:val="16"/>
                <w:highlight w:val="lightGray"/>
                <w:u w:val="single"/>
              </w:rPr>
            </w:pPr>
          </w:p>
        </w:tc>
        <w:tc>
          <w:tcPr>
            <w:tcW w:w="1843" w:type="dxa"/>
            <w:tcBorders>
              <w:top w:val="nil"/>
              <w:left w:val="nil"/>
              <w:bottom w:val="nil"/>
              <w:right w:val="nil"/>
            </w:tcBorders>
            <w:vAlign w:val="center"/>
            <w:hideMark/>
          </w:tcPr>
          <w:p w14:paraId="05E9EA27" w14:textId="77777777" w:rsidR="0037709B" w:rsidRPr="008A735E" w:rsidRDefault="0037709B" w:rsidP="00093162">
            <w:pPr>
              <w:pStyle w:val="Normalt"/>
              <w:spacing w:before="60" w:after="60"/>
              <w:rPr>
                <w:rFonts w:ascii="Arial" w:hAnsi="Arial" w:cs="Arial"/>
                <w:strike/>
                <w:sz w:val="16"/>
                <w:szCs w:val="16"/>
                <w:highlight w:val="lightGray"/>
                <w:u w:val="single"/>
              </w:rPr>
            </w:pPr>
            <w:r>
              <w:rPr>
                <w:rFonts w:ascii="Arial" w:hAnsi="Arial" w:cs="Arial"/>
                <w:sz w:val="16"/>
                <w:szCs w:val="16"/>
                <w:highlight w:val="lightGray"/>
                <w:u w:val="single"/>
              </w:rPr>
              <w:t>mittel</w:t>
            </w:r>
          </w:p>
        </w:tc>
        <w:tc>
          <w:tcPr>
            <w:tcW w:w="1559" w:type="dxa"/>
            <w:tcBorders>
              <w:top w:val="nil"/>
              <w:left w:val="nil"/>
              <w:bottom w:val="nil"/>
              <w:right w:val="nil"/>
            </w:tcBorders>
            <w:vAlign w:val="center"/>
            <w:hideMark/>
          </w:tcPr>
          <w:p w14:paraId="79C87D4E" w14:textId="77777777" w:rsidR="0037709B" w:rsidRPr="008A735E" w:rsidRDefault="0037709B" w:rsidP="00093162">
            <w:pPr>
              <w:jc w:val="left"/>
              <w:rPr>
                <w:rFonts w:cs="Arial"/>
                <w:color w:val="000000"/>
                <w:sz w:val="16"/>
                <w:szCs w:val="16"/>
                <w:highlight w:val="lightGray"/>
                <w:u w:val="single"/>
                <w:lang w:eastAsia="fr-FR"/>
              </w:rPr>
            </w:pPr>
            <w:r>
              <w:rPr>
                <w:rFonts w:cs="Arial"/>
                <w:color w:val="000000"/>
                <w:sz w:val="16"/>
                <w:szCs w:val="16"/>
                <w:highlight w:val="lightGray"/>
                <w:u w:val="single"/>
              </w:rPr>
              <w:t>Escrito</w:t>
            </w:r>
          </w:p>
        </w:tc>
        <w:tc>
          <w:tcPr>
            <w:tcW w:w="668" w:type="dxa"/>
            <w:tcBorders>
              <w:top w:val="nil"/>
              <w:left w:val="nil"/>
              <w:bottom w:val="nil"/>
              <w:right w:val="nil"/>
            </w:tcBorders>
            <w:vAlign w:val="center"/>
            <w:hideMark/>
          </w:tcPr>
          <w:p w14:paraId="1B7C20CF" w14:textId="77777777" w:rsidR="0037709B" w:rsidRPr="008A735E" w:rsidRDefault="0037709B" w:rsidP="00093162">
            <w:pPr>
              <w:pStyle w:val="Normalt"/>
              <w:spacing w:before="60" w:after="60"/>
              <w:jc w:val="center"/>
              <w:rPr>
                <w:rFonts w:ascii="Arial" w:hAnsi="Arial" w:cs="Arial"/>
                <w:sz w:val="16"/>
                <w:szCs w:val="16"/>
                <w:highlight w:val="lightGray"/>
                <w:u w:val="single"/>
              </w:rPr>
            </w:pPr>
            <w:r>
              <w:rPr>
                <w:rFonts w:ascii="Arial" w:hAnsi="Arial" w:cs="Arial"/>
                <w:sz w:val="16"/>
                <w:szCs w:val="16"/>
                <w:highlight w:val="lightGray"/>
                <w:u w:val="single"/>
              </w:rPr>
              <w:t>2</w:t>
            </w:r>
          </w:p>
        </w:tc>
      </w:tr>
      <w:tr w:rsidR="0037709B" w:rsidRPr="008A735E" w14:paraId="36F06145" w14:textId="77777777" w:rsidTr="00093162">
        <w:trPr>
          <w:trHeight w:val="354"/>
        </w:trPr>
        <w:tc>
          <w:tcPr>
            <w:tcW w:w="567" w:type="dxa"/>
            <w:tcBorders>
              <w:top w:val="nil"/>
              <w:left w:val="nil"/>
              <w:bottom w:val="nil"/>
              <w:right w:val="nil"/>
            </w:tcBorders>
          </w:tcPr>
          <w:p w14:paraId="11C39B9F" w14:textId="77777777" w:rsidR="0037709B" w:rsidRPr="008A735E" w:rsidRDefault="0037709B" w:rsidP="00093162">
            <w:pPr>
              <w:pStyle w:val="Normalt"/>
              <w:spacing w:before="60" w:after="60"/>
              <w:jc w:val="center"/>
              <w:rPr>
                <w:rFonts w:ascii="Arial" w:hAnsi="Arial" w:cs="Arial"/>
                <w:b/>
                <w:sz w:val="16"/>
                <w:szCs w:val="16"/>
                <w:highlight w:val="lightGray"/>
                <w:u w:val="single"/>
              </w:rPr>
            </w:pPr>
          </w:p>
        </w:tc>
        <w:tc>
          <w:tcPr>
            <w:tcW w:w="567" w:type="dxa"/>
            <w:tcBorders>
              <w:top w:val="nil"/>
              <w:left w:val="nil"/>
              <w:bottom w:val="nil"/>
              <w:right w:val="nil"/>
            </w:tcBorders>
          </w:tcPr>
          <w:p w14:paraId="1835EEF7" w14:textId="77777777" w:rsidR="0037709B" w:rsidRPr="008A735E" w:rsidRDefault="0037709B" w:rsidP="00093162">
            <w:pPr>
              <w:pStyle w:val="Normalt"/>
              <w:spacing w:before="60" w:after="60"/>
              <w:jc w:val="center"/>
              <w:rPr>
                <w:rFonts w:ascii="Arial" w:hAnsi="Arial" w:cs="Arial"/>
                <w:sz w:val="16"/>
                <w:szCs w:val="16"/>
                <w:highlight w:val="lightGray"/>
                <w:u w:val="single"/>
              </w:rPr>
            </w:pPr>
          </w:p>
        </w:tc>
        <w:tc>
          <w:tcPr>
            <w:tcW w:w="1843" w:type="dxa"/>
            <w:tcBorders>
              <w:top w:val="nil"/>
              <w:left w:val="nil"/>
              <w:bottom w:val="nil"/>
              <w:right w:val="nil"/>
            </w:tcBorders>
            <w:vAlign w:val="center"/>
            <w:hideMark/>
          </w:tcPr>
          <w:p w14:paraId="681D4927" w14:textId="5C75C759" w:rsidR="0037709B" w:rsidRPr="008A735E" w:rsidRDefault="00274A5F" w:rsidP="00093162">
            <w:pPr>
              <w:pStyle w:val="Normalt"/>
              <w:spacing w:before="60" w:after="60"/>
              <w:rPr>
                <w:rFonts w:ascii="Arial" w:hAnsi="Arial" w:cs="Arial"/>
                <w:strike/>
                <w:sz w:val="16"/>
                <w:szCs w:val="16"/>
                <w:highlight w:val="lightGray"/>
                <w:u w:val="single"/>
              </w:rPr>
            </w:pPr>
            <w:r>
              <w:rPr>
                <w:rFonts w:ascii="Arial" w:hAnsi="Arial" w:cs="Arial"/>
                <w:sz w:val="16"/>
                <w:szCs w:val="16"/>
                <w:highlight w:val="lightGray"/>
                <w:u w:val="single"/>
              </w:rPr>
              <w:t>hoch</w:t>
            </w:r>
          </w:p>
        </w:tc>
        <w:tc>
          <w:tcPr>
            <w:tcW w:w="1559" w:type="dxa"/>
            <w:tcBorders>
              <w:top w:val="nil"/>
              <w:left w:val="nil"/>
              <w:bottom w:val="nil"/>
              <w:right w:val="nil"/>
            </w:tcBorders>
            <w:vAlign w:val="center"/>
            <w:hideMark/>
          </w:tcPr>
          <w:p w14:paraId="468C4BB0" w14:textId="77777777" w:rsidR="0037709B" w:rsidRPr="008A735E" w:rsidRDefault="0037709B" w:rsidP="00093162">
            <w:pPr>
              <w:jc w:val="left"/>
              <w:rPr>
                <w:rFonts w:cs="Arial"/>
                <w:color w:val="000000"/>
                <w:sz w:val="16"/>
                <w:szCs w:val="16"/>
                <w:highlight w:val="lightGray"/>
                <w:u w:val="single"/>
                <w:lang w:eastAsia="fr-FR"/>
              </w:rPr>
            </w:pPr>
            <w:r>
              <w:rPr>
                <w:rFonts w:cs="Arial"/>
                <w:color w:val="000000"/>
                <w:sz w:val="16"/>
                <w:szCs w:val="16"/>
                <w:highlight w:val="lightGray"/>
                <w:u w:val="single"/>
              </w:rPr>
              <w:t>Arum</w:t>
            </w:r>
          </w:p>
        </w:tc>
        <w:tc>
          <w:tcPr>
            <w:tcW w:w="668" w:type="dxa"/>
            <w:tcBorders>
              <w:top w:val="nil"/>
              <w:left w:val="nil"/>
              <w:bottom w:val="nil"/>
              <w:right w:val="nil"/>
            </w:tcBorders>
            <w:vAlign w:val="center"/>
            <w:hideMark/>
          </w:tcPr>
          <w:p w14:paraId="0F4075B5" w14:textId="77777777" w:rsidR="0037709B" w:rsidRPr="008A735E" w:rsidRDefault="0037709B" w:rsidP="00093162">
            <w:pPr>
              <w:pStyle w:val="Normalt"/>
              <w:spacing w:before="60" w:after="60"/>
              <w:jc w:val="center"/>
              <w:rPr>
                <w:rFonts w:ascii="Arial" w:hAnsi="Arial" w:cs="Arial"/>
                <w:sz w:val="16"/>
                <w:szCs w:val="16"/>
                <w:highlight w:val="lightGray"/>
                <w:u w:val="single"/>
              </w:rPr>
            </w:pPr>
            <w:r>
              <w:rPr>
                <w:rFonts w:ascii="Arial" w:hAnsi="Arial" w:cs="Arial"/>
                <w:sz w:val="16"/>
                <w:szCs w:val="16"/>
                <w:highlight w:val="lightGray"/>
                <w:u w:val="single"/>
              </w:rPr>
              <w:t>3</w:t>
            </w:r>
          </w:p>
        </w:tc>
      </w:tr>
      <w:tr w:rsidR="0037709B" w:rsidRPr="008A735E" w14:paraId="3C7CCCE2" w14:textId="77777777" w:rsidTr="00093162">
        <w:trPr>
          <w:trHeight w:val="93"/>
        </w:trPr>
        <w:tc>
          <w:tcPr>
            <w:tcW w:w="567" w:type="dxa"/>
            <w:tcBorders>
              <w:top w:val="nil"/>
              <w:left w:val="nil"/>
              <w:bottom w:val="nil"/>
              <w:right w:val="nil"/>
            </w:tcBorders>
          </w:tcPr>
          <w:p w14:paraId="3ED0569A" w14:textId="77777777" w:rsidR="0037709B" w:rsidRPr="008A735E" w:rsidRDefault="0037709B" w:rsidP="00093162">
            <w:pPr>
              <w:pStyle w:val="Normalt"/>
              <w:spacing w:before="60" w:after="60"/>
              <w:jc w:val="center"/>
              <w:rPr>
                <w:rFonts w:ascii="Arial" w:hAnsi="Arial" w:cs="Arial"/>
                <w:b/>
                <w:sz w:val="16"/>
                <w:szCs w:val="16"/>
                <w:highlight w:val="lightGray"/>
                <w:u w:val="single"/>
              </w:rPr>
            </w:pPr>
          </w:p>
        </w:tc>
        <w:tc>
          <w:tcPr>
            <w:tcW w:w="567" w:type="dxa"/>
            <w:tcBorders>
              <w:top w:val="nil"/>
              <w:left w:val="nil"/>
              <w:bottom w:val="nil"/>
              <w:right w:val="nil"/>
            </w:tcBorders>
          </w:tcPr>
          <w:p w14:paraId="5997372C" w14:textId="77777777" w:rsidR="0037709B" w:rsidRPr="008A735E" w:rsidRDefault="0037709B" w:rsidP="00093162">
            <w:pPr>
              <w:pStyle w:val="Normalt"/>
              <w:spacing w:before="60" w:after="60"/>
              <w:jc w:val="center"/>
              <w:rPr>
                <w:rFonts w:ascii="Arial" w:hAnsi="Arial" w:cs="Arial"/>
                <w:b/>
                <w:sz w:val="16"/>
                <w:szCs w:val="16"/>
                <w:highlight w:val="lightGray"/>
                <w:u w:val="single"/>
              </w:rPr>
            </w:pPr>
          </w:p>
        </w:tc>
        <w:tc>
          <w:tcPr>
            <w:tcW w:w="1843" w:type="dxa"/>
            <w:tcBorders>
              <w:top w:val="nil"/>
              <w:left w:val="nil"/>
              <w:bottom w:val="nil"/>
              <w:right w:val="nil"/>
            </w:tcBorders>
            <w:hideMark/>
          </w:tcPr>
          <w:p w14:paraId="192C7C09" w14:textId="77777777" w:rsidR="0037709B" w:rsidRPr="008A735E" w:rsidRDefault="0037709B" w:rsidP="00093162">
            <w:pPr>
              <w:pStyle w:val="Normalt"/>
              <w:spacing w:before="60" w:after="60"/>
              <w:rPr>
                <w:rFonts w:ascii="Arial" w:hAnsi="Arial" w:cs="Arial"/>
                <w:sz w:val="16"/>
                <w:szCs w:val="16"/>
                <w:highlight w:val="lightGray"/>
                <w:u w:val="single"/>
              </w:rPr>
            </w:pPr>
            <w:r>
              <w:rPr>
                <w:rFonts w:ascii="Arial" w:hAnsi="Arial" w:cs="Arial"/>
                <w:sz w:val="16"/>
                <w:szCs w:val="16"/>
                <w:highlight w:val="lightGray"/>
                <w:u w:val="single"/>
              </w:rPr>
              <w:t>---------------------------------</w:t>
            </w:r>
          </w:p>
        </w:tc>
        <w:tc>
          <w:tcPr>
            <w:tcW w:w="1559" w:type="dxa"/>
            <w:tcBorders>
              <w:top w:val="nil"/>
              <w:left w:val="nil"/>
              <w:bottom w:val="nil"/>
              <w:right w:val="nil"/>
            </w:tcBorders>
            <w:hideMark/>
          </w:tcPr>
          <w:p w14:paraId="5A9F3212" w14:textId="77777777" w:rsidR="0037709B" w:rsidRPr="008A735E" w:rsidRDefault="0037709B" w:rsidP="00093162">
            <w:pPr>
              <w:pStyle w:val="Normalt"/>
              <w:spacing w:before="60" w:after="60"/>
              <w:rPr>
                <w:rFonts w:ascii="Arial" w:hAnsi="Arial" w:cs="Arial"/>
                <w:sz w:val="16"/>
                <w:szCs w:val="16"/>
                <w:highlight w:val="lightGray"/>
                <w:u w:val="single"/>
              </w:rPr>
            </w:pPr>
            <w:r>
              <w:rPr>
                <w:rFonts w:ascii="Arial" w:hAnsi="Arial" w:cs="Arial"/>
                <w:sz w:val="16"/>
                <w:szCs w:val="16"/>
                <w:highlight w:val="lightGray"/>
                <w:u w:val="single"/>
              </w:rPr>
              <w:t>----------------------------</w:t>
            </w:r>
          </w:p>
        </w:tc>
        <w:tc>
          <w:tcPr>
            <w:tcW w:w="668" w:type="dxa"/>
            <w:tcBorders>
              <w:top w:val="nil"/>
              <w:left w:val="nil"/>
              <w:bottom w:val="nil"/>
              <w:right w:val="nil"/>
            </w:tcBorders>
            <w:hideMark/>
          </w:tcPr>
          <w:p w14:paraId="2850BD59" w14:textId="77777777" w:rsidR="0037709B" w:rsidRPr="008A735E" w:rsidRDefault="0037709B" w:rsidP="00093162">
            <w:pPr>
              <w:pStyle w:val="Normalt"/>
              <w:spacing w:before="60" w:after="60"/>
              <w:jc w:val="center"/>
              <w:rPr>
                <w:rFonts w:ascii="Arial" w:hAnsi="Arial" w:cs="Arial"/>
                <w:sz w:val="16"/>
                <w:szCs w:val="16"/>
                <w:u w:val="single"/>
              </w:rPr>
            </w:pPr>
            <w:r>
              <w:rPr>
                <w:rFonts w:ascii="Arial" w:hAnsi="Arial" w:cs="Arial"/>
                <w:sz w:val="16"/>
                <w:szCs w:val="16"/>
                <w:highlight w:val="lightGray"/>
                <w:u w:val="single"/>
              </w:rPr>
              <w:t>-------</w:t>
            </w:r>
          </w:p>
        </w:tc>
      </w:tr>
    </w:tbl>
    <w:p w14:paraId="3EE8B65A" w14:textId="1F9FCF42" w:rsidR="0037709B" w:rsidRDefault="0037709B" w:rsidP="0037709B"/>
    <w:p w14:paraId="50DEC8A7" w14:textId="0DC498EB" w:rsidR="00D31CCC" w:rsidRDefault="00D31CCC" w:rsidP="0037709B"/>
    <w:p w14:paraId="4A2B3893" w14:textId="77777777" w:rsidR="00D31CCC" w:rsidRDefault="00D31CCC" w:rsidP="0037709B"/>
    <w:p w14:paraId="00A87836" w14:textId="77777777" w:rsidR="00A62445" w:rsidRPr="0088502A" w:rsidRDefault="00A62445" w:rsidP="00324FE4">
      <w:pPr>
        <w:jc w:val="right"/>
      </w:pPr>
      <w:r>
        <w:t>[Ende der Anlage IV und des Dokuments]</w:t>
      </w:r>
    </w:p>
    <w:sectPr w:rsidR="00A62445" w:rsidRPr="0088502A" w:rsidSect="00282450">
      <w:headerReference w:type="default" r:id="rId26"/>
      <w:headerReference w:type="first" r:id="rId27"/>
      <w:pgSz w:w="11907" w:h="16840" w:code="9"/>
      <w:pgMar w:top="510" w:right="1134" w:bottom="567"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B8BB0" w14:textId="77777777" w:rsidR="009A3897" w:rsidRDefault="009A3897" w:rsidP="006655D3">
      <w:r>
        <w:separator/>
      </w:r>
    </w:p>
    <w:p w14:paraId="277AEB35" w14:textId="77777777" w:rsidR="009A3897" w:rsidRDefault="009A3897" w:rsidP="006655D3"/>
    <w:p w14:paraId="319E04EE" w14:textId="77777777" w:rsidR="009A3897" w:rsidRDefault="009A3897" w:rsidP="006655D3"/>
  </w:endnote>
  <w:endnote w:type="continuationSeparator" w:id="0">
    <w:p w14:paraId="479227F3" w14:textId="77777777" w:rsidR="009A3897" w:rsidRDefault="009A3897" w:rsidP="006655D3">
      <w:r>
        <w:separator/>
      </w:r>
    </w:p>
    <w:p w14:paraId="4D13697F" w14:textId="77777777" w:rsidR="009A3897" w:rsidRPr="00294751" w:rsidRDefault="009A3897">
      <w:pPr>
        <w:pStyle w:val="Footer"/>
        <w:spacing w:after="60"/>
        <w:rPr>
          <w:sz w:val="18"/>
          <w:lang w:val="fr-FR"/>
        </w:rPr>
      </w:pPr>
      <w:r w:rsidRPr="00467BF9">
        <w:rPr>
          <w:sz w:val="18"/>
          <w:lang w:val="fr-FR"/>
        </w:rPr>
        <w:t>[Suite de la note de la page précédente]</w:t>
      </w:r>
    </w:p>
    <w:p w14:paraId="7CC30D44" w14:textId="77777777" w:rsidR="009A3897" w:rsidRPr="00294751" w:rsidRDefault="009A3897" w:rsidP="006655D3">
      <w:pPr>
        <w:rPr>
          <w:lang w:val="fr-FR"/>
        </w:rPr>
      </w:pPr>
    </w:p>
    <w:p w14:paraId="61E0EBA1" w14:textId="77777777" w:rsidR="009A3897" w:rsidRPr="00294751" w:rsidRDefault="009A3897" w:rsidP="006655D3">
      <w:pPr>
        <w:rPr>
          <w:lang w:val="fr-FR"/>
        </w:rPr>
      </w:pPr>
    </w:p>
  </w:endnote>
  <w:endnote w:type="continuationNotice" w:id="1">
    <w:p w14:paraId="308DBF42" w14:textId="77777777" w:rsidR="009A3897" w:rsidRPr="00294751" w:rsidRDefault="009A3897" w:rsidP="006655D3">
      <w:pPr>
        <w:rPr>
          <w:lang w:val="fr-FR"/>
        </w:rPr>
      </w:pPr>
      <w:r w:rsidRPr="00467BF9">
        <w:rPr>
          <w:lang w:val="fr-FR"/>
        </w:rPr>
        <w:t>[Suite de la note page suivante]</w:t>
      </w:r>
    </w:p>
    <w:p w14:paraId="48EF1593" w14:textId="77777777" w:rsidR="009A3897" w:rsidRPr="00294751" w:rsidRDefault="009A3897" w:rsidP="006655D3">
      <w:pPr>
        <w:rPr>
          <w:lang w:val="fr-FR"/>
        </w:rPr>
      </w:pPr>
    </w:p>
    <w:p w14:paraId="171B9700" w14:textId="77777777" w:rsidR="009A3897" w:rsidRPr="00294751" w:rsidRDefault="009A389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0F4C5" w14:textId="77777777" w:rsidR="009A3897" w:rsidRDefault="009A3897" w:rsidP="006655D3">
      <w:r>
        <w:separator/>
      </w:r>
    </w:p>
  </w:footnote>
  <w:footnote w:type="continuationSeparator" w:id="0">
    <w:p w14:paraId="0E88487D" w14:textId="77777777" w:rsidR="009A3897" w:rsidRDefault="009A3897" w:rsidP="006655D3">
      <w:r>
        <w:separator/>
      </w:r>
    </w:p>
  </w:footnote>
  <w:footnote w:type="continuationNotice" w:id="1">
    <w:p w14:paraId="5D83BABB" w14:textId="77777777" w:rsidR="009A3897" w:rsidRPr="00AB530F" w:rsidRDefault="009A3897" w:rsidP="00AB530F">
      <w:pPr>
        <w:pStyle w:val="Footer"/>
      </w:pPr>
    </w:p>
  </w:footnote>
  <w:footnote w:id="2">
    <w:p w14:paraId="4B2C180A" w14:textId="77777777" w:rsidR="00982DEC" w:rsidRPr="00AA6C9E" w:rsidRDefault="00982DEC" w:rsidP="0088502A">
      <w:pPr>
        <w:pStyle w:val="FootnoteText"/>
      </w:pPr>
      <w:r>
        <w:rPr>
          <w:rStyle w:val="FootnoteReference"/>
        </w:rPr>
        <w:footnoteRef/>
      </w:r>
      <w:r>
        <w:t xml:space="preserve"> Am 28. Oktober 2022 abgehalten.</w:t>
      </w:r>
    </w:p>
  </w:footnote>
  <w:footnote w:id="3">
    <w:p w14:paraId="75A326C0" w14:textId="77777777" w:rsidR="00982DEC" w:rsidRPr="00AA6C9E" w:rsidRDefault="00982DEC" w:rsidP="0088502A">
      <w:pPr>
        <w:pStyle w:val="FootnoteText"/>
      </w:pPr>
      <w:r>
        <w:rPr>
          <w:rStyle w:val="FootnoteReference"/>
        </w:rPr>
        <w:footnoteRef/>
      </w:r>
      <w:r>
        <w:t xml:space="preserve"> Am 27. Oktober 2022 abgehalten.</w:t>
      </w:r>
    </w:p>
  </w:footnote>
  <w:footnote w:id="4">
    <w:p w14:paraId="0F127BE7" w14:textId="77777777" w:rsidR="00982DEC" w:rsidRPr="00AA6C9E" w:rsidRDefault="00982DEC" w:rsidP="0088502A">
      <w:pPr>
        <w:pStyle w:val="FootnoteText"/>
      </w:pPr>
      <w:r>
        <w:rPr>
          <w:rStyle w:val="FootnoteReference"/>
        </w:rPr>
        <w:footnoteRef/>
      </w:r>
      <w:r>
        <w:t xml:space="preserve"> Am 14. Dezember 2022 auf elektronischem Wege abgehalten.</w:t>
      </w:r>
    </w:p>
  </w:footnote>
  <w:footnote w:id="5">
    <w:p w14:paraId="532812FA" w14:textId="77777777" w:rsidR="00982DEC" w:rsidRPr="00AA6C9E" w:rsidRDefault="00982DEC" w:rsidP="0088502A">
      <w:pPr>
        <w:pStyle w:val="FootnoteText"/>
      </w:pPr>
      <w:r>
        <w:rPr>
          <w:rStyle w:val="FootnoteReference"/>
        </w:rPr>
        <w:footnoteRef/>
      </w:r>
      <w:r>
        <w:t xml:space="preserve"> Am 27. Februar 2023 auf elektronischem Wege abgehalten.</w:t>
      </w:r>
    </w:p>
  </w:footnote>
  <w:footnote w:id="6">
    <w:p w14:paraId="436CD44A" w14:textId="44BF5480" w:rsidR="00982DEC" w:rsidRPr="00AA6C9E" w:rsidRDefault="00982DEC" w:rsidP="0088502A">
      <w:pPr>
        <w:pStyle w:val="FootnoteText"/>
      </w:pPr>
      <w:r>
        <w:rPr>
          <w:rStyle w:val="FootnoteReference"/>
        </w:rPr>
        <w:footnoteRef/>
      </w:r>
      <w:r>
        <w:t xml:space="preserve"> </w:t>
      </w:r>
      <w:r w:rsidR="008A4C0B">
        <w:t xml:space="preserve">Am </w:t>
      </w:r>
      <w:r>
        <w:t>24. März 2023</w:t>
      </w:r>
      <w:r w:rsidR="008A4C0B">
        <w:t xml:space="preserve"> abgehalten</w:t>
      </w:r>
      <w:r>
        <w:t>.</w:t>
      </w:r>
    </w:p>
  </w:footnote>
  <w:footnote w:id="7">
    <w:p w14:paraId="1060AF7A" w14:textId="4D1A48C6" w:rsidR="008A4C0B" w:rsidRPr="008A4C0B" w:rsidRDefault="008A4C0B">
      <w:pPr>
        <w:pStyle w:val="FootnoteText"/>
        <w:rPr>
          <w:lang w:val="en-US"/>
        </w:rPr>
      </w:pPr>
      <w:r>
        <w:rPr>
          <w:rStyle w:val="FootnoteReference"/>
        </w:rPr>
        <w:footnoteRef/>
      </w:r>
      <w:r>
        <w:t xml:space="preserve"> </w:t>
      </w:r>
      <w:r>
        <w:t xml:space="preserve">Am </w:t>
      </w:r>
      <w:r>
        <w:t xml:space="preserve">24. und </w:t>
      </w:r>
      <w:r>
        <w:t>2</w:t>
      </w:r>
      <w:r>
        <w:t>5</w:t>
      </w:r>
      <w:r>
        <w:t>. Oktober 2022 abgehalten.</w:t>
      </w:r>
    </w:p>
  </w:footnote>
  <w:footnote w:id="8">
    <w:p w14:paraId="42A30815" w14:textId="7F106FFF" w:rsidR="001A4E8A" w:rsidRPr="001A4E8A" w:rsidRDefault="001A4E8A">
      <w:pPr>
        <w:pStyle w:val="FootnoteText"/>
        <w:rPr>
          <w:lang w:val="en-US"/>
        </w:rPr>
      </w:pPr>
      <w:r>
        <w:rPr>
          <w:rStyle w:val="FootnoteReference"/>
        </w:rPr>
        <w:footnoteRef/>
      </w:r>
      <w:r>
        <w:t xml:space="preserve"> </w:t>
      </w:r>
      <w:r>
        <w:t xml:space="preserve">Abgehalten in Antalya, </w:t>
      </w:r>
      <w:r>
        <w:rPr>
          <w:rFonts w:cs="Arial"/>
        </w:rPr>
        <w:t>Türkei</w:t>
      </w:r>
      <w:r>
        <w:t>, vom 1. bis 5. Mai 2023.</w:t>
      </w:r>
    </w:p>
  </w:footnote>
  <w:footnote w:id="9">
    <w:p w14:paraId="7770D7DB" w14:textId="77777777" w:rsidR="00982DEC" w:rsidRPr="00AA6C9E" w:rsidRDefault="00982DEC" w:rsidP="0088502A">
      <w:pPr>
        <w:pStyle w:val="FootnoteText"/>
      </w:pPr>
      <w:r>
        <w:rPr>
          <w:rStyle w:val="FootnoteReference"/>
        </w:rPr>
        <w:footnoteRef/>
      </w:r>
      <w:r>
        <w:t xml:space="preserve"> </w:t>
      </w:r>
      <w:r>
        <w:t>Vom 22. bis 26. Mai 2023 auf elektronischem Wege abgehalten.</w:t>
      </w:r>
    </w:p>
  </w:footnote>
  <w:footnote w:id="10">
    <w:p w14:paraId="4C42CBA2" w14:textId="77777777" w:rsidR="00982DEC" w:rsidRPr="002E13AE" w:rsidRDefault="00982DEC" w:rsidP="002647D9">
      <w:pPr>
        <w:pStyle w:val="FootnoteText"/>
      </w:pPr>
      <w:r>
        <w:rPr>
          <w:rStyle w:val="FootnoteReference"/>
        </w:rPr>
        <w:footnoteRef/>
      </w:r>
      <w:r>
        <w:t xml:space="preserve"> Abgehalten in Nîmes, Frankreich, vom 3. bis 7. Juli 2023.</w:t>
      </w:r>
    </w:p>
  </w:footnote>
  <w:footnote w:id="11">
    <w:p w14:paraId="3F15E7AB" w14:textId="10940A8D" w:rsidR="00982DEC" w:rsidRPr="00087017" w:rsidRDefault="00982DEC" w:rsidP="0088502A">
      <w:pPr>
        <w:pStyle w:val="FootnoteText"/>
      </w:pPr>
      <w:r>
        <w:rPr>
          <w:rStyle w:val="FootnoteReference"/>
        </w:rPr>
        <w:footnoteRef/>
      </w:r>
      <w:r>
        <w:t xml:space="preserve"> Vom 12. bis 16. Juni 2023 auf elektronischem Wege abgehalten</w:t>
      </w:r>
      <w:r w:rsidR="0036125B">
        <w:t>.</w:t>
      </w:r>
    </w:p>
  </w:footnote>
  <w:footnote w:id="12">
    <w:p w14:paraId="37A32849" w14:textId="77777777" w:rsidR="00982DEC" w:rsidRDefault="00982DEC" w:rsidP="0088502A">
      <w:pPr>
        <w:pStyle w:val="FootnoteText"/>
      </w:pPr>
      <w:r>
        <w:rPr>
          <w:rStyle w:val="FootnoteReference"/>
        </w:rPr>
        <w:footnoteRef/>
      </w:r>
      <w:r>
        <w:t xml:space="preserve"> Quelle: </w:t>
      </w:r>
      <w:hyperlink r:id="rId1" w:history="1">
        <w:r>
          <w:rPr>
            <w:rStyle w:val="Hyperlink"/>
          </w:rPr>
          <w:t>https://worldseed.org/</w:t>
        </w:r>
      </w:hyperlink>
    </w:p>
  </w:footnote>
  <w:footnote w:id="13">
    <w:p w14:paraId="094D4F84" w14:textId="0C5641DD" w:rsidR="00982DEC" w:rsidRPr="00FF16C5" w:rsidRDefault="00982DEC" w:rsidP="00C819DA">
      <w:pPr>
        <w:pStyle w:val="Default"/>
        <w:rPr>
          <w:spacing w:val="-4"/>
          <w:sz w:val="16"/>
          <w:szCs w:val="16"/>
        </w:rPr>
      </w:pPr>
      <w:r>
        <w:rPr>
          <w:rStyle w:val="FootnoteReference"/>
          <w:spacing w:val="-4"/>
          <w:sz w:val="16"/>
          <w:szCs w:val="16"/>
        </w:rPr>
        <w:footnoteRef/>
      </w:r>
      <w:r>
        <w:rPr>
          <w:spacing w:val="-4"/>
          <w:sz w:val="16"/>
          <w:szCs w:val="16"/>
        </w:rPr>
        <w:t xml:space="preserve"> In Dokument UPOV/EXN/DEN/1 „Erläuterungen zu Sortenbezeichnungen nach dem UPOV-Übereinkommen“ heißt es: „2.5.2 Die</w:t>
      </w:r>
      <w:r w:rsidR="000B0E8D">
        <w:rPr>
          <w:spacing w:val="-4"/>
          <w:sz w:val="16"/>
          <w:szCs w:val="16"/>
        </w:rPr>
        <w:t> </w:t>
      </w:r>
      <w:r>
        <w:rPr>
          <w:spacing w:val="-4"/>
          <w:sz w:val="16"/>
          <w:szCs w:val="16"/>
        </w:rPr>
        <w:t xml:space="preserve">Sortenbezeichnungsklassen sind: </w:t>
      </w:r>
    </w:p>
    <w:p w14:paraId="75F02A01" w14:textId="2DB7A012" w:rsidR="00982DEC" w:rsidRPr="00FF16C5" w:rsidRDefault="00982DEC" w:rsidP="00C819DA">
      <w:pPr>
        <w:pStyle w:val="Default"/>
        <w:ind w:left="851" w:hanging="284"/>
        <w:rPr>
          <w:spacing w:val="-4"/>
          <w:sz w:val="16"/>
          <w:szCs w:val="16"/>
        </w:rPr>
      </w:pPr>
      <w:r>
        <w:rPr>
          <w:spacing w:val="-4"/>
          <w:sz w:val="16"/>
          <w:szCs w:val="16"/>
        </w:rPr>
        <w:t xml:space="preserve">„a) Allgemeine Regel (eine Gattung/eine Klasse): Für Gattungen und Arten, die nicht von der Klassenliste in Anhang I </w:t>
      </w:r>
      <w:r w:rsidR="00BC02C9">
        <w:rPr>
          <w:spacing w:val="-4"/>
          <w:sz w:val="16"/>
          <w:szCs w:val="16"/>
        </w:rPr>
        <w:t>erfasst</w:t>
      </w:r>
      <w:r>
        <w:rPr>
          <w:spacing w:val="-4"/>
          <w:sz w:val="16"/>
          <w:szCs w:val="16"/>
        </w:rPr>
        <w:t xml:space="preserve"> werden, wird eine Gattung als eine Klasse angesehen</w:t>
      </w:r>
      <w:r w:rsidR="00A57DF7">
        <w:rPr>
          <w:spacing w:val="-4"/>
          <w:sz w:val="16"/>
          <w:szCs w:val="16"/>
        </w:rPr>
        <w:t>,</w:t>
      </w:r>
    </w:p>
    <w:p w14:paraId="19886B44" w14:textId="77777777" w:rsidR="00982DEC" w:rsidRPr="00FF16C5" w:rsidRDefault="00982DEC" w:rsidP="00C819DA">
      <w:pPr>
        <w:pStyle w:val="Default"/>
        <w:ind w:firstLine="567"/>
        <w:rPr>
          <w:spacing w:val="-4"/>
          <w:sz w:val="16"/>
          <w:szCs w:val="16"/>
        </w:rPr>
      </w:pPr>
      <w:r>
        <w:rPr>
          <w:spacing w:val="-4"/>
          <w:sz w:val="16"/>
          <w:szCs w:val="16"/>
        </w:rPr>
        <w:t xml:space="preserve">„b) Ausnahmen von der Allgemeinen Regel (Klassenliste): </w:t>
      </w:r>
    </w:p>
    <w:p w14:paraId="2187CFC5" w14:textId="785CA770" w:rsidR="00982DEC" w:rsidRPr="00FF16C5" w:rsidRDefault="00982DEC" w:rsidP="00C819DA">
      <w:pPr>
        <w:pStyle w:val="Default"/>
        <w:ind w:left="567" w:firstLine="567"/>
        <w:rPr>
          <w:spacing w:val="-4"/>
          <w:sz w:val="16"/>
          <w:szCs w:val="16"/>
        </w:rPr>
      </w:pPr>
      <w:r>
        <w:rPr>
          <w:spacing w:val="-4"/>
          <w:sz w:val="16"/>
          <w:szCs w:val="16"/>
        </w:rPr>
        <w:t>„i) Klassen innerhalb einer Gattung: Klassenliste in Anhang I: Teil I</w:t>
      </w:r>
      <w:r w:rsidR="00A57DF7">
        <w:rPr>
          <w:spacing w:val="-4"/>
          <w:sz w:val="16"/>
          <w:szCs w:val="16"/>
        </w:rPr>
        <w:t>,</w:t>
      </w:r>
      <w:r>
        <w:rPr>
          <w:spacing w:val="-4"/>
          <w:sz w:val="16"/>
          <w:szCs w:val="16"/>
        </w:rPr>
        <w:t xml:space="preserve"> </w:t>
      </w:r>
    </w:p>
    <w:p w14:paraId="723A77A7" w14:textId="5612E367" w:rsidR="00982DEC" w:rsidRPr="002641D5" w:rsidRDefault="00982DEC" w:rsidP="000B0E8D">
      <w:pPr>
        <w:pStyle w:val="FootnoteText"/>
        <w:ind w:firstLine="567"/>
      </w:pPr>
      <w:r>
        <w:t>„ii) Klassen, die mehr als eine Gattung umfassen: Klassenliste in Anhang I: Teil II.</w:t>
      </w:r>
      <w:r w:rsidR="000B0E8D">
        <w:t>“</w:t>
      </w:r>
    </w:p>
  </w:footnote>
  <w:footnote w:id="14">
    <w:p w14:paraId="480D3F9F" w14:textId="77777777" w:rsidR="00982DEC" w:rsidRDefault="00982DEC" w:rsidP="00585833">
      <w:pPr>
        <w:pStyle w:val="FootnoteText"/>
      </w:pPr>
      <w:r>
        <w:rPr>
          <w:rStyle w:val="FootnoteReference"/>
        </w:rPr>
        <w:footnoteRef/>
      </w:r>
      <w:r>
        <w:t xml:space="preserve"> ausgerichtet von der Türkei und vom 3. bis 7. Mai 2021 auf elektronischem Wege abgehalten</w:t>
      </w:r>
    </w:p>
  </w:footnote>
  <w:footnote w:id="15">
    <w:p w14:paraId="3D38B4A1" w14:textId="77777777" w:rsidR="00982DEC" w:rsidRPr="00AA6C9E" w:rsidRDefault="00982DEC" w:rsidP="00D86905">
      <w:pPr>
        <w:pStyle w:val="FootnoteText"/>
      </w:pPr>
      <w:r>
        <w:rPr>
          <w:rStyle w:val="FootnoteReference"/>
        </w:rPr>
        <w:footnoteRef/>
      </w:r>
      <w:r>
        <w:t xml:space="preserve"> </w:t>
      </w:r>
      <w:r>
        <w:t>Vom 18. bis 22. Mai 2022 auf elektronischem Wege abgehalten.</w:t>
      </w:r>
    </w:p>
  </w:footnote>
  <w:footnote w:id="16">
    <w:p w14:paraId="4376654C" w14:textId="77777777" w:rsidR="00982DEC" w:rsidRDefault="00982DEC" w:rsidP="004769F7">
      <w:pPr>
        <w:pStyle w:val="FootnoteText"/>
      </w:pPr>
      <w:r>
        <w:rPr>
          <w:rStyle w:val="FootnoteReference"/>
        </w:rPr>
        <w:footnoteRef/>
      </w:r>
      <w:r>
        <w:t xml:space="preserve"> Abgehalten vom 11. bis 15. Juli 2022 auf elektronischem Wege</w:t>
      </w:r>
    </w:p>
  </w:footnote>
  <w:footnote w:id="17">
    <w:p w14:paraId="18540C2B" w14:textId="0177F0A3" w:rsidR="001A4E8A" w:rsidRPr="001A4E8A" w:rsidRDefault="001A4E8A">
      <w:pPr>
        <w:pStyle w:val="FootnoteText"/>
        <w:rPr>
          <w:lang w:val="en-US"/>
        </w:rPr>
      </w:pPr>
      <w:r>
        <w:rPr>
          <w:rStyle w:val="FootnoteReference"/>
        </w:rPr>
        <w:footnoteRef/>
      </w:r>
      <w:r>
        <w:t xml:space="preserve"> </w:t>
      </w:r>
      <w:r>
        <w:t>Am 2</w:t>
      </w:r>
      <w:r>
        <w:t>5</w:t>
      </w:r>
      <w:r>
        <w:t>. und 2</w:t>
      </w:r>
      <w:r>
        <w:t>6</w:t>
      </w:r>
      <w:r>
        <w:t>. Oktober 202</w:t>
      </w:r>
      <w:r>
        <w:t>1</w:t>
      </w:r>
      <w:r>
        <w:t xml:space="preserve"> abgehalten.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2942" w14:textId="77777777" w:rsidR="00982DEC" w:rsidRDefault="00982DEC" w:rsidP="00EB048E">
    <w:pPr>
      <w:pStyle w:val="Header"/>
      <w:rPr>
        <w:rStyle w:val="PageNumber"/>
        <w:lang w:val="en-US"/>
      </w:rPr>
    </w:pPr>
    <w:r>
      <w:rPr>
        <w:rStyle w:val="PageNumber"/>
      </w:rPr>
      <w:t>SESSIONS/2023/2</w:t>
    </w:r>
  </w:p>
  <w:p w14:paraId="3D5297A7" w14:textId="62F24D31" w:rsidR="00982DEC" w:rsidRPr="00C5280D" w:rsidRDefault="00982DEC" w:rsidP="00EB048E">
    <w:pPr>
      <w:pStyle w:val="Header"/>
      <w:rPr>
        <w:lang w:val="en-US"/>
      </w:rPr>
    </w:pPr>
    <w:r>
      <w:t xml:space="preserve">Seite </w:t>
    </w:r>
    <w:r w:rsidRPr="00C5280D">
      <w:rPr>
        <w:rStyle w:val="PageNumber"/>
      </w:rPr>
      <w:fldChar w:fldCharType="begin"/>
    </w:r>
    <w:r w:rsidRPr="00C5280D">
      <w:rPr>
        <w:rStyle w:val="PageNumber"/>
        <w:lang w:val="en-US"/>
      </w:rPr>
      <w:instrText xml:space="preserve"> PAGE </w:instrText>
    </w:r>
    <w:r w:rsidRPr="00C5280D">
      <w:rPr>
        <w:rStyle w:val="PageNumber"/>
        <w:lang w:val="en-US"/>
      </w:rPr>
      <w:fldChar w:fldCharType="separate"/>
    </w:r>
    <w:r w:rsidR="00775FD1">
      <w:rPr>
        <w:rStyle w:val="PageNumber"/>
        <w:noProof/>
        <w:lang w:val="en-US"/>
      </w:rPr>
      <w:t>11</w:t>
    </w:r>
    <w:r w:rsidRPr="00C5280D">
      <w:rPr>
        <w:rStyle w:val="PageNumber"/>
        <w:lang w:val="en-US"/>
      </w:rPr>
      <w:fldChar w:fldCharType="end"/>
    </w:r>
  </w:p>
  <w:p w14:paraId="2490B0DF" w14:textId="77777777" w:rsidR="00982DEC" w:rsidRPr="00C5280D" w:rsidRDefault="00982DEC"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73B6E" w14:textId="77777777" w:rsidR="00982DEC" w:rsidRDefault="00982DEC" w:rsidP="00EB048E">
    <w:pPr>
      <w:pStyle w:val="Header"/>
      <w:rPr>
        <w:rStyle w:val="PageNumber"/>
        <w:lang w:val="en-US"/>
      </w:rPr>
    </w:pPr>
    <w:r>
      <w:rPr>
        <w:rStyle w:val="PageNumber"/>
      </w:rPr>
      <w:t>SESSIONS/2023/2</w:t>
    </w:r>
  </w:p>
  <w:p w14:paraId="4CAFE7B7" w14:textId="3A6E9CE2" w:rsidR="00982DEC" w:rsidRPr="00C5280D" w:rsidRDefault="00982DEC" w:rsidP="00EB048E">
    <w:pPr>
      <w:pStyle w:val="Header"/>
      <w:rPr>
        <w:lang w:val="en-US"/>
      </w:rPr>
    </w:pPr>
    <w:r>
      <w:t xml:space="preserve">Anlage I, Seite </w:t>
    </w:r>
    <w:r w:rsidRPr="00C5280D">
      <w:rPr>
        <w:rStyle w:val="PageNumber"/>
      </w:rPr>
      <w:fldChar w:fldCharType="begin"/>
    </w:r>
    <w:r w:rsidRPr="00C5280D">
      <w:rPr>
        <w:rStyle w:val="PageNumber"/>
        <w:lang w:val="en-US"/>
      </w:rPr>
      <w:instrText xml:space="preserve"> PAGE </w:instrText>
    </w:r>
    <w:r w:rsidRPr="00C5280D">
      <w:rPr>
        <w:rStyle w:val="PageNumber"/>
        <w:lang w:val="en-US"/>
      </w:rPr>
      <w:fldChar w:fldCharType="separate"/>
    </w:r>
    <w:r w:rsidR="00775FD1">
      <w:rPr>
        <w:rStyle w:val="PageNumber"/>
        <w:noProof/>
        <w:lang w:val="en-US"/>
      </w:rPr>
      <w:t>4</w:t>
    </w:r>
    <w:r w:rsidRPr="00C5280D">
      <w:rPr>
        <w:rStyle w:val="PageNumber"/>
        <w:lang w:val="en-US"/>
      </w:rPr>
      <w:fldChar w:fldCharType="end"/>
    </w:r>
  </w:p>
  <w:p w14:paraId="135941E2" w14:textId="77777777" w:rsidR="00982DEC" w:rsidRPr="00C5280D" w:rsidRDefault="00982DEC"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D3A17" w14:textId="77777777" w:rsidR="00982DEC" w:rsidRDefault="00982DEC" w:rsidP="00A62445">
    <w:pPr>
      <w:pStyle w:val="Header"/>
      <w:rPr>
        <w:rStyle w:val="PageNumber"/>
        <w:lang w:val="en-US"/>
      </w:rPr>
    </w:pPr>
    <w:r>
      <w:rPr>
        <w:rStyle w:val="PageNumber"/>
      </w:rPr>
      <w:t>SESSIONS/2023/2</w:t>
    </w:r>
  </w:p>
  <w:p w14:paraId="3CEA7F03" w14:textId="77777777" w:rsidR="00982DEC" w:rsidRDefault="00982DEC" w:rsidP="00A62445">
    <w:pPr>
      <w:pStyle w:val="Header"/>
      <w:rPr>
        <w:lang w:val="fr-CH"/>
      </w:rPr>
    </w:pPr>
  </w:p>
  <w:p w14:paraId="0B177D45" w14:textId="77777777" w:rsidR="00982DEC" w:rsidRDefault="00982DEC" w:rsidP="00A62445">
    <w:pPr>
      <w:pStyle w:val="Header"/>
      <w:rPr>
        <w:lang w:val="fr-CH"/>
      </w:rPr>
    </w:pPr>
    <w:r>
      <w:t>ANLAGE I</w:t>
    </w:r>
  </w:p>
  <w:p w14:paraId="1F2D781D" w14:textId="77777777" w:rsidR="00982DEC" w:rsidRPr="0004198B" w:rsidRDefault="00982DEC" w:rsidP="000419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1F58" w14:textId="77777777" w:rsidR="00982DEC" w:rsidRDefault="00982DEC" w:rsidP="00EB048E">
    <w:pPr>
      <w:pStyle w:val="Header"/>
      <w:rPr>
        <w:rStyle w:val="PageNumber"/>
        <w:lang w:val="en-US"/>
      </w:rPr>
    </w:pPr>
    <w:r>
      <w:rPr>
        <w:rStyle w:val="PageNumber"/>
      </w:rPr>
      <w:t>SESSIONS/2023/2</w:t>
    </w:r>
  </w:p>
  <w:p w14:paraId="7D1531AE" w14:textId="7939840C" w:rsidR="00982DEC" w:rsidRPr="00C5280D" w:rsidRDefault="00982DEC" w:rsidP="00EB048E">
    <w:pPr>
      <w:pStyle w:val="Header"/>
      <w:rPr>
        <w:lang w:val="en-US"/>
      </w:rPr>
    </w:pPr>
    <w:r>
      <w:t xml:space="preserve">Anlage II, Seite </w:t>
    </w:r>
    <w:r w:rsidRPr="00C5280D">
      <w:rPr>
        <w:rStyle w:val="PageNumber"/>
      </w:rPr>
      <w:fldChar w:fldCharType="begin"/>
    </w:r>
    <w:r w:rsidRPr="00C5280D">
      <w:rPr>
        <w:rStyle w:val="PageNumber"/>
        <w:lang w:val="en-US"/>
      </w:rPr>
      <w:instrText xml:space="preserve"> PAGE </w:instrText>
    </w:r>
    <w:r w:rsidRPr="00C5280D">
      <w:rPr>
        <w:rStyle w:val="PageNumber"/>
        <w:lang w:val="en-US"/>
      </w:rPr>
      <w:fldChar w:fldCharType="separate"/>
    </w:r>
    <w:r w:rsidR="002C7E5B">
      <w:rPr>
        <w:rStyle w:val="PageNumber"/>
        <w:noProof/>
        <w:lang w:val="en-US"/>
      </w:rPr>
      <w:t>2</w:t>
    </w:r>
    <w:r w:rsidRPr="00C5280D">
      <w:rPr>
        <w:rStyle w:val="PageNumber"/>
        <w:lang w:val="en-US"/>
      </w:rPr>
      <w:fldChar w:fldCharType="end"/>
    </w:r>
  </w:p>
  <w:p w14:paraId="311FE1B0" w14:textId="77777777" w:rsidR="00982DEC" w:rsidRPr="00C5280D" w:rsidRDefault="00982DEC" w:rsidP="006655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0A3E" w14:textId="77777777" w:rsidR="00982DEC" w:rsidRDefault="00982DEC" w:rsidP="00A62445">
    <w:pPr>
      <w:pStyle w:val="Header"/>
      <w:rPr>
        <w:rStyle w:val="PageNumber"/>
        <w:lang w:val="en-US"/>
      </w:rPr>
    </w:pPr>
    <w:r>
      <w:rPr>
        <w:rStyle w:val="PageNumber"/>
      </w:rPr>
      <w:t>SESSIONS/2023/2</w:t>
    </w:r>
  </w:p>
  <w:p w14:paraId="5A8EC11E" w14:textId="77777777" w:rsidR="00982DEC" w:rsidRDefault="00982DEC" w:rsidP="00A62445">
    <w:pPr>
      <w:pStyle w:val="Header"/>
      <w:rPr>
        <w:lang w:val="fr-CH"/>
      </w:rPr>
    </w:pPr>
  </w:p>
  <w:p w14:paraId="31937883" w14:textId="77777777" w:rsidR="00982DEC" w:rsidRDefault="00982DEC" w:rsidP="00A62445">
    <w:pPr>
      <w:pStyle w:val="Header"/>
      <w:rPr>
        <w:lang w:val="fr-CH"/>
      </w:rPr>
    </w:pPr>
    <w:r>
      <w:t>ANLAGE II</w:t>
    </w:r>
  </w:p>
  <w:p w14:paraId="0183008D" w14:textId="77777777" w:rsidR="00982DEC" w:rsidRPr="0004198B" w:rsidRDefault="00982DEC" w:rsidP="000419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C7CB" w14:textId="77777777" w:rsidR="00982DEC" w:rsidRDefault="00982DEC" w:rsidP="00EB048E">
    <w:pPr>
      <w:pStyle w:val="Header"/>
      <w:rPr>
        <w:rStyle w:val="PageNumber"/>
        <w:lang w:val="en-US"/>
      </w:rPr>
    </w:pPr>
    <w:r>
      <w:rPr>
        <w:rStyle w:val="PageNumber"/>
      </w:rPr>
      <w:t>SESSIONS/2023/2</w:t>
    </w:r>
  </w:p>
  <w:p w14:paraId="3175A527" w14:textId="49D234D6" w:rsidR="00982DEC" w:rsidRPr="00C5280D" w:rsidRDefault="00982DEC" w:rsidP="00EB048E">
    <w:pPr>
      <w:pStyle w:val="Header"/>
      <w:rPr>
        <w:lang w:val="en-US"/>
      </w:rPr>
    </w:pPr>
    <w:r>
      <w:t xml:space="preserve">Anlage III, Seite </w:t>
    </w:r>
    <w:r w:rsidRPr="00C5280D">
      <w:rPr>
        <w:rStyle w:val="PageNumber"/>
      </w:rPr>
      <w:fldChar w:fldCharType="begin"/>
    </w:r>
    <w:r w:rsidRPr="00C5280D">
      <w:rPr>
        <w:rStyle w:val="PageNumber"/>
        <w:lang w:val="en-US"/>
      </w:rPr>
      <w:instrText xml:space="preserve"> PAGE </w:instrText>
    </w:r>
    <w:r w:rsidRPr="00C5280D">
      <w:rPr>
        <w:rStyle w:val="PageNumber"/>
        <w:lang w:val="en-US"/>
      </w:rPr>
      <w:fldChar w:fldCharType="separate"/>
    </w:r>
    <w:r w:rsidR="00775FD1">
      <w:rPr>
        <w:rStyle w:val="PageNumber"/>
        <w:noProof/>
        <w:lang w:val="en-US"/>
      </w:rPr>
      <w:t>3</w:t>
    </w:r>
    <w:r w:rsidRPr="00C5280D">
      <w:rPr>
        <w:rStyle w:val="PageNumber"/>
        <w:lang w:val="en-US"/>
      </w:rPr>
      <w:fldChar w:fldCharType="end"/>
    </w:r>
  </w:p>
  <w:p w14:paraId="094DA8A1" w14:textId="77777777" w:rsidR="00982DEC" w:rsidRPr="00C5280D" w:rsidRDefault="00982DEC" w:rsidP="006655D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093E" w14:textId="77777777" w:rsidR="00982DEC" w:rsidRDefault="00982DEC" w:rsidP="00A62445">
    <w:pPr>
      <w:pStyle w:val="Header"/>
      <w:rPr>
        <w:rStyle w:val="PageNumber"/>
        <w:lang w:val="en-US"/>
      </w:rPr>
    </w:pPr>
    <w:r>
      <w:rPr>
        <w:rStyle w:val="PageNumber"/>
      </w:rPr>
      <w:t>SESSIONS/2023/2</w:t>
    </w:r>
  </w:p>
  <w:p w14:paraId="160C79DA" w14:textId="77777777" w:rsidR="00982DEC" w:rsidRDefault="00982DEC" w:rsidP="00A62445">
    <w:pPr>
      <w:pStyle w:val="Header"/>
      <w:rPr>
        <w:lang w:val="fr-CH"/>
      </w:rPr>
    </w:pPr>
  </w:p>
  <w:p w14:paraId="77AB6101" w14:textId="77777777" w:rsidR="00982DEC" w:rsidRDefault="00982DEC" w:rsidP="00A62445">
    <w:pPr>
      <w:pStyle w:val="Header"/>
      <w:rPr>
        <w:lang w:val="fr-CH"/>
      </w:rPr>
    </w:pPr>
    <w:r>
      <w:t>ANLAGE III</w:t>
    </w:r>
  </w:p>
  <w:p w14:paraId="04B56824" w14:textId="77777777" w:rsidR="00982DEC" w:rsidRPr="0004198B" w:rsidRDefault="00982DEC" w:rsidP="0004198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020D" w14:textId="77777777" w:rsidR="00982DEC" w:rsidRDefault="00982DEC" w:rsidP="00EB048E">
    <w:pPr>
      <w:pStyle w:val="Header"/>
      <w:rPr>
        <w:rStyle w:val="PageNumber"/>
        <w:lang w:val="en-US"/>
      </w:rPr>
    </w:pPr>
    <w:r>
      <w:rPr>
        <w:rStyle w:val="PageNumber"/>
      </w:rPr>
      <w:t>SESSIONS/2023/2</w:t>
    </w:r>
  </w:p>
  <w:p w14:paraId="493391CD" w14:textId="2F1661E3" w:rsidR="00982DEC" w:rsidRPr="00C5280D" w:rsidRDefault="00982DEC" w:rsidP="00EB048E">
    <w:pPr>
      <w:pStyle w:val="Header"/>
      <w:rPr>
        <w:lang w:val="en-US"/>
      </w:rPr>
    </w:pPr>
    <w:r>
      <w:t xml:space="preserve">Anlage IV, Seite </w:t>
    </w:r>
    <w:r w:rsidRPr="00C5280D">
      <w:rPr>
        <w:rStyle w:val="PageNumber"/>
      </w:rPr>
      <w:fldChar w:fldCharType="begin"/>
    </w:r>
    <w:r w:rsidRPr="00C5280D">
      <w:rPr>
        <w:rStyle w:val="PageNumber"/>
        <w:lang w:val="en-US"/>
      </w:rPr>
      <w:instrText xml:space="preserve"> PAGE </w:instrText>
    </w:r>
    <w:r w:rsidRPr="00C5280D">
      <w:rPr>
        <w:rStyle w:val="PageNumber"/>
        <w:lang w:val="en-US"/>
      </w:rPr>
      <w:fldChar w:fldCharType="separate"/>
    </w:r>
    <w:r w:rsidR="00925FC1">
      <w:rPr>
        <w:rStyle w:val="PageNumber"/>
        <w:noProof/>
        <w:lang w:val="en-US"/>
      </w:rPr>
      <w:t>2</w:t>
    </w:r>
    <w:r w:rsidRPr="00C5280D">
      <w:rPr>
        <w:rStyle w:val="PageNumber"/>
        <w:lang w:val="en-US"/>
      </w:rPr>
      <w:fldChar w:fldCharType="end"/>
    </w:r>
  </w:p>
  <w:p w14:paraId="5A6D4096" w14:textId="77777777" w:rsidR="00982DEC" w:rsidRPr="00C5280D" w:rsidRDefault="00982DEC" w:rsidP="006655D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5AD5" w14:textId="77777777" w:rsidR="00982DEC" w:rsidRDefault="00982DEC" w:rsidP="00A62445">
    <w:pPr>
      <w:pStyle w:val="Header"/>
      <w:rPr>
        <w:rStyle w:val="PageNumber"/>
        <w:lang w:val="en-US"/>
      </w:rPr>
    </w:pPr>
    <w:r>
      <w:rPr>
        <w:rStyle w:val="PageNumber"/>
      </w:rPr>
      <w:t>SESSIONS/2023/2</w:t>
    </w:r>
  </w:p>
  <w:p w14:paraId="1AC74B9D" w14:textId="77777777" w:rsidR="00982DEC" w:rsidRDefault="00982DEC" w:rsidP="00A62445">
    <w:pPr>
      <w:pStyle w:val="Header"/>
      <w:rPr>
        <w:lang w:val="fr-CH"/>
      </w:rPr>
    </w:pPr>
  </w:p>
  <w:p w14:paraId="6AAC7C48" w14:textId="77777777" w:rsidR="00982DEC" w:rsidRDefault="00982DEC" w:rsidP="00A62445">
    <w:pPr>
      <w:pStyle w:val="Header"/>
      <w:rPr>
        <w:lang w:val="fr-CH"/>
      </w:rPr>
    </w:pPr>
    <w:r>
      <w:t>ANLAGE IV</w:t>
    </w:r>
  </w:p>
  <w:p w14:paraId="7628C379" w14:textId="77777777" w:rsidR="00982DEC" w:rsidRPr="0004198B" w:rsidRDefault="00982DEC"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A8F"/>
    <w:multiLevelType w:val="hybridMultilevel"/>
    <w:tmpl w:val="6F941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50502"/>
    <w:multiLevelType w:val="hybridMultilevel"/>
    <w:tmpl w:val="BB0C6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F4261"/>
    <w:multiLevelType w:val="hybridMultilevel"/>
    <w:tmpl w:val="80C22BA0"/>
    <w:lvl w:ilvl="0" w:tplc="C0086712">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31B02"/>
    <w:multiLevelType w:val="hybridMultilevel"/>
    <w:tmpl w:val="D256B04E"/>
    <w:lvl w:ilvl="0" w:tplc="8EAE4D46">
      <w:start w:val="4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C10F3"/>
    <w:multiLevelType w:val="hybridMultilevel"/>
    <w:tmpl w:val="6CE4DDD6"/>
    <w:lvl w:ilvl="0" w:tplc="F5264BA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DEA1DD3"/>
    <w:multiLevelType w:val="hybridMultilevel"/>
    <w:tmpl w:val="E42C23EA"/>
    <w:lvl w:ilvl="0" w:tplc="9C3A077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70757"/>
    <w:multiLevelType w:val="hybridMultilevel"/>
    <w:tmpl w:val="BA3E7CB4"/>
    <w:lvl w:ilvl="0" w:tplc="C68EE5AC">
      <w:numFmt w:val="bullet"/>
      <w:lvlText w:val="-"/>
      <w:lvlJc w:val="left"/>
      <w:pPr>
        <w:ind w:left="1137" w:hanging="57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30BD6EF4"/>
    <w:multiLevelType w:val="hybridMultilevel"/>
    <w:tmpl w:val="9676A24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4BA94A08"/>
    <w:multiLevelType w:val="hybridMultilevel"/>
    <w:tmpl w:val="11AA23F8"/>
    <w:lvl w:ilvl="0" w:tplc="B8C4B3E6">
      <w:numFmt w:val="bullet"/>
      <w:lvlText w:val="-"/>
      <w:lvlJc w:val="left"/>
      <w:pPr>
        <w:ind w:left="2061" w:hanging="360"/>
      </w:pPr>
      <w:rPr>
        <w:rFonts w:ascii="Arial" w:eastAsia="Times New Roman" w:hAnsi="Arial" w:cs="Aria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9" w15:restartNumberingAfterBreak="0">
    <w:nsid w:val="4DD7091A"/>
    <w:multiLevelType w:val="hybridMultilevel"/>
    <w:tmpl w:val="A27A9A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CA279B0"/>
    <w:multiLevelType w:val="hybridMultilevel"/>
    <w:tmpl w:val="5688FCF6"/>
    <w:lvl w:ilvl="0" w:tplc="763EABFC">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0A62AE"/>
    <w:multiLevelType w:val="hybridMultilevel"/>
    <w:tmpl w:val="3CF88894"/>
    <w:lvl w:ilvl="0" w:tplc="763EABFC">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6A54BC"/>
    <w:multiLevelType w:val="hybridMultilevel"/>
    <w:tmpl w:val="404E5A68"/>
    <w:lvl w:ilvl="0" w:tplc="04090001">
      <w:start w:val="1"/>
      <w:numFmt w:val="bullet"/>
      <w:lvlText w:val=""/>
      <w:lvlJc w:val="left"/>
      <w:pPr>
        <w:ind w:left="2007" w:hanging="360"/>
      </w:pPr>
      <w:rPr>
        <w:rFonts w:ascii="Symbol" w:hAnsi="Symbol" w:hint="default"/>
      </w:rPr>
    </w:lvl>
    <w:lvl w:ilvl="1" w:tplc="04090003">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13" w15:restartNumberingAfterBreak="0">
    <w:nsid w:val="725A35F7"/>
    <w:multiLevelType w:val="hybridMultilevel"/>
    <w:tmpl w:val="EE9465DA"/>
    <w:lvl w:ilvl="0" w:tplc="0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75215251"/>
    <w:multiLevelType w:val="hybridMultilevel"/>
    <w:tmpl w:val="5DEA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1316696">
    <w:abstractNumId w:val="3"/>
  </w:num>
  <w:num w:numId="2" w16cid:durableId="2005279504">
    <w:abstractNumId w:val="5"/>
  </w:num>
  <w:num w:numId="3" w16cid:durableId="1213426717">
    <w:abstractNumId w:val="12"/>
  </w:num>
  <w:num w:numId="4" w16cid:durableId="1475491750">
    <w:abstractNumId w:val="2"/>
  </w:num>
  <w:num w:numId="5" w16cid:durableId="1043554251">
    <w:abstractNumId w:val="8"/>
  </w:num>
  <w:num w:numId="6" w16cid:durableId="373702405">
    <w:abstractNumId w:val="13"/>
  </w:num>
  <w:num w:numId="7" w16cid:durableId="571428822">
    <w:abstractNumId w:val="0"/>
  </w:num>
  <w:num w:numId="8" w16cid:durableId="1162575442">
    <w:abstractNumId w:val="14"/>
  </w:num>
  <w:num w:numId="9" w16cid:durableId="88934220">
    <w:abstractNumId w:val="6"/>
  </w:num>
  <w:num w:numId="10" w16cid:durableId="1849825422">
    <w:abstractNumId w:val="11"/>
  </w:num>
  <w:num w:numId="11" w16cid:durableId="327027528">
    <w:abstractNumId w:val="1"/>
  </w:num>
  <w:num w:numId="12" w16cid:durableId="1258369062">
    <w:abstractNumId w:val="10"/>
  </w:num>
  <w:num w:numId="13" w16cid:durableId="867261549">
    <w:abstractNumId w:val="4"/>
  </w:num>
  <w:num w:numId="14" w16cid:durableId="271519213">
    <w:abstractNumId w:val="4"/>
    <w:lvlOverride w:ilvl="0">
      <w:startOverride w:val="1"/>
    </w:lvlOverride>
  </w:num>
  <w:num w:numId="15" w16cid:durableId="4715580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198562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CHEZ VIZCAINO GOMEZ Rosa Maria">
    <w15:presenceInfo w15:providerId="AD" w15:userId="S::rosa.sanchezvizcaino@upov.int::c0efc056-3f4f-4141-aa30-a8a02c04e0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es-ES" w:vendorID="64" w:dllVersion="6" w:nlCheck="1" w:checkStyle="0"/>
  <w:activeWritingStyle w:appName="MSWord" w:lang="pt-BR" w:vendorID="64" w:dllVersion="6" w:nlCheck="1" w:checkStyle="0"/>
  <w:activeWritingStyle w:appName="MSWord" w:lang="en-NZ" w:vendorID="64" w:dllVersion="6" w:nlCheck="1" w:checkStyle="1"/>
  <w:activeWritingStyle w:appName="MSWord" w:lang="es-419" w:vendorID="64" w:dllVersion="6" w:nlCheck="1" w:checkStyle="0"/>
  <w:activeWritingStyle w:appName="MSWord" w:lang="es-ES_tradnl" w:vendorID="64" w:dllVersion="6" w:nlCheck="1" w:checkStyle="0"/>
  <w:activeWritingStyle w:appName="MSWord" w:lang="en-US" w:vendorID="64" w:dllVersion="0" w:nlCheck="1" w:checkStyle="1"/>
  <w:activeWritingStyle w:appName="MSWord" w:lang="fr-CH" w:vendorID="64" w:dllVersion="0" w:nlCheck="1" w:checkStyle="0"/>
  <w:activeWritingStyle w:appName="MSWord" w:lang="es-419" w:vendorID="64" w:dllVersion="0" w:nlCheck="1" w:checkStyle="0"/>
  <w:activeWritingStyle w:appName="MSWord" w:lang="fr-FR" w:vendorID="64" w:dllVersion="0" w:nlCheck="1" w:checkStyle="0"/>
  <w:activeWritingStyle w:appName="MSWord" w:lang="de-DE" w:vendorID="64" w:dllVersion="0" w:nlCheck="1" w:checkStyle="0"/>
  <w:activeWritingStyle w:appName="MSWord" w:lang="es-E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1D7"/>
    <w:rsid w:val="00001106"/>
    <w:rsid w:val="00010CF3"/>
    <w:rsid w:val="00011E27"/>
    <w:rsid w:val="000121C8"/>
    <w:rsid w:val="0001352F"/>
    <w:rsid w:val="000137BE"/>
    <w:rsid w:val="000148BC"/>
    <w:rsid w:val="000173C1"/>
    <w:rsid w:val="000177A2"/>
    <w:rsid w:val="000206AD"/>
    <w:rsid w:val="00024AB8"/>
    <w:rsid w:val="00024ACA"/>
    <w:rsid w:val="00024E6F"/>
    <w:rsid w:val="00026A7F"/>
    <w:rsid w:val="00030854"/>
    <w:rsid w:val="00031DB3"/>
    <w:rsid w:val="00034D3B"/>
    <w:rsid w:val="00034FCF"/>
    <w:rsid w:val="00036028"/>
    <w:rsid w:val="00037D29"/>
    <w:rsid w:val="0004198B"/>
    <w:rsid w:val="00044642"/>
    <w:rsid w:val="000446B9"/>
    <w:rsid w:val="0004786E"/>
    <w:rsid w:val="00047E21"/>
    <w:rsid w:val="00050E16"/>
    <w:rsid w:val="000518E4"/>
    <w:rsid w:val="00051E1E"/>
    <w:rsid w:val="00060FDD"/>
    <w:rsid w:val="00061862"/>
    <w:rsid w:val="0006364F"/>
    <w:rsid w:val="00064E9E"/>
    <w:rsid w:val="00071D8E"/>
    <w:rsid w:val="00072B54"/>
    <w:rsid w:val="000842D1"/>
    <w:rsid w:val="00085000"/>
    <w:rsid w:val="00085505"/>
    <w:rsid w:val="0008574D"/>
    <w:rsid w:val="00087017"/>
    <w:rsid w:val="00093162"/>
    <w:rsid w:val="00093FA1"/>
    <w:rsid w:val="000952DB"/>
    <w:rsid w:val="000A0A23"/>
    <w:rsid w:val="000A225A"/>
    <w:rsid w:val="000A4AA9"/>
    <w:rsid w:val="000B0E8D"/>
    <w:rsid w:val="000C4286"/>
    <w:rsid w:val="000C4E25"/>
    <w:rsid w:val="000C7021"/>
    <w:rsid w:val="000D0D30"/>
    <w:rsid w:val="000D1D8B"/>
    <w:rsid w:val="000D64F4"/>
    <w:rsid w:val="000D6BBC"/>
    <w:rsid w:val="000D7780"/>
    <w:rsid w:val="000E0CCB"/>
    <w:rsid w:val="000E27BF"/>
    <w:rsid w:val="000E636A"/>
    <w:rsid w:val="000F1756"/>
    <w:rsid w:val="000F1B4E"/>
    <w:rsid w:val="000F2F11"/>
    <w:rsid w:val="00100A5F"/>
    <w:rsid w:val="001053E9"/>
    <w:rsid w:val="00105929"/>
    <w:rsid w:val="00110BED"/>
    <w:rsid w:val="00110C36"/>
    <w:rsid w:val="001131D5"/>
    <w:rsid w:val="00114547"/>
    <w:rsid w:val="00114C63"/>
    <w:rsid w:val="00121D61"/>
    <w:rsid w:val="00122C95"/>
    <w:rsid w:val="0012337C"/>
    <w:rsid w:val="00126F20"/>
    <w:rsid w:val="00130878"/>
    <w:rsid w:val="00141DB8"/>
    <w:rsid w:val="00145139"/>
    <w:rsid w:val="00151379"/>
    <w:rsid w:val="001541A1"/>
    <w:rsid w:val="001558D4"/>
    <w:rsid w:val="00155BA4"/>
    <w:rsid w:val="00156133"/>
    <w:rsid w:val="00157035"/>
    <w:rsid w:val="00157EC5"/>
    <w:rsid w:val="001619FF"/>
    <w:rsid w:val="001651F3"/>
    <w:rsid w:val="001661F0"/>
    <w:rsid w:val="001672FB"/>
    <w:rsid w:val="001717AC"/>
    <w:rsid w:val="00171B2C"/>
    <w:rsid w:val="00172084"/>
    <w:rsid w:val="00172F36"/>
    <w:rsid w:val="0017474A"/>
    <w:rsid w:val="001751FC"/>
    <w:rsid w:val="001758C6"/>
    <w:rsid w:val="00176028"/>
    <w:rsid w:val="00177689"/>
    <w:rsid w:val="00182B99"/>
    <w:rsid w:val="00186BC6"/>
    <w:rsid w:val="00191D87"/>
    <w:rsid w:val="00195508"/>
    <w:rsid w:val="001A41BC"/>
    <w:rsid w:val="001A4E8A"/>
    <w:rsid w:val="001B13FD"/>
    <w:rsid w:val="001B1BFE"/>
    <w:rsid w:val="001B209A"/>
    <w:rsid w:val="001B2568"/>
    <w:rsid w:val="001B260A"/>
    <w:rsid w:val="001B3055"/>
    <w:rsid w:val="001B4717"/>
    <w:rsid w:val="001C1525"/>
    <w:rsid w:val="001C3C61"/>
    <w:rsid w:val="001C73EB"/>
    <w:rsid w:val="001D08F6"/>
    <w:rsid w:val="001D1080"/>
    <w:rsid w:val="001D1EC7"/>
    <w:rsid w:val="001D24B0"/>
    <w:rsid w:val="001D595A"/>
    <w:rsid w:val="001D736D"/>
    <w:rsid w:val="001E3A9B"/>
    <w:rsid w:val="001E648C"/>
    <w:rsid w:val="001E7BEB"/>
    <w:rsid w:val="001F009B"/>
    <w:rsid w:val="001F1B36"/>
    <w:rsid w:val="001F29EA"/>
    <w:rsid w:val="001F5175"/>
    <w:rsid w:val="001F666F"/>
    <w:rsid w:val="001F73A1"/>
    <w:rsid w:val="002009DD"/>
    <w:rsid w:val="00200CEF"/>
    <w:rsid w:val="0020442E"/>
    <w:rsid w:val="00207FCA"/>
    <w:rsid w:val="0021332C"/>
    <w:rsid w:val="00213982"/>
    <w:rsid w:val="00214C66"/>
    <w:rsid w:val="00216DB4"/>
    <w:rsid w:val="0022302C"/>
    <w:rsid w:val="00223C04"/>
    <w:rsid w:val="00223DD7"/>
    <w:rsid w:val="00224706"/>
    <w:rsid w:val="002269D8"/>
    <w:rsid w:val="00232B25"/>
    <w:rsid w:val="00234532"/>
    <w:rsid w:val="00241C6B"/>
    <w:rsid w:val="0024416D"/>
    <w:rsid w:val="00247062"/>
    <w:rsid w:val="002476D9"/>
    <w:rsid w:val="00261AE2"/>
    <w:rsid w:val="00262916"/>
    <w:rsid w:val="002639EA"/>
    <w:rsid w:val="002647D9"/>
    <w:rsid w:val="00271855"/>
    <w:rsid w:val="00271911"/>
    <w:rsid w:val="00272BCA"/>
    <w:rsid w:val="00273187"/>
    <w:rsid w:val="00274A5F"/>
    <w:rsid w:val="00277113"/>
    <w:rsid w:val="002800A0"/>
    <w:rsid w:val="002801B3"/>
    <w:rsid w:val="00281060"/>
    <w:rsid w:val="00282450"/>
    <w:rsid w:val="00285BD0"/>
    <w:rsid w:val="00286482"/>
    <w:rsid w:val="00290FB0"/>
    <w:rsid w:val="00291CFD"/>
    <w:rsid w:val="002940E8"/>
    <w:rsid w:val="00294751"/>
    <w:rsid w:val="00294C8C"/>
    <w:rsid w:val="002950F7"/>
    <w:rsid w:val="002956E8"/>
    <w:rsid w:val="0029709E"/>
    <w:rsid w:val="0029754D"/>
    <w:rsid w:val="002A16EA"/>
    <w:rsid w:val="002A1E3A"/>
    <w:rsid w:val="002A21A9"/>
    <w:rsid w:val="002A54FC"/>
    <w:rsid w:val="002A6131"/>
    <w:rsid w:val="002A6E50"/>
    <w:rsid w:val="002B0E8F"/>
    <w:rsid w:val="002B1F52"/>
    <w:rsid w:val="002B30CF"/>
    <w:rsid w:val="002B4298"/>
    <w:rsid w:val="002B466A"/>
    <w:rsid w:val="002B7A36"/>
    <w:rsid w:val="002C256A"/>
    <w:rsid w:val="002C45E1"/>
    <w:rsid w:val="002C7548"/>
    <w:rsid w:val="002C7E5B"/>
    <w:rsid w:val="002D516B"/>
    <w:rsid w:val="002D5226"/>
    <w:rsid w:val="002E13AE"/>
    <w:rsid w:val="002E15BA"/>
    <w:rsid w:val="002F0E97"/>
    <w:rsid w:val="00305A7F"/>
    <w:rsid w:val="00312E7F"/>
    <w:rsid w:val="003152FE"/>
    <w:rsid w:val="00316FCC"/>
    <w:rsid w:val="003175FF"/>
    <w:rsid w:val="00321710"/>
    <w:rsid w:val="003243B5"/>
    <w:rsid w:val="00324FE4"/>
    <w:rsid w:val="00327436"/>
    <w:rsid w:val="00337163"/>
    <w:rsid w:val="00337C45"/>
    <w:rsid w:val="003415AF"/>
    <w:rsid w:val="00344BD6"/>
    <w:rsid w:val="003453CD"/>
    <w:rsid w:val="00346711"/>
    <w:rsid w:val="00347EBE"/>
    <w:rsid w:val="0035053D"/>
    <w:rsid w:val="0035528D"/>
    <w:rsid w:val="00360AA2"/>
    <w:rsid w:val="0036115D"/>
    <w:rsid w:val="0036125B"/>
    <w:rsid w:val="00361821"/>
    <w:rsid w:val="0036198D"/>
    <w:rsid w:val="00361C74"/>
    <w:rsid w:val="00361E9E"/>
    <w:rsid w:val="0036293C"/>
    <w:rsid w:val="00366961"/>
    <w:rsid w:val="0036797C"/>
    <w:rsid w:val="00374EE9"/>
    <w:rsid w:val="00374FCA"/>
    <w:rsid w:val="003753EE"/>
    <w:rsid w:val="00376F85"/>
    <w:rsid w:val="0037709B"/>
    <w:rsid w:val="00381164"/>
    <w:rsid w:val="00381C94"/>
    <w:rsid w:val="00384170"/>
    <w:rsid w:val="00392B32"/>
    <w:rsid w:val="00394D60"/>
    <w:rsid w:val="00395B96"/>
    <w:rsid w:val="003960E4"/>
    <w:rsid w:val="00396B65"/>
    <w:rsid w:val="00396FFA"/>
    <w:rsid w:val="003A0835"/>
    <w:rsid w:val="003A1675"/>
    <w:rsid w:val="003A1CE4"/>
    <w:rsid w:val="003A2703"/>
    <w:rsid w:val="003A2EA0"/>
    <w:rsid w:val="003A5AAF"/>
    <w:rsid w:val="003B700A"/>
    <w:rsid w:val="003B7D46"/>
    <w:rsid w:val="003C7FBE"/>
    <w:rsid w:val="003D227C"/>
    <w:rsid w:val="003D2B4D"/>
    <w:rsid w:val="003D6E64"/>
    <w:rsid w:val="003D6FE2"/>
    <w:rsid w:val="003E24A7"/>
    <w:rsid w:val="003E4ADB"/>
    <w:rsid w:val="003F37F5"/>
    <w:rsid w:val="003F46B5"/>
    <w:rsid w:val="003F75D2"/>
    <w:rsid w:val="00401D63"/>
    <w:rsid w:val="00404251"/>
    <w:rsid w:val="0040578B"/>
    <w:rsid w:val="0041081F"/>
    <w:rsid w:val="0042444F"/>
    <w:rsid w:val="0042538F"/>
    <w:rsid w:val="00436F48"/>
    <w:rsid w:val="00444A88"/>
    <w:rsid w:val="004463F9"/>
    <w:rsid w:val="00447323"/>
    <w:rsid w:val="0045103C"/>
    <w:rsid w:val="004517E4"/>
    <w:rsid w:val="00452698"/>
    <w:rsid w:val="00456825"/>
    <w:rsid w:val="00456CC5"/>
    <w:rsid w:val="00457B73"/>
    <w:rsid w:val="00465871"/>
    <w:rsid w:val="00465B8E"/>
    <w:rsid w:val="00467BF9"/>
    <w:rsid w:val="00473758"/>
    <w:rsid w:val="00474DA4"/>
    <w:rsid w:val="00474EBA"/>
    <w:rsid w:val="004769F7"/>
    <w:rsid w:val="00476B4D"/>
    <w:rsid w:val="004805FA"/>
    <w:rsid w:val="00481578"/>
    <w:rsid w:val="00491B77"/>
    <w:rsid w:val="004935D2"/>
    <w:rsid w:val="004979C3"/>
    <w:rsid w:val="004A5B87"/>
    <w:rsid w:val="004B1215"/>
    <w:rsid w:val="004B1BB0"/>
    <w:rsid w:val="004B46E8"/>
    <w:rsid w:val="004C0ABB"/>
    <w:rsid w:val="004C4A5A"/>
    <w:rsid w:val="004C53BD"/>
    <w:rsid w:val="004D047D"/>
    <w:rsid w:val="004D1EFD"/>
    <w:rsid w:val="004D2941"/>
    <w:rsid w:val="004E5636"/>
    <w:rsid w:val="004E7455"/>
    <w:rsid w:val="004F1E9E"/>
    <w:rsid w:val="004F1F65"/>
    <w:rsid w:val="004F1FD5"/>
    <w:rsid w:val="004F305A"/>
    <w:rsid w:val="004F465A"/>
    <w:rsid w:val="00501AE4"/>
    <w:rsid w:val="005055FF"/>
    <w:rsid w:val="005075F4"/>
    <w:rsid w:val="0051082F"/>
    <w:rsid w:val="0051210F"/>
    <w:rsid w:val="00512164"/>
    <w:rsid w:val="0051460E"/>
    <w:rsid w:val="00520297"/>
    <w:rsid w:val="00520F20"/>
    <w:rsid w:val="00531875"/>
    <w:rsid w:val="00531CB9"/>
    <w:rsid w:val="005338F9"/>
    <w:rsid w:val="00535B20"/>
    <w:rsid w:val="00542140"/>
    <w:rsid w:val="0054281C"/>
    <w:rsid w:val="0054359E"/>
    <w:rsid w:val="00544581"/>
    <w:rsid w:val="00546689"/>
    <w:rsid w:val="00547CFD"/>
    <w:rsid w:val="005505C3"/>
    <w:rsid w:val="0055268D"/>
    <w:rsid w:val="005540C7"/>
    <w:rsid w:val="00555F7B"/>
    <w:rsid w:val="0055644C"/>
    <w:rsid w:val="00556B5E"/>
    <w:rsid w:val="00560EA9"/>
    <w:rsid w:val="005615C0"/>
    <w:rsid w:val="00561854"/>
    <w:rsid w:val="005629E2"/>
    <w:rsid w:val="005640AF"/>
    <w:rsid w:val="00566666"/>
    <w:rsid w:val="00575DE2"/>
    <w:rsid w:val="00576BE4"/>
    <w:rsid w:val="005779DB"/>
    <w:rsid w:val="005810CC"/>
    <w:rsid w:val="00581323"/>
    <w:rsid w:val="00583096"/>
    <w:rsid w:val="005843D7"/>
    <w:rsid w:val="00585833"/>
    <w:rsid w:val="005A2060"/>
    <w:rsid w:val="005A400A"/>
    <w:rsid w:val="005A43DA"/>
    <w:rsid w:val="005A44F9"/>
    <w:rsid w:val="005B269D"/>
    <w:rsid w:val="005B623F"/>
    <w:rsid w:val="005B6A9E"/>
    <w:rsid w:val="005D0084"/>
    <w:rsid w:val="005D1C40"/>
    <w:rsid w:val="005D5145"/>
    <w:rsid w:val="005D7CAA"/>
    <w:rsid w:val="005E49CA"/>
    <w:rsid w:val="005E7B24"/>
    <w:rsid w:val="005F0AB7"/>
    <w:rsid w:val="005F44A8"/>
    <w:rsid w:val="005F5C27"/>
    <w:rsid w:val="005F7B92"/>
    <w:rsid w:val="00602C4D"/>
    <w:rsid w:val="00606C9B"/>
    <w:rsid w:val="00612379"/>
    <w:rsid w:val="0061243B"/>
    <w:rsid w:val="006153B6"/>
    <w:rsid w:val="0061555F"/>
    <w:rsid w:val="006232E9"/>
    <w:rsid w:val="006245ED"/>
    <w:rsid w:val="0062652A"/>
    <w:rsid w:val="00630C44"/>
    <w:rsid w:val="00631967"/>
    <w:rsid w:val="006339BD"/>
    <w:rsid w:val="00636352"/>
    <w:rsid w:val="00636CA6"/>
    <w:rsid w:val="00641200"/>
    <w:rsid w:val="00645328"/>
    <w:rsid w:val="00645CA8"/>
    <w:rsid w:val="00657EF2"/>
    <w:rsid w:val="00660088"/>
    <w:rsid w:val="00663993"/>
    <w:rsid w:val="006655D3"/>
    <w:rsid w:val="00667404"/>
    <w:rsid w:val="00667F84"/>
    <w:rsid w:val="00671AC9"/>
    <w:rsid w:val="006728CF"/>
    <w:rsid w:val="00675041"/>
    <w:rsid w:val="00675DDC"/>
    <w:rsid w:val="00676EFE"/>
    <w:rsid w:val="006850BE"/>
    <w:rsid w:val="006868F8"/>
    <w:rsid w:val="00686B81"/>
    <w:rsid w:val="00687EB4"/>
    <w:rsid w:val="006939B9"/>
    <w:rsid w:val="00695C56"/>
    <w:rsid w:val="006A25C8"/>
    <w:rsid w:val="006A5249"/>
    <w:rsid w:val="006A5CDE"/>
    <w:rsid w:val="006A644A"/>
    <w:rsid w:val="006B0C5C"/>
    <w:rsid w:val="006B17D2"/>
    <w:rsid w:val="006B23F6"/>
    <w:rsid w:val="006B2457"/>
    <w:rsid w:val="006B3A5B"/>
    <w:rsid w:val="006B68AC"/>
    <w:rsid w:val="006C224E"/>
    <w:rsid w:val="006C41CE"/>
    <w:rsid w:val="006C5C61"/>
    <w:rsid w:val="006C5CEE"/>
    <w:rsid w:val="006D1FD8"/>
    <w:rsid w:val="006D3CED"/>
    <w:rsid w:val="006D7387"/>
    <w:rsid w:val="006D780A"/>
    <w:rsid w:val="006E0BDE"/>
    <w:rsid w:val="006E2DF5"/>
    <w:rsid w:val="006E6304"/>
    <w:rsid w:val="006E6A71"/>
    <w:rsid w:val="006E75F5"/>
    <w:rsid w:val="006F0463"/>
    <w:rsid w:val="006F1D1C"/>
    <w:rsid w:val="006F250D"/>
    <w:rsid w:val="006F28F6"/>
    <w:rsid w:val="006F67F6"/>
    <w:rsid w:val="0070241E"/>
    <w:rsid w:val="007044C9"/>
    <w:rsid w:val="00704579"/>
    <w:rsid w:val="0071086E"/>
    <w:rsid w:val="0071271E"/>
    <w:rsid w:val="007147BE"/>
    <w:rsid w:val="00715A20"/>
    <w:rsid w:val="00722396"/>
    <w:rsid w:val="00722DE2"/>
    <w:rsid w:val="007238FD"/>
    <w:rsid w:val="007303B2"/>
    <w:rsid w:val="0073103D"/>
    <w:rsid w:val="00732DEC"/>
    <w:rsid w:val="0073340A"/>
    <w:rsid w:val="00734B36"/>
    <w:rsid w:val="0073569A"/>
    <w:rsid w:val="00735BD5"/>
    <w:rsid w:val="00736763"/>
    <w:rsid w:val="00740D2D"/>
    <w:rsid w:val="00741C20"/>
    <w:rsid w:val="00744B5D"/>
    <w:rsid w:val="007451EC"/>
    <w:rsid w:val="00751613"/>
    <w:rsid w:val="00753EE9"/>
    <w:rsid w:val="007546B2"/>
    <w:rsid w:val="007556F6"/>
    <w:rsid w:val="00760EEF"/>
    <w:rsid w:val="00761E7D"/>
    <w:rsid w:val="007628EA"/>
    <w:rsid w:val="00762BCB"/>
    <w:rsid w:val="00767F63"/>
    <w:rsid w:val="00770AD0"/>
    <w:rsid w:val="00775FD1"/>
    <w:rsid w:val="00777EE5"/>
    <w:rsid w:val="00782CFC"/>
    <w:rsid w:val="00784836"/>
    <w:rsid w:val="00786A0D"/>
    <w:rsid w:val="0079023E"/>
    <w:rsid w:val="00797E62"/>
    <w:rsid w:val="007A0643"/>
    <w:rsid w:val="007A2854"/>
    <w:rsid w:val="007A39F1"/>
    <w:rsid w:val="007A77D7"/>
    <w:rsid w:val="007B05D7"/>
    <w:rsid w:val="007B73A9"/>
    <w:rsid w:val="007C01EB"/>
    <w:rsid w:val="007C1D92"/>
    <w:rsid w:val="007C413D"/>
    <w:rsid w:val="007C4CB9"/>
    <w:rsid w:val="007C7653"/>
    <w:rsid w:val="007D0B9D"/>
    <w:rsid w:val="007D19B0"/>
    <w:rsid w:val="007D2869"/>
    <w:rsid w:val="007D615F"/>
    <w:rsid w:val="007E0829"/>
    <w:rsid w:val="007E56F1"/>
    <w:rsid w:val="007E5828"/>
    <w:rsid w:val="007F2002"/>
    <w:rsid w:val="007F3525"/>
    <w:rsid w:val="007F383C"/>
    <w:rsid w:val="007F498F"/>
    <w:rsid w:val="007F56D3"/>
    <w:rsid w:val="0080431F"/>
    <w:rsid w:val="0080434B"/>
    <w:rsid w:val="00805568"/>
    <w:rsid w:val="0080679D"/>
    <w:rsid w:val="00810751"/>
    <w:rsid w:val="008108B0"/>
    <w:rsid w:val="00811B20"/>
    <w:rsid w:val="00812609"/>
    <w:rsid w:val="00817212"/>
    <w:rsid w:val="008211B5"/>
    <w:rsid w:val="00822451"/>
    <w:rsid w:val="0082296E"/>
    <w:rsid w:val="008232AC"/>
    <w:rsid w:val="008237D0"/>
    <w:rsid w:val="00824099"/>
    <w:rsid w:val="0082559B"/>
    <w:rsid w:val="00826A26"/>
    <w:rsid w:val="008310F6"/>
    <w:rsid w:val="00835EAA"/>
    <w:rsid w:val="008365A8"/>
    <w:rsid w:val="008378AB"/>
    <w:rsid w:val="00840417"/>
    <w:rsid w:val="00845CF4"/>
    <w:rsid w:val="00846788"/>
    <w:rsid w:val="00846D7C"/>
    <w:rsid w:val="0085216C"/>
    <w:rsid w:val="00852D2D"/>
    <w:rsid w:val="00853149"/>
    <w:rsid w:val="0085371A"/>
    <w:rsid w:val="00853FE9"/>
    <w:rsid w:val="008556C9"/>
    <w:rsid w:val="00863B0F"/>
    <w:rsid w:val="00864283"/>
    <w:rsid w:val="00864B81"/>
    <w:rsid w:val="00866A5C"/>
    <w:rsid w:val="008679DF"/>
    <w:rsid w:val="00867AC1"/>
    <w:rsid w:val="008751DE"/>
    <w:rsid w:val="008752B5"/>
    <w:rsid w:val="0087589A"/>
    <w:rsid w:val="0088502A"/>
    <w:rsid w:val="008872C6"/>
    <w:rsid w:val="00890DF8"/>
    <w:rsid w:val="00892F93"/>
    <w:rsid w:val="008A0ADE"/>
    <w:rsid w:val="008A0DEA"/>
    <w:rsid w:val="008A1DB1"/>
    <w:rsid w:val="008A3DF0"/>
    <w:rsid w:val="008A4C0B"/>
    <w:rsid w:val="008A735E"/>
    <w:rsid w:val="008A743F"/>
    <w:rsid w:val="008B0C45"/>
    <w:rsid w:val="008B370A"/>
    <w:rsid w:val="008C0970"/>
    <w:rsid w:val="008C0F45"/>
    <w:rsid w:val="008C28DF"/>
    <w:rsid w:val="008C3964"/>
    <w:rsid w:val="008C5486"/>
    <w:rsid w:val="008C6E3C"/>
    <w:rsid w:val="008C7B76"/>
    <w:rsid w:val="008D0BC5"/>
    <w:rsid w:val="008D2CF7"/>
    <w:rsid w:val="008D6B75"/>
    <w:rsid w:val="008E1D5E"/>
    <w:rsid w:val="008F1498"/>
    <w:rsid w:val="008F16B6"/>
    <w:rsid w:val="008F3131"/>
    <w:rsid w:val="00900A93"/>
    <w:rsid w:val="00900C26"/>
    <w:rsid w:val="00900DD6"/>
    <w:rsid w:val="00901830"/>
    <w:rsid w:val="0090197F"/>
    <w:rsid w:val="00902492"/>
    <w:rsid w:val="009029E9"/>
    <w:rsid w:val="00903264"/>
    <w:rsid w:val="00906DDC"/>
    <w:rsid w:val="00921B1A"/>
    <w:rsid w:val="009236D6"/>
    <w:rsid w:val="00925D26"/>
    <w:rsid w:val="00925FC1"/>
    <w:rsid w:val="00926C7E"/>
    <w:rsid w:val="00926DFE"/>
    <w:rsid w:val="00931DCC"/>
    <w:rsid w:val="00934E09"/>
    <w:rsid w:val="00936253"/>
    <w:rsid w:val="00940D46"/>
    <w:rsid w:val="009413F1"/>
    <w:rsid w:val="00942A56"/>
    <w:rsid w:val="009444D1"/>
    <w:rsid w:val="009448B8"/>
    <w:rsid w:val="0094490B"/>
    <w:rsid w:val="00945BFE"/>
    <w:rsid w:val="009462D9"/>
    <w:rsid w:val="009503CA"/>
    <w:rsid w:val="009522A4"/>
    <w:rsid w:val="00952DD4"/>
    <w:rsid w:val="00954ED3"/>
    <w:rsid w:val="009561F4"/>
    <w:rsid w:val="009606C1"/>
    <w:rsid w:val="0096088A"/>
    <w:rsid w:val="009622DD"/>
    <w:rsid w:val="009645EE"/>
    <w:rsid w:val="00964C35"/>
    <w:rsid w:val="00965AE7"/>
    <w:rsid w:val="009661D7"/>
    <w:rsid w:val="00966D73"/>
    <w:rsid w:val="00967FB5"/>
    <w:rsid w:val="00970D54"/>
    <w:rsid w:val="00970FED"/>
    <w:rsid w:val="0097607C"/>
    <w:rsid w:val="00982DEC"/>
    <w:rsid w:val="00983E23"/>
    <w:rsid w:val="0099006B"/>
    <w:rsid w:val="00992D6A"/>
    <w:rsid w:val="00992D82"/>
    <w:rsid w:val="00994DD8"/>
    <w:rsid w:val="0099538D"/>
    <w:rsid w:val="00997029"/>
    <w:rsid w:val="00997AEF"/>
    <w:rsid w:val="009A21EC"/>
    <w:rsid w:val="009A3897"/>
    <w:rsid w:val="009A53F0"/>
    <w:rsid w:val="009A7339"/>
    <w:rsid w:val="009B2D47"/>
    <w:rsid w:val="009B440E"/>
    <w:rsid w:val="009B79A0"/>
    <w:rsid w:val="009C196E"/>
    <w:rsid w:val="009C58B2"/>
    <w:rsid w:val="009D2395"/>
    <w:rsid w:val="009D3B25"/>
    <w:rsid w:val="009D3FD4"/>
    <w:rsid w:val="009D690D"/>
    <w:rsid w:val="009D7903"/>
    <w:rsid w:val="009E3BED"/>
    <w:rsid w:val="009E4252"/>
    <w:rsid w:val="009E4C89"/>
    <w:rsid w:val="009E57C5"/>
    <w:rsid w:val="009E5E48"/>
    <w:rsid w:val="009E65B6"/>
    <w:rsid w:val="009F0366"/>
    <w:rsid w:val="009F07FA"/>
    <w:rsid w:val="009F0A51"/>
    <w:rsid w:val="009F2CF9"/>
    <w:rsid w:val="009F34A0"/>
    <w:rsid w:val="009F4AF3"/>
    <w:rsid w:val="009F5226"/>
    <w:rsid w:val="009F53BD"/>
    <w:rsid w:val="009F6FE2"/>
    <w:rsid w:val="009F742B"/>
    <w:rsid w:val="009F77CF"/>
    <w:rsid w:val="00A0037E"/>
    <w:rsid w:val="00A00EE7"/>
    <w:rsid w:val="00A11247"/>
    <w:rsid w:val="00A112E1"/>
    <w:rsid w:val="00A11FD6"/>
    <w:rsid w:val="00A12611"/>
    <w:rsid w:val="00A14875"/>
    <w:rsid w:val="00A148E0"/>
    <w:rsid w:val="00A15A96"/>
    <w:rsid w:val="00A223F4"/>
    <w:rsid w:val="00A24C10"/>
    <w:rsid w:val="00A254DB"/>
    <w:rsid w:val="00A25B98"/>
    <w:rsid w:val="00A25FD4"/>
    <w:rsid w:val="00A2729A"/>
    <w:rsid w:val="00A318B8"/>
    <w:rsid w:val="00A34AFE"/>
    <w:rsid w:val="00A37BA0"/>
    <w:rsid w:val="00A42AC3"/>
    <w:rsid w:val="00A430CF"/>
    <w:rsid w:val="00A46A82"/>
    <w:rsid w:val="00A50B03"/>
    <w:rsid w:val="00A50FE5"/>
    <w:rsid w:val="00A54309"/>
    <w:rsid w:val="00A556D5"/>
    <w:rsid w:val="00A56603"/>
    <w:rsid w:val="00A57DF7"/>
    <w:rsid w:val="00A610A9"/>
    <w:rsid w:val="00A618B3"/>
    <w:rsid w:val="00A62445"/>
    <w:rsid w:val="00A64F9A"/>
    <w:rsid w:val="00A7591E"/>
    <w:rsid w:val="00A80F2A"/>
    <w:rsid w:val="00A83A48"/>
    <w:rsid w:val="00A91A3A"/>
    <w:rsid w:val="00A94462"/>
    <w:rsid w:val="00A96C33"/>
    <w:rsid w:val="00A97CEC"/>
    <w:rsid w:val="00AA13A2"/>
    <w:rsid w:val="00AA188D"/>
    <w:rsid w:val="00AA40DF"/>
    <w:rsid w:val="00AA4546"/>
    <w:rsid w:val="00AA6C9E"/>
    <w:rsid w:val="00AB2B93"/>
    <w:rsid w:val="00AB370C"/>
    <w:rsid w:val="00AB530F"/>
    <w:rsid w:val="00AB637D"/>
    <w:rsid w:val="00AB7E5B"/>
    <w:rsid w:val="00AC27EE"/>
    <w:rsid w:val="00AC2883"/>
    <w:rsid w:val="00AC5786"/>
    <w:rsid w:val="00AD4716"/>
    <w:rsid w:val="00AD66CA"/>
    <w:rsid w:val="00AE0EF1"/>
    <w:rsid w:val="00AE2937"/>
    <w:rsid w:val="00AE2C92"/>
    <w:rsid w:val="00AE30A1"/>
    <w:rsid w:val="00AE47AC"/>
    <w:rsid w:val="00AF20CC"/>
    <w:rsid w:val="00AF69AF"/>
    <w:rsid w:val="00B009C0"/>
    <w:rsid w:val="00B02AE9"/>
    <w:rsid w:val="00B03220"/>
    <w:rsid w:val="00B0326F"/>
    <w:rsid w:val="00B03959"/>
    <w:rsid w:val="00B07301"/>
    <w:rsid w:val="00B07A19"/>
    <w:rsid w:val="00B11F3E"/>
    <w:rsid w:val="00B124D0"/>
    <w:rsid w:val="00B13A47"/>
    <w:rsid w:val="00B13AC8"/>
    <w:rsid w:val="00B17D78"/>
    <w:rsid w:val="00B224DE"/>
    <w:rsid w:val="00B228C2"/>
    <w:rsid w:val="00B24886"/>
    <w:rsid w:val="00B264BC"/>
    <w:rsid w:val="00B271B3"/>
    <w:rsid w:val="00B2758C"/>
    <w:rsid w:val="00B3183E"/>
    <w:rsid w:val="00B324D4"/>
    <w:rsid w:val="00B325E8"/>
    <w:rsid w:val="00B3761A"/>
    <w:rsid w:val="00B40A4A"/>
    <w:rsid w:val="00B42C8D"/>
    <w:rsid w:val="00B45A89"/>
    <w:rsid w:val="00B46575"/>
    <w:rsid w:val="00B500D2"/>
    <w:rsid w:val="00B50717"/>
    <w:rsid w:val="00B50FEC"/>
    <w:rsid w:val="00B535E7"/>
    <w:rsid w:val="00B53E93"/>
    <w:rsid w:val="00B55D0B"/>
    <w:rsid w:val="00B60ECD"/>
    <w:rsid w:val="00B61777"/>
    <w:rsid w:val="00B6225C"/>
    <w:rsid w:val="00B622E6"/>
    <w:rsid w:val="00B63151"/>
    <w:rsid w:val="00B649C2"/>
    <w:rsid w:val="00B702CE"/>
    <w:rsid w:val="00B72F33"/>
    <w:rsid w:val="00B7518A"/>
    <w:rsid w:val="00B77862"/>
    <w:rsid w:val="00B8036A"/>
    <w:rsid w:val="00B813C2"/>
    <w:rsid w:val="00B83E82"/>
    <w:rsid w:val="00B84BBD"/>
    <w:rsid w:val="00B8580B"/>
    <w:rsid w:val="00B91BD8"/>
    <w:rsid w:val="00BA1FA0"/>
    <w:rsid w:val="00BA43FB"/>
    <w:rsid w:val="00BB36A8"/>
    <w:rsid w:val="00BB63BF"/>
    <w:rsid w:val="00BC02C9"/>
    <w:rsid w:val="00BC127D"/>
    <w:rsid w:val="00BC1FE6"/>
    <w:rsid w:val="00BC36BA"/>
    <w:rsid w:val="00BC46A6"/>
    <w:rsid w:val="00BC591B"/>
    <w:rsid w:val="00BC608C"/>
    <w:rsid w:val="00BD6525"/>
    <w:rsid w:val="00BD6628"/>
    <w:rsid w:val="00BD763F"/>
    <w:rsid w:val="00BF052C"/>
    <w:rsid w:val="00BF1902"/>
    <w:rsid w:val="00BF1F9F"/>
    <w:rsid w:val="00C0047C"/>
    <w:rsid w:val="00C020D0"/>
    <w:rsid w:val="00C061B6"/>
    <w:rsid w:val="00C061D6"/>
    <w:rsid w:val="00C222AA"/>
    <w:rsid w:val="00C24143"/>
    <w:rsid w:val="00C2446C"/>
    <w:rsid w:val="00C30957"/>
    <w:rsid w:val="00C319D3"/>
    <w:rsid w:val="00C32FB2"/>
    <w:rsid w:val="00C36AE5"/>
    <w:rsid w:val="00C41181"/>
    <w:rsid w:val="00C41F17"/>
    <w:rsid w:val="00C43571"/>
    <w:rsid w:val="00C45E20"/>
    <w:rsid w:val="00C4786B"/>
    <w:rsid w:val="00C51AB2"/>
    <w:rsid w:val="00C527FA"/>
    <w:rsid w:val="00C5280D"/>
    <w:rsid w:val="00C52F05"/>
    <w:rsid w:val="00C52F43"/>
    <w:rsid w:val="00C53EB3"/>
    <w:rsid w:val="00C55C4C"/>
    <w:rsid w:val="00C5791C"/>
    <w:rsid w:val="00C61D8E"/>
    <w:rsid w:val="00C6273C"/>
    <w:rsid w:val="00C63EC9"/>
    <w:rsid w:val="00C66290"/>
    <w:rsid w:val="00C66835"/>
    <w:rsid w:val="00C67CAD"/>
    <w:rsid w:val="00C715E1"/>
    <w:rsid w:val="00C72A80"/>
    <w:rsid w:val="00C72B7A"/>
    <w:rsid w:val="00C73EBC"/>
    <w:rsid w:val="00C805AC"/>
    <w:rsid w:val="00C816E4"/>
    <w:rsid w:val="00C819DA"/>
    <w:rsid w:val="00C82AC4"/>
    <w:rsid w:val="00C83CED"/>
    <w:rsid w:val="00C90618"/>
    <w:rsid w:val="00C93BCB"/>
    <w:rsid w:val="00C973F2"/>
    <w:rsid w:val="00CA2205"/>
    <w:rsid w:val="00CA304C"/>
    <w:rsid w:val="00CA774A"/>
    <w:rsid w:val="00CB4921"/>
    <w:rsid w:val="00CB6211"/>
    <w:rsid w:val="00CB6DB2"/>
    <w:rsid w:val="00CC11B0"/>
    <w:rsid w:val="00CC1204"/>
    <w:rsid w:val="00CC2841"/>
    <w:rsid w:val="00CC2877"/>
    <w:rsid w:val="00CC38DD"/>
    <w:rsid w:val="00CC5151"/>
    <w:rsid w:val="00CC7F86"/>
    <w:rsid w:val="00CD6A86"/>
    <w:rsid w:val="00CE1EC7"/>
    <w:rsid w:val="00CE59FB"/>
    <w:rsid w:val="00CF006A"/>
    <w:rsid w:val="00CF1330"/>
    <w:rsid w:val="00CF1B4E"/>
    <w:rsid w:val="00CF2959"/>
    <w:rsid w:val="00CF2DB1"/>
    <w:rsid w:val="00CF3A6F"/>
    <w:rsid w:val="00CF541E"/>
    <w:rsid w:val="00CF5752"/>
    <w:rsid w:val="00CF7E36"/>
    <w:rsid w:val="00D05EB9"/>
    <w:rsid w:val="00D27356"/>
    <w:rsid w:val="00D31CCC"/>
    <w:rsid w:val="00D34666"/>
    <w:rsid w:val="00D36BF8"/>
    <w:rsid w:val="00D3708D"/>
    <w:rsid w:val="00D37DF2"/>
    <w:rsid w:val="00D40426"/>
    <w:rsid w:val="00D40564"/>
    <w:rsid w:val="00D40599"/>
    <w:rsid w:val="00D45131"/>
    <w:rsid w:val="00D45880"/>
    <w:rsid w:val="00D45B7C"/>
    <w:rsid w:val="00D4746E"/>
    <w:rsid w:val="00D52F5C"/>
    <w:rsid w:val="00D57C96"/>
    <w:rsid w:val="00D57D18"/>
    <w:rsid w:val="00D60E71"/>
    <w:rsid w:val="00D630F9"/>
    <w:rsid w:val="00D65B8E"/>
    <w:rsid w:val="00D70E65"/>
    <w:rsid w:val="00D7297F"/>
    <w:rsid w:val="00D83649"/>
    <w:rsid w:val="00D85A66"/>
    <w:rsid w:val="00D86905"/>
    <w:rsid w:val="00D91203"/>
    <w:rsid w:val="00D93CE5"/>
    <w:rsid w:val="00D94A07"/>
    <w:rsid w:val="00D95174"/>
    <w:rsid w:val="00DA10B8"/>
    <w:rsid w:val="00DA4973"/>
    <w:rsid w:val="00DA6B86"/>
    <w:rsid w:val="00DA6F36"/>
    <w:rsid w:val="00DB1A6A"/>
    <w:rsid w:val="00DB289A"/>
    <w:rsid w:val="00DB596E"/>
    <w:rsid w:val="00DB5B81"/>
    <w:rsid w:val="00DB7773"/>
    <w:rsid w:val="00DC00EA"/>
    <w:rsid w:val="00DC0E53"/>
    <w:rsid w:val="00DC27E4"/>
    <w:rsid w:val="00DC3802"/>
    <w:rsid w:val="00DC5345"/>
    <w:rsid w:val="00DD003D"/>
    <w:rsid w:val="00DD4A3E"/>
    <w:rsid w:val="00DD6208"/>
    <w:rsid w:val="00DD7803"/>
    <w:rsid w:val="00DE1C25"/>
    <w:rsid w:val="00DE2457"/>
    <w:rsid w:val="00DE42D5"/>
    <w:rsid w:val="00DE61DB"/>
    <w:rsid w:val="00DF0145"/>
    <w:rsid w:val="00DF47BC"/>
    <w:rsid w:val="00DF64E2"/>
    <w:rsid w:val="00DF7E99"/>
    <w:rsid w:val="00E02166"/>
    <w:rsid w:val="00E07D87"/>
    <w:rsid w:val="00E10101"/>
    <w:rsid w:val="00E10A3A"/>
    <w:rsid w:val="00E10C79"/>
    <w:rsid w:val="00E10F31"/>
    <w:rsid w:val="00E146EE"/>
    <w:rsid w:val="00E15078"/>
    <w:rsid w:val="00E2342B"/>
    <w:rsid w:val="00E249C8"/>
    <w:rsid w:val="00E32F7E"/>
    <w:rsid w:val="00E36D00"/>
    <w:rsid w:val="00E5267B"/>
    <w:rsid w:val="00E54B0F"/>
    <w:rsid w:val="00E54EAA"/>
    <w:rsid w:val="00E559F0"/>
    <w:rsid w:val="00E62F26"/>
    <w:rsid w:val="00E62FB9"/>
    <w:rsid w:val="00E63C0E"/>
    <w:rsid w:val="00E640CC"/>
    <w:rsid w:val="00E72D49"/>
    <w:rsid w:val="00E7593C"/>
    <w:rsid w:val="00E7615F"/>
    <w:rsid w:val="00E7678A"/>
    <w:rsid w:val="00E773C1"/>
    <w:rsid w:val="00E84782"/>
    <w:rsid w:val="00E85A20"/>
    <w:rsid w:val="00E91926"/>
    <w:rsid w:val="00E935F1"/>
    <w:rsid w:val="00E94A81"/>
    <w:rsid w:val="00E94B16"/>
    <w:rsid w:val="00E94F70"/>
    <w:rsid w:val="00E95349"/>
    <w:rsid w:val="00E9714C"/>
    <w:rsid w:val="00EA1FFB"/>
    <w:rsid w:val="00EA30A5"/>
    <w:rsid w:val="00EA5AA9"/>
    <w:rsid w:val="00EA6BA4"/>
    <w:rsid w:val="00EB048E"/>
    <w:rsid w:val="00EB1236"/>
    <w:rsid w:val="00EB4E9C"/>
    <w:rsid w:val="00EB77CE"/>
    <w:rsid w:val="00EC142B"/>
    <w:rsid w:val="00EC1AA6"/>
    <w:rsid w:val="00EC284F"/>
    <w:rsid w:val="00ED0359"/>
    <w:rsid w:val="00EE1F64"/>
    <w:rsid w:val="00EE2925"/>
    <w:rsid w:val="00EE34DF"/>
    <w:rsid w:val="00EE56BB"/>
    <w:rsid w:val="00EE6372"/>
    <w:rsid w:val="00EF2F89"/>
    <w:rsid w:val="00EF34BA"/>
    <w:rsid w:val="00EF4F29"/>
    <w:rsid w:val="00EF6D30"/>
    <w:rsid w:val="00F0223E"/>
    <w:rsid w:val="00F03E98"/>
    <w:rsid w:val="00F111B8"/>
    <w:rsid w:val="00F1237A"/>
    <w:rsid w:val="00F20C51"/>
    <w:rsid w:val="00F20CA7"/>
    <w:rsid w:val="00F22CBD"/>
    <w:rsid w:val="00F272F1"/>
    <w:rsid w:val="00F31412"/>
    <w:rsid w:val="00F377E8"/>
    <w:rsid w:val="00F40A7D"/>
    <w:rsid w:val="00F41436"/>
    <w:rsid w:val="00F42F4A"/>
    <w:rsid w:val="00F45372"/>
    <w:rsid w:val="00F464CA"/>
    <w:rsid w:val="00F47229"/>
    <w:rsid w:val="00F50B9D"/>
    <w:rsid w:val="00F541C2"/>
    <w:rsid w:val="00F54E35"/>
    <w:rsid w:val="00F560F7"/>
    <w:rsid w:val="00F56E24"/>
    <w:rsid w:val="00F625A7"/>
    <w:rsid w:val="00F6334D"/>
    <w:rsid w:val="00F63599"/>
    <w:rsid w:val="00F64961"/>
    <w:rsid w:val="00F66E13"/>
    <w:rsid w:val="00F67F2F"/>
    <w:rsid w:val="00F71781"/>
    <w:rsid w:val="00F741D0"/>
    <w:rsid w:val="00F74A52"/>
    <w:rsid w:val="00F76125"/>
    <w:rsid w:val="00F8078E"/>
    <w:rsid w:val="00F8248E"/>
    <w:rsid w:val="00F83631"/>
    <w:rsid w:val="00F86629"/>
    <w:rsid w:val="00FA0E0E"/>
    <w:rsid w:val="00FA49AB"/>
    <w:rsid w:val="00FA5108"/>
    <w:rsid w:val="00FA68A8"/>
    <w:rsid w:val="00FB0652"/>
    <w:rsid w:val="00FB1768"/>
    <w:rsid w:val="00FC32D1"/>
    <w:rsid w:val="00FC5FD0"/>
    <w:rsid w:val="00FD2116"/>
    <w:rsid w:val="00FD26F6"/>
    <w:rsid w:val="00FD2D3D"/>
    <w:rsid w:val="00FD453B"/>
    <w:rsid w:val="00FE12F1"/>
    <w:rsid w:val="00FE39C7"/>
    <w:rsid w:val="00FE6188"/>
    <w:rsid w:val="00FE666F"/>
    <w:rsid w:val="00FE75D7"/>
    <w:rsid w:val="00FF16C5"/>
    <w:rsid w:val="00FF1E5B"/>
    <w:rsid w:val="00FF4D07"/>
    <w:rsid w:val="00FF5429"/>
    <w:rsid w:val="00FF5807"/>
    <w:rsid w:val="00FF6FF1"/>
    <w:rsid w:val="00FF7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62084"/>
  <w15:docId w15:val="{2126ED85-447B-4A1E-BB57-CF67BF20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6F28F6"/>
    <w:pPr>
      <w:keepNext/>
      <w:spacing w:before="520"/>
      <w:jc w:val="both"/>
      <w:outlineLvl w:val="0"/>
    </w:pPr>
    <w:rPr>
      <w:rFonts w:ascii="Arial" w:hAnsi="Arial"/>
      <w:caps/>
    </w:rPr>
  </w:style>
  <w:style w:type="paragraph" w:styleId="Heading2">
    <w:name w:val="heading 2"/>
    <w:next w:val="Normal"/>
    <w:autoRedefine/>
    <w:qFormat/>
    <w:rsid w:val="000B0E8D"/>
    <w:pPr>
      <w:keepNext/>
      <w:tabs>
        <w:tab w:val="left" w:pos="567"/>
      </w:tabs>
      <w:outlineLvl w:val="1"/>
    </w:pPr>
    <w:rPr>
      <w:rFonts w:ascii="Arial" w:eastAsiaTheme="minorEastAsia" w:hAnsi="Arial"/>
      <w:snapToGrid w:val="0"/>
      <w:spacing w:val="-4"/>
      <w:u w:val="single"/>
    </w:rPr>
  </w:style>
  <w:style w:type="paragraph" w:styleId="Heading3">
    <w:name w:val="heading 3"/>
    <w:next w:val="Normal"/>
    <w:autoRedefine/>
    <w:qFormat/>
    <w:rsid w:val="000B0E8D"/>
    <w:pPr>
      <w:keepNext/>
      <w:tabs>
        <w:tab w:val="left" w:pos="540"/>
        <w:tab w:val="left" w:pos="900"/>
      </w:tabs>
      <w:jc w:val="both"/>
      <w:outlineLvl w:val="2"/>
    </w:pPr>
    <w:rPr>
      <w:rFonts w:ascii="Arial" w:hAnsi="Arial"/>
      <w:i/>
    </w:rPr>
  </w:style>
  <w:style w:type="paragraph" w:styleId="Heading4">
    <w:name w:val="heading 4"/>
    <w:next w:val="Normal"/>
    <w:link w:val="Heading4Char"/>
    <w:autoRedefine/>
    <w:qFormat/>
    <w:rsid w:val="00CF2959"/>
    <w:pPr>
      <w:keepNext/>
      <w:ind w:left="567"/>
      <w:jc w:val="both"/>
      <w:outlineLvl w:val="3"/>
    </w:pPr>
    <w:rPr>
      <w:rFonts w:ascii="Arial" w:hAnsi="Arial"/>
      <w:u w:val="single"/>
    </w:rPr>
  </w:style>
  <w:style w:type="paragraph" w:styleId="Heading5">
    <w:name w:val="heading 5"/>
    <w:next w:val="Normal"/>
    <w:autoRedefine/>
    <w:qFormat/>
    <w:rsid w:val="00581323"/>
    <w:pPr>
      <w:keepNext/>
      <w:ind w:left="567"/>
      <w:jc w:val="both"/>
      <w:outlineLvl w:val="4"/>
    </w:pPr>
    <w:rPr>
      <w:rFonts w:ascii="Arial" w:hAnsi="Arial"/>
      <w:i/>
    </w:rPr>
  </w:style>
  <w:style w:type="paragraph" w:styleId="Heading6">
    <w:name w:val="heading 6"/>
    <w:basedOn w:val="Normal"/>
    <w:next w:val="Normal"/>
    <w:link w:val="Heading6Char"/>
    <w:semiHidden/>
    <w:unhideWhenUsed/>
    <w:qFormat/>
    <w:rsid w:val="00964C35"/>
    <w:pPr>
      <w:keepNext/>
      <w:keepLines/>
      <w:spacing w:before="4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semiHidden/>
    <w:unhideWhenUsed/>
    <w:qFormat/>
    <w:rsid w:val="0036797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560EA9"/>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rPr>
  </w:style>
  <w:style w:type="paragraph" w:styleId="TOC2">
    <w:name w:val="toc 2"/>
    <w:next w:val="Normal"/>
    <w:autoRedefine/>
    <w:uiPriority w:val="39"/>
    <w:rsid w:val="00C52F05"/>
    <w:pPr>
      <w:keepNext/>
      <w:tabs>
        <w:tab w:val="left" w:pos="738"/>
        <w:tab w:val="left" w:pos="1260"/>
        <w:tab w:val="right" w:leader="dot" w:pos="9639"/>
      </w:tabs>
      <w:spacing w:before="60" w:after="60"/>
      <w:ind w:left="720" w:right="2160"/>
      <w:jc w:val="both"/>
    </w:pPr>
    <w:rPr>
      <w:rFonts w:ascii="Arial" w:hAnsi="Arial"/>
      <w:sz w:val="18"/>
    </w:rPr>
  </w:style>
  <w:style w:type="paragraph" w:styleId="TOC3">
    <w:name w:val="toc 3"/>
    <w:next w:val="Normal"/>
    <w:autoRedefine/>
    <w:uiPriority w:val="39"/>
    <w:rsid w:val="00D31CCC"/>
    <w:pPr>
      <w:tabs>
        <w:tab w:val="left" w:pos="1800"/>
        <w:tab w:val="left" w:pos="2160"/>
        <w:tab w:val="left" w:pos="2790"/>
        <w:tab w:val="right" w:leader="dot" w:pos="9639"/>
      </w:tabs>
      <w:spacing w:before="60" w:after="60"/>
      <w:ind w:left="1440" w:right="425"/>
      <w:contextualSpacing/>
      <w:jc w:val="both"/>
    </w:pPr>
    <w:rPr>
      <w:rFonts w:ascii="Arial" w:hAnsi="Arial"/>
      <w:i/>
      <w:noProof/>
      <w:sz w:val="16"/>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9A21EC"/>
    <w:pPr>
      <w:tabs>
        <w:tab w:val="left" w:pos="3274"/>
        <w:tab w:val="right" w:leader="dot" w:pos="9639"/>
      </w:tabs>
      <w:spacing w:before="60" w:after="60"/>
      <w:ind w:left="1800" w:right="283"/>
    </w:pPr>
    <w:rPr>
      <w:rFonts w:ascii="Arial" w:hAnsi="Arial"/>
      <w:sz w:val="16"/>
    </w:rPr>
  </w:style>
  <w:style w:type="paragraph" w:styleId="TOC1">
    <w:name w:val="toc 1"/>
    <w:next w:val="Normal"/>
    <w:autoRedefine/>
    <w:uiPriority w:val="39"/>
    <w:rsid w:val="00E85A20"/>
    <w:pPr>
      <w:keepNext/>
      <w:tabs>
        <w:tab w:val="right" w:leader="dot" w:pos="9639"/>
      </w:tabs>
      <w:spacing w:before="120"/>
      <w:ind w:right="720"/>
      <w:jc w:val="both"/>
    </w:pPr>
    <w:rPr>
      <w:rFonts w:ascii="Arial" w:hAnsi="Arial"/>
      <w:caps/>
      <w:sz w:val="18"/>
    </w:rPr>
  </w:style>
  <w:style w:type="paragraph" w:styleId="TOC5">
    <w:name w:val="toc 5"/>
    <w:next w:val="Normal"/>
    <w:autoRedefine/>
    <w:uiPriority w:val="39"/>
    <w:rsid w:val="00E85A20"/>
    <w:pPr>
      <w:tabs>
        <w:tab w:val="right" w:leader="dot" w:pos="9639"/>
      </w:tabs>
      <w:spacing w:after="60"/>
      <w:ind w:left="1886" w:right="850" w:firstLine="288"/>
      <w:jc w:val="both"/>
    </w:pPr>
    <w:rPr>
      <w:rFonts w:ascii="Arial" w:hAnsi="Arial"/>
      <w:i/>
      <w:noProof/>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itleofdocChar">
    <w:name w:val="Title_of_doc Char"/>
    <w:link w:val="Titleofdoc0"/>
    <w:rsid w:val="007B73A9"/>
    <w:rPr>
      <w:rFonts w:ascii="Arial" w:hAnsi="Arial"/>
      <w:b/>
      <w:caps/>
    </w:rPr>
  </w:style>
  <w:style w:type="paragraph" w:customStyle="1" w:styleId="Sessiontwp">
    <w:name w:val="Session_twp"/>
    <w:basedOn w:val="Normal"/>
    <w:next w:val="Normal"/>
    <w:qFormat/>
    <w:rsid w:val="007B73A9"/>
    <w:rPr>
      <w:b/>
    </w:rPr>
  </w:style>
  <w:style w:type="paragraph" w:customStyle="1" w:styleId="Sessiontwpplacedate">
    <w:name w:val="Session_twp_place_date"/>
    <w:basedOn w:val="Normal"/>
    <w:next w:val="Normal"/>
    <w:qFormat/>
    <w:rsid w:val="007B73A9"/>
  </w:style>
  <w:style w:type="paragraph" w:styleId="ListParagraph">
    <w:name w:val="List Paragraph"/>
    <w:aliases w:val="auto_list_(i),List Paragraph1"/>
    <w:basedOn w:val="Normal"/>
    <w:link w:val="ListParagraphChar"/>
    <w:uiPriority w:val="34"/>
    <w:qFormat/>
    <w:rsid w:val="0012337C"/>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12337C"/>
    <w:rPr>
      <w:rFonts w:ascii="Arial" w:hAnsi="Arial"/>
    </w:rPr>
  </w:style>
  <w:style w:type="character" w:customStyle="1" w:styleId="FootnoteTextChar">
    <w:name w:val="Footnote Text Char"/>
    <w:basedOn w:val="DefaultParagraphFont"/>
    <w:link w:val="FootnoteText"/>
    <w:rsid w:val="00560EA9"/>
    <w:rPr>
      <w:rFonts w:ascii="Arial" w:hAnsi="Arial"/>
      <w:sz w:val="16"/>
    </w:rPr>
  </w:style>
  <w:style w:type="character" w:styleId="FollowedHyperlink">
    <w:name w:val="FollowedHyperlink"/>
    <w:basedOn w:val="DefaultParagraphFont"/>
    <w:semiHidden/>
    <w:unhideWhenUsed/>
    <w:rsid w:val="00B53E93"/>
    <w:rPr>
      <w:color w:val="800080" w:themeColor="followedHyperlink"/>
      <w:u w:val="single"/>
    </w:rPr>
  </w:style>
  <w:style w:type="character" w:customStyle="1" w:styleId="HeaderChar">
    <w:name w:val="Header Char"/>
    <w:basedOn w:val="DefaultParagraphFont"/>
    <w:link w:val="Header"/>
    <w:uiPriority w:val="99"/>
    <w:rsid w:val="00A62445"/>
    <w:rPr>
      <w:rFonts w:ascii="Arial" w:hAnsi="Arial"/>
    </w:rPr>
  </w:style>
  <w:style w:type="character" w:customStyle="1" w:styleId="NormaltChar">
    <w:name w:val="Normalt Char"/>
    <w:link w:val="Normalt"/>
    <w:locked/>
    <w:rsid w:val="007D615F"/>
    <w:rPr>
      <w:noProof/>
    </w:rPr>
  </w:style>
  <w:style w:type="paragraph" w:customStyle="1" w:styleId="Normalt">
    <w:name w:val="Normalt"/>
    <w:basedOn w:val="Normal"/>
    <w:link w:val="NormaltChar"/>
    <w:rsid w:val="007D615F"/>
    <w:pPr>
      <w:spacing w:before="120" w:after="120"/>
      <w:jc w:val="left"/>
    </w:pPr>
    <w:rPr>
      <w:rFonts w:ascii="Times New Roman" w:hAnsi="Times New Roman"/>
      <w:noProof/>
    </w:rPr>
  </w:style>
  <w:style w:type="paragraph" w:customStyle="1" w:styleId="Normaltb">
    <w:name w:val="Normaltb"/>
    <w:basedOn w:val="Normalt"/>
    <w:rsid w:val="007D615F"/>
    <w:pPr>
      <w:keepNext/>
    </w:pPr>
    <w:rPr>
      <w:b/>
    </w:rPr>
  </w:style>
  <w:style w:type="paragraph" w:customStyle="1" w:styleId="BasistekstNaktuinbouw">
    <w:name w:val="Basistekst Naktuinbouw"/>
    <w:basedOn w:val="Normal"/>
    <w:qFormat/>
    <w:rsid w:val="00261AE2"/>
    <w:pPr>
      <w:spacing w:line="240" w:lineRule="atLeast"/>
      <w:jc w:val="left"/>
    </w:pPr>
    <w:rPr>
      <w:rFonts w:cs="Maiandra GD"/>
      <w:color w:val="000000" w:themeColor="text1"/>
      <w:szCs w:val="18"/>
    </w:rPr>
  </w:style>
  <w:style w:type="paragraph" w:customStyle="1" w:styleId="Default">
    <w:name w:val="Default"/>
    <w:rsid w:val="00261AE2"/>
    <w:pPr>
      <w:autoSpaceDE w:val="0"/>
      <w:autoSpaceDN w:val="0"/>
      <w:adjustRightInd w:val="0"/>
    </w:pPr>
    <w:rPr>
      <w:rFonts w:ascii="Arial" w:hAnsi="Arial" w:cs="Arial"/>
      <w:color w:val="000000"/>
      <w:sz w:val="24"/>
      <w:szCs w:val="24"/>
    </w:rPr>
  </w:style>
  <w:style w:type="table" w:styleId="TableGrid">
    <w:name w:val="Table Grid"/>
    <w:basedOn w:val="TableNormal"/>
    <w:rsid w:val="006232E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semiHidden/>
    <w:rsid w:val="00964C35"/>
    <w:rPr>
      <w:rFonts w:asciiTheme="majorHAnsi" w:eastAsiaTheme="majorEastAsia" w:hAnsiTheme="majorHAnsi" w:cstheme="majorBidi"/>
      <w:color w:val="243F60" w:themeColor="accent1" w:themeShade="7F"/>
    </w:rPr>
  </w:style>
  <w:style w:type="character" w:customStyle="1" w:styleId="ui-provider">
    <w:name w:val="ui-provider"/>
    <w:basedOn w:val="DefaultParagraphFont"/>
    <w:rsid w:val="00C43571"/>
    <w:rPr>
      <w:rFonts w:ascii="Times New Roman" w:hAnsi="Times New Roman"/>
    </w:rPr>
  </w:style>
  <w:style w:type="character" w:styleId="Strong">
    <w:name w:val="Strong"/>
    <w:basedOn w:val="DefaultParagraphFont"/>
    <w:uiPriority w:val="22"/>
    <w:qFormat/>
    <w:rsid w:val="00C43571"/>
    <w:rPr>
      <w:b/>
      <w:bCs/>
    </w:rPr>
  </w:style>
  <w:style w:type="character" w:customStyle="1" w:styleId="EndnoteTextChar">
    <w:name w:val="Endnote Text Char"/>
    <w:basedOn w:val="DefaultParagraphFont"/>
    <w:link w:val="EndnoteText"/>
    <w:rsid w:val="00157035"/>
    <w:rPr>
      <w:rFonts w:ascii="Arial" w:hAnsi="Arial"/>
    </w:rPr>
  </w:style>
  <w:style w:type="paragraph" w:customStyle="1" w:styleId="Style1">
    <w:name w:val="Style1"/>
    <w:basedOn w:val="Normal"/>
    <w:rsid w:val="00157035"/>
    <w:pPr>
      <w:tabs>
        <w:tab w:val="decimal" w:pos="907"/>
        <w:tab w:val="left" w:pos="1077"/>
      </w:tabs>
    </w:pPr>
    <w:rPr>
      <w:rFonts w:eastAsia="MS Mincho"/>
      <w:szCs w:val="24"/>
    </w:rPr>
  </w:style>
  <w:style w:type="character" w:customStyle="1" w:styleId="Heading4Char">
    <w:name w:val="Heading 4 Char"/>
    <w:link w:val="Heading4"/>
    <w:rsid w:val="00CF2959"/>
    <w:rPr>
      <w:rFonts w:ascii="Arial" w:hAnsi="Arial"/>
      <w:u w:val="single"/>
    </w:rPr>
  </w:style>
  <w:style w:type="paragraph" w:styleId="Revision">
    <w:name w:val="Revision"/>
    <w:hidden/>
    <w:uiPriority w:val="99"/>
    <w:semiHidden/>
    <w:rsid w:val="0088502A"/>
    <w:rPr>
      <w:rFonts w:ascii="Arial" w:hAnsi="Arial"/>
    </w:rPr>
  </w:style>
  <w:style w:type="character" w:customStyle="1" w:styleId="Heading8Char">
    <w:name w:val="Heading 8 Char"/>
    <w:basedOn w:val="DefaultParagraphFont"/>
    <w:link w:val="Heading8"/>
    <w:semiHidden/>
    <w:rsid w:val="0036797C"/>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
    <w:semiHidden/>
    <w:unhideWhenUsed/>
    <w:rsid w:val="0036797C"/>
    <w:pPr>
      <w:spacing w:after="120"/>
      <w:ind w:left="283"/>
    </w:pPr>
  </w:style>
  <w:style w:type="character" w:customStyle="1" w:styleId="BodyTextIndentChar">
    <w:name w:val="Body Text Indent Char"/>
    <w:basedOn w:val="DefaultParagraphFont"/>
    <w:link w:val="BodyTextIndent"/>
    <w:semiHidden/>
    <w:rsid w:val="0036797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81">
      <w:bodyDiv w:val="1"/>
      <w:marLeft w:val="0"/>
      <w:marRight w:val="0"/>
      <w:marTop w:val="0"/>
      <w:marBottom w:val="0"/>
      <w:divBdr>
        <w:top w:val="none" w:sz="0" w:space="0" w:color="auto"/>
        <w:left w:val="none" w:sz="0" w:space="0" w:color="auto"/>
        <w:bottom w:val="none" w:sz="0" w:space="0" w:color="auto"/>
        <w:right w:val="none" w:sz="0" w:space="0" w:color="auto"/>
      </w:divBdr>
    </w:div>
    <w:div w:id="82532416">
      <w:bodyDiv w:val="1"/>
      <w:marLeft w:val="0"/>
      <w:marRight w:val="0"/>
      <w:marTop w:val="0"/>
      <w:marBottom w:val="0"/>
      <w:divBdr>
        <w:top w:val="none" w:sz="0" w:space="0" w:color="auto"/>
        <w:left w:val="none" w:sz="0" w:space="0" w:color="auto"/>
        <w:bottom w:val="none" w:sz="0" w:space="0" w:color="auto"/>
        <w:right w:val="none" w:sz="0" w:space="0" w:color="auto"/>
      </w:divBdr>
    </w:div>
    <w:div w:id="443236504">
      <w:bodyDiv w:val="1"/>
      <w:marLeft w:val="0"/>
      <w:marRight w:val="0"/>
      <w:marTop w:val="0"/>
      <w:marBottom w:val="0"/>
      <w:divBdr>
        <w:top w:val="none" w:sz="0" w:space="0" w:color="auto"/>
        <w:left w:val="none" w:sz="0" w:space="0" w:color="auto"/>
        <w:bottom w:val="none" w:sz="0" w:space="0" w:color="auto"/>
        <w:right w:val="none" w:sz="0" w:space="0" w:color="auto"/>
      </w:divBdr>
    </w:div>
    <w:div w:id="762801890">
      <w:bodyDiv w:val="1"/>
      <w:marLeft w:val="0"/>
      <w:marRight w:val="0"/>
      <w:marTop w:val="0"/>
      <w:marBottom w:val="0"/>
      <w:divBdr>
        <w:top w:val="none" w:sz="0" w:space="0" w:color="auto"/>
        <w:left w:val="none" w:sz="0" w:space="0" w:color="auto"/>
        <w:bottom w:val="none" w:sz="0" w:space="0" w:color="auto"/>
        <w:right w:val="none" w:sz="0" w:space="0" w:color="auto"/>
      </w:divBdr>
    </w:div>
    <w:div w:id="1050962174">
      <w:bodyDiv w:val="1"/>
      <w:marLeft w:val="0"/>
      <w:marRight w:val="0"/>
      <w:marTop w:val="0"/>
      <w:marBottom w:val="0"/>
      <w:divBdr>
        <w:top w:val="none" w:sz="0" w:space="0" w:color="auto"/>
        <w:left w:val="none" w:sz="0" w:space="0" w:color="auto"/>
        <w:bottom w:val="none" w:sz="0" w:space="0" w:color="auto"/>
        <w:right w:val="none" w:sz="0" w:space="0" w:color="auto"/>
      </w:divBdr>
    </w:div>
    <w:div w:id="1351300610">
      <w:bodyDiv w:val="1"/>
      <w:marLeft w:val="0"/>
      <w:marRight w:val="0"/>
      <w:marTop w:val="0"/>
      <w:marBottom w:val="0"/>
      <w:divBdr>
        <w:top w:val="none" w:sz="0" w:space="0" w:color="auto"/>
        <w:left w:val="none" w:sz="0" w:space="0" w:color="auto"/>
        <w:bottom w:val="none" w:sz="0" w:space="0" w:color="auto"/>
        <w:right w:val="none" w:sz="0" w:space="0" w:color="auto"/>
      </w:divBdr>
    </w:div>
    <w:div w:id="2109302192">
      <w:bodyDiv w:val="1"/>
      <w:marLeft w:val="0"/>
      <w:marRight w:val="0"/>
      <w:marTop w:val="0"/>
      <w:marBottom w:val="0"/>
      <w:divBdr>
        <w:top w:val="none" w:sz="0" w:space="0" w:color="auto"/>
        <w:left w:val="none" w:sz="0" w:space="0" w:color="auto"/>
        <w:bottom w:val="none" w:sz="0" w:space="0" w:color="auto"/>
        <w:right w:val="none" w:sz="0" w:space="0" w:color="auto"/>
      </w:divBdr>
    </w:div>
    <w:div w:id="2113277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image" Target="media/image5.jpeg"/><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s://www.upov.int/upov_collection/de" TargetMode="External"/><Relationship Id="rId14" Type="http://schemas.openxmlformats.org/officeDocument/2006/relationships/header" Target="header5.xml"/><Relationship Id="rId22" Type="http://schemas.openxmlformats.org/officeDocument/2006/relationships/image" Target="media/image9.png"/><Relationship Id="rId27" Type="http://schemas.openxmlformats.org/officeDocument/2006/relationships/header" Target="header9.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orldse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8FC70-1C5D-4EC2-AAE0-B2C9277B8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28</Pages>
  <Words>9420</Words>
  <Characters>69915</Characters>
  <Application>Microsoft Office Word</Application>
  <DocSecurity>0</DocSecurity>
  <Lines>1747</Lines>
  <Paragraphs>702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SESSIONS/2023/2</vt:lpstr>
      <vt:lpstr>SESSIONS/2023/2</vt:lpstr>
    </vt:vector>
  </TitlesOfParts>
  <Company>UPOV</Company>
  <LinksUpToDate>false</LinksUpToDate>
  <CharactersWithSpaces>78633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SESSIONS/2023/2</dc:title>
  <dc:creator>Author</dc:creator>
  <cp:lastModifiedBy>SANCHEZ VIZCAINO GOMEZ Rosa Maria</cp:lastModifiedBy>
  <cp:revision>8</cp:revision>
  <cp:lastPrinted>2023-08-31T10:37:00Z</cp:lastPrinted>
  <dcterms:created xsi:type="dcterms:W3CDTF">2023-09-06T08:53:00Z</dcterms:created>
  <dcterms:modified xsi:type="dcterms:W3CDTF">2023-09-14T18:43:00Z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c084f7-b690-4c43-8ee6-d475b6d3461d_Enabled">
    <vt:lpwstr>true</vt:lpwstr>
  </property>
  <property fmtid="{D5CDD505-2E9C-101B-9397-08002B2CF9AE}" pid="3" name="MSIP_Label_bfc084f7-b690-4c43-8ee6-d475b6d3461d_SetDate">
    <vt:lpwstr>2023-09-01T13:48:57Z</vt:lpwstr>
  </property>
  <property fmtid="{D5CDD505-2E9C-101B-9397-08002B2CF9AE}" pid="4" name="MSIP_Label_bfc084f7-b690-4c43-8ee6-d475b6d3461d_Method">
    <vt:lpwstr>Standard</vt:lpwstr>
  </property>
  <property fmtid="{D5CDD505-2E9C-101B-9397-08002B2CF9AE}" pid="5" name="MSIP_Label_bfc084f7-b690-4c43-8ee6-d475b6d3461d_Name">
    <vt:lpwstr>FOR OFFICIAL USE ONLY</vt:lpwstr>
  </property>
  <property fmtid="{D5CDD505-2E9C-101B-9397-08002B2CF9AE}" pid="6" name="MSIP_Label_bfc084f7-b690-4c43-8ee6-d475b6d3461d_SiteId">
    <vt:lpwstr>faa31b06-8ccc-48c9-867f-f7510dd11c02</vt:lpwstr>
  </property>
  <property fmtid="{D5CDD505-2E9C-101B-9397-08002B2CF9AE}" pid="7" name="MSIP_Label_bfc084f7-b690-4c43-8ee6-d475b6d3461d_ActionId">
    <vt:lpwstr>f1a6c584-b176-44e8-a2da-1a9a4a6a08de</vt:lpwstr>
  </property>
  <property fmtid="{D5CDD505-2E9C-101B-9397-08002B2CF9AE}" pid="8" name="MSIP_Label_bfc084f7-b690-4c43-8ee6-d475b6d3461d_ContentBits">
    <vt:lpwstr>2</vt:lpwstr>
  </property>
</Properties>
</file>