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04F3BE1E" w14:textId="77777777" w:rsidTr="00EB4E9C">
        <w:tc>
          <w:tcPr>
            <w:tcW w:w="6522" w:type="dxa"/>
          </w:tcPr>
          <w:p w14:paraId="41B8019B" w14:textId="77777777" w:rsidR="00DC3802" w:rsidRPr="00AC2883" w:rsidRDefault="00DC3802" w:rsidP="00AC2883">
            <w:r w:rsidRPr="00D250C5">
              <w:rPr>
                <w:noProof/>
                <w:lang w:val="en-US"/>
              </w:rPr>
              <w:drawing>
                <wp:inline distT="0" distB="0" distL="0" distR="0" wp14:anchorId="18C0059D" wp14:editId="19A422E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B227BC9" w14:textId="77777777" w:rsidR="00DC3802" w:rsidRPr="007C1D92" w:rsidRDefault="00BC0BD4" w:rsidP="00AC2883">
            <w:pPr>
              <w:pStyle w:val="Lettrine"/>
            </w:pPr>
            <w:r>
              <w:t>G</w:t>
            </w:r>
          </w:p>
        </w:tc>
      </w:tr>
      <w:tr w:rsidR="00DC3802" w:rsidRPr="00DA4973" w14:paraId="47F06F1E" w14:textId="77777777" w:rsidTr="00645CA8">
        <w:trPr>
          <w:trHeight w:val="219"/>
        </w:trPr>
        <w:tc>
          <w:tcPr>
            <w:tcW w:w="6522" w:type="dxa"/>
          </w:tcPr>
          <w:p w14:paraId="15D12E30" w14:textId="77777777"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14:paraId="14E59E23" w14:textId="77777777" w:rsidR="00DC3802" w:rsidRPr="00DA4973" w:rsidRDefault="00DC3802" w:rsidP="00DA4973"/>
        </w:tc>
      </w:tr>
    </w:tbl>
    <w:p w14:paraId="6DE3B9E5" w14:textId="77777777" w:rsidR="00DC3802" w:rsidRDefault="00DC3802" w:rsidP="00DC3802"/>
    <w:p w14:paraId="545F8AE3"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3FC534EA" w14:textId="77777777" w:rsidTr="00EB4E9C">
        <w:tc>
          <w:tcPr>
            <w:tcW w:w="6512" w:type="dxa"/>
          </w:tcPr>
          <w:p w14:paraId="70601AAD" w14:textId="77777777" w:rsidR="00EB4E9C" w:rsidRPr="009E1BDC" w:rsidRDefault="007C595A" w:rsidP="00AC2883">
            <w:pPr>
              <w:pStyle w:val="Sessiontc"/>
              <w:spacing w:line="240" w:lineRule="auto"/>
            </w:pPr>
            <w:r w:rsidRPr="009E1BDC">
              <w:t>Der Rat</w:t>
            </w:r>
          </w:p>
          <w:p w14:paraId="31EC547C" w14:textId="77777777" w:rsidR="0000241A" w:rsidRPr="009E1BDC" w:rsidRDefault="00EC00B2" w:rsidP="00EC00B2">
            <w:pPr>
              <w:pStyle w:val="Sessiontcplacedate"/>
            </w:pPr>
            <w:r w:rsidRPr="009E1BDC">
              <w:t>S</w:t>
            </w:r>
            <w:r w:rsidR="00EC4208" w:rsidRPr="009E1BDC">
              <w:t>ieben</w:t>
            </w:r>
            <w:r w:rsidR="00BC0BD4" w:rsidRPr="009E1BDC">
              <w:t>und</w:t>
            </w:r>
            <w:r w:rsidR="007C595A" w:rsidRPr="009E1BDC">
              <w:t>fünf</w:t>
            </w:r>
            <w:r w:rsidR="00BC0BD4" w:rsidRPr="009E1BDC">
              <w:t xml:space="preserve">zigste </w:t>
            </w:r>
            <w:r w:rsidR="007C595A" w:rsidRPr="009E1BDC">
              <w:t xml:space="preserve">ordentliche </w:t>
            </w:r>
            <w:r w:rsidR="00BC0BD4" w:rsidRPr="009E1BDC">
              <w:t>Tagung</w:t>
            </w:r>
          </w:p>
          <w:p w14:paraId="5271F9C7" w14:textId="77777777" w:rsidR="00EB4E9C" w:rsidRPr="009E1BDC" w:rsidRDefault="00EB4E9C" w:rsidP="00EC4208">
            <w:pPr>
              <w:pStyle w:val="Sessiontcplacedate"/>
              <w:rPr>
                <w:sz w:val="22"/>
              </w:rPr>
            </w:pPr>
            <w:r w:rsidRPr="009E1BDC">
              <w:t>Gen</w:t>
            </w:r>
            <w:r w:rsidR="00BC0BD4" w:rsidRPr="009E1BDC">
              <w:t>f</w:t>
            </w:r>
            <w:r w:rsidRPr="009E1BDC">
              <w:t xml:space="preserve">, </w:t>
            </w:r>
            <w:r w:rsidR="00EC00B2" w:rsidRPr="009E1BDC">
              <w:t>2</w:t>
            </w:r>
            <w:r w:rsidR="00EC4208" w:rsidRPr="009E1BDC">
              <w:t>7</w:t>
            </w:r>
            <w:r w:rsidR="00FF262A" w:rsidRPr="009E1BDC">
              <w:t xml:space="preserve">. Oktober </w:t>
            </w:r>
            <w:r w:rsidR="00EC4208" w:rsidRPr="009E1BDC">
              <w:t>2023</w:t>
            </w:r>
          </w:p>
        </w:tc>
        <w:tc>
          <w:tcPr>
            <w:tcW w:w="3127" w:type="dxa"/>
          </w:tcPr>
          <w:p w14:paraId="7988343C" w14:textId="4BACD30B" w:rsidR="00EB4E9C" w:rsidRPr="009E1BDC" w:rsidRDefault="00F91270" w:rsidP="003C7FBE">
            <w:pPr>
              <w:pStyle w:val="Doccode"/>
              <w:rPr>
                <w:lang w:val="de-DE"/>
              </w:rPr>
            </w:pPr>
            <w:r>
              <w:rPr>
                <w:lang w:val="de-DE"/>
              </w:rPr>
              <w:t>C/57/4 Rev.</w:t>
            </w:r>
          </w:p>
          <w:p w14:paraId="7948E60B" w14:textId="77777777" w:rsidR="00EB4E9C" w:rsidRPr="009E1BDC" w:rsidRDefault="00EB4E9C" w:rsidP="003C7FBE">
            <w:pPr>
              <w:pStyle w:val="Docoriginal"/>
            </w:pPr>
            <w:r w:rsidRPr="009E1BDC">
              <w:t>Original:</w:t>
            </w:r>
            <w:r w:rsidRPr="009E1BDC">
              <w:rPr>
                <w:b w:val="0"/>
                <w:spacing w:val="0"/>
              </w:rPr>
              <w:t xml:space="preserve">  </w:t>
            </w:r>
            <w:r w:rsidR="00BC0BD4" w:rsidRPr="009E1BDC">
              <w:rPr>
                <w:b w:val="0"/>
                <w:spacing w:val="0"/>
              </w:rPr>
              <w:t>englisch</w:t>
            </w:r>
          </w:p>
          <w:p w14:paraId="7CAE24C3" w14:textId="085C05B0" w:rsidR="00EB4E9C" w:rsidRPr="007C1D92" w:rsidRDefault="00EB4E9C" w:rsidP="00EB67B0">
            <w:pPr>
              <w:pStyle w:val="Docoriginal"/>
            </w:pPr>
            <w:r w:rsidRPr="009E1BDC">
              <w:t>Dat</w:t>
            </w:r>
            <w:r w:rsidR="00BC0BD4" w:rsidRPr="009E1BDC">
              <w:t>um</w:t>
            </w:r>
            <w:r w:rsidRPr="009E1BDC">
              <w:t>:</w:t>
            </w:r>
            <w:r w:rsidRPr="009E1BDC">
              <w:rPr>
                <w:b w:val="0"/>
                <w:spacing w:val="0"/>
              </w:rPr>
              <w:t xml:space="preserve">  </w:t>
            </w:r>
            <w:r w:rsidR="00F91270">
              <w:rPr>
                <w:b w:val="0"/>
                <w:spacing w:val="0"/>
              </w:rPr>
              <w:t>27. Oktober</w:t>
            </w:r>
            <w:r w:rsidRPr="009E1BDC">
              <w:rPr>
                <w:b w:val="0"/>
                <w:spacing w:val="0"/>
              </w:rPr>
              <w:t xml:space="preserve"> 20</w:t>
            </w:r>
            <w:r w:rsidR="00CC6951" w:rsidRPr="009E1BDC">
              <w:rPr>
                <w:b w:val="0"/>
                <w:spacing w:val="0"/>
              </w:rPr>
              <w:t>2</w:t>
            </w:r>
            <w:r w:rsidR="00CC0487" w:rsidRPr="009E1BDC">
              <w:rPr>
                <w:b w:val="0"/>
                <w:spacing w:val="0"/>
              </w:rPr>
              <w:t>3</w:t>
            </w:r>
          </w:p>
        </w:tc>
      </w:tr>
    </w:tbl>
    <w:p w14:paraId="0B8BDA64" w14:textId="536DBFB9" w:rsidR="00CC0487" w:rsidRPr="00AB5483" w:rsidRDefault="00CC0487" w:rsidP="00CC0487">
      <w:pPr>
        <w:pStyle w:val="Titleofdoc0"/>
      </w:pPr>
      <w:r w:rsidRPr="00AB5483">
        <w:t xml:space="preserve">Programm und Haushaltsplan für die Rechnungsperiode </w:t>
      </w:r>
      <w:r>
        <w:t>2024-2025</w:t>
      </w:r>
    </w:p>
    <w:p w14:paraId="27371FCA" w14:textId="77777777" w:rsidR="00F91270" w:rsidRDefault="00F91270" w:rsidP="00F91270">
      <w:pPr>
        <w:pStyle w:val="preparedby1"/>
        <w:jc w:val="left"/>
      </w:pPr>
      <w:r w:rsidRPr="00E05D71">
        <w:t xml:space="preserve">vom </w:t>
      </w:r>
      <w:r>
        <w:t>Rat angenommen</w:t>
      </w:r>
    </w:p>
    <w:p w14:paraId="08CB42C1" w14:textId="77777777" w:rsidR="00F91270" w:rsidRPr="00E05D71" w:rsidRDefault="00F91270" w:rsidP="00F91270">
      <w:pPr>
        <w:pStyle w:val="preparedby1"/>
        <w:jc w:val="left"/>
      </w:pPr>
    </w:p>
    <w:p w14:paraId="78CCACB1" w14:textId="21CFD117" w:rsidR="00F91270" w:rsidRPr="002729CD" w:rsidRDefault="00F91270" w:rsidP="00F91270">
      <w:r w:rsidRPr="00A022C5">
        <w:fldChar w:fldCharType="begin"/>
      </w:r>
      <w:r w:rsidRPr="00A022C5">
        <w:instrText xml:space="preserve"> AUTONUM  </w:instrText>
      </w:r>
      <w:r w:rsidRPr="00A022C5">
        <w:fldChar w:fldCharType="end"/>
      </w:r>
      <w:r w:rsidRPr="00A022C5">
        <w:tab/>
      </w:r>
      <w:r w:rsidRPr="002729CD">
        <w:t xml:space="preserve">Auf seiner </w:t>
      </w:r>
      <w:r>
        <w:t>seiben</w:t>
      </w:r>
      <w:r w:rsidRPr="002729CD">
        <w:t>und</w:t>
      </w:r>
      <w:r>
        <w:t>fünf</w:t>
      </w:r>
      <w:r w:rsidRPr="002729CD">
        <w:t xml:space="preserve">zigsten ordentlichen Tagung am </w:t>
      </w:r>
      <w:r>
        <w:t xml:space="preserve">27. Oktober 2023 </w:t>
      </w:r>
      <w:r w:rsidRPr="002729CD">
        <w:t>in Genf</w:t>
      </w:r>
      <w:r>
        <w:t xml:space="preserve"> </w:t>
      </w:r>
      <w:r w:rsidRPr="002729CD">
        <w:t>billigte der Rat die in dem Entwurf eines Programms und Haushaltsplans für die</w:t>
      </w:r>
      <w:r>
        <w:t xml:space="preserve"> </w:t>
      </w:r>
      <w:r w:rsidRPr="002729CD">
        <w:t>Rechnungsperiode 20</w:t>
      </w:r>
      <w:r>
        <w:t>2</w:t>
      </w:r>
      <w:r>
        <w:t>4</w:t>
      </w:r>
      <w:r w:rsidRPr="002729CD">
        <w:t>-20</w:t>
      </w:r>
      <w:r>
        <w:t>2</w:t>
      </w:r>
      <w:r>
        <w:t>5</w:t>
      </w:r>
      <w:r w:rsidRPr="002729CD">
        <w:t xml:space="preserve"> enthaltenen </w:t>
      </w:r>
      <w:r w:rsidRPr="00F91270">
        <w:rPr>
          <w:spacing w:val="-2"/>
        </w:rPr>
        <w:t>Vorschläge, wie in Dokument C/5</w:t>
      </w:r>
      <w:r w:rsidRPr="00F91270">
        <w:rPr>
          <w:spacing w:val="-2"/>
        </w:rPr>
        <w:t>7</w:t>
      </w:r>
      <w:r w:rsidRPr="00F91270">
        <w:rPr>
          <w:spacing w:val="-2"/>
        </w:rPr>
        <w:t>/4 dargelegt, einschließlich des Betrags der Beiträge der Verbandsmitglieder,</w:t>
      </w:r>
      <w:r w:rsidRPr="002729CD">
        <w:t xml:space="preserve"> die vorgeschlagene</w:t>
      </w:r>
      <w:r>
        <w:t xml:space="preserve"> </w:t>
      </w:r>
      <w:r w:rsidRPr="002729CD">
        <w:t>Höchstgrenze für die Ausgaben im ordentlichen Haushalt, und die Gesamtzahl der Posten für</w:t>
      </w:r>
      <w:r>
        <w:t xml:space="preserve"> </w:t>
      </w:r>
      <w:r w:rsidRPr="002729CD">
        <w:t>das Verbandsbüro.</w:t>
      </w:r>
    </w:p>
    <w:p w14:paraId="5F0A068C" w14:textId="77777777" w:rsidR="00F91270" w:rsidRDefault="00F91270" w:rsidP="00F91270"/>
    <w:p w14:paraId="1EAA19A1" w14:textId="6E8EDB56" w:rsidR="00F91270" w:rsidRDefault="00F91270" w:rsidP="00F91270">
      <w:r w:rsidRPr="00185588">
        <w:fldChar w:fldCharType="begin"/>
      </w:r>
      <w:r w:rsidRPr="00185588">
        <w:instrText xml:space="preserve"> AUTONUM  </w:instrText>
      </w:r>
      <w:r w:rsidRPr="00185588">
        <w:fldChar w:fldCharType="end"/>
      </w:r>
      <w:r w:rsidRPr="00185588">
        <w:tab/>
      </w:r>
      <w:r>
        <w:t>Die Anlage d</w:t>
      </w:r>
      <w:r w:rsidRPr="002729CD">
        <w:t>ieses Dokument</w:t>
      </w:r>
      <w:r>
        <w:t>s</w:t>
      </w:r>
      <w:r w:rsidRPr="002729CD">
        <w:t xml:space="preserve"> enthält </w:t>
      </w:r>
      <w:r>
        <w:t xml:space="preserve">das </w:t>
      </w:r>
      <w:r w:rsidRPr="002729CD">
        <w:t xml:space="preserve">Programm und </w:t>
      </w:r>
      <w:r>
        <w:t xml:space="preserve">den </w:t>
      </w:r>
      <w:r w:rsidRPr="002729CD">
        <w:t xml:space="preserve">Haushaltsplan für die </w:t>
      </w:r>
      <w:r>
        <w:br/>
      </w:r>
      <w:r w:rsidRPr="002729CD">
        <w:t>Rechnungsperiode</w:t>
      </w:r>
      <w:r>
        <w:t xml:space="preserve"> </w:t>
      </w:r>
      <w:r w:rsidRPr="002729CD">
        <w:t>20</w:t>
      </w:r>
      <w:r>
        <w:t>2</w:t>
      </w:r>
      <w:r>
        <w:t>4</w:t>
      </w:r>
      <w:r>
        <w:noBreakHyphen/>
      </w:r>
      <w:r w:rsidRPr="002729CD">
        <w:t>20</w:t>
      </w:r>
      <w:r>
        <w:t>2</w:t>
      </w:r>
      <w:r>
        <w:t>5</w:t>
      </w:r>
      <w:r w:rsidRPr="002729CD">
        <w:t>, wie vom Rat beschlossen.</w:t>
      </w:r>
    </w:p>
    <w:p w14:paraId="7F77CC18" w14:textId="77777777" w:rsidR="00CC0487" w:rsidRPr="00AB5483" w:rsidRDefault="00CC0487" w:rsidP="00CC0487"/>
    <w:p w14:paraId="31DDB6CC" w14:textId="77777777" w:rsidR="00CC0487" w:rsidRDefault="00CC0487" w:rsidP="00CC0487"/>
    <w:p w14:paraId="21BA702D" w14:textId="77777777" w:rsidR="00CC0487" w:rsidRDefault="00CC0487" w:rsidP="00CC0487"/>
    <w:p w14:paraId="086E2D71" w14:textId="77777777" w:rsidR="00CC0487" w:rsidRPr="00AB5483" w:rsidRDefault="00CC0487" w:rsidP="00CC0487">
      <w:pPr>
        <w:jc w:val="right"/>
      </w:pPr>
      <w:r>
        <w:t>[Anlage folgt]</w:t>
      </w:r>
    </w:p>
    <w:p w14:paraId="05D1F948" w14:textId="77777777" w:rsidR="00050E16" w:rsidRDefault="00050E16" w:rsidP="009B440E">
      <w:pPr>
        <w:jc w:val="left"/>
      </w:pPr>
    </w:p>
    <w:p w14:paraId="6354FF98" w14:textId="77777777" w:rsidR="00CC0487" w:rsidRDefault="00CC0487" w:rsidP="009B440E">
      <w:pPr>
        <w:jc w:val="left"/>
        <w:sectPr w:rsidR="00CC0487" w:rsidSect="00906DDC">
          <w:headerReference w:type="default" r:id="rId8"/>
          <w:pgSz w:w="11907" w:h="16840" w:code="9"/>
          <w:pgMar w:top="510" w:right="1134" w:bottom="1134" w:left="1134" w:header="510" w:footer="680" w:gutter="0"/>
          <w:cols w:space="720"/>
          <w:titlePg/>
        </w:sectPr>
      </w:pPr>
    </w:p>
    <w:p w14:paraId="4EDE4C26" w14:textId="4962912F" w:rsidR="00CC0487" w:rsidRPr="003E7026" w:rsidRDefault="00CC0487" w:rsidP="00CC0487">
      <w:pPr>
        <w:pStyle w:val="Titleofdoc0"/>
        <w:spacing w:before="0" w:after="0"/>
        <w:ind w:left="1134" w:hanging="1134"/>
        <w:rPr>
          <w:caps w:val="0"/>
          <w:color w:val="194C33" w:themeColor="accent1" w:themeShade="80"/>
          <w:sz w:val="32"/>
          <w:szCs w:val="32"/>
        </w:rPr>
      </w:pPr>
      <w:r w:rsidRPr="003E7026">
        <w:rPr>
          <w:caps w:val="0"/>
          <w:color w:val="194C33" w:themeColor="accent1" w:themeShade="80"/>
          <w:sz w:val="32"/>
          <w:szCs w:val="32"/>
        </w:rPr>
        <w:lastRenderedPageBreak/>
        <w:t xml:space="preserve">Programm und Haushaltsplan 2024-2025 </w:t>
      </w:r>
    </w:p>
    <w:p w14:paraId="411C3727" w14:textId="77777777" w:rsidR="00CC0487" w:rsidRPr="003E7026" w:rsidRDefault="00CC0487" w:rsidP="00CC0487">
      <w:pPr>
        <w:jc w:val="left"/>
      </w:pPr>
    </w:p>
    <w:sdt>
      <w:sdtPr>
        <w:rPr>
          <w:rFonts w:asciiTheme="minorHAnsi" w:hAnsiTheme="minorHAnsi" w:cstheme="minorHAnsi"/>
          <w:b/>
          <w:bCs/>
          <w:noProof/>
          <w:lang w:val="en-US"/>
        </w:rPr>
        <w:id w:val="-1719118402"/>
        <w:docPartObj>
          <w:docPartGallery w:val="Table of Contents"/>
          <w:docPartUnique/>
        </w:docPartObj>
      </w:sdtPr>
      <w:sdtEndPr>
        <w:rPr>
          <w:b w:val="0"/>
          <w:bCs w:val="0"/>
          <w:noProof w:val="0"/>
        </w:rPr>
      </w:sdtEndPr>
      <w:sdtContent>
        <w:p w14:paraId="727CBBD7" w14:textId="77777777" w:rsidR="00CC0487" w:rsidRPr="003E7026" w:rsidRDefault="00CC0487" w:rsidP="00CC0487">
          <w:pPr>
            <w:rPr>
              <w:b/>
              <w:color w:val="26724C" w:themeColor="accent1" w:themeShade="BF"/>
            </w:rPr>
          </w:pPr>
          <w:r w:rsidRPr="003E7026">
            <w:rPr>
              <w:b/>
              <w:color w:val="26724C" w:themeColor="accent1" w:themeShade="BF"/>
            </w:rPr>
            <w:t>Inhalt</w:t>
          </w:r>
        </w:p>
        <w:p w14:paraId="363F1DCB" w14:textId="77777777" w:rsidR="00CC0487" w:rsidRDefault="00CC0487" w:rsidP="00CC0487">
          <w:pPr>
            <w:pStyle w:val="TOC1"/>
            <w:rPr>
              <w:rFonts w:asciiTheme="minorHAnsi" w:eastAsiaTheme="minorEastAsia" w:hAnsiTheme="minorHAnsi" w:cstheme="minorBidi"/>
              <w:bCs w:val="0"/>
              <w:sz w:val="22"/>
              <w:szCs w:val="22"/>
            </w:rPr>
          </w:pPr>
          <w:r w:rsidRPr="003E7026">
            <w:rPr>
              <w:noProof w:val="0"/>
              <w:lang w:val="de-DE"/>
            </w:rPr>
            <w:fldChar w:fldCharType="begin"/>
          </w:r>
          <w:r w:rsidRPr="003E7026">
            <w:rPr>
              <w:noProof w:val="0"/>
              <w:lang w:val="de-DE"/>
            </w:rPr>
            <w:instrText xml:space="preserve"> TOC \o "1-3" \u \t "Heading 9,4" </w:instrText>
          </w:r>
          <w:r w:rsidRPr="003E7026">
            <w:rPr>
              <w:noProof w:val="0"/>
              <w:lang w:val="de-DE"/>
            </w:rPr>
            <w:fldChar w:fldCharType="separate"/>
          </w:r>
          <w:r w:rsidRPr="006B294A">
            <w:rPr>
              <w:lang w:val="de-DE"/>
            </w:rPr>
            <w:t>I.</w:t>
          </w:r>
          <w:r>
            <w:rPr>
              <w:rFonts w:asciiTheme="minorHAnsi" w:eastAsiaTheme="minorEastAsia" w:hAnsiTheme="minorHAnsi" w:cstheme="minorBidi"/>
              <w:bCs w:val="0"/>
              <w:sz w:val="22"/>
              <w:szCs w:val="22"/>
            </w:rPr>
            <w:tab/>
          </w:r>
          <w:r w:rsidRPr="006B294A">
            <w:rPr>
              <w:lang w:val="de-DE"/>
            </w:rPr>
            <w:t>Gesamtzusammenhang</w:t>
          </w:r>
          <w:r>
            <w:tab/>
          </w:r>
          <w:r>
            <w:fldChar w:fldCharType="begin"/>
          </w:r>
          <w:r>
            <w:instrText xml:space="preserve"> PAGEREF _Toc128060716 \h </w:instrText>
          </w:r>
          <w:r>
            <w:fldChar w:fldCharType="separate"/>
          </w:r>
          <w:r w:rsidR="002C31A1">
            <w:t>2</w:t>
          </w:r>
          <w:r>
            <w:fldChar w:fldCharType="end"/>
          </w:r>
        </w:p>
        <w:p w14:paraId="2E66C3CC" w14:textId="77777777" w:rsidR="00CC0487" w:rsidRDefault="00CC0487" w:rsidP="00CC0487">
          <w:pPr>
            <w:pStyle w:val="TOC1"/>
            <w:rPr>
              <w:rFonts w:asciiTheme="minorHAnsi" w:eastAsiaTheme="minorEastAsia" w:hAnsiTheme="minorHAnsi" w:cstheme="minorBidi"/>
              <w:bCs w:val="0"/>
              <w:sz w:val="22"/>
              <w:szCs w:val="22"/>
            </w:rPr>
          </w:pPr>
          <w:r w:rsidRPr="006B294A">
            <w:rPr>
              <w:lang w:val="de-DE"/>
            </w:rPr>
            <w:t>II.</w:t>
          </w:r>
          <w:r>
            <w:rPr>
              <w:rFonts w:asciiTheme="minorHAnsi" w:eastAsiaTheme="minorEastAsia" w:hAnsiTheme="minorHAnsi" w:cstheme="minorBidi"/>
              <w:bCs w:val="0"/>
              <w:sz w:val="22"/>
              <w:szCs w:val="22"/>
            </w:rPr>
            <w:tab/>
          </w:r>
          <w:r w:rsidRPr="006B294A">
            <w:rPr>
              <w:lang w:val="de-DE"/>
            </w:rPr>
            <w:t>Überblick über Programm und HaushaltSplan</w:t>
          </w:r>
          <w:r>
            <w:tab/>
          </w:r>
          <w:r>
            <w:fldChar w:fldCharType="begin"/>
          </w:r>
          <w:r>
            <w:instrText xml:space="preserve"> PAGEREF _Toc128060717 \h </w:instrText>
          </w:r>
          <w:r>
            <w:fldChar w:fldCharType="separate"/>
          </w:r>
          <w:r w:rsidR="002C31A1">
            <w:t>4</w:t>
          </w:r>
          <w:r>
            <w:fldChar w:fldCharType="end"/>
          </w:r>
        </w:p>
        <w:p w14:paraId="377234CA" w14:textId="77777777" w:rsidR="00CC0487" w:rsidRDefault="00CC0487" w:rsidP="00CC0487">
          <w:pPr>
            <w:pStyle w:val="TOC2"/>
            <w:rPr>
              <w:rFonts w:asciiTheme="minorHAnsi" w:eastAsiaTheme="minorEastAsia" w:hAnsiTheme="minorHAnsi" w:cstheme="minorBidi"/>
              <w:iCs w:val="0"/>
              <w:sz w:val="22"/>
              <w:szCs w:val="22"/>
            </w:rPr>
          </w:pPr>
          <w:r w:rsidRPr="006B294A">
            <w:rPr>
              <w:lang w:val="de-DE"/>
            </w:rPr>
            <w:t>Finanzieller Überblick</w:t>
          </w:r>
          <w:r>
            <w:tab/>
          </w:r>
          <w:r>
            <w:fldChar w:fldCharType="begin"/>
          </w:r>
          <w:r>
            <w:instrText xml:space="preserve"> PAGEREF _Toc128060718 \h </w:instrText>
          </w:r>
          <w:r>
            <w:fldChar w:fldCharType="separate"/>
          </w:r>
          <w:r w:rsidR="002C31A1">
            <w:t>4</w:t>
          </w:r>
          <w:r>
            <w:fldChar w:fldCharType="end"/>
          </w:r>
        </w:p>
        <w:p w14:paraId="335FEE65" w14:textId="77777777" w:rsidR="00CC0487" w:rsidRDefault="00CC0487" w:rsidP="00CC0487">
          <w:pPr>
            <w:pStyle w:val="TOC3"/>
            <w:rPr>
              <w:rFonts w:asciiTheme="minorHAnsi" w:eastAsiaTheme="minorEastAsia" w:hAnsiTheme="minorHAnsi" w:cstheme="minorBidi"/>
              <w:i w:val="0"/>
              <w:sz w:val="22"/>
              <w:szCs w:val="22"/>
            </w:rPr>
          </w:pPr>
          <w:r w:rsidRPr="006B294A">
            <w:rPr>
              <w:lang w:val="de-DE"/>
            </w:rPr>
            <w:t>Einnahmen</w:t>
          </w:r>
          <w:r>
            <w:tab/>
          </w:r>
          <w:r>
            <w:fldChar w:fldCharType="begin"/>
          </w:r>
          <w:r>
            <w:instrText xml:space="preserve"> PAGEREF _Toc128060719 \h </w:instrText>
          </w:r>
          <w:r>
            <w:fldChar w:fldCharType="separate"/>
          </w:r>
          <w:r w:rsidR="002C31A1">
            <w:t>4</w:t>
          </w:r>
          <w:r>
            <w:fldChar w:fldCharType="end"/>
          </w:r>
        </w:p>
        <w:p w14:paraId="02495756" w14:textId="77777777" w:rsidR="00CC0487" w:rsidRDefault="00CC0487" w:rsidP="00CC0487">
          <w:pPr>
            <w:pStyle w:val="TOC3"/>
            <w:rPr>
              <w:rFonts w:asciiTheme="minorHAnsi" w:eastAsiaTheme="minorEastAsia" w:hAnsiTheme="minorHAnsi" w:cstheme="minorBidi"/>
              <w:i w:val="0"/>
              <w:sz w:val="22"/>
              <w:szCs w:val="22"/>
            </w:rPr>
          </w:pPr>
          <w:r w:rsidRPr="006B294A">
            <w:rPr>
              <w:lang w:val="de-DE"/>
            </w:rPr>
            <w:t>Mittelplan</w:t>
          </w:r>
          <w:r>
            <w:tab/>
          </w:r>
          <w:r>
            <w:fldChar w:fldCharType="begin"/>
          </w:r>
          <w:r>
            <w:instrText xml:space="preserve"> PAGEREF _Toc128060720 \h </w:instrText>
          </w:r>
          <w:r>
            <w:fldChar w:fldCharType="separate"/>
          </w:r>
          <w:r w:rsidR="002C31A1">
            <w:t>5</w:t>
          </w:r>
          <w:r>
            <w:fldChar w:fldCharType="end"/>
          </w:r>
        </w:p>
        <w:p w14:paraId="52A82C06" w14:textId="77777777" w:rsidR="00CC0487" w:rsidRDefault="00CC0487" w:rsidP="00CC0487">
          <w:pPr>
            <w:pStyle w:val="TOC3"/>
            <w:rPr>
              <w:rFonts w:asciiTheme="minorHAnsi" w:eastAsiaTheme="minorEastAsia" w:hAnsiTheme="minorHAnsi" w:cstheme="minorBidi"/>
              <w:i w:val="0"/>
              <w:sz w:val="22"/>
              <w:szCs w:val="22"/>
            </w:rPr>
          </w:pPr>
          <w:r w:rsidRPr="006B294A">
            <w:rPr>
              <w:lang w:val="de-DE"/>
            </w:rPr>
            <w:t>Ausgaben</w:t>
          </w:r>
          <w:r>
            <w:tab/>
          </w:r>
          <w:r>
            <w:fldChar w:fldCharType="begin"/>
          </w:r>
          <w:r>
            <w:instrText xml:space="preserve"> PAGEREF _Toc128060721 \h </w:instrText>
          </w:r>
          <w:r>
            <w:fldChar w:fldCharType="separate"/>
          </w:r>
          <w:r w:rsidR="002C31A1">
            <w:t>6</w:t>
          </w:r>
          <w:r>
            <w:fldChar w:fldCharType="end"/>
          </w:r>
        </w:p>
        <w:p w14:paraId="18ADBB59" w14:textId="77777777" w:rsidR="00CC0487" w:rsidRDefault="00CC0487" w:rsidP="00CC0487">
          <w:pPr>
            <w:pStyle w:val="TOC3"/>
            <w:rPr>
              <w:rFonts w:asciiTheme="minorHAnsi" w:eastAsiaTheme="minorEastAsia" w:hAnsiTheme="minorHAnsi" w:cstheme="minorBidi"/>
              <w:i w:val="0"/>
              <w:sz w:val="22"/>
              <w:szCs w:val="22"/>
            </w:rPr>
          </w:pPr>
          <w:r w:rsidRPr="006B294A">
            <w:rPr>
              <w:lang w:val="de-DE"/>
            </w:rPr>
            <w:t>Personalkosten</w:t>
          </w:r>
          <w:r>
            <w:tab/>
          </w:r>
          <w:r>
            <w:fldChar w:fldCharType="begin"/>
          </w:r>
          <w:r>
            <w:instrText xml:space="preserve"> PAGEREF _Toc128060722 \h </w:instrText>
          </w:r>
          <w:r>
            <w:fldChar w:fldCharType="separate"/>
          </w:r>
          <w:r w:rsidR="002C31A1">
            <w:t>8</w:t>
          </w:r>
          <w:r>
            <w:fldChar w:fldCharType="end"/>
          </w:r>
        </w:p>
        <w:p w14:paraId="5BF915A7" w14:textId="77777777" w:rsidR="00CC0487" w:rsidRDefault="00CC0487" w:rsidP="00CC0487">
          <w:pPr>
            <w:pStyle w:val="TOC1"/>
            <w:rPr>
              <w:rFonts w:asciiTheme="minorHAnsi" w:eastAsiaTheme="minorEastAsia" w:hAnsiTheme="minorHAnsi" w:cstheme="minorBidi"/>
              <w:bCs w:val="0"/>
              <w:sz w:val="22"/>
              <w:szCs w:val="22"/>
            </w:rPr>
          </w:pPr>
          <w:r w:rsidRPr="006B294A">
            <w:rPr>
              <w:lang w:val="de-DE"/>
            </w:rPr>
            <w:t>III.</w:t>
          </w:r>
          <w:r>
            <w:rPr>
              <w:rFonts w:asciiTheme="minorHAnsi" w:eastAsiaTheme="minorEastAsia" w:hAnsiTheme="minorHAnsi" w:cstheme="minorBidi"/>
              <w:bCs w:val="0"/>
              <w:sz w:val="22"/>
              <w:szCs w:val="22"/>
            </w:rPr>
            <w:tab/>
          </w:r>
          <w:r w:rsidRPr="006B294A">
            <w:rPr>
              <w:lang w:val="de-DE"/>
            </w:rPr>
            <w:t>Ziele und Erwartete Ergebnisse</w:t>
          </w:r>
          <w:r>
            <w:tab/>
          </w:r>
          <w:r>
            <w:fldChar w:fldCharType="begin"/>
          </w:r>
          <w:r>
            <w:instrText xml:space="preserve"> PAGEREF _Toc128060723 \h </w:instrText>
          </w:r>
          <w:r>
            <w:fldChar w:fldCharType="separate"/>
          </w:r>
          <w:r w:rsidR="002C31A1">
            <w:t>9</w:t>
          </w:r>
          <w:r>
            <w:fldChar w:fldCharType="end"/>
          </w:r>
        </w:p>
        <w:p w14:paraId="7DC09D14" w14:textId="77777777" w:rsidR="00CC0487" w:rsidRDefault="00CC0487" w:rsidP="00CC0487">
          <w:pPr>
            <w:pStyle w:val="TOC2"/>
            <w:rPr>
              <w:rFonts w:asciiTheme="minorHAnsi" w:eastAsiaTheme="minorEastAsia" w:hAnsiTheme="minorHAnsi" w:cstheme="minorBidi"/>
              <w:iCs w:val="0"/>
              <w:sz w:val="22"/>
              <w:szCs w:val="22"/>
            </w:rPr>
          </w:pPr>
          <w:r w:rsidRPr="006B294A">
            <w:rPr>
              <w:lang w:val="de-DE"/>
            </w:rPr>
            <w:t>Einführung</w:t>
          </w:r>
          <w:r>
            <w:tab/>
          </w:r>
          <w:r>
            <w:fldChar w:fldCharType="begin"/>
          </w:r>
          <w:r>
            <w:instrText xml:space="preserve"> PAGEREF _Toc128060724 \h </w:instrText>
          </w:r>
          <w:r>
            <w:fldChar w:fldCharType="separate"/>
          </w:r>
          <w:r w:rsidR="002C31A1">
            <w:t>9</w:t>
          </w:r>
          <w:r>
            <w:fldChar w:fldCharType="end"/>
          </w:r>
        </w:p>
        <w:p w14:paraId="6156FA4E" w14:textId="77777777" w:rsidR="00CC0487" w:rsidRDefault="00CC0487" w:rsidP="00CC0487">
          <w:pPr>
            <w:pStyle w:val="TOC2"/>
            <w:rPr>
              <w:rFonts w:asciiTheme="minorHAnsi" w:eastAsiaTheme="minorEastAsia" w:hAnsiTheme="minorHAnsi" w:cstheme="minorBidi"/>
              <w:iCs w:val="0"/>
              <w:sz w:val="22"/>
              <w:szCs w:val="22"/>
            </w:rPr>
          </w:pPr>
          <w:r w:rsidRPr="006B294A">
            <w:rPr>
              <w:lang w:val="de-DE"/>
            </w:rPr>
            <w:t>Säule 1: Interessengruppen zusammenbringen, um dazu beizutragen, die Zukunft des UPOV-Systems zu gestalten</w:t>
          </w:r>
          <w:r>
            <w:tab/>
          </w:r>
          <w:r>
            <w:fldChar w:fldCharType="begin"/>
          </w:r>
          <w:r>
            <w:instrText xml:space="preserve"> PAGEREF _Toc128060725 \h </w:instrText>
          </w:r>
          <w:r>
            <w:fldChar w:fldCharType="separate"/>
          </w:r>
          <w:r w:rsidR="002C31A1">
            <w:t>10</w:t>
          </w:r>
          <w:r>
            <w:fldChar w:fldCharType="end"/>
          </w:r>
        </w:p>
        <w:p w14:paraId="60CD6DDB" w14:textId="77777777" w:rsidR="00CC0487" w:rsidRDefault="00CC0487" w:rsidP="00CC0487">
          <w:pPr>
            <w:pStyle w:val="TOC3"/>
            <w:rPr>
              <w:rFonts w:asciiTheme="minorHAnsi" w:eastAsiaTheme="minorEastAsia" w:hAnsiTheme="minorHAnsi" w:cstheme="minorBidi"/>
              <w:i w:val="0"/>
              <w:sz w:val="22"/>
              <w:szCs w:val="22"/>
            </w:rPr>
          </w:pPr>
          <w:r w:rsidRPr="006B294A">
            <w:rPr>
              <w:lang w:val="de-DE"/>
            </w:rPr>
            <w:t>Umsetzung der Strategie zur Erreichung der Erwarteten Ergebnisse</w:t>
          </w:r>
          <w:r>
            <w:tab/>
          </w:r>
          <w:r>
            <w:fldChar w:fldCharType="begin"/>
          </w:r>
          <w:r>
            <w:instrText xml:space="preserve"> PAGEREF _Toc128060726 \h </w:instrText>
          </w:r>
          <w:r>
            <w:fldChar w:fldCharType="separate"/>
          </w:r>
          <w:r w:rsidR="002C31A1">
            <w:t>10</w:t>
          </w:r>
          <w:r>
            <w:fldChar w:fldCharType="end"/>
          </w:r>
        </w:p>
        <w:p w14:paraId="43FC5D80" w14:textId="77777777" w:rsidR="00CC0487" w:rsidRDefault="00CC0487" w:rsidP="00CC0487">
          <w:pPr>
            <w:pStyle w:val="TOC3"/>
            <w:rPr>
              <w:rFonts w:asciiTheme="minorHAnsi" w:eastAsiaTheme="minorEastAsia" w:hAnsiTheme="minorHAnsi" w:cstheme="minorBidi"/>
              <w:i w:val="0"/>
              <w:sz w:val="22"/>
              <w:szCs w:val="22"/>
            </w:rPr>
          </w:pPr>
          <w:r w:rsidRPr="006B294A">
            <w:rPr>
              <w:lang w:val="de-DE"/>
            </w:rPr>
            <w:t>Erwartete Ergebnisse und Planerfüllungsindikatoren</w:t>
          </w:r>
          <w:r>
            <w:tab/>
          </w:r>
          <w:r>
            <w:fldChar w:fldCharType="begin"/>
          </w:r>
          <w:r>
            <w:instrText xml:space="preserve"> PAGEREF _Toc128060727 \h </w:instrText>
          </w:r>
          <w:r>
            <w:fldChar w:fldCharType="separate"/>
          </w:r>
          <w:r w:rsidR="002C31A1">
            <w:t>10</w:t>
          </w:r>
          <w:r>
            <w:fldChar w:fldCharType="end"/>
          </w:r>
        </w:p>
        <w:p w14:paraId="439BC367" w14:textId="77777777" w:rsidR="00CC0487" w:rsidRDefault="00CC0487" w:rsidP="00CC0487">
          <w:pPr>
            <w:pStyle w:val="TOC2"/>
            <w:rPr>
              <w:rFonts w:asciiTheme="minorHAnsi" w:eastAsiaTheme="minorEastAsia" w:hAnsiTheme="minorHAnsi" w:cstheme="minorBidi"/>
              <w:iCs w:val="0"/>
              <w:sz w:val="22"/>
              <w:szCs w:val="22"/>
            </w:rPr>
          </w:pPr>
          <w:r w:rsidRPr="006B294A">
            <w:rPr>
              <w:lang w:val="de-DE"/>
            </w:rPr>
            <w:t>Säule 2: Bereitstellung von Anleitung und Unterstützung und Erleichterung der Zusammenarbeit bei der Umsetzung des UPOV-Systems</w:t>
          </w:r>
          <w:r>
            <w:tab/>
          </w:r>
          <w:r>
            <w:fldChar w:fldCharType="begin"/>
          </w:r>
          <w:r>
            <w:instrText xml:space="preserve"> PAGEREF _Toc128060728 \h </w:instrText>
          </w:r>
          <w:r>
            <w:fldChar w:fldCharType="separate"/>
          </w:r>
          <w:r w:rsidR="002C31A1">
            <w:t>11</w:t>
          </w:r>
          <w:r>
            <w:fldChar w:fldCharType="end"/>
          </w:r>
        </w:p>
        <w:p w14:paraId="49A42055" w14:textId="77777777" w:rsidR="00CC0487" w:rsidRDefault="00CC0487" w:rsidP="00CC0487">
          <w:pPr>
            <w:pStyle w:val="TOC3"/>
            <w:rPr>
              <w:rFonts w:asciiTheme="minorHAnsi" w:eastAsiaTheme="minorEastAsia" w:hAnsiTheme="minorHAnsi" w:cstheme="minorBidi"/>
              <w:i w:val="0"/>
              <w:sz w:val="22"/>
              <w:szCs w:val="22"/>
            </w:rPr>
          </w:pPr>
          <w:r w:rsidRPr="006B294A">
            <w:rPr>
              <w:lang w:val="de-DE"/>
            </w:rPr>
            <w:t>Umsetzung der Strategie zur Erreichung der Erwarteten Ergebnisse</w:t>
          </w:r>
          <w:r>
            <w:tab/>
          </w:r>
          <w:r>
            <w:fldChar w:fldCharType="begin"/>
          </w:r>
          <w:r>
            <w:instrText xml:space="preserve"> PAGEREF _Toc128060729 \h </w:instrText>
          </w:r>
          <w:r>
            <w:fldChar w:fldCharType="separate"/>
          </w:r>
          <w:r w:rsidR="002C31A1">
            <w:t>11</w:t>
          </w:r>
          <w:r>
            <w:fldChar w:fldCharType="end"/>
          </w:r>
        </w:p>
        <w:p w14:paraId="38793585" w14:textId="77777777" w:rsidR="00CC0487" w:rsidRDefault="00CC0487" w:rsidP="00CC0487">
          <w:pPr>
            <w:pStyle w:val="TOC3"/>
            <w:rPr>
              <w:rFonts w:asciiTheme="minorHAnsi" w:eastAsiaTheme="minorEastAsia" w:hAnsiTheme="minorHAnsi" w:cstheme="minorBidi"/>
              <w:i w:val="0"/>
              <w:sz w:val="22"/>
              <w:szCs w:val="22"/>
            </w:rPr>
          </w:pPr>
          <w:r w:rsidRPr="006B294A">
            <w:rPr>
              <w:lang w:val="de-DE"/>
            </w:rPr>
            <w:t>Erwartete Ergebnisse und Planerfüllungsindikatoren</w:t>
          </w:r>
          <w:r>
            <w:tab/>
          </w:r>
          <w:r>
            <w:fldChar w:fldCharType="begin"/>
          </w:r>
          <w:r>
            <w:instrText xml:space="preserve"> PAGEREF _Toc128060730 \h </w:instrText>
          </w:r>
          <w:r>
            <w:fldChar w:fldCharType="separate"/>
          </w:r>
          <w:r w:rsidR="002C31A1">
            <w:t>13</w:t>
          </w:r>
          <w:r>
            <w:fldChar w:fldCharType="end"/>
          </w:r>
        </w:p>
        <w:p w14:paraId="1D070496" w14:textId="77777777" w:rsidR="00CC0487" w:rsidRDefault="00CC0487" w:rsidP="00CC0487">
          <w:pPr>
            <w:pStyle w:val="TOC2"/>
            <w:rPr>
              <w:rFonts w:asciiTheme="minorHAnsi" w:eastAsiaTheme="minorEastAsia" w:hAnsiTheme="minorHAnsi" w:cstheme="minorBidi"/>
              <w:iCs w:val="0"/>
              <w:sz w:val="22"/>
              <w:szCs w:val="22"/>
            </w:rPr>
          </w:pPr>
          <w:r w:rsidRPr="006B294A">
            <w:rPr>
              <w:lang w:val="de-DE"/>
            </w:rPr>
            <w:t>Säule 3: Bereitstellung qualitativ hochstehender Dienstleistungen für UPOV-Mitglieder und Nutzer des UPOV-Systems</w:t>
          </w:r>
          <w:r>
            <w:tab/>
          </w:r>
          <w:r>
            <w:fldChar w:fldCharType="begin"/>
          </w:r>
          <w:r>
            <w:instrText xml:space="preserve"> PAGEREF _Toc128060731 \h </w:instrText>
          </w:r>
          <w:r>
            <w:fldChar w:fldCharType="separate"/>
          </w:r>
          <w:r w:rsidR="002C31A1">
            <w:t>14</w:t>
          </w:r>
          <w:r>
            <w:fldChar w:fldCharType="end"/>
          </w:r>
        </w:p>
        <w:p w14:paraId="3147BD18" w14:textId="77777777" w:rsidR="00CC0487" w:rsidRDefault="00CC0487" w:rsidP="00CC0487">
          <w:pPr>
            <w:pStyle w:val="TOC3"/>
            <w:rPr>
              <w:rFonts w:asciiTheme="minorHAnsi" w:eastAsiaTheme="minorEastAsia" w:hAnsiTheme="minorHAnsi" w:cstheme="minorBidi"/>
              <w:i w:val="0"/>
              <w:sz w:val="22"/>
              <w:szCs w:val="22"/>
            </w:rPr>
          </w:pPr>
          <w:r w:rsidRPr="006B294A">
            <w:rPr>
              <w:lang w:val="de-DE"/>
            </w:rPr>
            <w:t>Umsetzung der Strategie zur Erreichung der Erwarteten Ergebnisse</w:t>
          </w:r>
          <w:r>
            <w:tab/>
          </w:r>
          <w:r>
            <w:fldChar w:fldCharType="begin"/>
          </w:r>
          <w:r>
            <w:instrText xml:space="preserve"> PAGEREF _Toc128060732 \h </w:instrText>
          </w:r>
          <w:r>
            <w:fldChar w:fldCharType="separate"/>
          </w:r>
          <w:r w:rsidR="002C31A1">
            <w:t>14</w:t>
          </w:r>
          <w:r>
            <w:fldChar w:fldCharType="end"/>
          </w:r>
        </w:p>
        <w:p w14:paraId="282E09F4" w14:textId="77777777" w:rsidR="00CC0487" w:rsidRDefault="00CC0487" w:rsidP="00CC0487">
          <w:pPr>
            <w:pStyle w:val="TOC3"/>
            <w:rPr>
              <w:rFonts w:asciiTheme="minorHAnsi" w:eastAsiaTheme="minorEastAsia" w:hAnsiTheme="minorHAnsi" w:cstheme="minorBidi"/>
              <w:i w:val="0"/>
              <w:sz w:val="22"/>
              <w:szCs w:val="22"/>
            </w:rPr>
          </w:pPr>
          <w:r w:rsidRPr="006B294A">
            <w:rPr>
              <w:lang w:val="de-DE"/>
            </w:rPr>
            <w:t>Erwartete Ergebnisse und Planerfüllungsindikatoren</w:t>
          </w:r>
          <w:r>
            <w:tab/>
          </w:r>
          <w:r>
            <w:fldChar w:fldCharType="begin"/>
          </w:r>
          <w:r>
            <w:instrText xml:space="preserve"> PAGEREF _Toc128060733 \h </w:instrText>
          </w:r>
          <w:r>
            <w:fldChar w:fldCharType="separate"/>
          </w:r>
          <w:r w:rsidR="002C31A1">
            <w:t>15</w:t>
          </w:r>
          <w:r>
            <w:fldChar w:fldCharType="end"/>
          </w:r>
        </w:p>
        <w:p w14:paraId="09408D04" w14:textId="77777777" w:rsidR="00CC0487" w:rsidRDefault="00CC0487" w:rsidP="00CC0487">
          <w:pPr>
            <w:pStyle w:val="TOC2"/>
            <w:rPr>
              <w:rFonts w:asciiTheme="minorHAnsi" w:eastAsiaTheme="minorEastAsia" w:hAnsiTheme="minorHAnsi" w:cstheme="minorBidi"/>
              <w:iCs w:val="0"/>
              <w:sz w:val="22"/>
              <w:szCs w:val="22"/>
            </w:rPr>
          </w:pPr>
          <w:r w:rsidRPr="006B294A">
            <w:rPr>
              <w:lang w:val="de-DE"/>
            </w:rPr>
            <w:t>Fundament: Unsere Mitarbeitenden befähigen, effizient, kooperativ und innovativ zu arbeiten, indem wir ihnen die richtigen Ressourcen, Schulungen und ein geeignetes Umfeld zur Verfügung stellen</w:t>
          </w:r>
          <w:r>
            <w:tab/>
          </w:r>
          <w:r>
            <w:fldChar w:fldCharType="begin"/>
          </w:r>
          <w:r>
            <w:instrText xml:space="preserve"> PAGEREF _Toc128060734 \h </w:instrText>
          </w:r>
          <w:r>
            <w:fldChar w:fldCharType="separate"/>
          </w:r>
          <w:r w:rsidR="002C31A1">
            <w:t>15</w:t>
          </w:r>
          <w:r>
            <w:fldChar w:fldCharType="end"/>
          </w:r>
        </w:p>
        <w:p w14:paraId="0C6E8ED9" w14:textId="77777777" w:rsidR="00CC0487" w:rsidRDefault="00CC0487" w:rsidP="00CC0487">
          <w:pPr>
            <w:pStyle w:val="TOC3"/>
            <w:rPr>
              <w:rFonts w:asciiTheme="minorHAnsi" w:eastAsiaTheme="minorEastAsia" w:hAnsiTheme="minorHAnsi" w:cstheme="minorBidi"/>
              <w:i w:val="0"/>
              <w:sz w:val="22"/>
              <w:szCs w:val="22"/>
            </w:rPr>
          </w:pPr>
          <w:r w:rsidRPr="006B294A">
            <w:rPr>
              <w:lang w:val="de-DE"/>
            </w:rPr>
            <w:t>Umsetzung der Strategie zur Erreichung der Erwarteten Ergebnisse</w:t>
          </w:r>
          <w:r>
            <w:tab/>
          </w:r>
          <w:r>
            <w:fldChar w:fldCharType="begin"/>
          </w:r>
          <w:r>
            <w:instrText xml:space="preserve"> PAGEREF _Toc128060735 \h </w:instrText>
          </w:r>
          <w:r>
            <w:fldChar w:fldCharType="separate"/>
          </w:r>
          <w:r w:rsidR="002C31A1">
            <w:t>15</w:t>
          </w:r>
          <w:r>
            <w:fldChar w:fldCharType="end"/>
          </w:r>
        </w:p>
        <w:p w14:paraId="086ADDBF" w14:textId="77777777" w:rsidR="00CC0487" w:rsidRDefault="00CC0487" w:rsidP="00CC0487">
          <w:pPr>
            <w:pStyle w:val="TOC3"/>
            <w:rPr>
              <w:rFonts w:asciiTheme="minorHAnsi" w:eastAsiaTheme="minorEastAsia" w:hAnsiTheme="minorHAnsi" w:cstheme="minorBidi"/>
              <w:i w:val="0"/>
              <w:sz w:val="22"/>
              <w:szCs w:val="22"/>
            </w:rPr>
          </w:pPr>
          <w:r w:rsidRPr="006B294A">
            <w:rPr>
              <w:lang w:val="de-DE"/>
            </w:rPr>
            <w:t>Erwartete Ergebnisse und Planerfüllungsindikatoren</w:t>
          </w:r>
          <w:r>
            <w:tab/>
          </w:r>
          <w:r>
            <w:fldChar w:fldCharType="begin"/>
          </w:r>
          <w:r>
            <w:instrText xml:space="preserve"> PAGEREF _Toc128060736 \h </w:instrText>
          </w:r>
          <w:r>
            <w:fldChar w:fldCharType="separate"/>
          </w:r>
          <w:r w:rsidR="002C31A1">
            <w:t>17</w:t>
          </w:r>
          <w:r>
            <w:fldChar w:fldCharType="end"/>
          </w:r>
        </w:p>
        <w:p w14:paraId="06C9A3BC" w14:textId="77777777" w:rsidR="00CC0487" w:rsidRDefault="00CC0487" w:rsidP="00CC0487">
          <w:pPr>
            <w:pStyle w:val="TOC1"/>
            <w:rPr>
              <w:rFonts w:asciiTheme="minorHAnsi" w:eastAsiaTheme="minorEastAsia" w:hAnsiTheme="minorHAnsi" w:cstheme="minorBidi"/>
              <w:bCs w:val="0"/>
              <w:sz w:val="22"/>
              <w:szCs w:val="22"/>
            </w:rPr>
          </w:pPr>
          <w:r w:rsidRPr="006B294A">
            <w:rPr>
              <w:lang w:val="de-DE"/>
            </w:rPr>
            <w:t>IV.</w:t>
          </w:r>
          <w:r>
            <w:rPr>
              <w:rFonts w:asciiTheme="minorHAnsi" w:eastAsiaTheme="minorEastAsia" w:hAnsiTheme="minorHAnsi" w:cstheme="minorBidi"/>
              <w:bCs w:val="0"/>
              <w:sz w:val="22"/>
              <w:szCs w:val="22"/>
            </w:rPr>
            <w:tab/>
          </w:r>
          <w:r w:rsidRPr="006B294A">
            <w:rPr>
              <w:lang w:val="de-DE"/>
            </w:rPr>
            <w:t>FINANZINDIKATOREN 2017-2026</w:t>
          </w:r>
          <w:r>
            <w:tab/>
          </w:r>
          <w:r>
            <w:fldChar w:fldCharType="begin"/>
          </w:r>
          <w:r>
            <w:instrText xml:space="preserve"> PAGEREF _Toc128060737 \h </w:instrText>
          </w:r>
          <w:r>
            <w:fldChar w:fldCharType="separate"/>
          </w:r>
          <w:r w:rsidR="002C31A1">
            <w:t>1</w:t>
          </w:r>
          <w:r w:rsidR="002C31A1">
            <w:t>8</w:t>
          </w:r>
          <w:r>
            <w:fldChar w:fldCharType="end"/>
          </w:r>
        </w:p>
        <w:p w14:paraId="009B1162" w14:textId="77777777" w:rsidR="00CC0487" w:rsidRDefault="00CC0487" w:rsidP="00CC0487">
          <w:pPr>
            <w:pStyle w:val="TOC1"/>
            <w:rPr>
              <w:rFonts w:asciiTheme="minorHAnsi" w:eastAsiaTheme="minorEastAsia" w:hAnsiTheme="minorHAnsi" w:cstheme="minorBidi"/>
              <w:bCs w:val="0"/>
              <w:sz w:val="22"/>
              <w:szCs w:val="22"/>
            </w:rPr>
          </w:pPr>
          <w:r w:rsidRPr="006B294A">
            <w:rPr>
              <w:lang w:val="de-DE"/>
            </w:rPr>
            <w:t>V.</w:t>
          </w:r>
          <w:r>
            <w:rPr>
              <w:rFonts w:asciiTheme="minorHAnsi" w:eastAsiaTheme="minorEastAsia" w:hAnsiTheme="minorHAnsi" w:cstheme="minorBidi"/>
              <w:bCs w:val="0"/>
              <w:sz w:val="22"/>
              <w:szCs w:val="22"/>
            </w:rPr>
            <w:tab/>
          </w:r>
          <w:r w:rsidRPr="006B294A">
            <w:rPr>
              <w:lang w:val="de-DE"/>
            </w:rPr>
            <w:t>ANHÄNGE</w:t>
          </w:r>
          <w:r>
            <w:tab/>
          </w:r>
          <w:r>
            <w:fldChar w:fldCharType="begin"/>
          </w:r>
          <w:r>
            <w:instrText xml:space="preserve"> PAGEREF _Toc128060738 \h </w:instrText>
          </w:r>
          <w:r>
            <w:fldChar w:fldCharType="separate"/>
          </w:r>
          <w:r w:rsidR="002C31A1">
            <w:t>19</w:t>
          </w:r>
          <w:r>
            <w:fldChar w:fldCharType="end"/>
          </w:r>
        </w:p>
        <w:p w14:paraId="57F684E9" w14:textId="77777777" w:rsidR="00CC0487" w:rsidRDefault="00CC0487" w:rsidP="00CC0487">
          <w:pPr>
            <w:pStyle w:val="TOC4"/>
            <w:rPr>
              <w:rFonts w:eastAsiaTheme="minorEastAsia" w:cstheme="minorBidi"/>
              <w:noProof/>
              <w:sz w:val="22"/>
              <w:szCs w:val="22"/>
            </w:rPr>
          </w:pPr>
          <w:r w:rsidRPr="006B294A">
            <w:rPr>
              <w:noProof/>
              <w:lang w:val="de-DE"/>
            </w:rPr>
            <w:t>ANHANG I</w:t>
          </w:r>
          <w:r>
            <w:rPr>
              <w:rFonts w:eastAsiaTheme="minorEastAsia" w:cstheme="minorBidi"/>
              <w:noProof/>
              <w:sz w:val="22"/>
              <w:szCs w:val="22"/>
            </w:rPr>
            <w:tab/>
          </w:r>
          <w:r w:rsidRPr="006B294A">
            <w:rPr>
              <w:noProof/>
              <w:lang w:val="de-DE"/>
            </w:rPr>
            <w:t>Stand in Bezug auf den Internationalen Verband zum Schutz von Pflanzenzüchtungen (UPOV) zum 1. Januar 2023</w:t>
          </w:r>
          <w:r>
            <w:rPr>
              <w:noProof/>
            </w:rPr>
            <w:tab/>
          </w:r>
          <w:r>
            <w:rPr>
              <w:noProof/>
            </w:rPr>
            <w:fldChar w:fldCharType="begin"/>
          </w:r>
          <w:r>
            <w:rPr>
              <w:noProof/>
            </w:rPr>
            <w:instrText xml:space="preserve"> PAGEREF _Toc128060739 \h </w:instrText>
          </w:r>
          <w:r>
            <w:rPr>
              <w:noProof/>
            </w:rPr>
          </w:r>
          <w:r>
            <w:rPr>
              <w:noProof/>
            </w:rPr>
            <w:fldChar w:fldCharType="separate"/>
          </w:r>
          <w:r w:rsidR="002C31A1">
            <w:rPr>
              <w:noProof/>
            </w:rPr>
            <w:t>19</w:t>
          </w:r>
          <w:r>
            <w:rPr>
              <w:noProof/>
            </w:rPr>
            <w:fldChar w:fldCharType="end"/>
          </w:r>
        </w:p>
        <w:p w14:paraId="2755D436" w14:textId="77777777" w:rsidR="00CC0487" w:rsidRDefault="00CC0487" w:rsidP="00CC0487">
          <w:pPr>
            <w:pStyle w:val="TOC4"/>
            <w:rPr>
              <w:rFonts w:eastAsiaTheme="minorEastAsia" w:cstheme="minorBidi"/>
              <w:noProof/>
              <w:sz w:val="22"/>
              <w:szCs w:val="22"/>
            </w:rPr>
          </w:pPr>
          <w:r w:rsidRPr="006B294A">
            <w:rPr>
              <w:noProof/>
              <w:lang w:val="de-DE"/>
            </w:rPr>
            <w:t>ANHANG II</w:t>
          </w:r>
          <w:r>
            <w:rPr>
              <w:rFonts w:eastAsiaTheme="minorEastAsia" w:cstheme="minorBidi"/>
              <w:noProof/>
              <w:sz w:val="22"/>
              <w:szCs w:val="22"/>
            </w:rPr>
            <w:tab/>
          </w:r>
          <w:r w:rsidRPr="006B294A">
            <w:rPr>
              <w:noProof/>
              <w:lang w:val="de-DE"/>
            </w:rPr>
            <w:t>Beiträge der Verbandsmitglieder zum 31. Dezember 2022</w:t>
          </w:r>
          <w:r>
            <w:rPr>
              <w:noProof/>
            </w:rPr>
            <w:tab/>
          </w:r>
          <w:r>
            <w:rPr>
              <w:noProof/>
            </w:rPr>
            <w:fldChar w:fldCharType="begin"/>
          </w:r>
          <w:r>
            <w:rPr>
              <w:noProof/>
            </w:rPr>
            <w:instrText xml:space="preserve"> PAGEREF _Toc128060740 \h </w:instrText>
          </w:r>
          <w:r>
            <w:rPr>
              <w:noProof/>
            </w:rPr>
          </w:r>
          <w:r>
            <w:rPr>
              <w:noProof/>
            </w:rPr>
            <w:fldChar w:fldCharType="separate"/>
          </w:r>
          <w:r w:rsidR="002C31A1">
            <w:rPr>
              <w:noProof/>
            </w:rPr>
            <w:t>20</w:t>
          </w:r>
          <w:r>
            <w:rPr>
              <w:noProof/>
            </w:rPr>
            <w:fldChar w:fldCharType="end"/>
          </w:r>
        </w:p>
        <w:p w14:paraId="22BADA56" w14:textId="77777777" w:rsidR="00CC0487" w:rsidRDefault="00CC0487" w:rsidP="00CC0487">
          <w:pPr>
            <w:pStyle w:val="TOC4"/>
            <w:rPr>
              <w:rFonts w:eastAsiaTheme="minorEastAsia" w:cstheme="minorBidi"/>
              <w:noProof/>
              <w:sz w:val="22"/>
              <w:szCs w:val="22"/>
            </w:rPr>
          </w:pPr>
          <w:r w:rsidRPr="006B294A">
            <w:rPr>
              <w:noProof/>
              <w:lang w:val="de-DE"/>
            </w:rPr>
            <w:t>ANHANG III</w:t>
          </w:r>
          <w:r>
            <w:rPr>
              <w:rFonts w:eastAsiaTheme="minorEastAsia" w:cstheme="minorBidi"/>
              <w:noProof/>
              <w:sz w:val="22"/>
              <w:szCs w:val="22"/>
            </w:rPr>
            <w:tab/>
          </w:r>
          <w:r w:rsidRPr="006B294A">
            <w:rPr>
              <w:noProof/>
              <w:lang w:val="de-DE"/>
            </w:rPr>
            <w:t>Definition von Einnahmequellen und Kostenkategorien</w:t>
          </w:r>
          <w:r>
            <w:rPr>
              <w:noProof/>
            </w:rPr>
            <w:tab/>
          </w:r>
          <w:r>
            <w:rPr>
              <w:noProof/>
            </w:rPr>
            <w:fldChar w:fldCharType="begin"/>
          </w:r>
          <w:r>
            <w:rPr>
              <w:noProof/>
            </w:rPr>
            <w:instrText xml:space="preserve"> PAGEREF _Toc128060741 \h </w:instrText>
          </w:r>
          <w:r>
            <w:rPr>
              <w:noProof/>
            </w:rPr>
          </w:r>
          <w:r>
            <w:rPr>
              <w:noProof/>
            </w:rPr>
            <w:fldChar w:fldCharType="separate"/>
          </w:r>
          <w:r w:rsidR="002C31A1">
            <w:rPr>
              <w:noProof/>
            </w:rPr>
            <w:t>22</w:t>
          </w:r>
          <w:r>
            <w:rPr>
              <w:noProof/>
            </w:rPr>
            <w:fldChar w:fldCharType="end"/>
          </w:r>
        </w:p>
        <w:p w14:paraId="7556C9FD" w14:textId="77777777" w:rsidR="00CC0487" w:rsidRPr="003E7026" w:rsidRDefault="00CC0487" w:rsidP="00CC0487">
          <w:pPr>
            <w:pStyle w:val="TOC4"/>
          </w:pPr>
          <w:r w:rsidRPr="003E7026">
            <w:fldChar w:fldCharType="end"/>
          </w:r>
        </w:p>
      </w:sdtContent>
    </w:sdt>
    <w:p w14:paraId="1D8FEA52" w14:textId="77777777" w:rsidR="00CC0487" w:rsidRPr="003E7026" w:rsidRDefault="00CC0487" w:rsidP="00CC0487">
      <w:pPr>
        <w:pStyle w:val="Heading1"/>
        <w:pageBreakBefore/>
        <w:numPr>
          <w:ilvl w:val="0"/>
          <w:numId w:val="1"/>
        </w:numPr>
        <w:ind w:left="567" w:hanging="567"/>
        <w:rPr>
          <w:lang w:val="de-DE"/>
        </w:rPr>
      </w:pPr>
      <w:bookmarkStart w:id="0" w:name="_Toc63091087"/>
      <w:bookmarkStart w:id="1" w:name="_Toc63091284"/>
      <w:bookmarkStart w:id="2" w:name="_Toc63091814"/>
      <w:bookmarkStart w:id="3" w:name="_Toc63177676"/>
      <w:bookmarkStart w:id="4" w:name="_Toc63177802"/>
      <w:bookmarkStart w:id="5" w:name="_Toc63178431"/>
      <w:bookmarkStart w:id="6" w:name="_Toc63182523"/>
      <w:bookmarkStart w:id="7" w:name="_Toc63091088"/>
      <w:bookmarkStart w:id="8" w:name="_Toc63091285"/>
      <w:bookmarkStart w:id="9" w:name="_Toc63091815"/>
      <w:bookmarkStart w:id="10" w:name="_Toc63177677"/>
      <w:bookmarkStart w:id="11" w:name="_Toc63177803"/>
      <w:bookmarkStart w:id="12" w:name="_Toc63178432"/>
      <w:bookmarkStart w:id="13" w:name="_Toc63182524"/>
      <w:bookmarkStart w:id="14" w:name="_Toc63177678"/>
      <w:bookmarkStart w:id="15" w:name="_Toc63177804"/>
      <w:bookmarkStart w:id="16" w:name="_Toc63178433"/>
      <w:bookmarkStart w:id="17" w:name="_Toc63182525"/>
      <w:bookmarkStart w:id="18" w:name="_Toc63177679"/>
      <w:bookmarkStart w:id="19" w:name="_Toc63177805"/>
      <w:bookmarkStart w:id="20" w:name="_Toc63178434"/>
      <w:bookmarkStart w:id="21" w:name="_Toc63182526"/>
      <w:bookmarkStart w:id="22" w:name="_Toc63177680"/>
      <w:bookmarkStart w:id="23" w:name="_Toc63177806"/>
      <w:bookmarkStart w:id="24" w:name="_Toc63178435"/>
      <w:bookmarkStart w:id="25" w:name="_Toc63182527"/>
      <w:bookmarkStart w:id="26" w:name="_Toc63177681"/>
      <w:bookmarkStart w:id="27" w:name="_Toc63177807"/>
      <w:bookmarkStart w:id="28" w:name="_Toc63178436"/>
      <w:bookmarkStart w:id="29" w:name="_Toc63182528"/>
      <w:bookmarkStart w:id="30" w:name="_Toc63177682"/>
      <w:bookmarkStart w:id="31" w:name="_Toc63177808"/>
      <w:bookmarkStart w:id="32" w:name="_Toc63178437"/>
      <w:bookmarkStart w:id="33" w:name="_Toc63182529"/>
      <w:bookmarkStart w:id="34" w:name="_Toc63177683"/>
      <w:bookmarkStart w:id="35" w:name="_Toc63177809"/>
      <w:bookmarkStart w:id="36" w:name="_Toc63178438"/>
      <w:bookmarkStart w:id="37" w:name="_Toc63182530"/>
      <w:bookmarkStart w:id="38" w:name="_Toc63177684"/>
      <w:bookmarkStart w:id="39" w:name="_Toc63177810"/>
      <w:bookmarkStart w:id="40" w:name="_Toc63178439"/>
      <w:bookmarkStart w:id="41" w:name="_Toc63182531"/>
      <w:bookmarkStart w:id="42" w:name="_Toc63177685"/>
      <w:bookmarkStart w:id="43" w:name="_Toc63177811"/>
      <w:bookmarkStart w:id="44" w:name="_Toc63178440"/>
      <w:bookmarkStart w:id="45" w:name="_Toc63182532"/>
      <w:bookmarkStart w:id="46" w:name="_Toc63177686"/>
      <w:bookmarkStart w:id="47" w:name="_Toc63177812"/>
      <w:bookmarkStart w:id="48" w:name="_Toc63178441"/>
      <w:bookmarkStart w:id="49" w:name="_Toc63182533"/>
      <w:bookmarkStart w:id="50" w:name="_Toc63177687"/>
      <w:bookmarkStart w:id="51" w:name="_Toc63177813"/>
      <w:bookmarkStart w:id="52" w:name="_Toc63178442"/>
      <w:bookmarkStart w:id="53" w:name="_Toc63182534"/>
      <w:bookmarkStart w:id="54" w:name="_Toc63177688"/>
      <w:bookmarkStart w:id="55" w:name="_Toc63177814"/>
      <w:bookmarkStart w:id="56" w:name="_Toc63178443"/>
      <w:bookmarkStart w:id="57" w:name="_Toc63182535"/>
      <w:bookmarkStart w:id="58" w:name="_Toc63177689"/>
      <w:bookmarkStart w:id="59" w:name="_Toc63177815"/>
      <w:bookmarkStart w:id="60" w:name="_Toc63178444"/>
      <w:bookmarkStart w:id="61" w:name="_Toc63182536"/>
      <w:bookmarkStart w:id="62" w:name="_Toc63177690"/>
      <w:bookmarkStart w:id="63" w:name="_Toc63177816"/>
      <w:bookmarkStart w:id="64" w:name="_Toc63178445"/>
      <w:bookmarkStart w:id="65" w:name="_Toc63182537"/>
      <w:bookmarkStart w:id="66" w:name="_Toc63177691"/>
      <w:bookmarkStart w:id="67" w:name="_Toc63177817"/>
      <w:bookmarkStart w:id="68" w:name="_Toc63178446"/>
      <w:bookmarkStart w:id="69" w:name="_Toc63182538"/>
      <w:bookmarkStart w:id="70" w:name="_Toc63177692"/>
      <w:bookmarkStart w:id="71" w:name="_Toc63177818"/>
      <w:bookmarkStart w:id="72" w:name="_Toc63178447"/>
      <w:bookmarkStart w:id="73" w:name="_Toc63182539"/>
      <w:bookmarkStart w:id="74" w:name="_Toc63177693"/>
      <w:bookmarkStart w:id="75" w:name="_Toc63177819"/>
      <w:bookmarkStart w:id="76" w:name="_Toc63178448"/>
      <w:bookmarkStart w:id="77" w:name="_Toc63182540"/>
      <w:bookmarkStart w:id="78" w:name="_Toc63177694"/>
      <w:bookmarkStart w:id="79" w:name="_Toc63177820"/>
      <w:bookmarkStart w:id="80" w:name="_Toc63178449"/>
      <w:bookmarkStart w:id="81" w:name="_Toc63182541"/>
      <w:bookmarkStart w:id="82" w:name="_Toc63177695"/>
      <w:bookmarkStart w:id="83" w:name="_Toc63177821"/>
      <w:bookmarkStart w:id="84" w:name="_Toc63178450"/>
      <w:bookmarkStart w:id="85" w:name="_Toc63182542"/>
      <w:bookmarkStart w:id="86" w:name="_Toc63177696"/>
      <w:bookmarkStart w:id="87" w:name="_Toc63177822"/>
      <w:bookmarkStart w:id="88" w:name="_Toc63178451"/>
      <w:bookmarkStart w:id="89" w:name="_Toc63182543"/>
      <w:bookmarkStart w:id="90" w:name="_Toc63177697"/>
      <w:bookmarkStart w:id="91" w:name="_Toc63177823"/>
      <w:bookmarkStart w:id="92" w:name="_Toc63178452"/>
      <w:bookmarkStart w:id="93" w:name="_Toc63182544"/>
      <w:bookmarkStart w:id="94" w:name="_Toc63177698"/>
      <w:bookmarkStart w:id="95" w:name="_Toc63177824"/>
      <w:bookmarkStart w:id="96" w:name="_Toc63178453"/>
      <w:bookmarkStart w:id="97" w:name="_Toc63182545"/>
      <w:bookmarkStart w:id="98" w:name="_Toc63177699"/>
      <w:bookmarkStart w:id="99" w:name="_Toc63177825"/>
      <w:bookmarkStart w:id="100" w:name="_Toc63178454"/>
      <w:bookmarkStart w:id="101" w:name="_Toc63182546"/>
      <w:bookmarkStart w:id="102" w:name="_Toc63177700"/>
      <w:bookmarkStart w:id="103" w:name="_Toc63177826"/>
      <w:bookmarkStart w:id="104" w:name="_Toc63178455"/>
      <w:bookmarkStart w:id="105" w:name="_Toc63182547"/>
      <w:bookmarkStart w:id="106" w:name="_Toc63177701"/>
      <w:bookmarkStart w:id="107" w:name="_Toc63177827"/>
      <w:bookmarkStart w:id="108" w:name="_Toc63178456"/>
      <w:bookmarkStart w:id="109" w:name="_Toc63182548"/>
      <w:bookmarkStart w:id="110" w:name="_Toc63177702"/>
      <w:bookmarkStart w:id="111" w:name="_Toc63177828"/>
      <w:bookmarkStart w:id="112" w:name="_Toc63178457"/>
      <w:bookmarkStart w:id="113" w:name="_Toc63182549"/>
      <w:bookmarkStart w:id="114" w:name="_Toc63177703"/>
      <w:bookmarkStart w:id="115" w:name="_Toc63177829"/>
      <w:bookmarkStart w:id="116" w:name="_Toc63178458"/>
      <w:bookmarkStart w:id="117" w:name="_Toc63182550"/>
      <w:bookmarkStart w:id="118" w:name="_Toc63177704"/>
      <w:bookmarkStart w:id="119" w:name="_Toc63177830"/>
      <w:bookmarkStart w:id="120" w:name="_Toc63178459"/>
      <w:bookmarkStart w:id="121" w:name="_Toc63182551"/>
      <w:bookmarkStart w:id="122" w:name="_Toc63177705"/>
      <w:bookmarkStart w:id="123" w:name="_Toc63177831"/>
      <w:bookmarkStart w:id="124" w:name="_Toc63178460"/>
      <w:bookmarkStart w:id="125" w:name="_Toc63182552"/>
      <w:bookmarkStart w:id="126" w:name="_Toc63177706"/>
      <w:bookmarkStart w:id="127" w:name="_Toc63177832"/>
      <w:bookmarkStart w:id="128" w:name="_Toc63178461"/>
      <w:bookmarkStart w:id="129" w:name="_Toc63182553"/>
      <w:bookmarkStart w:id="130" w:name="_Toc63177707"/>
      <w:bookmarkStart w:id="131" w:name="_Toc63177833"/>
      <w:bookmarkStart w:id="132" w:name="_Toc63178462"/>
      <w:bookmarkStart w:id="133" w:name="_Toc63182554"/>
      <w:bookmarkStart w:id="134" w:name="_Toc63177708"/>
      <w:bookmarkStart w:id="135" w:name="_Toc63177834"/>
      <w:bookmarkStart w:id="136" w:name="_Toc63178463"/>
      <w:bookmarkStart w:id="137" w:name="_Toc63182555"/>
      <w:bookmarkStart w:id="138" w:name="_Toc63177709"/>
      <w:bookmarkStart w:id="139" w:name="_Toc63177835"/>
      <w:bookmarkStart w:id="140" w:name="_Toc63178464"/>
      <w:bookmarkStart w:id="141" w:name="_Toc63182556"/>
      <w:bookmarkStart w:id="142" w:name="_Toc63177710"/>
      <w:bookmarkStart w:id="143" w:name="_Toc63177836"/>
      <w:bookmarkStart w:id="144" w:name="_Toc63178465"/>
      <w:bookmarkStart w:id="145" w:name="_Toc63182557"/>
      <w:bookmarkStart w:id="146" w:name="_Toc63177711"/>
      <w:bookmarkStart w:id="147" w:name="_Toc63177837"/>
      <w:bookmarkStart w:id="148" w:name="_Toc63178466"/>
      <w:bookmarkStart w:id="149" w:name="_Toc63182558"/>
      <w:bookmarkStart w:id="150" w:name="_Toc63177712"/>
      <w:bookmarkStart w:id="151" w:name="_Toc63177838"/>
      <w:bookmarkStart w:id="152" w:name="_Toc63178467"/>
      <w:bookmarkStart w:id="153" w:name="_Toc63182559"/>
      <w:bookmarkStart w:id="154" w:name="_Toc63177713"/>
      <w:bookmarkStart w:id="155" w:name="_Toc63177839"/>
      <w:bookmarkStart w:id="156" w:name="_Toc63178468"/>
      <w:bookmarkStart w:id="157" w:name="_Toc63182560"/>
      <w:bookmarkStart w:id="158" w:name="_Toc63177714"/>
      <w:bookmarkStart w:id="159" w:name="_Toc63177840"/>
      <w:bookmarkStart w:id="160" w:name="_Toc63178469"/>
      <w:bookmarkStart w:id="161" w:name="_Toc63182561"/>
      <w:bookmarkStart w:id="162" w:name="_Toc63177715"/>
      <w:bookmarkStart w:id="163" w:name="_Toc63177841"/>
      <w:bookmarkStart w:id="164" w:name="_Toc63178470"/>
      <w:bookmarkStart w:id="165" w:name="_Toc63182562"/>
      <w:bookmarkStart w:id="166" w:name="_Toc63177716"/>
      <w:bookmarkStart w:id="167" w:name="_Toc63177842"/>
      <w:bookmarkStart w:id="168" w:name="_Toc63178471"/>
      <w:bookmarkStart w:id="169" w:name="_Toc63182563"/>
      <w:bookmarkStart w:id="170" w:name="_Toc63177717"/>
      <w:bookmarkStart w:id="171" w:name="_Toc63177843"/>
      <w:bookmarkStart w:id="172" w:name="_Toc63178472"/>
      <w:bookmarkStart w:id="173" w:name="_Toc63182564"/>
      <w:bookmarkStart w:id="174" w:name="_Toc63177718"/>
      <w:bookmarkStart w:id="175" w:name="_Toc63177844"/>
      <w:bookmarkStart w:id="176" w:name="_Toc63178473"/>
      <w:bookmarkStart w:id="177" w:name="_Toc63182565"/>
      <w:bookmarkStart w:id="178" w:name="_Toc63177719"/>
      <w:bookmarkStart w:id="179" w:name="_Toc63177845"/>
      <w:bookmarkStart w:id="180" w:name="_Toc63178474"/>
      <w:bookmarkStart w:id="181" w:name="_Toc63182566"/>
      <w:bookmarkStart w:id="182" w:name="_Toc63177720"/>
      <w:bookmarkStart w:id="183" w:name="_Toc63177846"/>
      <w:bookmarkStart w:id="184" w:name="_Toc63178475"/>
      <w:bookmarkStart w:id="185" w:name="_Toc63182567"/>
      <w:bookmarkStart w:id="186" w:name="_Toc63177721"/>
      <w:bookmarkStart w:id="187" w:name="_Toc63177847"/>
      <w:bookmarkStart w:id="188" w:name="_Toc63178476"/>
      <w:bookmarkStart w:id="189" w:name="_Toc63182568"/>
      <w:bookmarkStart w:id="190" w:name="_Toc63177722"/>
      <w:bookmarkStart w:id="191" w:name="_Toc63177848"/>
      <w:bookmarkStart w:id="192" w:name="_Toc63178477"/>
      <w:bookmarkStart w:id="193" w:name="_Toc63182569"/>
      <w:bookmarkStart w:id="194" w:name="_Toc63177723"/>
      <w:bookmarkStart w:id="195" w:name="_Toc63177849"/>
      <w:bookmarkStart w:id="196" w:name="_Toc63178478"/>
      <w:bookmarkStart w:id="197" w:name="_Toc63182570"/>
      <w:bookmarkStart w:id="198" w:name="_Toc63177724"/>
      <w:bookmarkStart w:id="199" w:name="_Toc63177850"/>
      <w:bookmarkStart w:id="200" w:name="_Toc63178479"/>
      <w:bookmarkStart w:id="201" w:name="_Toc63182571"/>
      <w:bookmarkStart w:id="202" w:name="_Toc63177725"/>
      <w:bookmarkStart w:id="203" w:name="_Toc63177851"/>
      <w:bookmarkStart w:id="204" w:name="_Toc63178480"/>
      <w:bookmarkStart w:id="205" w:name="_Toc63182572"/>
      <w:bookmarkStart w:id="206" w:name="_Toc63177726"/>
      <w:bookmarkStart w:id="207" w:name="_Toc63177852"/>
      <w:bookmarkStart w:id="208" w:name="_Toc63178481"/>
      <w:bookmarkStart w:id="209" w:name="_Toc63182573"/>
      <w:bookmarkStart w:id="210" w:name="_Toc63177727"/>
      <w:bookmarkStart w:id="211" w:name="_Toc63177853"/>
      <w:bookmarkStart w:id="212" w:name="_Toc63178482"/>
      <w:bookmarkStart w:id="213" w:name="_Toc63182574"/>
      <w:bookmarkStart w:id="214" w:name="_Toc63177728"/>
      <w:bookmarkStart w:id="215" w:name="_Toc63177854"/>
      <w:bookmarkStart w:id="216" w:name="_Toc63178483"/>
      <w:bookmarkStart w:id="217" w:name="_Toc63182575"/>
      <w:bookmarkStart w:id="218" w:name="_Toc63177729"/>
      <w:bookmarkStart w:id="219" w:name="_Toc63177855"/>
      <w:bookmarkStart w:id="220" w:name="_Toc63178484"/>
      <w:bookmarkStart w:id="221" w:name="_Toc63182576"/>
      <w:bookmarkStart w:id="222" w:name="_Toc63177730"/>
      <w:bookmarkStart w:id="223" w:name="_Toc63177856"/>
      <w:bookmarkStart w:id="224" w:name="_Toc63178485"/>
      <w:bookmarkStart w:id="225" w:name="_Toc63182577"/>
      <w:bookmarkStart w:id="226" w:name="_Toc63177731"/>
      <w:bookmarkStart w:id="227" w:name="_Toc63177857"/>
      <w:bookmarkStart w:id="228" w:name="_Toc63178486"/>
      <w:bookmarkStart w:id="229" w:name="_Toc63182578"/>
      <w:bookmarkStart w:id="230" w:name="_Toc63177732"/>
      <w:bookmarkStart w:id="231" w:name="_Toc63177858"/>
      <w:bookmarkStart w:id="232" w:name="_Toc63178487"/>
      <w:bookmarkStart w:id="233" w:name="_Toc63182579"/>
      <w:bookmarkStart w:id="234" w:name="_Toc63177733"/>
      <w:bookmarkStart w:id="235" w:name="_Toc63177859"/>
      <w:bookmarkStart w:id="236" w:name="_Toc63178488"/>
      <w:bookmarkStart w:id="237" w:name="_Toc63182580"/>
      <w:bookmarkStart w:id="238" w:name="_Toc63177734"/>
      <w:bookmarkStart w:id="239" w:name="_Toc63177860"/>
      <w:bookmarkStart w:id="240" w:name="_Toc63178489"/>
      <w:bookmarkStart w:id="241" w:name="_Toc63182581"/>
      <w:bookmarkStart w:id="242" w:name="_Toc63177735"/>
      <w:bookmarkStart w:id="243" w:name="_Toc63177861"/>
      <w:bookmarkStart w:id="244" w:name="_Toc63178490"/>
      <w:bookmarkStart w:id="245" w:name="_Toc63182582"/>
      <w:bookmarkStart w:id="246" w:name="_Toc63177736"/>
      <w:bookmarkStart w:id="247" w:name="_Toc63177862"/>
      <w:bookmarkStart w:id="248" w:name="_Toc63178491"/>
      <w:bookmarkStart w:id="249" w:name="_Toc63182583"/>
      <w:bookmarkStart w:id="250" w:name="_Toc63177737"/>
      <w:bookmarkStart w:id="251" w:name="_Toc63177863"/>
      <w:bookmarkStart w:id="252" w:name="_Toc63178492"/>
      <w:bookmarkStart w:id="253" w:name="_Toc63182584"/>
      <w:bookmarkStart w:id="254" w:name="_Toc63177738"/>
      <w:bookmarkStart w:id="255" w:name="_Toc63177864"/>
      <w:bookmarkStart w:id="256" w:name="_Toc63178493"/>
      <w:bookmarkStart w:id="257" w:name="_Toc63182585"/>
      <w:bookmarkStart w:id="258" w:name="_Toc63177739"/>
      <w:bookmarkStart w:id="259" w:name="_Toc63177865"/>
      <w:bookmarkStart w:id="260" w:name="_Toc63178494"/>
      <w:bookmarkStart w:id="261" w:name="_Toc63182586"/>
      <w:bookmarkStart w:id="262" w:name="_Toc63177740"/>
      <w:bookmarkStart w:id="263" w:name="_Toc63177866"/>
      <w:bookmarkStart w:id="264" w:name="_Toc63178495"/>
      <w:bookmarkStart w:id="265" w:name="_Toc63182587"/>
      <w:bookmarkStart w:id="266" w:name="_Toc63177741"/>
      <w:bookmarkStart w:id="267" w:name="_Toc63177867"/>
      <w:bookmarkStart w:id="268" w:name="_Toc63178496"/>
      <w:bookmarkStart w:id="269" w:name="_Toc63182588"/>
      <w:bookmarkStart w:id="270" w:name="_Toc63177742"/>
      <w:bookmarkStart w:id="271" w:name="_Toc63177868"/>
      <w:bookmarkStart w:id="272" w:name="_Toc63178497"/>
      <w:bookmarkStart w:id="273" w:name="_Toc63182589"/>
      <w:bookmarkStart w:id="274" w:name="_Toc63177743"/>
      <w:bookmarkStart w:id="275" w:name="_Toc63177869"/>
      <w:bookmarkStart w:id="276" w:name="_Toc63178498"/>
      <w:bookmarkStart w:id="277" w:name="_Toc63182590"/>
      <w:bookmarkStart w:id="278" w:name="_Toc63177744"/>
      <w:bookmarkStart w:id="279" w:name="_Toc63177870"/>
      <w:bookmarkStart w:id="280" w:name="_Toc63178499"/>
      <w:bookmarkStart w:id="281" w:name="_Toc63182591"/>
      <w:bookmarkStart w:id="282" w:name="_Toc63177745"/>
      <w:bookmarkStart w:id="283" w:name="_Toc63177871"/>
      <w:bookmarkStart w:id="284" w:name="_Toc63178500"/>
      <w:bookmarkStart w:id="285" w:name="_Toc63182592"/>
      <w:bookmarkStart w:id="286" w:name="_Toc63177746"/>
      <w:bookmarkStart w:id="287" w:name="_Toc63177872"/>
      <w:bookmarkStart w:id="288" w:name="_Toc63178501"/>
      <w:bookmarkStart w:id="289" w:name="_Toc63182593"/>
      <w:bookmarkStart w:id="290" w:name="_Toc63177747"/>
      <w:bookmarkStart w:id="291" w:name="_Toc63177873"/>
      <w:bookmarkStart w:id="292" w:name="_Toc63178502"/>
      <w:bookmarkStart w:id="293" w:name="_Toc63182594"/>
      <w:bookmarkStart w:id="294" w:name="_Toc63177748"/>
      <w:bookmarkStart w:id="295" w:name="_Toc63177874"/>
      <w:bookmarkStart w:id="296" w:name="_Toc63178503"/>
      <w:bookmarkStart w:id="297" w:name="_Toc63182595"/>
      <w:bookmarkStart w:id="298" w:name="_Toc63177749"/>
      <w:bookmarkStart w:id="299" w:name="_Toc63177875"/>
      <w:bookmarkStart w:id="300" w:name="_Toc63178504"/>
      <w:bookmarkStart w:id="301" w:name="_Toc63182596"/>
      <w:bookmarkStart w:id="302" w:name="_Toc63177750"/>
      <w:bookmarkStart w:id="303" w:name="_Toc63177876"/>
      <w:bookmarkStart w:id="304" w:name="_Toc63178505"/>
      <w:bookmarkStart w:id="305" w:name="_Toc63182597"/>
      <w:bookmarkStart w:id="306" w:name="_Toc63177751"/>
      <w:bookmarkStart w:id="307" w:name="_Toc63177877"/>
      <w:bookmarkStart w:id="308" w:name="_Toc63178506"/>
      <w:bookmarkStart w:id="309" w:name="_Toc63182598"/>
      <w:bookmarkStart w:id="310" w:name="_Toc63177752"/>
      <w:bookmarkStart w:id="311" w:name="_Toc63177878"/>
      <w:bookmarkStart w:id="312" w:name="_Toc63178507"/>
      <w:bookmarkStart w:id="313" w:name="_Toc63182599"/>
      <w:bookmarkStart w:id="314" w:name="_Toc63177753"/>
      <w:bookmarkStart w:id="315" w:name="_Toc63177879"/>
      <w:bookmarkStart w:id="316" w:name="_Toc63178508"/>
      <w:bookmarkStart w:id="317" w:name="_Toc63182600"/>
      <w:bookmarkStart w:id="318" w:name="_Toc63177754"/>
      <w:bookmarkStart w:id="319" w:name="_Toc63177880"/>
      <w:bookmarkStart w:id="320" w:name="_Toc63178509"/>
      <w:bookmarkStart w:id="321" w:name="_Toc63182601"/>
      <w:bookmarkStart w:id="322" w:name="_Toc63177755"/>
      <w:bookmarkStart w:id="323" w:name="_Toc63177881"/>
      <w:bookmarkStart w:id="324" w:name="_Toc63178510"/>
      <w:bookmarkStart w:id="325" w:name="_Toc63182602"/>
      <w:bookmarkStart w:id="326" w:name="_Toc63177756"/>
      <w:bookmarkStart w:id="327" w:name="_Toc63177882"/>
      <w:bookmarkStart w:id="328" w:name="_Toc63178511"/>
      <w:bookmarkStart w:id="329" w:name="_Toc63182603"/>
      <w:bookmarkStart w:id="330" w:name="_Toc63177757"/>
      <w:bookmarkStart w:id="331" w:name="_Toc63177883"/>
      <w:bookmarkStart w:id="332" w:name="_Toc63178512"/>
      <w:bookmarkStart w:id="333" w:name="_Toc63182604"/>
      <w:bookmarkStart w:id="334" w:name="_Toc63177758"/>
      <w:bookmarkStart w:id="335" w:name="_Toc63177884"/>
      <w:bookmarkStart w:id="336" w:name="_Toc63178513"/>
      <w:bookmarkStart w:id="337" w:name="_Toc63182605"/>
      <w:bookmarkStart w:id="338" w:name="_Toc63177759"/>
      <w:bookmarkStart w:id="339" w:name="_Toc63177885"/>
      <w:bookmarkStart w:id="340" w:name="_Toc63178514"/>
      <w:bookmarkStart w:id="341" w:name="_Toc63182606"/>
      <w:bookmarkStart w:id="342" w:name="_Toc63177760"/>
      <w:bookmarkStart w:id="343" w:name="_Toc63177886"/>
      <w:bookmarkStart w:id="344" w:name="_Toc63178515"/>
      <w:bookmarkStart w:id="345" w:name="_Toc63182607"/>
      <w:bookmarkStart w:id="346" w:name="_Toc63177761"/>
      <w:bookmarkStart w:id="347" w:name="_Toc63177887"/>
      <w:bookmarkStart w:id="348" w:name="_Toc63178516"/>
      <w:bookmarkStart w:id="349" w:name="_Toc63182608"/>
      <w:bookmarkStart w:id="350" w:name="_Toc63177762"/>
      <w:bookmarkStart w:id="351" w:name="_Toc63177888"/>
      <w:bookmarkStart w:id="352" w:name="_Toc63178517"/>
      <w:bookmarkStart w:id="353" w:name="_Toc63182609"/>
      <w:bookmarkStart w:id="354" w:name="_Toc63177763"/>
      <w:bookmarkStart w:id="355" w:name="_Toc63177889"/>
      <w:bookmarkStart w:id="356" w:name="_Toc63178518"/>
      <w:bookmarkStart w:id="357" w:name="_Toc63182610"/>
      <w:bookmarkStart w:id="358" w:name="_Toc63177764"/>
      <w:bookmarkStart w:id="359" w:name="_Toc63177890"/>
      <w:bookmarkStart w:id="360" w:name="_Toc63178519"/>
      <w:bookmarkStart w:id="361" w:name="_Toc63182611"/>
      <w:bookmarkStart w:id="362" w:name="_Toc63177765"/>
      <w:bookmarkStart w:id="363" w:name="_Toc63177891"/>
      <w:bookmarkStart w:id="364" w:name="_Toc63178520"/>
      <w:bookmarkStart w:id="365" w:name="_Toc63182612"/>
      <w:bookmarkStart w:id="366" w:name="_Toc63177766"/>
      <w:bookmarkStart w:id="367" w:name="_Toc63177892"/>
      <w:bookmarkStart w:id="368" w:name="_Toc63178521"/>
      <w:bookmarkStart w:id="369" w:name="_Toc63182613"/>
      <w:bookmarkStart w:id="370" w:name="_Toc63177767"/>
      <w:bookmarkStart w:id="371" w:name="_Toc63177893"/>
      <w:bookmarkStart w:id="372" w:name="_Toc63178522"/>
      <w:bookmarkStart w:id="373" w:name="_Toc63182614"/>
      <w:bookmarkStart w:id="374" w:name="_Toc63177768"/>
      <w:bookmarkStart w:id="375" w:name="_Toc63177894"/>
      <w:bookmarkStart w:id="376" w:name="_Toc63178523"/>
      <w:bookmarkStart w:id="377" w:name="_Toc63182615"/>
      <w:bookmarkStart w:id="378" w:name="_Toc63177769"/>
      <w:bookmarkStart w:id="379" w:name="_Toc63177895"/>
      <w:bookmarkStart w:id="380" w:name="_Toc63178524"/>
      <w:bookmarkStart w:id="381" w:name="_Toc63182616"/>
      <w:bookmarkStart w:id="382" w:name="_Toc63177770"/>
      <w:bookmarkStart w:id="383" w:name="_Toc63177896"/>
      <w:bookmarkStart w:id="384" w:name="_Toc63178525"/>
      <w:bookmarkStart w:id="385" w:name="_Toc63182617"/>
      <w:bookmarkStart w:id="386" w:name="_Toc63177771"/>
      <w:bookmarkStart w:id="387" w:name="_Toc63177897"/>
      <w:bookmarkStart w:id="388" w:name="_Toc63178526"/>
      <w:bookmarkStart w:id="389" w:name="_Toc63182618"/>
      <w:bookmarkStart w:id="390" w:name="_Toc63177772"/>
      <w:bookmarkStart w:id="391" w:name="_Toc63177898"/>
      <w:bookmarkStart w:id="392" w:name="_Toc63178527"/>
      <w:bookmarkStart w:id="393" w:name="_Toc63182619"/>
      <w:bookmarkStart w:id="394" w:name="_Toc63177773"/>
      <w:bookmarkStart w:id="395" w:name="_Toc63177899"/>
      <w:bookmarkStart w:id="396" w:name="_Toc63178528"/>
      <w:bookmarkStart w:id="397" w:name="_Toc63182620"/>
      <w:bookmarkStart w:id="398" w:name="_Toc63177774"/>
      <w:bookmarkStart w:id="399" w:name="_Toc63177900"/>
      <w:bookmarkStart w:id="400" w:name="_Toc63178529"/>
      <w:bookmarkStart w:id="401" w:name="_Toc63182621"/>
      <w:bookmarkStart w:id="402" w:name="_Toc63177775"/>
      <w:bookmarkStart w:id="403" w:name="_Toc63177901"/>
      <w:bookmarkStart w:id="404" w:name="_Toc63178530"/>
      <w:bookmarkStart w:id="405" w:name="_Toc63182622"/>
      <w:bookmarkStart w:id="406" w:name="_Toc63177776"/>
      <w:bookmarkStart w:id="407" w:name="_Toc63177902"/>
      <w:bookmarkStart w:id="408" w:name="_Toc63178531"/>
      <w:bookmarkStart w:id="409" w:name="_Toc63182623"/>
      <w:bookmarkStart w:id="410" w:name="_Toc63177777"/>
      <w:bookmarkStart w:id="411" w:name="_Toc63177903"/>
      <w:bookmarkStart w:id="412" w:name="_Toc63178532"/>
      <w:bookmarkStart w:id="413" w:name="_Toc63182624"/>
      <w:bookmarkStart w:id="414" w:name="_Toc63177778"/>
      <w:bookmarkStart w:id="415" w:name="_Toc63177904"/>
      <w:bookmarkStart w:id="416" w:name="_Toc63178533"/>
      <w:bookmarkStart w:id="417" w:name="_Toc63182625"/>
      <w:bookmarkStart w:id="418" w:name="_Toc12806071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3E7026">
        <w:rPr>
          <w:lang w:val="de-DE"/>
        </w:rPr>
        <w:lastRenderedPageBreak/>
        <w:t>Gesamt</w:t>
      </w:r>
      <w:r>
        <w:rPr>
          <w:lang w:val="de-DE"/>
        </w:rPr>
        <w:t>zusammenhang</w:t>
      </w:r>
      <w:bookmarkEnd w:id="418"/>
    </w:p>
    <w:p w14:paraId="351D058F" w14:textId="77777777" w:rsidR="00CC0487" w:rsidRPr="003E7026" w:rsidRDefault="00CC0487" w:rsidP="00CC0487">
      <w:pPr>
        <w:rPr>
          <w:b/>
          <w:color w:val="26724C" w:themeColor="accent1" w:themeShade="BF"/>
        </w:rPr>
      </w:pPr>
    </w:p>
    <w:p w14:paraId="356B1A83" w14:textId="77777777" w:rsidR="00CC0487" w:rsidRPr="003E7026" w:rsidRDefault="00CC0487" w:rsidP="00CC0487">
      <w:pPr>
        <w:rPr>
          <w:bCs/>
          <w:color w:val="000000" w:themeColor="text1"/>
        </w:rPr>
      </w:pPr>
      <w:r w:rsidRPr="003E7026">
        <w:rPr>
          <w:bCs/>
          <w:color w:val="000000" w:themeColor="text1"/>
        </w:rPr>
        <w:fldChar w:fldCharType="begin"/>
      </w:r>
      <w:r w:rsidRPr="003E7026">
        <w:rPr>
          <w:bCs/>
          <w:color w:val="000000" w:themeColor="text1"/>
        </w:rPr>
        <w:instrText xml:space="preserve"> AUTONUM  </w:instrText>
      </w:r>
      <w:r w:rsidRPr="003E7026">
        <w:rPr>
          <w:bCs/>
          <w:color w:val="000000" w:themeColor="text1"/>
        </w:rPr>
        <w:fldChar w:fldCharType="end"/>
      </w:r>
      <w:r w:rsidRPr="003E7026">
        <w:rPr>
          <w:bCs/>
          <w:color w:val="000000" w:themeColor="text1"/>
        </w:rPr>
        <w:tab/>
        <w:t xml:space="preserve">Die Aufgabe der UPOV besteht in der Bereitstellung und Förderung eines wirksamen Sortenschutzsystems mit dem Ziel, die Entwicklung neuer Pflanzensorten zum Nutzen der Gesellschaft zu begünstigen. </w:t>
      </w:r>
    </w:p>
    <w:p w14:paraId="68E4EC14" w14:textId="77777777" w:rsidR="00CC0487" w:rsidRPr="003E7026" w:rsidRDefault="00CC0487" w:rsidP="00CC0487">
      <w:pPr>
        <w:rPr>
          <w:bCs/>
          <w:color w:val="000000" w:themeColor="text1"/>
        </w:rPr>
      </w:pPr>
    </w:p>
    <w:p w14:paraId="3141A8F6" w14:textId="77777777" w:rsidR="00CC0487" w:rsidRPr="003E7026" w:rsidRDefault="00CC0487" w:rsidP="00CC0487">
      <w:pPr>
        <w:rPr>
          <w:bCs/>
          <w:color w:val="000000" w:themeColor="text1"/>
        </w:rPr>
      </w:pPr>
      <w:r w:rsidRPr="003E7026">
        <w:rPr>
          <w:bCs/>
          <w:color w:val="000000" w:themeColor="text1"/>
        </w:rPr>
        <w:fldChar w:fldCharType="begin"/>
      </w:r>
      <w:r w:rsidRPr="003E7026">
        <w:rPr>
          <w:bCs/>
          <w:color w:val="000000" w:themeColor="text1"/>
        </w:rPr>
        <w:instrText xml:space="preserve"> AUTONUM  </w:instrText>
      </w:r>
      <w:r w:rsidRPr="003E7026">
        <w:rPr>
          <w:bCs/>
          <w:color w:val="000000" w:themeColor="text1"/>
        </w:rPr>
        <w:fldChar w:fldCharType="end"/>
      </w:r>
      <w:r w:rsidRPr="003E7026">
        <w:rPr>
          <w:bCs/>
          <w:color w:val="000000" w:themeColor="text1"/>
        </w:rPr>
        <w:tab/>
        <w:t>Das UPOV-Sortenschutzsystem unterstützt langfristige Investitionen in Pflanzenzüchtung und bietet einen Rahmen für Investitionen in die Bereitstellung von Saatgut und sonstigem Vermehrungsmaterial von Sorten, die den Bedürfnissen der Landwirte entsprechen. Die UPOV wurde 1961 geschaffen und hat sich seither als wirksames System zur Unterstützung verschiedener Arten von Züchtern erwiesen: Einzelpersonen, Landwirte, KMU und größere Züchtungsinstitute/Unternehmen im privaten als auch im öffentlichen Sektor. Sie hat auch eine Grundlage für die Zusammenarbeit, einschließlich öffentlich-privater Partnerschaften, geschaffen. Das UPOV-System war von Anfang an darauf ausgelegt, größtmögliche Fortschritte in der Pflanzenzüchtung zu erzielen und damit die größten Fortschritte in der Landwirtschaft zum Nutzen der Landwirte und der Gesellschaft als Ganzes zu erzielen. Dieses Konzept ist in der „Züchterausnahme“ verankert, einem Hauptmerkmal des UPOV-Systems und einer einzigartigen Eigenschaft im Bereich des geistigen Eigentums, das ein „Open-Source“-Konzept anwendet. Diese Ausnahme ermöglicht, dass geschützte Pflanzensorten allen Pflanzenzüchtern für weitere Züchtungstätigkeiten zur Verfügung stehen, womit anerkannt wird, dass der Zugang zu genetischen Ressourcen eine Vorbedingung für jede Art von Züchtertätigkeit ist (vergleiche FAQ „</w:t>
      </w:r>
      <w:hyperlink r:id="rId9" w:anchor="QS11" w:history="1">
        <w:r w:rsidRPr="003E7026">
          <w:rPr>
            <w:rStyle w:val="Hyperlink"/>
            <w:bCs/>
          </w:rPr>
          <w:t>Wie unterstützt das UPOV-System die nachhaltige Entwicklung?</w:t>
        </w:r>
      </w:hyperlink>
      <w:r w:rsidRPr="003E7026">
        <w:rPr>
          <w:bCs/>
          <w:color w:val="000000" w:themeColor="text1"/>
        </w:rPr>
        <w:t>„).</w:t>
      </w:r>
    </w:p>
    <w:p w14:paraId="3EFBBC36" w14:textId="77777777" w:rsidR="00CC0487" w:rsidRPr="003E7026" w:rsidRDefault="00CC0487" w:rsidP="00CC0487">
      <w:pPr>
        <w:rPr>
          <w:bCs/>
          <w:color w:val="000000" w:themeColor="text1"/>
        </w:rPr>
      </w:pPr>
    </w:p>
    <w:p w14:paraId="5A702B19" w14:textId="77777777" w:rsidR="00CC0487" w:rsidRPr="003E7026" w:rsidRDefault="00CC0487" w:rsidP="00CC0487">
      <w:pPr>
        <w:rPr>
          <w:bCs/>
          <w:color w:val="000000" w:themeColor="text1"/>
        </w:rPr>
      </w:pPr>
      <w:r w:rsidRPr="003E7026">
        <w:rPr>
          <w:bCs/>
          <w:color w:val="000000" w:themeColor="text1"/>
        </w:rPr>
        <w:fldChar w:fldCharType="begin"/>
      </w:r>
      <w:r w:rsidRPr="003E7026">
        <w:rPr>
          <w:bCs/>
          <w:color w:val="000000" w:themeColor="text1"/>
        </w:rPr>
        <w:instrText xml:space="preserve"> AUTONUM  </w:instrText>
      </w:r>
      <w:r w:rsidRPr="003E7026">
        <w:rPr>
          <w:bCs/>
          <w:color w:val="000000" w:themeColor="text1"/>
        </w:rPr>
        <w:fldChar w:fldCharType="end"/>
      </w:r>
      <w:r w:rsidRPr="003E7026">
        <w:rPr>
          <w:bCs/>
          <w:color w:val="000000" w:themeColor="text1"/>
        </w:rPr>
        <w:tab/>
        <w:t>Es besteht ein wachsendes Bewusstsein für die Bedeutung der Aufgabe der UPOV und den Nutzen für die Gesellschaft im Kontext der globalen Entwicklungen. Die FAQ der UPOV „Was sind die Vorteile neuer Pflanzensorten für die Gesellschaft?“ bietet diesbezüglich eine Zusammenfassung:</w:t>
      </w:r>
    </w:p>
    <w:p w14:paraId="1C3242DD" w14:textId="77777777" w:rsidR="00CC0487" w:rsidRPr="003E7026" w:rsidRDefault="00CC0487" w:rsidP="00CC0487">
      <w:pPr>
        <w:rPr>
          <w:bCs/>
          <w:color w:val="000000" w:themeColor="text1"/>
        </w:rPr>
      </w:pPr>
    </w:p>
    <w:p w14:paraId="4F3BD786" w14:textId="77777777" w:rsidR="00CC0487" w:rsidRPr="003E7026" w:rsidRDefault="00CC0487" w:rsidP="00CC0487">
      <w:pPr>
        <w:ind w:left="567" w:right="567"/>
        <w:rPr>
          <w:bCs/>
          <w:i/>
          <w:color w:val="000000" w:themeColor="text1"/>
          <w:sz w:val="18"/>
        </w:rPr>
      </w:pPr>
      <w:r w:rsidRPr="003E7026">
        <w:rPr>
          <w:bCs/>
          <w:i/>
          <w:color w:val="000000" w:themeColor="text1"/>
          <w:sz w:val="18"/>
        </w:rPr>
        <w:t>„Welternährung</w:t>
      </w:r>
    </w:p>
    <w:p w14:paraId="45C81535" w14:textId="77777777" w:rsidR="00CC0487" w:rsidRPr="003E7026" w:rsidRDefault="00CC0487" w:rsidP="00CC0487">
      <w:pPr>
        <w:ind w:left="567" w:right="567"/>
        <w:rPr>
          <w:bCs/>
          <w:i/>
          <w:color w:val="000000" w:themeColor="text1"/>
          <w:sz w:val="18"/>
        </w:rPr>
      </w:pPr>
    </w:p>
    <w:p w14:paraId="27E270D1" w14:textId="77777777" w:rsidR="00CC0487" w:rsidRPr="003E7026" w:rsidRDefault="00CC0487" w:rsidP="00CC0487">
      <w:pPr>
        <w:ind w:left="567" w:right="567"/>
        <w:rPr>
          <w:bCs/>
          <w:i/>
          <w:color w:val="000000" w:themeColor="text1"/>
          <w:sz w:val="18"/>
        </w:rPr>
      </w:pPr>
      <w:r w:rsidRPr="003E7026">
        <w:rPr>
          <w:bCs/>
          <w:i/>
          <w:color w:val="000000" w:themeColor="text1"/>
          <w:sz w:val="18"/>
        </w:rPr>
        <w:t>„Neue Pflanzensorten sind ein wesentliches und nachhaltiges Mittel, um im Zusammenhang mit Bevölkerungswachstum und Klimawandel Nahrungssicherheit zu erreichen. Neue Sorten, die an die Umgebung, in der sie angebaut werden, angepasst sind, erweitern die Auswahl an gesunden, schmackhaften und nahrhaften Lebensmitteln und schaffen gleichzeitig ein existenzsicherndes Einkommen für die Landwirte.</w:t>
      </w:r>
    </w:p>
    <w:p w14:paraId="350EBE3E" w14:textId="77777777" w:rsidR="00CC0487" w:rsidRPr="003E7026" w:rsidRDefault="00CC0487" w:rsidP="00CC0487">
      <w:pPr>
        <w:ind w:left="567" w:right="567"/>
        <w:rPr>
          <w:bCs/>
          <w:i/>
          <w:color w:val="000000" w:themeColor="text1"/>
          <w:sz w:val="18"/>
        </w:rPr>
      </w:pPr>
    </w:p>
    <w:p w14:paraId="11A532D5" w14:textId="77777777" w:rsidR="00CC0487" w:rsidRPr="003E7026" w:rsidRDefault="00CC0487" w:rsidP="00CC0487">
      <w:pPr>
        <w:ind w:left="567" w:right="567"/>
        <w:rPr>
          <w:bCs/>
          <w:i/>
          <w:color w:val="000000" w:themeColor="text1"/>
          <w:sz w:val="18"/>
        </w:rPr>
      </w:pPr>
      <w:r w:rsidRPr="003E7026">
        <w:rPr>
          <w:bCs/>
          <w:i/>
          <w:color w:val="000000" w:themeColor="text1"/>
          <w:sz w:val="18"/>
        </w:rPr>
        <w:t>„Verbesserung des Lebens in ländlichen und städtischen Gebieten und Förderung der wirtschaftlichen Entwicklung</w:t>
      </w:r>
    </w:p>
    <w:p w14:paraId="099BD4D9" w14:textId="77777777" w:rsidR="00CC0487" w:rsidRPr="003E7026" w:rsidRDefault="00CC0487" w:rsidP="00CC0487">
      <w:pPr>
        <w:ind w:left="567" w:right="567"/>
        <w:rPr>
          <w:bCs/>
          <w:i/>
          <w:color w:val="000000" w:themeColor="text1"/>
          <w:sz w:val="18"/>
        </w:rPr>
      </w:pPr>
    </w:p>
    <w:p w14:paraId="3A41368A" w14:textId="77777777" w:rsidR="00CC0487" w:rsidRPr="003E7026" w:rsidRDefault="00CC0487" w:rsidP="00CC0487">
      <w:pPr>
        <w:ind w:left="567" w:right="567"/>
        <w:rPr>
          <w:bCs/>
          <w:i/>
          <w:color w:val="000000" w:themeColor="text1"/>
          <w:sz w:val="18"/>
        </w:rPr>
      </w:pPr>
      <w:r w:rsidRPr="003E7026">
        <w:rPr>
          <w:bCs/>
          <w:i/>
          <w:color w:val="000000" w:themeColor="text1"/>
          <w:sz w:val="18"/>
        </w:rPr>
        <w:t>„Innovation in der Landwirtschaft und im Gartenbau ist wichtig für die wirtschaftliche Entwicklung. Die Produktion von verschiedenen, qualitativ hochwertigen Obst-, Gemüse-, Zier- und Nutzpflanzen sichert den Landwirten ein höheres Einkommen und Beschäftigung für Millionen von Menschen auf der ganzen Welt. Neue Sorten können der Schlüssel für den Zugang zu globalen Märkten und die Verbesserung des internationalen Handels für Entwicklungsländer sein. Gleichzeitig können neue Sorten die Entwicklung der städtischen Landwirtschaft und den Anbau von Zierpflanzen, Sträuchern und Bäumen, die zur Verbesserung des Lebens der Menschen in der wachsenden städtischen Umwelt beitragen, unterstützen.</w:t>
      </w:r>
    </w:p>
    <w:p w14:paraId="72D61E54" w14:textId="77777777" w:rsidR="00CC0487" w:rsidRPr="003E7026" w:rsidRDefault="00CC0487" w:rsidP="00CC0487">
      <w:pPr>
        <w:ind w:left="567" w:right="567"/>
        <w:rPr>
          <w:bCs/>
          <w:i/>
          <w:color w:val="000000" w:themeColor="text1"/>
          <w:sz w:val="18"/>
        </w:rPr>
      </w:pPr>
    </w:p>
    <w:p w14:paraId="1B566053" w14:textId="77777777" w:rsidR="00CC0487" w:rsidRPr="003E7026" w:rsidRDefault="00CC0487" w:rsidP="00CC0487">
      <w:pPr>
        <w:ind w:left="567" w:right="567"/>
        <w:rPr>
          <w:bCs/>
          <w:i/>
          <w:color w:val="000000" w:themeColor="text1"/>
          <w:sz w:val="18"/>
        </w:rPr>
      </w:pPr>
      <w:r w:rsidRPr="003E7026">
        <w:rPr>
          <w:bCs/>
          <w:i/>
          <w:color w:val="000000" w:themeColor="text1"/>
          <w:sz w:val="18"/>
        </w:rPr>
        <w:t>„Achtung der natürlichen Umwelt</w:t>
      </w:r>
    </w:p>
    <w:p w14:paraId="5BBA0187" w14:textId="77777777" w:rsidR="00CC0487" w:rsidRPr="003E7026" w:rsidRDefault="00CC0487" w:rsidP="00CC0487">
      <w:pPr>
        <w:ind w:left="567" w:right="567"/>
        <w:rPr>
          <w:bCs/>
          <w:i/>
          <w:color w:val="000000" w:themeColor="text1"/>
          <w:sz w:val="18"/>
        </w:rPr>
      </w:pPr>
    </w:p>
    <w:p w14:paraId="09D98CC9" w14:textId="77777777" w:rsidR="00CC0487" w:rsidRPr="003E7026" w:rsidRDefault="00CC0487" w:rsidP="00CC0487">
      <w:pPr>
        <w:ind w:left="567" w:right="567"/>
        <w:rPr>
          <w:bCs/>
          <w:i/>
          <w:color w:val="000000" w:themeColor="text1"/>
          <w:sz w:val="18"/>
        </w:rPr>
      </w:pPr>
      <w:r w:rsidRPr="003E7026">
        <w:rPr>
          <w:bCs/>
          <w:i/>
          <w:color w:val="000000" w:themeColor="text1"/>
          <w:sz w:val="18"/>
        </w:rPr>
        <w:t>„Die Steigerung der Produktivität bei gleichzeitiger Achtung der natürlichen Umwelt ist eine der wichtigsten Herausforderungen im Zusammenhang mit Bevölkerungswachstum und Klimawandel. Die Züchtung von Pflanzensorten mit verbessertem Ertrag, effizienterem Einsatz von Nährstoffen, Resistenz gegen Pflanzenschädlinge und -krankheiten, Salz- und Trockenheitstoleranz sowie besserer Anpassungsfähigkeit an klimatische Belastungen kann die Produktivität und die Produktqualität in Land- und Forstwirtschaft sowie im Gartenbau nachhaltig verbessern und zugleich die Umweltbelastung senken“</w:t>
      </w:r>
    </w:p>
    <w:p w14:paraId="79FAAE58" w14:textId="77777777" w:rsidR="00CC0487" w:rsidRPr="003E7026" w:rsidRDefault="00CC0487" w:rsidP="00CC0487">
      <w:pPr>
        <w:jc w:val="left"/>
        <w:rPr>
          <w:bCs/>
          <w:color w:val="000000" w:themeColor="text1"/>
        </w:rPr>
      </w:pPr>
    </w:p>
    <w:p w14:paraId="20FF5012" w14:textId="77777777" w:rsidR="00CC0487" w:rsidRPr="003E7026" w:rsidRDefault="00CC0487" w:rsidP="00CC0487">
      <w:pPr>
        <w:rPr>
          <w:bCs/>
          <w:color w:val="000000" w:themeColor="text1"/>
        </w:rPr>
      </w:pPr>
      <w:r w:rsidRPr="003E7026">
        <w:rPr>
          <w:bCs/>
          <w:color w:val="000000" w:themeColor="text1"/>
        </w:rPr>
        <w:fldChar w:fldCharType="begin"/>
      </w:r>
      <w:r w:rsidRPr="003E7026">
        <w:rPr>
          <w:bCs/>
          <w:color w:val="000000" w:themeColor="text1"/>
        </w:rPr>
        <w:instrText xml:space="preserve"> AUTONUM  </w:instrText>
      </w:r>
      <w:r w:rsidRPr="003E7026">
        <w:rPr>
          <w:bCs/>
          <w:color w:val="000000" w:themeColor="text1"/>
        </w:rPr>
        <w:fldChar w:fldCharType="end"/>
      </w:r>
      <w:r w:rsidRPr="003E7026">
        <w:rPr>
          <w:bCs/>
          <w:color w:val="000000" w:themeColor="text1"/>
        </w:rPr>
        <w:tab/>
        <w:t xml:space="preserve">Die Relevanz dieser FAQ wurde auf dem „Seminar über Strategien, die Richtlinien im Bereich der Pflanzenzüchtung und des Sortenschutzes behandeln“ vom 20. Oktober 2021 bekräftigt. Das Seminar hob die Schlüsselrolle hervor, die der Sortenschutz für die Ernährungssicherheit, die Umstellung der Nahrungsmittelproduktion in Zeiten des Klimawandels, die Förderung der wirtschaftlichen Entwicklung und den Innovations- und Technologietransfer zu den Landwirten spielen muss. </w:t>
      </w:r>
    </w:p>
    <w:p w14:paraId="7DAF7DCE" w14:textId="77777777" w:rsidR="00CC0487" w:rsidRPr="003E7026" w:rsidRDefault="00CC0487" w:rsidP="00CC0487">
      <w:pPr>
        <w:rPr>
          <w:bCs/>
          <w:color w:val="000000" w:themeColor="text1"/>
        </w:rPr>
      </w:pPr>
    </w:p>
    <w:p w14:paraId="507A3BAD" w14:textId="77777777" w:rsidR="00CC0487" w:rsidRPr="003E7026" w:rsidRDefault="00CC0487" w:rsidP="00CC0487">
      <w:pPr>
        <w:rPr>
          <w:bCs/>
          <w:color w:val="000000" w:themeColor="text1"/>
        </w:rPr>
      </w:pPr>
      <w:r w:rsidRPr="003E7026">
        <w:rPr>
          <w:bCs/>
          <w:color w:val="000000" w:themeColor="text1"/>
        </w:rPr>
        <w:fldChar w:fldCharType="begin"/>
      </w:r>
      <w:r w:rsidRPr="003E7026">
        <w:rPr>
          <w:bCs/>
          <w:color w:val="000000" w:themeColor="text1"/>
        </w:rPr>
        <w:instrText xml:space="preserve"> AUTONUM  </w:instrText>
      </w:r>
      <w:r w:rsidRPr="003E7026">
        <w:rPr>
          <w:bCs/>
          <w:color w:val="000000" w:themeColor="text1"/>
        </w:rPr>
        <w:fldChar w:fldCharType="end"/>
      </w:r>
      <w:r w:rsidRPr="003E7026">
        <w:rPr>
          <w:bCs/>
          <w:color w:val="000000" w:themeColor="text1"/>
        </w:rPr>
        <w:tab/>
        <w:t xml:space="preserve">Die Bedeutung des </w:t>
      </w:r>
      <w:r w:rsidRPr="003E7026">
        <w:rPr>
          <w:bCs/>
          <w:snapToGrid w:val="0"/>
          <w:color w:val="000000" w:themeColor="text1"/>
        </w:rPr>
        <w:t xml:space="preserve">UPOV-Sortenschutzsystems </w:t>
      </w:r>
      <w:r w:rsidRPr="003E7026">
        <w:rPr>
          <w:bCs/>
          <w:color w:val="000000" w:themeColor="text1"/>
        </w:rPr>
        <w:t>im Zusammenhang mit dem Klimawandel wurde auf dem von der UPOV im Oktober 2022 veranstalteten „Seminar über die Rolle der Pflanzenzüchtung und des Sortenschutzes bei der Unterstützung der Landwirtschaft, sich an den Klimawandel anzupassen und diesen einzudämmen“ hervorgehoben. Der Präsident des Rates, Herr Marien Valstar, zog folgende Schlussfolgerungen:</w:t>
      </w:r>
    </w:p>
    <w:p w14:paraId="7C502ECA" w14:textId="77777777" w:rsidR="00CC0487" w:rsidRPr="003E7026" w:rsidRDefault="00CC0487" w:rsidP="00CC0487">
      <w:pPr>
        <w:rPr>
          <w:bCs/>
          <w:color w:val="000000" w:themeColor="text1"/>
        </w:rPr>
      </w:pPr>
    </w:p>
    <w:p w14:paraId="2B1FFE82" w14:textId="77777777" w:rsidR="00CC0487" w:rsidRPr="003E7026" w:rsidRDefault="00CC0487" w:rsidP="00CC0487">
      <w:pPr>
        <w:pStyle w:val="Default"/>
        <w:keepNext/>
        <w:numPr>
          <w:ilvl w:val="0"/>
          <w:numId w:val="2"/>
        </w:numPr>
        <w:spacing w:after="120"/>
        <w:ind w:left="714" w:hanging="357"/>
        <w:rPr>
          <w:rFonts w:asciiTheme="minorHAnsi" w:hAnsiTheme="minorHAnsi" w:cstheme="minorHAnsi"/>
          <w:color w:val="auto"/>
          <w:sz w:val="20"/>
          <w:szCs w:val="20"/>
          <w:lang w:val="de-DE"/>
        </w:rPr>
      </w:pPr>
      <w:r w:rsidRPr="003E7026">
        <w:rPr>
          <w:rFonts w:asciiTheme="minorHAnsi" w:hAnsiTheme="minorHAnsi" w:cstheme="minorHAnsi"/>
          <w:color w:val="auto"/>
          <w:sz w:val="20"/>
          <w:szCs w:val="20"/>
          <w:lang w:val="de-DE"/>
        </w:rPr>
        <w:t>Der Klimawandel wirkt sich zunehmend auf alle Beteiligten weltweit aus: Landwirte, Züchter und Verbraucher. Die Auswirkungen sind biotisch (neue Schädlinge und Krankheiten) und abiotisch (Hitze, Trockenheit, Regen, saisonale Veränderungen).</w:t>
      </w:r>
    </w:p>
    <w:p w14:paraId="05739646" w14:textId="77777777" w:rsidR="00CC0487" w:rsidRPr="003E7026" w:rsidRDefault="00CC0487" w:rsidP="00CC0487">
      <w:pPr>
        <w:pStyle w:val="Default"/>
        <w:keepNext/>
        <w:numPr>
          <w:ilvl w:val="0"/>
          <w:numId w:val="2"/>
        </w:numPr>
        <w:spacing w:after="120"/>
        <w:ind w:left="714" w:hanging="357"/>
        <w:rPr>
          <w:rFonts w:asciiTheme="minorHAnsi" w:hAnsiTheme="minorHAnsi" w:cstheme="minorHAnsi"/>
          <w:color w:val="auto"/>
          <w:sz w:val="20"/>
          <w:szCs w:val="20"/>
          <w:lang w:val="de-DE"/>
        </w:rPr>
      </w:pPr>
      <w:r w:rsidRPr="003E7026">
        <w:rPr>
          <w:rFonts w:asciiTheme="minorHAnsi" w:hAnsiTheme="minorHAnsi" w:cstheme="minorHAnsi"/>
          <w:color w:val="auto"/>
          <w:sz w:val="20"/>
          <w:szCs w:val="20"/>
          <w:lang w:val="de-DE"/>
        </w:rPr>
        <w:t>Eine Reihe von Strategien ist erforderlich, um auf die Herausforderungen zu reagieren. Pflanzenzüchtung spielt bei diesen Strategien eine wichtige Rolle. Die Landwirte brauchen neue Pflanzensorten, um sich an den Klimawandel anzupassen, aber auch um die Produktivität nachhaltig zu steigern und so den Klimawandel zu minimieren.</w:t>
      </w:r>
    </w:p>
    <w:p w14:paraId="3E58B520" w14:textId="77777777" w:rsidR="00CC0487" w:rsidRPr="003E7026" w:rsidRDefault="00CC0487" w:rsidP="00CC0487">
      <w:pPr>
        <w:pStyle w:val="Default"/>
        <w:keepNext/>
        <w:numPr>
          <w:ilvl w:val="0"/>
          <w:numId w:val="2"/>
        </w:numPr>
        <w:spacing w:after="120"/>
        <w:ind w:left="714" w:hanging="357"/>
        <w:rPr>
          <w:rFonts w:asciiTheme="minorHAnsi" w:hAnsiTheme="minorHAnsi" w:cstheme="minorHAnsi"/>
          <w:color w:val="auto"/>
          <w:sz w:val="20"/>
          <w:szCs w:val="20"/>
          <w:lang w:val="de-DE"/>
        </w:rPr>
      </w:pPr>
      <w:r w:rsidRPr="003E7026">
        <w:rPr>
          <w:rFonts w:asciiTheme="minorHAnsi" w:hAnsiTheme="minorHAnsi" w:cstheme="minorHAnsi"/>
          <w:color w:val="auto"/>
          <w:sz w:val="20"/>
          <w:szCs w:val="20"/>
          <w:lang w:val="de-DE"/>
        </w:rPr>
        <w:t>Pflanzenzüchtung ist ein langfristiger Prozess, der langfristige Investitionen von öffentlichen Einrichtungen und privaten Unternehmen erfordert. Pflanzenzüchter brauchen ein regulatorisches Umfeld, das Innovationen fördert und die Erhaltung und Nutzung genetischer Ressourcen unterstützt.</w:t>
      </w:r>
    </w:p>
    <w:p w14:paraId="6C296137" w14:textId="77777777" w:rsidR="00CC0487" w:rsidRPr="003E7026" w:rsidRDefault="00CC0487" w:rsidP="00CC0487">
      <w:pPr>
        <w:pStyle w:val="Default"/>
        <w:numPr>
          <w:ilvl w:val="0"/>
          <w:numId w:val="2"/>
        </w:numPr>
        <w:rPr>
          <w:rFonts w:asciiTheme="minorHAnsi" w:hAnsiTheme="minorHAnsi" w:cstheme="minorHAnsi"/>
          <w:color w:val="auto"/>
          <w:sz w:val="20"/>
          <w:szCs w:val="20"/>
          <w:lang w:val="de-DE"/>
        </w:rPr>
      </w:pPr>
      <w:r w:rsidRPr="003E7026">
        <w:rPr>
          <w:rFonts w:asciiTheme="minorHAnsi" w:hAnsiTheme="minorHAnsi" w:cstheme="minorHAnsi"/>
          <w:color w:val="auto"/>
          <w:sz w:val="20"/>
          <w:szCs w:val="20"/>
          <w:lang w:val="de-DE"/>
        </w:rPr>
        <w:t>Das UPOV-System ermöglicht es den Pflanzenzüchtern, den Landwirten die Sorten zur Verfügung zu stellen, die sie benötigen, um die Welt angesichts des Klimawandels zu ernähren.</w:t>
      </w:r>
    </w:p>
    <w:p w14:paraId="0A837DF5" w14:textId="77777777" w:rsidR="00CC0487" w:rsidRPr="003E7026" w:rsidRDefault="00CC0487" w:rsidP="00CC0487">
      <w:pPr>
        <w:rPr>
          <w:bCs/>
          <w:color w:val="000000" w:themeColor="text1"/>
        </w:rPr>
      </w:pPr>
    </w:p>
    <w:p w14:paraId="7183E6F5" w14:textId="77777777" w:rsidR="00CC0487" w:rsidRPr="003E7026" w:rsidRDefault="00CC0487" w:rsidP="00CC0487">
      <w:pPr>
        <w:rPr>
          <w:bCs/>
          <w:color w:val="000000" w:themeColor="text1"/>
        </w:rPr>
      </w:pPr>
    </w:p>
    <w:p w14:paraId="6C4045BA" w14:textId="77777777" w:rsidR="00CC0487" w:rsidRPr="003E7026" w:rsidRDefault="00CC0487" w:rsidP="00CC0487">
      <w:pPr>
        <w:pStyle w:val="Heading1"/>
        <w:pageBreakBefore/>
        <w:numPr>
          <w:ilvl w:val="0"/>
          <w:numId w:val="1"/>
        </w:numPr>
        <w:ind w:left="567" w:hanging="567"/>
        <w:rPr>
          <w:lang w:val="de-DE"/>
        </w:rPr>
      </w:pPr>
      <w:bookmarkStart w:id="419" w:name="_Toc128060717"/>
      <w:r w:rsidRPr="003E7026">
        <w:rPr>
          <w:lang w:val="de-DE"/>
        </w:rPr>
        <w:lastRenderedPageBreak/>
        <w:t>Überblick über Programm und HaushaltS</w:t>
      </w:r>
      <w:r>
        <w:rPr>
          <w:lang w:val="de-DE"/>
        </w:rPr>
        <w:t>plan</w:t>
      </w:r>
      <w:bookmarkEnd w:id="419"/>
      <w:r w:rsidRPr="003E7026">
        <w:rPr>
          <w:lang w:val="de-DE"/>
        </w:rPr>
        <w:t xml:space="preserve"> </w:t>
      </w:r>
    </w:p>
    <w:p w14:paraId="78BFF32B" w14:textId="77777777" w:rsidR="00CC0487" w:rsidRPr="003E7026" w:rsidRDefault="00CC0487" w:rsidP="00CC0487"/>
    <w:p w14:paraId="76E0A989" w14:textId="77777777" w:rsidR="00CC0487" w:rsidRPr="003E7026" w:rsidRDefault="00CC0487" w:rsidP="00CC0487">
      <w:pPr>
        <w:pStyle w:val="Heading2"/>
        <w:rPr>
          <w:lang w:val="de-DE"/>
        </w:rPr>
      </w:pPr>
      <w:bookmarkStart w:id="420" w:name="_Toc128060718"/>
      <w:r w:rsidRPr="003E7026">
        <w:rPr>
          <w:lang w:val="de-DE"/>
        </w:rPr>
        <w:t>Finanzieller Überblick</w:t>
      </w:r>
      <w:bookmarkEnd w:id="420"/>
    </w:p>
    <w:p w14:paraId="23D4E2C9" w14:textId="77777777" w:rsidR="00CC0487" w:rsidRPr="003E7026" w:rsidRDefault="00CC0487" w:rsidP="00CC0487"/>
    <w:p w14:paraId="390CEFCB" w14:textId="77777777" w:rsidR="00CC0487" w:rsidRPr="003E7026" w:rsidRDefault="00CC0487" w:rsidP="00CC0487">
      <w:pPr>
        <w:rPr>
          <w:spacing w:val="-2"/>
          <w:szCs w:val="24"/>
        </w:rPr>
      </w:pPr>
      <w:r w:rsidRPr="003E7026">
        <w:t>Der vorgeschlagene Haushaltsplan</w:t>
      </w:r>
      <w:r w:rsidRPr="003E7026">
        <w:rPr>
          <w:rStyle w:val="FootnoteReference"/>
        </w:rPr>
        <w:footnoteReference w:id="2"/>
      </w:r>
      <w:r w:rsidRPr="003E7026">
        <w:t xml:space="preserve"> für die Rechnungsperiode </w:t>
      </w:r>
      <w:r w:rsidRPr="003E7026">
        <w:rPr>
          <w:snapToGrid w:val="0"/>
        </w:rPr>
        <w:t xml:space="preserve">2024-2025 </w:t>
      </w:r>
      <w:r w:rsidRPr="003E7026">
        <w:t xml:space="preserve">sieht Einnahmen von </w:t>
      </w:r>
      <w:r>
        <w:t>7.901.307 </w:t>
      </w:r>
      <w:r w:rsidRPr="003E7026">
        <w:t xml:space="preserve">Schweizer Franken im Vergleich zu 7.634.500 Schweizer Franken im Haushaltsplan von 2022-2023 </w:t>
      </w:r>
      <w:r w:rsidRPr="00A75D1C">
        <w:rPr>
          <w:spacing w:val="-2"/>
        </w:rPr>
        <w:t>vor. Die Ausgaben werden in der gleichen Höhe wie die erwarteten Einnahmen geschätzt (vergleiche Tabelle 1)</w:t>
      </w:r>
      <w:r w:rsidRPr="00A75D1C">
        <w:rPr>
          <w:spacing w:val="-2"/>
          <w:szCs w:val="24"/>
        </w:rPr>
        <w:t>.</w:t>
      </w:r>
    </w:p>
    <w:p w14:paraId="4058101E" w14:textId="77777777" w:rsidR="00CC0487" w:rsidRPr="003E7026" w:rsidRDefault="00CC0487" w:rsidP="00CC0487"/>
    <w:p w14:paraId="0D6F32C8" w14:textId="77777777" w:rsidR="00CC0487" w:rsidRPr="003E7026" w:rsidRDefault="00CC0487" w:rsidP="00CC0487">
      <w:pPr>
        <w:jc w:val="center"/>
      </w:pPr>
    </w:p>
    <w:p w14:paraId="7DFBDB00" w14:textId="77777777" w:rsidR="00CC0487" w:rsidRPr="003E7026" w:rsidRDefault="00CC0487" w:rsidP="00CC0487">
      <w:pPr>
        <w:jc w:val="center"/>
        <w:rPr>
          <w:b/>
          <w:color w:val="26724C" w:themeColor="accent1" w:themeShade="BF"/>
        </w:rPr>
      </w:pPr>
      <w:r w:rsidRPr="003E7026">
        <w:rPr>
          <w:b/>
          <w:color w:val="26724C" w:themeColor="accent1" w:themeShade="BF"/>
        </w:rPr>
        <w:t>Tabelle 1: Einnahmen und Ausgaben 2020-2021, 2022-2023 und 2024-2025</w:t>
      </w:r>
    </w:p>
    <w:p w14:paraId="420D7F9E" w14:textId="77777777" w:rsidR="00CC0487" w:rsidRPr="003E7026" w:rsidRDefault="00CC0487" w:rsidP="00CC0487">
      <w:pPr>
        <w:jc w:val="center"/>
        <w:rPr>
          <w:i/>
          <w:sz w:val="18"/>
        </w:rPr>
      </w:pPr>
      <w:r w:rsidRPr="003E7026">
        <w:rPr>
          <w:i/>
          <w:sz w:val="18"/>
        </w:rPr>
        <w:t>(in tausend Schweizer Franken)</w:t>
      </w:r>
    </w:p>
    <w:p w14:paraId="1AE5AA8A" w14:textId="77777777" w:rsidR="00CC0487" w:rsidRPr="003E7026" w:rsidRDefault="00CC0487" w:rsidP="00CC0487">
      <w:pPr>
        <w:rPr>
          <w:spacing w:val="-2"/>
          <w:szCs w:val="24"/>
        </w:rPr>
      </w:pPr>
    </w:p>
    <w:tbl>
      <w:tblPr>
        <w:tblW w:w="9560" w:type="dxa"/>
        <w:tblLook w:val="04A0" w:firstRow="1" w:lastRow="0" w:firstColumn="1" w:lastColumn="0" w:noHBand="0" w:noVBand="1"/>
      </w:tblPr>
      <w:tblGrid>
        <w:gridCol w:w="3800"/>
        <w:gridCol w:w="1158"/>
        <w:gridCol w:w="1225"/>
        <w:gridCol w:w="713"/>
        <w:gridCol w:w="1004"/>
        <w:gridCol w:w="1660"/>
      </w:tblGrid>
      <w:tr w:rsidR="00CC0487" w:rsidRPr="00E57BEF" w14:paraId="522909EB" w14:textId="77777777" w:rsidTr="00DB6666">
        <w:trPr>
          <w:trHeight w:val="255"/>
        </w:trPr>
        <w:tc>
          <w:tcPr>
            <w:tcW w:w="3800" w:type="dxa"/>
            <w:tcBorders>
              <w:top w:val="nil"/>
              <w:left w:val="nil"/>
              <w:bottom w:val="nil"/>
              <w:right w:val="nil"/>
            </w:tcBorders>
            <w:shd w:val="clear" w:color="000000" w:fill="C7CFD8"/>
            <w:hideMark/>
          </w:tcPr>
          <w:p w14:paraId="77CC3750" w14:textId="77777777" w:rsidR="00CC0487" w:rsidRPr="009E1BDC" w:rsidRDefault="00CC0487" w:rsidP="00DB6666">
            <w:pPr>
              <w:ind w:firstLineChars="100" w:firstLine="181"/>
              <w:jc w:val="left"/>
              <w:rPr>
                <w:rFonts w:ascii="Arial Narrow" w:hAnsi="Arial Narrow" w:cs="Arial"/>
                <w:b/>
                <w:bCs/>
                <w:i/>
                <w:iCs/>
                <w:sz w:val="18"/>
                <w:szCs w:val="18"/>
              </w:rPr>
            </w:pPr>
            <w:r w:rsidRPr="009E1BDC">
              <w:rPr>
                <w:rFonts w:ascii="Arial Narrow" w:hAnsi="Arial Narrow" w:cs="Arial"/>
                <w:b/>
                <w:bCs/>
                <w:i/>
                <w:iCs/>
                <w:sz w:val="18"/>
                <w:szCs w:val="18"/>
              </w:rPr>
              <w:t> </w:t>
            </w:r>
          </w:p>
        </w:tc>
        <w:tc>
          <w:tcPr>
            <w:tcW w:w="1180" w:type="dxa"/>
            <w:tcBorders>
              <w:top w:val="nil"/>
              <w:left w:val="nil"/>
              <w:bottom w:val="nil"/>
              <w:right w:val="nil"/>
            </w:tcBorders>
            <w:shd w:val="clear" w:color="000000" w:fill="C7CFD8"/>
            <w:vAlign w:val="center"/>
            <w:hideMark/>
          </w:tcPr>
          <w:p w14:paraId="7072E754"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 xml:space="preserve">2020-2021 </w:t>
            </w:r>
          </w:p>
        </w:tc>
        <w:tc>
          <w:tcPr>
            <w:tcW w:w="1180" w:type="dxa"/>
            <w:tcBorders>
              <w:top w:val="nil"/>
              <w:left w:val="nil"/>
              <w:bottom w:val="nil"/>
              <w:right w:val="nil"/>
            </w:tcBorders>
            <w:shd w:val="clear" w:color="000000" w:fill="C7CFD8"/>
            <w:vAlign w:val="center"/>
            <w:hideMark/>
          </w:tcPr>
          <w:p w14:paraId="032177AE"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 xml:space="preserve">2022-2023 </w:t>
            </w:r>
          </w:p>
        </w:tc>
        <w:tc>
          <w:tcPr>
            <w:tcW w:w="1740" w:type="dxa"/>
            <w:gridSpan w:val="2"/>
            <w:vMerge w:val="restart"/>
            <w:tcBorders>
              <w:top w:val="nil"/>
              <w:left w:val="nil"/>
              <w:bottom w:val="single" w:sz="4" w:space="0" w:color="748B9E"/>
              <w:right w:val="nil"/>
            </w:tcBorders>
            <w:shd w:val="clear" w:color="000000" w:fill="C7CFD8"/>
            <w:vAlign w:val="center"/>
            <w:hideMark/>
          </w:tcPr>
          <w:p w14:paraId="35F912EC"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Veränderung</w:t>
            </w:r>
          </w:p>
        </w:tc>
        <w:tc>
          <w:tcPr>
            <w:tcW w:w="1660" w:type="dxa"/>
            <w:tcBorders>
              <w:top w:val="nil"/>
              <w:left w:val="nil"/>
              <w:bottom w:val="nil"/>
              <w:right w:val="nil"/>
            </w:tcBorders>
            <w:shd w:val="clear" w:color="000000" w:fill="C7CFD8"/>
            <w:vAlign w:val="center"/>
            <w:hideMark/>
          </w:tcPr>
          <w:p w14:paraId="2F57B0DE"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2024-2025</w:t>
            </w:r>
          </w:p>
        </w:tc>
      </w:tr>
      <w:tr w:rsidR="00CC0487" w:rsidRPr="00E57BEF" w14:paraId="5C9A3907" w14:textId="77777777" w:rsidTr="00DB6666">
        <w:trPr>
          <w:trHeight w:val="260"/>
        </w:trPr>
        <w:tc>
          <w:tcPr>
            <w:tcW w:w="3800" w:type="dxa"/>
            <w:tcBorders>
              <w:top w:val="nil"/>
              <w:left w:val="nil"/>
              <w:bottom w:val="nil"/>
              <w:right w:val="nil"/>
            </w:tcBorders>
            <w:shd w:val="clear" w:color="000000" w:fill="C7CFD8"/>
            <w:hideMark/>
          </w:tcPr>
          <w:p w14:paraId="0B6E4AF9" w14:textId="77777777" w:rsidR="00CC0487" w:rsidRPr="009E1BDC" w:rsidRDefault="00CC0487" w:rsidP="00DB6666">
            <w:pPr>
              <w:ind w:firstLineChars="100" w:firstLine="181"/>
              <w:jc w:val="left"/>
              <w:rPr>
                <w:rFonts w:ascii="Arial Narrow" w:hAnsi="Arial Narrow" w:cs="Arial"/>
                <w:b/>
                <w:bCs/>
                <w:i/>
                <w:iCs/>
                <w:sz w:val="18"/>
                <w:szCs w:val="18"/>
              </w:rPr>
            </w:pPr>
            <w:r w:rsidRPr="009E1BDC">
              <w:rPr>
                <w:rFonts w:ascii="Arial Narrow" w:hAnsi="Arial Narrow" w:cs="Arial"/>
                <w:b/>
                <w:bCs/>
                <w:i/>
                <w:iCs/>
                <w:sz w:val="18"/>
                <w:szCs w:val="18"/>
              </w:rPr>
              <w:t> </w:t>
            </w:r>
          </w:p>
        </w:tc>
        <w:tc>
          <w:tcPr>
            <w:tcW w:w="1180" w:type="dxa"/>
            <w:tcBorders>
              <w:top w:val="nil"/>
              <w:left w:val="nil"/>
              <w:bottom w:val="nil"/>
              <w:right w:val="nil"/>
            </w:tcBorders>
            <w:shd w:val="clear" w:color="000000" w:fill="C7CFD8"/>
            <w:vAlign w:val="center"/>
            <w:hideMark/>
          </w:tcPr>
          <w:p w14:paraId="213EFAB1"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 xml:space="preserve">Ist </w:t>
            </w:r>
          </w:p>
        </w:tc>
        <w:tc>
          <w:tcPr>
            <w:tcW w:w="1180" w:type="dxa"/>
            <w:tcBorders>
              <w:top w:val="nil"/>
              <w:left w:val="nil"/>
              <w:bottom w:val="nil"/>
              <w:right w:val="nil"/>
            </w:tcBorders>
            <w:shd w:val="clear" w:color="000000" w:fill="C7CFD8"/>
            <w:vAlign w:val="center"/>
            <w:hideMark/>
          </w:tcPr>
          <w:p w14:paraId="08240FAD"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 xml:space="preserve">Haushaltsplan </w:t>
            </w:r>
          </w:p>
        </w:tc>
        <w:tc>
          <w:tcPr>
            <w:tcW w:w="1740" w:type="dxa"/>
            <w:gridSpan w:val="2"/>
            <w:vMerge/>
            <w:tcBorders>
              <w:top w:val="nil"/>
              <w:left w:val="nil"/>
              <w:bottom w:val="nil"/>
              <w:right w:val="nil"/>
            </w:tcBorders>
            <w:vAlign w:val="center"/>
            <w:hideMark/>
          </w:tcPr>
          <w:p w14:paraId="6A7A1C3D" w14:textId="77777777" w:rsidR="00CC0487" w:rsidRPr="00E57BEF" w:rsidRDefault="00CC0487" w:rsidP="00DB6666">
            <w:pPr>
              <w:jc w:val="left"/>
              <w:rPr>
                <w:rFonts w:ascii="Arial Narrow" w:hAnsi="Arial Narrow" w:cs="Arial"/>
                <w:b/>
                <w:bCs/>
                <w:sz w:val="18"/>
                <w:szCs w:val="18"/>
              </w:rPr>
            </w:pPr>
          </w:p>
        </w:tc>
        <w:tc>
          <w:tcPr>
            <w:tcW w:w="1660" w:type="dxa"/>
            <w:tcBorders>
              <w:top w:val="nil"/>
              <w:left w:val="nil"/>
              <w:bottom w:val="nil"/>
              <w:right w:val="nil"/>
            </w:tcBorders>
            <w:shd w:val="clear" w:color="000000" w:fill="C7CFD8"/>
            <w:vAlign w:val="center"/>
            <w:hideMark/>
          </w:tcPr>
          <w:p w14:paraId="699A396F"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 xml:space="preserve">Veranschlagt </w:t>
            </w:r>
          </w:p>
        </w:tc>
      </w:tr>
      <w:tr w:rsidR="00CC0487" w:rsidRPr="00E57BEF" w14:paraId="203018C7" w14:textId="77777777" w:rsidTr="00DB6666">
        <w:trPr>
          <w:trHeight w:val="260"/>
        </w:trPr>
        <w:tc>
          <w:tcPr>
            <w:tcW w:w="3800" w:type="dxa"/>
            <w:tcBorders>
              <w:top w:val="nil"/>
              <w:left w:val="nil"/>
              <w:bottom w:val="nil"/>
              <w:right w:val="nil"/>
            </w:tcBorders>
            <w:shd w:val="clear" w:color="000000" w:fill="C7CFD8"/>
            <w:vAlign w:val="bottom"/>
            <w:hideMark/>
          </w:tcPr>
          <w:p w14:paraId="238ABC5A" w14:textId="77777777" w:rsidR="00CC0487" w:rsidRPr="009E1BDC" w:rsidRDefault="00CC0487" w:rsidP="00DB6666">
            <w:pPr>
              <w:ind w:firstLineChars="100" w:firstLine="181"/>
              <w:jc w:val="left"/>
              <w:rPr>
                <w:rFonts w:ascii="Arial Narrow" w:hAnsi="Arial Narrow" w:cs="Arial"/>
                <w:b/>
                <w:bCs/>
                <w:i/>
                <w:iCs/>
                <w:sz w:val="18"/>
                <w:szCs w:val="18"/>
              </w:rPr>
            </w:pPr>
            <w:r w:rsidRPr="009E1BDC">
              <w:rPr>
                <w:rFonts w:ascii="Arial Narrow" w:hAnsi="Arial Narrow" w:cs="Arial"/>
                <w:b/>
                <w:bCs/>
                <w:i/>
                <w:iCs/>
                <w:sz w:val="18"/>
                <w:szCs w:val="18"/>
              </w:rPr>
              <w:t> </w:t>
            </w:r>
          </w:p>
        </w:tc>
        <w:tc>
          <w:tcPr>
            <w:tcW w:w="1180" w:type="dxa"/>
            <w:tcBorders>
              <w:top w:val="nil"/>
              <w:left w:val="nil"/>
              <w:bottom w:val="nil"/>
              <w:right w:val="nil"/>
            </w:tcBorders>
            <w:shd w:val="clear" w:color="000000" w:fill="C7CFD8"/>
            <w:vAlign w:val="center"/>
            <w:hideMark/>
          </w:tcPr>
          <w:p w14:paraId="1C68975F"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 xml:space="preserve">A </w:t>
            </w:r>
          </w:p>
        </w:tc>
        <w:tc>
          <w:tcPr>
            <w:tcW w:w="1180" w:type="dxa"/>
            <w:tcBorders>
              <w:top w:val="nil"/>
              <w:left w:val="nil"/>
              <w:bottom w:val="nil"/>
              <w:right w:val="nil"/>
            </w:tcBorders>
            <w:shd w:val="clear" w:color="000000" w:fill="C7CFD8"/>
            <w:noWrap/>
            <w:vAlign w:val="center"/>
            <w:hideMark/>
          </w:tcPr>
          <w:p w14:paraId="7383E6B5"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 xml:space="preserve">B </w:t>
            </w:r>
          </w:p>
        </w:tc>
        <w:tc>
          <w:tcPr>
            <w:tcW w:w="720" w:type="dxa"/>
            <w:tcBorders>
              <w:top w:val="nil"/>
              <w:left w:val="nil"/>
              <w:bottom w:val="nil"/>
              <w:right w:val="nil"/>
            </w:tcBorders>
            <w:shd w:val="clear" w:color="000000" w:fill="C7CFD8"/>
            <w:vAlign w:val="center"/>
            <w:hideMark/>
          </w:tcPr>
          <w:p w14:paraId="2636ADBC"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 xml:space="preserve">C </w:t>
            </w:r>
          </w:p>
        </w:tc>
        <w:tc>
          <w:tcPr>
            <w:tcW w:w="1020" w:type="dxa"/>
            <w:tcBorders>
              <w:top w:val="nil"/>
              <w:left w:val="nil"/>
              <w:bottom w:val="nil"/>
              <w:right w:val="nil"/>
            </w:tcBorders>
            <w:shd w:val="clear" w:color="000000" w:fill="C7CFD8"/>
            <w:vAlign w:val="center"/>
            <w:hideMark/>
          </w:tcPr>
          <w:p w14:paraId="1AB3C211"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C/B</w:t>
            </w:r>
          </w:p>
        </w:tc>
        <w:tc>
          <w:tcPr>
            <w:tcW w:w="1660" w:type="dxa"/>
            <w:tcBorders>
              <w:top w:val="nil"/>
              <w:left w:val="nil"/>
              <w:bottom w:val="nil"/>
              <w:right w:val="nil"/>
            </w:tcBorders>
            <w:shd w:val="clear" w:color="000000" w:fill="C7CFD8"/>
            <w:noWrap/>
            <w:vAlign w:val="center"/>
            <w:hideMark/>
          </w:tcPr>
          <w:p w14:paraId="7D28C590"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 xml:space="preserve">D=B+C </w:t>
            </w:r>
          </w:p>
        </w:tc>
      </w:tr>
      <w:tr w:rsidR="00CC0487" w:rsidRPr="00E57BEF" w14:paraId="53B5A2B4" w14:textId="77777777" w:rsidTr="00DB6666">
        <w:trPr>
          <w:trHeight w:val="330"/>
        </w:trPr>
        <w:tc>
          <w:tcPr>
            <w:tcW w:w="3800" w:type="dxa"/>
            <w:tcBorders>
              <w:top w:val="nil"/>
              <w:left w:val="nil"/>
              <w:bottom w:val="nil"/>
              <w:right w:val="nil"/>
            </w:tcBorders>
            <w:shd w:val="clear" w:color="auto" w:fill="auto"/>
            <w:vAlign w:val="center"/>
            <w:hideMark/>
          </w:tcPr>
          <w:p w14:paraId="703360AF" w14:textId="77777777" w:rsidR="00CC0487" w:rsidRPr="009E1BDC" w:rsidRDefault="00CC0487" w:rsidP="00DB6666">
            <w:pPr>
              <w:jc w:val="left"/>
              <w:rPr>
                <w:rFonts w:ascii="Arial Narrow" w:hAnsi="Arial Narrow" w:cs="Arial"/>
                <w:b/>
                <w:bCs/>
                <w:sz w:val="18"/>
                <w:szCs w:val="18"/>
              </w:rPr>
            </w:pPr>
            <w:r w:rsidRPr="009E1BDC">
              <w:rPr>
                <w:rFonts w:ascii="Arial Narrow" w:hAnsi="Arial Narrow" w:cs="Arial"/>
                <w:b/>
                <w:bCs/>
                <w:sz w:val="18"/>
                <w:szCs w:val="18"/>
              </w:rPr>
              <w:t>1. Einnahmen</w:t>
            </w:r>
          </w:p>
        </w:tc>
        <w:tc>
          <w:tcPr>
            <w:tcW w:w="1180" w:type="dxa"/>
            <w:tcBorders>
              <w:top w:val="nil"/>
              <w:left w:val="nil"/>
              <w:bottom w:val="nil"/>
              <w:right w:val="nil"/>
            </w:tcBorders>
            <w:shd w:val="clear" w:color="auto" w:fill="auto"/>
            <w:vAlign w:val="center"/>
            <w:hideMark/>
          </w:tcPr>
          <w:p w14:paraId="7E1103F8" w14:textId="77777777" w:rsidR="00CC0487" w:rsidRPr="009E1BDC" w:rsidRDefault="00CC0487" w:rsidP="00DB6666">
            <w:pPr>
              <w:jc w:val="right"/>
              <w:rPr>
                <w:rFonts w:ascii="Arial Narrow" w:hAnsi="Arial Narrow" w:cs="Arial"/>
                <w:b/>
                <w:bCs/>
                <w:color w:val="000000"/>
                <w:sz w:val="18"/>
                <w:szCs w:val="18"/>
              </w:rPr>
            </w:pPr>
            <w:r w:rsidRPr="009E1BDC">
              <w:rPr>
                <w:rFonts w:ascii="Arial Narrow" w:hAnsi="Arial Narrow" w:cs="Arial"/>
                <w:b/>
                <w:bCs/>
                <w:color w:val="000000"/>
                <w:sz w:val="18"/>
                <w:szCs w:val="18"/>
              </w:rPr>
              <w:t>7.404</w:t>
            </w:r>
          </w:p>
        </w:tc>
        <w:tc>
          <w:tcPr>
            <w:tcW w:w="1180" w:type="dxa"/>
            <w:tcBorders>
              <w:top w:val="nil"/>
              <w:left w:val="nil"/>
              <w:bottom w:val="nil"/>
              <w:right w:val="nil"/>
            </w:tcBorders>
            <w:shd w:val="clear" w:color="auto" w:fill="auto"/>
            <w:vAlign w:val="center"/>
            <w:hideMark/>
          </w:tcPr>
          <w:p w14:paraId="6DD23E99" w14:textId="77777777" w:rsidR="00CC0487" w:rsidRPr="009E1BDC" w:rsidRDefault="00CC0487" w:rsidP="00DB6666">
            <w:pPr>
              <w:jc w:val="right"/>
              <w:rPr>
                <w:rFonts w:ascii="Arial Narrow" w:hAnsi="Arial Narrow" w:cs="Arial"/>
                <w:b/>
                <w:bCs/>
                <w:color w:val="000000"/>
                <w:sz w:val="18"/>
                <w:szCs w:val="18"/>
              </w:rPr>
            </w:pPr>
            <w:r w:rsidRPr="009E1BDC">
              <w:rPr>
                <w:rFonts w:ascii="Arial Narrow" w:hAnsi="Arial Narrow" w:cs="Arial"/>
                <w:b/>
                <w:bCs/>
                <w:color w:val="000000"/>
                <w:sz w:val="18"/>
                <w:szCs w:val="18"/>
              </w:rPr>
              <w:t>7.635</w:t>
            </w:r>
          </w:p>
        </w:tc>
        <w:tc>
          <w:tcPr>
            <w:tcW w:w="720" w:type="dxa"/>
            <w:tcBorders>
              <w:top w:val="nil"/>
              <w:left w:val="nil"/>
              <w:bottom w:val="nil"/>
              <w:right w:val="nil"/>
            </w:tcBorders>
            <w:shd w:val="clear" w:color="auto" w:fill="auto"/>
            <w:vAlign w:val="center"/>
            <w:hideMark/>
          </w:tcPr>
          <w:p w14:paraId="35B85703" w14:textId="77777777" w:rsidR="00CC0487" w:rsidRPr="009E1BDC" w:rsidRDefault="00CC0487" w:rsidP="00DB6666">
            <w:pPr>
              <w:jc w:val="right"/>
              <w:rPr>
                <w:rFonts w:ascii="Arial Narrow" w:hAnsi="Arial Narrow" w:cs="Arial"/>
                <w:b/>
                <w:bCs/>
                <w:color w:val="000000"/>
                <w:sz w:val="18"/>
                <w:szCs w:val="18"/>
              </w:rPr>
            </w:pPr>
            <w:r w:rsidRPr="009E1BDC">
              <w:rPr>
                <w:rFonts w:ascii="Arial Narrow" w:hAnsi="Arial Narrow" w:cs="Arial"/>
                <w:b/>
                <w:bCs/>
                <w:color w:val="000000"/>
                <w:sz w:val="18"/>
                <w:szCs w:val="18"/>
              </w:rPr>
              <w:t>267</w:t>
            </w:r>
          </w:p>
        </w:tc>
        <w:tc>
          <w:tcPr>
            <w:tcW w:w="1020" w:type="dxa"/>
            <w:tcBorders>
              <w:top w:val="nil"/>
              <w:left w:val="nil"/>
              <w:bottom w:val="nil"/>
              <w:right w:val="nil"/>
            </w:tcBorders>
            <w:shd w:val="clear" w:color="auto" w:fill="auto"/>
            <w:vAlign w:val="center"/>
            <w:hideMark/>
          </w:tcPr>
          <w:p w14:paraId="7BEEE96D" w14:textId="77777777" w:rsidR="00CC0487" w:rsidRPr="009E1BDC" w:rsidRDefault="00CC0487" w:rsidP="00DB6666">
            <w:pPr>
              <w:jc w:val="right"/>
              <w:rPr>
                <w:rFonts w:ascii="Arial Narrow" w:hAnsi="Arial Narrow" w:cs="Arial"/>
                <w:b/>
                <w:bCs/>
                <w:sz w:val="18"/>
                <w:szCs w:val="18"/>
              </w:rPr>
            </w:pPr>
            <w:r w:rsidRPr="009E1BDC">
              <w:rPr>
                <w:rFonts w:ascii="Arial Narrow" w:hAnsi="Arial Narrow" w:cs="Arial"/>
                <w:b/>
                <w:bCs/>
                <w:sz w:val="18"/>
                <w:szCs w:val="18"/>
              </w:rPr>
              <w:t>3,5%</w:t>
            </w:r>
          </w:p>
        </w:tc>
        <w:tc>
          <w:tcPr>
            <w:tcW w:w="1660" w:type="dxa"/>
            <w:tcBorders>
              <w:top w:val="nil"/>
              <w:left w:val="nil"/>
              <w:bottom w:val="nil"/>
              <w:right w:val="nil"/>
            </w:tcBorders>
            <w:shd w:val="clear" w:color="auto" w:fill="auto"/>
            <w:vAlign w:val="center"/>
            <w:hideMark/>
          </w:tcPr>
          <w:p w14:paraId="177DE48D" w14:textId="77777777" w:rsidR="00CC0487" w:rsidRPr="009E1BDC" w:rsidRDefault="00CC0487" w:rsidP="00DB6666">
            <w:pPr>
              <w:jc w:val="right"/>
              <w:rPr>
                <w:rFonts w:ascii="Arial Narrow" w:hAnsi="Arial Narrow" w:cs="Arial"/>
                <w:b/>
                <w:bCs/>
                <w:color w:val="000000"/>
                <w:sz w:val="18"/>
                <w:szCs w:val="18"/>
              </w:rPr>
            </w:pPr>
            <w:r w:rsidRPr="009E1BDC">
              <w:rPr>
                <w:rFonts w:ascii="Arial Narrow" w:hAnsi="Arial Narrow" w:cs="Arial"/>
                <w:b/>
                <w:bCs/>
                <w:color w:val="000000"/>
                <w:sz w:val="18"/>
                <w:szCs w:val="18"/>
              </w:rPr>
              <w:t xml:space="preserve">7.901 </w:t>
            </w:r>
          </w:p>
        </w:tc>
      </w:tr>
      <w:tr w:rsidR="00CC0487" w:rsidRPr="00E57BEF" w14:paraId="5D210E9C" w14:textId="77777777" w:rsidTr="00DB6666">
        <w:trPr>
          <w:trHeight w:val="330"/>
        </w:trPr>
        <w:tc>
          <w:tcPr>
            <w:tcW w:w="3800" w:type="dxa"/>
            <w:tcBorders>
              <w:top w:val="nil"/>
              <w:left w:val="nil"/>
              <w:bottom w:val="single" w:sz="4" w:space="0" w:color="AAB8C4"/>
              <w:right w:val="nil"/>
            </w:tcBorders>
            <w:shd w:val="clear" w:color="auto" w:fill="auto"/>
            <w:noWrap/>
            <w:vAlign w:val="center"/>
            <w:hideMark/>
          </w:tcPr>
          <w:p w14:paraId="7A2FB70B" w14:textId="77777777" w:rsidR="00CC0487" w:rsidRPr="009E1BDC" w:rsidRDefault="00CC0487" w:rsidP="00DB6666">
            <w:pPr>
              <w:jc w:val="left"/>
              <w:rPr>
                <w:rFonts w:ascii="Arial Narrow" w:hAnsi="Arial Narrow" w:cs="Arial"/>
                <w:b/>
                <w:bCs/>
                <w:sz w:val="18"/>
                <w:szCs w:val="18"/>
              </w:rPr>
            </w:pPr>
            <w:r w:rsidRPr="009E1BDC">
              <w:rPr>
                <w:rFonts w:ascii="Arial Narrow" w:hAnsi="Arial Narrow" w:cs="Arial"/>
                <w:b/>
                <w:bCs/>
                <w:sz w:val="18"/>
                <w:szCs w:val="18"/>
              </w:rPr>
              <w:t>2. Ausgaben</w:t>
            </w:r>
          </w:p>
        </w:tc>
        <w:tc>
          <w:tcPr>
            <w:tcW w:w="1180" w:type="dxa"/>
            <w:tcBorders>
              <w:top w:val="nil"/>
              <w:left w:val="nil"/>
              <w:bottom w:val="single" w:sz="4" w:space="0" w:color="BFBFBF"/>
              <w:right w:val="nil"/>
            </w:tcBorders>
            <w:shd w:val="clear" w:color="auto" w:fill="auto"/>
            <w:vAlign w:val="center"/>
            <w:hideMark/>
          </w:tcPr>
          <w:p w14:paraId="138E112B" w14:textId="77777777" w:rsidR="00CC0487" w:rsidRPr="009E1BDC" w:rsidRDefault="00CC0487" w:rsidP="00DB6666">
            <w:pPr>
              <w:jc w:val="right"/>
              <w:rPr>
                <w:rFonts w:ascii="Arial Narrow" w:hAnsi="Arial Narrow" w:cs="Arial"/>
                <w:b/>
                <w:bCs/>
                <w:color w:val="000000"/>
                <w:sz w:val="18"/>
                <w:szCs w:val="18"/>
              </w:rPr>
            </w:pPr>
            <w:r w:rsidRPr="009E1BDC">
              <w:rPr>
                <w:rFonts w:ascii="Arial Narrow" w:hAnsi="Arial Narrow" w:cs="Arial"/>
                <w:b/>
                <w:bCs/>
                <w:color w:val="000000"/>
                <w:sz w:val="18"/>
                <w:szCs w:val="18"/>
              </w:rPr>
              <w:t>7.071</w:t>
            </w:r>
          </w:p>
        </w:tc>
        <w:tc>
          <w:tcPr>
            <w:tcW w:w="1180" w:type="dxa"/>
            <w:tcBorders>
              <w:top w:val="nil"/>
              <w:left w:val="nil"/>
              <w:bottom w:val="single" w:sz="4" w:space="0" w:color="AAB8C4"/>
              <w:right w:val="nil"/>
            </w:tcBorders>
            <w:shd w:val="clear" w:color="auto" w:fill="auto"/>
            <w:vAlign w:val="center"/>
            <w:hideMark/>
          </w:tcPr>
          <w:p w14:paraId="4C354EF3" w14:textId="77777777" w:rsidR="00CC0487" w:rsidRPr="009E1BDC" w:rsidRDefault="00CC0487" w:rsidP="00DB6666">
            <w:pPr>
              <w:jc w:val="right"/>
              <w:rPr>
                <w:rFonts w:ascii="Arial Narrow" w:hAnsi="Arial Narrow" w:cs="Arial"/>
                <w:b/>
                <w:bCs/>
                <w:color w:val="000000"/>
                <w:sz w:val="18"/>
                <w:szCs w:val="18"/>
              </w:rPr>
            </w:pPr>
            <w:r w:rsidRPr="009E1BDC">
              <w:rPr>
                <w:rFonts w:ascii="Arial Narrow" w:hAnsi="Arial Narrow" w:cs="Arial"/>
                <w:b/>
                <w:bCs/>
                <w:color w:val="000000"/>
                <w:sz w:val="18"/>
                <w:szCs w:val="18"/>
              </w:rPr>
              <w:t>7.635</w:t>
            </w:r>
          </w:p>
        </w:tc>
        <w:tc>
          <w:tcPr>
            <w:tcW w:w="720" w:type="dxa"/>
            <w:tcBorders>
              <w:top w:val="nil"/>
              <w:left w:val="nil"/>
              <w:bottom w:val="single" w:sz="4" w:space="0" w:color="AAB8C4"/>
              <w:right w:val="nil"/>
            </w:tcBorders>
            <w:shd w:val="clear" w:color="auto" w:fill="auto"/>
            <w:vAlign w:val="center"/>
            <w:hideMark/>
          </w:tcPr>
          <w:p w14:paraId="3422A030" w14:textId="77777777" w:rsidR="00CC0487" w:rsidRPr="009E1BDC" w:rsidRDefault="00CC0487" w:rsidP="00DB6666">
            <w:pPr>
              <w:jc w:val="right"/>
              <w:rPr>
                <w:rFonts w:ascii="Arial Narrow" w:hAnsi="Arial Narrow" w:cs="Arial"/>
                <w:b/>
                <w:bCs/>
                <w:color w:val="000000"/>
                <w:sz w:val="18"/>
                <w:szCs w:val="18"/>
              </w:rPr>
            </w:pPr>
            <w:r w:rsidRPr="009E1BDC">
              <w:rPr>
                <w:rFonts w:ascii="Arial Narrow" w:hAnsi="Arial Narrow" w:cs="Arial"/>
                <w:b/>
                <w:bCs/>
                <w:color w:val="000000"/>
                <w:sz w:val="18"/>
                <w:szCs w:val="18"/>
              </w:rPr>
              <w:t>267</w:t>
            </w:r>
          </w:p>
        </w:tc>
        <w:tc>
          <w:tcPr>
            <w:tcW w:w="1020" w:type="dxa"/>
            <w:tcBorders>
              <w:top w:val="nil"/>
              <w:left w:val="nil"/>
              <w:bottom w:val="single" w:sz="4" w:space="0" w:color="BFBFBF"/>
              <w:right w:val="nil"/>
            </w:tcBorders>
            <w:shd w:val="clear" w:color="auto" w:fill="auto"/>
            <w:vAlign w:val="center"/>
            <w:hideMark/>
          </w:tcPr>
          <w:p w14:paraId="2F681819" w14:textId="77777777" w:rsidR="00CC0487" w:rsidRPr="009E1BDC" w:rsidRDefault="00CC0487" w:rsidP="00DB6666">
            <w:pPr>
              <w:jc w:val="right"/>
              <w:rPr>
                <w:rFonts w:ascii="Arial Narrow" w:hAnsi="Arial Narrow" w:cs="Arial"/>
                <w:b/>
                <w:bCs/>
                <w:sz w:val="18"/>
                <w:szCs w:val="18"/>
              </w:rPr>
            </w:pPr>
            <w:r w:rsidRPr="009E1BDC">
              <w:rPr>
                <w:rFonts w:ascii="Arial Narrow" w:hAnsi="Arial Narrow" w:cs="Arial"/>
                <w:b/>
                <w:bCs/>
                <w:sz w:val="18"/>
                <w:szCs w:val="18"/>
              </w:rPr>
              <w:t>3,5%</w:t>
            </w:r>
          </w:p>
        </w:tc>
        <w:tc>
          <w:tcPr>
            <w:tcW w:w="1660" w:type="dxa"/>
            <w:tcBorders>
              <w:top w:val="nil"/>
              <w:left w:val="nil"/>
              <w:bottom w:val="single" w:sz="4" w:space="0" w:color="AAB8C4"/>
              <w:right w:val="nil"/>
            </w:tcBorders>
            <w:shd w:val="clear" w:color="auto" w:fill="auto"/>
            <w:vAlign w:val="center"/>
            <w:hideMark/>
          </w:tcPr>
          <w:p w14:paraId="47713592" w14:textId="77777777" w:rsidR="00CC0487" w:rsidRPr="009E1BDC" w:rsidRDefault="00CC0487" w:rsidP="00DB6666">
            <w:pPr>
              <w:jc w:val="right"/>
              <w:rPr>
                <w:rFonts w:ascii="Arial Narrow" w:hAnsi="Arial Narrow" w:cs="Arial"/>
                <w:b/>
                <w:bCs/>
                <w:color w:val="000000"/>
                <w:sz w:val="18"/>
                <w:szCs w:val="18"/>
              </w:rPr>
            </w:pPr>
            <w:r w:rsidRPr="009E1BDC">
              <w:rPr>
                <w:rFonts w:ascii="Arial Narrow" w:hAnsi="Arial Narrow" w:cs="Arial"/>
                <w:b/>
                <w:bCs/>
                <w:color w:val="000000"/>
                <w:sz w:val="18"/>
                <w:szCs w:val="18"/>
              </w:rPr>
              <w:t xml:space="preserve">7.901 </w:t>
            </w:r>
          </w:p>
        </w:tc>
      </w:tr>
      <w:tr w:rsidR="00CC0487" w:rsidRPr="00E57BEF" w14:paraId="722E24A3" w14:textId="77777777" w:rsidTr="00DB6666">
        <w:trPr>
          <w:trHeight w:val="330"/>
        </w:trPr>
        <w:tc>
          <w:tcPr>
            <w:tcW w:w="3800" w:type="dxa"/>
            <w:tcBorders>
              <w:top w:val="nil"/>
              <w:left w:val="nil"/>
              <w:bottom w:val="nil"/>
              <w:right w:val="nil"/>
            </w:tcBorders>
            <w:shd w:val="clear" w:color="auto" w:fill="auto"/>
            <w:vAlign w:val="bottom"/>
            <w:hideMark/>
          </w:tcPr>
          <w:p w14:paraId="583A5814" w14:textId="77777777" w:rsidR="00CC0487" w:rsidRPr="009E1BDC" w:rsidRDefault="00CC0487" w:rsidP="00DB6666">
            <w:pPr>
              <w:ind w:firstLineChars="100" w:firstLine="180"/>
              <w:jc w:val="left"/>
              <w:rPr>
                <w:rFonts w:ascii="Arial Narrow" w:hAnsi="Arial Narrow" w:cs="Arial"/>
                <w:i/>
                <w:iCs/>
                <w:sz w:val="18"/>
                <w:szCs w:val="18"/>
              </w:rPr>
            </w:pPr>
            <w:r w:rsidRPr="009E1BDC">
              <w:rPr>
                <w:rFonts w:ascii="Arial Narrow" w:hAnsi="Arial Narrow" w:cs="Arial"/>
                <w:i/>
                <w:iCs/>
                <w:sz w:val="18"/>
                <w:szCs w:val="18"/>
              </w:rPr>
              <w:t xml:space="preserve">Differenz </w:t>
            </w:r>
          </w:p>
        </w:tc>
        <w:tc>
          <w:tcPr>
            <w:tcW w:w="1180" w:type="dxa"/>
            <w:tcBorders>
              <w:top w:val="nil"/>
              <w:left w:val="nil"/>
              <w:bottom w:val="nil"/>
              <w:right w:val="nil"/>
            </w:tcBorders>
            <w:shd w:val="clear" w:color="auto" w:fill="auto"/>
            <w:vAlign w:val="bottom"/>
            <w:hideMark/>
          </w:tcPr>
          <w:p w14:paraId="5151D633" w14:textId="77777777" w:rsidR="00CC0487" w:rsidRPr="009E1BDC" w:rsidRDefault="00CC0487" w:rsidP="00DB6666">
            <w:pPr>
              <w:jc w:val="right"/>
              <w:rPr>
                <w:rFonts w:ascii="Arial Narrow" w:hAnsi="Arial Narrow" w:cs="Arial"/>
                <w:i/>
                <w:iCs/>
                <w:color w:val="000000"/>
                <w:sz w:val="18"/>
                <w:szCs w:val="18"/>
              </w:rPr>
            </w:pPr>
            <w:r w:rsidRPr="009E1BDC">
              <w:rPr>
                <w:rFonts w:ascii="Arial Narrow" w:hAnsi="Arial Narrow" w:cs="Arial"/>
                <w:i/>
                <w:iCs/>
                <w:color w:val="000000"/>
                <w:sz w:val="18"/>
                <w:szCs w:val="18"/>
              </w:rPr>
              <w:t>334</w:t>
            </w:r>
          </w:p>
        </w:tc>
        <w:tc>
          <w:tcPr>
            <w:tcW w:w="1180" w:type="dxa"/>
            <w:tcBorders>
              <w:top w:val="nil"/>
              <w:left w:val="nil"/>
              <w:bottom w:val="nil"/>
              <w:right w:val="nil"/>
            </w:tcBorders>
            <w:shd w:val="clear" w:color="auto" w:fill="auto"/>
            <w:vAlign w:val="bottom"/>
            <w:hideMark/>
          </w:tcPr>
          <w:p w14:paraId="4B9341B0" w14:textId="77777777" w:rsidR="00CC0487" w:rsidRPr="009E1BDC" w:rsidRDefault="00CC0487" w:rsidP="00DB6666">
            <w:pPr>
              <w:jc w:val="right"/>
              <w:rPr>
                <w:rFonts w:ascii="Arial Narrow" w:hAnsi="Arial Narrow" w:cs="Arial"/>
                <w:i/>
                <w:iCs/>
                <w:color w:val="000000"/>
                <w:sz w:val="18"/>
                <w:szCs w:val="18"/>
              </w:rPr>
            </w:pPr>
            <w:r w:rsidRPr="009E1BDC">
              <w:rPr>
                <w:rFonts w:ascii="Arial Narrow" w:hAnsi="Arial Narrow" w:cs="Arial"/>
                <w:i/>
                <w:iCs/>
                <w:color w:val="000000"/>
                <w:sz w:val="18"/>
                <w:szCs w:val="18"/>
              </w:rPr>
              <w:t>-</w:t>
            </w:r>
          </w:p>
        </w:tc>
        <w:tc>
          <w:tcPr>
            <w:tcW w:w="720" w:type="dxa"/>
            <w:tcBorders>
              <w:top w:val="nil"/>
              <w:left w:val="nil"/>
              <w:bottom w:val="nil"/>
              <w:right w:val="nil"/>
            </w:tcBorders>
            <w:shd w:val="clear" w:color="auto" w:fill="auto"/>
            <w:vAlign w:val="bottom"/>
          </w:tcPr>
          <w:p w14:paraId="6B4BCAA3" w14:textId="77777777" w:rsidR="00CC0487" w:rsidRPr="009E1BDC" w:rsidRDefault="00CC0487" w:rsidP="00DB6666">
            <w:pPr>
              <w:jc w:val="right"/>
              <w:rPr>
                <w:rFonts w:ascii="Arial Narrow" w:hAnsi="Arial Narrow" w:cs="Arial"/>
                <w:i/>
                <w:iCs/>
                <w:color w:val="000000"/>
                <w:sz w:val="18"/>
                <w:szCs w:val="18"/>
              </w:rPr>
            </w:pPr>
            <w:r w:rsidRPr="009E1BDC">
              <w:rPr>
                <w:rFonts w:ascii="Arial Narrow" w:hAnsi="Arial Narrow" w:cs="Arial"/>
                <w:i/>
                <w:iCs/>
                <w:color w:val="000000"/>
                <w:sz w:val="18"/>
                <w:szCs w:val="18"/>
              </w:rPr>
              <w:t>-</w:t>
            </w:r>
          </w:p>
        </w:tc>
        <w:tc>
          <w:tcPr>
            <w:tcW w:w="1020" w:type="dxa"/>
            <w:tcBorders>
              <w:top w:val="nil"/>
              <w:left w:val="nil"/>
              <w:bottom w:val="nil"/>
              <w:right w:val="nil"/>
            </w:tcBorders>
            <w:shd w:val="clear" w:color="auto" w:fill="auto"/>
            <w:vAlign w:val="bottom"/>
          </w:tcPr>
          <w:p w14:paraId="55A9B6EA" w14:textId="77777777" w:rsidR="00CC0487" w:rsidRPr="009E1BDC" w:rsidRDefault="00CC0487" w:rsidP="00DB6666">
            <w:pPr>
              <w:jc w:val="right"/>
              <w:rPr>
                <w:rFonts w:ascii="Arial Narrow" w:hAnsi="Arial Narrow" w:cs="Arial"/>
                <w:i/>
                <w:iCs/>
                <w:color w:val="000000"/>
                <w:sz w:val="18"/>
                <w:szCs w:val="18"/>
              </w:rPr>
            </w:pPr>
            <w:r w:rsidRPr="009E1BDC">
              <w:rPr>
                <w:rFonts w:ascii="Arial Narrow" w:hAnsi="Arial Narrow" w:cs="Arial"/>
                <w:i/>
                <w:iCs/>
                <w:color w:val="000000"/>
                <w:sz w:val="18"/>
                <w:szCs w:val="18"/>
              </w:rPr>
              <w:t>-</w:t>
            </w:r>
          </w:p>
        </w:tc>
        <w:tc>
          <w:tcPr>
            <w:tcW w:w="1660" w:type="dxa"/>
            <w:tcBorders>
              <w:top w:val="nil"/>
              <w:left w:val="nil"/>
              <w:bottom w:val="nil"/>
              <w:right w:val="nil"/>
            </w:tcBorders>
            <w:shd w:val="clear" w:color="auto" w:fill="auto"/>
            <w:vAlign w:val="bottom"/>
          </w:tcPr>
          <w:p w14:paraId="6ADB17D5" w14:textId="77777777" w:rsidR="00CC0487" w:rsidRPr="009E1BDC" w:rsidRDefault="00CC0487" w:rsidP="00DB6666">
            <w:pPr>
              <w:jc w:val="right"/>
              <w:rPr>
                <w:rFonts w:ascii="Arial Narrow" w:hAnsi="Arial Narrow" w:cs="Arial"/>
                <w:i/>
                <w:iCs/>
                <w:color w:val="000000"/>
                <w:sz w:val="18"/>
                <w:szCs w:val="18"/>
              </w:rPr>
            </w:pPr>
            <w:r w:rsidRPr="009E1BDC">
              <w:rPr>
                <w:rFonts w:ascii="Arial Narrow" w:hAnsi="Arial Narrow" w:cs="Arial"/>
                <w:i/>
                <w:iCs/>
                <w:color w:val="000000"/>
                <w:sz w:val="18"/>
                <w:szCs w:val="18"/>
              </w:rPr>
              <w:t>-</w:t>
            </w:r>
          </w:p>
        </w:tc>
      </w:tr>
      <w:tr w:rsidR="00CC0487" w:rsidRPr="00E57BEF" w14:paraId="19778F0D" w14:textId="77777777" w:rsidTr="00DB6666">
        <w:trPr>
          <w:trHeight w:val="260"/>
        </w:trPr>
        <w:tc>
          <w:tcPr>
            <w:tcW w:w="3800" w:type="dxa"/>
            <w:tcBorders>
              <w:top w:val="nil"/>
              <w:left w:val="nil"/>
              <w:bottom w:val="nil"/>
              <w:right w:val="nil"/>
            </w:tcBorders>
            <w:shd w:val="clear" w:color="auto" w:fill="auto"/>
            <w:vAlign w:val="bottom"/>
            <w:hideMark/>
          </w:tcPr>
          <w:p w14:paraId="6F406E88" w14:textId="77777777" w:rsidR="00CC0487" w:rsidRPr="009E1BDC" w:rsidRDefault="00CC0487" w:rsidP="00DB6666">
            <w:pPr>
              <w:jc w:val="left"/>
              <w:rPr>
                <w:rFonts w:ascii="Arial Narrow" w:hAnsi="Arial Narrow" w:cs="Arial"/>
                <w:i/>
                <w:iCs/>
                <w:color w:val="000000"/>
                <w:sz w:val="18"/>
                <w:szCs w:val="18"/>
              </w:rPr>
            </w:pPr>
          </w:p>
        </w:tc>
        <w:tc>
          <w:tcPr>
            <w:tcW w:w="1180" w:type="dxa"/>
            <w:tcBorders>
              <w:top w:val="nil"/>
              <w:left w:val="nil"/>
              <w:bottom w:val="nil"/>
              <w:right w:val="nil"/>
            </w:tcBorders>
            <w:shd w:val="clear" w:color="auto" w:fill="auto"/>
            <w:vAlign w:val="bottom"/>
            <w:hideMark/>
          </w:tcPr>
          <w:p w14:paraId="15DD5836" w14:textId="77777777" w:rsidR="00CC0487" w:rsidRPr="009E1BDC" w:rsidRDefault="00CC0487" w:rsidP="00DB6666">
            <w:pPr>
              <w:jc w:val="right"/>
              <w:rPr>
                <w:rFonts w:ascii="Arial Narrow" w:hAnsi="Arial Narrow"/>
                <w:sz w:val="18"/>
                <w:szCs w:val="18"/>
              </w:rPr>
            </w:pPr>
          </w:p>
        </w:tc>
        <w:tc>
          <w:tcPr>
            <w:tcW w:w="1180" w:type="dxa"/>
            <w:tcBorders>
              <w:top w:val="nil"/>
              <w:left w:val="nil"/>
              <w:bottom w:val="nil"/>
              <w:right w:val="nil"/>
            </w:tcBorders>
            <w:shd w:val="clear" w:color="auto" w:fill="auto"/>
            <w:vAlign w:val="bottom"/>
            <w:hideMark/>
          </w:tcPr>
          <w:p w14:paraId="678DCC62" w14:textId="77777777" w:rsidR="00CC0487" w:rsidRPr="009E1BDC" w:rsidRDefault="00CC0487" w:rsidP="00DB6666">
            <w:pPr>
              <w:jc w:val="right"/>
              <w:rPr>
                <w:rFonts w:ascii="Arial Narrow" w:hAnsi="Arial Narrow"/>
                <w:sz w:val="18"/>
                <w:szCs w:val="18"/>
              </w:rPr>
            </w:pPr>
          </w:p>
        </w:tc>
        <w:tc>
          <w:tcPr>
            <w:tcW w:w="720" w:type="dxa"/>
            <w:tcBorders>
              <w:top w:val="nil"/>
              <w:left w:val="nil"/>
              <w:bottom w:val="nil"/>
              <w:right w:val="nil"/>
            </w:tcBorders>
            <w:shd w:val="clear" w:color="auto" w:fill="auto"/>
            <w:vAlign w:val="bottom"/>
            <w:hideMark/>
          </w:tcPr>
          <w:p w14:paraId="45E6B15B" w14:textId="77777777" w:rsidR="00CC0487" w:rsidRPr="009E1BDC" w:rsidRDefault="00CC0487" w:rsidP="00DB6666">
            <w:pPr>
              <w:jc w:val="right"/>
              <w:rPr>
                <w:rFonts w:ascii="Arial Narrow" w:hAnsi="Arial Narrow"/>
                <w:sz w:val="18"/>
                <w:szCs w:val="18"/>
              </w:rPr>
            </w:pPr>
          </w:p>
        </w:tc>
        <w:tc>
          <w:tcPr>
            <w:tcW w:w="1020" w:type="dxa"/>
            <w:tcBorders>
              <w:top w:val="nil"/>
              <w:left w:val="nil"/>
              <w:bottom w:val="nil"/>
              <w:right w:val="nil"/>
            </w:tcBorders>
            <w:shd w:val="clear" w:color="auto" w:fill="auto"/>
            <w:vAlign w:val="bottom"/>
            <w:hideMark/>
          </w:tcPr>
          <w:p w14:paraId="3E2EBD29" w14:textId="77777777" w:rsidR="00CC0487" w:rsidRPr="009E1BDC" w:rsidRDefault="00CC0487" w:rsidP="00DB6666">
            <w:pPr>
              <w:jc w:val="right"/>
              <w:rPr>
                <w:rFonts w:ascii="Arial Narrow" w:hAnsi="Arial Narrow"/>
                <w:sz w:val="18"/>
                <w:szCs w:val="18"/>
              </w:rPr>
            </w:pPr>
          </w:p>
        </w:tc>
        <w:tc>
          <w:tcPr>
            <w:tcW w:w="1660" w:type="dxa"/>
            <w:tcBorders>
              <w:top w:val="nil"/>
              <w:left w:val="nil"/>
              <w:bottom w:val="nil"/>
              <w:right w:val="nil"/>
            </w:tcBorders>
            <w:shd w:val="clear" w:color="auto" w:fill="auto"/>
            <w:vAlign w:val="bottom"/>
            <w:hideMark/>
          </w:tcPr>
          <w:p w14:paraId="221BA437" w14:textId="77777777" w:rsidR="00CC0487" w:rsidRPr="009E1BDC" w:rsidRDefault="00CC0487" w:rsidP="00DB6666">
            <w:pPr>
              <w:jc w:val="right"/>
              <w:rPr>
                <w:rFonts w:ascii="Arial Narrow" w:hAnsi="Arial Narrow"/>
                <w:sz w:val="18"/>
                <w:szCs w:val="18"/>
              </w:rPr>
            </w:pPr>
          </w:p>
        </w:tc>
      </w:tr>
      <w:tr w:rsidR="00CC0487" w:rsidRPr="00E57BEF" w14:paraId="5243B129" w14:textId="77777777" w:rsidTr="00DB6666">
        <w:trPr>
          <w:trHeight w:val="330"/>
        </w:trPr>
        <w:tc>
          <w:tcPr>
            <w:tcW w:w="3800" w:type="dxa"/>
            <w:tcBorders>
              <w:top w:val="single" w:sz="4" w:space="0" w:color="AAB8C4"/>
              <w:left w:val="nil"/>
              <w:bottom w:val="single" w:sz="8" w:space="0" w:color="AAB8C4"/>
              <w:right w:val="nil"/>
            </w:tcBorders>
            <w:shd w:val="clear" w:color="auto" w:fill="auto"/>
            <w:vAlign w:val="bottom"/>
            <w:hideMark/>
          </w:tcPr>
          <w:p w14:paraId="1AB79AA0" w14:textId="77777777" w:rsidR="00CC0487" w:rsidRPr="009E1BDC" w:rsidRDefault="00CC0487" w:rsidP="00DB6666">
            <w:pPr>
              <w:jc w:val="left"/>
              <w:rPr>
                <w:rFonts w:ascii="Arial Narrow" w:hAnsi="Arial Narrow" w:cs="Arial"/>
                <w:b/>
                <w:bCs/>
                <w:sz w:val="18"/>
                <w:szCs w:val="18"/>
              </w:rPr>
            </w:pPr>
            <w:r w:rsidRPr="009E1BDC">
              <w:rPr>
                <w:rFonts w:ascii="Arial Narrow" w:hAnsi="Arial Narrow" w:cs="Arial"/>
                <w:b/>
                <w:bCs/>
                <w:sz w:val="18"/>
                <w:szCs w:val="18"/>
              </w:rPr>
              <w:t>3. Betriebsmittelfonds</w:t>
            </w:r>
          </w:p>
        </w:tc>
        <w:tc>
          <w:tcPr>
            <w:tcW w:w="1180" w:type="dxa"/>
            <w:tcBorders>
              <w:top w:val="single" w:sz="4" w:space="0" w:color="AAB8C4"/>
              <w:left w:val="nil"/>
              <w:bottom w:val="single" w:sz="8" w:space="0" w:color="AAB8C4"/>
              <w:right w:val="nil"/>
            </w:tcBorders>
            <w:shd w:val="clear" w:color="auto" w:fill="auto"/>
            <w:vAlign w:val="bottom"/>
            <w:hideMark/>
          </w:tcPr>
          <w:p w14:paraId="10B3A8BF" w14:textId="77777777" w:rsidR="00CC0487" w:rsidRPr="009E1BDC" w:rsidRDefault="00CC0487" w:rsidP="00DB6666">
            <w:pPr>
              <w:jc w:val="right"/>
              <w:rPr>
                <w:rFonts w:ascii="Arial Narrow" w:hAnsi="Arial Narrow" w:cs="Arial"/>
                <w:b/>
                <w:bCs/>
                <w:color w:val="000000"/>
                <w:sz w:val="18"/>
                <w:szCs w:val="18"/>
              </w:rPr>
            </w:pPr>
            <w:r w:rsidRPr="009E1BDC">
              <w:rPr>
                <w:rFonts w:ascii="Arial Narrow" w:hAnsi="Arial Narrow" w:cs="Arial"/>
                <w:b/>
                <w:bCs/>
                <w:color w:val="000000"/>
                <w:sz w:val="18"/>
                <w:szCs w:val="18"/>
              </w:rPr>
              <w:t>575</w:t>
            </w:r>
          </w:p>
        </w:tc>
        <w:tc>
          <w:tcPr>
            <w:tcW w:w="1180" w:type="dxa"/>
            <w:tcBorders>
              <w:top w:val="single" w:sz="4" w:space="0" w:color="AAB8C4"/>
              <w:left w:val="nil"/>
              <w:bottom w:val="single" w:sz="8" w:space="0" w:color="AAB8C4"/>
              <w:right w:val="nil"/>
            </w:tcBorders>
            <w:shd w:val="clear" w:color="auto" w:fill="auto"/>
            <w:vAlign w:val="bottom"/>
            <w:hideMark/>
          </w:tcPr>
          <w:p w14:paraId="575D58D7" w14:textId="77777777" w:rsidR="00CC0487" w:rsidRPr="009E1BDC" w:rsidRDefault="00CC0487" w:rsidP="00DB6666">
            <w:pPr>
              <w:jc w:val="right"/>
              <w:rPr>
                <w:rFonts w:ascii="Arial Narrow" w:hAnsi="Arial Narrow" w:cs="Arial"/>
                <w:b/>
                <w:bCs/>
                <w:color w:val="000000"/>
                <w:sz w:val="18"/>
                <w:szCs w:val="18"/>
              </w:rPr>
            </w:pPr>
            <w:r w:rsidRPr="009E1BDC">
              <w:rPr>
                <w:rFonts w:ascii="Arial Narrow" w:hAnsi="Arial Narrow" w:cs="Arial"/>
                <w:b/>
                <w:bCs/>
                <w:color w:val="000000"/>
                <w:sz w:val="18"/>
                <w:szCs w:val="18"/>
              </w:rPr>
              <w:t>578</w:t>
            </w:r>
          </w:p>
        </w:tc>
        <w:tc>
          <w:tcPr>
            <w:tcW w:w="720" w:type="dxa"/>
            <w:tcBorders>
              <w:top w:val="single" w:sz="4" w:space="0" w:color="AAB8C4"/>
              <w:left w:val="nil"/>
              <w:bottom w:val="single" w:sz="8" w:space="0" w:color="AAB8C4"/>
              <w:right w:val="nil"/>
            </w:tcBorders>
            <w:shd w:val="clear" w:color="auto" w:fill="auto"/>
            <w:vAlign w:val="bottom"/>
            <w:hideMark/>
          </w:tcPr>
          <w:p w14:paraId="33260573" w14:textId="77777777" w:rsidR="00CC0487" w:rsidRPr="009E1BDC" w:rsidRDefault="00CC0487" w:rsidP="00DB6666">
            <w:pPr>
              <w:jc w:val="right"/>
              <w:rPr>
                <w:rFonts w:ascii="Arial Narrow" w:hAnsi="Arial Narrow" w:cs="Arial"/>
                <w:b/>
                <w:bCs/>
                <w:color w:val="000000"/>
                <w:sz w:val="18"/>
                <w:szCs w:val="18"/>
              </w:rPr>
            </w:pPr>
            <w:r w:rsidRPr="009E1BDC">
              <w:rPr>
                <w:rFonts w:ascii="Arial Narrow" w:hAnsi="Arial Narrow" w:cs="Arial"/>
                <w:b/>
                <w:bCs/>
                <w:color w:val="000000"/>
                <w:sz w:val="18"/>
                <w:szCs w:val="18"/>
              </w:rPr>
              <w:t>5</w:t>
            </w:r>
          </w:p>
        </w:tc>
        <w:tc>
          <w:tcPr>
            <w:tcW w:w="1020" w:type="dxa"/>
            <w:tcBorders>
              <w:top w:val="single" w:sz="4" w:space="0" w:color="BFBFBF"/>
              <w:left w:val="nil"/>
              <w:bottom w:val="single" w:sz="8" w:space="0" w:color="BFBFBF"/>
              <w:right w:val="nil"/>
            </w:tcBorders>
            <w:shd w:val="clear" w:color="auto" w:fill="auto"/>
            <w:vAlign w:val="bottom"/>
            <w:hideMark/>
          </w:tcPr>
          <w:p w14:paraId="54ABE258" w14:textId="77777777" w:rsidR="00CC0487" w:rsidRPr="009E1BDC" w:rsidRDefault="00CC0487" w:rsidP="00DB6666">
            <w:pPr>
              <w:jc w:val="right"/>
              <w:rPr>
                <w:rFonts w:ascii="Arial Narrow" w:hAnsi="Arial Narrow" w:cs="Arial"/>
                <w:b/>
                <w:bCs/>
                <w:sz w:val="18"/>
                <w:szCs w:val="18"/>
              </w:rPr>
            </w:pPr>
            <w:r w:rsidRPr="009E1BDC">
              <w:rPr>
                <w:rFonts w:ascii="Arial Narrow" w:hAnsi="Arial Narrow" w:cs="Arial"/>
                <w:b/>
                <w:bCs/>
                <w:sz w:val="18"/>
                <w:szCs w:val="18"/>
              </w:rPr>
              <w:t>0,9%</w:t>
            </w:r>
          </w:p>
        </w:tc>
        <w:tc>
          <w:tcPr>
            <w:tcW w:w="1660" w:type="dxa"/>
            <w:tcBorders>
              <w:top w:val="single" w:sz="4" w:space="0" w:color="AAB8C4"/>
              <w:left w:val="nil"/>
              <w:bottom w:val="single" w:sz="8" w:space="0" w:color="AAB8C4"/>
              <w:right w:val="nil"/>
            </w:tcBorders>
            <w:shd w:val="clear" w:color="auto" w:fill="auto"/>
            <w:vAlign w:val="bottom"/>
            <w:hideMark/>
          </w:tcPr>
          <w:p w14:paraId="61173471" w14:textId="77777777" w:rsidR="00CC0487" w:rsidRPr="009E1BDC" w:rsidRDefault="00CC0487" w:rsidP="00DB6666">
            <w:pPr>
              <w:jc w:val="right"/>
              <w:rPr>
                <w:rFonts w:ascii="Arial Narrow" w:hAnsi="Arial Narrow" w:cs="Arial"/>
                <w:b/>
                <w:bCs/>
                <w:sz w:val="18"/>
                <w:szCs w:val="18"/>
              </w:rPr>
            </w:pPr>
            <w:r w:rsidRPr="009E1BDC">
              <w:rPr>
                <w:rFonts w:ascii="Arial Narrow" w:hAnsi="Arial Narrow" w:cs="Arial"/>
                <w:b/>
                <w:bCs/>
                <w:sz w:val="18"/>
                <w:szCs w:val="18"/>
              </w:rPr>
              <w:t>583</w:t>
            </w:r>
          </w:p>
        </w:tc>
      </w:tr>
    </w:tbl>
    <w:p w14:paraId="09F05122" w14:textId="77777777" w:rsidR="00CC0487" w:rsidRPr="003E7026" w:rsidRDefault="00CC0487" w:rsidP="00CC0487">
      <w:pPr>
        <w:rPr>
          <w:spacing w:val="-2"/>
          <w:szCs w:val="24"/>
        </w:rPr>
      </w:pPr>
    </w:p>
    <w:p w14:paraId="636533A8" w14:textId="77777777" w:rsidR="00CC0487" w:rsidRPr="003E7026" w:rsidRDefault="00CC0487" w:rsidP="00CC0487">
      <w:pPr>
        <w:rPr>
          <w:spacing w:val="-2"/>
          <w:szCs w:val="24"/>
        </w:rPr>
      </w:pPr>
    </w:p>
    <w:p w14:paraId="3C7B979D" w14:textId="77777777" w:rsidR="00CC0487" w:rsidRPr="003E7026" w:rsidRDefault="00CC0487" w:rsidP="00CC0487">
      <w:pPr>
        <w:rPr>
          <w:spacing w:val="-2"/>
          <w:szCs w:val="24"/>
        </w:rPr>
      </w:pPr>
      <w:r w:rsidRPr="003E7026">
        <w:rPr>
          <w:spacing w:val="-2"/>
          <w:szCs w:val="24"/>
        </w:rPr>
        <w:t xml:space="preserve">In Bezug auf den Reservefond wird daran erinnert, dass das Dokument UPOV/INF/4/6 „Finanzordnung und ihre Durchführungsbestimmungen der UPOV“, Regel 4.6 lautet: „[...] Wenn der Reservefond nach Abschluss der Rechnungsperiode 15 Prozent der Gesamteinnahmen übersteigt, entscheidet der Rat über die Verwendung der die Ausgaben der Rechnungsperiode übersteigenden Einnahmen.“ Die notwendigen Maßnahmen werden für die Prüfung durch den Beratenden Ausschuss und den Rat erfolgen, sofern diese Situation vor Rechnungsabschluss der Rechnungsperiode </w:t>
      </w:r>
      <w:r w:rsidRPr="003E7026">
        <w:rPr>
          <w:snapToGrid w:val="0"/>
          <w:spacing w:val="-2"/>
          <w:szCs w:val="24"/>
        </w:rPr>
        <w:t xml:space="preserve">2024-2025 </w:t>
      </w:r>
      <w:r w:rsidRPr="003E7026">
        <w:rPr>
          <w:spacing w:val="-2"/>
          <w:szCs w:val="24"/>
        </w:rPr>
        <w:t xml:space="preserve">zutrifft. </w:t>
      </w:r>
    </w:p>
    <w:p w14:paraId="6C7424DE" w14:textId="77777777" w:rsidR="00CC0487" w:rsidRPr="003E7026" w:rsidRDefault="00CC0487" w:rsidP="00CC0487">
      <w:pPr>
        <w:rPr>
          <w:spacing w:val="-2"/>
          <w:szCs w:val="24"/>
        </w:rPr>
      </w:pPr>
    </w:p>
    <w:p w14:paraId="3EB759C0" w14:textId="77777777" w:rsidR="00CC0487" w:rsidRPr="003E7026" w:rsidRDefault="00CC0487" w:rsidP="00CC0487">
      <w:pPr>
        <w:rPr>
          <w:spacing w:val="-2"/>
          <w:szCs w:val="24"/>
        </w:rPr>
      </w:pPr>
    </w:p>
    <w:p w14:paraId="1AFAF365" w14:textId="77777777" w:rsidR="00CC0487" w:rsidRPr="003E7026" w:rsidRDefault="00CC0487" w:rsidP="00CC0487">
      <w:pPr>
        <w:pStyle w:val="Heading3"/>
        <w:rPr>
          <w:lang w:val="de-DE"/>
        </w:rPr>
      </w:pPr>
      <w:bookmarkStart w:id="421" w:name="_Toc128060719"/>
      <w:r w:rsidRPr="003E7026">
        <w:rPr>
          <w:lang w:val="de-DE"/>
        </w:rPr>
        <w:t>Einnahmen</w:t>
      </w:r>
      <w:bookmarkEnd w:id="421"/>
    </w:p>
    <w:p w14:paraId="28581899" w14:textId="77777777" w:rsidR="00CC0487" w:rsidRPr="003E7026" w:rsidRDefault="00CC0487" w:rsidP="00CC0487">
      <w:pPr>
        <w:rPr>
          <w:spacing w:val="-2"/>
          <w:szCs w:val="24"/>
        </w:rPr>
      </w:pPr>
    </w:p>
    <w:p w14:paraId="56B4742E" w14:textId="77777777" w:rsidR="00CC0487" w:rsidRPr="003E7026" w:rsidRDefault="00CC0487" w:rsidP="00CC0487">
      <w:pPr>
        <w:tabs>
          <w:tab w:val="left" w:pos="567"/>
        </w:tabs>
      </w:pPr>
      <w:r w:rsidRPr="003E7026">
        <w:t>Die Gesamteinnahmen im ordentlichen Haushalt in der Rechnungsperiode 2024-2025 werden auf 7.901.307 Schweizer Franken geschätzt, d.h. 266.807 Schweizer Franken oder 3,5 Prozent höher als die geschätzten Einnahmen für die Rechnungsperiode 2022-2023 (7.634.500 Schweizer Franken) (vergleiche Tabelle 2). Die Einkommensschätzung für 2024-2025 basiert auf 66,95 Beitragseinheiten im Jahr 2024 und 67,15 Beitragseinheiten im Jahr 2025 bei unverändertem Wert der Beitragseinheit, von dem vorgeschlagen wird, dass er in der Rechnungsperiode 2024-2025 bei 53.641 Schweizer Franken bleiben soll.</w:t>
      </w:r>
    </w:p>
    <w:p w14:paraId="63D9F74E" w14:textId="77777777" w:rsidR="00CC0487" w:rsidRPr="003E7026" w:rsidRDefault="00CC0487" w:rsidP="00CC0487">
      <w:pPr>
        <w:tabs>
          <w:tab w:val="left" w:pos="567"/>
        </w:tabs>
      </w:pPr>
    </w:p>
    <w:p w14:paraId="3BF14912" w14:textId="77777777" w:rsidR="00CC0487" w:rsidRPr="003E7026" w:rsidRDefault="00CC0487" w:rsidP="00CC0487">
      <w:pPr>
        <w:tabs>
          <w:tab w:val="left" w:pos="567"/>
        </w:tabs>
      </w:pPr>
      <w:r w:rsidRPr="003E7026">
        <w:t>Die Einnahmen aus Beiträgen werden unter der Annahme eines neuen Verbandsmitglieds pro Jahr geschätzt, das jeweils 0,2 Beitragseinheiten zum Haushalt (und 1.667 Schweizer Franken zum Betriebsmittelfonds) beiträgt. Auf seiner dreiundzwanzigsten außerordentlichen Tagung vom 7. April 2006 in Genf entschied der Rat, dass „die Verbandsmitglieder die Zahl ihrer Beitragseinheiten nicht nach unten revidieren sollten, ohne die Auswirkungen für die UPOV zu bedenken und zu überlegen, wie diese Reduzierung durch andere Verbandsmitglieder ausgeglichen würde. Insbesondere sollten die Verbandsmitglieder die Anzahl ihrer Beitragseinheiten während einer vom Rat gebilligten Haushaltsperiode nur unter außergewöhnlichen und unvermeidlichen Umständen reduzieren“ (vergleiche Anlage III des Dokuments C(Extr.)/23/5). Auf dieser Grundlage wird in der Rechnungsperiode 2024-2025 keine Reduzierung der Anzahl von Beitragseinheiten der Verbandsmitglieder erwartet.</w:t>
      </w:r>
    </w:p>
    <w:p w14:paraId="328D1A4C" w14:textId="77777777" w:rsidR="00CC0487" w:rsidRPr="003E7026" w:rsidRDefault="00CC0487" w:rsidP="00CC0487">
      <w:pPr>
        <w:tabs>
          <w:tab w:val="left" w:pos="567"/>
        </w:tabs>
      </w:pPr>
    </w:p>
    <w:p w14:paraId="6A369885" w14:textId="77777777" w:rsidR="00CC0487" w:rsidRPr="003E7026" w:rsidRDefault="00CC0487" w:rsidP="00CC0487">
      <w:pPr>
        <w:tabs>
          <w:tab w:val="left" w:pos="567"/>
        </w:tabs>
      </w:pPr>
      <w:r w:rsidRPr="00875BFF">
        <w:rPr>
          <w:spacing w:val="-2"/>
        </w:rPr>
        <w:t>Zusätzlich zu den Beiträgen von Verbandsmitgliedern werden Einnahmen aus den Gebühren für IT-Instrumente</w:t>
      </w:r>
      <w:r w:rsidR="00E57BEF">
        <w:rPr>
          <w:spacing w:val="-2"/>
        </w:rPr>
        <w:t xml:space="preserve"> und</w:t>
      </w:r>
      <w:r w:rsidRPr="00875BFF">
        <w:rPr>
          <w:spacing w:val="-2"/>
        </w:rPr>
        <w:t xml:space="preserve"> </w:t>
      </w:r>
      <w:r w:rsidRPr="003E7026">
        <w:t xml:space="preserve">Dienstleistungen der UPOV (508.425 Schweizer Franken) </w:t>
      </w:r>
      <w:r w:rsidR="00E57BEF">
        <w:t xml:space="preserve">und </w:t>
      </w:r>
      <w:r w:rsidR="00E57BEF" w:rsidRPr="003E7026">
        <w:t xml:space="preserve">sonstigen Einnahmen </w:t>
      </w:r>
      <w:r w:rsidRPr="003E7026">
        <w:t>erwartet</w:t>
      </w:r>
      <w:r w:rsidR="00E57BEF">
        <w:t>.</w:t>
      </w:r>
      <w:r w:rsidRPr="003E7026">
        <w:t xml:space="preserve"> </w:t>
      </w:r>
      <w:r w:rsidR="00E57BEF">
        <w:t>D</w:t>
      </w:r>
      <w:r w:rsidRPr="003E7026">
        <w:t xml:space="preserve">ie sonstigen Einnahmen werden auf 199.646 Schweizer Franken geschätzt, einschließlich: i) Kosten für administrative Unterstützung aus Treuhandgeldern (119.646 Schweizer Franken); und ii) Gebühren aus dem Fernlehrgangsprogramm (80.000 Schweizer Franken). Andere Einnahmequellen als Beiträge machen 9 Prozent der geschätzten Gesamteinnahmen für 2024-2025 aus. </w:t>
      </w:r>
    </w:p>
    <w:p w14:paraId="4B860806" w14:textId="77777777" w:rsidR="00CC0487" w:rsidRPr="003E7026" w:rsidRDefault="00CC0487" w:rsidP="00CC0487">
      <w:pPr>
        <w:rPr>
          <w:spacing w:val="-2"/>
          <w:szCs w:val="24"/>
        </w:rPr>
      </w:pPr>
    </w:p>
    <w:p w14:paraId="6FEEA29F" w14:textId="77777777" w:rsidR="00CC0487" w:rsidRPr="003E7026" w:rsidRDefault="00CC0487" w:rsidP="00CC0487">
      <w:pPr>
        <w:keepNext/>
        <w:jc w:val="center"/>
        <w:rPr>
          <w:rFonts w:cs="Arial"/>
          <w:i/>
          <w:iCs/>
        </w:rPr>
      </w:pPr>
      <w:r w:rsidRPr="003E7026">
        <w:rPr>
          <w:rFonts w:cs="Arial"/>
          <w:b/>
          <w:bCs/>
          <w:color w:val="26724C" w:themeColor="accent1" w:themeShade="BF"/>
        </w:rPr>
        <w:lastRenderedPageBreak/>
        <w:t>Tabelle 2: Einnahmen 2022-2023 und 2024-2025</w:t>
      </w:r>
      <w:r w:rsidRPr="003E7026" w:rsidDel="00DB24D8">
        <w:rPr>
          <w:rFonts w:cs="Arial"/>
          <w:b/>
          <w:bCs/>
          <w:color w:val="26724C" w:themeColor="accent1" w:themeShade="BF"/>
        </w:rPr>
        <w:t xml:space="preserve"> </w:t>
      </w:r>
      <w:r w:rsidRPr="003E7026">
        <w:rPr>
          <w:rFonts w:cs="Arial"/>
          <w:b/>
          <w:bCs/>
        </w:rPr>
        <w:br/>
      </w:r>
      <w:r w:rsidRPr="003E7026">
        <w:rPr>
          <w:rFonts w:cs="Arial"/>
          <w:i/>
          <w:iCs/>
          <w:sz w:val="18"/>
          <w:szCs w:val="18"/>
        </w:rPr>
        <w:t>(in tausend Schweizer Franken)</w:t>
      </w:r>
    </w:p>
    <w:p w14:paraId="30E1A2CD" w14:textId="77777777" w:rsidR="00CC0487" w:rsidRPr="003E7026" w:rsidRDefault="00CC0487" w:rsidP="00CC0487">
      <w:pPr>
        <w:keepNext/>
        <w:rPr>
          <w:rFonts w:cs="Arial"/>
          <w:i/>
          <w:iCs/>
        </w:rPr>
      </w:pPr>
    </w:p>
    <w:tbl>
      <w:tblPr>
        <w:tblW w:w="9728" w:type="dxa"/>
        <w:tblLook w:val="04A0" w:firstRow="1" w:lastRow="0" w:firstColumn="1" w:lastColumn="0" w:noHBand="0" w:noVBand="1"/>
      </w:tblPr>
      <w:tblGrid>
        <w:gridCol w:w="4110"/>
        <w:gridCol w:w="1135"/>
        <w:gridCol w:w="1134"/>
        <w:gridCol w:w="992"/>
        <w:gridCol w:w="1114"/>
        <w:gridCol w:w="1243"/>
      </w:tblGrid>
      <w:tr w:rsidR="00CC0487" w:rsidRPr="00E57BEF" w14:paraId="72417B2A" w14:textId="77777777" w:rsidTr="00DB6666">
        <w:trPr>
          <w:trHeight w:val="317"/>
        </w:trPr>
        <w:tc>
          <w:tcPr>
            <w:tcW w:w="4110" w:type="dxa"/>
            <w:tcBorders>
              <w:top w:val="nil"/>
              <w:left w:val="nil"/>
              <w:bottom w:val="nil"/>
              <w:right w:val="nil"/>
            </w:tcBorders>
            <w:shd w:val="clear" w:color="000000" w:fill="C7CFD8"/>
            <w:hideMark/>
          </w:tcPr>
          <w:p w14:paraId="5B2F61D2" w14:textId="77777777" w:rsidR="00CC0487" w:rsidRPr="00E57BEF" w:rsidRDefault="00CC0487" w:rsidP="00DB6666">
            <w:pPr>
              <w:ind w:firstLineChars="100" w:firstLine="181"/>
              <w:jc w:val="left"/>
              <w:rPr>
                <w:rFonts w:ascii="Arial Narrow" w:hAnsi="Arial Narrow" w:cs="Arial"/>
                <w:b/>
                <w:bCs/>
                <w:i/>
                <w:iCs/>
                <w:sz w:val="18"/>
                <w:szCs w:val="18"/>
              </w:rPr>
            </w:pPr>
          </w:p>
        </w:tc>
        <w:tc>
          <w:tcPr>
            <w:tcW w:w="1135" w:type="dxa"/>
            <w:tcBorders>
              <w:top w:val="nil"/>
              <w:left w:val="nil"/>
              <w:bottom w:val="nil"/>
              <w:right w:val="nil"/>
            </w:tcBorders>
            <w:shd w:val="clear" w:color="000000" w:fill="C7CFD8"/>
            <w:vAlign w:val="center"/>
            <w:hideMark/>
          </w:tcPr>
          <w:p w14:paraId="43C89CD7"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2020-2021</w:t>
            </w:r>
          </w:p>
        </w:tc>
        <w:tc>
          <w:tcPr>
            <w:tcW w:w="1134" w:type="dxa"/>
            <w:tcBorders>
              <w:top w:val="nil"/>
              <w:left w:val="nil"/>
              <w:bottom w:val="nil"/>
              <w:right w:val="nil"/>
            </w:tcBorders>
            <w:shd w:val="clear" w:color="000000" w:fill="C7CFD8"/>
            <w:vAlign w:val="center"/>
            <w:hideMark/>
          </w:tcPr>
          <w:p w14:paraId="0235BEFF"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 xml:space="preserve">2022-2023 </w:t>
            </w:r>
          </w:p>
        </w:tc>
        <w:tc>
          <w:tcPr>
            <w:tcW w:w="2106" w:type="dxa"/>
            <w:gridSpan w:val="2"/>
            <w:vMerge w:val="restart"/>
            <w:tcBorders>
              <w:top w:val="nil"/>
              <w:left w:val="nil"/>
              <w:bottom w:val="single" w:sz="4" w:space="0" w:color="748B9E"/>
              <w:right w:val="nil"/>
            </w:tcBorders>
            <w:shd w:val="clear" w:color="000000" w:fill="C7CFD8"/>
            <w:vAlign w:val="center"/>
            <w:hideMark/>
          </w:tcPr>
          <w:p w14:paraId="62ECFCC6"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Veränderung</w:t>
            </w:r>
          </w:p>
        </w:tc>
        <w:tc>
          <w:tcPr>
            <w:tcW w:w="1243" w:type="dxa"/>
            <w:tcBorders>
              <w:top w:val="nil"/>
              <w:left w:val="nil"/>
              <w:bottom w:val="nil"/>
              <w:right w:val="nil"/>
            </w:tcBorders>
            <w:shd w:val="clear" w:color="000000" w:fill="C7CFD8"/>
            <w:vAlign w:val="center"/>
            <w:hideMark/>
          </w:tcPr>
          <w:p w14:paraId="38AA245B"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2024-2025</w:t>
            </w:r>
          </w:p>
        </w:tc>
      </w:tr>
      <w:tr w:rsidR="00CC0487" w:rsidRPr="00E57BEF" w14:paraId="3BF161EA" w14:textId="77777777" w:rsidTr="00DB6666">
        <w:trPr>
          <w:trHeight w:val="272"/>
        </w:trPr>
        <w:tc>
          <w:tcPr>
            <w:tcW w:w="4110" w:type="dxa"/>
            <w:tcBorders>
              <w:top w:val="nil"/>
              <w:left w:val="nil"/>
              <w:bottom w:val="nil"/>
              <w:right w:val="nil"/>
            </w:tcBorders>
            <w:shd w:val="clear" w:color="000000" w:fill="C7CFD8"/>
            <w:hideMark/>
          </w:tcPr>
          <w:p w14:paraId="551EFEBB" w14:textId="77777777" w:rsidR="00CC0487" w:rsidRPr="00E57BEF" w:rsidRDefault="00CC0487" w:rsidP="00DB6666">
            <w:pPr>
              <w:ind w:firstLineChars="100" w:firstLine="181"/>
              <w:jc w:val="left"/>
              <w:rPr>
                <w:rFonts w:ascii="Arial Narrow" w:hAnsi="Arial Narrow" w:cs="Arial"/>
                <w:b/>
                <w:bCs/>
                <w:sz w:val="18"/>
                <w:szCs w:val="18"/>
              </w:rPr>
            </w:pPr>
            <w:r w:rsidRPr="00E57BEF">
              <w:rPr>
                <w:rFonts w:ascii="Arial Narrow" w:hAnsi="Arial Narrow" w:cs="Arial"/>
                <w:b/>
                <w:bCs/>
                <w:sz w:val="18"/>
                <w:szCs w:val="18"/>
              </w:rPr>
              <w:t>Quelle</w:t>
            </w:r>
          </w:p>
        </w:tc>
        <w:tc>
          <w:tcPr>
            <w:tcW w:w="1135" w:type="dxa"/>
            <w:tcBorders>
              <w:top w:val="nil"/>
              <w:left w:val="nil"/>
              <w:bottom w:val="nil"/>
              <w:right w:val="nil"/>
            </w:tcBorders>
            <w:shd w:val="clear" w:color="000000" w:fill="C7CFD8"/>
            <w:vAlign w:val="center"/>
            <w:hideMark/>
          </w:tcPr>
          <w:p w14:paraId="211F2B2B"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Ist</w:t>
            </w:r>
            <w:r w:rsidRPr="00E57BEF">
              <w:rPr>
                <w:rFonts w:ascii="Arial Narrow" w:hAnsi="Arial Narrow" w:cs="Arial"/>
                <w:b/>
                <w:bCs/>
                <w:i/>
                <w:iCs/>
                <w:color w:val="000000"/>
                <w:sz w:val="18"/>
                <w:szCs w:val="18"/>
                <w:vertAlign w:val="superscript"/>
              </w:rPr>
              <w:t>1</w:t>
            </w:r>
          </w:p>
        </w:tc>
        <w:tc>
          <w:tcPr>
            <w:tcW w:w="1134" w:type="dxa"/>
            <w:tcBorders>
              <w:top w:val="nil"/>
              <w:left w:val="nil"/>
              <w:bottom w:val="nil"/>
              <w:right w:val="nil"/>
            </w:tcBorders>
            <w:shd w:val="clear" w:color="000000" w:fill="C7CFD8"/>
            <w:vAlign w:val="center"/>
            <w:hideMark/>
          </w:tcPr>
          <w:p w14:paraId="43C7E54A"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Gebilligt</w:t>
            </w:r>
          </w:p>
        </w:tc>
        <w:tc>
          <w:tcPr>
            <w:tcW w:w="2106" w:type="dxa"/>
            <w:gridSpan w:val="2"/>
            <w:vMerge/>
            <w:tcBorders>
              <w:top w:val="nil"/>
              <w:left w:val="nil"/>
              <w:bottom w:val="nil"/>
              <w:right w:val="nil"/>
            </w:tcBorders>
            <w:vAlign w:val="center"/>
            <w:hideMark/>
          </w:tcPr>
          <w:p w14:paraId="66B42B76" w14:textId="77777777" w:rsidR="00CC0487" w:rsidRPr="00E57BEF" w:rsidRDefault="00CC0487" w:rsidP="00DB6666">
            <w:pPr>
              <w:jc w:val="left"/>
              <w:rPr>
                <w:rFonts w:ascii="Arial Narrow" w:hAnsi="Arial Narrow" w:cs="Arial"/>
                <w:b/>
                <w:bCs/>
                <w:sz w:val="18"/>
                <w:szCs w:val="18"/>
              </w:rPr>
            </w:pPr>
          </w:p>
        </w:tc>
        <w:tc>
          <w:tcPr>
            <w:tcW w:w="1243" w:type="dxa"/>
            <w:tcBorders>
              <w:top w:val="nil"/>
              <w:left w:val="nil"/>
              <w:bottom w:val="nil"/>
              <w:right w:val="nil"/>
            </w:tcBorders>
            <w:shd w:val="clear" w:color="000000" w:fill="C7CFD8"/>
            <w:vAlign w:val="center"/>
            <w:hideMark/>
          </w:tcPr>
          <w:p w14:paraId="28F43711"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 xml:space="preserve">Veranschlagt </w:t>
            </w:r>
          </w:p>
        </w:tc>
      </w:tr>
      <w:tr w:rsidR="00CC0487" w:rsidRPr="00E57BEF" w14:paraId="6C69856C" w14:textId="77777777" w:rsidTr="00DB6666">
        <w:trPr>
          <w:trHeight w:val="287"/>
        </w:trPr>
        <w:tc>
          <w:tcPr>
            <w:tcW w:w="4110" w:type="dxa"/>
            <w:tcBorders>
              <w:top w:val="nil"/>
              <w:left w:val="nil"/>
              <w:bottom w:val="nil"/>
              <w:right w:val="nil"/>
            </w:tcBorders>
            <w:shd w:val="clear" w:color="000000" w:fill="C7CFD8"/>
            <w:vAlign w:val="bottom"/>
            <w:hideMark/>
          </w:tcPr>
          <w:p w14:paraId="36462693" w14:textId="77777777" w:rsidR="00CC0487" w:rsidRPr="00E57BEF" w:rsidRDefault="00CC0487" w:rsidP="00DB6666">
            <w:pPr>
              <w:ind w:firstLineChars="100" w:firstLine="181"/>
              <w:jc w:val="left"/>
              <w:rPr>
                <w:rFonts w:ascii="Arial Narrow" w:hAnsi="Arial Narrow" w:cs="Arial"/>
                <w:b/>
                <w:bCs/>
                <w:i/>
                <w:iCs/>
                <w:sz w:val="18"/>
                <w:szCs w:val="18"/>
              </w:rPr>
            </w:pPr>
          </w:p>
        </w:tc>
        <w:tc>
          <w:tcPr>
            <w:tcW w:w="1135" w:type="dxa"/>
            <w:tcBorders>
              <w:top w:val="nil"/>
              <w:left w:val="nil"/>
              <w:bottom w:val="nil"/>
              <w:right w:val="nil"/>
            </w:tcBorders>
            <w:shd w:val="clear" w:color="000000" w:fill="C7CFD8"/>
            <w:vAlign w:val="center"/>
            <w:hideMark/>
          </w:tcPr>
          <w:p w14:paraId="3C42A3B4"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A</w:t>
            </w:r>
          </w:p>
        </w:tc>
        <w:tc>
          <w:tcPr>
            <w:tcW w:w="1134" w:type="dxa"/>
            <w:tcBorders>
              <w:top w:val="nil"/>
              <w:left w:val="nil"/>
              <w:bottom w:val="nil"/>
              <w:right w:val="nil"/>
            </w:tcBorders>
            <w:shd w:val="clear" w:color="000000" w:fill="C7CFD8"/>
            <w:noWrap/>
            <w:vAlign w:val="center"/>
            <w:hideMark/>
          </w:tcPr>
          <w:p w14:paraId="638F031C"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B</w:t>
            </w:r>
          </w:p>
        </w:tc>
        <w:tc>
          <w:tcPr>
            <w:tcW w:w="992" w:type="dxa"/>
            <w:tcBorders>
              <w:top w:val="nil"/>
              <w:left w:val="nil"/>
              <w:bottom w:val="nil"/>
              <w:right w:val="nil"/>
            </w:tcBorders>
            <w:shd w:val="clear" w:color="000000" w:fill="C7CFD8"/>
            <w:vAlign w:val="center"/>
            <w:hideMark/>
          </w:tcPr>
          <w:p w14:paraId="00773765"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C</w:t>
            </w:r>
          </w:p>
        </w:tc>
        <w:tc>
          <w:tcPr>
            <w:tcW w:w="1114" w:type="dxa"/>
            <w:tcBorders>
              <w:top w:val="nil"/>
              <w:left w:val="nil"/>
              <w:bottom w:val="nil"/>
              <w:right w:val="nil"/>
            </w:tcBorders>
            <w:shd w:val="clear" w:color="000000" w:fill="C7CFD8"/>
            <w:vAlign w:val="center"/>
            <w:hideMark/>
          </w:tcPr>
          <w:p w14:paraId="7894D895"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C/B(%)</w:t>
            </w:r>
          </w:p>
        </w:tc>
        <w:tc>
          <w:tcPr>
            <w:tcW w:w="1243" w:type="dxa"/>
            <w:tcBorders>
              <w:top w:val="nil"/>
              <w:left w:val="nil"/>
              <w:bottom w:val="nil"/>
              <w:right w:val="nil"/>
            </w:tcBorders>
            <w:shd w:val="clear" w:color="000000" w:fill="C7CFD8"/>
            <w:noWrap/>
            <w:vAlign w:val="center"/>
            <w:hideMark/>
          </w:tcPr>
          <w:p w14:paraId="0145C37F"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 xml:space="preserve">D=B+C </w:t>
            </w:r>
          </w:p>
        </w:tc>
      </w:tr>
      <w:tr w:rsidR="00CC0487" w:rsidRPr="00E57BEF" w14:paraId="3915047C" w14:textId="77777777" w:rsidTr="00DB6666">
        <w:trPr>
          <w:trHeight w:val="362"/>
        </w:trPr>
        <w:tc>
          <w:tcPr>
            <w:tcW w:w="4110" w:type="dxa"/>
            <w:tcBorders>
              <w:top w:val="nil"/>
              <w:left w:val="nil"/>
              <w:bottom w:val="nil"/>
              <w:right w:val="nil"/>
            </w:tcBorders>
            <w:shd w:val="clear" w:color="auto" w:fill="auto"/>
            <w:vAlign w:val="bottom"/>
            <w:hideMark/>
          </w:tcPr>
          <w:p w14:paraId="27307979" w14:textId="77777777" w:rsidR="00CC0487" w:rsidRPr="00E57BEF" w:rsidRDefault="00CC0487" w:rsidP="00DB6666">
            <w:pPr>
              <w:jc w:val="left"/>
              <w:rPr>
                <w:rFonts w:ascii="Arial Narrow" w:hAnsi="Arial Narrow" w:cs="Arial"/>
                <w:b/>
                <w:bCs/>
                <w:color w:val="000000"/>
                <w:sz w:val="18"/>
                <w:szCs w:val="18"/>
              </w:rPr>
            </w:pPr>
            <w:r w:rsidRPr="00E57BEF">
              <w:rPr>
                <w:rFonts w:ascii="Arial Narrow" w:hAnsi="Arial Narrow" w:cs="Arial"/>
                <w:b/>
                <w:bCs/>
                <w:color w:val="000000"/>
                <w:sz w:val="18"/>
                <w:szCs w:val="18"/>
              </w:rPr>
              <w:t>Beiträge</w:t>
            </w:r>
          </w:p>
        </w:tc>
        <w:tc>
          <w:tcPr>
            <w:tcW w:w="1135" w:type="dxa"/>
            <w:tcBorders>
              <w:top w:val="nil"/>
              <w:left w:val="nil"/>
              <w:bottom w:val="nil"/>
              <w:right w:val="nil"/>
            </w:tcBorders>
            <w:shd w:val="clear" w:color="auto" w:fill="auto"/>
            <w:vAlign w:val="bottom"/>
            <w:hideMark/>
          </w:tcPr>
          <w:p w14:paraId="09B0D1EE" w14:textId="77777777" w:rsidR="00CC0487" w:rsidRPr="00E57BEF" w:rsidRDefault="00CC0487" w:rsidP="00DB6666">
            <w:pPr>
              <w:jc w:val="right"/>
              <w:rPr>
                <w:rFonts w:ascii="Arial Narrow" w:hAnsi="Arial Narrow" w:cs="Arial"/>
                <w:b/>
                <w:bCs/>
                <w:color w:val="000000"/>
                <w:sz w:val="18"/>
                <w:szCs w:val="18"/>
              </w:rPr>
            </w:pPr>
            <w:r w:rsidRPr="00E57BEF">
              <w:rPr>
                <w:rFonts w:ascii="Arial Narrow" w:hAnsi="Arial Narrow" w:cs="Arial"/>
                <w:b/>
                <w:bCs/>
                <w:color w:val="000000"/>
                <w:sz w:val="18"/>
                <w:szCs w:val="18"/>
              </w:rPr>
              <w:t>7.097</w:t>
            </w:r>
          </w:p>
        </w:tc>
        <w:tc>
          <w:tcPr>
            <w:tcW w:w="1134" w:type="dxa"/>
            <w:tcBorders>
              <w:top w:val="nil"/>
              <w:left w:val="nil"/>
              <w:bottom w:val="nil"/>
              <w:right w:val="nil"/>
            </w:tcBorders>
            <w:shd w:val="clear" w:color="auto" w:fill="auto"/>
            <w:vAlign w:val="bottom"/>
            <w:hideMark/>
          </w:tcPr>
          <w:p w14:paraId="5F724910" w14:textId="77777777" w:rsidR="00CC0487" w:rsidRPr="00E57BEF" w:rsidRDefault="00CC0487" w:rsidP="00DB6666">
            <w:pPr>
              <w:jc w:val="right"/>
              <w:rPr>
                <w:rFonts w:ascii="Arial Narrow" w:hAnsi="Arial Narrow" w:cs="Arial"/>
                <w:b/>
                <w:bCs/>
                <w:color w:val="000000"/>
                <w:sz w:val="18"/>
                <w:szCs w:val="18"/>
              </w:rPr>
            </w:pPr>
            <w:r w:rsidRPr="00E57BEF">
              <w:rPr>
                <w:rFonts w:ascii="Arial Narrow" w:hAnsi="Arial Narrow" w:cs="Arial"/>
                <w:b/>
                <w:bCs/>
                <w:color w:val="000000"/>
                <w:sz w:val="18"/>
                <w:szCs w:val="18"/>
              </w:rPr>
              <w:t>7.129</w:t>
            </w:r>
          </w:p>
        </w:tc>
        <w:tc>
          <w:tcPr>
            <w:tcW w:w="992" w:type="dxa"/>
            <w:tcBorders>
              <w:top w:val="nil"/>
              <w:left w:val="nil"/>
              <w:bottom w:val="nil"/>
              <w:right w:val="nil"/>
            </w:tcBorders>
            <w:shd w:val="clear" w:color="auto" w:fill="auto"/>
            <w:vAlign w:val="bottom"/>
            <w:hideMark/>
          </w:tcPr>
          <w:p w14:paraId="3E69CE18" w14:textId="77777777" w:rsidR="00CC0487" w:rsidRPr="00E57BEF" w:rsidRDefault="00CC0487" w:rsidP="00DB6666">
            <w:pPr>
              <w:jc w:val="right"/>
              <w:rPr>
                <w:rFonts w:ascii="Arial Narrow" w:hAnsi="Arial Narrow" w:cs="Arial"/>
                <w:b/>
                <w:bCs/>
                <w:color w:val="000000"/>
                <w:sz w:val="18"/>
                <w:szCs w:val="18"/>
              </w:rPr>
            </w:pPr>
            <w:r w:rsidRPr="00E57BEF">
              <w:rPr>
                <w:rFonts w:ascii="Arial Narrow" w:hAnsi="Arial Narrow" w:cs="Arial"/>
                <w:b/>
                <w:bCs/>
                <w:color w:val="000000"/>
                <w:sz w:val="18"/>
                <w:szCs w:val="18"/>
              </w:rPr>
              <w:t>64</w:t>
            </w:r>
          </w:p>
        </w:tc>
        <w:tc>
          <w:tcPr>
            <w:tcW w:w="1114" w:type="dxa"/>
            <w:tcBorders>
              <w:top w:val="nil"/>
              <w:left w:val="nil"/>
              <w:bottom w:val="nil"/>
              <w:right w:val="nil"/>
            </w:tcBorders>
            <w:shd w:val="clear" w:color="auto" w:fill="auto"/>
            <w:vAlign w:val="bottom"/>
            <w:hideMark/>
          </w:tcPr>
          <w:p w14:paraId="7C143C0B" w14:textId="77777777" w:rsidR="00CC0487" w:rsidRPr="00E57BEF" w:rsidRDefault="00CC0487" w:rsidP="00DB6666">
            <w:pPr>
              <w:jc w:val="right"/>
              <w:rPr>
                <w:rFonts w:ascii="Arial Narrow" w:hAnsi="Arial Narrow" w:cs="Arial"/>
                <w:b/>
                <w:bCs/>
                <w:color w:val="000000"/>
                <w:sz w:val="18"/>
                <w:szCs w:val="18"/>
              </w:rPr>
            </w:pPr>
            <w:r w:rsidRPr="00E57BEF">
              <w:rPr>
                <w:rFonts w:ascii="Arial Narrow" w:hAnsi="Arial Narrow" w:cs="Arial"/>
                <w:b/>
                <w:bCs/>
                <w:color w:val="000000"/>
                <w:sz w:val="18"/>
                <w:szCs w:val="18"/>
              </w:rPr>
              <w:t>0,9%</w:t>
            </w:r>
          </w:p>
        </w:tc>
        <w:tc>
          <w:tcPr>
            <w:tcW w:w="1243" w:type="dxa"/>
            <w:tcBorders>
              <w:top w:val="nil"/>
              <w:left w:val="nil"/>
              <w:bottom w:val="nil"/>
              <w:right w:val="nil"/>
            </w:tcBorders>
            <w:shd w:val="clear" w:color="auto" w:fill="auto"/>
            <w:vAlign w:val="bottom"/>
            <w:hideMark/>
          </w:tcPr>
          <w:p w14:paraId="2F505D38" w14:textId="77777777" w:rsidR="00CC0487" w:rsidRPr="00E57BEF" w:rsidRDefault="00CC0487" w:rsidP="00DB6666">
            <w:pPr>
              <w:jc w:val="right"/>
              <w:rPr>
                <w:rFonts w:ascii="Arial Narrow" w:hAnsi="Arial Narrow" w:cs="Arial"/>
                <w:b/>
                <w:bCs/>
                <w:color w:val="000000"/>
                <w:sz w:val="18"/>
                <w:szCs w:val="18"/>
              </w:rPr>
            </w:pPr>
            <w:r w:rsidRPr="00E57BEF">
              <w:rPr>
                <w:rFonts w:ascii="Arial Narrow" w:hAnsi="Arial Narrow" w:cs="Arial"/>
                <w:b/>
                <w:bCs/>
                <w:color w:val="000000"/>
                <w:sz w:val="18"/>
                <w:szCs w:val="18"/>
              </w:rPr>
              <w:t>7.193</w:t>
            </w:r>
          </w:p>
        </w:tc>
      </w:tr>
      <w:tr w:rsidR="00CC0487" w:rsidRPr="00E57BEF" w14:paraId="201A1B9B" w14:textId="77777777" w:rsidTr="00E57BEF">
        <w:trPr>
          <w:trHeight w:val="545"/>
        </w:trPr>
        <w:tc>
          <w:tcPr>
            <w:tcW w:w="4110" w:type="dxa"/>
            <w:tcBorders>
              <w:top w:val="nil"/>
              <w:left w:val="nil"/>
              <w:bottom w:val="nil"/>
              <w:right w:val="nil"/>
            </w:tcBorders>
            <w:shd w:val="clear" w:color="auto" w:fill="auto"/>
            <w:vAlign w:val="bottom"/>
            <w:hideMark/>
          </w:tcPr>
          <w:p w14:paraId="7659EC66" w14:textId="77777777" w:rsidR="00CC0487" w:rsidRPr="00E57BEF" w:rsidRDefault="00CC0487" w:rsidP="00DB6666">
            <w:pPr>
              <w:jc w:val="left"/>
              <w:rPr>
                <w:rFonts w:ascii="Arial Narrow" w:hAnsi="Arial Narrow" w:cs="Arial"/>
                <w:b/>
                <w:bCs/>
                <w:color w:val="000000"/>
                <w:sz w:val="18"/>
                <w:szCs w:val="18"/>
              </w:rPr>
            </w:pPr>
            <w:r w:rsidRPr="00E57BEF">
              <w:rPr>
                <w:rFonts w:ascii="Arial Narrow" w:hAnsi="Arial Narrow" w:cs="Arial"/>
                <w:b/>
                <w:bCs/>
                <w:color w:val="000000"/>
                <w:sz w:val="18"/>
                <w:szCs w:val="18"/>
              </w:rPr>
              <w:t>Gebühren für IT-Instrumente und Dienstleistungen der UPOV</w:t>
            </w:r>
          </w:p>
        </w:tc>
        <w:tc>
          <w:tcPr>
            <w:tcW w:w="1135" w:type="dxa"/>
            <w:tcBorders>
              <w:top w:val="nil"/>
              <w:left w:val="nil"/>
              <w:bottom w:val="nil"/>
              <w:right w:val="nil"/>
            </w:tcBorders>
            <w:shd w:val="clear" w:color="auto" w:fill="auto"/>
            <w:vAlign w:val="bottom"/>
            <w:hideMark/>
          </w:tcPr>
          <w:p w14:paraId="72CEFFB6" w14:textId="77777777" w:rsidR="00CC0487" w:rsidRPr="00E57BEF" w:rsidRDefault="00CC0487" w:rsidP="00DB6666">
            <w:pPr>
              <w:jc w:val="right"/>
              <w:rPr>
                <w:rFonts w:ascii="Arial Narrow" w:hAnsi="Arial Narrow" w:cs="Arial"/>
                <w:b/>
                <w:bCs/>
                <w:color w:val="000000"/>
                <w:sz w:val="18"/>
                <w:szCs w:val="18"/>
              </w:rPr>
            </w:pPr>
            <w:r w:rsidRPr="00E57BEF">
              <w:rPr>
                <w:rFonts w:ascii="Arial Narrow" w:hAnsi="Arial Narrow" w:cs="Arial"/>
                <w:b/>
                <w:bCs/>
                <w:color w:val="000000"/>
                <w:sz w:val="18"/>
                <w:szCs w:val="18"/>
              </w:rPr>
              <w:t>209</w:t>
            </w:r>
          </w:p>
        </w:tc>
        <w:tc>
          <w:tcPr>
            <w:tcW w:w="1134" w:type="dxa"/>
            <w:tcBorders>
              <w:top w:val="nil"/>
              <w:left w:val="nil"/>
              <w:bottom w:val="nil"/>
              <w:right w:val="nil"/>
            </w:tcBorders>
            <w:shd w:val="clear" w:color="auto" w:fill="auto"/>
            <w:vAlign w:val="bottom"/>
            <w:hideMark/>
          </w:tcPr>
          <w:p w14:paraId="0A34D04C" w14:textId="77777777" w:rsidR="00CC0487" w:rsidRPr="00E57BEF" w:rsidRDefault="00CC0487" w:rsidP="00DB6666">
            <w:pPr>
              <w:jc w:val="right"/>
              <w:rPr>
                <w:rFonts w:ascii="Arial Narrow" w:hAnsi="Arial Narrow" w:cs="Arial"/>
                <w:b/>
                <w:bCs/>
                <w:color w:val="000000"/>
                <w:sz w:val="18"/>
                <w:szCs w:val="18"/>
              </w:rPr>
            </w:pPr>
            <w:r w:rsidRPr="00E57BEF">
              <w:rPr>
                <w:rFonts w:ascii="Arial Narrow" w:hAnsi="Arial Narrow" w:cs="Arial"/>
                <w:b/>
                <w:bCs/>
                <w:color w:val="000000"/>
                <w:sz w:val="18"/>
                <w:szCs w:val="18"/>
              </w:rPr>
              <w:t>331</w:t>
            </w:r>
          </w:p>
        </w:tc>
        <w:tc>
          <w:tcPr>
            <w:tcW w:w="992" w:type="dxa"/>
            <w:tcBorders>
              <w:top w:val="nil"/>
              <w:left w:val="nil"/>
              <w:bottom w:val="nil"/>
              <w:right w:val="nil"/>
            </w:tcBorders>
            <w:shd w:val="clear" w:color="auto" w:fill="auto"/>
            <w:vAlign w:val="bottom"/>
            <w:hideMark/>
          </w:tcPr>
          <w:p w14:paraId="2727ABBC" w14:textId="77777777" w:rsidR="00CC0487" w:rsidRPr="00E57BEF" w:rsidRDefault="00CC0487" w:rsidP="00DB6666">
            <w:pPr>
              <w:jc w:val="right"/>
              <w:rPr>
                <w:rFonts w:ascii="Arial Narrow" w:hAnsi="Arial Narrow" w:cs="Arial"/>
                <w:b/>
                <w:bCs/>
                <w:color w:val="000000"/>
                <w:sz w:val="18"/>
                <w:szCs w:val="18"/>
              </w:rPr>
            </w:pPr>
            <w:r w:rsidRPr="00E57BEF">
              <w:rPr>
                <w:rFonts w:ascii="Arial Narrow" w:hAnsi="Arial Narrow" w:cs="Arial"/>
                <w:b/>
                <w:bCs/>
                <w:color w:val="000000"/>
                <w:sz w:val="18"/>
                <w:szCs w:val="18"/>
              </w:rPr>
              <w:t>177</w:t>
            </w:r>
          </w:p>
        </w:tc>
        <w:tc>
          <w:tcPr>
            <w:tcW w:w="1114" w:type="dxa"/>
            <w:tcBorders>
              <w:top w:val="nil"/>
              <w:left w:val="nil"/>
              <w:bottom w:val="nil"/>
              <w:right w:val="nil"/>
            </w:tcBorders>
            <w:shd w:val="clear" w:color="auto" w:fill="auto"/>
            <w:vAlign w:val="bottom"/>
            <w:hideMark/>
          </w:tcPr>
          <w:p w14:paraId="37F400A6" w14:textId="77777777" w:rsidR="00CC0487" w:rsidRPr="00E57BEF" w:rsidRDefault="00CC0487" w:rsidP="00DB6666">
            <w:pPr>
              <w:jc w:val="right"/>
              <w:rPr>
                <w:rFonts w:ascii="Arial Narrow" w:hAnsi="Arial Narrow" w:cs="Arial"/>
                <w:b/>
                <w:bCs/>
                <w:color w:val="000000"/>
                <w:sz w:val="18"/>
                <w:szCs w:val="18"/>
              </w:rPr>
            </w:pPr>
            <w:r w:rsidRPr="00E57BEF">
              <w:rPr>
                <w:rFonts w:ascii="Arial Narrow" w:hAnsi="Arial Narrow" w:cs="Arial"/>
                <w:b/>
                <w:bCs/>
                <w:color w:val="000000"/>
                <w:sz w:val="18"/>
                <w:szCs w:val="18"/>
              </w:rPr>
              <w:t>53,5%</w:t>
            </w:r>
          </w:p>
        </w:tc>
        <w:tc>
          <w:tcPr>
            <w:tcW w:w="1243" w:type="dxa"/>
            <w:tcBorders>
              <w:top w:val="nil"/>
              <w:left w:val="nil"/>
              <w:bottom w:val="nil"/>
              <w:right w:val="nil"/>
            </w:tcBorders>
            <w:shd w:val="clear" w:color="auto" w:fill="auto"/>
            <w:vAlign w:val="bottom"/>
            <w:hideMark/>
          </w:tcPr>
          <w:p w14:paraId="26C9A05F" w14:textId="77777777" w:rsidR="00CC0487" w:rsidRPr="00E57BEF" w:rsidRDefault="00CC0487" w:rsidP="00DB6666">
            <w:pPr>
              <w:jc w:val="right"/>
              <w:rPr>
                <w:rFonts w:ascii="Arial Narrow" w:hAnsi="Arial Narrow" w:cs="Arial"/>
                <w:b/>
                <w:bCs/>
                <w:color w:val="000000"/>
                <w:sz w:val="18"/>
                <w:szCs w:val="18"/>
              </w:rPr>
            </w:pPr>
            <w:r w:rsidRPr="00E57BEF">
              <w:rPr>
                <w:rFonts w:ascii="Arial Narrow" w:hAnsi="Arial Narrow" w:cs="Arial"/>
                <w:b/>
                <w:bCs/>
                <w:color w:val="000000"/>
                <w:sz w:val="18"/>
                <w:szCs w:val="18"/>
              </w:rPr>
              <w:t>508</w:t>
            </w:r>
          </w:p>
        </w:tc>
      </w:tr>
      <w:tr w:rsidR="00CC0487" w:rsidRPr="00E57BEF" w14:paraId="004C9373" w14:textId="77777777" w:rsidTr="00DB6666">
        <w:trPr>
          <w:trHeight w:val="347"/>
        </w:trPr>
        <w:tc>
          <w:tcPr>
            <w:tcW w:w="4110" w:type="dxa"/>
            <w:tcBorders>
              <w:top w:val="nil"/>
              <w:left w:val="nil"/>
              <w:bottom w:val="nil"/>
              <w:right w:val="nil"/>
            </w:tcBorders>
            <w:shd w:val="clear" w:color="auto" w:fill="auto"/>
            <w:vAlign w:val="bottom"/>
            <w:hideMark/>
          </w:tcPr>
          <w:p w14:paraId="24A1BA8A" w14:textId="77777777" w:rsidR="00CC0487" w:rsidRPr="00E57BEF" w:rsidRDefault="00CC0487" w:rsidP="00DB6666">
            <w:pPr>
              <w:jc w:val="left"/>
              <w:rPr>
                <w:rFonts w:ascii="Arial Narrow" w:hAnsi="Arial Narrow" w:cs="Arial"/>
                <w:b/>
                <w:bCs/>
                <w:color w:val="000000"/>
                <w:sz w:val="18"/>
                <w:szCs w:val="18"/>
              </w:rPr>
            </w:pPr>
            <w:r w:rsidRPr="00E57BEF">
              <w:rPr>
                <w:rFonts w:ascii="Arial Narrow" w:hAnsi="Arial Narrow" w:cs="Arial"/>
                <w:b/>
                <w:bCs/>
                <w:color w:val="000000"/>
                <w:sz w:val="18"/>
                <w:szCs w:val="18"/>
              </w:rPr>
              <w:t>Sonstige Einnahmen</w:t>
            </w:r>
          </w:p>
        </w:tc>
        <w:tc>
          <w:tcPr>
            <w:tcW w:w="1135" w:type="dxa"/>
            <w:tcBorders>
              <w:top w:val="nil"/>
              <w:left w:val="nil"/>
              <w:bottom w:val="nil"/>
              <w:right w:val="nil"/>
            </w:tcBorders>
            <w:shd w:val="clear" w:color="auto" w:fill="auto"/>
            <w:vAlign w:val="bottom"/>
            <w:hideMark/>
          </w:tcPr>
          <w:p w14:paraId="6B7E0092" w14:textId="77777777" w:rsidR="00CC0487" w:rsidRPr="00E57BEF" w:rsidRDefault="00CC0487" w:rsidP="00DB6666">
            <w:pPr>
              <w:jc w:val="right"/>
              <w:rPr>
                <w:rFonts w:ascii="Arial Narrow" w:hAnsi="Arial Narrow" w:cs="Arial"/>
                <w:b/>
                <w:bCs/>
                <w:color w:val="000000"/>
                <w:sz w:val="18"/>
                <w:szCs w:val="18"/>
              </w:rPr>
            </w:pPr>
            <w:r w:rsidRPr="00E57BEF">
              <w:rPr>
                <w:rFonts w:ascii="Arial Narrow" w:hAnsi="Arial Narrow" w:cs="Arial"/>
                <w:b/>
                <w:bCs/>
                <w:color w:val="000000"/>
                <w:sz w:val="18"/>
                <w:szCs w:val="18"/>
              </w:rPr>
              <w:t>99</w:t>
            </w:r>
          </w:p>
        </w:tc>
        <w:tc>
          <w:tcPr>
            <w:tcW w:w="1134" w:type="dxa"/>
            <w:tcBorders>
              <w:top w:val="nil"/>
              <w:left w:val="nil"/>
              <w:bottom w:val="nil"/>
              <w:right w:val="nil"/>
            </w:tcBorders>
            <w:shd w:val="clear" w:color="auto" w:fill="auto"/>
            <w:vAlign w:val="bottom"/>
            <w:hideMark/>
          </w:tcPr>
          <w:p w14:paraId="5BE8C2F8" w14:textId="77777777" w:rsidR="00CC0487" w:rsidRPr="00E57BEF" w:rsidRDefault="00CC0487" w:rsidP="00DB6666">
            <w:pPr>
              <w:jc w:val="right"/>
              <w:rPr>
                <w:rFonts w:ascii="Arial Narrow" w:hAnsi="Arial Narrow" w:cs="Arial"/>
                <w:b/>
                <w:bCs/>
                <w:color w:val="000000"/>
                <w:sz w:val="18"/>
                <w:szCs w:val="18"/>
              </w:rPr>
            </w:pPr>
            <w:r w:rsidRPr="00E57BEF">
              <w:rPr>
                <w:rFonts w:ascii="Arial Narrow" w:hAnsi="Arial Narrow" w:cs="Arial"/>
                <w:b/>
                <w:bCs/>
                <w:color w:val="000000"/>
                <w:sz w:val="18"/>
                <w:szCs w:val="18"/>
              </w:rPr>
              <w:t>174</w:t>
            </w:r>
          </w:p>
        </w:tc>
        <w:tc>
          <w:tcPr>
            <w:tcW w:w="992" w:type="dxa"/>
            <w:tcBorders>
              <w:top w:val="nil"/>
              <w:left w:val="nil"/>
              <w:bottom w:val="nil"/>
              <w:right w:val="nil"/>
            </w:tcBorders>
            <w:shd w:val="clear" w:color="auto" w:fill="auto"/>
            <w:vAlign w:val="bottom"/>
            <w:hideMark/>
          </w:tcPr>
          <w:p w14:paraId="0B8C8D85" w14:textId="77777777" w:rsidR="00CC0487" w:rsidRPr="00E57BEF" w:rsidRDefault="00CC0487" w:rsidP="00DB6666">
            <w:pPr>
              <w:jc w:val="right"/>
              <w:rPr>
                <w:rFonts w:ascii="Arial Narrow" w:hAnsi="Arial Narrow" w:cs="Arial"/>
                <w:b/>
                <w:bCs/>
                <w:color w:val="000000"/>
                <w:sz w:val="18"/>
                <w:szCs w:val="18"/>
              </w:rPr>
            </w:pPr>
            <w:r w:rsidRPr="00E57BEF">
              <w:rPr>
                <w:rFonts w:ascii="Arial Narrow" w:hAnsi="Arial Narrow" w:cs="Arial"/>
                <w:b/>
                <w:bCs/>
                <w:color w:val="000000"/>
                <w:sz w:val="18"/>
                <w:szCs w:val="18"/>
              </w:rPr>
              <w:t>25</w:t>
            </w:r>
          </w:p>
        </w:tc>
        <w:tc>
          <w:tcPr>
            <w:tcW w:w="1114" w:type="dxa"/>
            <w:tcBorders>
              <w:top w:val="nil"/>
              <w:left w:val="nil"/>
              <w:bottom w:val="nil"/>
              <w:right w:val="nil"/>
            </w:tcBorders>
            <w:shd w:val="clear" w:color="auto" w:fill="auto"/>
            <w:vAlign w:val="bottom"/>
            <w:hideMark/>
          </w:tcPr>
          <w:p w14:paraId="2A1DF099" w14:textId="77777777" w:rsidR="00CC0487" w:rsidRPr="00E57BEF" w:rsidRDefault="00CC0487" w:rsidP="00DB6666">
            <w:pPr>
              <w:jc w:val="right"/>
              <w:rPr>
                <w:rFonts w:ascii="Arial Narrow" w:hAnsi="Arial Narrow" w:cs="Arial"/>
                <w:b/>
                <w:bCs/>
                <w:color w:val="000000"/>
                <w:sz w:val="18"/>
                <w:szCs w:val="18"/>
              </w:rPr>
            </w:pPr>
            <w:r w:rsidRPr="00E57BEF">
              <w:rPr>
                <w:rFonts w:ascii="Arial Narrow" w:hAnsi="Arial Narrow" w:cs="Arial"/>
                <w:b/>
                <w:bCs/>
                <w:color w:val="000000"/>
                <w:sz w:val="18"/>
                <w:szCs w:val="18"/>
              </w:rPr>
              <w:t>14,5%</w:t>
            </w:r>
          </w:p>
        </w:tc>
        <w:tc>
          <w:tcPr>
            <w:tcW w:w="1243" w:type="dxa"/>
            <w:tcBorders>
              <w:top w:val="nil"/>
              <w:left w:val="nil"/>
              <w:bottom w:val="nil"/>
              <w:right w:val="nil"/>
            </w:tcBorders>
            <w:shd w:val="clear" w:color="auto" w:fill="auto"/>
            <w:vAlign w:val="bottom"/>
            <w:hideMark/>
          </w:tcPr>
          <w:p w14:paraId="59A3E9C8" w14:textId="77777777" w:rsidR="00CC0487" w:rsidRPr="00E57BEF" w:rsidRDefault="00CC0487" w:rsidP="00DB6666">
            <w:pPr>
              <w:jc w:val="right"/>
              <w:rPr>
                <w:rFonts w:ascii="Arial Narrow" w:hAnsi="Arial Narrow" w:cs="Arial"/>
                <w:b/>
                <w:bCs/>
                <w:sz w:val="18"/>
                <w:szCs w:val="18"/>
              </w:rPr>
            </w:pPr>
            <w:r w:rsidRPr="00E57BEF">
              <w:rPr>
                <w:rFonts w:ascii="Arial Narrow" w:hAnsi="Arial Narrow" w:cs="Arial"/>
                <w:b/>
                <w:bCs/>
                <w:sz w:val="18"/>
                <w:szCs w:val="18"/>
              </w:rPr>
              <w:t>200</w:t>
            </w:r>
          </w:p>
        </w:tc>
      </w:tr>
      <w:tr w:rsidR="00CC0487" w:rsidRPr="00E57BEF" w14:paraId="45398532" w14:textId="77777777" w:rsidTr="00DB6666">
        <w:trPr>
          <w:trHeight w:val="347"/>
        </w:trPr>
        <w:tc>
          <w:tcPr>
            <w:tcW w:w="4110" w:type="dxa"/>
            <w:tcBorders>
              <w:top w:val="nil"/>
              <w:left w:val="nil"/>
              <w:bottom w:val="nil"/>
              <w:right w:val="nil"/>
            </w:tcBorders>
            <w:shd w:val="clear" w:color="auto" w:fill="auto"/>
            <w:vAlign w:val="bottom"/>
            <w:hideMark/>
          </w:tcPr>
          <w:p w14:paraId="14C14493" w14:textId="77777777" w:rsidR="00CC0487" w:rsidRPr="00E57BEF" w:rsidRDefault="00CC0487" w:rsidP="00DB6666">
            <w:pPr>
              <w:ind w:firstLineChars="200" w:firstLine="360"/>
              <w:jc w:val="left"/>
              <w:rPr>
                <w:rFonts w:ascii="Arial Narrow" w:hAnsi="Arial Narrow" w:cs="Arial"/>
                <w:i/>
                <w:iCs/>
                <w:color w:val="000000"/>
                <w:sz w:val="18"/>
                <w:szCs w:val="18"/>
              </w:rPr>
            </w:pPr>
            <w:r w:rsidRPr="00E57BEF">
              <w:rPr>
                <w:rFonts w:ascii="Arial Narrow" w:hAnsi="Arial Narrow" w:cs="Arial"/>
                <w:i/>
                <w:iCs/>
                <w:color w:val="000000"/>
                <w:sz w:val="18"/>
                <w:szCs w:val="18"/>
              </w:rPr>
              <w:t>Kosten für administrative Unterstützung - FITS</w:t>
            </w:r>
          </w:p>
        </w:tc>
        <w:tc>
          <w:tcPr>
            <w:tcW w:w="1135" w:type="dxa"/>
            <w:tcBorders>
              <w:top w:val="nil"/>
              <w:left w:val="nil"/>
              <w:bottom w:val="nil"/>
              <w:right w:val="nil"/>
            </w:tcBorders>
            <w:shd w:val="clear" w:color="auto" w:fill="auto"/>
            <w:vAlign w:val="bottom"/>
            <w:hideMark/>
          </w:tcPr>
          <w:p w14:paraId="55706BCE" w14:textId="77777777" w:rsidR="00CC0487" w:rsidRPr="00E57BEF" w:rsidRDefault="00CC0487" w:rsidP="00DB6666">
            <w:pPr>
              <w:jc w:val="right"/>
              <w:rPr>
                <w:rFonts w:ascii="Arial Narrow" w:hAnsi="Arial Narrow" w:cs="Arial"/>
                <w:i/>
                <w:iCs/>
                <w:color w:val="000000"/>
                <w:sz w:val="18"/>
                <w:szCs w:val="18"/>
              </w:rPr>
            </w:pPr>
            <w:r w:rsidRPr="00E57BEF">
              <w:rPr>
                <w:rFonts w:ascii="Arial Narrow" w:hAnsi="Arial Narrow" w:cs="Arial"/>
                <w:i/>
                <w:iCs/>
                <w:color w:val="000000"/>
                <w:sz w:val="18"/>
                <w:szCs w:val="18"/>
              </w:rPr>
              <w:t>74</w:t>
            </w:r>
          </w:p>
        </w:tc>
        <w:tc>
          <w:tcPr>
            <w:tcW w:w="1134" w:type="dxa"/>
            <w:tcBorders>
              <w:top w:val="nil"/>
              <w:left w:val="nil"/>
              <w:bottom w:val="nil"/>
              <w:right w:val="nil"/>
            </w:tcBorders>
            <w:shd w:val="clear" w:color="auto" w:fill="auto"/>
            <w:vAlign w:val="bottom"/>
            <w:hideMark/>
          </w:tcPr>
          <w:p w14:paraId="54E4B314" w14:textId="77777777" w:rsidR="00CC0487" w:rsidRPr="00E57BEF" w:rsidRDefault="00CC0487" w:rsidP="00DB6666">
            <w:pPr>
              <w:jc w:val="right"/>
              <w:rPr>
                <w:rFonts w:ascii="Arial Narrow" w:hAnsi="Arial Narrow" w:cs="Arial"/>
                <w:i/>
                <w:iCs/>
                <w:color w:val="000000"/>
                <w:sz w:val="18"/>
                <w:szCs w:val="18"/>
              </w:rPr>
            </w:pPr>
            <w:r w:rsidRPr="00E57BEF">
              <w:rPr>
                <w:rFonts w:ascii="Arial Narrow" w:hAnsi="Arial Narrow" w:cs="Arial"/>
                <w:i/>
                <w:iCs/>
                <w:color w:val="000000"/>
                <w:sz w:val="18"/>
                <w:szCs w:val="18"/>
              </w:rPr>
              <w:t>125</w:t>
            </w:r>
          </w:p>
        </w:tc>
        <w:tc>
          <w:tcPr>
            <w:tcW w:w="992" w:type="dxa"/>
            <w:tcBorders>
              <w:top w:val="nil"/>
              <w:left w:val="nil"/>
              <w:bottom w:val="nil"/>
              <w:right w:val="nil"/>
            </w:tcBorders>
            <w:shd w:val="clear" w:color="auto" w:fill="auto"/>
            <w:vAlign w:val="bottom"/>
            <w:hideMark/>
          </w:tcPr>
          <w:p w14:paraId="64B6F23C" w14:textId="77777777" w:rsidR="00CC0487" w:rsidRPr="00E57BEF" w:rsidRDefault="00CC0487" w:rsidP="00DB6666">
            <w:pPr>
              <w:jc w:val="right"/>
              <w:rPr>
                <w:rFonts w:ascii="Arial Narrow" w:hAnsi="Arial Narrow" w:cs="Arial"/>
                <w:i/>
                <w:iCs/>
                <w:color w:val="000000"/>
                <w:sz w:val="18"/>
                <w:szCs w:val="18"/>
              </w:rPr>
            </w:pPr>
            <w:r w:rsidRPr="00E57BEF">
              <w:rPr>
                <w:rFonts w:ascii="Arial Narrow" w:hAnsi="Arial Narrow" w:cs="Arial"/>
                <w:i/>
                <w:iCs/>
                <w:color w:val="000000"/>
                <w:sz w:val="18"/>
                <w:szCs w:val="18"/>
              </w:rPr>
              <w:t>(6)</w:t>
            </w:r>
          </w:p>
        </w:tc>
        <w:tc>
          <w:tcPr>
            <w:tcW w:w="1114" w:type="dxa"/>
            <w:tcBorders>
              <w:top w:val="nil"/>
              <w:left w:val="nil"/>
              <w:bottom w:val="nil"/>
              <w:right w:val="nil"/>
            </w:tcBorders>
            <w:shd w:val="clear" w:color="auto" w:fill="auto"/>
            <w:vAlign w:val="bottom"/>
            <w:hideMark/>
          </w:tcPr>
          <w:p w14:paraId="5977DE2F" w14:textId="77777777" w:rsidR="00CC0487" w:rsidRPr="00E57BEF" w:rsidRDefault="00CC0487" w:rsidP="00DB6666">
            <w:pPr>
              <w:jc w:val="right"/>
              <w:rPr>
                <w:rFonts w:ascii="Arial Narrow" w:hAnsi="Arial Narrow" w:cs="Arial"/>
                <w:i/>
                <w:iCs/>
                <w:color w:val="000000"/>
                <w:sz w:val="18"/>
                <w:szCs w:val="18"/>
              </w:rPr>
            </w:pPr>
            <w:r w:rsidRPr="00E57BEF">
              <w:rPr>
                <w:rFonts w:ascii="Arial Narrow" w:hAnsi="Arial Narrow" w:cs="Arial"/>
                <w:i/>
                <w:iCs/>
                <w:color w:val="000000"/>
                <w:sz w:val="18"/>
                <w:szCs w:val="18"/>
              </w:rPr>
              <w:t>-4,7%</w:t>
            </w:r>
          </w:p>
        </w:tc>
        <w:tc>
          <w:tcPr>
            <w:tcW w:w="1243" w:type="dxa"/>
            <w:tcBorders>
              <w:top w:val="nil"/>
              <w:left w:val="nil"/>
              <w:bottom w:val="nil"/>
              <w:right w:val="nil"/>
            </w:tcBorders>
            <w:shd w:val="clear" w:color="auto" w:fill="auto"/>
            <w:vAlign w:val="bottom"/>
            <w:hideMark/>
          </w:tcPr>
          <w:p w14:paraId="66938A9D" w14:textId="77777777" w:rsidR="00CC0487" w:rsidRPr="00E57BEF" w:rsidRDefault="00CC0487" w:rsidP="00DB6666">
            <w:pPr>
              <w:jc w:val="right"/>
              <w:rPr>
                <w:rFonts w:ascii="Arial Narrow" w:hAnsi="Arial Narrow" w:cs="Arial"/>
                <w:b/>
                <w:bCs/>
                <w:color w:val="000000"/>
                <w:sz w:val="18"/>
                <w:szCs w:val="18"/>
              </w:rPr>
            </w:pPr>
            <w:r w:rsidRPr="00E57BEF">
              <w:rPr>
                <w:rFonts w:ascii="Arial Narrow" w:hAnsi="Arial Narrow" w:cs="Arial"/>
                <w:b/>
                <w:bCs/>
                <w:color w:val="000000"/>
                <w:sz w:val="18"/>
                <w:szCs w:val="18"/>
              </w:rPr>
              <w:t>120</w:t>
            </w:r>
          </w:p>
        </w:tc>
      </w:tr>
      <w:tr w:rsidR="00CC0487" w:rsidRPr="00E57BEF" w14:paraId="2DF0FA66" w14:textId="77777777" w:rsidTr="00DB6666">
        <w:trPr>
          <w:trHeight w:val="347"/>
        </w:trPr>
        <w:tc>
          <w:tcPr>
            <w:tcW w:w="4110" w:type="dxa"/>
            <w:tcBorders>
              <w:top w:val="nil"/>
              <w:left w:val="nil"/>
              <w:bottom w:val="nil"/>
              <w:right w:val="nil"/>
            </w:tcBorders>
            <w:shd w:val="clear" w:color="auto" w:fill="auto"/>
            <w:vAlign w:val="center"/>
            <w:hideMark/>
          </w:tcPr>
          <w:p w14:paraId="4AB7B90A" w14:textId="77777777" w:rsidR="00CC0487" w:rsidRPr="00E57BEF" w:rsidRDefault="00CC0487" w:rsidP="00DB6666">
            <w:pPr>
              <w:ind w:firstLineChars="200" w:firstLine="360"/>
              <w:jc w:val="left"/>
              <w:rPr>
                <w:rFonts w:ascii="Arial Narrow" w:hAnsi="Arial Narrow" w:cs="Arial"/>
                <w:i/>
                <w:iCs/>
                <w:color w:val="000000"/>
                <w:sz w:val="18"/>
                <w:szCs w:val="18"/>
              </w:rPr>
            </w:pPr>
            <w:r w:rsidRPr="00E57BEF">
              <w:rPr>
                <w:rFonts w:ascii="Arial Narrow" w:hAnsi="Arial Narrow" w:cs="Arial"/>
                <w:i/>
                <w:iCs/>
                <w:color w:val="000000"/>
                <w:sz w:val="18"/>
                <w:szCs w:val="18"/>
              </w:rPr>
              <w:t>Fernlehrgangsprogramm</w:t>
            </w:r>
          </w:p>
        </w:tc>
        <w:tc>
          <w:tcPr>
            <w:tcW w:w="1135" w:type="dxa"/>
            <w:tcBorders>
              <w:top w:val="nil"/>
              <w:left w:val="nil"/>
              <w:bottom w:val="nil"/>
              <w:right w:val="nil"/>
            </w:tcBorders>
            <w:shd w:val="clear" w:color="auto" w:fill="auto"/>
            <w:vAlign w:val="bottom"/>
            <w:hideMark/>
          </w:tcPr>
          <w:p w14:paraId="0542815D" w14:textId="77777777" w:rsidR="00CC0487" w:rsidRPr="00E57BEF" w:rsidRDefault="00CC0487" w:rsidP="00DB6666">
            <w:pPr>
              <w:jc w:val="right"/>
              <w:rPr>
                <w:rFonts w:ascii="Arial Narrow" w:hAnsi="Arial Narrow" w:cs="Arial"/>
                <w:i/>
                <w:iCs/>
                <w:color w:val="000000"/>
                <w:sz w:val="18"/>
                <w:szCs w:val="18"/>
              </w:rPr>
            </w:pPr>
            <w:r w:rsidRPr="00E57BEF">
              <w:rPr>
                <w:rFonts w:ascii="Arial Narrow" w:hAnsi="Arial Narrow" w:cs="Arial"/>
                <w:i/>
                <w:iCs/>
                <w:color w:val="000000"/>
                <w:sz w:val="18"/>
                <w:szCs w:val="18"/>
              </w:rPr>
              <w:t>41</w:t>
            </w:r>
          </w:p>
        </w:tc>
        <w:tc>
          <w:tcPr>
            <w:tcW w:w="1134" w:type="dxa"/>
            <w:tcBorders>
              <w:top w:val="nil"/>
              <w:left w:val="nil"/>
              <w:bottom w:val="nil"/>
              <w:right w:val="nil"/>
            </w:tcBorders>
            <w:shd w:val="clear" w:color="auto" w:fill="auto"/>
            <w:vAlign w:val="bottom"/>
            <w:hideMark/>
          </w:tcPr>
          <w:p w14:paraId="63698042" w14:textId="77777777" w:rsidR="00CC0487" w:rsidRPr="00E57BEF" w:rsidRDefault="00CC0487" w:rsidP="00DB6666">
            <w:pPr>
              <w:jc w:val="right"/>
              <w:rPr>
                <w:rFonts w:ascii="Arial Narrow" w:hAnsi="Arial Narrow" w:cs="Arial"/>
                <w:i/>
                <w:iCs/>
                <w:color w:val="000000"/>
                <w:sz w:val="18"/>
                <w:szCs w:val="18"/>
              </w:rPr>
            </w:pPr>
            <w:r w:rsidRPr="00E57BEF">
              <w:rPr>
                <w:rFonts w:ascii="Arial Narrow" w:hAnsi="Arial Narrow" w:cs="Arial"/>
                <w:i/>
                <w:iCs/>
                <w:color w:val="000000"/>
                <w:sz w:val="18"/>
                <w:szCs w:val="18"/>
              </w:rPr>
              <w:t>49</w:t>
            </w:r>
          </w:p>
        </w:tc>
        <w:tc>
          <w:tcPr>
            <w:tcW w:w="992" w:type="dxa"/>
            <w:tcBorders>
              <w:top w:val="nil"/>
              <w:left w:val="nil"/>
              <w:bottom w:val="nil"/>
              <w:right w:val="nil"/>
            </w:tcBorders>
            <w:shd w:val="clear" w:color="auto" w:fill="auto"/>
            <w:vAlign w:val="bottom"/>
            <w:hideMark/>
          </w:tcPr>
          <w:p w14:paraId="616A5C03" w14:textId="77777777" w:rsidR="00CC0487" w:rsidRPr="00E57BEF" w:rsidRDefault="00CC0487" w:rsidP="00DB6666">
            <w:pPr>
              <w:jc w:val="right"/>
              <w:rPr>
                <w:rFonts w:ascii="Arial Narrow" w:hAnsi="Arial Narrow" w:cs="Arial"/>
                <w:i/>
                <w:iCs/>
                <w:color w:val="000000"/>
                <w:sz w:val="18"/>
                <w:szCs w:val="18"/>
              </w:rPr>
            </w:pPr>
            <w:r w:rsidRPr="00E57BEF">
              <w:rPr>
                <w:rFonts w:ascii="Arial Narrow" w:hAnsi="Arial Narrow" w:cs="Arial"/>
                <w:i/>
                <w:iCs/>
                <w:color w:val="000000"/>
                <w:sz w:val="18"/>
                <w:szCs w:val="18"/>
              </w:rPr>
              <w:t>31</w:t>
            </w:r>
          </w:p>
        </w:tc>
        <w:tc>
          <w:tcPr>
            <w:tcW w:w="1114" w:type="dxa"/>
            <w:tcBorders>
              <w:top w:val="nil"/>
              <w:left w:val="nil"/>
              <w:bottom w:val="nil"/>
              <w:right w:val="nil"/>
            </w:tcBorders>
            <w:shd w:val="clear" w:color="auto" w:fill="auto"/>
            <w:vAlign w:val="bottom"/>
            <w:hideMark/>
          </w:tcPr>
          <w:p w14:paraId="4858B87B" w14:textId="77777777" w:rsidR="00CC0487" w:rsidRPr="00E57BEF" w:rsidRDefault="00CC0487" w:rsidP="00DB6666">
            <w:pPr>
              <w:jc w:val="right"/>
              <w:rPr>
                <w:rFonts w:ascii="Arial Narrow" w:hAnsi="Arial Narrow" w:cs="Arial"/>
                <w:i/>
                <w:iCs/>
                <w:color w:val="000000"/>
                <w:sz w:val="18"/>
                <w:szCs w:val="18"/>
              </w:rPr>
            </w:pPr>
            <w:r w:rsidRPr="00E57BEF">
              <w:rPr>
                <w:rFonts w:ascii="Arial Narrow" w:hAnsi="Arial Narrow" w:cs="Arial"/>
                <w:i/>
                <w:iCs/>
                <w:color w:val="000000"/>
                <w:sz w:val="18"/>
                <w:szCs w:val="18"/>
              </w:rPr>
              <w:t>63,4%</w:t>
            </w:r>
          </w:p>
        </w:tc>
        <w:tc>
          <w:tcPr>
            <w:tcW w:w="1243" w:type="dxa"/>
            <w:tcBorders>
              <w:top w:val="nil"/>
              <w:left w:val="nil"/>
              <w:bottom w:val="nil"/>
              <w:right w:val="nil"/>
            </w:tcBorders>
            <w:shd w:val="clear" w:color="auto" w:fill="auto"/>
            <w:vAlign w:val="bottom"/>
            <w:hideMark/>
          </w:tcPr>
          <w:p w14:paraId="0EAA14E9" w14:textId="77777777" w:rsidR="00CC0487" w:rsidRPr="00E57BEF" w:rsidRDefault="00CC0487" w:rsidP="00DB6666">
            <w:pPr>
              <w:jc w:val="right"/>
              <w:rPr>
                <w:rFonts w:ascii="Arial Narrow" w:hAnsi="Arial Narrow" w:cs="Arial"/>
                <w:b/>
                <w:bCs/>
                <w:color w:val="000000"/>
                <w:sz w:val="18"/>
                <w:szCs w:val="18"/>
              </w:rPr>
            </w:pPr>
            <w:r w:rsidRPr="00E57BEF">
              <w:rPr>
                <w:rFonts w:ascii="Arial Narrow" w:hAnsi="Arial Narrow" w:cs="Arial"/>
                <w:b/>
                <w:bCs/>
                <w:color w:val="000000"/>
                <w:sz w:val="18"/>
                <w:szCs w:val="18"/>
              </w:rPr>
              <w:t>80</w:t>
            </w:r>
          </w:p>
        </w:tc>
      </w:tr>
      <w:tr w:rsidR="00CC0487" w:rsidRPr="00E57BEF" w14:paraId="69179013" w14:textId="77777777" w:rsidTr="00DB6666">
        <w:trPr>
          <w:trHeight w:val="347"/>
        </w:trPr>
        <w:tc>
          <w:tcPr>
            <w:tcW w:w="4110" w:type="dxa"/>
            <w:tcBorders>
              <w:top w:val="nil"/>
              <w:left w:val="nil"/>
              <w:bottom w:val="nil"/>
              <w:right w:val="nil"/>
            </w:tcBorders>
            <w:shd w:val="clear" w:color="auto" w:fill="auto"/>
            <w:vAlign w:val="bottom"/>
            <w:hideMark/>
          </w:tcPr>
          <w:p w14:paraId="10C2E709" w14:textId="77777777" w:rsidR="00CC0487" w:rsidRPr="00E57BEF" w:rsidRDefault="00CC0487" w:rsidP="00DB6666">
            <w:pPr>
              <w:ind w:firstLineChars="200" w:firstLine="360"/>
              <w:jc w:val="left"/>
              <w:rPr>
                <w:rFonts w:ascii="Arial Narrow" w:hAnsi="Arial Narrow" w:cs="Arial"/>
                <w:i/>
                <w:iCs/>
                <w:color w:val="000000"/>
                <w:sz w:val="18"/>
                <w:szCs w:val="18"/>
              </w:rPr>
            </w:pPr>
            <w:r w:rsidRPr="00E57BEF">
              <w:rPr>
                <w:rFonts w:ascii="Arial Narrow" w:hAnsi="Arial Narrow" w:cs="Arial"/>
                <w:i/>
                <w:iCs/>
                <w:color w:val="000000"/>
                <w:sz w:val="18"/>
                <w:szCs w:val="18"/>
              </w:rPr>
              <w:t xml:space="preserve">Sonstige </w:t>
            </w:r>
          </w:p>
        </w:tc>
        <w:tc>
          <w:tcPr>
            <w:tcW w:w="1135" w:type="dxa"/>
            <w:tcBorders>
              <w:top w:val="nil"/>
              <w:left w:val="nil"/>
              <w:bottom w:val="nil"/>
              <w:right w:val="nil"/>
            </w:tcBorders>
            <w:shd w:val="clear" w:color="auto" w:fill="auto"/>
            <w:vAlign w:val="bottom"/>
            <w:hideMark/>
          </w:tcPr>
          <w:p w14:paraId="2025FECA" w14:textId="77777777" w:rsidR="00CC0487" w:rsidRPr="00E57BEF" w:rsidRDefault="00CC0487" w:rsidP="00DB6666">
            <w:pPr>
              <w:jc w:val="right"/>
              <w:rPr>
                <w:rFonts w:ascii="Arial Narrow" w:hAnsi="Arial Narrow" w:cs="Arial"/>
                <w:i/>
                <w:iCs/>
                <w:color w:val="000000"/>
                <w:sz w:val="18"/>
                <w:szCs w:val="18"/>
              </w:rPr>
            </w:pPr>
            <w:r w:rsidRPr="00E57BEF">
              <w:rPr>
                <w:rFonts w:ascii="Arial Narrow" w:hAnsi="Arial Narrow" w:cs="Arial"/>
                <w:i/>
                <w:iCs/>
                <w:color w:val="000000"/>
                <w:sz w:val="18"/>
                <w:szCs w:val="18"/>
              </w:rPr>
              <w:t>-16</w:t>
            </w:r>
          </w:p>
        </w:tc>
        <w:tc>
          <w:tcPr>
            <w:tcW w:w="1134" w:type="dxa"/>
            <w:tcBorders>
              <w:top w:val="nil"/>
              <w:left w:val="nil"/>
              <w:bottom w:val="nil"/>
              <w:right w:val="nil"/>
            </w:tcBorders>
            <w:shd w:val="clear" w:color="auto" w:fill="auto"/>
            <w:vAlign w:val="bottom"/>
            <w:hideMark/>
          </w:tcPr>
          <w:p w14:paraId="6CAC5FE6" w14:textId="77777777" w:rsidR="00CC0487" w:rsidRPr="00E57BEF" w:rsidRDefault="00CC0487" w:rsidP="00DB6666">
            <w:pPr>
              <w:jc w:val="right"/>
              <w:rPr>
                <w:rFonts w:ascii="Arial Narrow" w:hAnsi="Arial Narrow" w:cs="Arial"/>
                <w:i/>
                <w:iCs/>
                <w:color w:val="000000"/>
                <w:sz w:val="18"/>
                <w:szCs w:val="18"/>
              </w:rPr>
            </w:pPr>
            <w:r w:rsidRPr="00E57BEF">
              <w:rPr>
                <w:rFonts w:ascii="Arial Narrow" w:hAnsi="Arial Narrow" w:cs="Arial"/>
                <w:i/>
                <w:iCs/>
                <w:color w:val="000000"/>
                <w:sz w:val="18"/>
                <w:szCs w:val="18"/>
              </w:rPr>
              <w:t>-</w:t>
            </w:r>
          </w:p>
        </w:tc>
        <w:tc>
          <w:tcPr>
            <w:tcW w:w="992" w:type="dxa"/>
            <w:tcBorders>
              <w:top w:val="nil"/>
              <w:left w:val="nil"/>
              <w:bottom w:val="nil"/>
              <w:right w:val="nil"/>
            </w:tcBorders>
            <w:shd w:val="clear" w:color="auto" w:fill="auto"/>
            <w:vAlign w:val="bottom"/>
            <w:hideMark/>
          </w:tcPr>
          <w:p w14:paraId="2BE7F690" w14:textId="77777777" w:rsidR="00CC0487" w:rsidRPr="00E57BEF" w:rsidRDefault="00CC0487" w:rsidP="00DB6666">
            <w:pPr>
              <w:jc w:val="right"/>
              <w:rPr>
                <w:rFonts w:ascii="Arial Narrow" w:hAnsi="Arial Narrow" w:cs="Arial"/>
                <w:i/>
                <w:iCs/>
                <w:color w:val="000000"/>
                <w:sz w:val="18"/>
                <w:szCs w:val="18"/>
              </w:rPr>
            </w:pPr>
            <w:r w:rsidRPr="00E57BEF">
              <w:rPr>
                <w:rFonts w:ascii="Arial Narrow" w:hAnsi="Arial Narrow" w:cs="Arial"/>
                <w:i/>
                <w:iCs/>
                <w:color w:val="000000"/>
                <w:sz w:val="18"/>
                <w:szCs w:val="18"/>
              </w:rPr>
              <w:t>-</w:t>
            </w:r>
          </w:p>
        </w:tc>
        <w:tc>
          <w:tcPr>
            <w:tcW w:w="1114" w:type="dxa"/>
            <w:tcBorders>
              <w:top w:val="nil"/>
              <w:left w:val="nil"/>
              <w:bottom w:val="nil"/>
              <w:right w:val="nil"/>
            </w:tcBorders>
            <w:shd w:val="clear" w:color="auto" w:fill="auto"/>
            <w:vAlign w:val="bottom"/>
            <w:hideMark/>
          </w:tcPr>
          <w:p w14:paraId="7CEABD76" w14:textId="77777777" w:rsidR="00CC0487" w:rsidRPr="00E57BEF" w:rsidRDefault="00CC0487" w:rsidP="00DB6666">
            <w:pPr>
              <w:jc w:val="right"/>
              <w:rPr>
                <w:rFonts w:ascii="Arial Narrow" w:hAnsi="Arial Narrow" w:cs="Arial"/>
                <w:i/>
                <w:iCs/>
                <w:color w:val="000000"/>
                <w:sz w:val="18"/>
                <w:szCs w:val="18"/>
              </w:rPr>
            </w:pPr>
            <w:r w:rsidRPr="00E57BEF">
              <w:rPr>
                <w:rFonts w:ascii="Arial Narrow" w:hAnsi="Arial Narrow" w:cs="Arial"/>
                <w:i/>
                <w:iCs/>
                <w:color w:val="000000"/>
                <w:sz w:val="18"/>
                <w:szCs w:val="18"/>
              </w:rPr>
              <w:t>-</w:t>
            </w:r>
          </w:p>
        </w:tc>
        <w:tc>
          <w:tcPr>
            <w:tcW w:w="1243" w:type="dxa"/>
            <w:tcBorders>
              <w:top w:val="nil"/>
              <w:left w:val="nil"/>
              <w:bottom w:val="nil"/>
              <w:right w:val="nil"/>
            </w:tcBorders>
            <w:shd w:val="clear" w:color="auto" w:fill="auto"/>
            <w:vAlign w:val="bottom"/>
            <w:hideMark/>
          </w:tcPr>
          <w:p w14:paraId="54735F30" w14:textId="77777777" w:rsidR="00CC0487" w:rsidRPr="00E57BEF" w:rsidRDefault="00CC0487" w:rsidP="00DB6666">
            <w:pPr>
              <w:jc w:val="right"/>
              <w:rPr>
                <w:rFonts w:ascii="Arial Narrow" w:hAnsi="Arial Narrow" w:cs="Arial"/>
                <w:b/>
                <w:bCs/>
                <w:color w:val="000000"/>
                <w:sz w:val="18"/>
                <w:szCs w:val="18"/>
              </w:rPr>
            </w:pPr>
            <w:r w:rsidRPr="00E57BEF">
              <w:rPr>
                <w:rFonts w:ascii="Arial Narrow" w:hAnsi="Arial Narrow" w:cs="Arial"/>
                <w:b/>
                <w:bCs/>
                <w:color w:val="000000"/>
                <w:sz w:val="18"/>
                <w:szCs w:val="18"/>
              </w:rPr>
              <w:t>-</w:t>
            </w:r>
          </w:p>
        </w:tc>
      </w:tr>
      <w:tr w:rsidR="00CC0487" w:rsidRPr="00E57BEF" w14:paraId="49BEF876" w14:textId="77777777" w:rsidTr="00DB6666">
        <w:trPr>
          <w:trHeight w:val="181"/>
        </w:trPr>
        <w:tc>
          <w:tcPr>
            <w:tcW w:w="4110" w:type="dxa"/>
            <w:tcBorders>
              <w:top w:val="nil"/>
              <w:left w:val="nil"/>
              <w:bottom w:val="nil"/>
              <w:right w:val="nil"/>
            </w:tcBorders>
            <w:shd w:val="clear" w:color="auto" w:fill="auto"/>
            <w:vAlign w:val="bottom"/>
            <w:hideMark/>
          </w:tcPr>
          <w:p w14:paraId="47FF085C" w14:textId="77777777" w:rsidR="00CC0487" w:rsidRPr="00E57BEF" w:rsidRDefault="00CC0487" w:rsidP="00DB6666">
            <w:pPr>
              <w:jc w:val="right"/>
              <w:rPr>
                <w:rFonts w:ascii="Arial Narrow" w:hAnsi="Arial Narrow" w:cs="Arial"/>
                <w:b/>
                <w:bCs/>
                <w:color w:val="000000"/>
                <w:sz w:val="18"/>
                <w:szCs w:val="18"/>
              </w:rPr>
            </w:pPr>
          </w:p>
        </w:tc>
        <w:tc>
          <w:tcPr>
            <w:tcW w:w="1135" w:type="dxa"/>
            <w:tcBorders>
              <w:top w:val="nil"/>
              <w:left w:val="nil"/>
              <w:bottom w:val="nil"/>
              <w:right w:val="nil"/>
            </w:tcBorders>
            <w:shd w:val="clear" w:color="auto" w:fill="auto"/>
            <w:vAlign w:val="bottom"/>
            <w:hideMark/>
          </w:tcPr>
          <w:p w14:paraId="1DF09B00" w14:textId="77777777" w:rsidR="00CC0487" w:rsidRPr="00E57BEF" w:rsidRDefault="00CC0487" w:rsidP="00DB6666">
            <w:pPr>
              <w:ind w:firstLineChars="200" w:firstLine="360"/>
              <w:jc w:val="left"/>
              <w:rPr>
                <w:rFonts w:ascii="Arial Narrow" w:hAnsi="Arial Narrow"/>
                <w:sz w:val="18"/>
                <w:szCs w:val="18"/>
              </w:rPr>
            </w:pPr>
          </w:p>
        </w:tc>
        <w:tc>
          <w:tcPr>
            <w:tcW w:w="1134" w:type="dxa"/>
            <w:tcBorders>
              <w:top w:val="nil"/>
              <w:left w:val="nil"/>
              <w:bottom w:val="nil"/>
              <w:right w:val="nil"/>
            </w:tcBorders>
            <w:shd w:val="clear" w:color="auto" w:fill="auto"/>
            <w:vAlign w:val="bottom"/>
            <w:hideMark/>
          </w:tcPr>
          <w:p w14:paraId="3276FFDB" w14:textId="77777777" w:rsidR="00CC0487" w:rsidRPr="00E57BEF" w:rsidRDefault="00CC0487" w:rsidP="00DB6666">
            <w:pPr>
              <w:jc w:val="right"/>
              <w:rPr>
                <w:rFonts w:ascii="Arial Narrow" w:hAnsi="Arial Narrow"/>
                <w:sz w:val="18"/>
                <w:szCs w:val="18"/>
              </w:rPr>
            </w:pPr>
          </w:p>
        </w:tc>
        <w:tc>
          <w:tcPr>
            <w:tcW w:w="992" w:type="dxa"/>
            <w:tcBorders>
              <w:top w:val="nil"/>
              <w:left w:val="nil"/>
              <w:bottom w:val="nil"/>
              <w:right w:val="nil"/>
            </w:tcBorders>
            <w:shd w:val="clear" w:color="auto" w:fill="auto"/>
            <w:vAlign w:val="bottom"/>
            <w:hideMark/>
          </w:tcPr>
          <w:p w14:paraId="1A423885" w14:textId="77777777" w:rsidR="00CC0487" w:rsidRPr="00E57BEF" w:rsidRDefault="00CC0487" w:rsidP="00DB6666">
            <w:pPr>
              <w:jc w:val="right"/>
              <w:rPr>
                <w:rFonts w:ascii="Arial Narrow" w:hAnsi="Arial Narrow"/>
                <w:sz w:val="18"/>
                <w:szCs w:val="18"/>
              </w:rPr>
            </w:pPr>
          </w:p>
        </w:tc>
        <w:tc>
          <w:tcPr>
            <w:tcW w:w="1114" w:type="dxa"/>
            <w:tcBorders>
              <w:top w:val="nil"/>
              <w:left w:val="nil"/>
              <w:bottom w:val="nil"/>
              <w:right w:val="nil"/>
            </w:tcBorders>
            <w:shd w:val="clear" w:color="auto" w:fill="auto"/>
            <w:vAlign w:val="bottom"/>
            <w:hideMark/>
          </w:tcPr>
          <w:p w14:paraId="797F167D" w14:textId="77777777" w:rsidR="00CC0487" w:rsidRPr="00E57BEF" w:rsidRDefault="00CC0487" w:rsidP="00DB6666">
            <w:pPr>
              <w:jc w:val="right"/>
              <w:rPr>
                <w:rFonts w:ascii="Arial Narrow" w:hAnsi="Arial Narrow"/>
                <w:sz w:val="18"/>
                <w:szCs w:val="18"/>
              </w:rPr>
            </w:pPr>
          </w:p>
        </w:tc>
        <w:tc>
          <w:tcPr>
            <w:tcW w:w="1243" w:type="dxa"/>
            <w:tcBorders>
              <w:top w:val="nil"/>
              <w:left w:val="nil"/>
              <w:bottom w:val="nil"/>
              <w:right w:val="nil"/>
            </w:tcBorders>
            <w:shd w:val="clear" w:color="auto" w:fill="auto"/>
            <w:vAlign w:val="bottom"/>
            <w:hideMark/>
          </w:tcPr>
          <w:p w14:paraId="1B8EA0E4" w14:textId="77777777" w:rsidR="00CC0487" w:rsidRPr="00E57BEF" w:rsidRDefault="00CC0487" w:rsidP="00DB6666">
            <w:pPr>
              <w:jc w:val="right"/>
              <w:rPr>
                <w:rFonts w:ascii="Arial Narrow" w:hAnsi="Arial Narrow"/>
                <w:sz w:val="18"/>
                <w:szCs w:val="18"/>
              </w:rPr>
            </w:pPr>
          </w:p>
        </w:tc>
      </w:tr>
      <w:tr w:rsidR="00CC0487" w:rsidRPr="00E57BEF" w14:paraId="1D4E6BE1" w14:textId="77777777" w:rsidTr="00DB6666">
        <w:trPr>
          <w:trHeight w:val="423"/>
        </w:trPr>
        <w:tc>
          <w:tcPr>
            <w:tcW w:w="4110" w:type="dxa"/>
            <w:tcBorders>
              <w:top w:val="single" w:sz="4" w:space="0" w:color="AAB8C4"/>
              <w:left w:val="nil"/>
              <w:bottom w:val="single" w:sz="8" w:space="0" w:color="AAB8C4"/>
              <w:right w:val="nil"/>
            </w:tcBorders>
            <w:shd w:val="clear" w:color="auto" w:fill="auto"/>
            <w:vAlign w:val="center"/>
            <w:hideMark/>
          </w:tcPr>
          <w:p w14:paraId="3E4E9218" w14:textId="77777777" w:rsidR="00CC0487" w:rsidRPr="00E57BEF" w:rsidRDefault="00CC0487" w:rsidP="00DB6666">
            <w:pPr>
              <w:rPr>
                <w:rFonts w:ascii="Arial Narrow" w:hAnsi="Arial Narrow" w:cs="Arial"/>
                <w:b/>
                <w:bCs/>
                <w:color w:val="000000"/>
                <w:sz w:val="18"/>
                <w:szCs w:val="18"/>
              </w:rPr>
            </w:pPr>
            <w:r w:rsidRPr="00E57BEF">
              <w:rPr>
                <w:rFonts w:ascii="Arial Narrow" w:hAnsi="Arial Narrow" w:cs="Arial"/>
                <w:b/>
                <w:bCs/>
                <w:color w:val="000000"/>
                <w:sz w:val="18"/>
                <w:szCs w:val="18"/>
              </w:rPr>
              <w:t>Insgesamt</w:t>
            </w:r>
          </w:p>
        </w:tc>
        <w:tc>
          <w:tcPr>
            <w:tcW w:w="1135" w:type="dxa"/>
            <w:tcBorders>
              <w:top w:val="single" w:sz="4" w:space="0" w:color="AAB8C4"/>
              <w:left w:val="nil"/>
              <w:bottom w:val="single" w:sz="8" w:space="0" w:color="AAB8C4"/>
              <w:right w:val="nil"/>
            </w:tcBorders>
            <w:shd w:val="clear" w:color="auto" w:fill="auto"/>
            <w:vAlign w:val="center"/>
            <w:hideMark/>
          </w:tcPr>
          <w:p w14:paraId="67478AA4" w14:textId="77777777" w:rsidR="00CC0487" w:rsidRPr="00E57BEF" w:rsidRDefault="00CC0487" w:rsidP="00DB6666">
            <w:pPr>
              <w:jc w:val="right"/>
              <w:rPr>
                <w:rFonts w:ascii="Arial Narrow" w:hAnsi="Arial Narrow" w:cs="Arial"/>
                <w:b/>
                <w:bCs/>
                <w:color w:val="000000"/>
                <w:sz w:val="18"/>
                <w:szCs w:val="18"/>
              </w:rPr>
            </w:pPr>
            <w:r w:rsidRPr="00E57BEF">
              <w:rPr>
                <w:rFonts w:ascii="Arial Narrow" w:hAnsi="Arial Narrow" w:cs="Arial"/>
                <w:b/>
                <w:bCs/>
                <w:color w:val="000000"/>
                <w:sz w:val="18"/>
                <w:szCs w:val="18"/>
              </w:rPr>
              <w:t>7.404</w:t>
            </w:r>
          </w:p>
        </w:tc>
        <w:tc>
          <w:tcPr>
            <w:tcW w:w="1134" w:type="dxa"/>
            <w:tcBorders>
              <w:top w:val="single" w:sz="4" w:space="0" w:color="AAB8C4"/>
              <w:left w:val="nil"/>
              <w:bottom w:val="single" w:sz="8" w:space="0" w:color="AAB8C4"/>
              <w:right w:val="nil"/>
            </w:tcBorders>
            <w:shd w:val="clear" w:color="auto" w:fill="auto"/>
            <w:vAlign w:val="center"/>
            <w:hideMark/>
          </w:tcPr>
          <w:p w14:paraId="3E9EB34F" w14:textId="77777777" w:rsidR="00CC0487" w:rsidRPr="00E57BEF" w:rsidRDefault="00CC0487" w:rsidP="00DB6666">
            <w:pPr>
              <w:jc w:val="right"/>
              <w:rPr>
                <w:rFonts w:ascii="Arial Narrow" w:hAnsi="Arial Narrow" w:cs="Arial"/>
                <w:b/>
                <w:bCs/>
                <w:color w:val="000000"/>
                <w:sz w:val="18"/>
                <w:szCs w:val="18"/>
              </w:rPr>
            </w:pPr>
            <w:r w:rsidRPr="00E57BEF">
              <w:rPr>
                <w:rFonts w:ascii="Arial Narrow" w:hAnsi="Arial Narrow" w:cs="Arial"/>
                <w:b/>
                <w:bCs/>
                <w:color w:val="000000"/>
                <w:sz w:val="18"/>
                <w:szCs w:val="18"/>
              </w:rPr>
              <w:t>7.635</w:t>
            </w:r>
          </w:p>
        </w:tc>
        <w:tc>
          <w:tcPr>
            <w:tcW w:w="992" w:type="dxa"/>
            <w:tcBorders>
              <w:top w:val="single" w:sz="4" w:space="0" w:color="AAB8C4"/>
              <w:left w:val="nil"/>
              <w:bottom w:val="single" w:sz="8" w:space="0" w:color="AAB8C4"/>
              <w:right w:val="nil"/>
            </w:tcBorders>
            <w:shd w:val="clear" w:color="auto" w:fill="auto"/>
            <w:vAlign w:val="center"/>
            <w:hideMark/>
          </w:tcPr>
          <w:p w14:paraId="6951AF98" w14:textId="77777777" w:rsidR="00CC0487" w:rsidRPr="00E57BEF" w:rsidRDefault="00CC0487" w:rsidP="00DB6666">
            <w:pPr>
              <w:jc w:val="right"/>
              <w:rPr>
                <w:rFonts w:ascii="Arial Narrow" w:hAnsi="Arial Narrow" w:cs="Arial"/>
                <w:b/>
                <w:bCs/>
                <w:color w:val="000000"/>
                <w:sz w:val="18"/>
                <w:szCs w:val="18"/>
              </w:rPr>
            </w:pPr>
            <w:r w:rsidRPr="00E57BEF">
              <w:rPr>
                <w:rFonts w:ascii="Arial Narrow" w:hAnsi="Arial Narrow" w:cs="Arial"/>
                <w:b/>
                <w:bCs/>
                <w:color w:val="000000"/>
                <w:sz w:val="18"/>
                <w:szCs w:val="18"/>
              </w:rPr>
              <w:t>267</w:t>
            </w:r>
          </w:p>
        </w:tc>
        <w:tc>
          <w:tcPr>
            <w:tcW w:w="1114" w:type="dxa"/>
            <w:tcBorders>
              <w:top w:val="single" w:sz="4" w:space="0" w:color="AAB8C4"/>
              <w:left w:val="nil"/>
              <w:bottom w:val="single" w:sz="8" w:space="0" w:color="AAB8C4"/>
              <w:right w:val="nil"/>
            </w:tcBorders>
            <w:shd w:val="clear" w:color="auto" w:fill="auto"/>
            <w:vAlign w:val="center"/>
            <w:hideMark/>
          </w:tcPr>
          <w:p w14:paraId="7DCA4882" w14:textId="77777777" w:rsidR="00CC0487" w:rsidRPr="00E57BEF" w:rsidRDefault="00CC0487" w:rsidP="00DB6666">
            <w:pPr>
              <w:jc w:val="right"/>
              <w:rPr>
                <w:rFonts w:ascii="Arial Narrow" w:hAnsi="Arial Narrow" w:cs="Arial"/>
                <w:b/>
                <w:bCs/>
                <w:color w:val="000000"/>
                <w:sz w:val="18"/>
                <w:szCs w:val="18"/>
              </w:rPr>
            </w:pPr>
            <w:r w:rsidRPr="00E57BEF">
              <w:rPr>
                <w:rFonts w:ascii="Arial Narrow" w:hAnsi="Arial Narrow" w:cs="Arial"/>
                <w:b/>
                <w:bCs/>
                <w:color w:val="000000"/>
                <w:sz w:val="18"/>
                <w:szCs w:val="18"/>
              </w:rPr>
              <w:t>3,5%</w:t>
            </w:r>
          </w:p>
        </w:tc>
        <w:tc>
          <w:tcPr>
            <w:tcW w:w="1243" w:type="dxa"/>
            <w:tcBorders>
              <w:top w:val="single" w:sz="4" w:space="0" w:color="AAB8C4"/>
              <w:left w:val="nil"/>
              <w:bottom w:val="single" w:sz="8" w:space="0" w:color="AAB8C4"/>
              <w:right w:val="nil"/>
            </w:tcBorders>
            <w:shd w:val="clear" w:color="auto" w:fill="auto"/>
            <w:vAlign w:val="center"/>
            <w:hideMark/>
          </w:tcPr>
          <w:p w14:paraId="544CB1D0" w14:textId="77777777" w:rsidR="00CC0487" w:rsidRPr="00E57BEF" w:rsidRDefault="00CC0487" w:rsidP="00DB6666">
            <w:pPr>
              <w:jc w:val="right"/>
              <w:rPr>
                <w:rFonts w:ascii="Arial Narrow" w:hAnsi="Arial Narrow" w:cs="Arial"/>
                <w:b/>
                <w:bCs/>
                <w:color w:val="000000"/>
                <w:sz w:val="18"/>
                <w:szCs w:val="18"/>
              </w:rPr>
            </w:pPr>
            <w:r w:rsidRPr="00E57BEF">
              <w:rPr>
                <w:rFonts w:ascii="Arial Narrow" w:hAnsi="Arial Narrow" w:cs="Arial"/>
                <w:b/>
                <w:bCs/>
                <w:color w:val="000000"/>
                <w:sz w:val="18"/>
                <w:szCs w:val="18"/>
              </w:rPr>
              <w:t>7.901</w:t>
            </w:r>
          </w:p>
        </w:tc>
      </w:tr>
    </w:tbl>
    <w:p w14:paraId="648D5F1E" w14:textId="77777777" w:rsidR="00CC0487" w:rsidRPr="003E7026" w:rsidRDefault="00CC0487" w:rsidP="00CC0487">
      <w:pPr>
        <w:keepNext/>
        <w:spacing w:before="120"/>
        <w:rPr>
          <w:rFonts w:cs="Arial"/>
          <w:i/>
          <w:iCs/>
          <w:sz w:val="16"/>
          <w:szCs w:val="16"/>
        </w:rPr>
      </w:pPr>
      <w:r w:rsidRPr="003E7026">
        <w:rPr>
          <w:rFonts w:cs="Arial"/>
          <w:i/>
          <w:iCs/>
          <w:sz w:val="16"/>
          <w:szCs w:val="16"/>
          <w:vertAlign w:val="superscript"/>
        </w:rPr>
        <w:t xml:space="preserve">1 </w:t>
      </w:r>
      <w:r w:rsidRPr="003E7026">
        <w:rPr>
          <w:rFonts w:cs="Arial"/>
          <w:i/>
          <w:iCs/>
          <w:sz w:val="16"/>
          <w:szCs w:val="16"/>
        </w:rPr>
        <w:t>In der Rechnungsperiode 2020-2021 geben die sonstigen Einnahmen (Sonstige) hauptsächlich nicht realisierte Devisengewinne/</w:t>
      </w:r>
      <w:r>
        <w:rPr>
          <w:rFonts w:cs="Arial"/>
          <w:i/>
          <w:iCs/>
          <w:sz w:val="16"/>
          <w:szCs w:val="16"/>
        </w:rPr>
        <w:t xml:space="preserve"> </w:t>
      </w:r>
      <w:r w:rsidRPr="003E7026">
        <w:rPr>
          <w:rFonts w:cs="Arial"/>
          <w:i/>
          <w:iCs/>
          <w:sz w:val="16"/>
          <w:szCs w:val="16"/>
        </w:rPr>
        <w:t>(</w:t>
      </w:r>
      <w:r>
        <w:rPr>
          <w:rFonts w:cs="Arial"/>
          <w:i/>
          <w:iCs/>
          <w:sz w:val="16"/>
          <w:szCs w:val="16"/>
        </w:rPr>
        <w:noBreakHyphen/>
      </w:r>
      <w:r w:rsidRPr="003E7026">
        <w:rPr>
          <w:rFonts w:cs="Arial"/>
          <w:i/>
          <w:iCs/>
          <w:sz w:val="16"/>
          <w:szCs w:val="16"/>
        </w:rPr>
        <w:t>verluste) bedingt durch den Neubewertungsprozess der Konten für Zahlungsmittel und sonstige Vermögenswerte und Verbindlichkeiten (andere Währungen als Schweizer Franken) wieder.</w:t>
      </w:r>
    </w:p>
    <w:p w14:paraId="1E86ED93" w14:textId="77777777" w:rsidR="00CC0487" w:rsidRPr="003E7026" w:rsidRDefault="00CC0487" w:rsidP="00CC0487"/>
    <w:p w14:paraId="3954D48E" w14:textId="77777777" w:rsidR="00CC0487" w:rsidRPr="003E7026" w:rsidRDefault="00CC0487" w:rsidP="00CC0487">
      <w:pPr>
        <w:jc w:val="left"/>
        <w:rPr>
          <w:sz w:val="18"/>
          <w:szCs w:val="16"/>
        </w:rPr>
      </w:pPr>
    </w:p>
    <w:p w14:paraId="066B0F40" w14:textId="77777777" w:rsidR="00CC0487" w:rsidRPr="00F642E7" w:rsidRDefault="00CC0487" w:rsidP="00CC0487">
      <w:pPr>
        <w:rPr>
          <w:spacing w:val="-2"/>
        </w:rPr>
      </w:pPr>
      <w:r w:rsidRPr="00F642E7">
        <w:rPr>
          <w:spacing w:val="-2"/>
        </w:rPr>
        <w:t>Die veranschlagten Einnahmen aus Gebühren für IT-Instrumente und Dienstleistungen der UPOV sind wie folgt:</w:t>
      </w:r>
    </w:p>
    <w:p w14:paraId="5434BE8D" w14:textId="77777777" w:rsidR="00CC0487" w:rsidRPr="003E7026" w:rsidRDefault="00CC0487" w:rsidP="00CC0487"/>
    <w:tbl>
      <w:tblPr>
        <w:tblW w:w="9733" w:type="dxa"/>
        <w:jc w:val="center"/>
        <w:tblLayout w:type="fixed"/>
        <w:tblLook w:val="04A0" w:firstRow="1" w:lastRow="0" w:firstColumn="1" w:lastColumn="0" w:noHBand="0" w:noVBand="1"/>
      </w:tblPr>
      <w:tblGrid>
        <w:gridCol w:w="2570"/>
        <w:gridCol w:w="1399"/>
        <w:gridCol w:w="993"/>
        <w:gridCol w:w="992"/>
        <w:gridCol w:w="992"/>
        <w:gridCol w:w="834"/>
        <w:gridCol w:w="976"/>
        <w:gridCol w:w="977"/>
      </w:tblGrid>
      <w:tr w:rsidR="00CC0487" w:rsidRPr="00E57BEF" w14:paraId="58551252" w14:textId="77777777" w:rsidTr="00DB6666">
        <w:trPr>
          <w:cantSplit/>
          <w:trHeight w:val="240"/>
          <w:jc w:val="center"/>
        </w:trPr>
        <w:tc>
          <w:tcPr>
            <w:tcW w:w="2570" w:type="dxa"/>
            <w:vMerge w:val="restart"/>
            <w:tcBorders>
              <w:top w:val="nil"/>
              <w:left w:val="nil"/>
              <w:bottom w:val="nil"/>
              <w:right w:val="nil"/>
            </w:tcBorders>
            <w:shd w:val="clear" w:color="000000" w:fill="C7CFD8"/>
            <w:vAlign w:val="bottom"/>
          </w:tcPr>
          <w:p w14:paraId="067EF8D3" w14:textId="77777777" w:rsidR="00CC0487" w:rsidRPr="00E57BEF" w:rsidRDefault="00CC0487" w:rsidP="00DB6666">
            <w:pPr>
              <w:rPr>
                <w:rFonts w:ascii="Arial Narrow" w:hAnsi="Arial Narrow"/>
                <w:sz w:val="18"/>
                <w:szCs w:val="18"/>
              </w:rPr>
            </w:pPr>
          </w:p>
        </w:tc>
        <w:tc>
          <w:tcPr>
            <w:tcW w:w="1399" w:type="dxa"/>
            <w:vMerge w:val="restart"/>
            <w:tcBorders>
              <w:top w:val="nil"/>
              <w:left w:val="nil"/>
              <w:bottom w:val="nil"/>
              <w:right w:val="nil"/>
            </w:tcBorders>
            <w:shd w:val="clear" w:color="000000" w:fill="C7CFD8"/>
            <w:vAlign w:val="center"/>
            <w:hideMark/>
          </w:tcPr>
          <w:p w14:paraId="501C62B6"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Einreichungen /</w:t>
            </w:r>
            <w:r w:rsidRPr="00E57BEF">
              <w:rPr>
                <w:rFonts w:ascii="Arial Narrow" w:hAnsi="Arial Narrow" w:cs="Arial"/>
                <w:b/>
                <w:bCs/>
                <w:sz w:val="18"/>
                <w:szCs w:val="18"/>
              </w:rPr>
              <w:br/>
              <w:t>Abonnement-gebühren</w:t>
            </w:r>
          </w:p>
        </w:tc>
        <w:tc>
          <w:tcPr>
            <w:tcW w:w="2977" w:type="dxa"/>
            <w:gridSpan w:val="3"/>
            <w:tcBorders>
              <w:top w:val="nil"/>
              <w:left w:val="nil"/>
              <w:bottom w:val="single" w:sz="4" w:space="0" w:color="BFBFBF"/>
              <w:right w:val="nil"/>
            </w:tcBorders>
            <w:shd w:val="clear" w:color="000000" w:fill="C7CFD8"/>
            <w:vAlign w:val="center"/>
            <w:hideMark/>
          </w:tcPr>
          <w:p w14:paraId="6C03B276"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Einreichungen / Prognosen</w:t>
            </w:r>
            <w:r w:rsidRPr="00E57BEF">
              <w:rPr>
                <w:rFonts w:ascii="Arial Narrow" w:hAnsi="Arial Narrow" w:cs="Arial"/>
                <w:b/>
                <w:bCs/>
                <w:sz w:val="18"/>
                <w:szCs w:val="18"/>
              </w:rPr>
              <w:br/>
              <w:t>Abonnenten</w:t>
            </w:r>
          </w:p>
        </w:tc>
        <w:tc>
          <w:tcPr>
            <w:tcW w:w="2787" w:type="dxa"/>
            <w:gridSpan w:val="3"/>
            <w:tcBorders>
              <w:top w:val="nil"/>
              <w:left w:val="nil"/>
              <w:bottom w:val="single" w:sz="4" w:space="0" w:color="BFBFBF"/>
              <w:right w:val="nil"/>
            </w:tcBorders>
            <w:shd w:val="clear" w:color="000000" w:fill="C7CFD8"/>
            <w:vAlign w:val="center"/>
            <w:hideMark/>
          </w:tcPr>
          <w:p w14:paraId="64E24A9B"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 xml:space="preserve">Einreichungen / Einnahmen Abonnenten </w:t>
            </w:r>
          </w:p>
        </w:tc>
      </w:tr>
      <w:tr w:rsidR="00CC0487" w:rsidRPr="00E57BEF" w14:paraId="19583F5B" w14:textId="77777777" w:rsidTr="00DB6666">
        <w:trPr>
          <w:cantSplit/>
          <w:trHeight w:val="358"/>
          <w:jc w:val="center"/>
        </w:trPr>
        <w:tc>
          <w:tcPr>
            <w:tcW w:w="2570" w:type="dxa"/>
            <w:vMerge/>
            <w:tcBorders>
              <w:top w:val="nil"/>
              <w:left w:val="nil"/>
              <w:bottom w:val="nil"/>
              <w:right w:val="nil"/>
            </w:tcBorders>
            <w:vAlign w:val="center"/>
            <w:hideMark/>
          </w:tcPr>
          <w:p w14:paraId="52ACB0D9" w14:textId="77777777" w:rsidR="00CC0487" w:rsidRPr="00E57BEF" w:rsidRDefault="00CC0487" w:rsidP="00DB6666">
            <w:pPr>
              <w:jc w:val="left"/>
              <w:rPr>
                <w:rFonts w:ascii="Arial Narrow" w:hAnsi="Arial Narrow" w:cs="Arial"/>
                <w:b/>
                <w:bCs/>
                <w:color w:val="00B050"/>
                <w:sz w:val="18"/>
                <w:szCs w:val="18"/>
              </w:rPr>
            </w:pPr>
          </w:p>
        </w:tc>
        <w:tc>
          <w:tcPr>
            <w:tcW w:w="1399" w:type="dxa"/>
            <w:vMerge/>
            <w:tcBorders>
              <w:top w:val="nil"/>
              <w:left w:val="nil"/>
              <w:bottom w:val="nil"/>
              <w:right w:val="nil"/>
            </w:tcBorders>
            <w:vAlign w:val="center"/>
            <w:hideMark/>
          </w:tcPr>
          <w:p w14:paraId="46096599" w14:textId="77777777" w:rsidR="00CC0487" w:rsidRPr="00E57BEF" w:rsidRDefault="00CC0487" w:rsidP="00DB6666">
            <w:pPr>
              <w:jc w:val="left"/>
              <w:rPr>
                <w:rFonts w:ascii="Arial Narrow" w:hAnsi="Arial Narrow" w:cs="Arial"/>
                <w:b/>
                <w:bCs/>
                <w:sz w:val="18"/>
                <w:szCs w:val="18"/>
              </w:rPr>
            </w:pPr>
          </w:p>
        </w:tc>
        <w:tc>
          <w:tcPr>
            <w:tcW w:w="993" w:type="dxa"/>
            <w:tcBorders>
              <w:top w:val="nil"/>
              <w:left w:val="nil"/>
              <w:bottom w:val="nil"/>
              <w:right w:val="nil"/>
            </w:tcBorders>
            <w:shd w:val="clear" w:color="000000" w:fill="C7CFD8"/>
            <w:vAlign w:val="center"/>
            <w:hideMark/>
          </w:tcPr>
          <w:p w14:paraId="718B8694"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2024</w:t>
            </w:r>
          </w:p>
        </w:tc>
        <w:tc>
          <w:tcPr>
            <w:tcW w:w="992" w:type="dxa"/>
            <w:tcBorders>
              <w:top w:val="nil"/>
              <w:left w:val="nil"/>
              <w:bottom w:val="nil"/>
              <w:right w:val="nil"/>
            </w:tcBorders>
            <w:shd w:val="clear" w:color="000000" w:fill="C7CFD8"/>
            <w:vAlign w:val="center"/>
            <w:hideMark/>
          </w:tcPr>
          <w:p w14:paraId="10B6E078"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2025</w:t>
            </w:r>
          </w:p>
        </w:tc>
        <w:tc>
          <w:tcPr>
            <w:tcW w:w="992" w:type="dxa"/>
            <w:tcBorders>
              <w:top w:val="nil"/>
              <w:left w:val="nil"/>
              <w:bottom w:val="nil"/>
              <w:right w:val="nil"/>
            </w:tcBorders>
            <w:shd w:val="clear" w:color="000000" w:fill="C7CFD8"/>
            <w:vAlign w:val="center"/>
            <w:hideMark/>
          </w:tcPr>
          <w:p w14:paraId="52CE0315"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Gesamt</w:t>
            </w:r>
          </w:p>
        </w:tc>
        <w:tc>
          <w:tcPr>
            <w:tcW w:w="834" w:type="dxa"/>
            <w:tcBorders>
              <w:top w:val="nil"/>
              <w:left w:val="single" w:sz="4" w:space="0" w:color="BFBFBF"/>
              <w:bottom w:val="nil"/>
              <w:right w:val="nil"/>
            </w:tcBorders>
            <w:shd w:val="clear" w:color="000000" w:fill="C7CFD8"/>
            <w:vAlign w:val="center"/>
            <w:hideMark/>
          </w:tcPr>
          <w:p w14:paraId="44590BE7"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2024</w:t>
            </w:r>
          </w:p>
        </w:tc>
        <w:tc>
          <w:tcPr>
            <w:tcW w:w="976" w:type="dxa"/>
            <w:tcBorders>
              <w:top w:val="nil"/>
              <w:left w:val="nil"/>
              <w:bottom w:val="nil"/>
              <w:right w:val="nil"/>
            </w:tcBorders>
            <w:shd w:val="clear" w:color="000000" w:fill="C7CFD8"/>
            <w:vAlign w:val="center"/>
            <w:hideMark/>
          </w:tcPr>
          <w:p w14:paraId="272A7D81"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2025</w:t>
            </w:r>
          </w:p>
        </w:tc>
        <w:tc>
          <w:tcPr>
            <w:tcW w:w="977" w:type="dxa"/>
            <w:tcBorders>
              <w:top w:val="nil"/>
              <w:left w:val="nil"/>
              <w:bottom w:val="nil"/>
              <w:right w:val="nil"/>
            </w:tcBorders>
            <w:shd w:val="clear" w:color="000000" w:fill="C7CFD8"/>
            <w:vAlign w:val="center"/>
            <w:hideMark/>
          </w:tcPr>
          <w:p w14:paraId="241D7683" w14:textId="77777777" w:rsidR="00CC0487" w:rsidRPr="00E57BEF" w:rsidRDefault="00CC0487" w:rsidP="00DB6666">
            <w:pPr>
              <w:jc w:val="center"/>
              <w:rPr>
                <w:rFonts w:ascii="Arial Narrow" w:hAnsi="Arial Narrow" w:cs="Arial"/>
                <w:b/>
                <w:bCs/>
                <w:sz w:val="18"/>
                <w:szCs w:val="18"/>
              </w:rPr>
            </w:pPr>
            <w:r w:rsidRPr="00E57BEF">
              <w:rPr>
                <w:rFonts w:ascii="Arial Narrow" w:hAnsi="Arial Narrow" w:cs="Arial"/>
                <w:b/>
                <w:bCs/>
                <w:sz w:val="18"/>
                <w:szCs w:val="18"/>
              </w:rPr>
              <w:t>Gesamt</w:t>
            </w:r>
          </w:p>
        </w:tc>
      </w:tr>
      <w:tr w:rsidR="00CC0487" w:rsidRPr="00E57BEF" w14:paraId="2E832629" w14:textId="77777777" w:rsidTr="00DB6666">
        <w:trPr>
          <w:cantSplit/>
          <w:trHeight w:val="362"/>
          <w:jc w:val="center"/>
        </w:trPr>
        <w:tc>
          <w:tcPr>
            <w:tcW w:w="2570" w:type="dxa"/>
            <w:tcBorders>
              <w:top w:val="nil"/>
              <w:left w:val="nil"/>
              <w:bottom w:val="nil"/>
              <w:right w:val="nil"/>
            </w:tcBorders>
            <w:shd w:val="clear" w:color="auto" w:fill="auto"/>
            <w:vAlign w:val="center"/>
            <w:hideMark/>
          </w:tcPr>
          <w:p w14:paraId="69834FA3" w14:textId="77777777" w:rsidR="00CC0487" w:rsidRPr="00E57BEF" w:rsidRDefault="00CC0487" w:rsidP="00DB6666">
            <w:pPr>
              <w:jc w:val="left"/>
              <w:rPr>
                <w:rFonts w:ascii="Arial Narrow" w:hAnsi="Arial Narrow" w:cs="Arial"/>
                <w:sz w:val="18"/>
                <w:szCs w:val="18"/>
              </w:rPr>
            </w:pPr>
            <w:r w:rsidRPr="00E57BEF">
              <w:rPr>
                <w:rFonts w:ascii="Arial Narrow" w:hAnsi="Arial Narrow" w:cs="Arial"/>
                <w:sz w:val="18"/>
                <w:szCs w:val="18"/>
              </w:rPr>
              <w:t>UPOV PRISMA</w:t>
            </w:r>
          </w:p>
        </w:tc>
        <w:tc>
          <w:tcPr>
            <w:tcW w:w="1399" w:type="dxa"/>
            <w:tcBorders>
              <w:top w:val="nil"/>
              <w:left w:val="nil"/>
              <w:bottom w:val="nil"/>
              <w:right w:val="nil"/>
            </w:tcBorders>
            <w:shd w:val="clear" w:color="auto" w:fill="auto"/>
            <w:noWrap/>
            <w:vAlign w:val="center"/>
            <w:hideMark/>
          </w:tcPr>
          <w:p w14:paraId="6D93084A" w14:textId="77777777" w:rsidR="00CC0487" w:rsidRPr="00E57BEF" w:rsidRDefault="00CC0487" w:rsidP="00DB6666">
            <w:pPr>
              <w:jc w:val="right"/>
              <w:rPr>
                <w:rFonts w:ascii="Arial Narrow" w:hAnsi="Arial Narrow" w:cs="Arial"/>
                <w:sz w:val="18"/>
                <w:szCs w:val="18"/>
              </w:rPr>
            </w:pPr>
            <w:r w:rsidRPr="00E57BEF">
              <w:rPr>
                <w:rFonts w:ascii="Arial Narrow" w:hAnsi="Arial Narrow" w:cs="Arial"/>
                <w:sz w:val="18"/>
                <w:szCs w:val="18"/>
              </w:rPr>
              <w:t>90</w:t>
            </w:r>
          </w:p>
        </w:tc>
        <w:tc>
          <w:tcPr>
            <w:tcW w:w="993" w:type="dxa"/>
            <w:tcBorders>
              <w:top w:val="nil"/>
              <w:left w:val="nil"/>
              <w:bottom w:val="nil"/>
              <w:right w:val="nil"/>
            </w:tcBorders>
            <w:shd w:val="clear" w:color="auto" w:fill="auto"/>
            <w:noWrap/>
            <w:vAlign w:val="center"/>
            <w:hideMark/>
          </w:tcPr>
          <w:p w14:paraId="3CB1E430" w14:textId="77777777" w:rsidR="00CC0487" w:rsidRPr="00E57BEF" w:rsidRDefault="00CC0487" w:rsidP="00DB6666">
            <w:pPr>
              <w:jc w:val="right"/>
              <w:rPr>
                <w:rFonts w:ascii="Arial Narrow" w:hAnsi="Arial Narrow" w:cs="Arial"/>
                <w:sz w:val="18"/>
                <w:szCs w:val="18"/>
              </w:rPr>
            </w:pPr>
            <w:r w:rsidRPr="00E57BEF">
              <w:rPr>
                <w:rFonts w:ascii="Arial Narrow" w:hAnsi="Arial Narrow" w:cs="Arial"/>
                <w:sz w:val="18"/>
                <w:szCs w:val="18"/>
              </w:rPr>
              <w:t>2.000</w:t>
            </w:r>
          </w:p>
        </w:tc>
        <w:tc>
          <w:tcPr>
            <w:tcW w:w="992" w:type="dxa"/>
            <w:tcBorders>
              <w:top w:val="nil"/>
              <w:left w:val="nil"/>
              <w:bottom w:val="nil"/>
              <w:right w:val="nil"/>
            </w:tcBorders>
            <w:shd w:val="clear" w:color="auto" w:fill="auto"/>
            <w:noWrap/>
            <w:vAlign w:val="center"/>
            <w:hideMark/>
          </w:tcPr>
          <w:p w14:paraId="0F8BCF18" w14:textId="77777777" w:rsidR="00CC0487" w:rsidRPr="00E57BEF" w:rsidRDefault="00CC0487" w:rsidP="00DB6666">
            <w:pPr>
              <w:jc w:val="right"/>
              <w:rPr>
                <w:rFonts w:ascii="Arial Narrow" w:hAnsi="Arial Narrow" w:cs="Arial"/>
                <w:sz w:val="18"/>
                <w:szCs w:val="18"/>
              </w:rPr>
            </w:pPr>
            <w:r w:rsidRPr="00E57BEF">
              <w:rPr>
                <w:rFonts w:ascii="Arial Narrow" w:hAnsi="Arial Narrow" w:cs="Arial"/>
                <w:sz w:val="18"/>
                <w:szCs w:val="18"/>
              </w:rPr>
              <w:t>2.400</w:t>
            </w:r>
          </w:p>
        </w:tc>
        <w:tc>
          <w:tcPr>
            <w:tcW w:w="992" w:type="dxa"/>
            <w:tcBorders>
              <w:top w:val="nil"/>
              <w:left w:val="nil"/>
              <w:bottom w:val="nil"/>
              <w:right w:val="nil"/>
            </w:tcBorders>
            <w:shd w:val="clear" w:color="auto" w:fill="auto"/>
            <w:noWrap/>
            <w:vAlign w:val="center"/>
            <w:hideMark/>
          </w:tcPr>
          <w:p w14:paraId="01949467" w14:textId="77777777" w:rsidR="00CC0487" w:rsidRPr="00E57BEF" w:rsidRDefault="00CC0487" w:rsidP="00DB6666">
            <w:pPr>
              <w:jc w:val="right"/>
              <w:rPr>
                <w:rFonts w:ascii="Arial Narrow" w:hAnsi="Arial Narrow" w:cs="Arial"/>
                <w:sz w:val="18"/>
                <w:szCs w:val="18"/>
              </w:rPr>
            </w:pPr>
            <w:r w:rsidRPr="00E57BEF">
              <w:rPr>
                <w:rFonts w:ascii="Arial Narrow" w:hAnsi="Arial Narrow" w:cs="Arial"/>
                <w:sz w:val="18"/>
                <w:szCs w:val="18"/>
              </w:rPr>
              <w:t>4.399</w:t>
            </w:r>
          </w:p>
        </w:tc>
        <w:tc>
          <w:tcPr>
            <w:tcW w:w="834" w:type="dxa"/>
            <w:tcBorders>
              <w:top w:val="nil"/>
              <w:left w:val="single" w:sz="4" w:space="0" w:color="BFBFBF"/>
              <w:bottom w:val="nil"/>
              <w:right w:val="nil"/>
            </w:tcBorders>
            <w:shd w:val="clear" w:color="auto" w:fill="auto"/>
            <w:noWrap/>
            <w:vAlign w:val="center"/>
            <w:hideMark/>
          </w:tcPr>
          <w:p w14:paraId="3C0DEE3D" w14:textId="77777777" w:rsidR="00CC0487" w:rsidRPr="00E57BEF" w:rsidRDefault="00CC0487" w:rsidP="00DB6666">
            <w:pPr>
              <w:jc w:val="right"/>
              <w:rPr>
                <w:rFonts w:ascii="Arial Narrow" w:hAnsi="Arial Narrow" w:cs="Arial"/>
                <w:sz w:val="18"/>
                <w:szCs w:val="18"/>
              </w:rPr>
            </w:pPr>
            <w:r w:rsidRPr="00E57BEF">
              <w:rPr>
                <w:rFonts w:ascii="Arial Narrow" w:hAnsi="Arial Narrow" w:cs="Arial"/>
                <w:sz w:val="18"/>
                <w:szCs w:val="18"/>
              </w:rPr>
              <w:t>179.966</w:t>
            </w:r>
          </w:p>
        </w:tc>
        <w:tc>
          <w:tcPr>
            <w:tcW w:w="976" w:type="dxa"/>
            <w:tcBorders>
              <w:top w:val="nil"/>
              <w:left w:val="nil"/>
              <w:bottom w:val="nil"/>
              <w:right w:val="nil"/>
            </w:tcBorders>
            <w:shd w:val="clear" w:color="auto" w:fill="auto"/>
            <w:noWrap/>
            <w:vAlign w:val="center"/>
            <w:hideMark/>
          </w:tcPr>
          <w:p w14:paraId="7D796430" w14:textId="77777777" w:rsidR="00CC0487" w:rsidRPr="00E57BEF" w:rsidRDefault="00CC0487" w:rsidP="00DB6666">
            <w:pPr>
              <w:jc w:val="right"/>
              <w:rPr>
                <w:rFonts w:ascii="Arial Narrow" w:hAnsi="Arial Narrow" w:cs="Arial"/>
                <w:sz w:val="18"/>
                <w:szCs w:val="18"/>
              </w:rPr>
            </w:pPr>
            <w:r w:rsidRPr="00E57BEF">
              <w:rPr>
                <w:rFonts w:ascii="Arial Narrow" w:hAnsi="Arial Narrow" w:cs="Arial"/>
                <w:sz w:val="18"/>
                <w:szCs w:val="18"/>
              </w:rPr>
              <w:t>215.959</w:t>
            </w:r>
          </w:p>
        </w:tc>
        <w:tc>
          <w:tcPr>
            <w:tcW w:w="977" w:type="dxa"/>
            <w:tcBorders>
              <w:top w:val="nil"/>
              <w:left w:val="nil"/>
              <w:bottom w:val="nil"/>
              <w:right w:val="nil"/>
            </w:tcBorders>
            <w:shd w:val="clear" w:color="auto" w:fill="auto"/>
            <w:noWrap/>
            <w:vAlign w:val="center"/>
            <w:hideMark/>
          </w:tcPr>
          <w:p w14:paraId="35057C6D" w14:textId="77777777" w:rsidR="00CC0487" w:rsidRPr="00E57BEF" w:rsidRDefault="00CC0487" w:rsidP="00DB6666">
            <w:pPr>
              <w:jc w:val="right"/>
              <w:rPr>
                <w:rFonts w:ascii="Arial Narrow" w:hAnsi="Arial Narrow" w:cs="Arial"/>
                <w:sz w:val="18"/>
                <w:szCs w:val="18"/>
              </w:rPr>
            </w:pPr>
            <w:r w:rsidRPr="00E57BEF">
              <w:rPr>
                <w:rFonts w:ascii="Arial Narrow" w:hAnsi="Arial Narrow" w:cs="Arial"/>
                <w:sz w:val="18"/>
                <w:szCs w:val="18"/>
              </w:rPr>
              <w:t>395.925</w:t>
            </w:r>
          </w:p>
        </w:tc>
      </w:tr>
      <w:tr w:rsidR="00CC0487" w:rsidRPr="00E57BEF" w14:paraId="5CF10668" w14:textId="77777777" w:rsidTr="00DB6666">
        <w:trPr>
          <w:cantSplit/>
          <w:trHeight w:val="362"/>
          <w:jc w:val="center"/>
        </w:trPr>
        <w:tc>
          <w:tcPr>
            <w:tcW w:w="2570" w:type="dxa"/>
            <w:tcBorders>
              <w:top w:val="nil"/>
              <w:left w:val="nil"/>
              <w:bottom w:val="nil"/>
              <w:right w:val="nil"/>
            </w:tcBorders>
            <w:shd w:val="clear" w:color="auto" w:fill="auto"/>
            <w:vAlign w:val="center"/>
            <w:hideMark/>
          </w:tcPr>
          <w:p w14:paraId="785BAE16" w14:textId="77777777" w:rsidR="00CC0487" w:rsidRPr="00E57BEF" w:rsidRDefault="00CC0487" w:rsidP="00DB6666">
            <w:pPr>
              <w:jc w:val="left"/>
              <w:rPr>
                <w:rFonts w:ascii="Arial Narrow" w:hAnsi="Arial Narrow" w:cs="Arial"/>
                <w:sz w:val="18"/>
                <w:szCs w:val="18"/>
              </w:rPr>
            </w:pPr>
            <w:r w:rsidRPr="00E57BEF">
              <w:rPr>
                <w:rFonts w:ascii="Arial Narrow" w:hAnsi="Arial Narrow" w:cs="Arial"/>
                <w:sz w:val="18"/>
                <w:szCs w:val="18"/>
              </w:rPr>
              <w:t>PLUTO</w:t>
            </w:r>
          </w:p>
        </w:tc>
        <w:tc>
          <w:tcPr>
            <w:tcW w:w="1399" w:type="dxa"/>
            <w:tcBorders>
              <w:top w:val="nil"/>
              <w:left w:val="nil"/>
              <w:bottom w:val="nil"/>
              <w:right w:val="nil"/>
            </w:tcBorders>
            <w:shd w:val="clear" w:color="auto" w:fill="auto"/>
            <w:noWrap/>
            <w:vAlign w:val="center"/>
            <w:hideMark/>
          </w:tcPr>
          <w:p w14:paraId="70326EDC" w14:textId="77777777" w:rsidR="00CC0487" w:rsidRPr="00E57BEF" w:rsidRDefault="00CC0487" w:rsidP="00DB6666">
            <w:pPr>
              <w:jc w:val="right"/>
              <w:rPr>
                <w:rFonts w:ascii="Arial Narrow" w:hAnsi="Arial Narrow" w:cs="Arial"/>
                <w:sz w:val="18"/>
                <w:szCs w:val="18"/>
              </w:rPr>
            </w:pPr>
            <w:r w:rsidRPr="00E57BEF">
              <w:rPr>
                <w:rFonts w:ascii="Arial Narrow" w:hAnsi="Arial Narrow" w:cs="Arial"/>
                <w:sz w:val="18"/>
                <w:szCs w:val="18"/>
              </w:rPr>
              <w:t>750</w:t>
            </w:r>
          </w:p>
        </w:tc>
        <w:tc>
          <w:tcPr>
            <w:tcW w:w="993" w:type="dxa"/>
            <w:tcBorders>
              <w:top w:val="nil"/>
              <w:left w:val="nil"/>
              <w:bottom w:val="nil"/>
              <w:right w:val="nil"/>
            </w:tcBorders>
            <w:shd w:val="clear" w:color="auto" w:fill="auto"/>
            <w:noWrap/>
            <w:vAlign w:val="center"/>
            <w:hideMark/>
          </w:tcPr>
          <w:p w14:paraId="59D3EB47" w14:textId="77777777" w:rsidR="00CC0487" w:rsidRPr="00E57BEF" w:rsidRDefault="00CC0487" w:rsidP="00DB6666">
            <w:pPr>
              <w:jc w:val="right"/>
              <w:rPr>
                <w:rFonts w:ascii="Arial Narrow" w:hAnsi="Arial Narrow" w:cs="Arial"/>
                <w:sz w:val="18"/>
                <w:szCs w:val="18"/>
              </w:rPr>
            </w:pPr>
            <w:r w:rsidRPr="00E57BEF">
              <w:rPr>
                <w:rFonts w:ascii="Arial Narrow" w:hAnsi="Arial Narrow" w:cs="Arial"/>
                <w:sz w:val="18"/>
                <w:szCs w:val="18"/>
              </w:rPr>
              <w:t>70</w:t>
            </w:r>
          </w:p>
        </w:tc>
        <w:tc>
          <w:tcPr>
            <w:tcW w:w="992" w:type="dxa"/>
            <w:tcBorders>
              <w:top w:val="nil"/>
              <w:left w:val="nil"/>
              <w:bottom w:val="nil"/>
              <w:right w:val="nil"/>
            </w:tcBorders>
            <w:shd w:val="clear" w:color="auto" w:fill="auto"/>
            <w:noWrap/>
            <w:vAlign w:val="center"/>
            <w:hideMark/>
          </w:tcPr>
          <w:p w14:paraId="31F5D84A" w14:textId="77777777" w:rsidR="00CC0487" w:rsidRPr="00E57BEF" w:rsidRDefault="00CC0487" w:rsidP="00DB6666">
            <w:pPr>
              <w:jc w:val="right"/>
              <w:rPr>
                <w:rFonts w:ascii="Arial Narrow" w:hAnsi="Arial Narrow" w:cs="Arial"/>
                <w:sz w:val="18"/>
                <w:szCs w:val="18"/>
              </w:rPr>
            </w:pPr>
            <w:r w:rsidRPr="00E57BEF">
              <w:rPr>
                <w:rFonts w:ascii="Arial Narrow" w:hAnsi="Arial Narrow" w:cs="Arial"/>
                <w:sz w:val="18"/>
                <w:szCs w:val="18"/>
              </w:rPr>
              <w:t>80</w:t>
            </w:r>
          </w:p>
        </w:tc>
        <w:tc>
          <w:tcPr>
            <w:tcW w:w="992" w:type="dxa"/>
            <w:tcBorders>
              <w:top w:val="nil"/>
              <w:left w:val="nil"/>
              <w:bottom w:val="nil"/>
              <w:right w:val="nil"/>
            </w:tcBorders>
            <w:shd w:val="clear" w:color="auto" w:fill="auto"/>
            <w:noWrap/>
            <w:vAlign w:val="center"/>
            <w:hideMark/>
          </w:tcPr>
          <w:p w14:paraId="3F774C06" w14:textId="77777777" w:rsidR="00CC0487" w:rsidRPr="00E57BEF" w:rsidRDefault="00CC0487" w:rsidP="00DB6666">
            <w:pPr>
              <w:jc w:val="right"/>
              <w:rPr>
                <w:rFonts w:ascii="Arial Narrow" w:hAnsi="Arial Narrow" w:cs="Arial"/>
                <w:sz w:val="18"/>
                <w:szCs w:val="18"/>
              </w:rPr>
            </w:pPr>
            <w:r w:rsidRPr="00E57BEF">
              <w:rPr>
                <w:rFonts w:ascii="Arial Narrow" w:hAnsi="Arial Narrow" w:cs="Arial"/>
                <w:sz w:val="18"/>
                <w:szCs w:val="18"/>
              </w:rPr>
              <w:t>150</w:t>
            </w:r>
          </w:p>
        </w:tc>
        <w:tc>
          <w:tcPr>
            <w:tcW w:w="834" w:type="dxa"/>
            <w:tcBorders>
              <w:top w:val="nil"/>
              <w:left w:val="single" w:sz="4" w:space="0" w:color="BFBFBF"/>
              <w:bottom w:val="single" w:sz="4" w:space="0" w:color="BFBFBF"/>
              <w:right w:val="nil"/>
            </w:tcBorders>
            <w:shd w:val="clear" w:color="auto" w:fill="auto"/>
            <w:noWrap/>
            <w:vAlign w:val="center"/>
            <w:hideMark/>
          </w:tcPr>
          <w:p w14:paraId="5EAC6469" w14:textId="77777777" w:rsidR="00CC0487" w:rsidRPr="00E57BEF" w:rsidRDefault="00CC0487" w:rsidP="00DB6666">
            <w:pPr>
              <w:jc w:val="right"/>
              <w:rPr>
                <w:rFonts w:ascii="Arial Narrow" w:hAnsi="Arial Narrow" w:cs="Arial"/>
                <w:sz w:val="18"/>
                <w:szCs w:val="18"/>
              </w:rPr>
            </w:pPr>
            <w:r w:rsidRPr="00E57BEF">
              <w:rPr>
                <w:rFonts w:ascii="Arial Narrow" w:hAnsi="Arial Narrow" w:cs="Arial"/>
                <w:sz w:val="18"/>
                <w:szCs w:val="18"/>
              </w:rPr>
              <w:t>52.500</w:t>
            </w:r>
          </w:p>
        </w:tc>
        <w:tc>
          <w:tcPr>
            <w:tcW w:w="976" w:type="dxa"/>
            <w:tcBorders>
              <w:top w:val="nil"/>
              <w:left w:val="nil"/>
              <w:bottom w:val="nil"/>
              <w:right w:val="nil"/>
            </w:tcBorders>
            <w:shd w:val="clear" w:color="auto" w:fill="auto"/>
            <w:noWrap/>
            <w:vAlign w:val="center"/>
            <w:hideMark/>
          </w:tcPr>
          <w:p w14:paraId="1694EF02" w14:textId="77777777" w:rsidR="00CC0487" w:rsidRPr="00E57BEF" w:rsidRDefault="00CC0487" w:rsidP="00DB6666">
            <w:pPr>
              <w:jc w:val="right"/>
              <w:rPr>
                <w:rFonts w:ascii="Arial Narrow" w:hAnsi="Arial Narrow" w:cs="Arial"/>
                <w:sz w:val="18"/>
                <w:szCs w:val="18"/>
              </w:rPr>
            </w:pPr>
            <w:r w:rsidRPr="00E57BEF">
              <w:rPr>
                <w:rFonts w:ascii="Arial Narrow" w:hAnsi="Arial Narrow" w:cs="Arial"/>
                <w:sz w:val="18"/>
                <w:szCs w:val="18"/>
              </w:rPr>
              <w:t>60.000</w:t>
            </w:r>
          </w:p>
        </w:tc>
        <w:tc>
          <w:tcPr>
            <w:tcW w:w="977" w:type="dxa"/>
            <w:tcBorders>
              <w:top w:val="nil"/>
              <w:left w:val="nil"/>
              <w:bottom w:val="nil"/>
              <w:right w:val="nil"/>
            </w:tcBorders>
            <w:shd w:val="clear" w:color="auto" w:fill="auto"/>
            <w:noWrap/>
            <w:vAlign w:val="center"/>
            <w:hideMark/>
          </w:tcPr>
          <w:p w14:paraId="6AA1D18D" w14:textId="77777777" w:rsidR="00CC0487" w:rsidRPr="00E57BEF" w:rsidRDefault="00CC0487" w:rsidP="00DB6666">
            <w:pPr>
              <w:jc w:val="right"/>
              <w:rPr>
                <w:rFonts w:ascii="Arial Narrow" w:hAnsi="Arial Narrow" w:cs="Arial"/>
                <w:sz w:val="18"/>
                <w:szCs w:val="18"/>
              </w:rPr>
            </w:pPr>
            <w:r w:rsidRPr="00E57BEF">
              <w:rPr>
                <w:rFonts w:ascii="Arial Narrow" w:hAnsi="Arial Narrow" w:cs="Arial"/>
                <w:sz w:val="18"/>
                <w:szCs w:val="18"/>
              </w:rPr>
              <w:t>112.500</w:t>
            </w:r>
          </w:p>
        </w:tc>
      </w:tr>
      <w:tr w:rsidR="00CC0487" w:rsidRPr="00E57BEF" w14:paraId="6C3FF13B" w14:textId="77777777" w:rsidTr="00DB6666">
        <w:trPr>
          <w:cantSplit/>
          <w:trHeight w:val="384"/>
          <w:jc w:val="center"/>
        </w:trPr>
        <w:tc>
          <w:tcPr>
            <w:tcW w:w="2570" w:type="dxa"/>
            <w:tcBorders>
              <w:top w:val="single" w:sz="4" w:space="0" w:color="BFBFBF"/>
              <w:left w:val="nil"/>
              <w:bottom w:val="single" w:sz="8" w:space="0" w:color="BFBFBF"/>
              <w:right w:val="nil"/>
            </w:tcBorders>
            <w:shd w:val="clear" w:color="auto" w:fill="auto"/>
            <w:vAlign w:val="center"/>
            <w:hideMark/>
          </w:tcPr>
          <w:p w14:paraId="258FAB1C" w14:textId="77777777" w:rsidR="00CC0487" w:rsidRPr="00E57BEF" w:rsidRDefault="00E57BEF" w:rsidP="00E57BEF">
            <w:pPr>
              <w:jc w:val="left"/>
              <w:rPr>
                <w:rFonts w:ascii="Arial Narrow" w:hAnsi="Arial Narrow" w:cs="Arial"/>
                <w:b/>
                <w:bCs/>
                <w:sz w:val="18"/>
                <w:szCs w:val="18"/>
              </w:rPr>
            </w:pPr>
            <w:r>
              <w:rPr>
                <w:rFonts w:ascii="Arial Narrow" w:hAnsi="Arial Narrow" w:cs="Arial"/>
                <w:b/>
                <w:bCs/>
                <w:sz w:val="18"/>
                <w:szCs w:val="18"/>
              </w:rPr>
              <w:t>Insgesamt</w:t>
            </w:r>
          </w:p>
        </w:tc>
        <w:tc>
          <w:tcPr>
            <w:tcW w:w="1399" w:type="dxa"/>
            <w:tcBorders>
              <w:top w:val="single" w:sz="4" w:space="0" w:color="BFBFBF"/>
              <w:left w:val="nil"/>
              <w:bottom w:val="single" w:sz="8" w:space="0" w:color="BFBFBF"/>
              <w:right w:val="nil"/>
            </w:tcBorders>
            <w:shd w:val="clear" w:color="auto" w:fill="auto"/>
            <w:vAlign w:val="center"/>
            <w:hideMark/>
          </w:tcPr>
          <w:p w14:paraId="13A41728" w14:textId="77777777" w:rsidR="00CC0487" w:rsidRPr="00E57BEF" w:rsidRDefault="00CC0487" w:rsidP="00DB6666">
            <w:pPr>
              <w:jc w:val="right"/>
              <w:rPr>
                <w:rFonts w:ascii="Arial Narrow" w:hAnsi="Arial Narrow" w:cs="Arial"/>
                <w:b/>
                <w:bCs/>
                <w:sz w:val="18"/>
                <w:szCs w:val="18"/>
              </w:rPr>
            </w:pPr>
          </w:p>
        </w:tc>
        <w:tc>
          <w:tcPr>
            <w:tcW w:w="993" w:type="dxa"/>
            <w:tcBorders>
              <w:top w:val="single" w:sz="4" w:space="0" w:color="BFBFBF"/>
              <w:left w:val="nil"/>
              <w:bottom w:val="single" w:sz="8" w:space="0" w:color="BFBFBF"/>
              <w:right w:val="nil"/>
            </w:tcBorders>
            <w:shd w:val="clear" w:color="auto" w:fill="auto"/>
            <w:noWrap/>
            <w:vAlign w:val="center"/>
            <w:hideMark/>
          </w:tcPr>
          <w:p w14:paraId="19192609" w14:textId="77777777" w:rsidR="00CC0487" w:rsidRPr="00E57BEF" w:rsidRDefault="00CC0487" w:rsidP="00DB6666">
            <w:pPr>
              <w:jc w:val="right"/>
              <w:rPr>
                <w:rFonts w:ascii="Arial Narrow" w:hAnsi="Arial Narrow" w:cs="Arial"/>
                <w:b/>
                <w:bCs/>
                <w:sz w:val="18"/>
                <w:szCs w:val="18"/>
              </w:rPr>
            </w:pPr>
          </w:p>
        </w:tc>
        <w:tc>
          <w:tcPr>
            <w:tcW w:w="992" w:type="dxa"/>
            <w:tcBorders>
              <w:top w:val="single" w:sz="4" w:space="0" w:color="BFBFBF"/>
              <w:left w:val="nil"/>
              <w:bottom w:val="single" w:sz="8" w:space="0" w:color="BFBFBF"/>
              <w:right w:val="nil"/>
            </w:tcBorders>
            <w:shd w:val="clear" w:color="auto" w:fill="auto"/>
            <w:noWrap/>
            <w:vAlign w:val="center"/>
            <w:hideMark/>
          </w:tcPr>
          <w:p w14:paraId="74D4EC33" w14:textId="77777777" w:rsidR="00CC0487" w:rsidRPr="00E57BEF" w:rsidRDefault="00CC0487" w:rsidP="00DB6666">
            <w:pPr>
              <w:jc w:val="right"/>
              <w:rPr>
                <w:rFonts w:ascii="Arial Narrow" w:hAnsi="Arial Narrow" w:cs="Arial"/>
                <w:b/>
                <w:bCs/>
                <w:sz w:val="18"/>
                <w:szCs w:val="18"/>
              </w:rPr>
            </w:pPr>
          </w:p>
        </w:tc>
        <w:tc>
          <w:tcPr>
            <w:tcW w:w="992" w:type="dxa"/>
            <w:tcBorders>
              <w:top w:val="single" w:sz="4" w:space="0" w:color="BFBFBF"/>
              <w:left w:val="nil"/>
              <w:bottom w:val="single" w:sz="8" w:space="0" w:color="BFBFBF"/>
              <w:right w:val="nil"/>
            </w:tcBorders>
            <w:shd w:val="clear" w:color="auto" w:fill="auto"/>
            <w:noWrap/>
            <w:vAlign w:val="center"/>
            <w:hideMark/>
          </w:tcPr>
          <w:p w14:paraId="277664ED" w14:textId="77777777" w:rsidR="00CC0487" w:rsidRPr="00E57BEF" w:rsidRDefault="00CC0487" w:rsidP="00DB6666">
            <w:pPr>
              <w:jc w:val="right"/>
              <w:rPr>
                <w:rFonts w:ascii="Arial Narrow" w:hAnsi="Arial Narrow" w:cs="Arial"/>
                <w:b/>
                <w:bCs/>
                <w:sz w:val="18"/>
                <w:szCs w:val="18"/>
              </w:rPr>
            </w:pPr>
          </w:p>
        </w:tc>
        <w:tc>
          <w:tcPr>
            <w:tcW w:w="834" w:type="dxa"/>
            <w:tcBorders>
              <w:top w:val="single" w:sz="4" w:space="0" w:color="BFBFBF"/>
              <w:left w:val="nil"/>
              <w:bottom w:val="single" w:sz="8" w:space="0" w:color="BFBFBF"/>
              <w:right w:val="nil"/>
            </w:tcBorders>
            <w:shd w:val="clear" w:color="auto" w:fill="auto"/>
            <w:noWrap/>
            <w:vAlign w:val="center"/>
            <w:hideMark/>
          </w:tcPr>
          <w:p w14:paraId="040AB071" w14:textId="77777777" w:rsidR="00CC0487" w:rsidRPr="00E57BEF" w:rsidRDefault="00CC0487" w:rsidP="00DB6666">
            <w:pPr>
              <w:jc w:val="right"/>
              <w:rPr>
                <w:rFonts w:ascii="Arial Narrow" w:hAnsi="Arial Narrow" w:cs="Arial"/>
                <w:b/>
                <w:bCs/>
                <w:sz w:val="18"/>
                <w:szCs w:val="18"/>
              </w:rPr>
            </w:pPr>
            <w:r w:rsidRPr="00E57BEF">
              <w:rPr>
                <w:rFonts w:ascii="Arial Narrow" w:hAnsi="Arial Narrow" w:cs="Arial"/>
                <w:b/>
                <w:bCs/>
                <w:sz w:val="18"/>
                <w:szCs w:val="18"/>
              </w:rPr>
              <w:t>232.466</w:t>
            </w:r>
          </w:p>
        </w:tc>
        <w:tc>
          <w:tcPr>
            <w:tcW w:w="976" w:type="dxa"/>
            <w:tcBorders>
              <w:top w:val="single" w:sz="4" w:space="0" w:color="BFBFBF"/>
              <w:left w:val="nil"/>
              <w:bottom w:val="single" w:sz="8" w:space="0" w:color="BFBFBF"/>
              <w:right w:val="nil"/>
            </w:tcBorders>
            <w:shd w:val="clear" w:color="auto" w:fill="auto"/>
            <w:noWrap/>
            <w:vAlign w:val="center"/>
            <w:hideMark/>
          </w:tcPr>
          <w:p w14:paraId="291F9873" w14:textId="77777777" w:rsidR="00CC0487" w:rsidRPr="00E57BEF" w:rsidRDefault="00CC0487" w:rsidP="00DB6666">
            <w:pPr>
              <w:jc w:val="right"/>
              <w:rPr>
                <w:rFonts w:ascii="Arial Narrow" w:hAnsi="Arial Narrow" w:cs="Arial"/>
                <w:b/>
                <w:bCs/>
                <w:sz w:val="18"/>
                <w:szCs w:val="18"/>
              </w:rPr>
            </w:pPr>
            <w:r w:rsidRPr="00E57BEF">
              <w:rPr>
                <w:rFonts w:ascii="Arial Narrow" w:hAnsi="Arial Narrow" w:cs="Arial"/>
                <w:b/>
                <w:bCs/>
                <w:sz w:val="18"/>
                <w:szCs w:val="18"/>
              </w:rPr>
              <w:t>275.959</w:t>
            </w:r>
          </w:p>
        </w:tc>
        <w:tc>
          <w:tcPr>
            <w:tcW w:w="977" w:type="dxa"/>
            <w:tcBorders>
              <w:top w:val="single" w:sz="4" w:space="0" w:color="BFBFBF"/>
              <w:left w:val="nil"/>
              <w:bottom w:val="single" w:sz="8" w:space="0" w:color="BFBFBF"/>
              <w:right w:val="nil"/>
            </w:tcBorders>
            <w:shd w:val="clear" w:color="auto" w:fill="auto"/>
            <w:noWrap/>
            <w:vAlign w:val="center"/>
            <w:hideMark/>
          </w:tcPr>
          <w:p w14:paraId="3C282C80" w14:textId="77777777" w:rsidR="00CC0487" w:rsidRPr="00E57BEF" w:rsidRDefault="00CC0487" w:rsidP="00DB6666">
            <w:pPr>
              <w:jc w:val="right"/>
              <w:rPr>
                <w:rFonts w:ascii="Arial Narrow" w:hAnsi="Arial Narrow" w:cs="Arial"/>
                <w:b/>
                <w:bCs/>
                <w:sz w:val="18"/>
                <w:szCs w:val="18"/>
              </w:rPr>
            </w:pPr>
            <w:r w:rsidRPr="00E57BEF">
              <w:rPr>
                <w:rFonts w:ascii="Arial Narrow" w:hAnsi="Arial Narrow" w:cs="Arial"/>
                <w:b/>
                <w:bCs/>
                <w:sz w:val="18"/>
                <w:szCs w:val="18"/>
              </w:rPr>
              <w:t>508.425</w:t>
            </w:r>
          </w:p>
        </w:tc>
      </w:tr>
    </w:tbl>
    <w:p w14:paraId="6C165041" w14:textId="77777777" w:rsidR="00CC0487" w:rsidRPr="003E7026" w:rsidRDefault="00CC0487" w:rsidP="00CC0487">
      <w:pPr>
        <w:spacing w:after="120"/>
        <w:ind w:left="426" w:hanging="426"/>
        <w:jc w:val="left"/>
        <w:rPr>
          <w:i/>
          <w:sz w:val="18"/>
          <w:szCs w:val="16"/>
        </w:rPr>
      </w:pPr>
    </w:p>
    <w:p w14:paraId="2F11B624" w14:textId="77777777" w:rsidR="00CC0487" w:rsidRPr="003E7026" w:rsidRDefault="00CC0487" w:rsidP="00CC0487">
      <w:r w:rsidRPr="003E7026">
        <w:t xml:space="preserve">Die Zahlen für </w:t>
      </w:r>
      <w:r>
        <w:t>UPOV PRISMA</w:t>
      </w:r>
      <w:r w:rsidRPr="003E7026">
        <w:t xml:space="preserve"> beruhen auf den Prognosen in Dokument CC/99/4 „Finanzierung von </w:t>
      </w:r>
      <w:r>
        <w:t>UPOV PRISMA</w:t>
      </w:r>
      <w:r w:rsidRPr="003E7026">
        <w:t xml:space="preserve">“, aktualisiert um die tatsächlichen Zahlen </w:t>
      </w:r>
      <w:r w:rsidR="00497750">
        <w:t>im</w:t>
      </w:r>
      <w:r w:rsidR="00923A6F">
        <w:t xml:space="preserve"> Jahre</w:t>
      </w:r>
      <w:r w:rsidRPr="003E7026">
        <w:t xml:space="preserve"> 2022. </w:t>
      </w:r>
    </w:p>
    <w:p w14:paraId="5585458A" w14:textId="77777777" w:rsidR="00CC0487" w:rsidRPr="003E7026" w:rsidRDefault="00CC0487" w:rsidP="00CC0487"/>
    <w:p w14:paraId="74C99D64" w14:textId="77777777" w:rsidR="00CC0487" w:rsidRPr="003E7026" w:rsidRDefault="00CC0487" w:rsidP="00CC0487"/>
    <w:p w14:paraId="75A7F27F" w14:textId="77777777" w:rsidR="00CC0487" w:rsidRPr="003E7026" w:rsidRDefault="00CC0487" w:rsidP="00CC0487">
      <w:pPr>
        <w:pStyle w:val="Heading3"/>
        <w:rPr>
          <w:lang w:val="de-DE"/>
        </w:rPr>
      </w:pPr>
      <w:bookmarkStart w:id="422" w:name="_Toc128060720"/>
      <w:r w:rsidRPr="003E7026">
        <w:rPr>
          <w:lang w:val="de-DE"/>
        </w:rPr>
        <w:t>Mittelplan</w:t>
      </w:r>
      <w:bookmarkEnd w:id="422"/>
    </w:p>
    <w:p w14:paraId="470EE500" w14:textId="77777777" w:rsidR="00CC0487" w:rsidRPr="003E7026" w:rsidRDefault="00CC0487" w:rsidP="00CC0487">
      <w:pPr>
        <w:rPr>
          <w:sz w:val="18"/>
          <w:szCs w:val="16"/>
        </w:rPr>
      </w:pPr>
    </w:p>
    <w:p w14:paraId="21741C60" w14:textId="77777777" w:rsidR="00CC0487" w:rsidRPr="003E7026" w:rsidRDefault="00CC0487" w:rsidP="00CC0487">
      <w:r w:rsidRPr="003E7026">
        <w:t>Die gesamten Ressourcen für das Tätigkeitsprogramm, das die UPOV in der Rechnungsperiode</w:t>
      </w:r>
      <w:r w:rsidRPr="003E7026">
        <w:rPr>
          <w:snapToGrid w:val="0"/>
          <w:spacing w:val="-2"/>
          <w:szCs w:val="24"/>
        </w:rPr>
        <w:t xml:space="preserve"> </w:t>
      </w:r>
      <w:r w:rsidRPr="003E7026">
        <w:rPr>
          <w:snapToGrid w:val="0"/>
        </w:rPr>
        <w:t xml:space="preserve">2024-2025 </w:t>
      </w:r>
      <w:r w:rsidRPr="003E7026">
        <w:t xml:space="preserve">durchzuführen gedenkt, beläuft sich auf 8.821.661 Schweizer </w:t>
      </w:r>
      <w:r w:rsidRPr="003E7026">
        <w:rPr>
          <w:szCs w:val="24"/>
        </w:rPr>
        <w:t>Franken (vergleiche Tabelle 3)</w:t>
      </w:r>
      <w:r w:rsidRPr="003E7026">
        <w:t xml:space="preserve">. Dieser Betrag umfasst 7.901.307 </w:t>
      </w:r>
      <w:r w:rsidRPr="003E7026">
        <w:rPr>
          <w:szCs w:val="24"/>
        </w:rPr>
        <w:t xml:space="preserve">Schweizer Franken </w:t>
      </w:r>
      <w:r w:rsidRPr="003E7026">
        <w:t xml:space="preserve">im ordentlichen Haushalt (vergleiche Tabelle 1) und geschätzte 920.354 </w:t>
      </w:r>
      <w:r w:rsidRPr="003E7026">
        <w:rPr>
          <w:szCs w:val="24"/>
        </w:rPr>
        <w:t>Schweizer Franken</w:t>
      </w:r>
      <w:r w:rsidRPr="003E7026">
        <w:t>, die im Rahmen von Treuhandvereinbarungen finanziert werden.</w:t>
      </w:r>
    </w:p>
    <w:p w14:paraId="7E714D83" w14:textId="77777777" w:rsidR="00CC0487" w:rsidRPr="003E7026" w:rsidRDefault="00CC0487" w:rsidP="00CC0487">
      <w:pPr>
        <w:tabs>
          <w:tab w:val="left" w:pos="567"/>
        </w:tabs>
      </w:pPr>
    </w:p>
    <w:p w14:paraId="5BB79519" w14:textId="77777777" w:rsidR="00CC0487" w:rsidRPr="003E7026" w:rsidRDefault="00CC0487" w:rsidP="00CC0487">
      <w:pPr>
        <w:keepLines/>
        <w:tabs>
          <w:tab w:val="left" w:pos="567"/>
        </w:tabs>
      </w:pPr>
      <w:r w:rsidRPr="003E7026">
        <w:t xml:space="preserve">Für die Rechnungsperiode </w:t>
      </w:r>
      <w:r w:rsidRPr="003E7026">
        <w:rPr>
          <w:snapToGrid w:val="0"/>
          <w:spacing w:val="-2"/>
          <w:szCs w:val="24"/>
        </w:rPr>
        <w:t>2024-2025 dürften sich Einnahmen und Ausgaben im ordentlichen Haushalt die Waage halten</w:t>
      </w:r>
      <w:r w:rsidRPr="003E7026">
        <w:t>.</w:t>
      </w:r>
    </w:p>
    <w:p w14:paraId="2CDFB953" w14:textId="77777777" w:rsidR="00CC0487" w:rsidRPr="003E7026" w:rsidRDefault="00CC0487" w:rsidP="00CC0487">
      <w:pPr>
        <w:tabs>
          <w:tab w:val="left" w:pos="567"/>
        </w:tabs>
      </w:pPr>
    </w:p>
    <w:p w14:paraId="1DD56571" w14:textId="77777777" w:rsidR="00CC0487" w:rsidRPr="003E7026" w:rsidRDefault="00CC0487" w:rsidP="00CC0487">
      <w:pPr>
        <w:tabs>
          <w:tab w:val="left" w:pos="567"/>
        </w:tabs>
        <w:rPr>
          <w:spacing w:val="-2"/>
          <w:szCs w:val="24"/>
        </w:rPr>
      </w:pPr>
      <w:r w:rsidRPr="003E7026">
        <w:t xml:space="preserve">Treuhandgelder sind freiwillige Geldzuwendungen, üblicherweise von Verbandsmitgliedern, an die UPOV und werden in der Regel zur Finanzierung eines zwischen dem Verbandsbüro und dem entsprechenden Verbandsmitglied vereinbarten spezifischen Programms bereitgestellt. Ohne die unabhängigen Entscheidungen von Gebern beeinflussen zu wollen, wird damit gerechnet, dass sich der Gesamtbetrag solcher Gelder für die Rechnungsperiode </w:t>
      </w:r>
      <w:r w:rsidRPr="003E7026">
        <w:rPr>
          <w:snapToGrid w:val="0"/>
          <w:spacing w:val="-2"/>
          <w:szCs w:val="24"/>
        </w:rPr>
        <w:t xml:space="preserve">2024-2025 auf </w:t>
      </w:r>
      <w:r w:rsidRPr="003E7026">
        <w:rPr>
          <w:spacing w:val="-2"/>
          <w:szCs w:val="24"/>
        </w:rPr>
        <w:t xml:space="preserve">920.354 Schweizer Franken belaufen wird. Es ist zu erwähnen, dass geldliche Beiträge (z.B. Treuhandgelder) und nicht-geldliche Beiträge (Sachleistungen), insbesondere für technische Unterstützung und Ausbildungsveranstaltungen, im </w:t>
      </w:r>
      <w:r w:rsidR="003902A9">
        <w:rPr>
          <w:spacing w:val="-2"/>
          <w:szCs w:val="24"/>
        </w:rPr>
        <w:t xml:space="preserve">ordentlichen </w:t>
      </w:r>
      <w:r w:rsidRPr="003E7026">
        <w:rPr>
          <w:spacing w:val="-2"/>
          <w:szCs w:val="24"/>
        </w:rPr>
        <w:t>Haushaltsplan der UPOV nicht ausgewiesen sind</w:t>
      </w:r>
      <w:r w:rsidRPr="003E7026">
        <w:t>.</w:t>
      </w:r>
    </w:p>
    <w:p w14:paraId="1EA1740C" w14:textId="77777777" w:rsidR="00CC0487" w:rsidRPr="003E7026" w:rsidRDefault="00CC0487" w:rsidP="00CC0487">
      <w:pPr>
        <w:rPr>
          <w:spacing w:val="-2"/>
          <w:szCs w:val="24"/>
        </w:rPr>
      </w:pPr>
    </w:p>
    <w:p w14:paraId="32EDBB97" w14:textId="77777777" w:rsidR="00CC0487" w:rsidRPr="003E7026" w:rsidRDefault="00CC0487" w:rsidP="00CC0487">
      <w:pPr>
        <w:jc w:val="left"/>
        <w:rPr>
          <w:rFonts w:cs="Arial"/>
          <w:b/>
          <w:bCs/>
          <w:color w:val="26724C" w:themeColor="accent1" w:themeShade="BF"/>
        </w:rPr>
      </w:pPr>
      <w:r w:rsidRPr="003E7026">
        <w:rPr>
          <w:rFonts w:cs="Arial"/>
          <w:b/>
          <w:bCs/>
          <w:color w:val="26724C" w:themeColor="accent1" w:themeShade="BF"/>
        </w:rPr>
        <w:br w:type="page"/>
      </w:r>
    </w:p>
    <w:p w14:paraId="6542516A" w14:textId="77777777" w:rsidR="00CC0487" w:rsidRPr="003E7026" w:rsidRDefault="00CC0487" w:rsidP="00CC0487">
      <w:pPr>
        <w:jc w:val="center"/>
        <w:rPr>
          <w:color w:val="26724C" w:themeColor="accent1" w:themeShade="BF"/>
          <w:spacing w:val="-2"/>
          <w:szCs w:val="24"/>
        </w:rPr>
      </w:pPr>
      <w:r w:rsidRPr="003E7026">
        <w:rPr>
          <w:rFonts w:cs="Arial"/>
          <w:b/>
          <w:bCs/>
          <w:color w:val="26724C" w:themeColor="accent1" w:themeShade="BF"/>
        </w:rPr>
        <w:lastRenderedPageBreak/>
        <w:t>Tabelle 3: Mittelplan 2022-2023 und 2024-2025</w:t>
      </w:r>
    </w:p>
    <w:p w14:paraId="3C3A4D3D" w14:textId="77777777" w:rsidR="00CC0487" w:rsidRPr="003E7026" w:rsidRDefault="00CC0487" w:rsidP="00CC0487">
      <w:pPr>
        <w:jc w:val="center"/>
        <w:rPr>
          <w:rFonts w:cs="Arial"/>
          <w:i/>
          <w:iCs/>
          <w:sz w:val="18"/>
        </w:rPr>
      </w:pPr>
      <w:r w:rsidRPr="003E7026">
        <w:rPr>
          <w:rFonts w:cs="Arial"/>
          <w:i/>
          <w:iCs/>
          <w:sz w:val="18"/>
        </w:rPr>
        <w:t>(in tausend Schweizer Franken)</w:t>
      </w:r>
    </w:p>
    <w:p w14:paraId="23B1EF0F" w14:textId="77777777" w:rsidR="00CC0487" w:rsidRPr="003E7026" w:rsidRDefault="00CC0487" w:rsidP="00CC0487">
      <w:pPr>
        <w:jc w:val="center"/>
        <w:rPr>
          <w:spacing w:val="-2"/>
          <w:szCs w:val="24"/>
        </w:rPr>
      </w:pPr>
    </w:p>
    <w:tbl>
      <w:tblPr>
        <w:tblW w:w="9729" w:type="dxa"/>
        <w:tblLook w:val="04A0" w:firstRow="1" w:lastRow="0" w:firstColumn="1" w:lastColumn="0" w:noHBand="0" w:noVBand="1"/>
      </w:tblPr>
      <w:tblGrid>
        <w:gridCol w:w="482"/>
        <w:gridCol w:w="3771"/>
        <w:gridCol w:w="1793"/>
        <w:gridCol w:w="1778"/>
        <w:gridCol w:w="1905"/>
      </w:tblGrid>
      <w:tr w:rsidR="00CC0487" w:rsidRPr="00462A53" w14:paraId="707055CF" w14:textId="77777777" w:rsidTr="00DB6666">
        <w:trPr>
          <w:trHeight w:val="431"/>
        </w:trPr>
        <w:tc>
          <w:tcPr>
            <w:tcW w:w="4253" w:type="dxa"/>
            <w:gridSpan w:val="2"/>
            <w:vMerge w:val="restart"/>
            <w:tcBorders>
              <w:top w:val="nil"/>
              <w:left w:val="nil"/>
              <w:bottom w:val="nil"/>
              <w:right w:val="nil"/>
            </w:tcBorders>
            <w:shd w:val="clear" w:color="000000" w:fill="C7CFD8"/>
            <w:vAlign w:val="center"/>
            <w:hideMark/>
          </w:tcPr>
          <w:p w14:paraId="7C2CDA61" w14:textId="77777777" w:rsidR="00CC0487" w:rsidRPr="00462A53" w:rsidRDefault="00CC0487" w:rsidP="00DB6666">
            <w:pPr>
              <w:jc w:val="left"/>
              <w:rPr>
                <w:rFonts w:ascii="Arial Narrow" w:hAnsi="Arial Narrow" w:cs="Arial"/>
                <w:b/>
                <w:bCs/>
                <w:sz w:val="18"/>
                <w:szCs w:val="18"/>
              </w:rPr>
            </w:pPr>
            <w:r w:rsidRPr="00462A53">
              <w:rPr>
                <w:rFonts w:ascii="Arial Narrow" w:hAnsi="Arial Narrow" w:cs="Arial"/>
                <w:b/>
                <w:bCs/>
                <w:sz w:val="18"/>
                <w:szCs w:val="18"/>
              </w:rPr>
              <w:t>Haushaltsplan und Mittelverfügbarkeit</w:t>
            </w:r>
          </w:p>
        </w:tc>
        <w:tc>
          <w:tcPr>
            <w:tcW w:w="1793" w:type="dxa"/>
            <w:tcBorders>
              <w:top w:val="nil"/>
              <w:left w:val="nil"/>
              <w:bottom w:val="nil"/>
              <w:right w:val="nil"/>
            </w:tcBorders>
            <w:shd w:val="clear" w:color="000000" w:fill="C7CFD8"/>
            <w:vAlign w:val="center"/>
            <w:hideMark/>
          </w:tcPr>
          <w:p w14:paraId="5FC2A376" w14:textId="77777777" w:rsidR="00CC0487" w:rsidRPr="00462A53" w:rsidRDefault="00CC0487" w:rsidP="00DB6666">
            <w:pPr>
              <w:jc w:val="center"/>
              <w:rPr>
                <w:rFonts w:ascii="Arial Narrow" w:hAnsi="Arial Narrow" w:cs="Arial"/>
                <w:b/>
                <w:bCs/>
                <w:sz w:val="18"/>
                <w:szCs w:val="18"/>
              </w:rPr>
            </w:pPr>
            <w:r w:rsidRPr="00462A53">
              <w:rPr>
                <w:rFonts w:ascii="Arial Narrow" w:hAnsi="Arial Narrow" w:cs="Arial"/>
                <w:b/>
                <w:bCs/>
                <w:sz w:val="18"/>
                <w:szCs w:val="18"/>
              </w:rPr>
              <w:t xml:space="preserve">Ordentlicher Haushalt </w:t>
            </w:r>
          </w:p>
        </w:tc>
        <w:tc>
          <w:tcPr>
            <w:tcW w:w="1778" w:type="dxa"/>
            <w:tcBorders>
              <w:top w:val="nil"/>
              <w:left w:val="nil"/>
              <w:bottom w:val="nil"/>
              <w:right w:val="nil"/>
            </w:tcBorders>
            <w:shd w:val="clear" w:color="000000" w:fill="C7CFD8"/>
            <w:vAlign w:val="center"/>
            <w:hideMark/>
          </w:tcPr>
          <w:p w14:paraId="4905D92E" w14:textId="77777777" w:rsidR="00CC0487" w:rsidRPr="00462A53" w:rsidRDefault="00CC0487" w:rsidP="00DB6666">
            <w:pPr>
              <w:jc w:val="center"/>
              <w:rPr>
                <w:rFonts w:ascii="Arial Narrow" w:hAnsi="Arial Narrow" w:cs="Arial"/>
                <w:b/>
                <w:bCs/>
                <w:sz w:val="18"/>
                <w:szCs w:val="18"/>
              </w:rPr>
            </w:pPr>
            <w:r w:rsidRPr="00462A53">
              <w:rPr>
                <w:rFonts w:ascii="Arial Narrow" w:hAnsi="Arial Narrow" w:cs="Arial"/>
                <w:b/>
                <w:bCs/>
                <w:sz w:val="18"/>
                <w:szCs w:val="18"/>
              </w:rPr>
              <w:t xml:space="preserve">Treuhandgelder * </w:t>
            </w:r>
          </w:p>
        </w:tc>
        <w:tc>
          <w:tcPr>
            <w:tcW w:w="1905" w:type="dxa"/>
            <w:tcBorders>
              <w:top w:val="nil"/>
              <w:left w:val="nil"/>
              <w:bottom w:val="nil"/>
              <w:right w:val="nil"/>
            </w:tcBorders>
            <w:shd w:val="clear" w:color="000000" w:fill="C7CFD8"/>
            <w:vAlign w:val="center"/>
            <w:hideMark/>
          </w:tcPr>
          <w:p w14:paraId="0069A876" w14:textId="77777777" w:rsidR="00CC0487" w:rsidRPr="00462A53" w:rsidRDefault="00CC0487" w:rsidP="00DB6666">
            <w:pPr>
              <w:jc w:val="center"/>
              <w:rPr>
                <w:rFonts w:ascii="Arial Narrow" w:hAnsi="Arial Narrow" w:cs="Arial"/>
                <w:b/>
                <w:bCs/>
                <w:sz w:val="18"/>
                <w:szCs w:val="18"/>
              </w:rPr>
            </w:pPr>
            <w:r w:rsidRPr="00462A53">
              <w:rPr>
                <w:rFonts w:ascii="Arial Narrow" w:hAnsi="Arial Narrow" w:cs="Arial"/>
                <w:b/>
                <w:bCs/>
                <w:sz w:val="18"/>
                <w:szCs w:val="18"/>
              </w:rPr>
              <w:t xml:space="preserve">Mittel insgesamt </w:t>
            </w:r>
          </w:p>
        </w:tc>
      </w:tr>
      <w:tr w:rsidR="00CC0487" w:rsidRPr="00462A53" w14:paraId="1F1F930B" w14:textId="77777777" w:rsidTr="00DB6666">
        <w:trPr>
          <w:trHeight w:val="70"/>
        </w:trPr>
        <w:tc>
          <w:tcPr>
            <w:tcW w:w="4253" w:type="dxa"/>
            <w:gridSpan w:val="2"/>
            <w:vMerge/>
            <w:tcBorders>
              <w:top w:val="nil"/>
              <w:left w:val="nil"/>
              <w:bottom w:val="nil"/>
              <w:right w:val="nil"/>
            </w:tcBorders>
            <w:vAlign w:val="center"/>
            <w:hideMark/>
          </w:tcPr>
          <w:p w14:paraId="2098E714" w14:textId="77777777" w:rsidR="00CC0487" w:rsidRPr="00462A53" w:rsidRDefault="00CC0487" w:rsidP="00DB6666">
            <w:pPr>
              <w:jc w:val="left"/>
              <w:rPr>
                <w:rFonts w:ascii="Arial Narrow" w:hAnsi="Arial Narrow" w:cs="Arial"/>
                <w:b/>
                <w:bCs/>
                <w:sz w:val="18"/>
                <w:szCs w:val="18"/>
              </w:rPr>
            </w:pPr>
          </w:p>
        </w:tc>
        <w:tc>
          <w:tcPr>
            <w:tcW w:w="1793" w:type="dxa"/>
            <w:tcBorders>
              <w:top w:val="nil"/>
              <w:left w:val="nil"/>
              <w:bottom w:val="nil"/>
              <w:right w:val="nil"/>
            </w:tcBorders>
            <w:shd w:val="clear" w:color="000000" w:fill="C7CFD8"/>
            <w:noWrap/>
            <w:vAlign w:val="center"/>
            <w:hideMark/>
          </w:tcPr>
          <w:p w14:paraId="24E5BC50" w14:textId="77777777" w:rsidR="00CC0487" w:rsidRPr="00462A53" w:rsidRDefault="00CC0487" w:rsidP="00DB6666">
            <w:pPr>
              <w:jc w:val="center"/>
              <w:rPr>
                <w:rFonts w:ascii="Arial Narrow" w:hAnsi="Arial Narrow" w:cs="Arial"/>
                <w:b/>
                <w:bCs/>
                <w:sz w:val="18"/>
                <w:szCs w:val="18"/>
              </w:rPr>
            </w:pPr>
            <w:r w:rsidRPr="00462A53">
              <w:rPr>
                <w:rFonts w:ascii="Arial Narrow" w:hAnsi="Arial Narrow" w:cs="Arial"/>
                <w:b/>
                <w:bCs/>
                <w:sz w:val="18"/>
                <w:szCs w:val="18"/>
              </w:rPr>
              <w:t xml:space="preserve">A </w:t>
            </w:r>
          </w:p>
        </w:tc>
        <w:tc>
          <w:tcPr>
            <w:tcW w:w="1778" w:type="dxa"/>
            <w:tcBorders>
              <w:top w:val="nil"/>
              <w:left w:val="nil"/>
              <w:bottom w:val="nil"/>
              <w:right w:val="nil"/>
            </w:tcBorders>
            <w:shd w:val="clear" w:color="000000" w:fill="C7CFD8"/>
            <w:vAlign w:val="center"/>
            <w:hideMark/>
          </w:tcPr>
          <w:p w14:paraId="1C761EEF" w14:textId="77777777" w:rsidR="00CC0487" w:rsidRPr="00462A53" w:rsidRDefault="00CC0487" w:rsidP="00DB6666">
            <w:pPr>
              <w:jc w:val="center"/>
              <w:rPr>
                <w:rFonts w:ascii="Arial Narrow" w:hAnsi="Arial Narrow" w:cs="Arial"/>
                <w:b/>
                <w:bCs/>
                <w:i/>
                <w:iCs/>
                <w:sz w:val="18"/>
                <w:szCs w:val="18"/>
              </w:rPr>
            </w:pPr>
            <w:r w:rsidRPr="00462A53">
              <w:rPr>
                <w:rFonts w:ascii="Arial Narrow" w:hAnsi="Arial Narrow" w:cs="Arial"/>
                <w:b/>
                <w:bCs/>
                <w:i/>
                <w:iCs/>
                <w:sz w:val="18"/>
                <w:szCs w:val="18"/>
              </w:rPr>
              <w:t>B</w:t>
            </w:r>
          </w:p>
        </w:tc>
        <w:tc>
          <w:tcPr>
            <w:tcW w:w="1905" w:type="dxa"/>
            <w:tcBorders>
              <w:top w:val="nil"/>
              <w:left w:val="nil"/>
              <w:bottom w:val="nil"/>
              <w:right w:val="nil"/>
            </w:tcBorders>
            <w:shd w:val="clear" w:color="000000" w:fill="C7CFD8"/>
            <w:vAlign w:val="center"/>
            <w:hideMark/>
          </w:tcPr>
          <w:p w14:paraId="7A8D7071" w14:textId="77777777" w:rsidR="00CC0487" w:rsidRPr="00462A53" w:rsidRDefault="00CC0487" w:rsidP="00DB6666">
            <w:pPr>
              <w:jc w:val="center"/>
              <w:rPr>
                <w:rFonts w:ascii="Arial Narrow" w:hAnsi="Arial Narrow" w:cs="Arial"/>
                <w:b/>
                <w:bCs/>
                <w:i/>
                <w:iCs/>
                <w:sz w:val="18"/>
                <w:szCs w:val="18"/>
              </w:rPr>
            </w:pPr>
            <w:r w:rsidRPr="00462A53">
              <w:rPr>
                <w:rFonts w:ascii="Arial Narrow" w:hAnsi="Arial Narrow" w:cs="Arial"/>
                <w:b/>
                <w:bCs/>
                <w:i/>
                <w:iCs/>
                <w:sz w:val="18"/>
                <w:szCs w:val="18"/>
              </w:rPr>
              <w:t>C = A+B</w:t>
            </w:r>
          </w:p>
        </w:tc>
      </w:tr>
      <w:tr w:rsidR="00CC0487" w:rsidRPr="00462A53" w14:paraId="0CAA664E" w14:textId="77777777" w:rsidTr="00DB6666">
        <w:trPr>
          <w:trHeight w:val="263"/>
        </w:trPr>
        <w:tc>
          <w:tcPr>
            <w:tcW w:w="4253" w:type="dxa"/>
            <w:gridSpan w:val="2"/>
            <w:tcBorders>
              <w:top w:val="nil"/>
              <w:left w:val="nil"/>
              <w:bottom w:val="nil"/>
              <w:right w:val="nil"/>
            </w:tcBorders>
            <w:shd w:val="clear" w:color="auto" w:fill="auto"/>
            <w:hideMark/>
          </w:tcPr>
          <w:p w14:paraId="1958C75E" w14:textId="77777777" w:rsidR="00CC0487" w:rsidRPr="00462A53" w:rsidRDefault="00CC0487" w:rsidP="00DB6666">
            <w:pPr>
              <w:jc w:val="center"/>
              <w:rPr>
                <w:rFonts w:ascii="Arial Narrow" w:hAnsi="Arial Narrow" w:cs="Arial"/>
                <w:b/>
                <w:bCs/>
                <w:i/>
                <w:iCs/>
                <w:sz w:val="18"/>
                <w:szCs w:val="18"/>
              </w:rPr>
            </w:pPr>
          </w:p>
        </w:tc>
        <w:tc>
          <w:tcPr>
            <w:tcW w:w="1793" w:type="dxa"/>
            <w:tcBorders>
              <w:top w:val="nil"/>
              <w:left w:val="nil"/>
              <w:bottom w:val="nil"/>
              <w:right w:val="nil"/>
            </w:tcBorders>
            <w:shd w:val="clear" w:color="auto" w:fill="auto"/>
            <w:hideMark/>
          </w:tcPr>
          <w:p w14:paraId="7DE527BA" w14:textId="77777777" w:rsidR="00CC0487" w:rsidRPr="00462A53" w:rsidRDefault="00CC0487" w:rsidP="00DB6666">
            <w:pPr>
              <w:rPr>
                <w:rFonts w:ascii="Arial Narrow" w:hAnsi="Arial Narrow"/>
                <w:sz w:val="18"/>
                <w:szCs w:val="18"/>
              </w:rPr>
            </w:pPr>
          </w:p>
        </w:tc>
        <w:tc>
          <w:tcPr>
            <w:tcW w:w="1778" w:type="dxa"/>
            <w:tcBorders>
              <w:top w:val="nil"/>
              <w:left w:val="nil"/>
              <w:bottom w:val="nil"/>
              <w:right w:val="nil"/>
            </w:tcBorders>
            <w:shd w:val="clear" w:color="auto" w:fill="auto"/>
            <w:hideMark/>
          </w:tcPr>
          <w:p w14:paraId="5B320ED1" w14:textId="77777777" w:rsidR="00CC0487" w:rsidRPr="00462A53" w:rsidRDefault="00CC0487" w:rsidP="00DB6666">
            <w:pPr>
              <w:rPr>
                <w:rFonts w:ascii="Arial Narrow" w:hAnsi="Arial Narrow"/>
                <w:sz w:val="18"/>
                <w:szCs w:val="18"/>
              </w:rPr>
            </w:pPr>
          </w:p>
        </w:tc>
        <w:tc>
          <w:tcPr>
            <w:tcW w:w="1905" w:type="dxa"/>
            <w:tcBorders>
              <w:top w:val="nil"/>
              <w:left w:val="nil"/>
              <w:bottom w:val="nil"/>
              <w:right w:val="nil"/>
            </w:tcBorders>
            <w:shd w:val="clear" w:color="auto" w:fill="auto"/>
            <w:hideMark/>
          </w:tcPr>
          <w:p w14:paraId="2A6F58B2" w14:textId="77777777" w:rsidR="00CC0487" w:rsidRPr="00462A53" w:rsidRDefault="00CC0487" w:rsidP="00DB6666">
            <w:pPr>
              <w:jc w:val="left"/>
              <w:rPr>
                <w:rFonts w:ascii="Arial Narrow" w:hAnsi="Arial Narrow"/>
                <w:sz w:val="18"/>
                <w:szCs w:val="18"/>
              </w:rPr>
            </w:pPr>
          </w:p>
        </w:tc>
      </w:tr>
      <w:tr w:rsidR="00CC0487" w:rsidRPr="00462A53" w14:paraId="31EC2AC4" w14:textId="77777777" w:rsidTr="00DB6666">
        <w:trPr>
          <w:trHeight w:val="318"/>
        </w:trPr>
        <w:tc>
          <w:tcPr>
            <w:tcW w:w="4253" w:type="dxa"/>
            <w:gridSpan w:val="2"/>
            <w:tcBorders>
              <w:top w:val="nil"/>
              <w:left w:val="nil"/>
              <w:bottom w:val="nil"/>
              <w:right w:val="nil"/>
            </w:tcBorders>
            <w:shd w:val="clear" w:color="auto" w:fill="auto"/>
            <w:hideMark/>
          </w:tcPr>
          <w:p w14:paraId="00237650" w14:textId="77777777" w:rsidR="00CC0487" w:rsidRPr="00462A53" w:rsidRDefault="00CC0487" w:rsidP="00DB6666">
            <w:pPr>
              <w:rPr>
                <w:rFonts w:ascii="Arial Narrow" w:hAnsi="Arial Narrow" w:cs="Arial"/>
                <w:b/>
                <w:bCs/>
                <w:color w:val="000000"/>
                <w:sz w:val="18"/>
                <w:szCs w:val="18"/>
              </w:rPr>
            </w:pPr>
            <w:r w:rsidRPr="00462A53">
              <w:rPr>
                <w:rFonts w:ascii="Arial Narrow" w:hAnsi="Arial Narrow" w:cs="Arial"/>
                <w:b/>
                <w:bCs/>
                <w:color w:val="000000"/>
                <w:sz w:val="18"/>
                <w:szCs w:val="18"/>
              </w:rPr>
              <w:t>Mittelverfügbarkeit 2022-2023</w:t>
            </w:r>
          </w:p>
        </w:tc>
        <w:tc>
          <w:tcPr>
            <w:tcW w:w="1793" w:type="dxa"/>
            <w:tcBorders>
              <w:top w:val="nil"/>
              <w:left w:val="nil"/>
              <w:bottom w:val="nil"/>
              <w:right w:val="nil"/>
            </w:tcBorders>
            <w:shd w:val="clear" w:color="auto" w:fill="auto"/>
            <w:noWrap/>
            <w:vAlign w:val="bottom"/>
            <w:hideMark/>
          </w:tcPr>
          <w:p w14:paraId="6B7E8279" w14:textId="77777777" w:rsidR="00CC0487" w:rsidRPr="00462A53" w:rsidRDefault="00CC0487" w:rsidP="00DB6666">
            <w:pPr>
              <w:jc w:val="right"/>
              <w:rPr>
                <w:rFonts w:ascii="Arial Narrow" w:hAnsi="Arial Narrow" w:cs="Arial"/>
                <w:b/>
                <w:bCs/>
                <w:color w:val="000000"/>
                <w:sz w:val="18"/>
                <w:szCs w:val="18"/>
              </w:rPr>
            </w:pPr>
          </w:p>
        </w:tc>
        <w:tc>
          <w:tcPr>
            <w:tcW w:w="1778" w:type="dxa"/>
            <w:tcBorders>
              <w:top w:val="nil"/>
              <w:left w:val="nil"/>
              <w:bottom w:val="nil"/>
              <w:right w:val="nil"/>
            </w:tcBorders>
            <w:shd w:val="clear" w:color="auto" w:fill="auto"/>
            <w:hideMark/>
          </w:tcPr>
          <w:p w14:paraId="6F604AA0" w14:textId="77777777" w:rsidR="00CC0487" w:rsidRPr="00462A53" w:rsidRDefault="00CC0487" w:rsidP="00DB6666">
            <w:pPr>
              <w:jc w:val="right"/>
              <w:rPr>
                <w:rFonts w:ascii="Arial Narrow" w:hAnsi="Arial Narrow"/>
                <w:sz w:val="18"/>
                <w:szCs w:val="18"/>
              </w:rPr>
            </w:pPr>
          </w:p>
        </w:tc>
        <w:tc>
          <w:tcPr>
            <w:tcW w:w="1905" w:type="dxa"/>
            <w:tcBorders>
              <w:top w:val="nil"/>
              <w:left w:val="nil"/>
              <w:bottom w:val="nil"/>
              <w:right w:val="nil"/>
            </w:tcBorders>
            <w:shd w:val="clear" w:color="auto" w:fill="auto"/>
            <w:hideMark/>
          </w:tcPr>
          <w:p w14:paraId="5C1BCF4A" w14:textId="77777777" w:rsidR="00CC0487" w:rsidRPr="00462A53" w:rsidRDefault="00CC0487" w:rsidP="00DB6666">
            <w:pPr>
              <w:jc w:val="right"/>
              <w:rPr>
                <w:rFonts w:ascii="Arial Narrow" w:hAnsi="Arial Narrow"/>
                <w:sz w:val="18"/>
                <w:szCs w:val="18"/>
              </w:rPr>
            </w:pPr>
          </w:p>
        </w:tc>
      </w:tr>
      <w:tr w:rsidR="00CC0487" w:rsidRPr="00462A53" w14:paraId="15A463D5" w14:textId="77777777" w:rsidTr="00DB6666">
        <w:trPr>
          <w:trHeight w:val="349"/>
        </w:trPr>
        <w:tc>
          <w:tcPr>
            <w:tcW w:w="482" w:type="dxa"/>
            <w:tcBorders>
              <w:top w:val="nil"/>
              <w:left w:val="nil"/>
              <w:bottom w:val="nil"/>
              <w:right w:val="nil"/>
            </w:tcBorders>
            <w:shd w:val="clear" w:color="auto" w:fill="auto"/>
            <w:vAlign w:val="center"/>
            <w:hideMark/>
          </w:tcPr>
          <w:p w14:paraId="4C3175B9" w14:textId="77777777" w:rsidR="00CC0487" w:rsidRPr="00462A53" w:rsidRDefault="00CC0487" w:rsidP="00DB6666">
            <w:pPr>
              <w:jc w:val="right"/>
              <w:rPr>
                <w:rFonts w:ascii="Arial Narrow" w:hAnsi="Arial Narrow" w:cs="Arial"/>
                <w:color w:val="000000"/>
                <w:sz w:val="18"/>
                <w:szCs w:val="18"/>
              </w:rPr>
            </w:pPr>
            <w:r w:rsidRPr="00462A53">
              <w:rPr>
                <w:rFonts w:ascii="Arial Narrow" w:hAnsi="Arial Narrow" w:cs="Arial"/>
                <w:color w:val="000000"/>
                <w:sz w:val="18"/>
                <w:szCs w:val="18"/>
              </w:rPr>
              <w:t>1</w:t>
            </w:r>
          </w:p>
        </w:tc>
        <w:tc>
          <w:tcPr>
            <w:tcW w:w="3771" w:type="dxa"/>
            <w:tcBorders>
              <w:top w:val="nil"/>
              <w:left w:val="nil"/>
              <w:bottom w:val="nil"/>
              <w:right w:val="nil"/>
            </w:tcBorders>
            <w:shd w:val="clear" w:color="auto" w:fill="auto"/>
            <w:vAlign w:val="center"/>
            <w:hideMark/>
          </w:tcPr>
          <w:p w14:paraId="207E0FDA" w14:textId="77777777" w:rsidR="00CC0487" w:rsidRPr="00462A53" w:rsidRDefault="00CC0487" w:rsidP="00DB6666">
            <w:pPr>
              <w:rPr>
                <w:rFonts w:ascii="Arial Narrow" w:hAnsi="Arial Narrow" w:cs="Arial"/>
                <w:color w:val="000000"/>
                <w:sz w:val="18"/>
                <w:szCs w:val="18"/>
              </w:rPr>
            </w:pPr>
            <w:r w:rsidRPr="00462A53">
              <w:rPr>
                <w:rFonts w:ascii="Arial Narrow" w:hAnsi="Arial Narrow" w:cs="Arial"/>
                <w:color w:val="000000"/>
                <w:sz w:val="18"/>
                <w:szCs w:val="18"/>
              </w:rPr>
              <w:t>Einnahmen</w:t>
            </w:r>
          </w:p>
        </w:tc>
        <w:tc>
          <w:tcPr>
            <w:tcW w:w="1793" w:type="dxa"/>
            <w:tcBorders>
              <w:top w:val="nil"/>
              <w:left w:val="nil"/>
              <w:bottom w:val="nil"/>
              <w:right w:val="nil"/>
            </w:tcBorders>
            <w:shd w:val="clear" w:color="auto" w:fill="auto"/>
            <w:vAlign w:val="center"/>
            <w:hideMark/>
          </w:tcPr>
          <w:p w14:paraId="1F32E947" w14:textId="77777777" w:rsidR="00CC0487" w:rsidRPr="00462A53" w:rsidRDefault="00CC0487" w:rsidP="00DB6666">
            <w:pPr>
              <w:jc w:val="right"/>
              <w:rPr>
                <w:rFonts w:ascii="Arial Narrow" w:hAnsi="Arial Narrow" w:cs="Arial"/>
                <w:color w:val="000000"/>
                <w:sz w:val="18"/>
                <w:szCs w:val="18"/>
              </w:rPr>
            </w:pPr>
            <w:r w:rsidRPr="00462A53">
              <w:rPr>
                <w:rFonts w:ascii="Arial Narrow" w:hAnsi="Arial Narrow" w:cs="Arial"/>
                <w:color w:val="000000"/>
                <w:sz w:val="18"/>
                <w:szCs w:val="18"/>
              </w:rPr>
              <w:t>7.635</w:t>
            </w:r>
          </w:p>
        </w:tc>
        <w:tc>
          <w:tcPr>
            <w:tcW w:w="1778" w:type="dxa"/>
            <w:tcBorders>
              <w:top w:val="nil"/>
              <w:left w:val="nil"/>
              <w:bottom w:val="nil"/>
              <w:right w:val="nil"/>
            </w:tcBorders>
            <w:shd w:val="clear" w:color="auto" w:fill="auto"/>
            <w:vAlign w:val="center"/>
            <w:hideMark/>
          </w:tcPr>
          <w:p w14:paraId="7F2BFC6A" w14:textId="77777777" w:rsidR="00CC0487" w:rsidRPr="00462A53" w:rsidRDefault="00CC0487" w:rsidP="00DB6666">
            <w:pPr>
              <w:jc w:val="right"/>
              <w:rPr>
                <w:rFonts w:ascii="Arial Narrow" w:hAnsi="Arial Narrow" w:cs="Arial"/>
                <w:color w:val="000000"/>
                <w:sz w:val="18"/>
                <w:szCs w:val="18"/>
              </w:rPr>
            </w:pPr>
            <w:r w:rsidRPr="00462A53">
              <w:rPr>
                <w:rFonts w:ascii="Arial Narrow" w:hAnsi="Arial Narrow" w:cs="Arial"/>
                <w:color w:val="000000"/>
                <w:sz w:val="18"/>
                <w:szCs w:val="18"/>
              </w:rPr>
              <w:t>965</w:t>
            </w:r>
          </w:p>
        </w:tc>
        <w:tc>
          <w:tcPr>
            <w:tcW w:w="1905" w:type="dxa"/>
            <w:tcBorders>
              <w:top w:val="nil"/>
              <w:left w:val="nil"/>
              <w:bottom w:val="nil"/>
              <w:right w:val="nil"/>
            </w:tcBorders>
            <w:shd w:val="clear" w:color="auto" w:fill="auto"/>
            <w:vAlign w:val="center"/>
            <w:hideMark/>
          </w:tcPr>
          <w:p w14:paraId="557F747B" w14:textId="77777777" w:rsidR="00CC0487" w:rsidRPr="00462A53" w:rsidRDefault="00CC0487" w:rsidP="00DB6666">
            <w:pPr>
              <w:jc w:val="right"/>
              <w:rPr>
                <w:rFonts w:ascii="Arial Narrow" w:hAnsi="Arial Narrow" w:cs="Arial"/>
                <w:color w:val="000000"/>
                <w:sz w:val="18"/>
                <w:szCs w:val="18"/>
              </w:rPr>
            </w:pPr>
            <w:r w:rsidRPr="00462A53">
              <w:rPr>
                <w:rFonts w:ascii="Arial Narrow" w:hAnsi="Arial Narrow" w:cs="Arial"/>
                <w:color w:val="000000"/>
                <w:sz w:val="18"/>
                <w:szCs w:val="18"/>
              </w:rPr>
              <w:t>8.600</w:t>
            </w:r>
          </w:p>
        </w:tc>
      </w:tr>
      <w:tr w:rsidR="00CC0487" w:rsidRPr="00462A53" w14:paraId="45484F49" w14:textId="77777777" w:rsidTr="00DB6666">
        <w:trPr>
          <w:trHeight w:val="349"/>
        </w:trPr>
        <w:tc>
          <w:tcPr>
            <w:tcW w:w="482" w:type="dxa"/>
            <w:tcBorders>
              <w:top w:val="nil"/>
              <w:left w:val="nil"/>
              <w:bottom w:val="nil"/>
              <w:right w:val="nil"/>
            </w:tcBorders>
            <w:shd w:val="clear" w:color="auto" w:fill="auto"/>
            <w:vAlign w:val="center"/>
            <w:hideMark/>
          </w:tcPr>
          <w:p w14:paraId="5E96B15A" w14:textId="77777777" w:rsidR="00CC0487" w:rsidRPr="00462A53" w:rsidRDefault="00CC0487" w:rsidP="00DB6666">
            <w:pPr>
              <w:jc w:val="right"/>
              <w:rPr>
                <w:rFonts w:ascii="Arial Narrow" w:hAnsi="Arial Narrow" w:cs="Arial"/>
                <w:color w:val="000000"/>
                <w:sz w:val="18"/>
                <w:szCs w:val="18"/>
              </w:rPr>
            </w:pPr>
            <w:r w:rsidRPr="00462A53">
              <w:rPr>
                <w:rFonts w:ascii="Arial Narrow" w:hAnsi="Arial Narrow" w:cs="Arial"/>
                <w:color w:val="000000"/>
                <w:sz w:val="18"/>
                <w:szCs w:val="18"/>
              </w:rPr>
              <w:t>2</w:t>
            </w:r>
          </w:p>
        </w:tc>
        <w:tc>
          <w:tcPr>
            <w:tcW w:w="3771" w:type="dxa"/>
            <w:tcBorders>
              <w:top w:val="nil"/>
              <w:left w:val="nil"/>
              <w:bottom w:val="nil"/>
              <w:right w:val="nil"/>
            </w:tcBorders>
            <w:shd w:val="clear" w:color="auto" w:fill="auto"/>
            <w:vAlign w:val="center"/>
            <w:hideMark/>
          </w:tcPr>
          <w:p w14:paraId="561EB4C4" w14:textId="77777777" w:rsidR="00CC0487" w:rsidRPr="00462A53" w:rsidRDefault="00CC0487" w:rsidP="00DB6666">
            <w:pPr>
              <w:rPr>
                <w:rFonts w:ascii="Arial Narrow" w:hAnsi="Arial Narrow" w:cs="Arial"/>
                <w:color w:val="000000"/>
                <w:sz w:val="18"/>
                <w:szCs w:val="18"/>
              </w:rPr>
            </w:pPr>
            <w:r w:rsidRPr="00462A53">
              <w:rPr>
                <w:rFonts w:ascii="Arial Narrow" w:hAnsi="Arial Narrow" w:cs="Arial"/>
                <w:color w:val="000000"/>
                <w:sz w:val="18"/>
                <w:szCs w:val="18"/>
              </w:rPr>
              <w:t>+/(-) Überweisung von/zu Reserven</w:t>
            </w:r>
          </w:p>
        </w:tc>
        <w:tc>
          <w:tcPr>
            <w:tcW w:w="1793" w:type="dxa"/>
            <w:tcBorders>
              <w:top w:val="nil"/>
              <w:left w:val="nil"/>
              <w:bottom w:val="nil"/>
              <w:right w:val="nil"/>
            </w:tcBorders>
            <w:shd w:val="clear" w:color="auto" w:fill="auto"/>
            <w:vAlign w:val="center"/>
            <w:hideMark/>
          </w:tcPr>
          <w:p w14:paraId="7309B2B2" w14:textId="77777777" w:rsidR="00CC0487" w:rsidRPr="00462A53" w:rsidRDefault="00CC0487" w:rsidP="00DB6666">
            <w:pPr>
              <w:jc w:val="right"/>
              <w:rPr>
                <w:rFonts w:ascii="Arial Narrow" w:hAnsi="Arial Narrow" w:cs="Arial"/>
                <w:color w:val="000000"/>
                <w:sz w:val="18"/>
                <w:szCs w:val="18"/>
              </w:rPr>
            </w:pPr>
            <w:r w:rsidRPr="00462A53">
              <w:rPr>
                <w:rFonts w:ascii="Arial Narrow" w:hAnsi="Arial Narrow" w:cs="Arial"/>
                <w:color w:val="000000"/>
                <w:sz w:val="18"/>
                <w:szCs w:val="18"/>
              </w:rPr>
              <w:t>-</w:t>
            </w:r>
          </w:p>
        </w:tc>
        <w:tc>
          <w:tcPr>
            <w:tcW w:w="1778" w:type="dxa"/>
            <w:tcBorders>
              <w:top w:val="nil"/>
              <w:left w:val="nil"/>
              <w:bottom w:val="nil"/>
              <w:right w:val="nil"/>
            </w:tcBorders>
            <w:shd w:val="clear" w:color="auto" w:fill="auto"/>
            <w:vAlign w:val="center"/>
            <w:hideMark/>
          </w:tcPr>
          <w:p w14:paraId="56193B4B" w14:textId="77777777" w:rsidR="00CC0487" w:rsidRPr="00462A53" w:rsidRDefault="00CC0487" w:rsidP="00DB6666">
            <w:pPr>
              <w:jc w:val="right"/>
              <w:rPr>
                <w:rFonts w:ascii="Arial Narrow" w:hAnsi="Arial Narrow" w:cs="Arial"/>
                <w:color w:val="000000"/>
                <w:sz w:val="18"/>
                <w:szCs w:val="18"/>
              </w:rPr>
            </w:pPr>
            <w:r w:rsidRPr="00462A53">
              <w:rPr>
                <w:rFonts w:ascii="Arial Narrow" w:hAnsi="Arial Narrow" w:cs="Arial"/>
                <w:color w:val="000000"/>
                <w:sz w:val="18"/>
                <w:szCs w:val="18"/>
              </w:rPr>
              <w:t>-</w:t>
            </w:r>
          </w:p>
        </w:tc>
        <w:tc>
          <w:tcPr>
            <w:tcW w:w="1905" w:type="dxa"/>
            <w:tcBorders>
              <w:top w:val="nil"/>
              <w:left w:val="nil"/>
              <w:bottom w:val="nil"/>
              <w:right w:val="nil"/>
            </w:tcBorders>
            <w:shd w:val="clear" w:color="auto" w:fill="auto"/>
            <w:vAlign w:val="center"/>
            <w:hideMark/>
          </w:tcPr>
          <w:p w14:paraId="210483FD" w14:textId="77777777" w:rsidR="00CC0487" w:rsidRPr="00462A53" w:rsidRDefault="00CC0487" w:rsidP="00DB6666">
            <w:pPr>
              <w:jc w:val="right"/>
              <w:rPr>
                <w:rFonts w:ascii="Arial Narrow" w:hAnsi="Arial Narrow" w:cs="Arial"/>
                <w:color w:val="000000"/>
                <w:sz w:val="18"/>
                <w:szCs w:val="18"/>
              </w:rPr>
            </w:pPr>
            <w:r w:rsidRPr="00462A53">
              <w:rPr>
                <w:rFonts w:ascii="Arial Narrow" w:hAnsi="Arial Narrow" w:cs="Arial"/>
                <w:color w:val="000000"/>
                <w:sz w:val="18"/>
                <w:szCs w:val="18"/>
              </w:rPr>
              <w:t>-</w:t>
            </w:r>
          </w:p>
        </w:tc>
      </w:tr>
      <w:tr w:rsidR="00CC0487" w:rsidRPr="00462A53" w14:paraId="0E6A09CD" w14:textId="77777777" w:rsidTr="00DB6666">
        <w:trPr>
          <w:trHeight w:val="349"/>
        </w:trPr>
        <w:tc>
          <w:tcPr>
            <w:tcW w:w="482" w:type="dxa"/>
            <w:tcBorders>
              <w:top w:val="single" w:sz="4" w:space="0" w:color="AAB8C4"/>
              <w:left w:val="nil"/>
              <w:bottom w:val="single" w:sz="8" w:space="0" w:color="AAB8C4"/>
              <w:right w:val="nil"/>
            </w:tcBorders>
            <w:shd w:val="clear" w:color="auto" w:fill="auto"/>
            <w:vAlign w:val="center"/>
            <w:hideMark/>
          </w:tcPr>
          <w:p w14:paraId="02167D36" w14:textId="77777777" w:rsidR="00CC0487" w:rsidRPr="00462A53" w:rsidRDefault="00CC0487" w:rsidP="00DB6666">
            <w:pPr>
              <w:jc w:val="right"/>
              <w:rPr>
                <w:rFonts w:ascii="Arial Narrow" w:hAnsi="Arial Narrow" w:cs="Arial"/>
                <w:color w:val="000000"/>
                <w:sz w:val="18"/>
                <w:szCs w:val="18"/>
              </w:rPr>
            </w:pPr>
            <w:r w:rsidRPr="00462A53">
              <w:rPr>
                <w:rFonts w:ascii="Arial Narrow" w:hAnsi="Arial Narrow" w:cs="Arial"/>
                <w:color w:val="000000"/>
                <w:sz w:val="18"/>
                <w:szCs w:val="18"/>
              </w:rPr>
              <w:t>3</w:t>
            </w:r>
          </w:p>
        </w:tc>
        <w:tc>
          <w:tcPr>
            <w:tcW w:w="3771" w:type="dxa"/>
            <w:tcBorders>
              <w:top w:val="single" w:sz="4" w:space="0" w:color="AAB8C4"/>
              <w:left w:val="nil"/>
              <w:bottom w:val="single" w:sz="8" w:space="0" w:color="AAB8C4"/>
              <w:right w:val="nil"/>
            </w:tcBorders>
            <w:shd w:val="clear" w:color="auto" w:fill="auto"/>
            <w:vAlign w:val="center"/>
            <w:hideMark/>
          </w:tcPr>
          <w:p w14:paraId="33CE445A" w14:textId="77777777" w:rsidR="00CC0487" w:rsidRPr="00462A53" w:rsidRDefault="00CC0487" w:rsidP="00DB6666">
            <w:pPr>
              <w:rPr>
                <w:rFonts w:ascii="Arial Narrow" w:hAnsi="Arial Narrow" w:cs="Arial"/>
                <w:color w:val="000000"/>
                <w:sz w:val="18"/>
                <w:szCs w:val="18"/>
              </w:rPr>
            </w:pPr>
            <w:r w:rsidRPr="00462A53">
              <w:rPr>
                <w:rFonts w:ascii="Arial Narrow" w:hAnsi="Arial Narrow" w:cs="Arial"/>
                <w:color w:val="000000"/>
                <w:sz w:val="18"/>
                <w:szCs w:val="18"/>
              </w:rPr>
              <w:t>Mittel insgesamt</w:t>
            </w:r>
          </w:p>
        </w:tc>
        <w:tc>
          <w:tcPr>
            <w:tcW w:w="1793" w:type="dxa"/>
            <w:tcBorders>
              <w:top w:val="single" w:sz="4" w:space="0" w:color="AAB8C4"/>
              <w:left w:val="nil"/>
              <w:bottom w:val="single" w:sz="8" w:space="0" w:color="AAB8C4"/>
              <w:right w:val="nil"/>
            </w:tcBorders>
            <w:shd w:val="clear" w:color="auto" w:fill="auto"/>
            <w:vAlign w:val="center"/>
            <w:hideMark/>
          </w:tcPr>
          <w:p w14:paraId="0B211255" w14:textId="77777777" w:rsidR="00CC0487" w:rsidRPr="00462A53" w:rsidRDefault="00CC0487" w:rsidP="00DB6666">
            <w:pPr>
              <w:jc w:val="right"/>
              <w:rPr>
                <w:rFonts w:ascii="Arial Narrow" w:hAnsi="Arial Narrow" w:cs="Arial"/>
                <w:color w:val="000000"/>
                <w:sz w:val="18"/>
                <w:szCs w:val="18"/>
              </w:rPr>
            </w:pPr>
            <w:r w:rsidRPr="00462A53">
              <w:rPr>
                <w:rFonts w:ascii="Arial Narrow" w:hAnsi="Arial Narrow" w:cs="Arial"/>
                <w:color w:val="000000"/>
                <w:sz w:val="18"/>
                <w:szCs w:val="18"/>
              </w:rPr>
              <w:t>7.635</w:t>
            </w:r>
          </w:p>
        </w:tc>
        <w:tc>
          <w:tcPr>
            <w:tcW w:w="1778" w:type="dxa"/>
            <w:tcBorders>
              <w:top w:val="single" w:sz="4" w:space="0" w:color="AAB8C4"/>
              <w:left w:val="nil"/>
              <w:bottom w:val="single" w:sz="8" w:space="0" w:color="AAB8C4"/>
              <w:right w:val="nil"/>
            </w:tcBorders>
            <w:shd w:val="clear" w:color="auto" w:fill="auto"/>
            <w:vAlign w:val="center"/>
            <w:hideMark/>
          </w:tcPr>
          <w:p w14:paraId="0EC904FF" w14:textId="77777777" w:rsidR="00CC0487" w:rsidRPr="00462A53" w:rsidRDefault="00CC0487" w:rsidP="00DB6666">
            <w:pPr>
              <w:jc w:val="right"/>
              <w:rPr>
                <w:rFonts w:ascii="Arial Narrow" w:hAnsi="Arial Narrow" w:cs="Arial"/>
                <w:color w:val="000000"/>
                <w:sz w:val="18"/>
                <w:szCs w:val="18"/>
              </w:rPr>
            </w:pPr>
            <w:r w:rsidRPr="00462A53">
              <w:rPr>
                <w:rFonts w:ascii="Arial Narrow" w:hAnsi="Arial Narrow" w:cs="Arial"/>
                <w:color w:val="000000"/>
                <w:sz w:val="18"/>
                <w:szCs w:val="18"/>
              </w:rPr>
              <w:t>965</w:t>
            </w:r>
          </w:p>
        </w:tc>
        <w:tc>
          <w:tcPr>
            <w:tcW w:w="1905" w:type="dxa"/>
            <w:tcBorders>
              <w:top w:val="single" w:sz="4" w:space="0" w:color="AAB8C4"/>
              <w:left w:val="nil"/>
              <w:bottom w:val="single" w:sz="8" w:space="0" w:color="AAB8C4"/>
              <w:right w:val="nil"/>
            </w:tcBorders>
            <w:shd w:val="clear" w:color="auto" w:fill="auto"/>
            <w:vAlign w:val="center"/>
            <w:hideMark/>
          </w:tcPr>
          <w:p w14:paraId="50D1745E" w14:textId="77777777" w:rsidR="00CC0487" w:rsidRPr="00462A53" w:rsidRDefault="00CC0487" w:rsidP="00DB6666">
            <w:pPr>
              <w:jc w:val="right"/>
              <w:rPr>
                <w:rFonts w:ascii="Arial Narrow" w:hAnsi="Arial Narrow" w:cs="Arial"/>
                <w:color w:val="000000"/>
                <w:sz w:val="18"/>
                <w:szCs w:val="18"/>
              </w:rPr>
            </w:pPr>
            <w:r w:rsidRPr="00462A53">
              <w:rPr>
                <w:rFonts w:ascii="Arial Narrow" w:hAnsi="Arial Narrow" w:cs="Arial"/>
                <w:color w:val="000000"/>
                <w:sz w:val="18"/>
                <w:szCs w:val="18"/>
              </w:rPr>
              <w:t>8.600</w:t>
            </w:r>
          </w:p>
        </w:tc>
      </w:tr>
      <w:tr w:rsidR="00CC0487" w:rsidRPr="00462A53" w14:paraId="5FD776F2" w14:textId="77777777" w:rsidTr="00DB6666">
        <w:trPr>
          <w:trHeight w:val="263"/>
        </w:trPr>
        <w:tc>
          <w:tcPr>
            <w:tcW w:w="482" w:type="dxa"/>
            <w:tcBorders>
              <w:top w:val="nil"/>
              <w:left w:val="nil"/>
              <w:bottom w:val="nil"/>
              <w:right w:val="nil"/>
            </w:tcBorders>
            <w:shd w:val="clear" w:color="auto" w:fill="auto"/>
            <w:vAlign w:val="center"/>
            <w:hideMark/>
          </w:tcPr>
          <w:p w14:paraId="1506B42C" w14:textId="77777777" w:rsidR="00CC0487" w:rsidRPr="00462A53" w:rsidRDefault="00CC0487" w:rsidP="00DB6666">
            <w:pPr>
              <w:jc w:val="right"/>
              <w:rPr>
                <w:rFonts w:ascii="Arial Narrow" w:hAnsi="Arial Narrow" w:cs="Arial"/>
                <w:color w:val="000000"/>
                <w:sz w:val="18"/>
                <w:szCs w:val="18"/>
              </w:rPr>
            </w:pPr>
          </w:p>
        </w:tc>
        <w:tc>
          <w:tcPr>
            <w:tcW w:w="3771" w:type="dxa"/>
            <w:tcBorders>
              <w:top w:val="nil"/>
              <w:left w:val="nil"/>
              <w:bottom w:val="nil"/>
              <w:right w:val="nil"/>
            </w:tcBorders>
            <w:shd w:val="clear" w:color="auto" w:fill="auto"/>
            <w:vAlign w:val="center"/>
            <w:hideMark/>
          </w:tcPr>
          <w:p w14:paraId="3D3AC663" w14:textId="77777777" w:rsidR="00CC0487" w:rsidRPr="00462A53" w:rsidRDefault="00CC0487" w:rsidP="00DB6666">
            <w:pPr>
              <w:jc w:val="right"/>
              <w:rPr>
                <w:rFonts w:ascii="Arial Narrow" w:hAnsi="Arial Narrow"/>
                <w:sz w:val="18"/>
                <w:szCs w:val="18"/>
              </w:rPr>
            </w:pPr>
          </w:p>
        </w:tc>
        <w:tc>
          <w:tcPr>
            <w:tcW w:w="1793" w:type="dxa"/>
            <w:tcBorders>
              <w:top w:val="nil"/>
              <w:left w:val="nil"/>
              <w:bottom w:val="nil"/>
              <w:right w:val="nil"/>
            </w:tcBorders>
            <w:shd w:val="clear" w:color="auto" w:fill="auto"/>
            <w:vAlign w:val="center"/>
            <w:hideMark/>
          </w:tcPr>
          <w:p w14:paraId="12D9ABF8" w14:textId="77777777" w:rsidR="00CC0487" w:rsidRPr="00462A53" w:rsidRDefault="00CC0487" w:rsidP="00DB6666">
            <w:pPr>
              <w:jc w:val="right"/>
              <w:rPr>
                <w:rFonts w:ascii="Arial Narrow" w:hAnsi="Arial Narrow"/>
                <w:sz w:val="18"/>
                <w:szCs w:val="18"/>
              </w:rPr>
            </w:pPr>
          </w:p>
        </w:tc>
        <w:tc>
          <w:tcPr>
            <w:tcW w:w="1778" w:type="dxa"/>
            <w:tcBorders>
              <w:top w:val="nil"/>
              <w:left w:val="nil"/>
              <w:bottom w:val="nil"/>
              <w:right w:val="nil"/>
            </w:tcBorders>
            <w:shd w:val="clear" w:color="auto" w:fill="auto"/>
            <w:vAlign w:val="center"/>
            <w:hideMark/>
          </w:tcPr>
          <w:p w14:paraId="43A70111" w14:textId="77777777" w:rsidR="00CC0487" w:rsidRPr="00462A53" w:rsidRDefault="00CC0487" w:rsidP="00DB6666">
            <w:pPr>
              <w:jc w:val="right"/>
              <w:rPr>
                <w:rFonts w:ascii="Arial Narrow" w:hAnsi="Arial Narrow"/>
                <w:sz w:val="18"/>
                <w:szCs w:val="18"/>
              </w:rPr>
            </w:pPr>
          </w:p>
        </w:tc>
        <w:tc>
          <w:tcPr>
            <w:tcW w:w="1905" w:type="dxa"/>
            <w:tcBorders>
              <w:top w:val="nil"/>
              <w:left w:val="nil"/>
              <w:bottom w:val="nil"/>
              <w:right w:val="nil"/>
            </w:tcBorders>
            <w:shd w:val="clear" w:color="auto" w:fill="auto"/>
            <w:vAlign w:val="center"/>
            <w:hideMark/>
          </w:tcPr>
          <w:p w14:paraId="78E0B6F3" w14:textId="77777777" w:rsidR="00CC0487" w:rsidRPr="00462A53" w:rsidRDefault="00CC0487" w:rsidP="00DB6666">
            <w:pPr>
              <w:jc w:val="right"/>
              <w:rPr>
                <w:rFonts w:ascii="Arial Narrow" w:hAnsi="Arial Narrow"/>
                <w:sz w:val="18"/>
                <w:szCs w:val="18"/>
              </w:rPr>
            </w:pPr>
          </w:p>
        </w:tc>
      </w:tr>
      <w:tr w:rsidR="00CC0487" w:rsidRPr="00462A53" w14:paraId="37E15223" w14:textId="77777777" w:rsidTr="00DB6666">
        <w:trPr>
          <w:trHeight w:val="349"/>
        </w:trPr>
        <w:tc>
          <w:tcPr>
            <w:tcW w:w="4253" w:type="dxa"/>
            <w:gridSpan w:val="2"/>
            <w:tcBorders>
              <w:top w:val="nil"/>
              <w:left w:val="nil"/>
              <w:bottom w:val="nil"/>
              <w:right w:val="nil"/>
            </w:tcBorders>
            <w:shd w:val="clear" w:color="auto" w:fill="auto"/>
            <w:vAlign w:val="center"/>
            <w:hideMark/>
          </w:tcPr>
          <w:p w14:paraId="67FB06B1" w14:textId="77777777" w:rsidR="00CC0487" w:rsidRPr="00462A53" w:rsidRDefault="00CC0487" w:rsidP="00DB6666">
            <w:pPr>
              <w:rPr>
                <w:rFonts w:ascii="Arial Narrow" w:hAnsi="Arial Narrow" w:cs="Arial"/>
                <w:b/>
                <w:bCs/>
                <w:color w:val="000000"/>
                <w:sz w:val="18"/>
                <w:szCs w:val="18"/>
              </w:rPr>
            </w:pPr>
            <w:r w:rsidRPr="00462A53">
              <w:rPr>
                <w:rFonts w:ascii="Arial Narrow" w:hAnsi="Arial Narrow" w:cs="Arial"/>
                <w:b/>
                <w:bCs/>
                <w:color w:val="000000"/>
                <w:sz w:val="18"/>
                <w:szCs w:val="18"/>
              </w:rPr>
              <w:t>Mittelverfügbarkeit 2024-2025</w:t>
            </w:r>
          </w:p>
        </w:tc>
        <w:tc>
          <w:tcPr>
            <w:tcW w:w="1793" w:type="dxa"/>
            <w:tcBorders>
              <w:top w:val="nil"/>
              <w:left w:val="nil"/>
              <w:bottom w:val="nil"/>
              <w:right w:val="nil"/>
            </w:tcBorders>
            <w:shd w:val="clear" w:color="auto" w:fill="auto"/>
            <w:vAlign w:val="center"/>
            <w:hideMark/>
          </w:tcPr>
          <w:p w14:paraId="243C99E8" w14:textId="77777777" w:rsidR="00CC0487" w:rsidRPr="00462A53" w:rsidRDefault="00CC0487" w:rsidP="00DB6666">
            <w:pPr>
              <w:jc w:val="right"/>
              <w:rPr>
                <w:rFonts w:ascii="Arial Narrow" w:hAnsi="Arial Narrow" w:cs="Arial"/>
                <w:b/>
                <w:bCs/>
                <w:color w:val="000000"/>
                <w:sz w:val="18"/>
                <w:szCs w:val="18"/>
              </w:rPr>
            </w:pPr>
          </w:p>
        </w:tc>
        <w:tc>
          <w:tcPr>
            <w:tcW w:w="1778" w:type="dxa"/>
            <w:tcBorders>
              <w:top w:val="nil"/>
              <w:left w:val="nil"/>
              <w:bottom w:val="nil"/>
              <w:right w:val="nil"/>
            </w:tcBorders>
            <w:shd w:val="clear" w:color="auto" w:fill="auto"/>
            <w:vAlign w:val="center"/>
            <w:hideMark/>
          </w:tcPr>
          <w:p w14:paraId="43E91872" w14:textId="77777777" w:rsidR="00CC0487" w:rsidRPr="00462A53" w:rsidRDefault="00CC0487" w:rsidP="00DB6666">
            <w:pPr>
              <w:jc w:val="right"/>
              <w:rPr>
                <w:rFonts w:ascii="Arial Narrow" w:hAnsi="Arial Narrow"/>
                <w:sz w:val="18"/>
                <w:szCs w:val="18"/>
              </w:rPr>
            </w:pPr>
          </w:p>
        </w:tc>
        <w:tc>
          <w:tcPr>
            <w:tcW w:w="1905" w:type="dxa"/>
            <w:tcBorders>
              <w:top w:val="nil"/>
              <w:left w:val="nil"/>
              <w:bottom w:val="nil"/>
              <w:right w:val="nil"/>
            </w:tcBorders>
            <w:shd w:val="clear" w:color="auto" w:fill="auto"/>
            <w:vAlign w:val="center"/>
            <w:hideMark/>
          </w:tcPr>
          <w:p w14:paraId="605BABF9" w14:textId="77777777" w:rsidR="00CC0487" w:rsidRPr="00462A53" w:rsidRDefault="00CC0487" w:rsidP="00DB6666">
            <w:pPr>
              <w:jc w:val="right"/>
              <w:rPr>
                <w:rFonts w:ascii="Arial Narrow" w:hAnsi="Arial Narrow"/>
                <w:sz w:val="18"/>
                <w:szCs w:val="18"/>
              </w:rPr>
            </w:pPr>
          </w:p>
        </w:tc>
      </w:tr>
      <w:tr w:rsidR="00CC0487" w:rsidRPr="00462A53" w14:paraId="0C7062C4" w14:textId="77777777" w:rsidTr="00DB6666">
        <w:trPr>
          <w:trHeight w:val="349"/>
        </w:trPr>
        <w:tc>
          <w:tcPr>
            <w:tcW w:w="482" w:type="dxa"/>
            <w:tcBorders>
              <w:top w:val="nil"/>
              <w:left w:val="nil"/>
              <w:bottom w:val="nil"/>
              <w:right w:val="nil"/>
            </w:tcBorders>
            <w:shd w:val="clear" w:color="auto" w:fill="auto"/>
            <w:vAlign w:val="center"/>
            <w:hideMark/>
          </w:tcPr>
          <w:p w14:paraId="5A18EB05" w14:textId="77777777" w:rsidR="00CC0487" w:rsidRPr="00462A53" w:rsidRDefault="00CC0487" w:rsidP="00DB6666">
            <w:pPr>
              <w:jc w:val="right"/>
              <w:rPr>
                <w:rFonts w:ascii="Arial Narrow" w:hAnsi="Arial Narrow" w:cs="Arial"/>
                <w:color w:val="000000"/>
                <w:sz w:val="18"/>
                <w:szCs w:val="18"/>
              </w:rPr>
            </w:pPr>
            <w:r w:rsidRPr="00462A53">
              <w:rPr>
                <w:rFonts w:ascii="Arial Narrow" w:hAnsi="Arial Narrow" w:cs="Arial"/>
                <w:color w:val="000000"/>
                <w:sz w:val="18"/>
                <w:szCs w:val="18"/>
              </w:rPr>
              <w:t>4</w:t>
            </w:r>
          </w:p>
        </w:tc>
        <w:tc>
          <w:tcPr>
            <w:tcW w:w="3771" w:type="dxa"/>
            <w:tcBorders>
              <w:top w:val="nil"/>
              <w:left w:val="nil"/>
              <w:bottom w:val="nil"/>
              <w:right w:val="nil"/>
            </w:tcBorders>
            <w:shd w:val="clear" w:color="auto" w:fill="auto"/>
            <w:vAlign w:val="center"/>
            <w:hideMark/>
          </w:tcPr>
          <w:p w14:paraId="08FD04A6" w14:textId="77777777" w:rsidR="00CC0487" w:rsidRPr="00462A53" w:rsidRDefault="00CC0487" w:rsidP="00DB6666">
            <w:pPr>
              <w:rPr>
                <w:rFonts w:ascii="Arial Narrow" w:hAnsi="Arial Narrow" w:cs="Arial"/>
                <w:color w:val="000000"/>
                <w:sz w:val="18"/>
                <w:szCs w:val="18"/>
              </w:rPr>
            </w:pPr>
            <w:r w:rsidRPr="00462A53">
              <w:rPr>
                <w:rFonts w:ascii="Arial Narrow" w:hAnsi="Arial Narrow" w:cs="Arial"/>
                <w:color w:val="000000"/>
                <w:sz w:val="18"/>
                <w:szCs w:val="18"/>
              </w:rPr>
              <w:t>Einnahmen</w:t>
            </w:r>
          </w:p>
        </w:tc>
        <w:tc>
          <w:tcPr>
            <w:tcW w:w="1793" w:type="dxa"/>
            <w:tcBorders>
              <w:top w:val="nil"/>
              <w:left w:val="nil"/>
              <w:bottom w:val="nil"/>
              <w:right w:val="nil"/>
            </w:tcBorders>
            <w:shd w:val="clear" w:color="auto" w:fill="auto"/>
            <w:vAlign w:val="center"/>
            <w:hideMark/>
          </w:tcPr>
          <w:p w14:paraId="6DA80202" w14:textId="77777777" w:rsidR="00CC0487" w:rsidRPr="00462A53" w:rsidRDefault="00CC0487" w:rsidP="00DB6666">
            <w:pPr>
              <w:jc w:val="right"/>
              <w:rPr>
                <w:rFonts w:ascii="Arial Narrow" w:hAnsi="Arial Narrow" w:cs="Arial"/>
                <w:color w:val="000000"/>
                <w:sz w:val="18"/>
                <w:szCs w:val="18"/>
              </w:rPr>
            </w:pPr>
            <w:r w:rsidRPr="00462A53">
              <w:rPr>
                <w:rFonts w:ascii="Arial Narrow" w:hAnsi="Arial Narrow" w:cs="Arial"/>
                <w:color w:val="000000"/>
                <w:sz w:val="18"/>
                <w:szCs w:val="18"/>
              </w:rPr>
              <w:t>7.901</w:t>
            </w:r>
          </w:p>
        </w:tc>
        <w:tc>
          <w:tcPr>
            <w:tcW w:w="1778" w:type="dxa"/>
            <w:tcBorders>
              <w:top w:val="nil"/>
              <w:left w:val="nil"/>
              <w:bottom w:val="nil"/>
              <w:right w:val="nil"/>
            </w:tcBorders>
            <w:shd w:val="clear" w:color="auto" w:fill="auto"/>
            <w:vAlign w:val="center"/>
            <w:hideMark/>
          </w:tcPr>
          <w:p w14:paraId="6161FF49" w14:textId="77777777" w:rsidR="00CC0487" w:rsidRPr="00462A53" w:rsidRDefault="00CC0487" w:rsidP="00DB6666">
            <w:pPr>
              <w:jc w:val="right"/>
              <w:rPr>
                <w:rFonts w:ascii="Arial Narrow" w:hAnsi="Arial Narrow" w:cs="Arial"/>
                <w:color w:val="000000"/>
                <w:sz w:val="18"/>
                <w:szCs w:val="18"/>
              </w:rPr>
            </w:pPr>
            <w:r w:rsidRPr="00462A53">
              <w:rPr>
                <w:rFonts w:ascii="Arial Narrow" w:hAnsi="Arial Narrow" w:cs="Arial"/>
                <w:color w:val="000000"/>
                <w:sz w:val="18"/>
                <w:szCs w:val="18"/>
              </w:rPr>
              <w:t>920</w:t>
            </w:r>
          </w:p>
        </w:tc>
        <w:tc>
          <w:tcPr>
            <w:tcW w:w="1905" w:type="dxa"/>
            <w:tcBorders>
              <w:top w:val="nil"/>
              <w:left w:val="nil"/>
              <w:bottom w:val="nil"/>
              <w:right w:val="nil"/>
            </w:tcBorders>
            <w:shd w:val="clear" w:color="auto" w:fill="auto"/>
            <w:vAlign w:val="center"/>
            <w:hideMark/>
          </w:tcPr>
          <w:p w14:paraId="078B7767" w14:textId="77777777" w:rsidR="00CC0487" w:rsidRPr="00462A53" w:rsidRDefault="00CC0487" w:rsidP="00DB6666">
            <w:pPr>
              <w:jc w:val="right"/>
              <w:rPr>
                <w:rFonts w:ascii="Arial Narrow" w:hAnsi="Arial Narrow" w:cs="Arial"/>
                <w:color w:val="000000"/>
                <w:sz w:val="18"/>
                <w:szCs w:val="18"/>
              </w:rPr>
            </w:pPr>
            <w:r w:rsidRPr="00462A53">
              <w:rPr>
                <w:rFonts w:ascii="Arial Narrow" w:hAnsi="Arial Narrow" w:cs="Arial"/>
                <w:color w:val="000000"/>
                <w:sz w:val="18"/>
                <w:szCs w:val="18"/>
              </w:rPr>
              <w:t>8.822</w:t>
            </w:r>
          </w:p>
        </w:tc>
      </w:tr>
      <w:tr w:rsidR="00CC0487" w:rsidRPr="00462A53" w14:paraId="33540DA6" w14:textId="77777777" w:rsidTr="00DB6666">
        <w:trPr>
          <w:trHeight w:val="349"/>
        </w:trPr>
        <w:tc>
          <w:tcPr>
            <w:tcW w:w="482" w:type="dxa"/>
            <w:tcBorders>
              <w:top w:val="nil"/>
              <w:left w:val="nil"/>
              <w:bottom w:val="nil"/>
              <w:right w:val="nil"/>
            </w:tcBorders>
            <w:shd w:val="clear" w:color="auto" w:fill="auto"/>
            <w:vAlign w:val="center"/>
            <w:hideMark/>
          </w:tcPr>
          <w:p w14:paraId="4E89C375" w14:textId="77777777" w:rsidR="00CC0487" w:rsidRPr="00462A53" w:rsidRDefault="00CC0487" w:rsidP="00DB6666">
            <w:pPr>
              <w:jc w:val="right"/>
              <w:rPr>
                <w:rFonts w:ascii="Arial Narrow" w:hAnsi="Arial Narrow" w:cs="Arial"/>
                <w:color w:val="000000"/>
                <w:sz w:val="18"/>
                <w:szCs w:val="18"/>
              </w:rPr>
            </w:pPr>
            <w:r w:rsidRPr="00462A53">
              <w:rPr>
                <w:rFonts w:ascii="Arial Narrow" w:hAnsi="Arial Narrow" w:cs="Arial"/>
                <w:color w:val="000000"/>
                <w:sz w:val="18"/>
                <w:szCs w:val="18"/>
              </w:rPr>
              <w:t>5</w:t>
            </w:r>
          </w:p>
        </w:tc>
        <w:tc>
          <w:tcPr>
            <w:tcW w:w="3771" w:type="dxa"/>
            <w:tcBorders>
              <w:top w:val="nil"/>
              <w:left w:val="nil"/>
              <w:bottom w:val="nil"/>
              <w:right w:val="nil"/>
            </w:tcBorders>
            <w:shd w:val="clear" w:color="auto" w:fill="auto"/>
            <w:vAlign w:val="center"/>
            <w:hideMark/>
          </w:tcPr>
          <w:p w14:paraId="161C3992" w14:textId="77777777" w:rsidR="00CC0487" w:rsidRPr="00462A53" w:rsidRDefault="00CC0487" w:rsidP="00DB6666">
            <w:pPr>
              <w:rPr>
                <w:rFonts w:ascii="Arial Narrow" w:hAnsi="Arial Narrow" w:cs="Arial"/>
                <w:color w:val="000000"/>
                <w:sz w:val="18"/>
                <w:szCs w:val="18"/>
              </w:rPr>
            </w:pPr>
            <w:r w:rsidRPr="00462A53">
              <w:rPr>
                <w:rFonts w:ascii="Arial Narrow" w:hAnsi="Arial Narrow" w:cs="Arial"/>
                <w:color w:val="000000"/>
                <w:sz w:val="18"/>
                <w:szCs w:val="18"/>
              </w:rPr>
              <w:t>+/(-) Überweisung von/zu Reserven</w:t>
            </w:r>
          </w:p>
        </w:tc>
        <w:tc>
          <w:tcPr>
            <w:tcW w:w="1793" w:type="dxa"/>
            <w:tcBorders>
              <w:top w:val="nil"/>
              <w:left w:val="nil"/>
              <w:bottom w:val="nil"/>
              <w:right w:val="nil"/>
            </w:tcBorders>
            <w:shd w:val="clear" w:color="auto" w:fill="auto"/>
            <w:vAlign w:val="center"/>
            <w:hideMark/>
          </w:tcPr>
          <w:p w14:paraId="53D95640" w14:textId="77777777" w:rsidR="00CC0487" w:rsidRPr="00462A53" w:rsidRDefault="00CC0487" w:rsidP="00DB6666">
            <w:pPr>
              <w:jc w:val="right"/>
              <w:rPr>
                <w:rFonts w:ascii="Arial Narrow" w:hAnsi="Arial Narrow" w:cs="Arial"/>
                <w:color w:val="000000"/>
                <w:sz w:val="18"/>
                <w:szCs w:val="18"/>
              </w:rPr>
            </w:pPr>
            <w:r w:rsidRPr="00462A53">
              <w:rPr>
                <w:rFonts w:ascii="Arial Narrow" w:hAnsi="Arial Narrow" w:cs="Arial"/>
                <w:color w:val="000000"/>
                <w:sz w:val="18"/>
                <w:szCs w:val="18"/>
              </w:rPr>
              <w:t>-</w:t>
            </w:r>
          </w:p>
        </w:tc>
        <w:tc>
          <w:tcPr>
            <w:tcW w:w="1778" w:type="dxa"/>
            <w:tcBorders>
              <w:top w:val="nil"/>
              <w:left w:val="nil"/>
              <w:bottom w:val="nil"/>
              <w:right w:val="nil"/>
            </w:tcBorders>
            <w:shd w:val="clear" w:color="auto" w:fill="auto"/>
            <w:vAlign w:val="center"/>
            <w:hideMark/>
          </w:tcPr>
          <w:p w14:paraId="53CEC8A4" w14:textId="77777777" w:rsidR="00CC0487" w:rsidRPr="00462A53" w:rsidRDefault="00CC0487" w:rsidP="00DB6666">
            <w:pPr>
              <w:jc w:val="right"/>
              <w:rPr>
                <w:rFonts w:ascii="Arial Narrow" w:hAnsi="Arial Narrow" w:cs="Arial"/>
                <w:color w:val="000000"/>
                <w:sz w:val="18"/>
                <w:szCs w:val="18"/>
              </w:rPr>
            </w:pPr>
            <w:r w:rsidRPr="00462A53">
              <w:rPr>
                <w:rFonts w:ascii="Arial Narrow" w:hAnsi="Arial Narrow" w:cs="Arial"/>
                <w:color w:val="000000"/>
                <w:sz w:val="18"/>
                <w:szCs w:val="18"/>
              </w:rPr>
              <w:t>-</w:t>
            </w:r>
          </w:p>
        </w:tc>
        <w:tc>
          <w:tcPr>
            <w:tcW w:w="1905" w:type="dxa"/>
            <w:tcBorders>
              <w:top w:val="nil"/>
              <w:left w:val="nil"/>
              <w:bottom w:val="nil"/>
              <w:right w:val="nil"/>
            </w:tcBorders>
            <w:shd w:val="clear" w:color="auto" w:fill="auto"/>
            <w:vAlign w:val="center"/>
            <w:hideMark/>
          </w:tcPr>
          <w:p w14:paraId="3EF40AED" w14:textId="77777777" w:rsidR="00CC0487" w:rsidRPr="00462A53" w:rsidRDefault="00CC0487" w:rsidP="00DB6666">
            <w:pPr>
              <w:jc w:val="right"/>
              <w:rPr>
                <w:rFonts w:ascii="Arial Narrow" w:hAnsi="Arial Narrow" w:cs="Arial"/>
                <w:color w:val="000000"/>
                <w:sz w:val="18"/>
                <w:szCs w:val="18"/>
              </w:rPr>
            </w:pPr>
            <w:r w:rsidRPr="00462A53">
              <w:rPr>
                <w:rFonts w:ascii="Arial Narrow" w:hAnsi="Arial Narrow" w:cs="Arial"/>
                <w:color w:val="000000"/>
                <w:sz w:val="18"/>
                <w:szCs w:val="18"/>
              </w:rPr>
              <w:t>-</w:t>
            </w:r>
          </w:p>
        </w:tc>
      </w:tr>
      <w:tr w:rsidR="00CC0487" w:rsidRPr="00462A53" w14:paraId="227F62F3" w14:textId="77777777" w:rsidTr="00DB6666">
        <w:trPr>
          <w:trHeight w:val="379"/>
        </w:trPr>
        <w:tc>
          <w:tcPr>
            <w:tcW w:w="482" w:type="dxa"/>
            <w:tcBorders>
              <w:top w:val="single" w:sz="4" w:space="0" w:color="AAB8C4"/>
              <w:left w:val="nil"/>
              <w:bottom w:val="single" w:sz="8" w:space="0" w:color="AAB8C4"/>
              <w:right w:val="nil"/>
            </w:tcBorders>
            <w:shd w:val="clear" w:color="auto" w:fill="auto"/>
            <w:vAlign w:val="center"/>
            <w:hideMark/>
          </w:tcPr>
          <w:p w14:paraId="3A9C7432" w14:textId="77777777" w:rsidR="00CC0487" w:rsidRPr="00462A53" w:rsidRDefault="00CC0487" w:rsidP="00DB6666">
            <w:pPr>
              <w:jc w:val="right"/>
              <w:rPr>
                <w:rFonts w:ascii="Arial Narrow" w:hAnsi="Arial Narrow" w:cs="Arial"/>
                <w:b/>
                <w:bCs/>
                <w:color w:val="000000"/>
                <w:sz w:val="18"/>
                <w:szCs w:val="18"/>
              </w:rPr>
            </w:pPr>
            <w:r w:rsidRPr="00462A53">
              <w:rPr>
                <w:rFonts w:ascii="Arial Narrow" w:hAnsi="Arial Narrow" w:cs="Arial"/>
                <w:b/>
                <w:bCs/>
                <w:color w:val="000000"/>
                <w:sz w:val="18"/>
                <w:szCs w:val="18"/>
              </w:rPr>
              <w:t>6</w:t>
            </w:r>
          </w:p>
        </w:tc>
        <w:tc>
          <w:tcPr>
            <w:tcW w:w="3771" w:type="dxa"/>
            <w:tcBorders>
              <w:top w:val="single" w:sz="4" w:space="0" w:color="AAB8C4"/>
              <w:left w:val="nil"/>
              <w:bottom w:val="single" w:sz="8" w:space="0" w:color="AAB8C4"/>
              <w:right w:val="nil"/>
            </w:tcBorders>
            <w:shd w:val="clear" w:color="auto" w:fill="auto"/>
            <w:vAlign w:val="center"/>
            <w:hideMark/>
          </w:tcPr>
          <w:p w14:paraId="1F22624E" w14:textId="77777777" w:rsidR="00CC0487" w:rsidRPr="00462A53" w:rsidRDefault="00CC0487" w:rsidP="00DB6666">
            <w:pPr>
              <w:rPr>
                <w:rFonts w:ascii="Arial Narrow" w:hAnsi="Arial Narrow" w:cs="Arial"/>
                <w:b/>
                <w:bCs/>
                <w:color w:val="000000"/>
                <w:sz w:val="18"/>
                <w:szCs w:val="18"/>
              </w:rPr>
            </w:pPr>
            <w:r w:rsidRPr="00462A53">
              <w:rPr>
                <w:rFonts w:ascii="Arial Narrow" w:hAnsi="Arial Narrow" w:cs="Arial"/>
                <w:b/>
                <w:bCs/>
                <w:color w:val="000000"/>
                <w:sz w:val="18"/>
                <w:szCs w:val="18"/>
              </w:rPr>
              <w:t>Mittel insgesamt</w:t>
            </w:r>
          </w:p>
        </w:tc>
        <w:tc>
          <w:tcPr>
            <w:tcW w:w="1793" w:type="dxa"/>
            <w:tcBorders>
              <w:top w:val="single" w:sz="4" w:space="0" w:color="AAB8C4"/>
              <w:left w:val="nil"/>
              <w:bottom w:val="single" w:sz="8" w:space="0" w:color="AAB8C4"/>
              <w:right w:val="nil"/>
            </w:tcBorders>
            <w:shd w:val="clear" w:color="auto" w:fill="auto"/>
            <w:vAlign w:val="center"/>
            <w:hideMark/>
          </w:tcPr>
          <w:p w14:paraId="05221066" w14:textId="77777777" w:rsidR="00CC0487" w:rsidRPr="00462A53" w:rsidRDefault="00CC0487" w:rsidP="00DB6666">
            <w:pPr>
              <w:jc w:val="right"/>
              <w:rPr>
                <w:rFonts w:ascii="Arial Narrow" w:hAnsi="Arial Narrow" w:cs="Arial"/>
                <w:b/>
                <w:bCs/>
                <w:color w:val="000000"/>
                <w:sz w:val="18"/>
                <w:szCs w:val="18"/>
              </w:rPr>
            </w:pPr>
            <w:r w:rsidRPr="00462A53">
              <w:rPr>
                <w:rFonts w:ascii="Arial Narrow" w:hAnsi="Arial Narrow" w:cs="Arial"/>
                <w:b/>
                <w:bCs/>
                <w:color w:val="000000"/>
                <w:sz w:val="18"/>
                <w:szCs w:val="18"/>
              </w:rPr>
              <w:t>7.901</w:t>
            </w:r>
          </w:p>
        </w:tc>
        <w:tc>
          <w:tcPr>
            <w:tcW w:w="1778" w:type="dxa"/>
            <w:tcBorders>
              <w:top w:val="single" w:sz="4" w:space="0" w:color="AAB8C4"/>
              <w:left w:val="nil"/>
              <w:bottom w:val="single" w:sz="8" w:space="0" w:color="AAB8C4"/>
              <w:right w:val="nil"/>
            </w:tcBorders>
            <w:shd w:val="clear" w:color="auto" w:fill="auto"/>
            <w:vAlign w:val="center"/>
            <w:hideMark/>
          </w:tcPr>
          <w:p w14:paraId="06DBC62A" w14:textId="77777777" w:rsidR="00CC0487" w:rsidRPr="00462A53" w:rsidRDefault="00CC0487" w:rsidP="00DB6666">
            <w:pPr>
              <w:jc w:val="right"/>
              <w:rPr>
                <w:rFonts w:ascii="Arial Narrow" w:hAnsi="Arial Narrow" w:cs="Arial"/>
                <w:b/>
                <w:bCs/>
                <w:color w:val="000000"/>
                <w:sz w:val="18"/>
                <w:szCs w:val="18"/>
              </w:rPr>
            </w:pPr>
            <w:r w:rsidRPr="00462A53">
              <w:rPr>
                <w:rFonts w:ascii="Arial Narrow" w:hAnsi="Arial Narrow" w:cs="Arial"/>
                <w:b/>
                <w:bCs/>
                <w:color w:val="000000"/>
                <w:sz w:val="18"/>
                <w:szCs w:val="18"/>
              </w:rPr>
              <w:t>920</w:t>
            </w:r>
          </w:p>
        </w:tc>
        <w:tc>
          <w:tcPr>
            <w:tcW w:w="1905" w:type="dxa"/>
            <w:tcBorders>
              <w:top w:val="single" w:sz="4" w:space="0" w:color="AAB8C4"/>
              <w:left w:val="nil"/>
              <w:bottom w:val="single" w:sz="8" w:space="0" w:color="AAB8C4"/>
              <w:right w:val="nil"/>
            </w:tcBorders>
            <w:shd w:val="clear" w:color="auto" w:fill="auto"/>
            <w:vAlign w:val="center"/>
            <w:hideMark/>
          </w:tcPr>
          <w:p w14:paraId="384DFA12" w14:textId="77777777" w:rsidR="00CC0487" w:rsidRPr="00462A53" w:rsidRDefault="00CC0487" w:rsidP="00DB6666">
            <w:pPr>
              <w:jc w:val="right"/>
              <w:rPr>
                <w:rFonts w:ascii="Arial Narrow" w:hAnsi="Arial Narrow" w:cs="Arial"/>
                <w:b/>
                <w:bCs/>
                <w:color w:val="000000"/>
                <w:sz w:val="18"/>
                <w:szCs w:val="18"/>
              </w:rPr>
            </w:pPr>
            <w:r w:rsidRPr="00462A53">
              <w:rPr>
                <w:rFonts w:ascii="Arial Narrow" w:hAnsi="Arial Narrow" w:cs="Arial"/>
                <w:b/>
                <w:bCs/>
                <w:color w:val="000000"/>
                <w:sz w:val="18"/>
                <w:szCs w:val="18"/>
              </w:rPr>
              <w:t>8.822</w:t>
            </w:r>
          </w:p>
        </w:tc>
      </w:tr>
      <w:tr w:rsidR="00CC0487" w:rsidRPr="00462A53" w14:paraId="2F48D924" w14:textId="77777777" w:rsidTr="00DB6666">
        <w:trPr>
          <w:trHeight w:val="334"/>
        </w:trPr>
        <w:tc>
          <w:tcPr>
            <w:tcW w:w="482" w:type="dxa"/>
            <w:tcBorders>
              <w:top w:val="nil"/>
              <w:left w:val="nil"/>
              <w:bottom w:val="nil"/>
              <w:right w:val="nil"/>
            </w:tcBorders>
            <w:shd w:val="clear" w:color="auto" w:fill="auto"/>
            <w:hideMark/>
          </w:tcPr>
          <w:p w14:paraId="0C03D906" w14:textId="77777777" w:rsidR="00CC0487" w:rsidRPr="00462A53" w:rsidRDefault="00CC0487" w:rsidP="00DB6666">
            <w:pPr>
              <w:jc w:val="right"/>
              <w:rPr>
                <w:rFonts w:ascii="Arial Narrow" w:hAnsi="Arial Narrow" w:cs="Arial"/>
                <w:b/>
                <w:bCs/>
                <w:color w:val="000000"/>
                <w:sz w:val="18"/>
                <w:szCs w:val="18"/>
              </w:rPr>
            </w:pPr>
          </w:p>
        </w:tc>
        <w:tc>
          <w:tcPr>
            <w:tcW w:w="3771" w:type="dxa"/>
            <w:tcBorders>
              <w:top w:val="nil"/>
              <w:left w:val="nil"/>
              <w:bottom w:val="nil"/>
              <w:right w:val="nil"/>
            </w:tcBorders>
            <w:shd w:val="clear" w:color="auto" w:fill="auto"/>
            <w:vAlign w:val="center"/>
            <w:hideMark/>
          </w:tcPr>
          <w:p w14:paraId="0AA97F5E" w14:textId="77777777" w:rsidR="00CC0487" w:rsidRPr="00462A53" w:rsidRDefault="00CC0487" w:rsidP="00DB6666">
            <w:pPr>
              <w:rPr>
                <w:rFonts w:ascii="Arial Narrow" w:hAnsi="Arial Narrow" w:cs="Arial"/>
                <w:i/>
                <w:iCs/>
                <w:color w:val="000000"/>
                <w:sz w:val="18"/>
                <w:szCs w:val="18"/>
              </w:rPr>
            </w:pPr>
            <w:r w:rsidRPr="00462A53">
              <w:rPr>
                <w:rFonts w:ascii="Arial Narrow" w:hAnsi="Arial Narrow" w:cs="Arial"/>
                <w:i/>
                <w:iCs/>
                <w:color w:val="000000"/>
                <w:sz w:val="18"/>
                <w:szCs w:val="18"/>
              </w:rPr>
              <w:t>Veränderung</w:t>
            </w:r>
          </w:p>
        </w:tc>
        <w:tc>
          <w:tcPr>
            <w:tcW w:w="1793" w:type="dxa"/>
            <w:tcBorders>
              <w:top w:val="nil"/>
              <w:left w:val="nil"/>
              <w:bottom w:val="nil"/>
              <w:right w:val="nil"/>
            </w:tcBorders>
            <w:shd w:val="clear" w:color="auto" w:fill="auto"/>
            <w:vAlign w:val="center"/>
            <w:hideMark/>
          </w:tcPr>
          <w:p w14:paraId="2387F7DE" w14:textId="77777777" w:rsidR="00CC0487" w:rsidRPr="00462A53" w:rsidRDefault="00CC0487" w:rsidP="00DB6666">
            <w:pPr>
              <w:jc w:val="right"/>
              <w:rPr>
                <w:rFonts w:ascii="Arial Narrow" w:hAnsi="Arial Narrow" w:cs="Arial"/>
                <w:i/>
                <w:iCs/>
                <w:color w:val="000000"/>
                <w:sz w:val="18"/>
                <w:szCs w:val="18"/>
              </w:rPr>
            </w:pPr>
            <w:r w:rsidRPr="00462A53">
              <w:rPr>
                <w:rFonts w:ascii="Arial Narrow" w:hAnsi="Arial Narrow" w:cs="Arial"/>
                <w:i/>
                <w:iCs/>
                <w:color w:val="000000"/>
                <w:sz w:val="18"/>
                <w:szCs w:val="18"/>
              </w:rPr>
              <w:t>3,5%</w:t>
            </w:r>
          </w:p>
        </w:tc>
        <w:tc>
          <w:tcPr>
            <w:tcW w:w="1778" w:type="dxa"/>
            <w:tcBorders>
              <w:top w:val="nil"/>
              <w:left w:val="nil"/>
              <w:bottom w:val="nil"/>
              <w:right w:val="nil"/>
            </w:tcBorders>
            <w:shd w:val="clear" w:color="auto" w:fill="auto"/>
            <w:vAlign w:val="center"/>
            <w:hideMark/>
          </w:tcPr>
          <w:p w14:paraId="323CB466" w14:textId="77777777" w:rsidR="00CC0487" w:rsidRPr="00462A53" w:rsidRDefault="00CC0487" w:rsidP="00DB6666">
            <w:pPr>
              <w:jc w:val="right"/>
              <w:rPr>
                <w:rFonts w:ascii="Arial Narrow" w:hAnsi="Arial Narrow" w:cs="Arial"/>
                <w:i/>
                <w:iCs/>
                <w:color w:val="000000"/>
                <w:sz w:val="18"/>
                <w:szCs w:val="18"/>
              </w:rPr>
            </w:pPr>
          </w:p>
        </w:tc>
        <w:tc>
          <w:tcPr>
            <w:tcW w:w="1905" w:type="dxa"/>
            <w:tcBorders>
              <w:top w:val="nil"/>
              <w:left w:val="nil"/>
              <w:bottom w:val="nil"/>
              <w:right w:val="nil"/>
            </w:tcBorders>
            <w:shd w:val="clear" w:color="auto" w:fill="auto"/>
            <w:vAlign w:val="center"/>
            <w:hideMark/>
          </w:tcPr>
          <w:p w14:paraId="5DE18219" w14:textId="77777777" w:rsidR="00CC0487" w:rsidRPr="00462A53" w:rsidRDefault="00CC0487" w:rsidP="00DB6666">
            <w:pPr>
              <w:jc w:val="right"/>
              <w:rPr>
                <w:rFonts w:ascii="Arial Narrow" w:hAnsi="Arial Narrow" w:cs="Arial"/>
                <w:i/>
                <w:iCs/>
                <w:color w:val="000000"/>
                <w:sz w:val="18"/>
                <w:szCs w:val="18"/>
              </w:rPr>
            </w:pPr>
            <w:r w:rsidRPr="00462A53">
              <w:rPr>
                <w:rFonts w:ascii="Arial Narrow" w:hAnsi="Arial Narrow" w:cs="Arial"/>
                <w:i/>
                <w:iCs/>
                <w:color w:val="000000"/>
                <w:sz w:val="18"/>
                <w:szCs w:val="18"/>
              </w:rPr>
              <w:t>2,6%</w:t>
            </w:r>
          </w:p>
        </w:tc>
      </w:tr>
    </w:tbl>
    <w:p w14:paraId="18BF0EAD" w14:textId="77777777" w:rsidR="00CC0487" w:rsidRPr="003E7026" w:rsidRDefault="00CC0487" w:rsidP="00CC0487">
      <w:pPr>
        <w:tabs>
          <w:tab w:val="left" w:pos="284"/>
        </w:tabs>
        <w:spacing w:before="120"/>
        <w:rPr>
          <w:sz w:val="16"/>
        </w:rPr>
      </w:pPr>
      <w:r w:rsidRPr="003E7026">
        <w:rPr>
          <w:sz w:val="16"/>
        </w:rPr>
        <w:t>* Ohne 13% Kosten für administrative Unterstützung aus Treuhandgeldern (FITs).</w:t>
      </w:r>
    </w:p>
    <w:p w14:paraId="74A2B918" w14:textId="77777777" w:rsidR="00CC0487" w:rsidRPr="003E7026" w:rsidRDefault="00CC0487" w:rsidP="00CC0487"/>
    <w:p w14:paraId="21A3BB0B" w14:textId="77777777" w:rsidR="00CC0487" w:rsidRPr="003E7026" w:rsidRDefault="00CC0487" w:rsidP="00CC0487"/>
    <w:p w14:paraId="214B4913" w14:textId="77777777" w:rsidR="00CC0487" w:rsidRPr="003E7026" w:rsidRDefault="00CC0487" w:rsidP="00CC0487">
      <w:pPr>
        <w:pStyle w:val="Heading3"/>
        <w:rPr>
          <w:lang w:val="de-DE"/>
        </w:rPr>
      </w:pPr>
      <w:bookmarkStart w:id="423" w:name="_Toc128060721"/>
      <w:r w:rsidRPr="003E7026">
        <w:rPr>
          <w:lang w:val="de-DE"/>
        </w:rPr>
        <w:t>Ausgaben</w:t>
      </w:r>
      <w:bookmarkEnd w:id="423"/>
    </w:p>
    <w:p w14:paraId="603F1A98" w14:textId="77777777" w:rsidR="00CC0487" w:rsidRPr="003E7026" w:rsidRDefault="00CC0487" w:rsidP="00CC0487">
      <w:pPr>
        <w:tabs>
          <w:tab w:val="left" w:pos="567"/>
        </w:tabs>
        <w:rPr>
          <w:b/>
        </w:rPr>
      </w:pPr>
    </w:p>
    <w:p w14:paraId="6FEC1800" w14:textId="77777777" w:rsidR="00CC0487" w:rsidRPr="003E7026" w:rsidRDefault="00CC0487" w:rsidP="00CC0487">
      <w:pPr>
        <w:tabs>
          <w:tab w:val="left" w:pos="567"/>
        </w:tabs>
        <w:rPr>
          <w:spacing w:val="-4"/>
        </w:rPr>
      </w:pPr>
      <w:r w:rsidRPr="003E7026">
        <w:rPr>
          <w:spacing w:val="-4"/>
        </w:rPr>
        <w:t xml:space="preserve">Der vorgeschlagene Haushaltsplan für </w:t>
      </w:r>
      <w:r w:rsidRPr="003E7026">
        <w:rPr>
          <w:snapToGrid w:val="0"/>
          <w:spacing w:val="-4"/>
          <w:szCs w:val="24"/>
        </w:rPr>
        <w:t xml:space="preserve">2024-2025 beläuft </w:t>
      </w:r>
      <w:r w:rsidRPr="003E7026">
        <w:rPr>
          <w:spacing w:val="-4"/>
        </w:rPr>
        <w:t>sich auf 7.901.307</w:t>
      </w:r>
      <w:r>
        <w:rPr>
          <w:spacing w:val="-4"/>
        </w:rPr>
        <w:t> Schweizer Franken</w:t>
      </w:r>
      <w:r w:rsidRPr="003E7026">
        <w:rPr>
          <w:spacing w:val="-4"/>
        </w:rPr>
        <w:t>, was einer Zunahme von 266.807</w:t>
      </w:r>
      <w:r>
        <w:rPr>
          <w:spacing w:val="-4"/>
        </w:rPr>
        <w:t> Schweizer Franken</w:t>
      </w:r>
      <w:r w:rsidRPr="003E7026">
        <w:rPr>
          <w:spacing w:val="-4"/>
          <w:szCs w:val="24"/>
        </w:rPr>
        <w:t xml:space="preserve"> </w:t>
      </w:r>
      <w:r w:rsidRPr="003E7026">
        <w:rPr>
          <w:spacing w:val="-4"/>
        </w:rPr>
        <w:t xml:space="preserve">bzw. </w:t>
      </w:r>
      <w:r>
        <w:rPr>
          <w:spacing w:val="-4"/>
        </w:rPr>
        <w:t>3,5 </w:t>
      </w:r>
      <w:r w:rsidRPr="003E7026">
        <w:rPr>
          <w:spacing w:val="-4"/>
          <w:szCs w:val="24"/>
        </w:rPr>
        <w:t xml:space="preserve">Prozent </w:t>
      </w:r>
      <w:r w:rsidRPr="003E7026">
        <w:rPr>
          <w:spacing w:val="-4"/>
        </w:rPr>
        <w:t xml:space="preserve">gegenüber dem Haushaltsplan für </w:t>
      </w:r>
      <w:r w:rsidRPr="003E7026">
        <w:rPr>
          <w:snapToGrid w:val="0"/>
          <w:spacing w:val="-4"/>
          <w:szCs w:val="24"/>
        </w:rPr>
        <w:t xml:space="preserve">2022-2023 entspricht </w:t>
      </w:r>
      <w:r w:rsidRPr="003E7026">
        <w:rPr>
          <w:spacing w:val="-4"/>
        </w:rPr>
        <w:t>(vergleiche Tabelle 4).</w:t>
      </w:r>
    </w:p>
    <w:p w14:paraId="4F61AF96" w14:textId="77777777" w:rsidR="00CC0487" w:rsidRPr="003E7026" w:rsidRDefault="00CC0487" w:rsidP="00CC0487">
      <w:pPr>
        <w:tabs>
          <w:tab w:val="left" w:pos="567"/>
        </w:tabs>
      </w:pPr>
    </w:p>
    <w:p w14:paraId="7199E36F" w14:textId="77777777" w:rsidR="00CC0487" w:rsidRPr="003E7026" w:rsidRDefault="00CC0487" w:rsidP="00CC0487">
      <w:pPr>
        <w:tabs>
          <w:tab w:val="left" w:pos="567"/>
        </w:tabs>
      </w:pPr>
      <w:r w:rsidRPr="003E7026">
        <w:t>Der Übergang zum „neuen Normalzustand“ nach COVID-19 wurde in den Haushaltsplan aufgenommen, insbesondere durch den verstärkten Einsatz von virtuellen/hybriden Sitzungsinstrumenten, was zu einer Verringerung der Reisezeit und der Reisekosten im Vergleich zu den Programmen vor COVID führt.</w:t>
      </w:r>
    </w:p>
    <w:p w14:paraId="37B70047" w14:textId="77777777" w:rsidR="00CC0487" w:rsidRPr="003E7026" w:rsidRDefault="00CC0487" w:rsidP="00CC0487">
      <w:pPr>
        <w:pStyle w:val="ListParagraph"/>
        <w:tabs>
          <w:tab w:val="left" w:pos="851"/>
        </w:tabs>
        <w:ind w:left="0"/>
        <w:contextualSpacing w:val="0"/>
      </w:pPr>
    </w:p>
    <w:p w14:paraId="02926D74" w14:textId="77777777" w:rsidR="00CC0487" w:rsidRPr="003E7026" w:rsidRDefault="00CC0487" w:rsidP="00CC0487">
      <w:pPr>
        <w:pStyle w:val="ListParagraph"/>
        <w:tabs>
          <w:tab w:val="left" w:pos="851"/>
        </w:tabs>
        <w:ind w:left="0"/>
        <w:contextualSpacing w:val="0"/>
      </w:pPr>
      <w:r w:rsidRPr="003E7026">
        <w:t>Der routinemäßige Einsatz maschineller Übersetzungstechnologie für die Übersetzung von Dokumenten und andere kostensparende Maßnahmen werden es ermöglichen, den Betriebsaufwand auf dem Niveau der vorangegangenen Rechnungsperioden zu halten.</w:t>
      </w:r>
    </w:p>
    <w:p w14:paraId="467D9D75" w14:textId="77777777" w:rsidR="00CC0487" w:rsidRPr="003E7026" w:rsidRDefault="00CC0487" w:rsidP="00CC0487">
      <w:pPr>
        <w:pStyle w:val="ListParagraph"/>
        <w:tabs>
          <w:tab w:val="left" w:pos="851"/>
        </w:tabs>
        <w:ind w:left="0"/>
        <w:contextualSpacing w:val="0"/>
      </w:pPr>
    </w:p>
    <w:p w14:paraId="5C0E72B0" w14:textId="77777777" w:rsidR="00CC0487" w:rsidRPr="003E7026" w:rsidRDefault="00CC0487" w:rsidP="00CC0487">
      <w:pPr>
        <w:pStyle w:val="ListParagraph"/>
        <w:tabs>
          <w:tab w:val="left" w:pos="851"/>
        </w:tabs>
        <w:ind w:left="0"/>
        <w:contextualSpacing w:val="0"/>
      </w:pPr>
    </w:p>
    <w:p w14:paraId="3152AAF9" w14:textId="77777777" w:rsidR="00CC0487" w:rsidRPr="003E7026" w:rsidRDefault="00CC0487" w:rsidP="00CC0487">
      <w:pPr>
        <w:jc w:val="left"/>
        <w:rPr>
          <w:rFonts w:cs="Arial"/>
          <w:b/>
          <w:bCs/>
          <w:color w:val="26724C" w:themeColor="accent1" w:themeShade="BF"/>
        </w:rPr>
      </w:pPr>
      <w:r w:rsidRPr="003E7026">
        <w:rPr>
          <w:rFonts w:cs="Arial"/>
          <w:b/>
          <w:bCs/>
          <w:color w:val="26724C" w:themeColor="accent1" w:themeShade="BF"/>
        </w:rPr>
        <w:br w:type="page"/>
      </w:r>
    </w:p>
    <w:p w14:paraId="4B75CE8D" w14:textId="77777777" w:rsidR="00CC0487" w:rsidRPr="003E7026" w:rsidRDefault="00CC0487" w:rsidP="00CC0487">
      <w:pPr>
        <w:keepNext/>
        <w:jc w:val="center"/>
        <w:rPr>
          <w:rFonts w:cs="Arial"/>
          <w:b/>
          <w:bCs/>
          <w:color w:val="26724C" w:themeColor="accent1" w:themeShade="BF"/>
        </w:rPr>
      </w:pPr>
      <w:r w:rsidRPr="003E7026">
        <w:rPr>
          <w:rFonts w:cs="Arial"/>
          <w:b/>
          <w:bCs/>
          <w:color w:val="26724C" w:themeColor="accent1" w:themeShade="BF"/>
        </w:rPr>
        <w:lastRenderedPageBreak/>
        <w:t>Tabelle 4: Vorgeschlagener Haushaltsplan 2024-2025: Haushalt nach Kostenkategorie</w:t>
      </w:r>
    </w:p>
    <w:p w14:paraId="0181C4A1" w14:textId="77777777" w:rsidR="00CC0487" w:rsidRPr="003E7026" w:rsidRDefault="00CC0487" w:rsidP="00CC0487">
      <w:pPr>
        <w:keepNext/>
        <w:jc w:val="center"/>
        <w:rPr>
          <w:rFonts w:cs="Arial"/>
          <w:i/>
          <w:iCs/>
          <w:sz w:val="18"/>
          <w:szCs w:val="18"/>
        </w:rPr>
      </w:pPr>
      <w:r w:rsidRPr="003E7026">
        <w:rPr>
          <w:rFonts w:cs="Arial"/>
          <w:i/>
          <w:iCs/>
          <w:sz w:val="18"/>
          <w:szCs w:val="18"/>
        </w:rPr>
        <w:t>(in tausend Schweizer Franken)</w:t>
      </w:r>
    </w:p>
    <w:p w14:paraId="6A60F9F3" w14:textId="77777777" w:rsidR="00CC0487" w:rsidRPr="003E7026" w:rsidRDefault="00CC0487" w:rsidP="00CC0487">
      <w:pPr>
        <w:keepNext/>
        <w:rPr>
          <w:rFonts w:cs="Arial"/>
          <w:i/>
          <w:iCs/>
        </w:rPr>
      </w:pPr>
    </w:p>
    <w:tbl>
      <w:tblPr>
        <w:tblW w:w="9356" w:type="dxa"/>
        <w:jc w:val="center"/>
        <w:tblLayout w:type="fixed"/>
        <w:tblLook w:val="04A0" w:firstRow="1" w:lastRow="0" w:firstColumn="1" w:lastColumn="0" w:noHBand="0" w:noVBand="1"/>
      </w:tblPr>
      <w:tblGrid>
        <w:gridCol w:w="320"/>
        <w:gridCol w:w="3224"/>
        <w:gridCol w:w="1276"/>
        <w:gridCol w:w="1276"/>
        <w:gridCol w:w="992"/>
        <w:gridCol w:w="992"/>
        <w:gridCol w:w="1276"/>
      </w:tblGrid>
      <w:tr w:rsidR="00CC0487" w:rsidRPr="003E7026" w14:paraId="287F7A7B" w14:textId="77777777" w:rsidTr="00DB6666">
        <w:trPr>
          <w:trHeight w:val="488"/>
          <w:jc w:val="center"/>
        </w:trPr>
        <w:tc>
          <w:tcPr>
            <w:tcW w:w="320" w:type="dxa"/>
            <w:vMerge w:val="restart"/>
            <w:tcBorders>
              <w:top w:val="nil"/>
              <w:left w:val="nil"/>
              <w:bottom w:val="single" w:sz="4" w:space="0" w:color="BFBFBF"/>
              <w:right w:val="nil"/>
            </w:tcBorders>
            <w:shd w:val="clear" w:color="000000" w:fill="C7CFD8"/>
            <w:vAlign w:val="bottom"/>
            <w:hideMark/>
          </w:tcPr>
          <w:p w14:paraId="2561D897" w14:textId="77777777" w:rsidR="00CC0487" w:rsidRPr="00462A53" w:rsidRDefault="00CC0487" w:rsidP="00DB6666">
            <w:pPr>
              <w:keepNext/>
              <w:jc w:val="center"/>
              <w:rPr>
                <w:rFonts w:ascii="Arial Narrow" w:hAnsi="Arial Narrow" w:cs="Arial"/>
                <w:b/>
                <w:bCs/>
                <w:sz w:val="18"/>
                <w:szCs w:val="18"/>
              </w:rPr>
            </w:pPr>
          </w:p>
        </w:tc>
        <w:tc>
          <w:tcPr>
            <w:tcW w:w="3224" w:type="dxa"/>
            <w:vMerge w:val="restart"/>
            <w:tcBorders>
              <w:top w:val="nil"/>
              <w:left w:val="nil"/>
              <w:bottom w:val="single" w:sz="4" w:space="0" w:color="BFBFBF"/>
              <w:right w:val="nil"/>
            </w:tcBorders>
            <w:shd w:val="clear" w:color="000000" w:fill="C7CFD8"/>
            <w:vAlign w:val="bottom"/>
            <w:hideMark/>
          </w:tcPr>
          <w:p w14:paraId="35BEDAB8" w14:textId="77777777" w:rsidR="00CC0487" w:rsidRPr="00462A53" w:rsidRDefault="00CC0487" w:rsidP="00DB6666">
            <w:pPr>
              <w:keepNext/>
              <w:jc w:val="center"/>
              <w:rPr>
                <w:rFonts w:ascii="Arial Narrow" w:hAnsi="Arial Narrow" w:cs="Arial"/>
                <w:b/>
                <w:bCs/>
                <w:sz w:val="18"/>
                <w:szCs w:val="18"/>
              </w:rPr>
            </w:pPr>
            <w:r w:rsidRPr="00462A53">
              <w:rPr>
                <w:rFonts w:ascii="Arial Narrow" w:hAnsi="Arial Narrow" w:cs="Arial"/>
                <w:b/>
                <w:bCs/>
                <w:sz w:val="18"/>
                <w:szCs w:val="18"/>
              </w:rPr>
              <w:t xml:space="preserve"> </w:t>
            </w:r>
          </w:p>
        </w:tc>
        <w:tc>
          <w:tcPr>
            <w:tcW w:w="1276" w:type="dxa"/>
            <w:vMerge w:val="restart"/>
            <w:tcBorders>
              <w:top w:val="single" w:sz="4" w:space="0" w:color="BFBFBF"/>
              <w:left w:val="nil"/>
              <w:bottom w:val="nil"/>
              <w:right w:val="nil"/>
            </w:tcBorders>
            <w:shd w:val="clear" w:color="000000" w:fill="C7CFD8"/>
            <w:vAlign w:val="center"/>
            <w:hideMark/>
          </w:tcPr>
          <w:p w14:paraId="75D991B8" w14:textId="77777777" w:rsidR="00CC0487" w:rsidRPr="00462A53" w:rsidRDefault="00CC0487" w:rsidP="00DB6666">
            <w:pPr>
              <w:keepNext/>
              <w:jc w:val="center"/>
              <w:rPr>
                <w:rFonts w:ascii="Arial Narrow" w:hAnsi="Arial Narrow" w:cs="Arial"/>
                <w:b/>
                <w:bCs/>
                <w:sz w:val="18"/>
                <w:szCs w:val="18"/>
              </w:rPr>
            </w:pPr>
            <w:r w:rsidRPr="00462A53">
              <w:rPr>
                <w:rFonts w:ascii="Arial Narrow" w:hAnsi="Arial Narrow" w:cs="Arial"/>
                <w:b/>
                <w:bCs/>
                <w:sz w:val="18"/>
                <w:szCs w:val="18"/>
              </w:rPr>
              <w:t>2020-2021</w:t>
            </w:r>
            <w:r w:rsidRPr="00462A53">
              <w:rPr>
                <w:rFonts w:ascii="Arial Narrow" w:hAnsi="Arial Narrow" w:cs="Arial"/>
                <w:b/>
                <w:bCs/>
                <w:sz w:val="18"/>
                <w:szCs w:val="18"/>
              </w:rPr>
              <w:br/>
              <w:t xml:space="preserve">Ist </w:t>
            </w:r>
          </w:p>
        </w:tc>
        <w:tc>
          <w:tcPr>
            <w:tcW w:w="1276" w:type="dxa"/>
            <w:vMerge w:val="restart"/>
            <w:tcBorders>
              <w:top w:val="single" w:sz="4" w:space="0" w:color="BFBFBF"/>
              <w:left w:val="nil"/>
              <w:bottom w:val="nil"/>
              <w:right w:val="nil"/>
            </w:tcBorders>
            <w:shd w:val="clear" w:color="000000" w:fill="C7CFD8"/>
            <w:vAlign w:val="center"/>
            <w:hideMark/>
          </w:tcPr>
          <w:p w14:paraId="36B8279F" w14:textId="77777777" w:rsidR="00CC0487" w:rsidRPr="00462A53" w:rsidRDefault="00CC0487" w:rsidP="00DB6666">
            <w:pPr>
              <w:keepNext/>
              <w:jc w:val="center"/>
              <w:rPr>
                <w:rFonts w:ascii="Arial Narrow" w:hAnsi="Arial Narrow" w:cs="Arial"/>
                <w:b/>
                <w:bCs/>
                <w:sz w:val="18"/>
                <w:szCs w:val="18"/>
              </w:rPr>
            </w:pPr>
            <w:r w:rsidRPr="00462A53">
              <w:rPr>
                <w:rFonts w:ascii="Arial Narrow" w:hAnsi="Arial Narrow" w:cs="Arial"/>
                <w:b/>
                <w:bCs/>
                <w:sz w:val="18"/>
                <w:szCs w:val="18"/>
              </w:rPr>
              <w:t>2022-2023</w:t>
            </w:r>
            <w:r w:rsidRPr="00462A53">
              <w:rPr>
                <w:rFonts w:ascii="Arial Narrow" w:hAnsi="Arial Narrow" w:cs="Arial"/>
                <w:b/>
                <w:bCs/>
                <w:sz w:val="18"/>
                <w:szCs w:val="18"/>
              </w:rPr>
              <w:br/>
              <w:t>Haushaltsplan</w:t>
            </w:r>
          </w:p>
        </w:tc>
        <w:tc>
          <w:tcPr>
            <w:tcW w:w="1984" w:type="dxa"/>
            <w:gridSpan w:val="2"/>
            <w:tcBorders>
              <w:top w:val="single" w:sz="4" w:space="0" w:color="BFBFBF"/>
              <w:left w:val="nil"/>
              <w:bottom w:val="nil"/>
              <w:right w:val="nil"/>
            </w:tcBorders>
            <w:shd w:val="clear" w:color="000000" w:fill="C7CFD8"/>
            <w:vAlign w:val="center"/>
            <w:hideMark/>
          </w:tcPr>
          <w:p w14:paraId="51D4C844" w14:textId="77777777" w:rsidR="00CC0487" w:rsidRPr="00462A53" w:rsidRDefault="00CC0487" w:rsidP="00DB6666">
            <w:pPr>
              <w:keepNext/>
              <w:jc w:val="center"/>
              <w:rPr>
                <w:rFonts w:ascii="Arial Narrow" w:hAnsi="Arial Narrow" w:cs="Arial"/>
                <w:b/>
                <w:bCs/>
                <w:sz w:val="18"/>
                <w:szCs w:val="18"/>
              </w:rPr>
            </w:pPr>
            <w:r w:rsidRPr="00462A53">
              <w:rPr>
                <w:rFonts w:ascii="Arial Narrow" w:hAnsi="Arial Narrow" w:cs="Arial"/>
                <w:b/>
                <w:bCs/>
                <w:sz w:val="18"/>
                <w:szCs w:val="18"/>
              </w:rPr>
              <w:t xml:space="preserve">Veränderung </w:t>
            </w:r>
          </w:p>
        </w:tc>
        <w:tc>
          <w:tcPr>
            <w:tcW w:w="1276" w:type="dxa"/>
            <w:tcBorders>
              <w:top w:val="single" w:sz="4" w:space="0" w:color="BFBFBF"/>
              <w:left w:val="nil"/>
              <w:bottom w:val="single" w:sz="4" w:space="0" w:color="BFBFBF"/>
              <w:right w:val="nil"/>
            </w:tcBorders>
            <w:shd w:val="clear" w:color="000000" w:fill="C7CFD8"/>
            <w:vAlign w:val="center"/>
            <w:hideMark/>
          </w:tcPr>
          <w:p w14:paraId="6B13B9CF" w14:textId="77777777" w:rsidR="00CC0487" w:rsidRPr="00462A53" w:rsidRDefault="00CC0487" w:rsidP="00DB6666">
            <w:pPr>
              <w:keepNext/>
              <w:jc w:val="center"/>
              <w:rPr>
                <w:rFonts w:ascii="Arial Narrow" w:hAnsi="Arial Narrow" w:cs="Arial"/>
                <w:b/>
                <w:bCs/>
                <w:sz w:val="18"/>
                <w:szCs w:val="18"/>
              </w:rPr>
            </w:pPr>
            <w:r w:rsidRPr="00462A53">
              <w:rPr>
                <w:rFonts w:ascii="Arial Narrow" w:hAnsi="Arial Narrow" w:cs="Arial"/>
                <w:b/>
                <w:bCs/>
                <w:sz w:val="18"/>
                <w:szCs w:val="18"/>
              </w:rPr>
              <w:t xml:space="preserve">2024-2025 </w:t>
            </w:r>
          </w:p>
          <w:p w14:paraId="6ECC239F" w14:textId="77777777" w:rsidR="00CC0487" w:rsidRPr="00462A53" w:rsidRDefault="00CC0487" w:rsidP="00DB6666">
            <w:pPr>
              <w:keepNext/>
              <w:jc w:val="center"/>
              <w:rPr>
                <w:rFonts w:ascii="Arial Narrow" w:hAnsi="Arial Narrow" w:cs="Arial"/>
                <w:b/>
                <w:bCs/>
                <w:sz w:val="18"/>
                <w:szCs w:val="18"/>
              </w:rPr>
            </w:pPr>
            <w:r w:rsidRPr="00462A53">
              <w:rPr>
                <w:rFonts w:ascii="Arial Narrow" w:hAnsi="Arial Narrow" w:cs="Arial"/>
                <w:b/>
                <w:bCs/>
                <w:sz w:val="18"/>
                <w:szCs w:val="18"/>
              </w:rPr>
              <w:t xml:space="preserve">Veranschlagt </w:t>
            </w:r>
          </w:p>
        </w:tc>
      </w:tr>
      <w:tr w:rsidR="00CC0487" w:rsidRPr="003E7026" w14:paraId="17A082E9" w14:textId="77777777" w:rsidTr="00DB6666">
        <w:trPr>
          <w:trHeight w:val="301"/>
          <w:jc w:val="center"/>
        </w:trPr>
        <w:tc>
          <w:tcPr>
            <w:tcW w:w="320" w:type="dxa"/>
            <w:vMerge/>
            <w:tcBorders>
              <w:top w:val="nil"/>
              <w:left w:val="nil"/>
              <w:bottom w:val="single" w:sz="4" w:space="0" w:color="BFBFBF"/>
              <w:right w:val="nil"/>
            </w:tcBorders>
            <w:vAlign w:val="center"/>
            <w:hideMark/>
          </w:tcPr>
          <w:p w14:paraId="3D8A93EE" w14:textId="77777777" w:rsidR="00CC0487" w:rsidRPr="00462A53" w:rsidRDefault="00CC0487" w:rsidP="00DB6666">
            <w:pPr>
              <w:jc w:val="left"/>
              <w:rPr>
                <w:rFonts w:ascii="Arial Narrow" w:hAnsi="Arial Narrow" w:cs="Arial"/>
                <w:b/>
                <w:bCs/>
                <w:sz w:val="18"/>
                <w:szCs w:val="18"/>
              </w:rPr>
            </w:pPr>
          </w:p>
        </w:tc>
        <w:tc>
          <w:tcPr>
            <w:tcW w:w="3224" w:type="dxa"/>
            <w:vMerge/>
            <w:tcBorders>
              <w:top w:val="nil"/>
              <w:left w:val="nil"/>
              <w:bottom w:val="single" w:sz="4" w:space="0" w:color="BFBFBF"/>
              <w:right w:val="nil"/>
            </w:tcBorders>
            <w:vAlign w:val="center"/>
            <w:hideMark/>
          </w:tcPr>
          <w:p w14:paraId="0859E3BC" w14:textId="77777777" w:rsidR="00CC0487" w:rsidRPr="00462A53" w:rsidRDefault="00CC0487" w:rsidP="00DB6666">
            <w:pPr>
              <w:jc w:val="left"/>
              <w:rPr>
                <w:rFonts w:ascii="Arial Narrow" w:hAnsi="Arial Narrow" w:cs="Arial"/>
                <w:b/>
                <w:bCs/>
                <w:sz w:val="18"/>
                <w:szCs w:val="18"/>
              </w:rPr>
            </w:pPr>
          </w:p>
        </w:tc>
        <w:tc>
          <w:tcPr>
            <w:tcW w:w="1276" w:type="dxa"/>
            <w:vMerge/>
            <w:tcBorders>
              <w:top w:val="single" w:sz="4" w:space="0" w:color="BFBFBF"/>
              <w:left w:val="nil"/>
              <w:bottom w:val="nil"/>
              <w:right w:val="nil"/>
            </w:tcBorders>
            <w:vAlign w:val="center"/>
            <w:hideMark/>
          </w:tcPr>
          <w:p w14:paraId="7B8267B4" w14:textId="77777777" w:rsidR="00CC0487" w:rsidRPr="00462A53" w:rsidRDefault="00CC0487" w:rsidP="00DB6666">
            <w:pPr>
              <w:jc w:val="left"/>
              <w:rPr>
                <w:rFonts w:ascii="Arial Narrow" w:hAnsi="Arial Narrow" w:cs="Arial"/>
                <w:b/>
                <w:bCs/>
                <w:sz w:val="18"/>
                <w:szCs w:val="18"/>
              </w:rPr>
            </w:pPr>
          </w:p>
        </w:tc>
        <w:tc>
          <w:tcPr>
            <w:tcW w:w="1276" w:type="dxa"/>
            <w:vMerge/>
            <w:tcBorders>
              <w:top w:val="single" w:sz="4" w:space="0" w:color="BFBFBF"/>
              <w:left w:val="nil"/>
              <w:bottom w:val="nil"/>
              <w:right w:val="nil"/>
            </w:tcBorders>
            <w:vAlign w:val="center"/>
            <w:hideMark/>
          </w:tcPr>
          <w:p w14:paraId="54D15E5F" w14:textId="77777777" w:rsidR="00CC0487" w:rsidRPr="00462A53" w:rsidRDefault="00CC0487" w:rsidP="00DB6666">
            <w:pPr>
              <w:jc w:val="left"/>
              <w:rPr>
                <w:rFonts w:ascii="Arial Narrow" w:hAnsi="Arial Narrow" w:cs="Arial"/>
                <w:b/>
                <w:bCs/>
                <w:sz w:val="18"/>
                <w:szCs w:val="18"/>
              </w:rPr>
            </w:pPr>
          </w:p>
        </w:tc>
        <w:tc>
          <w:tcPr>
            <w:tcW w:w="992" w:type="dxa"/>
            <w:tcBorders>
              <w:top w:val="single" w:sz="4" w:space="0" w:color="748B9E"/>
              <w:left w:val="nil"/>
              <w:bottom w:val="nil"/>
              <w:right w:val="nil"/>
            </w:tcBorders>
            <w:shd w:val="clear" w:color="000000" w:fill="C7CFD8"/>
            <w:vAlign w:val="center"/>
            <w:hideMark/>
          </w:tcPr>
          <w:p w14:paraId="7F1E579F" w14:textId="77777777" w:rsidR="00CC0487" w:rsidRPr="00462A53" w:rsidRDefault="00CC0487" w:rsidP="00DB6666">
            <w:pPr>
              <w:jc w:val="center"/>
              <w:rPr>
                <w:rFonts w:ascii="Arial Narrow" w:hAnsi="Arial Narrow" w:cs="Arial"/>
                <w:b/>
                <w:bCs/>
                <w:sz w:val="18"/>
                <w:szCs w:val="18"/>
              </w:rPr>
            </w:pPr>
            <w:r w:rsidRPr="00462A53">
              <w:rPr>
                <w:rFonts w:ascii="Arial Narrow" w:hAnsi="Arial Narrow" w:cs="Arial"/>
                <w:b/>
                <w:bCs/>
                <w:sz w:val="18"/>
                <w:szCs w:val="18"/>
              </w:rPr>
              <w:t xml:space="preserve">Betrag </w:t>
            </w:r>
          </w:p>
        </w:tc>
        <w:tc>
          <w:tcPr>
            <w:tcW w:w="992" w:type="dxa"/>
            <w:tcBorders>
              <w:top w:val="single" w:sz="4" w:space="0" w:color="748B9E"/>
              <w:left w:val="nil"/>
              <w:bottom w:val="nil"/>
              <w:right w:val="nil"/>
            </w:tcBorders>
            <w:shd w:val="clear" w:color="000000" w:fill="C7CFD8"/>
            <w:vAlign w:val="center"/>
            <w:hideMark/>
          </w:tcPr>
          <w:p w14:paraId="4A146B4B" w14:textId="77777777" w:rsidR="00CC0487" w:rsidRPr="00462A53" w:rsidRDefault="00CC0487" w:rsidP="00DB6666">
            <w:pPr>
              <w:jc w:val="center"/>
              <w:rPr>
                <w:rFonts w:ascii="Arial Narrow" w:hAnsi="Arial Narrow" w:cs="Arial"/>
                <w:b/>
                <w:bCs/>
                <w:sz w:val="18"/>
                <w:szCs w:val="18"/>
              </w:rPr>
            </w:pPr>
            <w:r w:rsidRPr="00462A53">
              <w:rPr>
                <w:rFonts w:ascii="Arial Narrow" w:hAnsi="Arial Narrow" w:cs="Arial"/>
                <w:b/>
                <w:bCs/>
                <w:sz w:val="18"/>
                <w:szCs w:val="18"/>
              </w:rPr>
              <w:t xml:space="preserve">% </w:t>
            </w:r>
          </w:p>
        </w:tc>
        <w:tc>
          <w:tcPr>
            <w:tcW w:w="1276" w:type="dxa"/>
            <w:tcBorders>
              <w:top w:val="single" w:sz="4" w:space="0" w:color="BFBFBF"/>
              <w:left w:val="nil"/>
              <w:bottom w:val="nil"/>
              <w:right w:val="nil"/>
            </w:tcBorders>
            <w:shd w:val="clear" w:color="auto" w:fill="C7CFD8"/>
            <w:vAlign w:val="center"/>
            <w:hideMark/>
          </w:tcPr>
          <w:p w14:paraId="0C64F1E5" w14:textId="77777777" w:rsidR="00CC0487" w:rsidRPr="00462A53" w:rsidRDefault="00CC0487" w:rsidP="00DB6666">
            <w:pPr>
              <w:jc w:val="left"/>
              <w:rPr>
                <w:rFonts w:ascii="Arial Narrow" w:hAnsi="Arial Narrow" w:cs="Arial"/>
                <w:b/>
                <w:bCs/>
                <w:sz w:val="18"/>
                <w:szCs w:val="18"/>
              </w:rPr>
            </w:pPr>
          </w:p>
        </w:tc>
      </w:tr>
      <w:tr w:rsidR="00CC0487" w:rsidRPr="003E7026" w14:paraId="4D2B3CAF" w14:textId="77777777" w:rsidTr="00DB6666">
        <w:trPr>
          <w:trHeight w:val="227"/>
          <w:jc w:val="center"/>
        </w:trPr>
        <w:tc>
          <w:tcPr>
            <w:tcW w:w="320" w:type="dxa"/>
            <w:vMerge/>
            <w:tcBorders>
              <w:top w:val="nil"/>
              <w:left w:val="nil"/>
              <w:bottom w:val="single" w:sz="4" w:space="0" w:color="BFBFBF"/>
              <w:right w:val="nil"/>
            </w:tcBorders>
            <w:vAlign w:val="center"/>
            <w:hideMark/>
          </w:tcPr>
          <w:p w14:paraId="03CAD846" w14:textId="77777777" w:rsidR="00CC0487" w:rsidRPr="00462A53" w:rsidRDefault="00CC0487" w:rsidP="00DB6666">
            <w:pPr>
              <w:jc w:val="left"/>
              <w:rPr>
                <w:rFonts w:ascii="Arial Narrow" w:hAnsi="Arial Narrow" w:cs="Arial"/>
                <w:b/>
                <w:bCs/>
                <w:sz w:val="18"/>
                <w:szCs w:val="18"/>
              </w:rPr>
            </w:pPr>
          </w:p>
        </w:tc>
        <w:tc>
          <w:tcPr>
            <w:tcW w:w="3224" w:type="dxa"/>
            <w:vMerge/>
            <w:tcBorders>
              <w:top w:val="nil"/>
              <w:left w:val="nil"/>
              <w:bottom w:val="single" w:sz="4" w:space="0" w:color="BFBFBF"/>
              <w:right w:val="nil"/>
            </w:tcBorders>
            <w:vAlign w:val="center"/>
            <w:hideMark/>
          </w:tcPr>
          <w:p w14:paraId="17D7AEAD" w14:textId="77777777" w:rsidR="00CC0487" w:rsidRPr="00462A53" w:rsidRDefault="00CC0487" w:rsidP="00DB6666">
            <w:pPr>
              <w:jc w:val="left"/>
              <w:rPr>
                <w:rFonts w:ascii="Arial Narrow" w:hAnsi="Arial Narrow" w:cs="Arial"/>
                <w:b/>
                <w:bCs/>
                <w:sz w:val="18"/>
                <w:szCs w:val="18"/>
              </w:rPr>
            </w:pPr>
          </w:p>
        </w:tc>
        <w:tc>
          <w:tcPr>
            <w:tcW w:w="1276" w:type="dxa"/>
            <w:tcBorders>
              <w:top w:val="nil"/>
              <w:left w:val="nil"/>
              <w:bottom w:val="nil"/>
              <w:right w:val="nil"/>
            </w:tcBorders>
            <w:shd w:val="clear" w:color="000000" w:fill="C7CFD8"/>
            <w:vAlign w:val="center"/>
            <w:hideMark/>
          </w:tcPr>
          <w:p w14:paraId="4854F3FF" w14:textId="77777777" w:rsidR="00CC0487" w:rsidRPr="00462A53" w:rsidRDefault="00CC0487" w:rsidP="00DB6666">
            <w:pPr>
              <w:jc w:val="center"/>
              <w:rPr>
                <w:rFonts w:ascii="Arial Narrow" w:hAnsi="Arial Narrow" w:cs="Arial"/>
                <w:b/>
                <w:bCs/>
                <w:sz w:val="18"/>
                <w:szCs w:val="18"/>
              </w:rPr>
            </w:pPr>
            <w:r w:rsidRPr="00462A53">
              <w:rPr>
                <w:rFonts w:ascii="Arial Narrow" w:hAnsi="Arial Narrow" w:cs="Arial"/>
                <w:b/>
                <w:bCs/>
                <w:sz w:val="18"/>
                <w:szCs w:val="18"/>
              </w:rPr>
              <w:t xml:space="preserve">A </w:t>
            </w:r>
          </w:p>
        </w:tc>
        <w:tc>
          <w:tcPr>
            <w:tcW w:w="1276" w:type="dxa"/>
            <w:tcBorders>
              <w:top w:val="nil"/>
              <w:left w:val="nil"/>
              <w:bottom w:val="nil"/>
              <w:right w:val="nil"/>
            </w:tcBorders>
            <w:shd w:val="clear" w:color="000000" w:fill="C7CFD8"/>
            <w:noWrap/>
            <w:vAlign w:val="center"/>
            <w:hideMark/>
          </w:tcPr>
          <w:p w14:paraId="7E214C9C" w14:textId="77777777" w:rsidR="00CC0487" w:rsidRPr="00462A53" w:rsidRDefault="00CC0487" w:rsidP="00DB6666">
            <w:pPr>
              <w:jc w:val="center"/>
              <w:rPr>
                <w:rFonts w:ascii="Arial Narrow" w:hAnsi="Arial Narrow" w:cs="Arial"/>
                <w:b/>
                <w:bCs/>
                <w:sz w:val="18"/>
                <w:szCs w:val="18"/>
              </w:rPr>
            </w:pPr>
            <w:r w:rsidRPr="00462A53">
              <w:rPr>
                <w:rFonts w:ascii="Arial Narrow" w:hAnsi="Arial Narrow" w:cs="Arial"/>
                <w:b/>
                <w:bCs/>
                <w:sz w:val="18"/>
                <w:szCs w:val="18"/>
              </w:rPr>
              <w:t xml:space="preserve">B </w:t>
            </w:r>
          </w:p>
        </w:tc>
        <w:tc>
          <w:tcPr>
            <w:tcW w:w="992" w:type="dxa"/>
            <w:tcBorders>
              <w:top w:val="nil"/>
              <w:left w:val="nil"/>
              <w:bottom w:val="nil"/>
              <w:right w:val="nil"/>
            </w:tcBorders>
            <w:shd w:val="clear" w:color="000000" w:fill="C7CFD8"/>
            <w:vAlign w:val="center"/>
            <w:hideMark/>
          </w:tcPr>
          <w:p w14:paraId="5E84E7BE" w14:textId="77777777" w:rsidR="00CC0487" w:rsidRPr="00462A53" w:rsidRDefault="00CC0487" w:rsidP="00DB6666">
            <w:pPr>
              <w:jc w:val="center"/>
              <w:rPr>
                <w:rFonts w:ascii="Arial Narrow" w:hAnsi="Arial Narrow" w:cs="Arial"/>
                <w:b/>
                <w:bCs/>
                <w:sz w:val="18"/>
                <w:szCs w:val="18"/>
              </w:rPr>
            </w:pPr>
            <w:r w:rsidRPr="00462A53">
              <w:rPr>
                <w:rFonts w:ascii="Arial Narrow" w:hAnsi="Arial Narrow" w:cs="Arial"/>
                <w:b/>
                <w:bCs/>
                <w:sz w:val="18"/>
                <w:szCs w:val="18"/>
              </w:rPr>
              <w:t xml:space="preserve">C </w:t>
            </w:r>
          </w:p>
        </w:tc>
        <w:tc>
          <w:tcPr>
            <w:tcW w:w="992" w:type="dxa"/>
            <w:tcBorders>
              <w:top w:val="nil"/>
              <w:left w:val="nil"/>
              <w:bottom w:val="nil"/>
              <w:right w:val="nil"/>
            </w:tcBorders>
            <w:shd w:val="clear" w:color="000000" w:fill="C7CFD8"/>
            <w:vAlign w:val="center"/>
            <w:hideMark/>
          </w:tcPr>
          <w:p w14:paraId="2BBB5398" w14:textId="77777777" w:rsidR="00CC0487" w:rsidRPr="00462A53" w:rsidRDefault="00CC0487" w:rsidP="00DB6666">
            <w:pPr>
              <w:jc w:val="center"/>
              <w:rPr>
                <w:rFonts w:ascii="Arial Narrow" w:hAnsi="Arial Narrow" w:cs="Arial"/>
                <w:b/>
                <w:bCs/>
                <w:sz w:val="18"/>
                <w:szCs w:val="18"/>
              </w:rPr>
            </w:pPr>
            <w:r w:rsidRPr="00462A53">
              <w:rPr>
                <w:rFonts w:ascii="Arial Narrow" w:hAnsi="Arial Narrow" w:cs="Arial"/>
                <w:b/>
                <w:bCs/>
                <w:sz w:val="18"/>
                <w:szCs w:val="18"/>
              </w:rPr>
              <w:t>C/B</w:t>
            </w:r>
          </w:p>
        </w:tc>
        <w:tc>
          <w:tcPr>
            <w:tcW w:w="1276" w:type="dxa"/>
            <w:tcBorders>
              <w:top w:val="nil"/>
              <w:left w:val="nil"/>
              <w:bottom w:val="nil"/>
              <w:right w:val="nil"/>
            </w:tcBorders>
            <w:shd w:val="clear" w:color="000000" w:fill="C7CFD8"/>
            <w:noWrap/>
            <w:vAlign w:val="center"/>
            <w:hideMark/>
          </w:tcPr>
          <w:p w14:paraId="4C82B374" w14:textId="77777777" w:rsidR="00CC0487" w:rsidRPr="00462A53" w:rsidRDefault="00CC0487" w:rsidP="00DB6666">
            <w:pPr>
              <w:jc w:val="center"/>
              <w:rPr>
                <w:rFonts w:ascii="Arial Narrow" w:hAnsi="Arial Narrow" w:cs="Arial"/>
                <w:b/>
                <w:bCs/>
                <w:sz w:val="18"/>
                <w:szCs w:val="18"/>
              </w:rPr>
            </w:pPr>
            <w:r w:rsidRPr="00462A53">
              <w:rPr>
                <w:rFonts w:ascii="Arial Narrow" w:hAnsi="Arial Narrow" w:cs="Arial"/>
                <w:b/>
                <w:bCs/>
                <w:sz w:val="18"/>
                <w:szCs w:val="18"/>
              </w:rPr>
              <w:t xml:space="preserve">D=B+C </w:t>
            </w:r>
          </w:p>
        </w:tc>
      </w:tr>
      <w:tr w:rsidR="00CC0487" w:rsidRPr="003E7026" w14:paraId="268B4544" w14:textId="77777777" w:rsidTr="00DB6666">
        <w:trPr>
          <w:trHeight w:val="192"/>
          <w:jc w:val="center"/>
        </w:trPr>
        <w:tc>
          <w:tcPr>
            <w:tcW w:w="320" w:type="dxa"/>
            <w:tcBorders>
              <w:top w:val="nil"/>
              <w:left w:val="nil"/>
              <w:bottom w:val="nil"/>
              <w:right w:val="nil"/>
            </w:tcBorders>
            <w:shd w:val="clear" w:color="auto" w:fill="auto"/>
            <w:noWrap/>
            <w:vAlign w:val="bottom"/>
            <w:hideMark/>
          </w:tcPr>
          <w:p w14:paraId="0EC3F3B9" w14:textId="77777777" w:rsidR="00CC0487" w:rsidRPr="00462A53" w:rsidRDefault="00CC0487" w:rsidP="00DB6666">
            <w:pPr>
              <w:jc w:val="center"/>
              <w:rPr>
                <w:rFonts w:ascii="Arial Narrow" w:hAnsi="Arial Narrow" w:cs="Arial"/>
                <w:b/>
                <w:bCs/>
                <w:sz w:val="18"/>
                <w:szCs w:val="18"/>
              </w:rPr>
            </w:pPr>
          </w:p>
        </w:tc>
        <w:tc>
          <w:tcPr>
            <w:tcW w:w="3224" w:type="dxa"/>
            <w:tcBorders>
              <w:top w:val="nil"/>
              <w:left w:val="nil"/>
              <w:bottom w:val="nil"/>
              <w:right w:val="nil"/>
            </w:tcBorders>
            <w:shd w:val="clear" w:color="auto" w:fill="auto"/>
            <w:vAlign w:val="bottom"/>
            <w:hideMark/>
          </w:tcPr>
          <w:p w14:paraId="0E69B423" w14:textId="77777777" w:rsidR="00CC0487" w:rsidRPr="00462A53" w:rsidRDefault="00CC0487" w:rsidP="00DB6666">
            <w:pPr>
              <w:jc w:val="left"/>
              <w:rPr>
                <w:rFonts w:ascii="Arial Narrow" w:hAnsi="Arial Narrow"/>
                <w:sz w:val="18"/>
                <w:szCs w:val="18"/>
              </w:rPr>
            </w:pPr>
          </w:p>
        </w:tc>
        <w:tc>
          <w:tcPr>
            <w:tcW w:w="1276" w:type="dxa"/>
            <w:tcBorders>
              <w:top w:val="single" w:sz="4" w:space="0" w:color="BFBFBF"/>
              <w:left w:val="nil"/>
              <w:bottom w:val="nil"/>
              <w:right w:val="nil"/>
            </w:tcBorders>
            <w:shd w:val="clear" w:color="auto" w:fill="auto"/>
            <w:vAlign w:val="bottom"/>
            <w:hideMark/>
          </w:tcPr>
          <w:p w14:paraId="08305179" w14:textId="77777777" w:rsidR="00CC0487" w:rsidRPr="00462A53" w:rsidRDefault="00CC0487" w:rsidP="00DB6666">
            <w:pPr>
              <w:jc w:val="center"/>
              <w:rPr>
                <w:rFonts w:ascii="Arial Narrow" w:hAnsi="Arial Narrow" w:cs="Arial"/>
                <w:b/>
                <w:bCs/>
                <w:sz w:val="18"/>
                <w:szCs w:val="18"/>
              </w:rPr>
            </w:pPr>
            <w:r w:rsidRPr="00462A53">
              <w:rPr>
                <w:rFonts w:ascii="Arial Narrow" w:hAnsi="Arial Narrow" w:cs="Arial"/>
                <w:b/>
                <w:bCs/>
                <w:sz w:val="18"/>
                <w:szCs w:val="18"/>
              </w:rPr>
              <w:t> </w:t>
            </w:r>
          </w:p>
        </w:tc>
        <w:tc>
          <w:tcPr>
            <w:tcW w:w="1276" w:type="dxa"/>
            <w:tcBorders>
              <w:top w:val="single" w:sz="4" w:space="0" w:color="BFBFBF"/>
              <w:left w:val="nil"/>
              <w:bottom w:val="nil"/>
              <w:right w:val="nil"/>
            </w:tcBorders>
            <w:shd w:val="clear" w:color="auto" w:fill="auto"/>
            <w:vAlign w:val="bottom"/>
            <w:hideMark/>
          </w:tcPr>
          <w:p w14:paraId="40B24F9F" w14:textId="77777777" w:rsidR="00CC0487" w:rsidRPr="00462A53" w:rsidRDefault="00CC0487" w:rsidP="00DB6666">
            <w:pPr>
              <w:jc w:val="center"/>
              <w:rPr>
                <w:rFonts w:ascii="Arial Narrow" w:hAnsi="Arial Narrow" w:cs="Arial"/>
                <w:b/>
                <w:bCs/>
                <w:sz w:val="18"/>
                <w:szCs w:val="18"/>
              </w:rPr>
            </w:pPr>
            <w:r w:rsidRPr="00462A53">
              <w:rPr>
                <w:rFonts w:ascii="Arial Narrow" w:hAnsi="Arial Narrow" w:cs="Arial"/>
                <w:b/>
                <w:bCs/>
                <w:sz w:val="18"/>
                <w:szCs w:val="18"/>
              </w:rPr>
              <w:t> </w:t>
            </w:r>
          </w:p>
        </w:tc>
        <w:tc>
          <w:tcPr>
            <w:tcW w:w="992" w:type="dxa"/>
            <w:tcBorders>
              <w:top w:val="single" w:sz="4" w:space="0" w:color="BFBFBF"/>
              <w:left w:val="nil"/>
              <w:bottom w:val="nil"/>
              <w:right w:val="nil"/>
            </w:tcBorders>
            <w:shd w:val="clear" w:color="auto" w:fill="auto"/>
            <w:vAlign w:val="bottom"/>
            <w:hideMark/>
          </w:tcPr>
          <w:p w14:paraId="13A5573D" w14:textId="77777777" w:rsidR="00CC0487" w:rsidRPr="00462A53" w:rsidRDefault="00CC0487" w:rsidP="00DB6666">
            <w:pPr>
              <w:jc w:val="center"/>
              <w:rPr>
                <w:rFonts w:ascii="Arial Narrow" w:hAnsi="Arial Narrow" w:cs="Arial"/>
                <w:b/>
                <w:bCs/>
                <w:sz w:val="18"/>
                <w:szCs w:val="18"/>
              </w:rPr>
            </w:pPr>
            <w:r w:rsidRPr="00462A53">
              <w:rPr>
                <w:rFonts w:ascii="Arial Narrow" w:hAnsi="Arial Narrow" w:cs="Arial"/>
                <w:b/>
                <w:bCs/>
                <w:sz w:val="18"/>
                <w:szCs w:val="18"/>
              </w:rPr>
              <w:t> </w:t>
            </w:r>
          </w:p>
        </w:tc>
        <w:tc>
          <w:tcPr>
            <w:tcW w:w="992" w:type="dxa"/>
            <w:tcBorders>
              <w:top w:val="single" w:sz="4" w:space="0" w:color="BFBFBF"/>
              <w:left w:val="nil"/>
              <w:bottom w:val="nil"/>
              <w:right w:val="nil"/>
            </w:tcBorders>
            <w:shd w:val="clear" w:color="auto" w:fill="auto"/>
            <w:vAlign w:val="bottom"/>
            <w:hideMark/>
          </w:tcPr>
          <w:p w14:paraId="491075C8" w14:textId="77777777" w:rsidR="00CC0487" w:rsidRPr="00462A53" w:rsidRDefault="00CC0487" w:rsidP="00DB6666">
            <w:pPr>
              <w:jc w:val="center"/>
              <w:rPr>
                <w:rFonts w:ascii="Arial Narrow" w:hAnsi="Arial Narrow" w:cs="Arial"/>
                <w:b/>
                <w:bCs/>
                <w:sz w:val="18"/>
                <w:szCs w:val="18"/>
              </w:rPr>
            </w:pPr>
            <w:r w:rsidRPr="00462A53">
              <w:rPr>
                <w:rFonts w:ascii="Arial Narrow" w:hAnsi="Arial Narrow" w:cs="Arial"/>
                <w:b/>
                <w:bCs/>
                <w:sz w:val="18"/>
                <w:szCs w:val="18"/>
              </w:rPr>
              <w:t> </w:t>
            </w:r>
          </w:p>
        </w:tc>
        <w:tc>
          <w:tcPr>
            <w:tcW w:w="1276" w:type="dxa"/>
            <w:tcBorders>
              <w:top w:val="single" w:sz="4" w:space="0" w:color="BFBFBF"/>
              <w:left w:val="nil"/>
              <w:bottom w:val="nil"/>
              <w:right w:val="nil"/>
            </w:tcBorders>
            <w:shd w:val="clear" w:color="auto" w:fill="auto"/>
            <w:vAlign w:val="bottom"/>
            <w:hideMark/>
          </w:tcPr>
          <w:p w14:paraId="17836375" w14:textId="77777777" w:rsidR="00CC0487" w:rsidRPr="00462A53" w:rsidRDefault="00CC0487" w:rsidP="00DB6666">
            <w:pPr>
              <w:jc w:val="center"/>
              <w:rPr>
                <w:rFonts w:ascii="Arial Narrow" w:hAnsi="Arial Narrow" w:cs="Arial"/>
                <w:b/>
                <w:bCs/>
                <w:sz w:val="18"/>
                <w:szCs w:val="18"/>
              </w:rPr>
            </w:pPr>
            <w:r w:rsidRPr="00462A53">
              <w:rPr>
                <w:rFonts w:ascii="Arial Narrow" w:hAnsi="Arial Narrow" w:cs="Arial"/>
                <w:b/>
                <w:bCs/>
                <w:sz w:val="18"/>
                <w:szCs w:val="18"/>
              </w:rPr>
              <w:t> </w:t>
            </w:r>
          </w:p>
        </w:tc>
      </w:tr>
      <w:tr w:rsidR="00CC0487" w:rsidRPr="003E7026" w14:paraId="3387A23C" w14:textId="77777777" w:rsidTr="00DB6666">
        <w:trPr>
          <w:trHeight w:val="301"/>
          <w:jc w:val="center"/>
        </w:trPr>
        <w:tc>
          <w:tcPr>
            <w:tcW w:w="3544" w:type="dxa"/>
            <w:gridSpan w:val="2"/>
            <w:tcBorders>
              <w:top w:val="nil"/>
              <w:left w:val="nil"/>
              <w:bottom w:val="nil"/>
              <w:right w:val="nil"/>
            </w:tcBorders>
            <w:shd w:val="clear" w:color="auto" w:fill="auto"/>
            <w:noWrap/>
            <w:vAlign w:val="center"/>
            <w:hideMark/>
          </w:tcPr>
          <w:p w14:paraId="47ECF94D" w14:textId="77777777" w:rsidR="00CC0487" w:rsidRPr="00462A53" w:rsidRDefault="00CC0487" w:rsidP="00DB6666">
            <w:pPr>
              <w:jc w:val="left"/>
              <w:rPr>
                <w:rFonts w:ascii="Arial Narrow" w:hAnsi="Arial Narrow" w:cs="Arial"/>
                <w:b/>
                <w:bCs/>
                <w:sz w:val="18"/>
                <w:szCs w:val="18"/>
              </w:rPr>
            </w:pPr>
            <w:r w:rsidRPr="00462A53">
              <w:rPr>
                <w:rFonts w:ascii="Arial Narrow" w:hAnsi="Arial Narrow" w:cs="Arial"/>
                <w:b/>
                <w:bCs/>
                <w:sz w:val="18"/>
                <w:szCs w:val="18"/>
              </w:rPr>
              <w:t>A. Personalkosten</w:t>
            </w:r>
          </w:p>
        </w:tc>
        <w:tc>
          <w:tcPr>
            <w:tcW w:w="1276" w:type="dxa"/>
            <w:tcBorders>
              <w:top w:val="nil"/>
              <w:left w:val="nil"/>
              <w:bottom w:val="nil"/>
              <w:right w:val="nil"/>
            </w:tcBorders>
            <w:shd w:val="clear" w:color="auto" w:fill="auto"/>
            <w:vAlign w:val="center"/>
            <w:hideMark/>
          </w:tcPr>
          <w:p w14:paraId="6924D045" w14:textId="77777777" w:rsidR="00CC0487" w:rsidRPr="00462A53" w:rsidRDefault="00CC0487" w:rsidP="00DB6666">
            <w:pPr>
              <w:jc w:val="right"/>
              <w:rPr>
                <w:rFonts w:ascii="Arial Narrow" w:hAnsi="Arial Narrow" w:cs="Arial"/>
                <w:b/>
                <w:bCs/>
                <w:sz w:val="18"/>
                <w:szCs w:val="18"/>
              </w:rPr>
            </w:pPr>
          </w:p>
        </w:tc>
        <w:tc>
          <w:tcPr>
            <w:tcW w:w="1276" w:type="dxa"/>
            <w:tcBorders>
              <w:top w:val="nil"/>
              <w:left w:val="nil"/>
              <w:bottom w:val="nil"/>
              <w:right w:val="nil"/>
            </w:tcBorders>
            <w:shd w:val="clear" w:color="auto" w:fill="auto"/>
            <w:vAlign w:val="center"/>
            <w:hideMark/>
          </w:tcPr>
          <w:p w14:paraId="4456C3FA" w14:textId="77777777" w:rsidR="00CC0487" w:rsidRPr="00462A53" w:rsidRDefault="00CC0487" w:rsidP="00DB6666">
            <w:pPr>
              <w:jc w:val="right"/>
              <w:rPr>
                <w:rFonts w:ascii="Arial Narrow" w:hAnsi="Arial Narrow"/>
                <w:sz w:val="18"/>
                <w:szCs w:val="18"/>
              </w:rPr>
            </w:pPr>
          </w:p>
        </w:tc>
        <w:tc>
          <w:tcPr>
            <w:tcW w:w="992" w:type="dxa"/>
            <w:tcBorders>
              <w:top w:val="nil"/>
              <w:left w:val="nil"/>
              <w:bottom w:val="nil"/>
              <w:right w:val="nil"/>
            </w:tcBorders>
            <w:shd w:val="clear" w:color="auto" w:fill="auto"/>
            <w:vAlign w:val="center"/>
            <w:hideMark/>
          </w:tcPr>
          <w:p w14:paraId="4FA930A6" w14:textId="77777777" w:rsidR="00CC0487" w:rsidRPr="00462A53" w:rsidRDefault="00CC0487" w:rsidP="00DB6666">
            <w:pPr>
              <w:jc w:val="right"/>
              <w:rPr>
                <w:rFonts w:ascii="Arial Narrow" w:hAnsi="Arial Narrow"/>
                <w:sz w:val="18"/>
                <w:szCs w:val="18"/>
              </w:rPr>
            </w:pPr>
          </w:p>
        </w:tc>
        <w:tc>
          <w:tcPr>
            <w:tcW w:w="992" w:type="dxa"/>
            <w:tcBorders>
              <w:top w:val="nil"/>
              <w:left w:val="nil"/>
              <w:bottom w:val="nil"/>
              <w:right w:val="nil"/>
            </w:tcBorders>
            <w:shd w:val="clear" w:color="auto" w:fill="auto"/>
            <w:vAlign w:val="center"/>
            <w:hideMark/>
          </w:tcPr>
          <w:p w14:paraId="28BC408D" w14:textId="77777777" w:rsidR="00CC0487" w:rsidRPr="00462A53" w:rsidRDefault="00CC0487" w:rsidP="00DB6666">
            <w:pPr>
              <w:jc w:val="right"/>
              <w:rPr>
                <w:rFonts w:ascii="Arial Narrow" w:hAnsi="Arial Narrow"/>
                <w:sz w:val="18"/>
                <w:szCs w:val="18"/>
              </w:rPr>
            </w:pPr>
          </w:p>
        </w:tc>
        <w:tc>
          <w:tcPr>
            <w:tcW w:w="1276" w:type="dxa"/>
            <w:tcBorders>
              <w:top w:val="nil"/>
              <w:left w:val="nil"/>
              <w:bottom w:val="nil"/>
              <w:right w:val="nil"/>
            </w:tcBorders>
            <w:shd w:val="clear" w:color="auto" w:fill="auto"/>
            <w:vAlign w:val="center"/>
            <w:hideMark/>
          </w:tcPr>
          <w:p w14:paraId="59051872" w14:textId="77777777" w:rsidR="00CC0487" w:rsidRPr="00462A53" w:rsidRDefault="00CC0487" w:rsidP="00DB6666">
            <w:pPr>
              <w:jc w:val="right"/>
              <w:rPr>
                <w:rFonts w:ascii="Arial Narrow" w:hAnsi="Arial Narrow"/>
                <w:sz w:val="18"/>
                <w:szCs w:val="18"/>
              </w:rPr>
            </w:pPr>
          </w:p>
        </w:tc>
      </w:tr>
      <w:tr w:rsidR="00CC0487" w:rsidRPr="003E7026" w14:paraId="008F2DBE" w14:textId="77777777" w:rsidTr="00DB6666">
        <w:trPr>
          <w:trHeight w:val="355"/>
          <w:jc w:val="center"/>
        </w:trPr>
        <w:tc>
          <w:tcPr>
            <w:tcW w:w="320" w:type="dxa"/>
            <w:tcBorders>
              <w:top w:val="nil"/>
              <w:left w:val="nil"/>
              <w:bottom w:val="nil"/>
              <w:right w:val="nil"/>
            </w:tcBorders>
            <w:shd w:val="clear" w:color="auto" w:fill="auto"/>
            <w:noWrap/>
            <w:vAlign w:val="bottom"/>
            <w:hideMark/>
          </w:tcPr>
          <w:p w14:paraId="7567A2F2" w14:textId="77777777" w:rsidR="00CC0487" w:rsidRPr="00462A53" w:rsidRDefault="00CC0487" w:rsidP="00DB6666">
            <w:pPr>
              <w:jc w:val="left"/>
              <w:rPr>
                <w:rFonts w:ascii="Arial Narrow" w:hAnsi="Arial Narrow"/>
                <w:sz w:val="18"/>
                <w:szCs w:val="18"/>
              </w:rPr>
            </w:pPr>
          </w:p>
        </w:tc>
        <w:tc>
          <w:tcPr>
            <w:tcW w:w="3224" w:type="dxa"/>
            <w:tcBorders>
              <w:top w:val="nil"/>
              <w:left w:val="nil"/>
              <w:bottom w:val="nil"/>
              <w:right w:val="nil"/>
            </w:tcBorders>
            <w:shd w:val="clear" w:color="auto" w:fill="auto"/>
            <w:vAlign w:val="center"/>
            <w:hideMark/>
          </w:tcPr>
          <w:p w14:paraId="23E3253D" w14:textId="77777777" w:rsidR="00CC0487" w:rsidRPr="00462A53" w:rsidRDefault="00CC0487" w:rsidP="00DB6666">
            <w:pPr>
              <w:ind w:firstLineChars="200" w:firstLine="360"/>
              <w:jc w:val="left"/>
              <w:rPr>
                <w:rFonts w:ascii="Arial Narrow" w:hAnsi="Arial Narrow" w:cs="Arial"/>
                <w:i/>
                <w:iCs/>
                <w:color w:val="000000"/>
                <w:sz w:val="18"/>
                <w:szCs w:val="18"/>
              </w:rPr>
            </w:pPr>
            <w:r w:rsidRPr="00462A53">
              <w:rPr>
                <w:rFonts w:ascii="Arial Narrow" w:hAnsi="Arial Narrow" w:cs="Arial"/>
                <w:i/>
                <w:iCs/>
                <w:color w:val="000000"/>
                <w:sz w:val="18"/>
                <w:szCs w:val="18"/>
              </w:rPr>
              <w:t>Posten</w:t>
            </w:r>
          </w:p>
        </w:tc>
        <w:tc>
          <w:tcPr>
            <w:tcW w:w="1276" w:type="dxa"/>
            <w:tcBorders>
              <w:top w:val="nil"/>
              <w:left w:val="nil"/>
              <w:bottom w:val="nil"/>
              <w:right w:val="nil"/>
            </w:tcBorders>
            <w:shd w:val="clear" w:color="auto" w:fill="auto"/>
            <w:vAlign w:val="center"/>
            <w:hideMark/>
          </w:tcPr>
          <w:p w14:paraId="5C184A6F"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4.363</w:t>
            </w:r>
          </w:p>
        </w:tc>
        <w:tc>
          <w:tcPr>
            <w:tcW w:w="1276" w:type="dxa"/>
            <w:tcBorders>
              <w:top w:val="nil"/>
              <w:left w:val="nil"/>
              <w:bottom w:val="nil"/>
              <w:right w:val="nil"/>
            </w:tcBorders>
            <w:shd w:val="clear" w:color="auto" w:fill="auto"/>
            <w:vAlign w:val="center"/>
            <w:hideMark/>
          </w:tcPr>
          <w:p w14:paraId="2AEC63C9"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4.792</w:t>
            </w:r>
          </w:p>
        </w:tc>
        <w:tc>
          <w:tcPr>
            <w:tcW w:w="992" w:type="dxa"/>
            <w:tcBorders>
              <w:top w:val="nil"/>
              <w:left w:val="nil"/>
              <w:bottom w:val="nil"/>
              <w:right w:val="nil"/>
            </w:tcBorders>
            <w:shd w:val="clear" w:color="auto" w:fill="auto"/>
            <w:vAlign w:val="center"/>
            <w:hideMark/>
          </w:tcPr>
          <w:p w14:paraId="49BCD93B"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393</w:t>
            </w:r>
          </w:p>
        </w:tc>
        <w:tc>
          <w:tcPr>
            <w:tcW w:w="992" w:type="dxa"/>
            <w:tcBorders>
              <w:top w:val="nil"/>
              <w:left w:val="nil"/>
              <w:bottom w:val="nil"/>
              <w:right w:val="nil"/>
            </w:tcBorders>
            <w:shd w:val="clear" w:color="auto" w:fill="auto"/>
            <w:vAlign w:val="center"/>
            <w:hideMark/>
          </w:tcPr>
          <w:p w14:paraId="6CE683A6"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8%</w:t>
            </w:r>
          </w:p>
        </w:tc>
        <w:tc>
          <w:tcPr>
            <w:tcW w:w="1276" w:type="dxa"/>
            <w:tcBorders>
              <w:top w:val="nil"/>
              <w:left w:val="nil"/>
              <w:bottom w:val="nil"/>
              <w:right w:val="nil"/>
            </w:tcBorders>
            <w:shd w:val="clear" w:color="auto" w:fill="auto"/>
            <w:vAlign w:val="center"/>
            <w:hideMark/>
          </w:tcPr>
          <w:p w14:paraId="625561A0"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5.186</w:t>
            </w:r>
          </w:p>
        </w:tc>
      </w:tr>
      <w:tr w:rsidR="00CC0487" w:rsidRPr="003E7026" w14:paraId="3E8D3C96" w14:textId="77777777" w:rsidTr="00DB6666">
        <w:trPr>
          <w:trHeight w:val="342"/>
          <w:jc w:val="center"/>
        </w:trPr>
        <w:tc>
          <w:tcPr>
            <w:tcW w:w="320" w:type="dxa"/>
            <w:tcBorders>
              <w:top w:val="nil"/>
              <w:left w:val="nil"/>
              <w:bottom w:val="nil"/>
              <w:right w:val="nil"/>
            </w:tcBorders>
            <w:shd w:val="clear" w:color="auto" w:fill="auto"/>
            <w:noWrap/>
            <w:vAlign w:val="bottom"/>
            <w:hideMark/>
          </w:tcPr>
          <w:p w14:paraId="0FDA73BF" w14:textId="77777777" w:rsidR="00CC0487" w:rsidRPr="00462A53" w:rsidRDefault="00CC0487" w:rsidP="00DB6666">
            <w:pPr>
              <w:jc w:val="right"/>
              <w:rPr>
                <w:rFonts w:ascii="Arial Narrow" w:hAnsi="Arial Narrow" w:cs="Arial"/>
                <w:sz w:val="18"/>
                <w:szCs w:val="18"/>
              </w:rPr>
            </w:pPr>
          </w:p>
        </w:tc>
        <w:tc>
          <w:tcPr>
            <w:tcW w:w="3224" w:type="dxa"/>
            <w:tcBorders>
              <w:top w:val="nil"/>
              <w:left w:val="nil"/>
              <w:bottom w:val="nil"/>
              <w:right w:val="nil"/>
            </w:tcBorders>
            <w:shd w:val="clear" w:color="auto" w:fill="auto"/>
            <w:vAlign w:val="center"/>
            <w:hideMark/>
          </w:tcPr>
          <w:p w14:paraId="4A970FD3" w14:textId="77777777" w:rsidR="00CC0487" w:rsidRPr="00462A53" w:rsidRDefault="00CC0487" w:rsidP="00DB6666">
            <w:pPr>
              <w:ind w:firstLineChars="200" w:firstLine="360"/>
              <w:jc w:val="left"/>
              <w:rPr>
                <w:rFonts w:ascii="Arial Narrow" w:hAnsi="Arial Narrow" w:cs="Arial"/>
                <w:i/>
                <w:iCs/>
                <w:color w:val="000000"/>
                <w:sz w:val="18"/>
                <w:szCs w:val="18"/>
              </w:rPr>
            </w:pPr>
            <w:r w:rsidRPr="00462A53">
              <w:rPr>
                <w:rFonts w:ascii="Arial Narrow" w:hAnsi="Arial Narrow" w:cs="Arial"/>
                <w:i/>
                <w:iCs/>
                <w:color w:val="000000"/>
                <w:sz w:val="18"/>
                <w:szCs w:val="18"/>
              </w:rPr>
              <w:t>Bedienstete auf Zeit</w:t>
            </w:r>
          </w:p>
        </w:tc>
        <w:tc>
          <w:tcPr>
            <w:tcW w:w="1276" w:type="dxa"/>
            <w:tcBorders>
              <w:top w:val="nil"/>
              <w:left w:val="nil"/>
              <w:bottom w:val="nil"/>
              <w:right w:val="nil"/>
            </w:tcBorders>
            <w:shd w:val="clear" w:color="auto" w:fill="auto"/>
            <w:vAlign w:val="center"/>
            <w:hideMark/>
          </w:tcPr>
          <w:p w14:paraId="2046E1CA"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188</w:t>
            </w:r>
          </w:p>
        </w:tc>
        <w:tc>
          <w:tcPr>
            <w:tcW w:w="1276" w:type="dxa"/>
            <w:tcBorders>
              <w:top w:val="nil"/>
              <w:left w:val="nil"/>
              <w:bottom w:val="nil"/>
              <w:right w:val="nil"/>
            </w:tcBorders>
            <w:shd w:val="clear" w:color="auto" w:fill="auto"/>
            <w:vAlign w:val="center"/>
            <w:hideMark/>
          </w:tcPr>
          <w:p w14:paraId="5A50D327"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526</w:t>
            </w:r>
          </w:p>
        </w:tc>
        <w:tc>
          <w:tcPr>
            <w:tcW w:w="992" w:type="dxa"/>
            <w:tcBorders>
              <w:top w:val="nil"/>
              <w:left w:val="nil"/>
              <w:bottom w:val="nil"/>
              <w:right w:val="nil"/>
            </w:tcBorders>
            <w:shd w:val="clear" w:color="auto" w:fill="auto"/>
            <w:vAlign w:val="center"/>
            <w:hideMark/>
          </w:tcPr>
          <w:p w14:paraId="69C17806"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43</w:t>
            </w:r>
          </w:p>
        </w:tc>
        <w:tc>
          <w:tcPr>
            <w:tcW w:w="992" w:type="dxa"/>
            <w:tcBorders>
              <w:top w:val="nil"/>
              <w:left w:val="nil"/>
              <w:bottom w:val="nil"/>
              <w:right w:val="nil"/>
            </w:tcBorders>
            <w:shd w:val="clear" w:color="auto" w:fill="auto"/>
            <w:vAlign w:val="center"/>
            <w:hideMark/>
          </w:tcPr>
          <w:p w14:paraId="3E267DDC"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8%</w:t>
            </w:r>
          </w:p>
        </w:tc>
        <w:tc>
          <w:tcPr>
            <w:tcW w:w="1276" w:type="dxa"/>
            <w:tcBorders>
              <w:top w:val="nil"/>
              <w:left w:val="nil"/>
              <w:bottom w:val="nil"/>
              <w:right w:val="nil"/>
            </w:tcBorders>
            <w:shd w:val="clear" w:color="auto" w:fill="auto"/>
            <w:vAlign w:val="center"/>
            <w:hideMark/>
          </w:tcPr>
          <w:p w14:paraId="65B7282D"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569</w:t>
            </w:r>
          </w:p>
        </w:tc>
      </w:tr>
      <w:tr w:rsidR="00CC0487" w:rsidRPr="003E7026" w14:paraId="70C55864" w14:textId="77777777" w:rsidTr="00DB6666">
        <w:trPr>
          <w:trHeight w:val="342"/>
          <w:jc w:val="center"/>
        </w:trPr>
        <w:tc>
          <w:tcPr>
            <w:tcW w:w="320" w:type="dxa"/>
            <w:tcBorders>
              <w:top w:val="nil"/>
              <w:left w:val="nil"/>
              <w:bottom w:val="nil"/>
              <w:right w:val="nil"/>
            </w:tcBorders>
            <w:shd w:val="clear" w:color="auto" w:fill="auto"/>
            <w:noWrap/>
            <w:vAlign w:val="bottom"/>
            <w:hideMark/>
          </w:tcPr>
          <w:p w14:paraId="4B5A1218" w14:textId="77777777" w:rsidR="00CC0487" w:rsidRPr="00462A53" w:rsidRDefault="00CC0487" w:rsidP="00DB6666">
            <w:pPr>
              <w:jc w:val="right"/>
              <w:rPr>
                <w:rFonts w:ascii="Arial Narrow" w:hAnsi="Arial Narrow" w:cs="Arial"/>
                <w:sz w:val="18"/>
                <w:szCs w:val="18"/>
              </w:rPr>
            </w:pPr>
          </w:p>
        </w:tc>
        <w:tc>
          <w:tcPr>
            <w:tcW w:w="3224" w:type="dxa"/>
            <w:tcBorders>
              <w:top w:val="nil"/>
              <w:left w:val="nil"/>
              <w:bottom w:val="nil"/>
              <w:right w:val="nil"/>
            </w:tcBorders>
            <w:shd w:val="clear" w:color="auto" w:fill="auto"/>
            <w:vAlign w:val="center"/>
            <w:hideMark/>
          </w:tcPr>
          <w:p w14:paraId="5975071F" w14:textId="77777777" w:rsidR="00CC0487" w:rsidRPr="00462A53" w:rsidRDefault="00CC0487" w:rsidP="00DB6666">
            <w:pPr>
              <w:ind w:firstLineChars="200" w:firstLine="360"/>
              <w:jc w:val="left"/>
              <w:rPr>
                <w:rFonts w:ascii="Arial Narrow" w:hAnsi="Arial Narrow" w:cs="Arial"/>
                <w:i/>
                <w:iCs/>
                <w:color w:val="000000"/>
                <w:sz w:val="18"/>
                <w:szCs w:val="18"/>
              </w:rPr>
            </w:pPr>
            <w:r w:rsidRPr="00462A53">
              <w:rPr>
                <w:rFonts w:ascii="Arial Narrow" w:hAnsi="Arial Narrow" w:cs="Arial"/>
                <w:i/>
                <w:iCs/>
                <w:color w:val="000000"/>
                <w:sz w:val="18"/>
                <w:szCs w:val="18"/>
              </w:rPr>
              <w:t>Sonstige Personalkosten</w:t>
            </w:r>
          </w:p>
        </w:tc>
        <w:tc>
          <w:tcPr>
            <w:tcW w:w="1276" w:type="dxa"/>
            <w:tcBorders>
              <w:top w:val="nil"/>
              <w:left w:val="nil"/>
              <w:bottom w:val="nil"/>
              <w:right w:val="nil"/>
            </w:tcBorders>
            <w:shd w:val="clear" w:color="auto" w:fill="auto"/>
            <w:vAlign w:val="center"/>
            <w:hideMark/>
          </w:tcPr>
          <w:p w14:paraId="799F1962"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1</w:t>
            </w:r>
          </w:p>
        </w:tc>
        <w:tc>
          <w:tcPr>
            <w:tcW w:w="1276" w:type="dxa"/>
            <w:tcBorders>
              <w:top w:val="nil"/>
              <w:left w:val="nil"/>
              <w:bottom w:val="nil"/>
              <w:right w:val="nil"/>
            </w:tcBorders>
            <w:shd w:val="clear" w:color="auto" w:fill="auto"/>
            <w:vAlign w:val="center"/>
            <w:hideMark/>
          </w:tcPr>
          <w:p w14:paraId="679DBEBC"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w:t>
            </w:r>
          </w:p>
        </w:tc>
        <w:tc>
          <w:tcPr>
            <w:tcW w:w="992" w:type="dxa"/>
            <w:tcBorders>
              <w:top w:val="nil"/>
              <w:left w:val="nil"/>
              <w:bottom w:val="nil"/>
              <w:right w:val="nil"/>
            </w:tcBorders>
            <w:shd w:val="clear" w:color="auto" w:fill="auto"/>
            <w:vAlign w:val="center"/>
            <w:hideMark/>
          </w:tcPr>
          <w:p w14:paraId="29AB0F22"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w:t>
            </w:r>
          </w:p>
        </w:tc>
        <w:tc>
          <w:tcPr>
            <w:tcW w:w="992" w:type="dxa"/>
            <w:tcBorders>
              <w:top w:val="nil"/>
              <w:left w:val="nil"/>
              <w:bottom w:val="single" w:sz="4" w:space="0" w:color="BFBFBF"/>
              <w:right w:val="nil"/>
            </w:tcBorders>
            <w:shd w:val="clear" w:color="auto" w:fill="auto"/>
            <w:vAlign w:val="center"/>
            <w:hideMark/>
          </w:tcPr>
          <w:p w14:paraId="22706737"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w:t>
            </w:r>
          </w:p>
        </w:tc>
        <w:tc>
          <w:tcPr>
            <w:tcW w:w="1276" w:type="dxa"/>
            <w:tcBorders>
              <w:top w:val="nil"/>
              <w:left w:val="nil"/>
              <w:bottom w:val="nil"/>
              <w:right w:val="nil"/>
            </w:tcBorders>
            <w:shd w:val="clear" w:color="auto" w:fill="auto"/>
            <w:vAlign w:val="center"/>
            <w:hideMark/>
          </w:tcPr>
          <w:p w14:paraId="4D3476FB"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w:t>
            </w:r>
          </w:p>
        </w:tc>
      </w:tr>
      <w:tr w:rsidR="00CC0487" w:rsidRPr="003E7026" w14:paraId="5F9D992F" w14:textId="77777777" w:rsidTr="00DB6666">
        <w:trPr>
          <w:trHeight w:val="314"/>
          <w:jc w:val="center"/>
        </w:trPr>
        <w:tc>
          <w:tcPr>
            <w:tcW w:w="320" w:type="dxa"/>
            <w:tcBorders>
              <w:top w:val="single" w:sz="4" w:space="0" w:color="AAB8C4"/>
              <w:left w:val="nil"/>
              <w:bottom w:val="single" w:sz="8" w:space="0" w:color="AAB8C4"/>
              <w:right w:val="nil"/>
            </w:tcBorders>
            <w:shd w:val="clear" w:color="auto" w:fill="auto"/>
            <w:noWrap/>
            <w:vAlign w:val="bottom"/>
            <w:hideMark/>
          </w:tcPr>
          <w:p w14:paraId="5DDCF308" w14:textId="77777777" w:rsidR="00CC0487" w:rsidRPr="00462A53" w:rsidRDefault="00CC0487" w:rsidP="00DB6666">
            <w:pPr>
              <w:jc w:val="left"/>
              <w:rPr>
                <w:rFonts w:ascii="Arial Narrow" w:hAnsi="Arial Narrow" w:cs="Arial"/>
                <w:b/>
                <w:bCs/>
                <w:sz w:val="18"/>
                <w:szCs w:val="18"/>
              </w:rPr>
            </w:pPr>
            <w:r w:rsidRPr="00462A53">
              <w:rPr>
                <w:rFonts w:ascii="Arial Narrow" w:hAnsi="Arial Narrow" w:cs="Arial"/>
                <w:b/>
                <w:bCs/>
                <w:sz w:val="18"/>
                <w:szCs w:val="18"/>
              </w:rPr>
              <w:t> </w:t>
            </w:r>
          </w:p>
        </w:tc>
        <w:tc>
          <w:tcPr>
            <w:tcW w:w="3224" w:type="dxa"/>
            <w:tcBorders>
              <w:top w:val="single" w:sz="4" w:space="0" w:color="AAB8C4"/>
              <w:left w:val="nil"/>
              <w:bottom w:val="single" w:sz="8" w:space="0" w:color="AAB8C4"/>
              <w:right w:val="nil"/>
            </w:tcBorders>
            <w:shd w:val="clear" w:color="auto" w:fill="auto"/>
            <w:vAlign w:val="center"/>
            <w:hideMark/>
          </w:tcPr>
          <w:p w14:paraId="006459BE" w14:textId="77777777" w:rsidR="00CC0487" w:rsidRPr="00462A53" w:rsidRDefault="00CC0487" w:rsidP="00DB6666">
            <w:pPr>
              <w:jc w:val="left"/>
              <w:rPr>
                <w:rFonts w:ascii="Arial Narrow" w:hAnsi="Arial Narrow" w:cs="Arial"/>
                <w:b/>
                <w:bCs/>
                <w:color w:val="000000"/>
                <w:sz w:val="18"/>
                <w:szCs w:val="18"/>
              </w:rPr>
            </w:pPr>
            <w:r w:rsidRPr="00462A53">
              <w:rPr>
                <w:rFonts w:ascii="Arial Narrow" w:hAnsi="Arial Narrow" w:cs="Arial"/>
                <w:b/>
                <w:bCs/>
                <w:color w:val="000000"/>
                <w:sz w:val="18"/>
                <w:szCs w:val="18"/>
              </w:rPr>
              <w:t>Insgesamt, A</w:t>
            </w:r>
          </w:p>
        </w:tc>
        <w:tc>
          <w:tcPr>
            <w:tcW w:w="1276" w:type="dxa"/>
            <w:tcBorders>
              <w:top w:val="single" w:sz="4" w:space="0" w:color="AAB8C4"/>
              <w:left w:val="nil"/>
              <w:bottom w:val="single" w:sz="8" w:space="0" w:color="AAB8C4"/>
              <w:right w:val="nil"/>
            </w:tcBorders>
            <w:shd w:val="clear" w:color="auto" w:fill="auto"/>
            <w:vAlign w:val="center"/>
            <w:hideMark/>
          </w:tcPr>
          <w:p w14:paraId="24D38DB7"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4.552</w:t>
            </w:r>
          </w:p>
        </w:tc>
        <w:tc>
          <w:tcPr>
            <w:tcW w:w="1276" w:type="dxa"/>
            <w:tcBorders>
              <w:top w:val="single" w:sz="4" w:space="0" w:color="AAB8C4"/>
              <w:left w:val="nil"/>
              <w:bottom w:val="single" w:sz="8" w:space="0" w:color="AAB8C4"/>
              <w:right w:val="nil"/>
            </w:tcBorders>
            <w:shd w:val="clear" w:color="auto" w:fill="auto"/>
            <w:vAlign w:val="center"/>
            <w:hideMark/>
          </w:tcPr>
          <w:p w14:paraId="62F06817"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5.319</w:t>
            </w:r>
          </w:p>
        </w:tc>
        <w:tc>
          <w:tcPr>
            <w:tcW w:w="992" w:type="dxa"/>
            <w:tcBorders>
              <w:top w:val="single" w:sz="4" w:space="0" w:color="BFBFBF"/>
              <w:left w:val="nil"/>
              <w:bottom w:val="single" w:sz="8" w:space="0" w:color="BFBFBF"/>
              <w:right w:val="nil"/>
            </w:tcBorders>
            <w:shd w:val="clear" w:color="auto" w:fill="auto"/>
            <w:vAlign w:val="center"/>
            <w:hideMark/>
          </w:tcPr>
          <w:p w14:paraId="3BD634F0"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436</w:t>
            </w:r>
          </w:p>
        </w:tc>
        <w:tc>
          <w:tcPr>
            <w:tcW w:w="992" w:type="dxa"/>
            <w:tcBorders>
              <w:top w:val="nil"/>
              <w:left w:val="nil"/>
              <w:bottom w:val="single" w:sz="8" w:space="0" w:color="BFBFBF"/>
              <w:right w:val="nil"/>
            </w:tcBorders>
            <w:shd w:val="clear" w:color="auto" w:fill="auto"/>
            <w:vAlign w:val="center"/>
            <w:hideMark/>
          </w:tcPr>
          <w:p w14:paraId="23B9BB53"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8%</w:t>
            </w:r>
          </w:p>
        </w:tc>
        <w:tc>
          <w:tcPr>
            <w:tcW w:w="1276" w:type="dxa"/>
            <w:tcBorders>
              <w:top w:val="single" w:sz="4" w:space="0" w:color="AAB8C4"/>
              <w:left w:val="nil"/>
              <w:bottom w:val="single" w:sz="8" w:space="0" w:color="AAB8C4"/>
              <w:right w:val="nil"/>
            </w:tcBorders>
            <w:shd w:val="clear" w:color="auto" w:fill="auto"/>
            <w:vAlign w:val="center"/>
            <w:hideMark/>
          </w:tcPr>
          <w:p w14:paraId="2754145A"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5.755</w:t>
            </w:r>
          </w:p>
        </w:tc>
      </w:tr>
      <w:tr w:rsidR="00CC0487" w:rsidRPr="003E7026" w14:paraId="31E712F6" w14:textId="77777777" w:rsidTr="00DB6666">
        <w:trPr>
          <w:trHeight w:val="141"/>
          <w:jc w:val="center"/>
        </w:trPr>
        <w:tc>
          <w:tcPr>
            <w:tcW w:w="320" w:type="dxa"/>
            <w:tcBorders>
              <w:top w:val="nil"/>
              <w:left w:val="nil"/>
              <w:bottom w:val="nil"/>
              <w:right w:val="nil"/>
            </w:tcBorders>
            <w:shd w:val="clear" w:color="auto" w:fill="auto"/>
            <w:noWrap/>
            <w:vAlign w:val="bottom"/>
            <w:hideMark/>
          </w:tcPr>
          <w:p w14:paraId="3C0A8DC5" w14:textId="77777777" w:rsidR="00CC0487" w:rsidRPr="00462A53" w:rsidRDefault="00CC0487" w:rsidP="00DB6666">
            <w:pPr>
              <w:jc w:val="left"/>
              <w:rPr>
                <w:rFonts w:ascii="Arial Narrow" w:hAnsi="Arial Narrow" w:cs="Arial"/>
                <w:b/>
                <w:bCs/>
                <w:sz w:val="18"/>
                <w:szCs w:val="18"/>
              </w:rPr>
            </w:pPr>
          </w:p>
        </w:tc>
        <w:tc>
          <w:tcPr>
            <w:tcW w:w="3224" w:type="dxa"/>
            <w:tcBorders>
              <w:top w:val="nil"/>
              <w:left w:val="nil"/>
              <w:bottom w:val="nil"/>
              <w:right w:val="nil"/>
            </w:tcBorders>
            <w:shd w:val="clear" w:color="auto" w:fill="auto"/>
            <w:vAlign w:val="bottom"/>
            <w:hideMark/>
          </w:tcPr>
          <w:p w14:paraId="7BED9568" w14:textId="77777777" w:rsidR="00CC0487" w:rsidRPr="00462A53" w:rsidRDefault="00CC0487" w:rsidP="00DB6666">
            <w:pPr>
              <w:jc w:val="left"/>
              <w:rPr>
                <w:rFonts w:ascii="Arial Narrow" w:hAnsi="Arial Narrow"/>
                <w:sz w:val="18"/>
                <w:szCs w:val="18"/>
              </w:rPr>
            </w:pPr>
          </w:p>
        </w:tc>
        <w:tc>
          <w:tcPr>
            <w:tcW w:w="1276" w:type="dxa"/>
            <w:tcBorders>
              <w:top w:val="nil"/>
              <w:left w:val="nil"/>
              <w:bottom w:val="nil"/>
              <w:right w:val="nil"/>
            </w:tcBorders>
            <w:shd w:val="clear" w:color="auto" w:fill="auto"/>
            <w:vAlign w:val="bottom"/>
            <w:hideMark/>
          </w:tcPr>
          <w:p w14:paraId="6489A4A0" w14:textId="77777777" w:rsidR="00CC0487" w:rsidRPr="00462A53" w:rsidRDefault="00CC0487" w:rsidP="00DB6666">
            <w:pPr>
              <w:jc w:val="right"/>
              <w:rPr>
                <w:rFonts w:ascii="Arial Narrow" w:hAnsi="Arial Narrow"/>
                <w:sz w:val="18"/>
                <w:szCs w:val="18"/>
              </w:rPr>
            </w:pPr>
          </w:p>
        </w:tc>
        <w:tc>
          <w:tcPr>
            <w:tcW w:w="1276" w:type="dxa"/>
            <w:tcBorders>
              <w:top w:val="nil"/>
              <w:left w:val="nil"/>
              <w:bottom w:val="nil"/>
              <w:right w:val="nil"/>
            </w:tcBorders>
            <w:shd w:val="clear" w:color="auto" w:fill="auto"/>
            <w:vAlign w:val="bottom"/>
            <w:hideMark/>
          </w:tcPr>
          <w:p w14:paraId="0F7D730F" w14:textId="77777777" w:rsidR="00CC0487" w:rsidRPr="00462A53" w:rsidRDefault="00CC0487" w:rsidP="00DB6666">
            <w:pPr>
              <w:jc w:val="right"/>
              <w:rPr>
                <w:rFonts w:ascii="Arial Narrow" w:hAnsi="Arial Narrow"/>
                <w:sz w:val="18"/>
                <w:szCs w:val="18"/>
              </w:rPr>
            </w:pPr>
          </w:p>
        </w:tc>
        <w:tc>
          <w:tcPr>
            <w:tcW w:w="992" w:type="dxa"/>
            <w:tcBorders>
              <w:top w:val="nil"/>
              <w:left w:val="nil"/>
              <w:bottom w:val="nil"/>
              <w:right w:val="nil"/>
            </w:tcBorders>
            <w:shd w:val="clear" w:color="auto" w:fill="auto"/>
            <w:vAlign w:val="bottom"/>
            <w:hideMark/>
          </w:tcPr>
          <w:p w14:paraId="5AB3AD43" w14:textId="77777777" w:rsidR="00CC0487" w:rsidRPr="00462A53" w:rsidRDefault="00CC0487" w:rsidP="00DB6666">
            <w:pPr>
              <w:jc w:val="right"/>
              <w:rPr>
                <w:rFonts w:ascii="Arial Narrow" w:hAnsi="Arial Narrow"/>
                <w:sz w:val="18"/>
                <w:szCs w:val="18"/>
              </w:rPr>
            </w:pPr>
          </w:p>
        </w:tc>
        <w:tc>
          <w:tcPr>
            <w:tcW w:w="992" w:type="dxa"/>
            <w:tcBorders>
              <w:top w:val="nil"/>
              <w:left w:val="nil"/>
              <w:bottom w:val="nil"/>
              <w:right w:val="nil"/>
            </w:tcBorders>
            <w:shd w:val="clear" w:color="auto" w:fill="auto"/>
            <w:vAlign w:val="bottom"/>
            <w:hideMark/>
          </w:tcPr>
          <w:p w14:paraId="3A0AC0A0" w14:textId="77777777" w:rsidR="00CC0487" w:rsidRPr="00462A53" w:rsidRDefault="00CC0487" w:rsidP="00DB6666">
            <w:pPr>
              <w:jc w:val="right"/>
              <w:rPr>
                <w:rFonts w:ascii="Arial Narrow" w:hAnsi="Arial Narrow"/>
                <w:sz w:val="18"/>
                <w:szCs w:val="18"/>
              </w:rPr>
            </w:pPr>
          </w:p>
        </w:tc>
        <w:tc>
          <w:tcPr>
            <w:tcW w:w="1276" w:type="dxa"/>
            <w:tcBorders>
              <w:top w:val="nil"/>
              <w:left w:val="nil"/>
              <w:bottom w:val="nil"/>
              <w:right w:val="nil"/>
            </w:tcBorders>
            <w:shd w:val="clear" w:color="auto" w:fill="auto"/>
            <w:vAlign w:val="bottom"/>
            <w:hideMark/>
          </w:tcPr>
          <w:p w14:paraId="498C996F" w14:textId="77777777" w:rsidR="00CC0487" w:rsidRPr="00462A53" w:rsidRDefault="00CC0487" w:rsidP="00DB6666">
            <w:pPr>
              <w:jc w:val="right"/>
              <w:rPr>
                <w:rFonts w:ascii="Arial Narrow" w:hAnsi="Arial Narrow"/>
                <w:sz w:val="18"/>
                <w:szCs w:val="18"/>
              </w:rPr>
            </w:pPr>
          </w:p>
        </w:tc>
      </w:tr>
      <w:tr w:rsidR="00CC0487" w:rsidRPr="003E7026" w14:paraId="18A8C202" w14:textId="77777777" w:rsidTr="00DB6666">
        <w:trPr>
          <w:trHeight w:val="342"/>
          <w:jc w:val="center"/>
        </w:trPr>
        <w:tc>
          <w:tcPr>
            <w:tcW w:w="3544" w:type="dxa"/>
            <w:gridSpan w:val="2"/>
            <w:tcBorders>
              <w:top w:val="nil"/>
              <w:left w:val="nil"/>
              <w:bottom w:val="nil"/>
              <w:right w:val="nil"/>
            </w:tcBorders>
            <w:shd w:val="clear" w:color="auto" w:fill="auto"/>
            <w:noWrap/>
            <w:vAlign w:val="center"/>
            <w:hideMark/>
          </w:tcPr>
          <w:p w14:paraId="08CF46D4" w14:textId="77777777" w:rsidR="00CC0487" w:rsidRPr="00462A53" w:rsidRDefault="00CC0487" w:rsidP="00DB6666">
            <w:pPr>
              <w:jc w:val="left"/>
              <w:rPr>
                <w:rFonts w:ascii="Arial Narrow" w:hAnsi="Arial Narrow" w:cs="Arial"/>
                <w:b/>
                <w:bCs/>
                <w:sz w:val="18"/>
                <w:szCs w:val="18"/>
              </w:rPr>
            </w:pPr>
            <w:r w:rsidRPr="00462A53">
              <w:rPr>
                <w:rFonts w:ascii="Arial Narrow" w:hAnsi="Arial Narrow" w:cs="Arial"/>
                <w:b/>
                <w:bCs/>
                <w:sz w:val="18"/>
                <w:szCs w:val="18"/>
              </w:rPr>
              <w:t>B. Nichtpersonalkosten</w:t>
            </w:r>
          </w:p>
        </w:tc>
        <w:tc>
          <w:tcPr>
            <w:tcW w:w="1276" w:type="dxa"/>
            <w:tcBorders>
              <w:top w:val="nil"/>
              <w:left w:val="nil"/>
              <w:bottom w:val="nil"/>
              <w:right w:val="nil"/>
            </w:tcBorders>
            <w:shd w:val="clear" w:color="auto" w:fill="auto"/>
            <w:vAlign w:val="center"/>
            <w:hideMark/>
          </w:tcPr>
          <w:p w14:paraId="12DCF63B" w14:textId="77777777" w:rsidR="00CC0487" w:rsidRPr="00462A53" w:rsidRDefault="00CC0487" w:rsidP="00DB6666">
            <w:pPr>
              <w:jc w:val="right"/>
              <w:rPr>
                <w:rFonts w:ascii="Arial Narrow" w:hAnsi="Arial Narrow" w:cs="Arial"/>
                <w:b/>
                <w:bCs/>
                <w:sz w:val="18"/>
                <w:szCs w:val="18"/>
              </w:rPr>
            </w:pPr>
          </w:p>
        </w:tc>
        <w:tc>
          <w:tcPr>
            <w:tcW w:w="1276" w:type="dxa"/>
            <w:tcBorders>
              <w:top w:val="nil"/>
              <w:left w:val="nil"/>
              <w:bottom w:val="nil"/>
              <w:right w:val="nil"/>
            </w:tcBorders>
            <w:shd w:val="clear" w:color="auto" w:fill="auto"/>
            <w:vAlign w:val="center"/>
            <w:hideMark/>
          </w:tcPr>
          <w:p w14:paraId="41DEE649" w14:textId="77777777" w:rsidR="00CC0487" w:rsidRPr="00462A53" w:rsidRDefault="00CC0487" w:rsidP="00DB6666">
            <w:pPr>
              <w:jc w:val="right"/>
              <w:rPr>
                <w:rFonts w:ascii="Arial Narrow" w:hAnsi="Arial Narrow"/>
                <w:sz w:val="18"/>
                <w:szCs w:val="18"/>
              </w:rPr>
            </w:pPr>
          </w:p>
        </w:tc>
        <w:tc>
          <w:tcPr>
            <w:tcW w:w="992" w:type="dxa"/>
            <w:tcBorders>
              <w:top w:val="nil"/>
              <w:left w:val="nil"/>
              <w:bottom w:val="nil"/>
              <w:right w:val="nil"/>
            </w:tcBorders>
            <w:shd w:val="clear" w:color="auto" w:fill="auto"/>
            <w:vAlign w:val="center"/>
            <w:hideMark/>
          </w:tcPr>
          <w:p w14:paraId="1F3568D8" w14:textId="77777777" w:rsidR="00CC0487" w:rsidRPr="00462A53" w:rsidRDefault="00CC0487" w:rsidP="00DB6666">
            <w:pPr>
              <w:jc w:val="right"/>
              <w:rPr>
                <w:rFonts w:ascii="Arial Narrow" w:hAnsi="Arial Narrow"/>
                <w:sz w:val="18"/>
                <w:szCs w:val="18"/>
              </w:rPr>
            </w:pPr>
          </w:p>
        </w:tc>
        <w:tc>
          <w:tcPr>
            <w:tcW w:w="992" w:type="dxa"/>
            <w:tcBorders>
              <w:top w:val="nil"/>
              <w:left w:val="nil"/>
              <w:bottom w:val="nil"/>
              <w:right w:val="nil"/>
            </w:tcBorders>
            <w:shd w:val="clear" w:color="auto" w:fill="auto"/>
            <w:vAlign w:val="center"/>
            <w:hideMark/>
          </w:tcPr>
          <w:p w14:paraId="5F03F6A4" w14:textId="77777777" w:rsidR="00CC0487" w:rsidRPr="00462A53" w:rsidRDefault="00CC0487" w:rsidP="00DB6666">
            <w:pPr>
              <w:jc w:val="right"/>
              <w:rPr>
                <w:rFonts w:ascii="Arial Narrow" w:hAnsi="Arial Narrow"/>
                <w:sz w:val="18"/>
                <w:szCs w:val="18"/>
              </w:rPr>
            </w:pPr>
          </w:p>
        </w:tc>
        <w:tc>
          <w:tcPr>
            <w:tcW w:w="1276" w:type="dxa"/>
            <w:tcBorders>
              <w:top w:val="nil"/>
              <w:left w:val="nil"/>
              <w:bottom w:val="nil"/>
              <w:right w:val="nil"/>
            </w:tcBorders>
            <w:shd w:val="clear" w:color="auto" w:fill="auto"/>
            <w:vAlign w:val="center"/>
            <w:hideMark/>
          </w:tcPr>
          <w:p w14:paraId="3619D90E" w14:textId="77777777" w:rsidR="00CC0487" w:rsidRPr="00462A53" w:rsidRDefault="00CC0487" w:rsidP="00DB6666">
            <w:pPr>
              <w:jc w:val="right"/>
              <w:rPr>
                <w:rFonts w:ascii="Arial Narrow" w:hAnsi="Arial Narrow"/>
                <w:sz w:val="18"/>
                <w:szCs w:val="18"/>
              </w:rPr>
            </w:pPr>
          </w:p>
        </w:tc>
      </w:tr>
      <w:tr w:rsidR="00CC0487" w:rsidRPr="003E7026" w14:paraId="089A8E86"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1D278AFD" w14:textId="77777777" w:rsidR="00CC0487" w:rsidRPr="00462A53" w:rsidRDefault="00CC0487" w:rsidP="00DB6666">
            <w:pPr>
              <w:jc w:val="left"/>
              <w:rPr>
                <w:rFonts w:ascii="Arial Narrow" w:hAnsi="Arial Narrow"/>
                <w:sz w:val="18"/>
                <w:szCs w:val="18"/>
              </w:rPr>
            </w:pPr>
          </w:p>
        </w:tc>
        <w:tc>
          <w:tcPr>
            <w:tcW w:w="3224" w:type="dxa"/>
            <w:tcBorders>
              <w:top w:val="nil"/>
              <w:left w:val="nil"/>
              <w:bottom w:val="nil"/>
              <w:right w:val="nil"/>
            </w:tcBorders>
            <w:shd w:val="clear" w:color="auto" w:fill="auto"/>
            <w:vAlign w:val="bottom"/>
            <w:hideMark/>
          </w:tcPr>
          <w:p w14:paraId="110BD199" w14:textId="77777777" w:rsidR="00CC0487" w:rsidRPr="00462A53" w:rsidRDefault="00CC0487" w:rsidP="00DB6666">
            <w:pPr>
              <w:jc w:val="left"/>
              <w:rPr>
                <w:rFonts w:ascii="Arial Narrow" w:hAnsi="Arial Narrow" w:cs="Arial"/>
                <w:b/>
                <w:bCs/>
                <w:sz w:val="18"/>
                <w:szCs w:val="18"/>
              </w:rPr>
            </w:pPr>
            <w:r w:rsidRPr="00462A53">
              <w:rPr>
                <w:rFonts w:ascii="Arial Narrow" w:hAnsi="Arial Narrow" w:cs="Arial"/>
                <w:b/>
                <w:bCs/>
                <w:sz w:val="18"/>
                <w:szCs w:val="18"/>
              </w:rPr>
              <w:t>Praktika und Stipendien</w:t>
            </w:r>
          </w:p>
        </w:tc>
        <w:tc>
          <w:tcPr>
            <w:tcW w:w="1276" w:type="dxa"/>
            <w:tcBorders>
              <w:top w:val="nil"/>
              <w:left w:val="nil"/>
              <w:bottom w:val="nil"/>
              <w:right w:val="nil"/>
            </w:tcBorders>
            <w:shd w:val="clear" w:color="auto" w:fill="auto"/>
            <w:vAlign w:val="bottom"/>
            <w:hideMark/>
          </w:tcPr>
          <w:p w14:paraId="0D748B37" w14:textId="77777777" w:rsidR="00CC0487" w:rsidRPr="00462A53" w:rsidRDefault="00CC0487" w:rsidP="00DB6666">
            <w:pPr>
              <w:jc w:val="right"/>
              <w:rPr>
                <w:rFonts w:ascii="Arial Narrow" w:hAnsi="Arial Narrow" w:cs="Arial"/>
                <w:b/>
                <w:bCs/>
                <w:sz w:val="18"/>
                <w:szCs w:val="18"/>
              </w:rPr>
            </w:pPr>
          </w:p>
        </w:tc>
        <w:tc>
          <w:tcPr>
            <w:tcW w:w="1276" w:type="dxa"/>
            <w:tcBorders>
              <w:top w:val="nil"/>
              <w:left w:val="nil"/>
              <w:bottom w:val="nil"/>
              <w:right w:val="nil"/>
            </w:tcBorders>
            <w:shd w:val="clear" w:color="auto" w:fill="auto"/>
            <w:vAlign w:val="bottom"/>
            <w:hideMark/>
          </w:tcPr>
          <w:p w14:paraId="4B0D6C09" w14:textId="77777777" w:rsidR="00CC0487" w:rsidRPr="00462A53" w:rsidRDefault="00CC0487" w:rsidP="00DB6666">
            <w:pPr>
              <w:jc w:val="right"/>
              <w:rPr>
                <w:rFonts w:ascii="Arial Narrow" w:hAnsi="Arial Narrow"/>
                <w:sz w:val="18"/>
                <w:szCs w:val="18"/>
              </w:rPr>
            </w:pPr>
          </w:p>
        </w:tc>
        <w:tc>
          <w:tcPr>
            <w:tcW w:w="992" w:type="dxa"/>
            <w:tcBorders>
              <w:top w:val="nil"/>
              <w:left w:val="nil"/>
              <w:bottom w:val="nil"/>
              <w:right w:val="nil"/>
            </w:tcBorders>
            <w:shd w:val="clear" w:color="auto" w:fill="auto"/>
            <w:vAlign w:val="bottom"/>
            <w:hideMark/>
          </w:tcPr>
          <w:p w14:paraId="5CF671CE" w14:textId="77777777" w:rsidR="00CC0487" w:rsidRPr="00462A53" w:rsidRDefault="00CC0487" w:rsidP="00DB6666">
            <w:pPr>
              <w:jc w:val="right"/>
              <w:rPr>
                <w:rFonts w:ascii="Arial Narrow" w:hAnsi="Arial Narrow"/>
                <w:sz w:val="18"/>
                <w:szCs w:val="18"/>
              </w:rPr>
            </w:pPr>
          </w:p>
        </w:tc>
        <w:tc>
          <w:tcPr>
            <w:tcW w:w="992" w:type="dxa"/>
            <w:tcBorders>
              <w:top w:val="nil"/>
              <w:left w:val="nil"/>
              <w:bottom w:val="nil"/>
              <w:right w:val="nil"/>
            </w:tcBorders>
            <w:shd w:val="clear" w:color="auto" w:fill="auto"/>
            <w:vAlign w:val="bottom"/>
            <w:hideMark/>
          </w:tcPr>
          <w:p w14:paraId="7578D22F" w14:textId="77777777" w:rsidR="00CC0487" w:rsidRPr="00462A53" w:rsidRDefault="00CC0487" w:rsidP="00DB6666">
            <w:pPr>
              <w:jc w:val="right"/>
              <w:rPr>
                <w:rFonts w:ascii="Arial Narrow" w:hAnsi="Arial Narrow"/>
                <w:sz w:val="18"/>
                <w:szCs w:val="18"/>
              </w:rPr>
            </w:pPr>
          </w:p>
        </w:tc>
        <w:tc>
          <w:tcPr>
            <w:tcW w:w="1276" w:type="dxa"/>
            <w:tcBorders>
              <w:top w:val="nil"/>
              <w:left w:val="nil"/>
              <w:bottom w:val="nil"/>
              <w:right w:val="nil"/>
            </w:tcBorders>
            <w:shd w:val="clear" w:color="auto" w:fill="auto"/>
            <w:vAlign w:val="bottom"/>
            <w:hideMark/>
          </w:tcPr>
          <w:p w14:paraId="372459EC" w14:textId="77777777" w:rsidR="00CC0487" w:rsidRPr="00462A53" w:rsidRDefault="00CC0487" w:rsidP="00DB6666">
            <w:pPr>
              <w:jc w:val="right"/>
              <w:rPr>
                <w:rFonts w:ascii="Arial Narrow" w:hAnsi="Arial Narrow"/>
                <w:sz w:val="18"/>
                <w:szCs w:val="18"/>
              </w:rPr>
            </w:pPr>
          </w:p>
        </w:tc>
      </w:tr>
      <w:tr w:rsidR="00CC0487" w:rsidRPr="003E7026" w14:paraId="63638B9D"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2C5A71B7" w14:textId="77777777" w:rsidR="00CC0487" w:rsidRPr="00462A53" w:rsidRDefault="00CC0487" w:rsidP="00DB6666">
            <w:pPr>
              <w:jc w:val="left"/>
              <w:rPr>
                <w:rFonts w:ascii="Arial Narrow" w:hAnsi="Arial Narrow"/>
                <w:sz w:val="18"/>
                <w:szCs w:val="18"/>
              </w:rPr>
            </w:pPr>
          </w:p>
        </w:tc>
        <w:tc>
          <w:tcPr>
            <w:tcW w:w="3224" w:type="dxa"/>
            <w:tcBorders>
              <w:top w:val="nil"/>
              <w:left w:val="nil"/>
              <w:bottom w:val="nil"/>
              <w:right w:val="nil"/>
            </w:tcBorders>
            <w:shd w:val="clear" w:color="auto" w:fill="auto"/>
            <w:vAlign w:val="bottom"/>
            <w:hideMark/>
          </w:tcPr>
          <w:p w14:paraId="24C93473" w14:textId="77777777" w:rsidR="00CC0487" w:rsidRPr="00462A53" w:rsidRDefault="00CC0487" w:rsidP="00DB6666">
            <w:pPr>
              <w:ind w:firstLineChars="200" w:firstLine="360"/>
              <w:jc w:val="left"/>
              <w:rPr>
                <w:rFonts w:ascii="Arial Narrow" w:hAnsi="Arial Narrow" w:cs="Arial"/>
                <w:i/>
                <w:iCs/>
                <w:sz w:val="18"/>
                <w:szCs w:val="18"/>
              </w:rPr>
            </w:pPr>
            <w:r w:rsidRPr="00462A53">
              <w:rPr>
                <w:rFonts w:ascii="Arial Narrow" w:hAnsi="Arial Narrow" w:cs="Arial"/>
                <w:i/>
                <w:iCs/>
                <w:sz w:val="18"/>
                <w:szCs w:val="18"/>
              </w:rPr>
              <w:t>Praktika</w:t>
            </w:r>
          </w:p>
        </w:tc>
        <w:tc>
          <w:tcPr>
            <w:tcW w:w="1276" w:type="dxa"/>
            <w:tcBorders>
              <w:top w:val="nil"/>
              <w:left w:val="nil"/>
              <w:bottom w:val="nil"/>
              <w:right w:val="nil"/>
            </w:tcBorders>
            <w:shd w:val="clear" w:color="auto" w:fill="auto"/>
            <w:vAlign w:val="center"/>
            <w:hideMark/>
          </w:tcPr>
          <w:p w14:paraId="55EDF7BE"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0</w:t>
            </w:r>
          </w:p>
        </w:tc>
        <w:tc>
          <w:tcPr>
            <w:tcW w:w="1276" w:type="dxa"/>
            <w:tcBorders>
              <w:top w:val="nil"/>
              <w:left w:val="nil"/>
              <w:bottom w:val="nil"/>
              <w:right w:val="nil"/>
            </w:tcBorders>
            <w:shd w:val="clear" w:color="auto" w:fill="auto"/>
            <w:vAlign w:val="center"/>
            <w:hideMark/>
          </w:tcPr>
          <w:p w14:paraId="2546174E"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5</w:t>
            </w:r>
          </w:p>
        </w:tc>
        <w:tc>
          <w:tcPr>
            <w:tcW w:w="992" w:type="dxa"/>
            <w:tcBorders>
              <w:top w:val="nil"/>
              <w:left w:val="nil"/>
              <w:bottom w:val="nil"/>
              <w:right w:val="nil"/>
            </w:tcBorders>
            <w:shd w:val="clear" w:color="auto" w:fill="auto"/>
            <w:vAlign w:val="center"/>
            <w:hideMark/>
          </w:tcPr>
          <w:p w14:paraId="0CF8D8AA"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10</w:t>
            </w:r>
          </w:p>
        </w:tc>
        <w:tc>
          <w:tcPr>
            <w:tcW w:w="992" w:type="dxa"/>
            <w:tcBorders>
              <w:top w:val="nil"/>
              <w:left w:val="nil"/>
              <w:bottom w:val="nil"/>
              <w:right w:val="nil"/>
            </w:tcBorders>
            <w:shd w:val="clear" w:color="auto" w:fill="auto"/>
            <w:vAlign w:val="center"/>
            <w:hideMark/>
          </w:tcPr>
          <w:p w14:paraId="419CB69E" w14:textId="77777777" w:rsidR="00CC0487" w:rsidRPr="00462A53" w:rsidRDefault="00462A53" w:rsidP="00DB6666">
            <w:pPr>
              <w:jc w:val="right"/>
              <w:rPr>
                <w:rFonts w:ascii="Arial Narrow" w:hAnsi="Arial Narrow" w:cs="Arial"/>
                <w:sz w:val="18"/>
                <w:szCs w:val="18"/>
              </w:rPr>
            </w:pPr>
            <w:r>
              <w:rPr>
                <w:rFonts w:ascii="Arial Narrow" w:hAnsi="Arial Narrow" w:cs="Arial"/>
                <w:sz w:val="18"/>
                <w:szCs w:val="18"/>
              </w:rPr>
              <w:t>+1</w:t>
            </w:r>
            <w:r w:rsidR="00CC0487" w:rsidRPr="00462A53">
              <w:rPr>
                <w:rFonts w:ascii="Arial Narrow" w:hAnsi="Arial Narrow" w:cs="Arial"/>
                <w:sz w:val="18"/>
                <w:szCs w:val="18"/>
              </w:rPr>
              <w:t>00%</w:t>
            </w:r>
          </w:p>
        </w:tc>
        <w:tc>
          <w:tcPr>
            <w:tcW w:w="1276" w:type="dxa"/>
            <w:tcBorders>
              <w:top w:val="nil"/>
              <w:left w:val="nil"/>
              <w:bottom w:val="nil"/>
              <w:right w:val="nil"/>
            </w:tcBorders>
            <w:shd w:val="clear" w:color="auto" w:fill="auto"/>
            <w:vAlign w:val="center"/>
            <w:hideMark/>
          </w:tcPr>
          <w:p w14:paraId="3416A277"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15</w:t>
            </w:r>
          </w:p>
        </w:tc>
      </w:tr>
      <w:tr w:rsidR="00CC0487" w:rsidRPr="003E7026" w14:paraId="4549F0C7"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7CF004CF" w14:textId="77777777" w:rsidR="00CC0487" w:rsidRPr="00462A53" w:rsidRDefault="00CC0487" w:rsidP="00DB6666">
            <w:pPr>
              <w:jc w:val="right"/>
              <w:rPr>
                <w:rFonts w:ascii="Arial Narrow" w:hAnsi="Arial Narrow" w:cs="Arial"/>
                <w:sz w:val="18"/>
                <w:szCs w:val="18"/>
              </w:rPr>
            </w:pPr>
          </w:p>
        </w:tc>
        <w:tc>
          <w:tcPr>
            <w:tcW w:w="3224" w:type="dxa"/>
            <w:tcBorders>
              <w:top w:val="nil"/>
              <w:left w:val="nil"/>
              <w:bottom w:val="nil"/>
              <w:right w:val="nil"/>
            </w:tcBorders>
            <w:shd w:val="clear" w:color="auto" w:fill="auto"/>
            <w:vAlign w:val="bottom"/>
            <w:hideMark/>
          </w:tcPr>
          <w:p w14:paraId="1EF5864B" w14:textId="77777777" w:rsidR="00CC0487" w:rsidRPr="00462A53" w:rsidRDefault="00CC0487" w:rsidP="00DB6666">
            <w:pPr>
              <w:ind w:firstLineChars="200" w:firstLine="360"/>
              <w:jc w:val="left"/>
              <w:rPr>
                <w:rFonts w:ascii="Arial Narrow" w:hAnsi="Arial Narrow" w:cs="Arial"/>
                <w:i/>
                <w:iCs/>
                <w:sz w:val="18"/>
                <w:szCs w:val="18"/>
              </w:rPr>
            </w:pPr>
            <w:r w:rsidRPr="00462A53">
              <w:rPr>
                <w:rFonts w:ascii="Arial Narrow" w:hAnsi="Arial Narrow" w:cs="Arial"/>
                <w:i/>
                <w:iCs/>
                <w:sz w:val="18"/>
                <w:szCs w:val="18"/>
              </w:rPr>
              <w:t>Stipendien</w:t>
            </w:r>
          </w:p>
        </w:tc>
        <w:tc>
          <w:tcPr>
            <w:tcW w:w="1276" w:type="dxa"/>
            <w:tcBorders>
              <w:top w:val="nil"/>
              <w:left w:val="nil"/>
              <w:bottom w:val="nil"/>
              <w:right w:val="nil"/>
            </w:tcBorders>
            <w:shd w:val="clear" w:color="auto" w:fill="auto"/>
            <w:vAlign w:val="center"/>
            <w:hideMark/>
          </w:tcPr>
          <w:p w14:paraId="4C2D9FEC"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24</w:t>
            </w:r>
          </w:p>
        </w:tc>
        <w:tc>
          <w:tcPr>
            <w:tcW w:w="1276" w:type="dxa"/>
            <w:tcBorders>
              <w:top w:val="nil"/>
              <w:left w:val="nil"/>
              <w:bottom w:val="nil"/>
              <w:right w:val="nil"/>
            </w:tcBorders>
            <w:shd w:val="clear" w:color="auto" w:fill="auto"/>
            <w:vAlign w:val="center"/>
            <w:hideMark/>
          </w:tcPr>
          <w:p w14:paraId="0D5CEED0"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65</w:t>
            </w:r>
          </w:p>
        </w:tc>
        <w:tc>
          <w:tcPr>
            <w:tcW w:w="992" w:type="dxa"/>
            <w:tcBorders>
              <w:top w:val="nil"/>
              <w:left w:val="nil"/>
              <w:bottom w:val="nil"/>
              <w:right w:val="nil"/>
            </w:tcBorders>
            <w:shd w:val="clear" w:color="auto" w:fill="auto"/>
            <w:vAlign w:val="center"/>
            <w:hideMark/>
          </w:tcPr>
          <w:p w14:paraId="41425F61"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(50)</w:t>
            </w:r>
          </w:p>
        </w:tc>
        <w:tc>
          <w:tcPr>
            <w:tcW w:w="992" w:type="dxa"/>
            <w:tcBorders>
              <w:top w:val="nil"/>
              <w:left w:val="nil"/>
              <w:bottom w:val="nil"/>
              <w:right w:val="nil"/>
            </w:tcBorders>
            <w:shd w:val="clear" w:color="auto" w:fill="auto"/>
            <w:vAlign w:val="center"/>
            <w:hideMark/>
          </w:tcPr>
          <w:p w14:paraId="2A51E076"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-77%</w:t>
            </w:r>
          </w:p>
        </w:tc>
        <w:tc>
          <w:tcPr>
            <w:tcW w:w="1276" w:type="dxa"/>
            <w:tcBorders>
              <w:top w:val="nil"/>
              <w:left w:val="nil"/>
              <w:bottom w:val="nil"/>
              <w:right w:val="nil"/>
            </w:tcBorders>
            <w:shd w:val="clear" w:color="auto" w:fill="auto"/>
            <w:vAlign w:val="center"/>
            <w:hideMark/>
          </w:tcPr>
          <w:p w14:paraId="221CC8A4"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15</w:t>
            </w:r>
          </w:p>
        </w:tc>
      </w:tr>
      <w:tr w:rsidR="00CC0487" w:rsidRPr="003E7026" w14:paraId="680D320F" w14:textId="77777777" w:rsidTr="00DB6666">
        <w:trPr>
          <w:trHeight w:val="314"/>
          <w:jc w:val="center"/>
        </w:trPr>
        <w:tc>
          <w:tcPr>
            <w:tcW w:w="320" w:type="dxa"/>
            <w:tcBorders>
              <w:top w:val="nil"/>
              <w:left w:val="nil"/>
              <w:bottom w:val="single" w:sz="4" w:space="0" w:color="AAB8C4"/>
              <w:right w:val="nil"/>
            </w:tcBorders>
            <w:shd w:val="clear" w:color="auto" w:fill="auto"/>
            <w:noWrap/>
            <w:vAlign w:val="bottom"/>
            <w:hideMark/>
          </w:tcPr>
          <w:p w14:paraId="40A6DAC9" w14:textId="77777777" w:rsidR="00CC0487" w:rsidRPr="00462A53" w:rsidRDefault="00CC0487" w:rsidP="00DB6666">
            <w:pPr>
              <w:jc w:val="left"/>
              <w:rPr>
                <w:rFonts w:ascii="Arial Narrow" w:hAnsi="Arial Narrow" w:cs="Arial"/>
                <w:sz w:val="18"/>
                <w:szCs w:val="18"/>
              </w:rPr>
            </w:pPr>
            <w:r w:rsidRPr="00462A53">
              <w:rPr>
                <w:rFonts w:ascii="Arial Narrow" w:hAnsi="Arial Narrow" w:cs="Arial"/>
                <w:sz w:val="18"/>
                <w:szCs w:val="18"/>
              </w:rPr>
              <w:t> </w:t>
            </w:r>
          </w:p>
        </w:tc>
        <w:tc>
          <w:tcPr>
            <w:tcW w:w="3224" w:type="dxa"/>
            <w:tcBorders>
              <w:top w:val="nil"/>
              <w:left w:val="nil"/>
              <w:bottom w:val="single" w:sz="4" w:space="0" w:color="AAB8C4"/>
              <w:right w:val="nil"/>
            </w:tcBorders>
            <w:shd w:val="clear" w:color="auto" w:fill="auto"/>
            <w:vAlign w:val="bottom"/>
            <w:hideMark/>
          </w:tcPr>
          <w:p w14:paraId="5C24185A" w14:textId="77777777" w:rsidR="00CC0487" w:rsidRPr="00462A53" w:rsidRDefault="00CC0487" w:rsidP="00DB6666">
            <w:pPr>
              <w:jc w:val="left"/>
              <w:rPr>
                <w:rFonts w:ascii="Arial Narrow" w:hAnsi="Arial Narrow" w:cs="Arial"/>
                <w:b/>
                <w:bCs/>
                <w:sz w:val="18"/>
                <w:szCs w:val="18"/>
              </w:rPr>
            </w:pPr>
            <w:r w:rsidRPr="00462A53">
              <w:rPr>
                <w:rFonts w:ascii="Arial Narrow" w:hAnsi="Arial Narrow" w:cs="Arial"/>
                <w:b/>
                <w:bCs/>
                <w:sz w:val="18"/>
                <w:szCs w:val="18"/>
              </w:rPr>
              <w:t>Zwischensumme</w:t>
            </w:r>
          </w:p>
        </w:tc>
        <w:tc>
          <w:tcPr>
            <w:tcW w:w="1276" w:type="dxa"/>
            <w:tcBorders>
              <w:top w:val="nil"/>
              <w:left w:val="nil"/>
              <w:bottom w:val="single" w:sz="4" w:space="0" w:color="AAB8C4"/>
              <w:right w:val="nil"/>
            </w:tcBorders>
            <w:shd w:val="clear" w:color="auto" w:fill="auto"/>
            <w:vAlign w:val="center"/>
            <w:hideMark/>
          </w:tcPr>
          <w:p w14:paraId="6FC70B89"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24</w:t>
            </w:r>
          </w:p>
        </w:tc>
        <w:tc>
          <w:tcPr>
            <w:tcW w:w="1276" w:type="dxa"/>
            <w:tcBorders>
              <w:top w:val="nil"/>
              <w:left w:val="nil"/>
              <w:bottom w:val="single" w:sz="4" w:space="0" w:color="AAB8C4"/>
              <w:right w:val="nil"/>
            </w:tcBorders>
            <w:shd w:val="clear" w:color="auto" w:fill="auto"/>
            <w:vAlign w:val="center"/>
            <w:hideMark/>
          </w:tcPr>
          <w:p w14:paraId="4212749D"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70</w:t>
            </w:r>
          </w:p>
        </w:tc>
        <w:tc>
          <w:tcPr>
            <w:tcW w:w="992" w:type="dxa"/>
            <w:tcBorders>
              <w:top w:val="nil"/>
              <w:left w:val="nil"/>
              <w:bottom w:val="single" w:sz="4" w:space="0" w:color="BFBFBF"/>
              <w:right w:val="nil"/>
            </w:tcBorders>
            <w:shd w:val="clear" w:color="auto" w:fill="auto"/>
            <w:vAlign w:val="center"/>
            <w:hideMark/>
          </w:tcPr>
          <w:p w14:paraId="59108FF6"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(40)</w:t>
            </w:r>
          </w:p>
        </w:tc>
        <w:tc>
          <w:tcPr>
            <w:tcW w:w="992" w:type="dxa"/>
            <w:tcBorders>
              <w:top w:val="nil"/>
              <w:left w:val="nil"/>
              <w:bottom w:val="single" w:sz="4" w:space="0" w:color="BFBFBF"/>
              <w:right w:val="nil"/>
            </w:tcBorders>
            <w:shd w:val="clear" w:color="auto" w:fill="auto"/>
            <w:vAlign w:val="center"/>
            <w:hideMark/>
          </w:tcPr>
          <w:p w14:paraId="6B6FC3E7"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-57%</w:t>
            </w:r>
          </w:p>
        </w:tc>
        <w:tc>
          <w:tcPr>
            <w:tcW w:w="1276" w:type="dxa"/>
            <w:tcBorders>
              <w:top w:val="nil"/>
              <w:left w:val="nil"/>
              <w:bottom w:val="single" w:sz="4" w:space="0" w:color="AAB8C4"/>
              <w:right w:val="nil"/>
            </w:tcBorders>
            <w:shd w:val="clear" w:color="auto" w:fill="auto"/>
            <w:vAlign w:val="center"/>
            <w:hideMark/>
          </w:tcPr>
          <w:p w14:paraId="39BB7891"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30</w:t>
            </w:r>
          </w:p>
        </w:tc>
      </w:tr>
      <w:tr w:rsidR="00CC0487" w:rsidRPr="003E7026" w14:paraId="7B75F94F" w14:textId="77777777" w:rsidTr="00DB6666">
        <w:trPr>
          <w:trHeight w:val="407"/>
          <w:jc w:val="center"/>
        </w:trPr>
        <w:tc>
          <w:tcPr>
            <w:tcW w:w="320" w:type="dxa"/>
            <w:tcBorders>
              <w:top w:val="nil"/>
              <w:left w:val="nil"/>
              <w:bottom w:val="nil"/>
              <w:right w:val="nil"/>
            </w:tcBorders>
            <w:shd w:val="clear" w:color="auto" w:fill="auto"/>
            <w:noWrap/>
            <w:vAlign w:val="bottom"/>
            <w:hideMark/>
          </w:tcPr>
          <w:p w14:paraId="5D464C0E" w14:textId="77777777" w:rsidR="00CC0487" w:rsidRPr="00462A53" w:rsidRDefault="00CC0487" w:rsidP="00DB6666">
            <w:pPr>
              <w:jc w:val="right"/>
              <w:rPr>
                <w:rFonts w:ascii="Arial Narrow" w:hAnsi="Arial Narrow" w:cs="Arial"/>
                <w:b/>
                <w:bCs/>
                <w:sz w:val="18"/>
                <w:szCs w:val="18"/>
              </w:rPr>
            </w:pPr>
          </w:p>
        </w:tc>
        <w:tc>
          <w:tcPr>
            <w:tcW w:w="3224" w:type="dxa"/>
            <w:tcBorders>
              <w:top w:val="nil"/>
              <w:left w:val="nil"/>
              <w:bottom w:val="nil"/>
              <w:right w:val="nil"/>
            </w:tcBorders>
            <w:shd w:val="clear" w:color="auto" w:fill="auto"/>
            <w:vAlign w:val="bottom"/>
            <w:hideMark/>
          </w:tcPr>
          <w:p w14:paraId="6CE0906C" w14:textId="77777777" w:rsidR="00CC0487" w:rsidRPr="00462A53" w:rsidRDefault="00CC0487" w:rsidP="00DB6666">
            <w:pPr>
              <w:jc w:val="left"/>
              <w:rPr>
                <w:rFonts w:ascii="Arial Narrow" w:hAnsi="Arial Narrow" w:cs="Arial"/>
                <w:b/>
                <w:bCs/>
                <w:sz w:val="18"/>
                <w:szCs w:val="18"/>
              </w:rPr>
            </w:pPr>
            <w:r w:rsidRPr="00462A53">
              <w:rPr>
                <w:rFonts w:ascii="Arial Narrow" w:hAnsi="Arial Narrow" w:cs="Arial"/>
                <w:b/>
                <w:bCs/>
                <w:sz w:val="18"/>
                <w:szCs w:val="18"/>
              </w:rPr>
              <w:t>Reisen, Ausbildung und Zuschüsse</w:t>
            </w:r>
          </w:p>
        </w:tc>
        <w:tc>
          <w:tcPr>
            <w:tcW w:w="1276" w:type="dxa"/>
            <w:tcBorders>
              <w:top w:val="nil"/>
              <w:left w:val="nil"/>
              <w:bottom w:val="nil"/>
              <w:right w:val="nil"/>
            </w:tcBorders>
            <w:shd w:val="clear" w:color="auto" w:fill="auto"/>
            <w:vAlign w:val="center"/>
            <w:hideMark/>
          </w:tcPr>
          <w:p w14:paraId="7E11692E" w14:textId="77777777" w:rsidR="00CC0487" w:rsidRPr="00462A53" w:rsidRDefault="00CC0487" w:rsidP="00DB6666">
            <w:pPr>
              <w:jc w:val="right"/>
              <w:rPr>
                <w:rFonts w:ascii="Arial Narrow" w:hAnsi="Arial Narrow" w:cs="Arial"/>
                <w:b/>
                <w:bCs/>
                <w:sz w:val="18"/>
                <w:szCs w:val="18"/>
              </w:rPr>
            </w:pPr>
          </w:p>
        </w:tc>
        <w:tc>
          <w:tcPr>
            <w:tcW w:w="1276" w:type="dxa"/>
            <w:tcBorders>
              <w:top w:val="nil"/>
              <w:left w:val="nil"/>
              <w:bottom w:val="nil"/>
              <w:right w:val="nil"/>
            </w:tcBorders>
            <w:shd w:val="clear" w:color="auto" w:fill="auto"/>
            <w:vAlign w:val="center"/>
            <w:hideMark/>
          </w:tcPr>
          <w:p w14:paraId="7CFD03EA" w14:textId="77777777" w:rsidR="00CC0487" w:rsidRPr="00462A53" w:rsidRDefault="00CC0487" w:rsidP="00DB6666">
            <w:pPr>
              <w:jc w:val="right"/>
              <w:rPr>
                <w:rFonts w:ascii="Arial Narrow" w:hAnsi="Arial Narrow"/>
                <w:sz w:val="18"/>
                <w:szCs w:val="18"/>
              </w:rPr>
            </w:pPr>
          </w:p>
        </w:tc>
        <w:tc>
          <w:tcPr>
            <w:tcW w:w="992" w:type="dxa"/>
            <w:tcBorders>
              <w:top w:val="nil"/>
              <w:left w:val="nil"/>
              <w:bottom w:val="nil"/>
              <w:right w:val="nil"/>
            </w:tcBorders>
            <w:shd w:val="clear" w:color="auto" w:fill="auto"/>
            <w:vAlign w:val="center"/>
            <w:hideMark/>
          </w:tcPr>
          <w:p w14:paraId="118C321B" w14:textId="77777777" w:rsidR="00CC0487" w:rsidRPr="00462A53" w:rsidRDefault="00CC0487" w:rsidP="00DB6666">
            <w:pPr>
              <w:jc w:val="right"/>
              <w:rPr>
                <w:rFonts w:ascii="Arial Narrow" w:hAnsi="Arial Narrow"/>
                <w:sz w:val="18"/>
                <w:szCs w:val="18"/>
              </w:rPr>
            </w:pPr>
          </w:p>
        </w:tc>
        <w:tc>
          <w:tcPr>
            <w:tcW w:w="992" w:type="dxa"/>
            <w:tcBorders>
              <w:top w:val="nil"/>
              <w:left w:val="nil"/>
              <w:bottom w:val="nil"/>
              <w:right w:val="nil"/>
            </w:tcBorders>
            <w:shd w:val="clear" w:color="auto" w:fill="auto"/>
            <w:vAlign w:val="center"/>
            <w:hideMark/>
          </w:tcPr>
          <w:p w14:paraId="4A6AE04B" w14:textId="77777777" w:rsidR="00CC0487" w:rsidRPr="00462A53" w:rsidRDefault="00CC0487" w:rsidP="00DB6666">
            <w:pPr>
              <w:jc w:val="right"/>
              <w:rPr>
                <w:rFonts w:ascii="Arial Narrow" w:hAnsi="Arial Narrow"/>
                <w:sz w:val="18"/>
                <w:szCs w:val="18"/>
              </w:rPr>
            </w:pPr>
          </w:p>
        </w:tc>
        <w:tc>
          <w:tcPr>
            <w:tcW w:w="1276" w:type="dxa"/>
            <w:tcBorders>
              <w:top w:val="nil"/>
              <w:left w:val="nil"/>
              <w:bottom w:val="nil"/>
              <w:right w:val="nil"/>
            </w:tcBorders>
            <w:shd w:val="clear" w:color="auto" w:fill="auto"/>
            <w:vAlign w:val="center"/>
            <w:hideMark/>
          </w:tcPr>
          <w:p w14:paraId="012B76B7" w14:textId="77777777" w:rsidR="00CC0487" w:rsidRPr="00462A53" w:rsidRDefault="00CC0487" w:rsidP="00DB6666">
            <w:pPr>
              <w:jc w:val="right"/>
              <w:rPr>
                <w:rFonts w:ascii="Arial Narrow" w:hAnsi="Arial Narrow"/>
                <w:sz w:val="18"/>
                <w:szCs w:val="18"/>
              </w:rPr>
            </w:pPr>
          </w:p>
        </w:tc>
      </w:tr>
      <w:tr w:rsidR="00CC0487" w:rsidRPr="003E7026" w14:paraId="0D02A550"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77EA39B1" w14:textId="77777777" w:rsidR="00CC0487" w:rsidRPr="00462A53" w:rsidRDefault="00CC0487" w:rsidP="00DB6666">
            <w:pPr>
              <w:jc w:val="left"/>
              <w:rPr>
                <w:rFonts w:ascii="Arial Narrow" w:hAnsi="Arial Narrow"/>
                <w:sz w:val="18"/>
                <w:szCs w:val="18"/>
              </w:rPr>
            </w:pPr>
          </w:p>
        </w:tc>
        <w:tc>
          <w:tcPr>
            <w:tcW w:w="3224" w:type="dxa"/>
            <w:tcBorders>
              <w:top w:val="nil"/>
              <w:left w:val="nil"/>
              <w:bottom w:val="nil"/>
              <w:right w:val="nil"/>
            </w:tcBorders>
            <w:shd w:val="clear" w:color="auto" w:fill="auto"/>
            <w:vAlign w:val="bottom"/>
            <w:hideMark/>
          </w:tcPr>
          <w:p w14:paraId="6FB4398D" w14:textId="77777777" w:rsidR="00CC0487" w:rsidRPr="00462A53" w:rsidRDefault="00CC0487" w:rsidP="00DB6666">
            <w:pPr>
              <w:ind w:firstLineChars="200" w:firstLine="360"/>
              <w:jc w:val="left"/>
              <w:rPr>
                <w:rFonts w:ascii="Arial Narrow" w:hAnsi="Arial Narrow" w:cs="Arial"/>
                <w:i/>
                <w:iCs/>
                <w:color w:val="000000"/>
                <w:sz w:val="18"/>
                <w:szCs w:val="18"/>
              </w:rPr>
            </w:pPr>
            <w:r w:rsidRPr="00462A53">
              <w:rPr>
                <w:rFonts w:ascii="Arial Narrow" w:hAnsi="Arial Narrow" w:cs="Arial"/>
                <w:i/>
                <w:iCs/>
                <w:color w:val="000000"/>
                <w:sz w:val="18"/>
                <w:szCs w:val="18"/>
              </w:rPr>
              <w:t>Dienstreisen</w:t>
            </w:r>
          </w:p>
        </w:tc>
        <w:tc>
          <w:tcPr>
            <w:tcW w:w="1276" w:type="dxa"/>
            <w:tcBorders>
              <w:top w:val="nil"/>
              <w:left w:val="nil"/>
              <w:bottom w:val="nil"/>
              <w:right w:val="nil"/>
            </w:tcBorders>
            <w:shd w:val="clear" w:color="auto" w:fill="auto"/>
            <w:vAlign w:val="center"/>
            <w:hideMark/>
          </w:tcPr>
          <w:p w14:paraId="7010D8F8"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29</w:t>
            </w:r>
          </w:p>
        </w:tc>
        <w:tc>
          <w:tcPr>
            <w:tcW w:w="1276" w:type="dxa"/>
            <w:tcBorders>
              <w:top w:val="nil"/>
              <w:left w:val="nil"/>
              <w:bottom w:val="nil"/>
              <w:right w:val="nil"/>
            </w:tcBorders>
            <w:shd w:val="clear" w:color="auto" w:fill="auto"/>
            <w:vAlign w:val="center"/>
            <w:hideMark/>
          </w:tcPr>
          <w:p w14:paraId="5160A0F2"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349</w:t>
            </w:r>
          </w:p>
        </w:tc>
        <w:tc>
          <w:tcPr>
            <w:tcW w:w="992" w:type="dxa"/>
            <w:tcBorders>
              <w:top w:val="nil"/>
              <w:left w:val="nil"/>
              <w:bottom w:val="nil"/>
              <w:right w:val="nil"/>
            </w:tcBorders>
            <w:shd w:val="clear" w:color="auto" w:fill="auto"/>
            <w:vAlign w:val="center"/>
            <w:hideMark/>
          </w:tcPr>
          <w:p w14:paraId="030B51B0"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(204)</w:t>
            </w:r>
          </w:p>
        </w:tc>
        <w:tc>
          <w:tcPr>
            <w:tcW w:w="992" w:type="dxa"/>
            <w:tcBorders>
              <w:top w:val="nil"/>
              <w:left w:val="nil"/>
              <w:bottom w:val="nil"/>
              <w:right w:val="nil"/>
            </w:tcBorders>
            <w:shd w:val="clear" w:color="auto" w:fill="auto"/>
            <w:vAlign w:val="center"/>
            <w:hideMark/>
          </w:tcPr>
          <w:p w14:paraId="64498462"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-58%</w:t>
            </w:r>
          </w:p>
        </w:tc>
        <w:tc>
          <w:tcPr>
            <w:tcW w:w="1276" w:type="dxa"/>
            <w:tcBorders>
              <w:top w:val="nil"/>
              <w:left w:val="nil"/>
              <w:bottom w:val="nil"/>
              <w:right w:val="nil"/>
            </w:tcBorders>
            <w:shd w:val="clear" w:color="auto" w:fill="auto"/>
            <w:vAlign w:val="center"/>
            <w:hideMark/>
          </w:tcPr>
          <w:p w14:paraId="73688D53"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145</w:t>
            </w:r>
          </w:p>
        </w:tc>
      </w:tr>
      <w:tr w:rsidR="00CC0487" w:rsidRPr="003E7026" w14:paraId="68B64291"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398CA0CA" w14:textId="77777777" w:rsidR="00CC0487" w:rsidRPr="00462A53" w:rsidRDefault="00CC0487" w:rsidP="00DB6666">
            <w:pPr>
              <w:jc w:val="right"/>
              <w:rPr>
                <w:rFonts w:ascii="Arial Narrow" w:hAnsi="Arial Narrow" w:cs="Arial"/>
                <w:sz w:val="18"/>
                <w:szCs w:val="18"/>
              </w:rPr>
            </w:pPr>
          </w:p>
        </w:tc>
        <w:tc>
          <w:tcPr>
            <w:tcW w:w="3224" w:type="dxa"/>
            <w:tcBorders>
              <w:top w:val="nil"/>
              <w:left w:val="nil"/>
              <w:bottom w:val="nil"/>
              <w:right w:val="nil"/>
            </w:tcBorders>
            <w:shd w:val="clear" w:color="auto" w:fill="auto"/>
            <w:vAlign w:val="bottom"/>
            <w:hideMark/>
          </w:tcPr>
          <w:p w14:paraId="63013E19" w14:textId="77777777" w:rsidR="00CC0487" w:rsidRPr="00462A53" w:rsidRDefault="00CC0487" w:rsidP="00DB6666">
            <w:pPr>
              <w:ind w:firstLineChars="200" w:firstLine="360"/>
              <w:jc w:val="left"/>
              <w:rPr>
                <w:rFonts w:ascii="Arial Narrow" w:hAnsi="Arial Narrow" w:cs="Arial"/>
                <w:i/>
                <w:iCs/>
                <w:color w:val="000000"/>
                <w:sz w:val="18"/>
                <w:szCs w:val="18"/>
              </w:rPr>
            </w:pPr>
            <w:r w:rsidRPr="00462A53">
              <w:rPr>
                <w:rFonts w:ascii="Arial Narrow" w:hAnsi="Arial Narrow" w:cs="Arial"/>
                <w:i/>
                <w:iCs/>
                <w:color w:val="000000"/>
                <w:sz w:val="18"/>
                <w:szCs w:val="18"/>
              </w:rPr>
              <w:t>Reisen Dritter</w:t>
            </w:r>
          </w:p>
        </w:tc>
        <w:tc>
          <w:tcPr>
            <w:tcW w:w="1276" w:type="dxa"/>
            <w:tcBorders>
              <w:top w:val="nil"/>
              <w:left w:val="nil"/>
              <w:bottom w:val="nil"/>
              <w:right w:val="nil"/>
            </w:tcBorders>
            <w:shd w:val="clear" w:color="auto" w:fill="auto"/>
            <w:vAlign w:val="center"/>
            <w:hideMark/>
          </w:tcPr>
          <w:p w14:paraId="41B82152"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2</w:t>
            </w:r>
          </w:p>
        </w:tc>
        <w:tc>
          <w:tcPr>
            <w:tcW w:w="1276" w:type="dxa"/>
            <w:tcBorders>
              <w:top w:val="nil"/>
              <w:left w:val="nil"/>
              <w:bottom w:val="nil"/>
              <w:right w:val="nil"/>
            </w:tcBorders>
            <w:shd w:val="clear" w:color="auto" w:fill="auto"/>
            <w:vAlign w:val="center"/>
            <w:hideMark/>
          </w:tcPr>
          <w:p w14:paraId="4FE31144"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12</w:t>
            </w:r>
          </w:p>
        </w:tc>
        <w:tc>
          <w:tcPr>
            <w:tcW w:w="992" w:type="dxa"/>
            <w:tcBorders>
              <w:top w:val="nil"/>
              <w:left w:val="nil"/>
              <w:bottom w:val="nil"/>
              <w:right w:val="nil"/>
            </w:tcBorders>
            <w:shd w:val="clear" w:color="auto" w:fill="auto"/>
            <w:vAlign w:val="center"/>
            <w:hideMark/>
          </w:tcPr>
          <w:p w14:paraId="551A4CAC"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(7)</w:t>
            </w:r>
          </w:p>
        </w:tc>
        <w:tc>
          <w:tcPr>
            <w:tcW w:w="992" w:type="dxa"/>
            <w:tcBorders>
              <w:top w:val="nil"/>
              <w:left w:val="nil"/>
              <w:bottom w:val="nil"/>
              <w:right w:val="nil"/>
            </w:tcBorders>
            <w:shd w:val="clear" w:color="auto" w:fill="auto"/>
            <w:vAlign w:val="center"/>
            <w:hideMark/>
          </w:tcPr>
          <w:p w14:paraId="6CFC3CB2"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-58%</w:t>
            </w:r>
          </w:p>
        </w:tc>
        <w:tc>
          <w:tcPr>
            <w:tcW w:w="1276" w:type="dxa"/>
            <w:tcBorders>
              <w:top w:val="nil"/>
              <w:left w:val="nil"/>
              <w:bottom w:val="nil"/>
              <w:right w:val="nil"/>
            </w:tcBorders>
            <w:shd w:val="clear" w:color="auto" w:fill="auto"/>
            <w:vAlign w:val="center"/>
            <w:hideMark/>
          </w:tcPr>
          <w:p w14:paraId="23B16D2E"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5</w:t>
            </w:r>
          </w:p>
        </w:tc>
      </w:tr>
      <w:tr w:rsidR="00CC0487" w:rsidRPr="003E7026" w14:paraId="034CC4EA" w14:textId="77777777" w:rsidTr="00DB6666">
        <w:trPr>
          <w:trHeight w:val="314"/>
          <w:jc w:val="center"/>
        </w:trPr>
        <w:tc>
          <w:tcPr>
            <w:tcW w:w="320" w:type="dxa"/>
            <w:tcBorders>
              <w:top w:val="nil"/>
              <w:left w:val="nil"/>
              <w:bottom w:val="single" w:sz="4" w:space="0" w:color="AAB8C4"/>
              <w:right w:val="nil"/>
            </w:tcBorders>
            <w:shd w:val="clear" w:color="auto" w:fill="auto"/>
            <w:noWrap/>
            <w:vAlign w:val="bottom"/>
            <w:hideMark/>
          </w:tcPr>
          <w:p w14:paraId="3324B21B" w14:textId="77777777" w:rsidR="00CC0487" w:rsidRPr="00462A53" w:rsidRDefault="00CC0487" w:rsidP="00DB6666">
            <w:pPr>
              <w:jc w:val="left"/>
              <w:rPr>
                <w:rFonts w:ascii="Arial Narrow" w:hAnsi="Arial Narrow" w:cs="Arial"/>
                <w:sz w:val="18"/>
                <w:szCs w:val="18"/>
              </w:rPr>
            </w:pPr>
            <w:r w:rsidRPr="00462A53">
              <w:rPr>
                <w:rFonts w:ascii="Arial Narrow" w:hAnsi="Arial Narrow" w:cs="Arial"/>
                <w:sz w:val="18"/>
                <w:szCs w:val="18"/>
              </w:rPr>
              <w:t> </w:t>
            </w:r>
          </w:p>
        </w:tc>
        <w:tc>
          <w:tcPr>
            <w:tcW w:w="3224" w:type="dxa"/>
            <w:tcBorders>
              <w:top w:val="nil"/>
              <w:left w:val="nil"/>
              <w:bottom w:val="single" w:sz="4" w:space="0" w:color="AAB8C4"/>
              <w:right w:val="nil"/>
            </w:tcBorders>
            <w:shd w:val="clear" w:color="auto" w:fill="auto"/>
            <w:vAlign w:val="bottom"/>
            <w:hideMark/>
          </w:tcPr>
          <w:p w14:paraId="21D19233" w14:textId="77777777" w:rsidR="00CC0487" w:rsidRPr="00462A53" w:rsidRDefault="00CC0487" w:rsidP="00DB6666">
            <w:pPr>
              <w:jc w:val="left"/>
              <w:rPr>
                <w:rFonts w:ascii="Arial Narrow" w:hAnsi="Arial Narrow" w:cs="Arial"/>
                <w:b/>
                <w:bCs/>
                <w:sz w:val="18"/>
                <w:szCs w:val="18"/>
              </w:rPr>
            </w:pPr>
            <w:r w:rsidRPr="00462A53">
              <w:rPr>
                <w:rFonts w:ascii="Arial Narrow" w:hAnsi="Arial Narrow" w:cs="Arial"/>
                <w:b/>
                <w:bCs/>
                <w:sz w:val="18"/>
                <w:szCs w:val="18"/>
              </w:rPr>
              <w:t>Zwischensumme</w:t>
            </w:r>
          </w:p>
        </w:tc>
        <w:tc>
          <w:tcPr>
            <w:tcW w:w="1276" w:type="dxa"/>
            <w:tcBorders>
              <w:top w:val="nil"/>
              <w:left w:val="nil"/>
              <w:bottom w:val="single" w:sz="4" w:space="0" w:color="AAB8C4"/>
              <w:right w:val="nil"/>
            </w:tcBorders>
            <w:shd w:val="clear" w:color="auto" w:fill="auto"/>
            <w:vAlign w:val="center"/>
            <w:hideMark/>
          </w:tcPr>
          <w:p w14:paraId="7FE26093"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31</w:t>
            </w:r>
          </w:p>
        </w:tc>
        <w:tc>
          <w:tcPr>
            <w:tcW w:w="1276" w:type="dxa"/>
            <w:tcBorders>
              <w:top w:val="nil"/>
              <w:left w:val="nil"/>
              <w:bottom w:val="single" w:sz="4" w:space="0" w:color="AAB8C4"/>
              <w:right w:val="nil"/>
            </w:tcBorders>
            <w:shd w:val="clear" w:color="auto" w:fill="auto"/>
            <w:vAlign w:val="center"/>
            <w:hideMark/>
          </w:tcPr>
          <w:p w14:paraId="2A9FF47E"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361</w:t>
            </w:r>
          </w:p>
        </w:tc>
        <w:tc>
          <w:tcPr>
            <w:tcW w:w="992" w:type="dxa"/>
            <w:tcBorders>
              <w:top w:val="nil"/>
              <w:left w:val="nil"/>
              <w:bottom w:val="single" w:sz="4" w:space="0" w:color="BFBFBF"/>
              <w:right w:val="nil"/>
            </w:tcBorders>
            <w:shd w:val="clear" w:color="auto" w:fill="auto"/>
            <w:vAlign w:val="center"/>
            <w:hideMark/>
          </w:tcPr>
          <w:p w14:paraId="557360CF"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(211)</w:t>
            </w:r>
          </w:p>
        </w:tc>
        <w:tc>
          <w:tcPr>
            <w:tcW w:w="992" w:type="dxa"/>
            <w:tcBorders>
              <w:top w:val="nil"/>
              <w:left w:val="nil"/>
              <w:bottom w:val="single" w:sz="4" w:space="0" w:color="BFBFBF"/>
              <w:right w:val="nil"/>
            </w:tcBorders>
            <w:shd w:val="clear" w:color="auto" w:fill="auto"/>
            <w:vAlign w:val="center"/>
            <w:hideMark/>
          </w:tcPr>
          <w:p w14:paraId="4655D9A3"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-58%</w:t>
            </w:r>
          </w:p>
        </w:tc>
        <w:tc>
          <w:tcPr>
            <w:tcW w:w="1276" w:type="dxa"/>
            <w:tcBorders>
              <w:top w:val="nil"/>
              <w:left w:val="nil"/>
              <w:bottom w:val="single" w:sz="4" w:space="0" w:color="AAB8C4"/>
              <w:right w:val="nil"/>
            </w:tcBorders>
            <w:shd w:val="clear" w:color="auto" w:fill="auto"/>
            <w:vAlign w:val="center"/>
            <w:hideMark/>
          </w:tcPr>
          <w:p w14:paraId="668B2664"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150</w:t>
            </w:r>
          </w:p>
        </w:tc>
      </w:tr>
      <w:tr w:rsidR="00CC0487" w:rsidRPr="003E7026" w14:paraId="5CEBCD65" w14:textId="77777777" w:rsidTr="00DB6666">
        <w:trPr>
          <w:trHeight w:val="407"/>
          <w:jc w:val="center"/>
        </w:trPr>
        <w:tc>
          <w:tcPr>
            <w:tcW w:w="320" w:type="dxa"/>
            <w:tcBorders>
              <w:top w:val="nil"/>
              <w:left w:val="nil"/>
              <w:bottom w:val="nil"/>
              <w:right w:val="nil"/>
            </w:tcBorders>
            <w:shd w:val="clear" w:color="auto" w:fill="auto"/>
            <w:noWrap/>
            <w:vAlign w:val="bottom"/>
            <w:hideMark/>
          </w:tcPr>
          <w:p w14:paraId="332AFEC7" w14:textId="77777777" w:rsidR="00CC0487" w:rsidRPr="00462A53" w:rsidRDefault="00CC0487" w:rsidP="00DB6666">
            <w:pPr>
              <w:jc w:val="right"/>
              <w:rPr>
                <w:rFonts w:ascii="Arial Narrow" w:hAnsi="Arial Narrow" w:cs="Arial"/>
                <w:b/>
                <w:bCs/>
                <w:sz w:val="18"/>
                <w:szCs w:val="18"/>
              </w:rPr>
            </w:pPr>
          </w:p>
        </w:tc>
        <w:tc>
          <w:tcPr>
            <w:tcW w:w="3224" w:type="dxa"/>
            <w:tcBorders>
              <w:top w:val="nil"/>
              <w:left w:val="nil"/>
              <w:bottom w:val="nil"/>
              <w:right w:val="nil"/>
            </w:tcBorders>
            <w:shd w:val="clear" w:color="auto" w:fill="auto"/>
            <w:vAlign w:val="bottom"/>
            <w:hideMark/>
          </w:tcPr>
          <w:p w14:paraId="137CF3DC" w14:textId="77777777" w:rsidR="00CC0487" w:rsidRPr="00462A53" w:rsidRDefault="00CC0487" w:rsidP="00DB6666">
            <w:pPr>
              <w:jc w:val="left"/>
              <w:rPr>
                <w:rFonts w:ascii="Arial Narrow" w:hAnsi="Arial Narrow" w:cs="Arial"/>
                <w:b/>
                <w:bCs/>
                <w:sz w:val="18"/>
                <w:szCs w:val="18"/>
              </w:rPr>
            </w:pPr>
            <w:r w:rsidRPr="00462A53">
              <w:rPr>
                <w:rFonts w:ascii="Arial Narrow" w:hAnsi="Arial Narrow" w:cs="Arial"/>
                <w:b/>
                <w:bCs/>
                <w:sz w:val="18"/>
                <w:szCs w:val="18"/>
              </w:rPr>
              <w:t>Vertraglich vereinbarte Dienstleistungen</w:t>
            </w:r>
          </w:p>
        </w:tc>
        <w:tc>
          <w:tcPr>
            <w:tcW w:w="1276" w:type="dxa"/>
            <w:tcBorders>
              <w:top w:val="nil"/>
              <w:left w:val="nil"/>
              <w:bottom w:val="nil"/>
              <w:right w:val="nil"/>
            </w:tcBorders>
            <w:shd w:val="clear" w:color="auto" w:fill="auto"/>
            <w:vAlign w:val="center"/>
            <w:hideMark/>
          </w:tcPr>
          <w:p w14:paraId="3BA4080D" w14:textId="77777777" w:rsidR="00CC0487" w:rsidRPr="00462A53" w:rsidRDefault="00CC0487" w:rsidP="00DB6666">
            <w:pPr>
              <w:jc w:val="right"/>
              <w:rPr>
                <w:rFonts w:ascii="Arial Narrow" w:hAnsi="Arial Narrow" w:cs="Arial"/>
                <w:b/>
                <w:bCs/>
                <w:sz w:val="18"/>
                <w:szCs w:val="18"/>
              </w:rPr>
            </w:pPr>
          </w:p>
        </w:tc>
        <w:tc>
          <w:tcPr>
            <w:tcW w:w="1276" w:type="dxa"/>
            <w:tcBorders>
              <w:top w:val="nil"/>
              <w:left w:val="nil"/>
              <w:bottom w:val="nil"/>
              <w:right w:val="nil"/>
            </w:tcBorders>
            <w:shd w:val="clear" w:color="auto" w:fill="auto"/>
            <w:vAlign w:val="center"/>
            <w:hideMark/>
          </w:tcPr>
          <w:p w14:paraId="1ED5BF5B" w14:textId="77777777" w:rsidR="00CC0487" w:rsidRPr="00462A53" w:rsidRDefault="00CC0487" w:rsidP="00DB6666">
            <w:pPr>
              <w:jc w:val="right"/>
              <w:rPr>
                <w:rFonts w:ascii="Arial Narrow" w:hAnsi="Arial Narrow"/>
                <w:sz w:val="18"/>
                <w:szCs w:val="18"/>
              </w:rPr>
            </w:pPr>
          </w:p>
        </w:tc>
        <w:tc>
          <w:tcPr>
            <w:tcW w:w="992" w:type="dxa"/>
            <w:tcBorders>
              <w:top w:val="nil"/>
              <w:left w:val="nil"/>
              <w:bottom w:val="nil"/>
              <w:right w:val="nil"/>
            </w:tcBorders>
            <w:shd w:val="clear" w:color="auto" w:fill="auto"/>
            <w:vAlign w:val="center"/>
            <w:hideMark/>
          </w:tcPr>
          <w:p w14:paraId="091AB75D" w14:textId="77777777" w:rsidR="00CC0487" w:rsidRPr="00462A53" w:rsidRDefault="00CC0487" w:rsidP="00DB6666">
            <w:pPr>
              <w:jc w:val="right"/>
              <w:rPr>
                <w:rFonts w:ascii="Arial Narrow" w:hAnsi="Arial Narrow"/>
                <w:sz w:val="18"/>
                <w:szCs w:val="18"/>
              </w:rPr>
            </w:pPr>
          </w:p>
        </w:tc>
        <w:tc>
          <w:tcPr>
            <w:tcW w:w="992" w:type="dxa"/>
            <w:tcBorders>
              <w:top w:val="nil"/>
              <w:left w:val="nil"/>
              <w:bottom w:val="nil"/>
              <w:right w:val="nil"/>
            </w:tcBorders>
            <w:shd w:val="clear" w:color="auto" w:fill="auto"/>
            <w:vAlign w:val="center"/>
            <w:hideMark/>
          </w:tcPr>
          <w:p w14:paraId="60F93231" w14:textId="77777777" w:rsidR="00CC0487" w:rsidRPr="00462A53" w:rsidRDefault="00CC0487" w:rsidP="00DB6666">
            <w:pPr>
              <w:jc w:val="right"/>
              <w:rPr>
                <w:rFonts w:ascii="Arial Narrow" w:hAnsi="Arial Narrow"/>
                <w:sz w:val="18"/>
                <w:szCs w:val="18"/>
              </w:rPr>
            </w:pPr>
          </w:p>
        </w:tc>
        <w:tc>
          <w:tcPr>
            <w:tcW w:w="1276" w:type="dxa"/>
            <w:tcBorders>
              <w:top w:val="nil"/>
              <w:left w:val="nil"/>
              <w:bottom w:val="nil"/>
              <w:right w:val="nil"/>
            </w:tcBorders>
            <w:shd w:val="clear" w:color="auto" w:fill="auto"/>
            <w:vAlign w:val="center"/>
            <w:hideMark/>
          </w:tcPr>
          <w:p w14:paraId="53075F9C" w14:textId="77777777" w:rsidR="00CC0487" w:rsidRPr="00462A53" w:rsidRDefault="00CC0487" w:rsidP="00DB6666">
            <w:pPr>
              <w:jc w:val="right"/>
              <w:rPr>
                <w:rFonts w:ascii="Arial Narrow" w:hAnsi="Arial Narrow"/>
                <w:sz w:val="18"/>
                <w:szCs w:val="18"/>
              </w:rPr>
            </w:pPr>
          </w:p>
        </w:tc>
      </w:tr>
      <w:tr w:rsidR="00CC0487" w:rsidRPr="003E7026" w14:paraId="32ACC8F4"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5D3380D8" w14:textId="77777777" w:rsidR="00CC0487" w:rsidRPr="00462A53" w:rsidRDefault="00CC0487" w:rsidP="00DB6666">
            <w:pPr>
              <w:jc w:val="left"/>
              <w:rPr>
                <w:rFonts w:ascii="Arial Narrow" w:hAnsi="Arial Narrow"/>
                <w:sz w:val="18"/>
                <w:szCs w:val="18"/>
              </w:rPr>
            </w:pPr>
          </w:p>
        </w:tc>
        <w:tc>
          <w:tcPr>
            <w:tcW w:w="3224" w:type="dxa"/>
            <w:tcBorders>
              <w:top w:val="nil"/>
              <w:left w:val="nil"/>
              <w:bottom w:val="nil"/>
              <w:right w:val="nil"/>
            </w:tcBorders>
            <w:shd w:val="clear" w:color="auto" w:fill="auto"/>
            <w:vAlign w:val="bottom"/>
            <w:hideMark/>
          </w:tcPr>
          <w:p w14:paraId="1BE2C08D" w14:textId="77777777" w:rsidR="00CC0487" w:rsidRPr="00462A53" w:rsidRDefault="00CC0487" w:rsidP="00DB6666">
            <w:pPr>
              <w:ind w:firstLineChars="200" w:firstLine="360"/>
              <w:jc w:val="left"/>
              <w:rPr>
                <w:rFonts w:ascii="Arial Narrow" w:hAnsi="Arial Narrow" w:cs="Arial"/>
                <w:i/>
                <w:iCs/>
                <w:color w:val="000000"/>
                <w:sz w:val="18"/>
                <w:szCs w:val="18"/>
              </w:rPr>
            </w:pPr>
            <w:r w:rsidRPr="00462A53">
              <w:rPr>
                <w:rFonts w:ascii="Arial Narrow" w:hAnsi="Arial Narrow" w:cs="Arial"/>
                <w:i/>
                <w:iCs/>
                <w:color w:val="000000"/>
                <w:sz w:val="18"/>
                <w:szCs w:val="18"/>
              </w:rPr>
              <w:t>Konferenzen</w:t>
            </w:r>
          </w:p>
        </w:tc>
        <w:tc>
          <w:tcPr>
            <w:tcW w:w="1276" w:type="dxa"/>
            <w:tcBorders>
              <w:top w:val="nil"/>
              <w:left w:val="nil"/>
              <w:bottom w:val="nil"/>
              <w:right w:val="nil"/>
            </w:tcBorders>
            <w:shd w:val="clear" w:color="auto" w:fill="auto"/>
            <w:vAlign w:val="center"/>
            <w:hideMark/>
          </w:tcPr>
          <w:p w14:paraId="6501B225"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158</w:t>
            </w:r>
          </w:p>
        </w:tc>
        <w:tc>
          <w:tcPr>
            <w:tcW w:w="1276" w:type="dxa"/>
            <w:tcBorders>
              <w:top w:val="nil"/>
              <w:left w:val="nil"/>
              <w:bottom w:val="nil"/>
              <w:right w:val="nil"/>
            </w:tcBorders>
            <w:shd w:val="clear" w:color="auto" w:fill="auto"/>
            <w:vAlign w:val="center"/>
            <w:hideMark/>
          </w:tcPr>
          <w:p w14:paraId="0D1C15E1"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180</w:t>
            </w:r>
          </w:p>
        </w:tc>
        <w:tc>
          <w:tcPr>
            <w:tcW w:w="992" w:type="dxa"/>
            <w:tcBorders>
              <w:top w:val="nil"/>
              <w:left w:val="nil"/>
              <w:bottom w:val="nil"/>
              <w:right w:val="nil"/>
            </w:tcBorders>
            <w:shd w:val="clear" w:color="auto" w:fill="auto"/>
            <w:vAlign w:val="center"/>
            <w:hideMark/>
          </w:tcPr>
          <w:p w14:paraId="09800373"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20</w:t>
            </w:r>
          </w:p>
        </w:tc>
        <w:tc>
          <w:tcPr>
            <w:tcW w:w="992" w:type="dxa"/>
            <w:tcBorders>
              <w:top w:val="nil"/>
              <w:left w:val="nil"/>
              <w:bottom w:val="nil"/>
              <w:right w:val="nil"/>
            </w:tcBorders>
            <w:shd w:val="clear" w:color="auto" w:fill="auto"/>
            <w:vAlign w:val="center"/>
            <w:hideMark/>
          </w:tcPr>
          <w:p w14:paraId="0F111AC9"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11%</w:t>
            </w:r>
          </w:p>
        </w:tc>
        <w:tc>
          <w:tcPr>
            <w:tcW w:w="1276" w:type="dxa"/>
            <w:tcBorders>
              <w:top w:val="nil"/>
              <w:left w:val="nil"/>
              <w:bottom w:val="nil"/>
              <w:right w:val="nil"/>
            </w:tcBorders>
            <w:shd w:val="clear" w:color="auto" w:fill="auto"/>
            <w:vAlign w:val="center"/>
            <w:hideMark/>
          </w:tcPr>
          <w:p w14:paraId="1E3D59DA"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200</w:t>
            </w:r>
          </w:p>
        </w:tc>
      </w:tr>
      <w:tr w:rsidR="00CC0487" w:rsidRPr="003E7026" w14:paraId="561BD22E"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29A5FA6E" w14:textId="77777777" w:rsidR="00CC0487" w:rsidRPr="00462A53" w:rsidRDefault="00CC0487" w:rsidP="00DB6666">
            <w:pPr>
              <w:jc w:val="right"/>
              <w:rPr>
                <w:rFonts w:ascii="Arial Narrow" w:hAnsi="Arial Narrow" w:cs="Arial"/>
                <w:sz w:val="18"/>
                <w:szCs w:val="18"/>
              </w:rPr>
            </w:pPr>
          </w:p>
        </w:tc>
        <w:tc>
          <w:tcPr>
            <w:tcW w:w="3224" w:type="dxa"/>
            <w:tcBorders>
              <w:top w:val="nil"/>
              <w:left w:val="nil"/>
              <w:bottom w:val="nil"/>
              <w:right w:val="nil"/>
            </w:tcBorders>
            <w:shd w:val="clear" w:color="auto" w:fill="auto"/>
            <w:vAlign w:val="bottom"/>
            <w:hideMark/>
          </w:tcPr>
          <w:p w14:paraId="5F8513DE" w14:textId="77777777" w:rsidR="00CC0487" w:rsidRPr="00462A53" w:rsidRDefault="00CC0487" w:rsidP="00DB6666">
            <w:pPr>
              <w:ind w:firstLineChars="200" w:firstLine="360"/>
              <w:jc w:val="left"/>
              <w:rPr>
                <w:rFonts w:ascii="Arial Narrow" w:hAnsi="Arial Narrow" w:cs="Arial"/>
                <w:i/>
                <w:iCs/>
                <w:color w:val="000000"/>
                <w:sz w:val="18"/>
                <w:szCs w:val="18"/>
              </w:rPr>
            </w:pPr>
            <w:r w:rsidRPr="00462A53">
              <w:rPr>
                <w:rFonts w:ascii="Arial Narrow" w:hAnsi="Arial Narrow" w:cs="Arial"/>
                <w:i/>
                <w:iCs/>
                <w:color w:val="000000"/>
                <w:sz w:val="18"/>
                <w:szCs w:val="18"/>
              </w:rPr>
              <w:t>Veröffentlichungen</w:t>
            </w:r>
          </w:p>
        </w:tc>
        <w:tc>
          <w:tcPr>
            <w:tcW w:w="1276" w:type="dxa"/>
            <w:tcBorders>
              <w:top w:val="nil"/>
              <w:left w:val="nil"/>
              <w:bottom w:val="nil"/>
              <w:right w:val="nil"/>
            </w:tcBorders>
            <w:shd w:val="clear" w:color="auto" w:fill="auto"/>
            <w:vAlign w:val="center"/>
            <w:hideMark/>
          </w:tcPr>
          <w:p w14:paraId="0F58178C"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0</w:t>
            </w:r>
          </w:p>
        </w:tc>
        <w:tc>
          <w:tcPr>
            <w:tcW w:w="1276" w:type="dxa"/>
            <w:tcBorders>
              <w:top w:val="nil"/>
              <w:left w:val="nil"/>
              <w:bottom w:val="nil"/>
              <w:right w:val="nil"/>
            </w:tcBorders>
            <w:shd w:val="clear" w:color="auto" w:fill="auto"/>
            <w:vAlign w:val="center"/>
            <w:hideMark/>
          </w:tcPr>
          <w:p w14:paraId="418C1EEA"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0</w:t>
            </w:r>
          </w:p>
        </w:tc>
        <w:tc>
          <w:tcPr>
            <w:tcW w:w="992" w:type="dxa"/>
            <w:tcBorders>
              <w:top w:val="nil"/>
              <w:left w:val="nil"/>
              <w:bottom w:val="nil"/>
              <w:right w:val="nil"/>
            </w:tcBorders>
            <w:shd w:val="clear" w:color="auto" w:fill="auto"/>
            <w:vAlign w:val="center"/>
            <w:hideMark/>
          </w:tcPr>
          <w:p w14:paraId="378AD4AB"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w:t>
            </w:r>
          </w:p>
        </w:tc>
        <w:tc>
          <w:tcPr>
            <w:tcW w:w="992" w:type="dxa"/>
            <w:tcBorders>
              <w:top w:val="nil"/>
              <w:left w:val="nil"/>
              <w:bottom w:val="nil"/>
              <w:right w:val="nil"/>
            </w:tcBorders>
            <w:shd w:val="clear" w:color="auto" w:fill="auto"/>
            <w:vAlign w:val="center"/>
            <w:hideMark/>
          </w:tcPr>
          <w:p w14:paraId="640D7FE8"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w:t>
            </w:r>
          </w:p>
        </w:tc>
        <w:tc>
          <w:tcPr>
            <w:tcW w:w="1276" w:type="dxa"/>
            <w:tcBorders>
              <w:top w:val="nil"/>
              <w:left w:val="nil"/>
              <w:bottom w:val="nil"/>
              <w:right w:val="nil"/>
            </w:tcBorders>
            <w:shd w:val="clear" w:color="auto" w:fill="auto"/>
            <w:vAlign w:val="center"/>
            <w:hideMark/>
          </w:tcPr>
          <w:p w14:paraId="74F0D4AC"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0</w:t>
            </w:r>
          </w:p>
        </w:tc>
      </w:tr>
      <w:tr w:rsidR="00CC0487" w:rsidRPr="003E7026" w14:paraId="3DD191F4"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045B06C1" w14:textId="77777777" w:rsidR="00CC0487" w:rsidRPr="00462A53" w:rsidRDefault="00CC0487" w:rsidP="00DB6666">
            <w:pPr>
              <w:jc w:val="right"/>
              <w:rPr>
                <w:rFonts w:ascii="Arial Narrow" w:hAnsi="Arial Narrow" w:cs="Arial"/>
                <w:sz w:val="18"/>
                <w:szCs w:val="18"/>
              </w:rPr>
            </w:pPr>
          </w:p>
        </w:tc>
        <w:tc>
          <w:tcPr>
            <w:tcW w:w="3224" w:type="dxa"/>
            <w:tcBorders>
              <w:top w:val="nil"/>
              <w:left w:val="nil"/>
              <w:bottom w:val="nil"/>
              <w:right w:val="nil"/>
            </w:tcBorders>
            <w:shd w:val="clear" w:color="auto" w:fill="auto"/>
            <w:vAlign w:val="bottom"/>
            <w:hideMark/>
          </w:tcPr>
          <w:p w14:paraId="331EDE00" w14:textId="77777777" w:rsidR="00CC0487" w:rsidRPr="00462A53" w:rsidRDefault="00CC0487" w:rsidP="00DB6666">
            <w:pPr>
              <w:ind w:firstLineChars="200" w:firstLine="360"/>
              <w:jc w:val="left"/>
              <w:rPr>
                <w:rFonts w:ascii="Arial Narrow" w:hAnsi="Arial Narrow" w:cs="Arial"/>
                <w:i/>
                <w:iCs/>
                <w:color w:val="000000"/>
                <w:sz w:val="18"/>
                <w:szCs w:val="18"/>
              </w:rPr>
            </w:pPr>
            <w:r w:rsidRPr="00462A53">
              <w:rPr>
                <w:rFonts w:ascii="Arial Narrow" w:hAnsi="Arial Narrow" w:cs="Arial"/>
                <w:i/>
                <w:iCs/>
                <w:color w:val="000000"/>
                <w:sz w:val="18"/>
                <w:szCs w:val="18"/>
              </w:rPr>
              <w:t xml:space="preserve">Einzeln vertraglich vereinbarte </w:t>
            </w:r>
          </w:p>
          <w:p w14:paraId="42376F35" w14:textId="77777777" w:rsidR="00CC0487" w:rsidRPr="00462A53" w:rsidRDefault="00CC0487" w:rsidP="00DB6666">
            <w:pPr>
              <w:ind w:firstLineChars="200" w:firstLine="360"/>
              <w:jc w:val="left"/>
              <w:rPr>
                <w:rFonts w:ascii="Arial Narrow" w:hAnsi="Arial Narrow" w:cs="Arial"/>
                <w:i/>
                <w:iCs/>
                <w:color w:val="000000"/>
                <w:sz w:val="18"/>
                <w:szCs w:val="18"/>
              </w:rPr>
            </w:pPr>
            <w:r w:rsidRPr="00462A53">
              <w:rPr>
                <w:rFonts w:ascii="Arial Narrow" w:hAnsi="Arial Narrow" w:cs="Arial"/>
                <w:i/>
                <w:iCs/>
                <w:color w:val="000000"/>
                <w:sz w:val="18"/>
                <w:szCs w:val="18"/>
              </w:rPr>
              <w:t>Dienstleistungen</w:t>
            </w:r>
          </w:p>
        </w:tc>
        <w:tc>
          <w:tcPr>
            <w:tcW w:w="1276" w:type="dxa"/>
            <w:tcBorders>
              <w:top w:val="nil"/>
              <w:left w:val="nil"/>
              <w:bottom w:val="nil"/>
              <w:right w:val="nil"/>
            </w:tcBorders>
            <w:shd w:val="clear" w:color="auto" w:fill="auto"/>
            <w:vAlign w:val="center"/>
            <w:hideMark/>
          </w:tcPr>
          <w:p w14:paraId="63B2097C"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32</w:t>
            </w:r>
          </w:p>
        </w:tc>
        <w:tc>
          <w:tcPr>
            <w:tcW w:w="1276" w:type="dxa"/>
            <w:tcBorders>
              <w:top w:val="nil"/>
              <w:left w:val="nil"/>
              <w:bottom w:val="nil"/>
              <w:right w:val="nil"/>
            </w:tcBorders>
            <w:shd w:val="clear" w:color="auto" w:fill="auto"/>
            <w:vAlign w:val="center"/>
            <w:hideMark/>
          </w:tcPr>
          <w:p w14:paraId="4022D3F5"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5</w:t>
            </w:r>
          </w:p>
        </w:tc>
        <w:tc>
          <w:tcPr>
            <w:tcW w:w="992" w:type="dxa"/>
            <w:tcBorders>
              <w:top w:val="nil"/>
              <w:left w:val="nil"/>
              <w:bottom w:val="nil"/>
              <w:right w:val="nil"/>
            </w:tcBorders>
            <w:shd w:val="clear" w:color="auto" w:fill="auto"/>
            <w:vAlign w:val="center"/>
            <w:hideMark/>
          </w:tcPr>
          <w:p w14:paraId="132A25CA"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95</w:t>
            </w:r>
          </w:p>
        </w:tc>
        <w:tc>
          <w:tcPr>
            <w:tcW w:w="992" w:type="dxa"/>
            <w:tcBorders>
              <w:top w:val="nil"/>
              <w:left w:val="nil"/>
              <w:bottom w:val="nil"/>
              <w:right w:val="nil"/>
            </w:tcBorders>
            <w:shd w:val="clear" w:color="auto" w:fill="auto"/>
            <w:vAlign w:val="center"/>
            <w:hideMark/>
          </w:tcPr>
          <w:p w14:paraId="52F86A4F"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+100%</w:t>
            </w:r>
          </w:p>
        </w:tc>
        <w:tc>
          <w:tcPr>
            <w:tcW w:w="1276" w:type="dxa"/>
            <w:tcBorders>
              <w:top w:val="nil"/>
              <w:left w:val="nil"/>
              <w:bottom w:val="nil"/>
              <w:right w:val="nil"/>
            </w:tcBorders>
            <w:shd w:val="clear" w:color="auto" w:fill="auto"/>
            <w:vAlign w:val="center"/>
            <w:hideMark/>
          </w:tcPr>
          <w:p w14:paraId="1F132DD2"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100</w:t>
            </w:r>
          </w:p>
        </w:tc>
      </w:tr>
      <w:tr w:rsidR="00CC0487" w:rsidRPr="003E7026" w14:paraId="56C91C20"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2BD90E1D" w14:textId="77777777" w:rsidR="00CC0487" w:rsidRPr="00462A53" w:rsidRDefault="00CC0487" w:rsidP="00DB6666">
            <w:pPr>
              <w:jc w:val="right"/>
              <w:rPr>
                <w:rFonts w:ascii="Arial Narrow" w:hAnsi="Arial Narrow" w:cs="Arial"/>
                <w:sz w:val="18"/>
                <w:szCs w:val="18"/>
              </w:rPr>
            </w:pPr>
          </w:p>
        </w:tc>
        <w:tc>
          <w:tcPr>
            <w:tcW w:w="3224" w:type="dxa"/>
            <w:tcBorders>
              <w:top w:val="nil"/>
              <w:left w:val="nil"/>
              <w:bottom w:val="nil"/>
              <w:right w:val="nil"/>
            </w:tcBorders>
            <w:shd w:val="clear" w:color="auto" w:fill="auto"/>
            <w:vAlign w:val="bottom"/>
            <w:hideMark/>
          </w:tcPr>
          <w:p w14:paraId="40FF4B85" w14:textId="77777777" w:rsidR="00CC0487" w:rsidRPr="00462A53" w:rsidRDefault="00CC0487" w:rsidP="00DB6666">
            <w:pPr>
              <w:ind w:firstLineChars="200" w:firstLine="360"/>
              <w:jc w:val="left"/>
              <w:rPr>
                <w:rFonts w:ascii="Arial Narrow" w:hAnsi="Arial Narrow" w:cs="Arial"/>
                <w:i/>
                <w:iCs/>
                <w:color w:val="000000"/>
                <w:sz w:val="18"/>
                <w:szCs w:val="18"/>
              </w:rPr>
            </w:pPr>
            <w:r w:rsidRPr="00462A53">
              <w:rPr>
                <w:rFonts w:ascii="Arial Narrow" w:hAnsi="Arial Narrow" w:cs="Arial"/>
                <w:i/>
                <w:iCs/>
                <w:color w:val="000000"/>
                <w:sz w:val="18"/>
                <w:szCs w:val="18"/>
              </w:rPr>
              <w:t xml:space="preserve">Andere vertraglich vereinbarte </w:t>
            </w:r>
          </w:p>
          <w:p w14:paraId="1D01171E" w14:textId="77777777" w:rsidR="00CC0487" w:rsidRPr="00462A53" w:rsidRDefault="00CC0487" w:rsidP="00DB6666">
            <w:pPr>
              <w:ind w:firstLineChars="200" w:firstLine="360"/>
              <w:jc w:val="left"/>
              <w:rPr>
                <w:rFonts w:ascii="Arial Narrow" w:hAnsi="Arial Narrow" w:cs="Arial"/>
                <w:i/>
                <w:iCs/>
                <w:color w:val="000000"/>
                <w:sz w:val="18"/>
                <w:szCs w:val="18"/>
              </w:rPr>
            </w:pPr>
            <w:r w:rsidRPr="00462A53">
              <w:rPr>
                <w:rFonts w:ascii="Arial Narrow" w:hAnsi="Arial Narrow" w:cs="Arial"/>
                <w:i/>
                <w:iCs/>
                <w:color w:val="000000"/>
                <w:sz w:val="18"/>
                <w:szCs w:val="18"/>
              </w:rPr>
              <w:t>Dienstleistungen</w:t>
            </w:r>
          </w:p>
        </w:tc>
        <w:tc>
          <w:tcPr>
            <w:tcW w:w="1276" w:type="dxa"/>
            <w:tcBorders>
              <w:top w:val="nil"/>
              <w:left w:val="nil"/>
              <w:bottom w:val="nil"/>
              <w:right w:val="nil"/>
            </w:tcBorders>
            <w:shd w:val="clear" w:color="auto" w:fill="auto"/>
            <w:vAlign w:val="center"/>
            <w:hideMark/>
          </w:tcPr>
          <w:p w14:paraId="4DE09FA8"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997</w:t>
            </w:r>
          </w:p>
        </w:tc>
        <w:tc>
          <w:tcPr>
            <w:tcW w:w="1276" w:type="dxa"/>
            <w:tcBorders>
              <w:top w:val="nil"/>
              <w:left w:val="nil"/>
              <w:bottom w:val="nil"/>
              <w:right w:val="nil"/>
            </w:tcBorders>
            <w:shd w:val="clear" w:color="auto" w:fill="auto"/>
            <w:vAlign w:val="center"/>
            <w:hideMark/>
          </w:tcPr>
          <w:p w14:paraId="3D59CDFE"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405</w:t>
            </w:r>
          </w:p>
        </w:tc>
        <w:tc>
          <w:tcPr>
            <w:tcW w:w="992" w:type="dxa"/>
            <w:tcBorders>
              <w:top w:val="nil"/>
              <w:left w:val="nil"/>
              <w:bottom w:val="nil"/>
              <w:right w:val="nil"/>
            </w:tcBorders>
            <w:shd w:val="clear" w:color="auto" w:fill="auto"/>
            <w:vAlign w:val="center"/>
            <w:hideMark/>
          </w:tcPr>
          <w:p w14:paraId="39405A92"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10</w:t>
            </w:r>
          </w:p>
        </w:tc>
        <w:tc>
          <w:tcPr>
            <w:tcW w:w="992" w:type="dxa"/>
            <w:tcBorders>
              <w:top w:val="nil"/>
              <w:left w:val="nil"/>
              <w:bottom w:val="nil"/>
              <w:right w:val="nil"/>
            </w:tcBorders>
            <w:shd w:val="clear" w:color="auto" w:fill="auto"/>
            <w:vAlign w:val="center"/>
            <w:hideMark/>
          </w:tcPr>
          <w:p w14:paraId="74DF6FF2"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2%</w:t>
            </w:r>
          </w:p>
        </w:tc>
        <w:tc>
          <w:tcPr>
            <w:tcW w:w="1276" w:type="dxa"/>
            <w:tcBorders>
              <w:top w:val="nil"/>
              <w:left w:val="nil"/>
              <w:bottom w:val="nil"/>
              <w:right w:val="nil"/>
            </w:tcBorders>
            <w:shd w:val="clear" w:color="auto" w:fill="auto"/>
            <w:vAlign w:val="center"/>
            <w:hideMark/>
          </w:tcPr>
          <w:p w14:paraId="3AD6A01C"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415</w:t>
            </w:r>
          </w:p>
        </w:tc>
      </w:tr>
      <w:tr w:rsidR="00CC0487" w:rsidRPr="003E7026" w14:paraId="0534F028" w14:textId="77777777" w:rsidTr="00DB6666">
        <w:trPr>
          <w:trHeight w:val="314"/>
          <w:jc w:val="center"/>
        </w:trPr>
        <w:tc>
          <w:tcPr>
            <w:tcW w:w="320" w:type="dxa"/>
            <w:tcBorders>
              <w:top w:val="nil"/>
              <w:left w:val="nil"/>
              <w:bottom w:val="single" w:sz="4" w:space="0" w:color="AAB8C4"/>
              <w:right w:val="nil"/>
            </w:tcBorders>
            <w:shd w:val="clear" w:color="auto" w:fill="auto"/>
            <w:noWrap/>
            <w:vAlign w:val="bottom"/>
            <w:hideMark/>
          </w:tcPr>
          <w:p w14:paraId="7C48DC2D" w14:textId="77777777" w:rsidR="00CC0487" w:rsidRPr="00462A53" w:rsidRDefault="00CC0487" w:rsidP="00DB6666">
            <w:pPr>
              <w:jc w:val="left"/>
              <w:rPr>
                <w:rFonts w:ascii="Arial Narrow" w:hAnsi="Arial Narrow" w:cs="Arial"/>
                <w:sz w:val="18"/>
                <w:szCs w:val="18"/>
              </w:rPr>
            </w:pPr>
            <w:r w:rsidRPr="00462A53">
              <w:rPr>
                <w:rFonts w:ascii="Arial Narrow" w:hAnsi="Arial Narrow" w:cs="Arial"/>
                <w:sz w:val="18"/>
                <w:szCs w:val="18"/>
              </w:rPr>
              <w:t> </w:t>
            </w:r>
          </w:p>
        </w:tc>
        <w:tc>
          <w:tcPr>
            <w:tcW w:w="3224" w:type="dxa"/>
            <w:tcBorders>
              <w:top w:val="nil"/>
              <w:left w:val="nil"/>
              <w:bottom w:val="single" w:sz="4" w:space="0" w:color="AAB8C4"/>
              <w:right w:val="nil"/>
            </w:tcBorders>
            <w:shd w:val="clear" w:color="auto" w:fill="auto"/>
            <w:vAlign w:val="bottom"/>
            <w:hideMark/>
          </w:tcPr>
          <w:p w14:paraId="1233A169" w14:textId="77777777" w:rsidR="00CC0487" w:rsidRPr="00462A53" w:rsidRDefault="00CC0487" w:rsidP="00DB6666">
            <w:pPr>
              <w:jc w:val="left"/>
              <w:rPr>
                <w:rFonts w:ascii="Arial Narrow" w:hAnsi="Arial Narrow" w:cs="Arial"/>
                <w:b/>
                <w:bCs/>
                <w:sz w:val="18"/>
                <w:szCs w:val="18"/>
              </w:rPr>
            </w:pPr>
            <w:r w:rsidRPr="00462A53">
              <w:rPr>
                <w:rFonts w:ascii="Arial Narrow" w:hAnsi="Arial Narrow" w:cs="Arial"/>
                <w:b/>
                <w:bCs/>
                <w:sz w:val="18"/>
                <w:szCs w:val="18"/>
              </w:rPr>
              <w:t>Zwischensumme</w:t>
            </w:r>
          </w:p>
        </w:tc>
        <w:tc>
          <w:tcPr>
            <w:tcW w:w="1276" w:type="dxa"/>
            <w:tcBorders>
              <w:top w:val="nil"/>
              <w:left w:val="nil"/>
              <w:bottom w:val="single" w:sz="4" w:space="0" w:color="AAB8C4"/>
              <w:right w:val="nil"/>
            </w:tcBorders>
            <w:shd w:val="clear" w:color="auto" w:fill="auto"/>
            <w:vAlign w:val="center"/>
            <w:hideMark/>
          </w:tcPr>
          <w:p w14:paraId="61C404BF"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1.187</w:t>
            </w:r>
          </w:p>
        </w:tc>
        <w:tc>
          <w:tcPr>
            <w:tcW w:w="1276" w:type="dxa"/>
            <w:tcBorders>
              <w:top w:val="nil"/>
              <w:left w:val="nil"/>
              <w:bottom w:val="single" w:sz="4" w:space="0" w:color="AAB8C4"/>
              <w:right w:val="nil"/>
            </w:tcBorders>
            <w:shd w:val="clear" w:color="auto" w:fill="auto"/>
            <w:vAlign w:val="center"/>
            <w:hideMark/>
          </w:tcPr>
          <w:p w14:paraId="37F6F7CB"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590</w:t>
            </w:r>
          </w:p>
        </w:tc>
        <w:tc>
          <w:tcPr>
            <w:tcW w:w="992" w:type="dxa"/>
            <w:tcBorders>
              <w:top w:val="nil"/>
              <w:left w:val="nil"/>
              <w:bottom w:val="single" w:sz="4" w:space="0" w:color="BFBFBF"/>
              <w:right w:val="nil"/>
            </w:tcBorders>
            <w:shd w:val="clear" w:color="auto" w:fill="auto"/>
            <w:vAlign w:val="center"/>
            <w:hideMark/>
          </w:tcPr>
          <w:p w14:paraId="188CE983"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125</w:t>
            </w:r>
          </w:p>
        </w:tc>
        <w:tc>
          <w:tcPr>
            <w:tcW w:w="992" w:type="dxa"/>
            <w:tcBorders>
              <w:top w:val="nil"/>
              <w:left w:val="nil"/>
              <w:bottom w:val="single" w:sz="4" w:space="0" w:color="BFBFBF"/>
              <w:right w:val="nil"/>
            </w:tcBorders>
            <w:shd w:val="clear" w:color="auto" w:fill="auto"/>
            <w:vAlign w:val="center"/>
            <w:hideMark/>
          </w:tcPr>
          <w:p w14:paraId="70E6F3FE"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21%</w:t>
            </w:r>
          </w:p>
        </w:tc>
        <w:tc>
          <w:tcPr>
            <w:tcW w:w="1276" w:type="dxa"/>
            <w:tcBorders>
              <w:top w:val="nil"/>
              <w:left w:val="nil"/>
              <w:bottom w:val="single" w:sz="4" w:space="0" w:color="AAB8C4"/>
              <w:right w:val="nil"/>
            </w:tcBorders>
            <w:shd w:val="clear" w:color="auto" w:fill="auto"/>
            <w:vAlign w:val="center"/>
            <w:hideMark/>
          </w:tcPr>
          <w:p w14:paraId="672B5A52"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715</w:t>
            </w:r>
          </w:p>
        </w:tc>
      </w:tr>
      <w:tr w:rsidR="00CC0487" w:rsidRPr="003E7026" w14:paraId="4A3569D9"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5AEDE561" w14:textId="77777777" w:rsidR="00CC0487" w:rsidRPr="00462A53" w:rsidRDefault="00CC0487" w:rsidP="00DB6666">
            <w:pPr>
              <w:jc w:val="right"/>
              <w:rPr>
                <w:rFonts w:ascii="Arial Narrow" w:hAnsi="Arial Narrow" w:cs="Arial"/>
                <w:b/>
                <w:bCs/>
                <w:sz w:val="18"/>
                <w:szCs w:val="18"/>
              </w:rPr>
            </w:pPr>
          </w:p>
        </w:tc>
        <w:tc>
          <w:tcPr>
            <w:tcW w:w="3224" w:type="dxa"/>
            <w:tcBorders>
              <w:top w:val="nil"/>
              <w:left w:val="nil"/>
              <w:bottom w:val="nil"/>
              <w:right w:val="nil"/>
            </w:tcBorders>
            <w:shd w:val="clear" w:color="auto" w:fill="auto"/>
            <w:vAlign w:val="bottom"/>
            <w:hideMark/>
          </w:tcPr>
          <w:p w14:paraId="73859293" w14:textId="77777777" w:rsidR="00CC0487" w:rsidRPr="00462A53" w:rsidRDefault="00CC0487" w:rsidP="00DB6666">
            <w:pPr>
              <w:jc w:val="left"/>
              <w:rPr>
                <w:rFonts w:ascii="Arial Narrow" w:hAnsi="Arial Narrow" w:cs="Arial"/>
                <w:b/>
                <w:bCs/>
                <w:sz w:val="18"/>
                <w:szCs w:val="18"/>
              </w:rPr>
            </w:pPr>
            <w:r w:rsidRPr="00462A53">
              <w:rPr>
                <w:rFonts w:ascii="Arial Narrow" w:hAnsi="Arial Narrow" w:cs="Arial"/>
                <w:b/>
                <w:bCs/>
                <w:sz w:val="18"/>
                <w:szCs w:val="18"/>
              </w:rPr>
              <w:t>Betriebsaufwand</w:t>
            </w:r>
          </w:p>
        </w:tc>
        <w:tc>
          <w:tcPr>
            <w:tcW w:w="1276" w:type="dxa"/>
            <w:tcBorders>
              <w:top w:val="nil"/>
              <w:left w:val="nil"/>
              <w:bottom w:val="nil"/>
              <w:right w:val="nil"/>
            </w:tcBorders>
            <w:shd w:val="clear" w:color="auto" w:fill="auto"/>
            <w:vAlign w:val="center"/>
            <w:hideMark/>
          </w:tcPr>
          <w:p w14:paraId="66551786" w14:textId="77777777" w:rsidR="00CC0487" w:rsidRPr="00462A53" w:rsidRDefault="00CC0487" w:rsidP="00DB6666">
            <w:pPr>
              <w:jc w:val="right"/>
              <w:rPr>
                <w:rFonts w:ascii="Arial Narrow" w:hAnsi="Arial Narrow" w:cs="Arial"/>
                <w:b/>
                <w:bCs/>
                <w:sz w:val="18"/>
                <w:szCs w:val="18"/>
              </w:rPr>
            </w:pPr>
          </w:p>
        </w:tc>
        <w:tc>
          <w:tcPr>
            <w:tcW w:w="1276" w:type="dxa"/>
            <w:tcBorders>
              <w:top w:val="nil"/>
              <w:left w:val="nil"/>
              <w:bottom w:val="nil"/>
              <w:right w:val="nil"/>
            </w:tcBorders>
            <w:shd w:val="clear" w:color="auto" w:fill="auto"/>
            <w:vAlign w:val="center"/>
            <w:hideMark/>
          </w:tcPr>
          <w:p w14:paraId="69744EE9" w14:textId="77777777" w:rsidR="00CC0487" w:rsidRPr="00462A53" w:rsidRDefault="00CC0487" w:rsidP="00DB6666">
            <w:pPr>
              <w:jc w:val="right"/>
              <w:rPr>
                <w:rFonts w:ascii="Arial Narrow" w:hAnsi="Arial Narrow"/>
                <w:sz w:val="18"/>
                <w:szCs w:val="18"/>
              </w:rPr>
            </w:pPr>
          </w:p>
        </w:tc>
        <w:tc>
          <w:tcPr>
            <w:tcW w:w="992" w:type="dxa"/>
            <w:tcBorders>
              <w:top w:val="nil"/>
              <w:left w:val="nil"/>
              <w:bottom w:val="nil"/>
              <w:right w:val="nil"/>
            </w:tcBorders>
            <w:shd w:val="clear" w:color="auto" w:fill="auto"/>
            <w:vAlign w:val="center"/>
            <w:hideMark/>
          </w:tcPr>
          <w:p w14:paraId="2E043BAE" w14:textId="77777777" w:rsidR="00CC0487" w:rsidRPr="00462A53" w:rsidRDefault="00CC0487" w:rsidP="00DB6666">
            <w:pPr>
              <w:jc w:val="right"/>
              <w:rPr>
                <w:rFonts w:ascii="Arial Narrow" w:hAnsi="Arial Narrow"/>
                <w:sz w:val="18"/>
                <w:szCs w:val="18"/>
              </w:rPr>
            </w:pPr>
          </w:p>
        </w:tc>
        <w:tc>
          <w:tcPr>
            <w:tcW w:w="992" w:type="dxa"/>
            <w:tcBorders>
              <w:top w:val="nil"/>
              <w:left w:val="nil"/>
              <w:bottom w:val="nil"/>
              <w:right w:val="nil"/>
            </w:tcBorders>
            <w:shd w:val="clear" w:color="auto" w:fill="auto"/>
            <w:vAlign w:val="center"/>
            <w:hideMark/>
          </w:tcPr>
          <w:p w14:paraId="73723F6D" w14:textId="77777777" w:rsidR="00CC0487" w:rsidRPr="00462A53" w:rsidRDefault="00CC0487" w:rsidP="00DB6666">
            <w:pPr>
              <w:jc w:val="right"/>
              <w:rPr>
                <w:rFonts w:ascii="Arial Narrow" w:hAnsi="Arial Narrow"/>
                <w:sz w:val="18"/>
                <w:szCs w:val="18"/>
              </w:rPr>
            </w:pPr>
          </w:p>
        </w:tc>
        <w:tc>
          <w:tcPr>
            <w:tcW w:w="1276" w:type="dxa"/>
            <w:tcBorders>
              <w:top w:val="nil"/>
              <w:left w:val="nil"/>
              <w:bottom w:val="nil"/>
              <w:right w:val="nil"/>
            </w:tcBorders>
            <w:shd w:val="clear" w:color="auto" w:fill="auto"/>
            <w:vAlign w:val="center"/>
            <w:hideMark/>
          </w:tcPr>
          <w:p w14:paraId="00F821CD" w14:textId="77777777" w:rsidR="00CC0487" w:rsidRPr="00462A53" w:rsidRDefault="00CC0487" w:rsidP="00DB6666">
            <w:pPr>
              <w:jc w:val="right"/>
              <w:rPr>
                <w:rFonts w:ascii="Arial Narrow" w:hAnsi="Arial Narrow"/>
                <w:sz w:val="18"/>
                <w:szCs w:val="18"/>
              </w:rPr>
            </w:pPr>
          </w:p>
        </w:tc>
      </w:tr>
      <w:tr w:rsidR="00CC0487" w:rsidRPr="003E7026" w14:paraId="5837F044" w14:textId="77777777" w:rsidTr="00DB6666">
        <w:trPr>
          <w:trHeight w:val="314"/>
          <w:jc w:val="center"/>
        </w:trPr>
        <w:tc>
          <w:tcPr>
            <w:tcW w:w="320" w:type="dxa"/>
            <w:tcBorders>
              <w:top w:val="nil"/>
              <w:left w:val="nil"/>
              <w:bottom w:val="single" w:sz="4" w:space="0" w:color="AAB8C4"/>
              <w:right w:val="nil"/>
            </w:tcBorders>
            <w:shd w:val="clear" w:color="auto" w:fill="auto"/>
            <w:noWrap/>
            <w:vAlign w:val="bottom"/>
            <w:hideMark/>
          </w:tcPr>
          <w:p w14:paraId="7E2A8265" w14:textId="77777777" w:rsidR="00CC0487" w:rsidRPr="00462A53" w:rsidRDefault="00CC0487" w:rsidP="00DB6666">
            <w:pPr>
              <w:jc w:val="left"/>
              <w:rPr>
                <w:rFonts w:ascii="Arial Narrow" w:hAnsi="Arial Narrow" w:cs="Arial"/>
                <w:sz w:val="18"/>
                <w:szCs w:val="18"/>
              </w:rPr>
            </w:pPr>
            <w:r w:rsidRPr="00462A53">
              <w:rPr>
                <w:rFonts w:ascii="Arial Narrow" w:hAnsi="Arial Narrow" w:cs="Arial"/>
                <w:sz w:val="18"/>
                <w:szCs w:val="18"/>
              </w:rPr>
              <w:t> </w:t>
            </w:r>
          </w:p>
        </w:tc>
        <w:tc>
          <w:tcPr>
            <w:tcW w:w="3224" w:type="dxa"/>
            <w:tcBorders>
              <w:top w:val="nil"/>
              <w:left w:val="nil"/>
              <w:bottom w:val="single" w:sz="4" w:space="0" w:color="AAB8C4"/>
              <w:right w:val="nil"/>
            </w:tcBorders>
            <w:shd w:val="clear" w:color="auto" w:fill="auto"/>
            <w:vAlign w:val="bottom"/>
            <w:hideMark/>
          </w:tcPr>
          <w:p w14:paraId="3FD95CD2" w14:textId="77777777" w:rsidR="00CC0487" w:rsidRPr="00462A53" w:rsidRDefault="00CC0487" w:rsidP="00DB6666">
            <w:pPr>
              <w:jc w:val="left"/>
              <w:rPr>
                <w:rFonts w:ascii="Arial Narrow" w:hAnsi="Arial Narrow" w:cs="Arial"/>
                <w:b/>
                <w:bCs/>
                <w:sz w:val="18"/>
                <w:szCs w:val="18"/>
              </w:rPr>
            </w:pPr>
            <w:r w:rsidRPr="00462A53">
              <w:rPr>
                <w:rFonts w:ascii="Arial Narrow" w:hAnsi="Arial Narrow" w:cs="Arial"/>
                <w:b/>
                <w:bCs/>
                <w:sz w:val="18"/>
                <w:szCs w:val="18"/>
              </w:rPr>
              <w:t>Zwischensumme</w:t>
            </w:r>
          </w:p>
        </w:tc>
        <w:tc>
          <w:tcPr>
            <w:tcW w:w="1276" w:type="dxa"/>
            <w:tcBorders>
              <w:top w:val="nil"/>
              <w:left w:val="nil"/>
              <w:bottom w:val="single" w:sz="4" w:space="0" w:color="AAB8C4"/>
              <w:right w:val="nil"/>
            </w:tcBorders>
            <w:shd w:val="clear" w:color="auto" w:fill="auto"/>
            <w:vAlign w:val="center"/>
            <w:hideMark/>
          </w:tcPr>
          <w:p w14:paraId="10CAAF25"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1.272</w:t>
            </w:r>
          </w:p>
        </w:tc>
        <w:tc>
          <w:tcPr>
            <w:tcW w:w="1276" w:type="dxa"/>
            <w:tcBorders>
              <w:top w:val="nil"/>
              <w:left w:val="nil"/>
              <w:bottom w:val="single" w:sz="4" w:space="0" w:color="AAB8C4"/>
              <w:right w:val="nil"/>
            </w:tcBorders>
            <w:shd w:val="clear" w:color="auto" w:fill="auto"/>
            <w:vAlign w:val="center"/>
            <w:hideMark/>
          </w:tcPr>
          <w:p w14:paraId="4AADE386"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1.285</w:t>
            </w:r>
          </w:p>
        </w:tc>
        <w:tc>
          <w:tcPr>
            <w:tcW w:w="992" w:type="dxa"/>
            <w:tcBorders>
              <w:top w:val="nil"/>
              <w:left w:val="nil"/>
              <w:bottom w:val="single" w:sz="4" w:space="0" w:color="BFBFBF"/>
              <w:right w:val="nil"/>
            </w:tcBorders>
            <w:shd w:val="clear" w:color="auto" w:fill="auto"/>
            <w:vAlign w:val="center"/>
            <w:hideMark/>
          </w:tcPr>
          <w:p w14:paraId="0BFE77A8"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(35)</w:t>
            </w:r>
          </w:p>
        </w:tc>
        <w:tc>
          <w:tcPr>
            <w:tcW w:w="992" w:type="dxa"/>
            <w:tcBorders>
              <w:top w:val="nil"/>
              <w:left w:val="nil"/>
              <w:bottom w:val="single" w:sz="4" w:space="0" w:color="BFBFBF"/>
              <w:right w:val="nil"/>
            </w:tcBorders>
            <w:shd w:val="clear" w:color="auto" w:fill="auto"/>
            <w:vAlign w:val="center"/>
            <w:hideMark/>
          </w:tcPr>
          <w:p w14:paraId="3C4111B1"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-3%</w:t>
            </w:r>
          </w:p>
        </w:tc>
        <w:tc>
          <w:tcPr>
            <w:tcW w:w="1276" w:type="dxa"/>
            <w:tcBorders>
              <w:top w:val="nil"/>
              <w:left w:val="nil"/>
              <w:bottom w:val="single" w:sz="4" w:space="0" w:color="BFBFBF"/>
              <w:right w:val="nil"/>
            </w:tcBorders>
            <w:shd w:val="clear" w:color="auto" w:fill="auto"/>
            <w:vAlign w:val="center"/>
            <w:hideMark/>
          </w:tcPr>
          <w:p w14:paraId="27508CD8"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1.250</w:t>
            </w:r>
          </w:p>
        </w:tc>
      </w:tr>
      <w:tr w:rsidR="00CC0487" w:rsidRPr="003E7026" w14:paraId="05C2B96D" w14:textId="77777777" w:rsidTr="00DB6666">
        <w:trPr>
          <w:trHeight w:val="461"/>
          <w:jc w:val="center"/>
        </w:trPr>
        <w:tc>
          <w:tcPr>
            <w:tcW w:w="320" w:type="dxa"/>
            <w:tcBorders>
              <w:top w:val="nil"/>
              <w:left w:val="nil"/>
              <w:bottom w:val="nil"/>
              <w:right w:val="nil"/>
            </w:tcBorders>
            <w:shd w:val="clear" w:color="auto" w:fill="auto"/>
            <w:noWrap/>
            <w:vAlign w:val="bottom"/>
            <w:hideMark/>
          </w:tcPr>
          <w:p w14:paraId="75094A93" w14:textId="77777777" w:rsidR="00CC0487" w:rsidRPr="00462A53" w:rsidRDefault="00CC0487" w:rsidP="00DB6666">
            <w:pPr>
              <w:jc w:val="right"/>
              <w:rPr>
                <w:rFonts w:ascii="Arial Narrow" w:hAnsi="Arial Narrow" w:cs="Arial"/>
                <w:b/>
                <w:bCs/>
                <w:sz w:val="18"/>
                <w:szCs w:val="18"/>
              </w:rPr>
            </w:pPr>
          </w:p>
        </w:tc>
        <w:tc>
          <w:tcPr>
            <w:tcW w:w="3224" w:type="dxa"/>
            <w:tcBorders>
              <w:top w:val="nil"/>
              <w:left w:val="nil"/>
              <w:bottom w:val="nil"/>
              <w:right w:val="nil"/>
            </w:tcBorders>
            <w:shd w:val="clear" w:color="auto" w:fill="auto"/>
            <w:vAlign w:val="bottom"/>
            <w:hideMark/>
          </w:tcPr>
          <w:p w14:paraId="007EDC7F" w14:textId="77777777" w:rsidR="00CC0487" w:rsidRPr="00462A53" w:rsidRDefault="00CC0487" w:rsidP="00DB6666">
            <w:pPr>
              <w:jc w:val="left"/>
              <w:rPr>
                <w:rFonts w:ascii="Arial Narrow" w:hAnsi="Arial Narrow" w:cs="Arial"/>
                <w:b/>
                <w:bCs/>
                <w:sz w:val="18"/>
                <w:szCs w:val="18"/>
              </w:rPr>
            </w:pPr>
            <w:r w:rsidRPr="00462A53">
              <w:rPr>
                <w:rFonts w:ascii="Arial Narrow" w:hAnsi="Arial Narrow" w:cs="Arial"/>
                <w:b/>
                <w:bCs/>
                <w:sz w:val="18"/>
                <w:szCs w:val="18"/>
              </w:rPr>
              <w:t>Betriebsausstattung und Bürobedarf</w:t>
            </w:r>
          </w:p>
        </w:tc>
        <w:tc>
          <w:tcPr>
            <w:tcW w:w="1276" w:type="dxa"/>
            <w:tcBorders>
              <w:top w:val="nil"/>
              <w:left w:val="nil"/>
              <w:bottom w:val="nil"/>
              <w:right w:val="nil"/>
            </w:tcBorders>
            <w:shd w:val="clear" w:color="auto" w:fill="auto"/>
            <w:vAlign w:val="center"/>
            <w:hideMark/>
          </w:tcPr>
          <w:p w14:paraId="1DDDA79D" w14:textId="77777777" w:rsidR="00CC0487" w:rsidRPr="00462A53" w:rsidRDefault="00CC0487" w:rsidP="00DB6666">
            <w:pPr>
              <w:jc w:val="right"/>
              <w:rPr>
                <w:rFonts w:ascii="Arial Narrow" w:hAnsi="Arial Narrow" w:cs="Arial"/>
                <w:b/>
                <w:bCs/>
                <w:sz w:val="18"/>
                <w:szCs w:val="18"/>
              </w:rPr>
            </w:pPr>
          </w:p>
        </w:tc>
        <w:tc>
          <w:tcPr>
            <w:tcW w:w="1276" w:type="dxa"/>
            <w:tcBorders>
              <w:top w:val="nil"/>
              <w:left w:val="nil"/>
              <w:bottom w:val="nil"/>
              <w:right w:val="nil"/>
            </w:tcBorders>
            <w:shd w:val="clear" w:color="auto" w:fill="auto"/>
            <w:vAlign w:val="center"/>
            <w:hideMark/>
          </w:tcPr>
          <w:p w14:paraId="5B7403B5" w14:textId="77777777" w:rsidR="00CC0487" w:rsidRPr="00462A53" w:rsidRDefault="00CC0487" w:rsidP="00DB6666">
            <w:pPr>
              <w:jc w:val="right"/>
              <w:rPr>
                <w:rFonts w:ascii="Arial Narrow" w:hAnsi="Arial Narrow"/>
                <w:sz w:val="18"/>
                <w:szCs w:val="18"/>
              </w:rPr>
            </w:pPr>
          </w:p>
        </w:tc>
        <w:tc>
          <w:tcPr>
            <w:tcW w:w="992" w:type="dxa"/>
            <w:tcBorders>
              <w:top w:val="nil"/>
              <w:left w:val="nil"/>
              <w:bottom w:val="nil"/>
              <w:right w:val="nil"/>
            </w:tcBorders>
            <w:shd w:val="clear" w:color="auto" w:fill="auto"/>
            <w:vAlign w:val="center"/>
            <w:hideMark/>
          </w:tcPr>
          <w:p w14:paraId="0CBF1BA6" w14:textId="77777777" w:rsidR="00CC0487" w:rsidRPr="00462A53" w:rsidRDefault="00CC0487" w:rsidP="00DB6666">
            <w:pPr>
              <w:jc w:val="right"/>
              <w:rPr>
                <w:rFonts w:ascii="Arial Narrow" w:hAnsi="Arial Narrow"/>
                <w:sz w:val="18"/>
                <w:szCs w:val="18"/>
              </w:rPr>
            </w:pPr>
          </w:p>
        </w:tc>
        <w:tc>
          <w:tcPr>
            <w:tcW w:w="992" w:type="dxa"/>
            <w:tcBorders>
              <w:top w:val="nil"/>
              <w:left w:val="nil"/>
              <w:bottom w:val="nil"/>
              <w:right w:val="nil"/>
            </w:tcBorders>
            <w:shd w:val="clear" w:color="auto" w:fill="auto"/>
            <w:vAlign w:val="center"/>
            <w:hideMark/>
          </w:tcPr>
          <w:p w14:paraId="1A9465DB" w14:textId="77777777" w:rsidR="00CC0487" w:rsidRPr="00462A53" w:rsidRDefault="00CC0487" w:rsidP="00DB6666">
            <w:pPr>
              <w:jc w:val="right"/>
              <w:rPr>
                <w:rFonts w:ascii="Arial Narrow" w:hAnsi="Arial Narrow"/>
                <w:sz w:val="18"/>
                <w:szCs w:val="18"/>
              </w:rPr>
            </w:pPr>
          </w:p>
        </w:tc>
        <w:tc>
          <w:tcPr>
            <w:tcW w:w="1276" w:type="dxa"/>
            <w:tcBorders>
              <w:top w:val="nil"/>
              <w:left w:val="nil"/>
              <w:bottom w:val="nil"/>
              <w:right w:val="nil"/>
            </w:tcBorders>
            <w:shd w:val="clear" w:color="auto" w:fill="auto"/>
            <w:vAlign w:val="center"/>
            <w:hideMark/>
          </w:tcPr>
          <w:p w14:paraId="4A143F07" w14:textId="77777777" w:rsidR="00CC0487" w:rsidRPr="00462A53" w:rsidRDefault="00CC0487" w:rsidP="00DB6666">
            <w:pPr>
              <w:jc w:val="right"/>
              <w:rPr>
                <w:rFonts w:ascii="Arial Narrow" w:hAnsi="Arial Narrow"/>
                <w:sz w:val="18"/>
                <w:szCs w:val="18"/>
              </w:rPr>
            </w:pPr>
          </w:p>
        </w:tc>
      </w:tr>
      <w:tr w:rsidR="00CC0487" w:rsidRPr="003E7026" w14:paraId="09D58887"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1A5041D3" w14:textId="77777777" w:rsidR="00CC0487" w:rsidRPr="00462A53" w:rsidRDefault="00CC0487" w:rsidP="00DB6666">
            <w:pPr>
              <w:jc w:val="left"/>
              <w:rPr>
                <w:rFonts w:ascii="Arial Narrow" w:hAnsi="Arial Narrow"/>
                <w:sz w:val="18"/>
                <w:szCs w:val="18"/>
              </w:rPr>
            </w:pPr>
          </w:p>
        </w:tc>
        <w:tc>
          <w:tcPr>
            <w:tcW w:w="3224" w:type="dxa"/>
            <w:tcBorders>
              <w:top w:val="nil"/>
              <w:left w:val="nil"/>
              <w:bottom w:val="nil"/>
              <w:right w:val="nil"/>
            </w:tcBorders>
            <w:shd w:val="clear" w:color="auto" w:fill="auto"/>
            <w:vAlign w:val="bottom"/>
            <w:hideMark/>
          </w:tcPr>
          <w:p w14:paraId="13F9EA1C" w14:textId="77777777" w:rsidR="00CC0487" w:rsidRPr="00462A53" w:rsidRDefault="00CC0487" w:rsidP="00DB6666">
            <w:pPr>
              <w:ind w:firstLineChars="200" w:firstLine="360"/>
              <w:jc w:val="left"/>
              <w:rPr>
                <w:rFonts w:ascii="Arial Narrow" w:hAnsi="Arial Narrow" w:cs="Arial"/>
                <w:i/>
                <w:iCs/>
                <w:color w:val="000000"/>
                <w:sz w:val="18"/>
                <w:szCs w:val="18"/>
              </w:rPr>
            </w:pPr>
            <w:r w:rsidRPr="00462A53">
              <w:rPr>
                <w:rFonts w:ascii="Arial Narrow" w:hAnsi="Arial Narrow" w:cs="Arial"/>
                <w:i/>
                <w:iCs/>
                <w:color w:val="000000"/>
                <w:sz w:val="18"/>
                <w:szCs w:val="18"/>
              </w:rPr>
              <w:t>Mobiliar und Betriebsausstattung</w:t>
            </w:r>
          </w:p>
        </w:tc>
        <w:tc>
          <w:tcPr>
            <w:tcW w:w="1276" w:type="dxa"/>
            <w:tcBorders>
              <w:top w:val="nil"/>
              <w:left w:val="nil"/>
              <w:bottom w:val="nil"/>
              <w:right w:val="nil"/>
            </w:tcBorders>
            <w:shd w:val="clear" w:color="auto" w:fill="auto"/>
            <w:vAlign w:val="center"/>
            <w:hideMark/>
          </w:tcPr>
          <w:p w14:paraId="7596FF52"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0</w:t>
            </w:r>
          </w:p>
        </w:tc>
        <w:tc>
          <w:tcPr>
            <w:tcW w:w="1276" w:type="dxa"/>
            <w:tcBorders>
              <w:top w:val="nil"/>
              <w:left w:val="nil"/>
              <w:bottom w:val="nil"/>
              <w:right w:val="nil"/>
            </w:tcBorders>
            <w:shd w:val="clear" w:color="auto" w:fill="auto"/>
            <w:vAlign w:val="center"/>
            <w:hideMark/>
          </w:tcPr>
          <w:p w14:paraId="3CCDF41C"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5</w:t>
            </w:r>
          </w:p>
        </w:tc>
        <w:tc>
          <w:tcPr>
            <w:tcW w:w="992" w:type="dxa"/>
            <w:tcBorders>
              <w:top w:val="nil"/>
              <w:left w:val="nil"/>
              <w:bottom w:val="nil"/>
              <w:right w:val="nil"/>
            </w:tcBorders>
            <w:shd w:val="clear" w:color="auto" w:fill="auto"/>
            <w:vAlign w:val="center"/>
            <w:hideMark/>
          </w:tcPr>
          <w:p w14:paraId="441AB1CF"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(4)</w:t>
            </w:r>
          </w:p>
        </w:tc>
        <w:tc>
          <w:tcPr>
            <w:tcW w:w="992" w:type="dxa"/>
            <w:tcBorders>
              <w:top w:val="nil"/>
              <w:left w:val="nil"/>
              <w:bottom w:val="nil"/>
              <w:right w:val="nil"/>
            </w:tcBorders>
            <w:shd w:val="clear" w:color="auto" w:fill="auto"/>
            <w:vAlign w:val="center"/>
            <w:hideMark/>
          </w:tcPr>
          <w:p w14:paraId="4F2431A8"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-80%</w:t>
            </w:r>
          </w:p>
        </w:tc>
        <w:tc>
          <w:tcPr>
            <w:tcW w:w="1276" w:type="dxa"/>
            <w:tcBorders>
              <w:top w:val="nil"/>
              <w:left w:val="nil"/>
              <w:bottom w:val="nil"/>
              <w:right w:val="nil"/>
            </w:tcBorders>
            <w:shd w:val="clear" w:color="auto" w:fill="auto"/>
            <w:vAlign w:val="center"/>
            <w:hideMark/>
          </w:tcPr>
          <w:p w14:paraId="3A91E39B"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1</w:t>
            </w:r>
          </w:p>
        </w:tc>
      </w:tr>
      <w:tr w:rsidR="00CC0487" w:rsidRPr="003E7026" w14:paraId="7041EC65"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5FE36700" w14:textId="77777777" w:rsidR="00CC0487" w:rsidRPr="00462A53" w:rsidRDefault="00CC0487" w:rsidP="00DB6666">
            <w:pPr>
              <w:jc w:val="right"/>
              <w:rPr>
                <w:rFonts w:ascii="Arial Narrow" w:hAnsi="Arial Narrow" w:cs="Arial"/>
                <w:sz w:val="18"/>
                <w:szCs w:val="18"/>
              </w:rPr>
            </w:pPr>
          </w:p>
        </w:tc>
        <w:tc>
          <w:tcPr>
            <w:tcW w:w="3224" w:type="dxa"/>
            <w:tcBorders>
              <w:top w:val="nil"/>
              <w:left w:val="nil"/>
              <w:bottom w:val="nil"/>
              <w:right w:val="nil"/>
            </w:tcBorders>
            <w:shd w:val="clear" w:color="auto" w:fill="auto"/>
            <w:vAlign w:val="bottom"/>
            <w:hideMark/>
          </w:tcPr>
          <w:p w14:paraId="31F3618A" w14:textId="77777777" w:rsidR="00CC0487" w:rsidRPr="00462A53" w:rsidRDefault="00CC0487" w:rsidP="00DB6666">
            <w:pPr>
              <w:ind w:firstLineChars="200" w:firstLine="360"/>
              <w:jc w:val="left"/>
              <w:rPr>
                <w:rFonts w:ascii="Arial Narrow" w:hAnsi="Arial Narrow" w:cs="Arial"/>
                <w:i/>
                <w:iCs/>
                <w:color w:val="000000"/>
                <w:sz w:val="18"/>
                <w:szCs w:val="18"/>
              </w:rPr>
            </w:pPr>
            <w:r w:rsidRPr="00462A53">
              <w:rPr>
                <w:rFonts w:ascii="Arial Narrow" w:hAnsi="Arial Narrow" w:cs="Arial"/>
                <w:i/>
                <w:iCs/>
                <w:color w:val="000000"/>
                <w:sz w:val="18"/>
                <w:szCs w:val="18"/>
              </w:rPr>
              <w:t>Bürobedarf und Materialien</w:t>
            </w:r>
          </w:p>
        </w:tc>
        <w:tc>
          <w:tcPr>
            <w:tcW w:w="1276" w:type="dxa"/>
            <w:tcBorders>
              <w:top w:val="nil"/>
              <w:left w:val="nil"/>
              <w:bottom w:val="nil"/>
              <w:right w:val="nil"/>
            </w:tcBorders>
            <w:shd w:val="clear" w:color="auto" w:fill="auto"/>
            <w:vAlign w:val="center"/>
            <w:hideMark/>
          </w:tcPr>
          <w:p w14:paraId="60F1AC3E"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4</w:t>
            </w:r>
          </w:p>
        </w:tc>
        <w:tc>
          <w:tcPr>
            <w:tcW w:w="1276" w:type="dxa"/>
            <w:tcBorders>
              <w:top w:val="nil"/>
              <w:left w:val="nil"/>
              <w:bottom w:val="nil"/>
              <w:right w:val="nil"/>
            </w:tcBorders>
            <w:shd w:val="clear" w:color="auto" w:fill="auto"/>
            <w:vAlign w:val="center"/>
            <w:hideMark/>
          </w:tcPr>
          <w:p w14:paraId="3269C0CF"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5</w:t>
            </w:r>
          </w:p>
        </w:tc>
        <w:tc>
          <w:tcPr>
            <w:tcW w:w="992" w:type="dxa"/>
            <w:tcBorders>
              <w:top w:val="nil"/>
              <w:left w:val="nil"/>
              <w:bottom w:val="nil"/>
              <w:right w:val="nil"/>
            </w:tcBorders>
            <w:shd w:val="clear" w:color="auto" w:fill="auto"/>
            <w:vAlign w:val="center"/>
            <w:hideMark/>
          </w:tcPr>
          <w:p w14:paraId="1E168976"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(4)</w:t>
            </w:r>
          </w:p>
        </w:tc>
        <w:tc>
          <w:tcPr>
            <w:tcW w:w="992" w:type="dxa"/>
            <w:tcBorders>
              <w:top w:val="nil"/>
              <w:left w:val="nil"/>
              <w:bottom w:val="nil"/>
              <w:right w:val="nil"/>
            </w:tcBorders>
            <w:shd w:val="clear" w:color="auto" w:fill="auto"/>
            <w:vAlign w:val="center"/>
            <w:hideMark/>
          </w:tcPr>
          <w:p w14:paraId="61A4398C"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-80%</w:t>
            </w:r>
          </w:p>
        </w:tc>
        <w:tc>
          <w:tcPr>
            <w:tcW w:w="1276" w:type="dxa"/>
            <w:tcBorders>
              <w:top w:val="nil"/>
              <w:left w:val="nil"/>
              <w:bottom w:val="nil"/>
              <w:right w:val="nil"/>
            </w:tcBorders>
            <w:shd w:val="clear" w:color="auto" w:fill="auto"/>
            <w:vAlign w:val="center"/>
            <w:hideMark/>
          </w:tcPr>
          <w:p w14:paraId="7440AD36"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1</w:t>
            </w:r>
          </w:p>
        </w:tc>
      </w:tr>
      <w:tr w:rsidR="00CC0487" w:rsidRPr="003E7026" w14:paraId="2F623294" w14:textId="77777777" w:rsidTr="00DB6666">
        <w:trPr>
          <w:trHeight w:val="314"/>
          <w:jc w:val="center"/>
        </w:trPr>
        <w:tc>
          <w:tcPr>
            <w:tcW w:w="320" w:type="dxa"/>
            <w:tcBorders>
              <w:top w:val="nil"/>
              <w:left w:val="nil"/>
              <w:bottom w:val="single" w:sz="4" w:space="0" w:color="AAB8C4"/>
              <w:right w:val="nil"/>
            </w:tcBorders>
            <w:shd w:val="clear" w:color="auto" w:fill="auto"/>
            <w:noWrap/>
            <w:vAlign w:val="bottom"/>
            <w:hideMark/>
          </w:tcPr>
          <w:p w14:paraId="2C16E198" w14:textId="77777777" w:rsidR="00CC0487" w:rsidRPr="00462A53" w:rsidRDefault="00CC0487" w:rsidP="00DB6666">
            <w:pPr>
              <w:jc w:val="left"/>
              <w:rPr>
                <w:rFonts w:ascii="Arial Narrow" w:hAnsi="Arial Narrow" w:cs="Arial"/>
                <w:sz w:val="18"/>
                <w:szCs w:val="18"/>
              </w:rPr>
            </w:pPr>
            <w:r w:rsidRPr="00462A53">
              <w:rPr>
                <w:rFonts w:ascii="Arial Narrow" w:hAnsi="Arial Narrow" w:cs="Arial"/>
                <w:sz w:val="18"/>
                <w:szCs w:val="18"/>
              </w:rPr>
              <w:t> </w:t>
            </w:r>
          </w:p>
        </w:tc>
        <w:tc>
          <w:tcPr>
            <w:tcW w:w="3224" w:type="dxa"/>
            <w:tcBorders>
              <w:top w:val="nil"/>
              <w:left w:val="nil"/>
              <w:bottom w:val="single" w:sz="4" w:space="0" w:color="AAB8C4"/>
              <w:right w:val="nil"/>
            </w:tcBorders>
            <w:shd w:val="clear" w:color="auto" w:fill="auto"/>
            <w:vAlign w:val="bottom"/>
            <w:hideMark/>
          </w:tcPr>
          <w:p w14:paraId="04D94449" w14:textId="77777777" w:rsidR="00CC0487" w:rsidRPr="00462A53" w:rsidRDefault="00CC0487" w:rsidP="00DB6666">
            <w:pPr>
              <w:jc w:val="left"/>
              <w:rPr>
                <w:rFonts w:ascii="Arial Narrow" w:hAnsi="Arial Narrow" w:cs="Arial"/>
                <w:b/>
                <w:bCs/>
                <w:sz w:val="18"/>
                <w:szCs w:val="18"/>
              </w:rPr>
            </w:pPr>
            <w:r w:rsidRPr="00462A53">
              <w:rPr>
                <w:rFonts w:ascii="Arial Narrow" w:hAnsi="Arial Narrow" w:cs="Arial"/>
                <w:b/>
                <w:bCs/>
                <w:sz w:val="18"/>
                <w:szCs w:val="18"/>
              </w:rPr>
              <w:t>Zwischensumme</w:t>
            </w:r>
          </w:p>
        </w:tc>
        <w:tc>
          <w:tcPr>
            <w:tcW w:w="1276" w:type="dxa"/>
            <w:tcBorders>
              <w:top w:val="nil"/>
              <w:left w:val="nil"/>
              <w:bottom w:val="single" w:sz="4" w:space="0" w:color="AAB8C4"/>
              <w:right w:val="nil"/>
            </w:tcBorders>
            <w:shd w:val="clear" w:color="auto" w:fill="auto"/>
            <w:vAlign w:val="center"/>
            <w:hideMark/>
          </w:tcPr>
          <w:p w14:paraId="1E1D639D"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4</w:t>
            </w:r>
          </w:p>
        </w:tc>
        <w:tc>
          <w:tcPr>
            <w:tcW w:w="1276" w:type="dxa"/>
            <w:tcBorders>
              <w:top w:val="nil"/>
              <w:left w:val="nil"/>
              <w:bottom w:val="single" w:sz="4" w:space="0" w:color="AAB8C4"/>
              <w:right w:val="nil"/>
            </w:tcBorders>
            <w:shd w:val="clear" w:color="auto" w:fill="auto"/>
            <w:vAlign w:val="center"/>
            <w:hideMark/>
          </w:tcPr>
          <w:p w14:paraId="68832F43"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10</w:t>
            </w:r>
          </w:p>
        </w:tc>
        <w:tc>
          <w:tcPr>
            <w:tcW w:w="992" w:type="dxa"/>
            <w:tcBorders>
              <w:top w:val="nil"/>
              <w:left w:val="nil"/>
              <w:bottom w:val="nil"/>
              <w:right w:val="nil"/>
            </w:tcBorders>
            <w:shd w:val="clear" w:color="auto" w:fill="auto"/>
            <w:vAlign w:val="center"/>
            <w:hideMark/>
          </w:tcPr>
          <w:p w14:paraId="0BB90425"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(8)</w:t>
            </w:r>
          </w:p>
        </w:tc>
        <w:tc>
          <w:tcPr>
            <w:tcW w:w="992" w:type="dxa"/>
            <w:tcBorders>
              <w:top w:val="nil"/>
              <w:left w:val="nil"/>
              <w:bottom w:val="nil"/>
              <w:right w:val="nil"/>
            </w:tcBorders>
            <w:shd w:val="clear" w:color="auto" w:fill="auto"/>
            <w:vAlign w:val="center"/>
            <w:hideMark/>
          </w:tcPr>
          <w:p w14:paraId="53E0BB02" w14:textId="77777777" w:rsidR="00CC0487" w:rsidRPr="00462A53" w:rsidRDefault="00CC0487" w:rsidP="00DB6666">
            <w:pPr>
              <w:jc w:val="right"/>
              <w:rPr>
                <w:rFonts w:ascii="Arial Narrow" w:hAnsi="Arial Narrow" w:cs="Arial"/>
                <w:sz w:val="18"/>
                <w:szCs w:val="18"/>
              </w:rPr>
            </w:pPr>
            <w:r w:rsidRPr="00462A53">
              <w:rPr>
                <w:rFonts w:ascii="Arial Narrow" w:hAnsi="Arial Narrow" w:cs="Arial"/>
                <w:sz w:val="18"/>
                <w:szCs w:val="18"/>
              </w:rPr>
              <w:t>-80%</w:t>
            </w:r>
          </w:p>
        </w:tc>
        <w:tc>
          <w:tcPr>
            <w:tcW w:w="1276" w:type="dxa"/>
            <w:tcBorders>
              <w:top w:val="nil"/>
              <w:left w:val="nil"/>
              <w:bottom w:val="single" w:sz="4" w:space="0" w:color="AAB8C4"/>
              <w:right w:val="nil"/>
            </w:tcBorders>
            <w:shd w:val="clear" w:color="auto" w:fill="auto"/>
            <w:vAlign w:val="center"/>
            <w:hideMark/>
          </w:tcPr>
          <w:p w14:paraId="6F732513"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2</w:t>
            </w:r>
          </w:p>
        </w:tc>
      </w:tr>
      <w:tr w:rsidR="00CC0487" w:rsidRPr="003E7026" w14:paraId="1AE2F7E3" w14:textId="77777777" w:rsidTr="00DB6666">
        <w:trPr>
          <w:trHeight w:val="314"/>
          <w:jc w:val="center"/>
        </w:trPr>
        <w:tc>
          <w:tcPr>
            <w:tcW w:w="320" w:type="dxa"/>
            <w:tcBorders>
              <w:top w:val="nil"/>
              <w:left w:val="nil"/>
              <w:bottom w:val="single" w:sz="8" w:space="0" w:color="AAB8C4"/>
              <w:right w:val="nil"/>
            </w:tcBorders>
            <w:shd w:val="clear" w:color="auto" w:fill="auto"/>
            <w:noWrap/>
            <w:vAlign w:val="bottom"/>
            <w:hideMark/>
          </w:tcPr>
          <w:p w14:paraId="653B2829" w14:textId="77777777" w:rsidR="00CC0487" w:rsidRPr="00462A53" w:rsidRDefault="00CC0487" w:rsidP="00DB6666">
            <w:pPr>
              <w:jc w:val="left"/>
              <w:rPr>
                <w:rFonts w:ascii="Arial Narrow" w:hAnsi="Arial Narrow" w:cs="Arial"/>
                <w:b/>
                <w:bCs/>
                <w:sz w:val="18"/>
                <w:szCs w:val="18"/>
              </w:rPr>
            </w:pPr>
            <w:r w:rsidRPr="00462A53">
              <w:rPr>
                <w:rFonts w:ascii="Arial Narrow" w:hAnsi="Arial Narrow" w:cs="Arial"/>
                <w:b/>
                <w:bCs/>
                <w:sz w:val="18"/>
                <w:szCs w:val="18"/>
              </w:rPr>
              <w:t> </w:t>
            </w:r>
          </w:p>
        </w:tc>
        <w:tc>
          <w:tcPr>
            <w:tcW w:w="3224" w:type="dxa"/>
            <w:tcBorders>
              <w:top w:val="nil"/>
              <w:left w:val="nil"/>
              <w:bottom w:val="single" w:sz="8" w:space="0" w:color="AAB8C4"/>
              <w:right w:val="nil"/>
            </w:tcBorders>
            <w:shd w:val="clear" w:color="auto" w:fill="auto"/>
            <w:vAlign w:val="bottom"/>
            <w:hideMark/>
          </w:tcPr>
          <w:p w14:paraId="2980A947" w14:textId="77777777" w:rsidR="00CC0487" w:rsidRPr="00462A53" w:rsidRDefault="00CC0487" w:rsidP="00DB6666">
            <w:pPr>
              <w:jc w:val="left"/>
              <w:rPr>
                <w:rFonts w:ascii="Arial Narrow" w:hAnsi="Arial Narrow" w:cs="Arial"/>
                <w:b/>
                <w:bCs/>
                <w:color w:val="000000"/>
                <w:sz w:val="18"/>
                <w:szCs w:val="18"/>
              </w:rPr>
            </w:pPr>
            <w:r w:rsidRPr="00462A53">
              <w:rPr>
                <w:rFonts w:ascii="Arial Narrow" w:hAnsi="Arial Narrow" w:cs="Arial"/>
                <w:b/>
                <w:bCs/>
                <w:color w:val="000000"/>
                <w:sz w:val="18"/>
                <w:szCs w:val="18"/>
              </w:rPr>
              <w:t>Insgesamt, B</w:t>
            </w:r>
          </w:p>
        </w:tc>
        <w:tc>
          <w:tcPr>
            <w:tcW w:w="1276" w:type="dxa"/>
            <w:tcBorders>
              <w:top w:val="nil"/>
              <w:left w:val="nil"/>
              <w:bottom w:val="single" w:sz="8" w:space="0" w:color="AAB8C4"/>
              <w:right w:val="nil"/>
            </w:tcBorders>
            <w:shd w:val="clear" w:color="auto" w:fill="auto"/>
            <w:vAlign w:val="center"/>
            <w:hideMark/>
          </w:tcPr>
          <w:p w14:paraId="47EAD059"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2.518</w:t>
            </w:r>
          </w:p>
        </w:tc>
        <w:tc>
          <w:tcPr>
            <w:tcW w:w="1276" w:type="dxa"/>
            <w:tcBorders>
              <w:top w:val="nil"/>
              <w:left w:val="nil"/>
              <w:bottom w:val="single" w:sz="8" w:space="0" w:color="AAB8C4"/>
              <w:right w:val="nil"/>
            </w:tcBorders>
            <w:shd w:val="clear" w:color="auto" w:fill="auto"/>
            <w:vAlign w:val="center"/>
            <w:hideMark/>
          </w:tcPr>
          <w:p w14:paraId="1647D215"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2.316</w:t>
            </w:r>
          </w:p>
        </w:tc>
        <w:tc>
          <w:tcPr>
            <w:tcW w:w="992" w:type="dxa"/>
            <w:tcBorders>
              <w:top w:val="single" w:sz="4" w:space="0" w:color="BFBFBF"/>
              <w:left w:val="nil"/>
              <w:bottom w:val="single" w:sz="8" w:space="0" w:color="BFBFBF"/>
              <w:right w:val="nil"/>
            </w:tcBorders>
            <w:shd w:val="clear" w:color="auto" w:fill="auto"/>
            <w:vAlign w:val="center"/>
            <w:hideMark/>
          </w:tcPr>
          <w:p w14:paraId="5C532ABF"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(169)</w:t>
            </w:r>
          </w:p>
        </w:tc>
        <w:tc>
          <w:tcPr>
            <w:tcW w:w="992" w:type="dxa"/>
            <w:tcBorders>
              <w:top w:val="single" w:sz="4" w:space="0" w:color="BFBFBF"/>
              <w:left w:val="nil"/>
              <w:bottom w:val="single" w:sz="8" w:space="0" w:color="BFBFBF"/>
              <w:right w:val="nil"/>
            </w:tcBorders>
            <w:shd w:val="clear" w:color="auto" w:fill="auto"/>
            <w:vAlign w:val="center"/>
            <w:hideMark/>
          </w:tcPr>
          <w:p w14:paraId="7D9BC749"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-7%</w:t>
            </w:r>
          </w:p>
        </w:tc>
        <w:tc>
          <w:tcPr>
            <w:tcW w:w="1276" w:type="dxa"/>
            <w:tcBorders>
              <w:top w:val="nil"/>
              <w:left w:val="nil"/>
              <w:bottom w:val="single" w:sz="8" w:space="0" w:color="AAB8C4"/>
              <w:right w:val="nil"/>
            </w:tcBorders>
            <w:shd w:val="clear" w:color="auto" w:fill="auto"/>
            <w:vAlign w:val="center"/>
            <w:hideMark/>
          </w:tcPr>
          <w:p w14:paraId="5C393CEB"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2.147</w:t>
            </w:r>
          </w:p>
        </w:tc>
      </w:tr>
      <w:tr w:rsidR="00CC0487" w:rsidRPr="003E7026" w14:paraId="1453036A" w14:textId="77777777" w:rsidTr="00DB6666">
        <w:trPr>
          <w:trHeight w:val="314"/>
          <w:jc w:val="center"/>
        </w:trPr>
        <w:tc>
          <w:tcPr>
            <w:tcW w:w="320" w:type="dxa"/>
            <w:tcBorders>
              <w:top w:val="nil"/>
              <w:left w:val="nil"/>
              <w:bottom w:val="single" w:sz="8" w:space="0" w:color="AAB8C4"/>
              <w:right w:val="nil"/>
            </w:tcBorders>
            <w:shd w:val="clear" w:color="auto" w:fill="auto"/>
            <w:noWrap/>
            <w:vAlign w:val="bottom"/>
            <w:hideMark/>
          </w:tcPr>
          <w:p w14:paraId="104C8441" w14:textId="77777777" w:rsidR="00CC0487" w:rsidRPr="00462A53" w:rsidRDefault="00CC0487" w:rsidP="00DB6666">
            <w:pPr>
              <w:jc w:val="left"/>
              <w:rPr>
                <w:rFonts w:ascii="Arial Narrow" w:hAnsi="Arial Narrow" w:cs="Arial"/>
                <w:b/>
                <w:bCs/>
                <w:sz w:val="18"/>
                <w:szCs w:val="18"/>
              </w:rPr>
            </w:pPr>
            <w:r w:rsidRPr="00462A53">
              <w:rPr>
                <w:rFonts w:ascii="Arial Narrow" w:hAnsi="Arial Narrow" w:cs="Arial"/>
                <w:b/>
                <w:bCs/>
                <w:sz w:val="18"/>
                <w:szCs w:val="18"/>
              </w:rPr>
              <w:t> </w:t>
            </w:r>
          </w:p>
        </w:tc>
        <w:tc>
          <w:tcPr>
            <w:tcW w:w="3224" w:type="dxa"/>
            <w:tcBorders>
              <w:top w:val="nil"/>
              <w:left w:val="nil"/>
              <w:bottom w:val="single" w:sz="8" w:space="0" w:color="AAB8C4"/>
              <w:right w:val="nil"/>
            </w:tcBorders>
            <w:shd w:val="clear" w:color="auto" w:fill="auto"/>
            <w:vAlign w:val="center"/>
            <w:hideMark/>
          </w:tcPr>
          <w:p w14:paraId="627A5B59" w14:textId="77777777" w:rsidR="00CC0487" w:rsidRPr="00462A53" w:rsidRDefault="00CC0487" w:rsidP="00DB6666">
            <w:pPr>
              <w:jc w:val="left"/>
              <w:rPr>
                <w:rFonts w:ascii="Arial Narrow" w:hAnsi="Arial Narrow" w:cs="Arial"/>
                <w:b/>
                <w:bCs/>
                <w:sz w:val="18"/>
                <w:szCs w:val="18"/>
              </w:rPr>
            </w:pPr>
            <w:r w:rsidRPr="00462A53">
              <w:rPr>
                <w:rFonts w:ascii="Arial Narrow" w:hAnsi="Arial Narrow" w:cs="Arial"/>
                <w:b/>
                <w:bCs/>
                <w:sz w:val="18"/>
                <w:szCs w:val="18"/>
              </w:rPr>
              <w:t>INSGESAMT, A+B</w:t>
            </w:r>
          </w:p>
        </w:tc>
        <w:tc>
          <w:tcPr>
            <w:tcW w:w="1276" w:type="dxa"/>
            <w:tcBorders>
              <w:top w:val="nil"/>
              <w:left w:val="nil"/>
              <w:bottom w:val="single" w:sz="8" w:space="0" w:color="AAB8C4"/>
              <w:right w:val="nil"/>
            </w:tcBorders>
            <w:shd w:val="clear" w:color="auto" w:fill="auto"/>
            <w:vAlign w:val="center"/>
            <w:hideMark/>
          </w:tcPr>
          <w:p w14:paraId="0B0F45D8"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7.071</w:t>
            </w:r>
          </w:p>
        </w:tc>
        <w:tc>
          <w:tcPr>
            <w:tcW w:w="1276" w:type="dxa"/>
            <w:tcBorders>
              <w:top w:val="nil"/>
              <w:left w:val="nil"/>
              <w:bottom w:val="single" w:sz="8" w:space="0" w:color="AAB8C4"/>
              <w:right w:val="nil"/>
            </w:tcBorders>
            <w:shd w:val="clear" w:color="auto" w:fill="auto"/>
            <w:vAlign w:val="center"/>
            <w:hideMark/>
          </w:tcPr>
          <w:p w14:paraId="63F72125"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7.635</w:t>
            </w:r>
          </w:p>
        </w:tc>
        <w:tc>
          <w:tcPr>
            <w:tcW w:w="992" w:type="dxa"/>
            <w:tcBorders>
              <w:top w:val="single" w:sz="4" w:space="0" w:color="BFBFBF"/>
              <w:left w:val="nil"/>
              <w:bottom w:val="single" w:sz="8" w:space="0" w:color="BFBFBF"/>
              <w:right w:val="nil"/>
            </w:tcBorders>
            <w:shd w:val="clear" w:color="auto" w:fill="auto"/>
            <w:vAlign w:val="center"/>
            <w:hideMark/>
          </w:tcPr>
          <w:p w14:paraId="1ABF72B1"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267</w:t>
            </w:r>
          </w:p>
        </w:tc>
        <w:tc>
          <w:tcPr>
            <w:tcW w:w="992" w:type="dxa"/>
            <w:tcBorders>
              <w:top w:val="nil"/>
              <w:left w:val="nil"/>
              <w:bottom w:val="single" w:sz="8" w:space="0" w:color="BFBFBF"/>
              <w:right w:val="nil"/>
            </w:tcBorders>
            <w:shd w:val="clear" w:color="auto" w:fill="auto"/>
            <w:vAlign w:val="center"/>
            <w:hideMark/>
          </w:tcPr>
          <w:p w14:paraId="3D9FB982"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3%</w:t>
            </w:r>
          </w:p>
        </w:tc>
        <w:tc>
          <w:tcPr>
            <w:tcW w:w="1276" w:type="dxa"/>
            <w:tcBorders>
              <w:top w:val="nil"/>
              <w:left w:val="nil"/>
              <w:bottom w:val="single" w:sz="8" w:space="0" w:color="AAB8C4"/>
              <w:right w:val="nil"/>
            </w:tcBorders>
            <w:shd w:val="clear" w:color="auto" w:fill="auto"/>
            <w:vAlign w:val="center"/>
            <w:hideMark/>
          </w:tcPr>
          <w:p w14:paraId="339C7576" w14:textId="77777777" w:rsidR="00CC0487" w:rsidRPr="00462A53" w:rsidRDefault="00CC0487" w:rsidP="00DB6666">
            <w:pPr>
              <w:jc w:val="right"/>
              <w:rPr>
                <w:rFonts w:ascii="Arial Narrow" w:hAnsi="Arial Narrow" w:cs="Arial"/>
                <w:b/>
                <w:bCs/>
                <w:sz w:val="18"/>
                <w:szCs w:val="18"/>
              </w:rPr>
            </w:pPr>
            <w:r w:rsidRPr="00462A53">
              <w:rPr>
                <w:rFonts w:ascii="Arial Narrow" w:hAnsi="Arial Narrow" w:cs="Arial"/>
                <w:b/>
                <w:bCs/>
                <w:sz w:val="18"/>
                <w:szCs w:val="18"/>
              </w:rPr>
              <w:t>7.901</w:t>
            </w:r>
          </w:p>
        </w:tc>
      </w:tr>
    </w:tbl>
    <w:p w14:paraId="4FB6C14A" w14:textId="77777777" w:rsidR="00CC0487" w:rsidRPr="003E7026" w:rsidRDefault="00CC0487" w:rsidP="00CC0487">
      <w:pPr>
        <w:rPr>
          <w:spacing w:val="-2"/>
        </w:rPr>
      </w:pPr>
    </w:p>
    <w:p w14:paraId="31220E2C" w14:textId="77777777" w:rsidR="00CC0487" w:rsidRPr="003E7026" w:rsidRDefault="00CC0487" w:rsidP="00CC0487">
      <w:pPr>
        <w:rPr>
          <w:b/>
          <w:spacing w:val="-2"/>
          <w:szCs w:val="24"/>
        </w:rPr>
      </w:pPr>
    </w:p>
    <w:p w14:paraId="0286831B" w14:textId="77777777" w:rsidR="00CC0487" w:rsidRPr="003E7026" w:rsidRDefault="00CC0487" w:rsidP="00CC0487">
      <w:pPr>
        <w:jc w:val="left"/>
        <w:rPr>
          <w:b/>
          <w:color w:val="26724C" w:themeColor="accent1" w:themeShade="BF"/>
          <w:sz w:val="22"/>
        </w:rPr>
      </w:pPr>
      <w:r w:rsidRPr="003E7026">
        <w:br w:type="page"/>
      </w:r>
    </w:p>
    <w:p w14:paraId="7D606378" w14:textId="77777777" w:rsidR="00CC0487" w:rsidRPr="003E7026" w:rsidRDefault="00CC0487" w:rsidP="00CC0487">
      <w:pPr>
        <w:pStyle w:val="Heading3"/>
        <w:rPr>
          <w:lang w:val="de-DE"/>
        </w:rPr>
      </w:pPr>
      <w:bookmarkStart w:id="424" w:name="_Toc128060722"/>
      <w:r w:rsidRPr="003E7026">
        <w:rPr>
          <w:lang w:val="de-DE"/>
        </w:rPr>
        <w:lastRenderedPageBreak/>
        <w:t>Personalkosten</w:t>
      </w:r>
      <w:bookmarkEnd w:id="424"/>
    </w:p>
    <w:p w14:paraId="75D4E96E" w14:textId="77777777" w:rsidR="00CC0487" w:rsidRPr="003E7026" w:rsidRDefault="00CC0487" w:rsidP="00CC0487">
      <w:pPr>
        <w:pStyle w:val="ListParagraph"/>
        <w:keepNext/>
        <w:ind w:left="0"/>
        <w:contextualSpacing w:val="0"/>
      </w:pPr>
    </w:p>
    <w:p w14:paraId="040C1507" w14:textId="77777777" w:rsidR="00CC0487" w:rsidRPr="003E7026" w:rsidRDefault="00CC0487" w:rsidP="00CC0487">
      <w:pPr>
        <w:pStyle w:val="ListParagraph"/>
        <w:tabs>
          <w:tab w:val="left" w:pos="851"/>
        </w:tabs>
        <w:ind w:left="0"/>
        <w:contextualSpacing w:val="0"/>
        <w:rPr>
          <w:spacing w:val="-2"/>
        </w:rPr>
      </w:pPr>
      <w:r w:rsidRPr="003E7026">
        <w:rPr>
          <w:spacing w:val="-2"/>
        </w:rPr>
        <w:t xml:space="preserve">Die UPOV hat wertvolle Unterstützung in Form von erfahrenen Sachverständigen erhalten, die von Verbandsmitgliedern zur Verfügung gestellt wurden, insbesondere in Bezug auf </w:t>
      </w:r>
      <w:r>
        <w:rPr>
          <w:spacing w:val="-2"/>
        </w:rPr>
        <w:t>UPOV PRISMA</w:t>
      </w:r>
      <w:r w:rsidRPr="003E7026">
        <w:rPr>
          <w:spacing w:val="-2"/>
        </w:rPr>
        <w:t xml:space="preserve">, die PLUTO-Datenbank, die GENIE-Datenbank und die Verwaltung der UPOV-Codes. Im Programm und Haushaltsplan für die Rechnungsperiode </w:t>
      </w:r>
      <w:r w:rsidRPr="003E7026">
        <w:rPr>
          <w:snapToGrid w:val="0"/>
          <w:spacing w:val="-2"/>
        </w:rPr>
        <w:t xml:space="preserve">2024-2025 sind </w:t>
      </w:r>
      <w:r w:rsidRPr="003E7026">
        <w:rPr>
          <w:spacing w:val="-2"/>
        </w:rPr>
        <w:t xml:space="preserve">ein </w:t>
      </w:r>
      <w:r>
        <w:rPr>
          <w:i/>
          <w:spacing w:val="-2"/>
        </w:rPr>
        <w:t xml:space="preserve">Junior Professional Officer </w:t>
      </w:r>
      <w:r w:rsidRPr="004766F6">
        <w:rPr>
          <w:spacing w:val="-2"/>
        </w:rPr>
        <w:t>(JPO)</w:t>
      </w:r>
      <w:r w:rsidRPr="003E7026">
        <w:rPr>
          <w:spacing w:val="-2"/>
        </w:rPr>
        <w:t xml:space="preserve"> und ein Stipendiat vorgesehen, die Arbeiten abdecken werden, die zuvor von Mitarbeitern in einer befristeten Stellung abgedeckt wurden.</w:t>
      </w:r>
    </w:p>
    <w:p w14:paraId="5E8F6EF4" w14:textId="77777777" w:rsidR="00CC0487" w:rsidRPr="003E7026" w:rsidRDefault="00CC0487" w:rsidP="00CC0487">
      <w:pPr>
        <w:tabs>
          <w:tab w:val="left" w:pos="567"/>
        </w:tabs>
        <w:rPr>
          <w:spacing w:val="-2"/>
        </w:rPr>
      </w:pPr>
    </w:p>
    <w:p w14:paraId="3FA0766F" w14:textId="77777777" w:rsidR="00CC0487" w:rsidRPr="003E7026" w:rsidRDefault="00CC0487" w:rsidP="00CC0487">
      <w:pPr>
        <w:pStyle w:val="ListParagraph"/>
        <w:tabs>
          <w:tab w:val="left" w:pos="851"/>
        </w:tabs>
        <w:ind w:left="0"/>
        <w:contextualSpacing w:val="0"/>
        <w:rPr>
          <w:spacing w:val="-2"/>
        </w:rPr>
      </w:pPr>
      <w:r w:rsidRPr="003E7026">
        <w:t>Die UPOV hat seit 2014 kontinuierlich Fremdpersonal zur administrativen Unterstützung eingesetzt. Seit 2017 sind drei Fremdarbeitskräfte im UPOV-Büro tätig, um rechtliche administrative Unterstützung für Tätigkeiten der UPOV und administrative Unterstützung im Zusammenhang mit IT-Entwicklungen zu leisten</w:t>
      </w:r>
      <w:r w:rsidRPr="003E7026">
        <w:rPr>
          <w:spacing w:val="-2"/>
        </w:rPr>
        <w:t xml:space="preserve">. </w:t>
      </w:r>
    </w:p>
    <w:p w14:paraId="09EC5A77" w14:textId="77777777" w:rsidR="00CC0487" w:rsidRPr="003E7026" w:rsidRDefault="00CC0487" w:rsidP="00CC0487">
      <w:pPr>
        <w:tabs>
          <w:tab w:val="left" w:pos="567"/>
        </w:tabs>
        <w:rPr>
          <w:spacing w:val="-2"/>
        </w:rPr>
      </w:pPr>
    </w:p>
    <w:p w14:paraId="4B574E69" w14:textId="77777777" w:rsidR="00CC0487" w:rsidRPr="003E7026" w:rsidRDefault="00CC0487" w:rsidP="00CC0487">
      <w:pPr>
        <w:pStyle w:val="ListParagraph"/>
        <w:tabs>
          <w:tab w:val="left" w:pos="851"/>
        </w:tabs>
        <w:ind w:left="0"/>
        <w:contextualSpacing w:val="0"/>
        <w:rPr>
          <w:spacing w:val="-2"/>
        </w:rPr>
      </w:pPr>
      <w:r w:rsidRPr="003E7026">
        <w:rPr>
          <w:spacing w:val="-2"/>
        </w:rPr>
        <w:t xml:space="preserve">Die Aufgaben, die derzeit von den drei vorstehend genannten Fremdarbeitskräften ausgeführt werden, sind zu einem zentralen Bestandteil der Arbeit der UPOV geworden und sollen im Zeitraum des Strategischen Geschäftsplans </w:t>
      </w:r>
      <w:r w:rsidRPr="003E7026">
        <w:t xml:space="preserve">2023-2027 </w:t>
      </w:r>
      <w:r w:rsidRPr="003E7026">
        <w:rPr>
          <w:spacing w:val="-2"/>
        </w:rPr>
        <w:t xml:space="preserve">in Posten umgewandelt werden, um die Kontinuität und Stabilität der Arbeit der UPOV zu gewährleisten, vorbehaltlich ausreichender und zuverlässiger Einnahmen. </w:t>
      </w:r>
      <w:r w:rsidR="009E1BDC" w:rsidRPr="006A686D">
        <w:rPr>
          <w:spacing w:val="-2"/>
        </w:rPr>
        <w:t xml:space="preserve">Der Rat </w:t>
      </w:r>
      <w:r w:rsidR="009E1BDC">
        <w:rPr>
          <w:spacing w:val="-2"/>
        </w:rPr>
        <w:t xml:space="preserve">entschied auf seiner fünfunddreißigsten außerordentlichen Tagung am 23. März 2023 in Genf, die Position eines </w:t>
      </w:r>
      <w:r w:rsidR="009E1BDC" w:rsidRPr="00631550">
        <w:rPr>
          <w:spacing w:val="-2"/>
        </w:rPr>
        <w:t>Direktors für Globale Entwicklung und Technische Angelegenheiten auf der Stufe D</w:t>
      </w:r>
      <w:r w:rsidR="009E1BDC">
        <w:rPr>
          <w:spacing w:val="-2"/>
        </w:rPr>
        <w:noBreakHyphen/>
      </w:r>
      <w:r w:rsidR="009E1BDC" w:rsidRPr="00631550">
        <w:rPr>
          <w:spacing w:val="-2"/>
        </w:rPr>
        <w:t>1</w:t>
      </w:r>
      <w:r w:rsidR="009E1BDC">
        <w:rPr>
          <w:spacing w:val="-2"/>
        </w:rPr>
        <w:t xml:space="preserve"> zu schaffen, was zur Umwandlung eines Posten im gehobenen Dienst zu einem Direktor-Posten führt.</w:t>
      </w:r>
    </w:p>
    <w:p w14:paraId="6F680169" w14:textId="77777777" w:rsidR="00CC0487" w:rsidRPr="003E7026" w:rsidRDefault="00CC0487" w:rsidP="00CC0487">
      <w:pPr>
        <w:pStyle w:val="ListParagraph"/>
        <w:tabs>
          <w:tab w:val="left" w:pos="851"/>
        </w:tabs>
        <w:ind w:left="0"/>
        <w:contextualSpacing w:val="0"/>
        <w:rPr>
          <w:spacing w:val="-2"/>
        </w:rPr>
      </w:pPr>
    </w:p>
    <w:p w14:paraId="040B0F3C" w14:textId="77777777" w:rsidR="00CC0487" w:rsidRPr="003E7026" w:rsidRDefault="00CC0487" w:rsidP="00CC0487">
      <w:pPr>
        <w:jc w:val="center"/>
        <w:rPr>
          <w:rFonts w:cs="Arial"/>
          <w:b/>
          <w:bCs/>
          <w:color w:val="26724C" w:themeColor="accent1" w:themeShade="BF"/>
        </w:rPr>
      </w:pPr>
      <w:r w:rsidRPr="003E7026">
        <w:rPr>
          <w:rFonts w:cs="Arial"/>
          <w:b/>
          <w:bCs/>
          <w:color w:val="26724C" w:themeColor="accent1" w:themeShade="BF"/>
        </w:rPr>
        <w:t>Tabelle 5: Haushaltsplan 2024-2025: Posten nach Kategorien</w:t>
      </w:r>
    </w:p>
    <w:p w14:paraId="37542E77" w14:textId="77777777" w:rsidR="00CC0487" w:rsidRPr="003E7026" w:rsidRDefault="00CC0487" w:rsidP="00CC0487">
      <w:pPr>
        <w:rPr>
          <w:rFonts w:cs="Arial"/>
          <w:b/>
          <w:bCs/>
          <w:color w:val="26724C" w:themeColor="accent1" w:themeShade="BF"/>
        </w:rPr>
      </w:pPr>
    </w:p>
    <w:tbl>
      <w:tblPr>
        <w:tblW w:w="7980" w:type="dxa"/>
        <w:jc w:val="center"/>
        <w:tblLayout w:type="fixed"/>
        <w:tblLook w:val="04A0" w:firstRow="1" w:lastRow="0" w:firstColumn="1" w:lastColumn="0" w:noHBand="0" w:noVBand="1"/>
      </w:tblPr>
      <w:tblGrid>
        <w:gridCol w:w="2268"/>
        <w:gridCol w:w="1418"/>
        <w:gridCol w:w="1417"/>
        <w:gridCol w:w="1418"/>
        <w:gridCol w:w="1459"/>
      </w:tblGrid>
      <w:tr w:rsidR="00CC0487" w:rsidRPr="00986945" w14:paraId="145C9EB1" w14:textId="77777777" w:rsidTr="00DB6666">
        <w:trPr>
          <w:trHeight w:val="460"/>
          <w:jc w:val="center"/>
        </w:trPr>
        <w:tc>
          <w:tcPr>
            <w:tcW w:w="2268" w:type="dxa"/>
            <w:tcBorders>
              <w:top w:val="nil"/>
              <w:left w:val="nil"/>
              <w:bottom w:val="nil"/>
              <w:right w:val="nil"/>
            </w:tcBorders>
            <w:shd w:val="clear" w:color="000000" w:fill="C7CFD8"/>
            <w:vAlign w:val="center"/>
            <w:hideMark/>
          </w:tcPr>
          <w:p w14:paraId="33875184" w14:textId="77777777" w:rsidR="00CC0487" w:rsidRPr="00986945" w:rsidRDefault="00CC0487" w:rsidP="00DB6666">
            <w:pPr>
              <w:jc w:val="center"/>
              <w:rPr>
                <w:rFonts w:ascii="Arial Narrow" w:hAnsi="Arial Narrow" w:cs="Arial"/>
                <w:b/>
                <w:bCs/>
                <w:sz w:val="18"/>
                <w:szCs w:val="18"/>
              </w:rPr>
            </w:pPr>
            <w:r w:rsidRPr="00986945">
              <w:rPr>
                <w:rFonts w:ascii="Arial Narrow" w:hAnsi="Arial Narrow" w:cs="Arial"/>
                <w:b/>
                <w:bCs/>
                <w:sz w:val="18"/>
                <w:szCs w:val="18"/>
              </w:rPr>
              <w:t xml:space="preserve">Postenkategorie </w:t>
            </w:r>
          </w:p>
        </w:tc>
        <w:tc>
          <w:tcPr>
            <w:tcW w:w="1418" w:type="dxa"/>
            <w:tcBorders>
              <w:top w:val="nil"/>
              <w:left w:val="nil"/>
              <w:bottom w:val="nil"/>
              <w:right w:val="nil"/>
            </w:tcBorders>
            <w:shd w:val="clear" w:color="000000" w:fill="C7CFD8"/>
            <w:vAlign w:val="center"/>
            <w:hideMark/>
          </w:tcPr>
          <w:p w14:paraId="694EF6F6" w14:textId="77777777" w:rsidR="00CC0487" w:rsidRPr="00986945" w:rsidRDefault="00CC0487" w:rsidP="00DB6666">
            <w:pPr>
              <w:jc w:val="center"/>
              <w:rPr>
                <w:rFonts w:ascii="Arial Narrow" w:hAnsi="Arial Narrow" w:cs="Arial"/>
                <w:b/>
                <w:bCs/>
                <w:sz w:val="18"/>
                <w:szCs w:val="18"/>
              </w:rPr>
            </w:pPr>
            <w:r w:rsidRPr="00986945">
              <w:rPr>
                <w:rFonts w:ascii="Arial Narrow" w:hAnsi="Arial Narrow" w:cs="Arial"/>
                <w:b/>
                <w:bCs/>
                <w:sz w:val="18"/>
                <w:szCs w:val="18"/>
              </w:rPr>
              <w:t xml:space="preserve">2020-2021 </w:t>
            </w:r>
            <w:r w:rsidRPr="00986945">
              <w:rPr>
                <w:rFonts w:ascii="Arial Narrow" w:hAnsi="Arial Narrow" w:cs="Arial"/>
                <w:b/>
                <w:bCs/>
                <w:sz w:val="18"/>
                <w:szCs w:val="18"/>
              </w:rPr>
              <w:br/>
              <w:t xml:space="preserve">Ist </w:t>
            </w:r>
          </w:p>
        </w:tc>
        <w:tc>
          <w:tcPr>
            <w:tcW w:w="1417" w:type="dxa"/>
            <w:tcBorders>
              <w:top w:val="nil"/>
              <w:left w:val="nil"/>
              <w:bottom w:val="nil"/>
              <w:right w:val="nil"/>
            </w:tcBorders>
            <w:shd w:val="clear" w:color="000000" w:fill="C7CFD8"/>
            <w:vAlign w:val="center"/>
            <w:hideMark/>
          </w:tcPr>
          <w:p w14:paraId="15653C8C" w14:textId="77777777" w:rsidR="00CC0487" w:rsidRPr="00986945" w:rsidRDefault="00CC0487" w:rsidP="00DB6666">
            <w:pPr>
              <w:jc w:val="center"/>
              <w:rPr>
                <w:rFonts w:ascii="Arial Narrow" w:hAnsi="Arial Narrow" w:cs="Arial"/>
                <w:b/>
                <w:bCs/>
                <w:sz w:val="18"/>
                <w:szCs w:val="18"/>
              </w:rPr>
            </w:pPr>
            <w:r w:rsidRPr="00986945">
              <w:rPr>
                <w:rFonts w:ascii="Arial Narrow" w:hAnsi="Arial Narrow" w:cs="Arial"/>
                <w:b/>
                <w:bCs/>
                <w:sz w:val="18"/>
                <w:szCs w:val="18"/>
              </w:rPr>
              <w:t>2022-2023</w:t>
            </w:r>
          </w:p>
          <w:p w14:paraId="67D08007" w14:textId="77777777" w:rsidR="00CC0487" w:rsidRPr="00986945" w:rsidRDefault="00CC0487" w:rsidP="00DB6666">
            <w:pPr>
              <w:jc w:val="center"/>
              <w:rPr>
                <w:rFonts w:ascii="Arial Narrow" w:hAnsi="Arial Narrow" w:cs="Arial"/>
                <w:b/>
                <w:bCs/>
                <w:sz w:val="18"/>
                <w:szCs w:val="18"/>
              </w:rPr>
            </w:pPr>
            <w:r w:rsidRPr="00986945">
              <w:rPr>
                <w:rFonts w:ascii="Arial Narrow" w:hAnsi="Arial Narrow" w:cs="Arial"/>
                <w:b/>
                <w:bCs/>
                <w:sz w:val="18"/>
                <w:szCs w:val="18"/>
              </w:rPr>
              <w:t xml:space="preserve">Haushaltsplan </w:t>
            </w:r>
          </w:p>
        </w:tc>
        <w:tc>
          <w:tcPr>
            <w:tcW w:w="1418" w:type="dxa"/>
            <w:tcBorders>
              <w:top w:val="nil"/>
              <w:left w:val="nil"/>
              <w:bottom w:val="nil"/>
              <w:right w:val="nil"/>
            </w:tcBorders>
            <w:shd w:val="clear" w:color="000000" w:fill="C7CFD8"/>
            <w:vAlign w:val="center"/>
            <w:hideMark/>
          </w:tcPr>
          <w:p w14:paraId="44CC7D16" w14:textId="77777777" w:rsidR="00CC0487" w:rsidRPr="00986945" w:rsidRDefault="00CC0487" w:rsidP="00DB6666">
            <w:pPr>
              <w:jc w:val="center"/>
              <w:rPr>
                <w:rFonts w:ascii="Arial Narrow" w:hAnsi="Arial Narrow" w:cs="Arial"/>
                <w:b/>
                <w:bCs/>
                <w:sz w:val="18"/>
                <w:szCs w:val="18"/>
              </w:rPr>
            </w:pPr>
            <w:r w:rsidRPr="00986945">
              <w:rPr>
                <w:rFonts w:ascii="Arial Narrow" w:hAnsi="Arial Narrow" w:cs="Arial"/>
                <w:b/>
                <w:bCs/>
                <w:sz w:val="18"/>
                <w:szCs w:val="18"/>
              </w:rPr>
              <w:t xml:space="preserve">Veränderung </w:t>
            </w:r>
          </w:p>
        </w:tc>
        <w:tc>
          <w:tcPr>
            <w:tcW w:w="1459" w:type="dxa"/>
            <w:tcBorders>
              <w:top w:val="nil"/>
              <w:left w:val="nil"/>
              <w:bottom w:val="nil"/>
              <w:right w:val="nil"/>
            </w:tcBorders>
            <w:shd w:val="clear" w:color="000000" w:fill="C7CFD8"/>
            <w:vAlign w:val="center"/>
            <w:hideMark/>
          </w:tcPr>
          <w:p w14:paraId="73E78816" w14:textId="77777777" w:rsidR="00CC0487" w:rsidRPr="00986945" w:rsidRDefault="00CC0487" w:rsidP="00DB6666">
            <w:pPr>
              <w:jc w:val="center"/>
              <w:rPr>
                <w:rFonts w:ascii="Arial Narrow" w:hAnsi="Arial Narrow" w:cs="Arial"/>
                <w:b/>
                <w:bCs/>
                <w:sz w:val="18"/>
                <w:szCs w:val="18"/>
              </w:rPr>
            </w:pPr>
            <w:r w:rsidRPr="00986945">
              <w:rPr>
                <w:rFonts w:ascii="Arial Narrow" w:hAnsi="Arial Narrow" w:cs="Arial"/>
                <w:b/>
                <w:bCs/>
                <w:sz w:val="18"/>
                <w:szCs w:val="18"/>
              </w:rPr>
              <w:t xml:space="preserve">2024-2025 </w:t>
            </w:r>
            <w:r w:rsidRPr="00986945">
              <w:rPr>
                <w:rFonts w:ascii="Arial Narrow" w:hAnsi="Arial Narrow" w:cs="Arial"/>
                <w:b/>
                <w:bCs/>
                <w:sz w:val="18"/>
                <w:szCs w:val="18"/>
              </w:rPr>
              <w:br/>
              <w:t xml:space="preserve">Veranschlagt </w:t>
            </w:r>
          </w:p>
        </w:tc>
      </w:tr>
      <w:tr w:rsidR="00CC0487" w:rsidRPr="00986945" w14:paraId="74FFD4DF" w14:textId="77777777" w:rsidTr="00DB6666">
        <w:trPr>
          <w:trHeight w:val="250"/>
          <w:jc w:val="center"/>
        </w:trPr>
        <w:tc>
          <w:tcPr>
            <w:tcW w:w="2268" w:type="dxa"/>
            <w:tcBorders>
              <w:top w:val="nil"/>
              <w:left w:val="nil"/>
              <w:bottom w:val="nil"/>
              <w:right w:val="nil"/>
            </w:tcBorders>
            <w:shd w:val="clear" w:color="000000" w:fill="C7CFD8"/>
            <w:vAlign w:val="center"/>
            <w:hideMark/>
          </w:tcPr>
          <w:p w14:paraId="4040B8F4" w14:textId="77777777" w:rsidR="00CC0487" w:rsidRPr="00986945" w:rsidRDefault="00CC0487" w:rsidP="00DB6666">
            <w:pPr>
              <w:jc w:val="center"/>
              <w:rPr>
                <w:rFonts w:ascii="Arial Narrow" w:hAnsi="Arial Narrow" w:cs="Arial"/>
                <w:b/>
                <w:bCs/>
                <w:sz w:val="18"/>
                <w:szCs w:val="18"/>
              </w:rPr>
            </w:pPr>
            <w:r w:rsidRPr="00986945">
              <w:rPr>
                <w:rFonts w:ascii="Arial Narrow" w:hAnsi="Arial Narrow" w:cs="Arial"/>
                <w:b/>
                <w:bCs/>
                <w:sz w:val="18"/>
                <w:szCs w:val="18"/>
              </w:rPr>
              <w:t> </w:t>
            </w:r>
          </w:p>
        </w:tc>
        <w:tc>
          <w:tcPr>
            <w:tcW w:w="1418" w:type="dxa"/>
            <w:tcBorders>
              <w:top w:val="nil"/>
              <w:left w:val="nil"/>
              <w:bottom w:val="nil"/>
              <w:right w:val="nil"/>
            </w:tcBorders>
            <w:shd w:val="clear" w:color="000000" w:fill="C7CFD8"/>
            <w:vAlign w:val="center"/>
            <w:hideMark/>
          </w:tcPr>
          <w:p w14:paraId="0E043B84" w14:textId="77777777" w:rsidR="00CC0487" w:rsidRPr="00986945" w:rsidRDefault="00CC0487" w:rsidP="00DB6666">
            <w:pPr>
              <w:jc w:val="center"/>
              <w:rPr>
                <w:rFonts w:ascii="Arial Narrow" w:hAnsi="Arial Narrow" w:cs="Arial"/>
                <w:b/>
                <w:bCs/>
                <w:sz w:val="18"/>
                <w:szCs w:val="18"/>
              </w:rPr>
            </w:pPr>
            <w:r w:rsidRPr="00986945">
              <w:rPr>
                <w:rFonts w:ascii="Arial Narrow" w:hAnsi="Arial Narrow" w:cs="Arial"/>
                <w:b/>
                <w:bCs/>
                <w:sz w:val="18"/>
                <w:szCs w:val="18"/>
              </w:rPr>
              <w:t xml:space="preserve">A </w:t>
            </w:r>
          </w:p>
        </w:tc>
        <w:tc>
          <w:tcPr>
            <w:tcW w:w="1417" w:type="dxa"/>
            <w:tcBorders>
              <w:top w:val="nil"/>
              <w:left w:val="nil"/>
              <w:bottom w:val="nil"/>
              <w:right w:val="nil"/>
            </w:tcBorders>
            <w:shd w:val="clear" w:color="000000" w:fill="C7CFD8"/>
            <w:vAlign w:val="center"/>
            <w:hideMark/>
          </w:tcPr>
          <w:p w14:paraId="536BE662" w14:textId="77777777" w:rsidR="00CC0487" w:rsidRPr="00986945" w:rsidRDefault="00CC0487" w:rsidP="00DB6666">
            <w:pPr>
              <w:jc w:val="center"/>
              <w:rPr>
                <w:rFonts w:ascii="Arial Narrow" w:hAnsi="Arial Narrow" w:cs="Arial"/>
                <w:b/>
                <w:bCs/>
                <w:sz w:val="18"/>
                <w:szCs w:val="18"/>
              </w:rPr>
            </w:pPr>
            <w:r w:rsidRPr="00986945">
              <w:rPr>
                <w:rFonts w:ascii="Arial Narrow" w:hAnsi="Arial Narrow" w:cs="Arial"/>
                <w:b/>
                <w:bCs/>
                <w:sz w:val="18"/>
                <w:szCs w:val="18"/>
              </w:rPr>
              <w:t xml:space="preserve">B </w:t>
            </w:r>
          </w:p>
        </w:tc>
        <w:tc>
          <w:tcPr>
            <w:tcW w:w="1418" w:type="dxa"/>
            <w:tcBorders>
              <w:top w:val="nil"/>
              <w:left w:val="nil"/>
              <w:bottom w:val="nil"/>
              <w:right w:val="nil"/>
            </w:tcBorders>
            <w:shd w:val="clear" w:color="000000" w:fill="C7CFD8"/>
            <w:vAlign w:val="center"/>
            <w:hideMark/>
          </w:tcPr>
          <w:p w14:paraId="6D72169D" w14:textId="77777777" w:rsidR="00CC0487" w:rsidRPr="00986945" w:rsidRDefault="00CC0487" w:rsidP="00DB6666">
            <w:pPr>
              <w:jc w:val="center"/>
              <w:rPr>
                <w:rFonts w:ascii="Arial Narrow" w:hAnsi="Arial Narrow" w:cs="Arial"/>
                <w:b/>
                <w:bCs/>
                <w:sz w:val="18"/>
                <w:szCs w:val="18"/>
              </w:rPr>
            </w:pPr>
            <w:r w:rsidRPr="00986945">
              <w:rPr>
                <w:rFonts w:ascii="Arial Narrow" w:hAnsi="Arial Narrow" w:cs="Arial"/>
                <w:b/>
                <w:bCs/>
                <w:sz w:val="18"/>
                <w:szCs w:val="18"/>
              </w:rPr>
              <w:t xml:space="preserve">C-B </w:t>
            </w:r>
          </w:p>
        </w:tc>
        <w:tc>
          <w:tcPr>
            <w:tcW w:w="1459" w:type="dxa"/>
            <w:tcBorders>
              <w:top w:val="nil"/>
              <w:left w:val="nil"/>
              <w:bottom w:val="nil"/>
              <w:right w:val="nil"/>
            </w:tcBorders>
            <w:shd w:val="clear" w:color="000000" w:fill="C7CFD8"/>
            <w:vAlign w:val="center"/>
            <w:hideMark/>
          </w:tcPr>
          <w:p w14:paraId="4CDA7D25" w14:textId="77777777" w:rsidR="00CC0487" w:rsidRPr="00986945" w:rsidRDefault="00CC0487" w:rsidP="00DB6666">
            <w:pPr>
              <w:jc w:val="center"/>
              <w:rPr>
                <w:rFonts w:ascii="Arial Narrow" w:hAnsi="Arial Narrow" w:cs="Arial"/>
                <w:b/>
                <w:bCs/>
                <w:sz w:val="18"/>
                <w:szCs w:val="18"/>
              </w:rPr>
            </w:pPr>
            <w:r w:rsidRPr="00986945">
              <w:rPr>
                <w:rFonts w:ascii="Arial Narrow" w:hAnsi="Arial Narrow" w:cs="Arial"/>
                <w:b/>
                <w:bCs/>
                <w:sz w:val="18"/>
                <w:szCs w:val="18"/>
              </w:rPr>
              <w:t xml:space="preserve">C </w:t>
            </w:r>
          </w:p>
        </w:tc>
      </w:tr>
      <w:tr w:rsidR="00CC0487" w:rsidRPr="00986945" w14:paraId="5837497A" w14:textId="77777777" w:rsidTr="00DB6666">
        <w:trPr>
          <w:trHeight w:val="150"/>
          <w:jc w:val="center"/>
        </w:trPr>
        <w:tc>
          <w:tcPr>
            <w:tcW w:w="2268" w:type="dxa"/>
            <w:tcBorders>
              <w:top w:val="nil"/>
              <w:left w:val="nil"/>
              <w:bottom w:val="nil"/>
              <w:right w:val="nil"/>
            </w:tcBorders>
            <w:shd w:val="clear" w:color="auto" w:fill="auto"/>
            <w:hideMark/>
          </w:tcPr>
          <w:p w14:paraId="15966673" w14:textId="77777777" w:rsidR="00CC0487" w:rsidRPr="00986945" w:rsidRDefault="00CC0487" w:rsidP="00DB6666">
            <w:pPr>
              <w:jc w:val="center"/>
              <w:rPr>
                <w:rFonts w:ascii="Arial Narrow" w:hAnsi="Arial Narrow" w:cs="Arial"/>
                <w:b/>
                <w:bCs/>
                <w:sz w:val="18"/>
                <w:szCs w:val="18"/>
              </w:rPr>
            </w:pPr>
          </w:p>
        </w:tc>
        <w:tc>
          <w:tcPr>
            <w:tcW w:w="1418" w:type="dxa"/>
            <w:tcBorders>
              <w:top w:val="nil"/>
              <w:left w:val="nil"/>
              <w:bottom w:val="nil"/>
              <w:right w:val="nil"/>
            </w:tcBorders>
            <w:shd w:val="clear" w:color="auto" w:fill="auto"/>
            <w:hideMark/>
          </w:tcPr>
          <w:p w14:paraId="45E511EF" w14:textId="77777777" w:rsidR="00CC0487" w:rsidRPr="00986945" w:rsidRDefault="00CC0487" w:rsidP="00DB6666">
            <w:pPr>
              <w:rPr>
                <w:rFonts w:ascii="Times New Roman" w:hAnsi="Times New Roman"/>
                <w:sz w:val="18"/>
                <w:szCs w:val="18"/>
              </w:rPr>
            </w:pPr>
          </w:p>
        </w:tc>
        <w:tc>
          <w:tcPr>
            <w:tcW w:w="1417" w:type="dxa"/>
            <w:tcBorders>
              <w:top w:val="nil"/>
              <w:left w:val="nil"/>
              <w:bottom w:val="nil"/>
              <w:right w:val="nil"/>
            </w:tcBorders>
            <w:shd w:val="clear" w:color="auto" w:fill="auto"/>
            <w:hideMark/>
          </w:tcPr>
          <w:p w14:paraId="7FEDD496" w14:textId="77777777" w:rsidR="00CC0487" w:rsidRPr="00986945" w:rsidRDefault="00CC0487" w:rsidP="00DB6666">
            <w:pPr>
              <w:jc w:val="center"/>
              <w:rPr>
                <w:rFonts w:ascii="Times New Roman" w:hAnsi="Times New Roman"/>
                <w:sz w:val="18"/>
                <w:szCs w:val="18"/>
              </w:rPr>
            </w:pPr>
          </w:p>
        </w:tc>
        <w:tc>
          <w:tcPr>
            <w:tcW w:w="1418" w:type="dxa"/>
            <w:tcBorders>
              <w:top w:val="nil"/>
              <w:left w:val="nil"/>
              <w:bottom w:val="nil"/>
              <w:right w:val="nil"/>
            </w:tcBorders>
            <w:shd w:val="clear" w:color="auto" w:fill="auto"/>
            <w:hideMark/>
          </w:tcPr>
          <w:p w14:paraId="62018BBB" w14:textId="77777777" w:rsidR="00CC0487" w:rsidRPr="00986945" w:rsidRDefault="00CC0487" w:rsidP="00DB6666">
            <w:pPr>
              <w:jc w:val="center"/>
              <w:rPr>
                <w:rFonts w:ascii="Times New Roman" w:hAnsi="Times New Roman"/>
                <w:sz w:val="18"/>
                <w:szCs w:val="18"/>
              </w:rPr>
            </w:pPr>
          </w:p>
        </w:tc>
        <w:tc>
          <w:tcPr>
            <w:tcW w:w="1459" w:type="dxa"/>
            <w:tcBorders>
              <w:top w:val="nil"/>
              <w:left w:val="nil"/>
              <w:bottom w:val="nil"/>
              <w:right w:val="nil"/>
            </w:tcBorders>
            <w:shd w:val="clear" w:color="auto" w:fill="auto"/>
            <w:hideMark/>
          </w:tcPr>
          <w:p w14:paraId="705A6DE8" w14:textId="77777777" w:rsidR="00CC0487" w:rsidRPr="00986945" w:rsidRDefault="00CC0487" w:rsidP="00DB6666">
            <w:pPr>
              <w:jc w:val="left"/>
              <w:rPr>
                <w:rFonts w:ascii="Times New Roman" w:hAnsi="Times New Roman"/>
                <w:sz w:val="18"/>
                <w:szCs w:val="18"/>
              </w:rPr>
            </w:pPr>
          </w:p>
        </w:tc>
      </w:tr>
      <w:tr w:rsidR="00CC0487" w:rsidRPr="00986945" w14:paraId="47F7801D" w14:textId="77777777" w:rsidTr="00DB6666">
        <w:trPr>
          <w:trHeight w:val="330"/>
          <w:jc w:val="center"/>
        </w:trPr>
        <w:tc>
          <w:tcPr>
            <w:tcW w:w="2268" w:type="dxa"/>
            <w:tcBorders>
              <w:top w:val="nil"/>
              <w:left w:val="nil"/>
              <w:bottom w:val="nil"/>
              <w:right w:val="nil"/>
            </w:tcBorders>
            <w:shd w:val="clear" w:color="auto" w:fill="auto"/>
            <w:hideMark/>
          </w:tcPr>
          <w:p w14:paraId="5C0AB23F" w14:textId="77777777" w:rsidR="00CC0487" w:rsidRPr="00986945" w:rsidRDefault="00CC0487" w:rsidP="00DB6666">
            <w:pPr>
              <w:rPr>
                <w:rFonts w:ascii="Arial Narrow" w:hAnsi="Arial Narrow" w:cs="Arial"/>
                <w:sz w:val="18"/>
                <w:szCs w:val="18"/>
              </w:rPr>
            </w:pPr>
            <w:r w:rsidRPr="00986945">
              <w:rPr>
                <w:rFonts w:ascii="Arial Narrow" w:hAnsi="Arial Narrow" w:cs="Arial"/>
                <w:sz w:val="18"/>
                <w:szCs w:val="18"/>
              </w:rPr>
              <w:t>Direktoren*</w:t>
            </w:r>
          </w:p>
        </w:tc>
        <w:tc>
          <w:tcPr>
            <w:tcW w:w="1418" w:type="dxa"/>
            <w:tcBorders>
              <w:top w:val="nil"/>
              <w:left w:val="nil"/>
              <w:bottom w:val="nil"/>
              <w:right w:val="nil"/>
            </w:tcBorders>
            <w:shd w:val="clear" w:color="auto" w:fill="auto"/>
            <w:hideMark/>
          </w:tcPr>
          <w:p w14:paraId="21650E6E" w14:textId="77777777" w:rsidR="00CC0487" w:rsidRPr="00986945" w:rsidRDefault="00CC0487" w:rsidP="00DB6666">
            <w:pPr>
              <w:jc w:val="center"/>
              <w:rPr>
                <w:rFonts w:ascii="Arial Narrow" w:hAnsi="Arial Narrow" w:cs="Arial"/>
                <w:sz w:val="18"/>
                <w:szCs w:val="18"/>
              </w:rPr>
            </w:pPr>
            <w:r w:rsidRPr="00986945">
              <w:rPr>
                <w:rFonts w:ascii="Arial Narrow" w:hAnsi="Arial Narrow" w:cs="Arial"/>
                <w:sz w:val="18"/>
                <w:szCs w:val="18"/>
              </w:rPr>
              <w:t>3</w:t>
            </w:r>
          </w:p>
        </w:tc>
        <w:tc>
          <w:tcPr>
            <w:tcW w:w="1417" w:type="dxa"/>
            <w:tcBorders>
              <w:top w:val="nil"/>
              <w:left w:val="nil"/>
              <w:bottom w:val="nil"/>
              <w:right w:val="nil"/>
            </w:tcBorders>
            <w:shd w:val="clear" w:color="auto" w:fill="auto"/>
            <w:hideMark/>
          </w:tcPr>
          <w:p w14:paraId="3CE748E2" w14:textId="77777777" w:rsidR="00CC0487" w:rsidRPr="00986945" w:rsidRDefault="00CC0487" w:rsidP="00DB6666">
            <w:pPr>
              <w:jc w:val="center"/>
              <w:rPr>
                <w:rFonts w:ascii="Arial Narrow" w:hAnsi="Arial Narrow" w:cs="Arial"/>
                <w:sz w:val="18"/>
                <w:szCs w:val="18"/>
              </w:rPr>
            </w:pPr>
            <w:r w:rsidRPr="00986945">
              <w:rPr>
                <w:rFonts w:ascii="Arial Narrow" w:hAnsi="Arial Narrow" w:cs="Arial"/>
                <w:sz w:val="18"/>
                <w:szCs w:val="18"/>
              </w:rPr>
              <w:t>3</w:t>
            </w:r>
          </w:p>
        </w:tc>
        <w:tc>
          <w:tcPr>
            <w:tcW w:w="1418" w:type="dxa"/>
            <w:tcBorders>
              <w:top w:val="nil"/>
              <w:left w:val="nil"/>
              <w:bottom w:val="nil"/>
              <w:right w:val="nil"/>
            </w:tcBorders>
            <w:shd w:val="clear" w:color="auto" w:fill="auto"/>
            <w:hideMark/>
          </w:tcPr>
          <w:p w14:paraId="0FE3E56A" w14:textId="77777777" w:rsidR="00CC0487" w:rsidRPr="00986945" w:rsidRDefault="00EB67B0" w:rsidP="00DB6666">
            <w:pPr>
              <w:jc w:val="center"/>
              <w:rPr>
                <w:rFonts w:ascii="Arial Narrow" w:hAnsi="Arial Narrow" w:cs="Arial"/>
                <w:sz w:val="18"/>
                <w:szCs w:val="18"/>
              </w:rPr>
            </w:pPr>
            <w:r w:rsidRPr="00986945">
              <w:rPr>
                <w:rFonts w:ascii="Arial Narrow" w:hAnsi="Arial Narrow" w:cs="Arial"/>
                <w:sz w:val="18"/>
                <w:szCs w:val="18"/>
              </w:rPr>
              <w:t>1</w:t>
            </w:r>
          </w:p>
        </w:tc>
        <w:tc>
          <w:tcPr>
            <w:tcW w:w="1459" w:type="dxa"/>
            <w:tcBorders>
              <w:top w:val="nil"/>
              <w:left w:val="nil"/>
              <w:bottom w:val="nil"/>
              <w:right w:val="nil"/>
            </w:tcBorders>
            <w:shd w:val="clear" w:color="auto" w:fill="auto"/>
            <w:hideMark/>
          </w:tcPr>
          <w:p w14:paraId="34E4C8C8" w14:textId="77777777" w:rsidR="00CC0487" w:rsidRPr="00986945" w:rsidRDefault="00EB67B0" w:rsidP="00DB6666">
            <w:pPr>
              <w:jc w:val="center"/>
              <w:rPr>
                <w:rFonts w:ascii="Arial Narrow" w:hAnsi="Arial Narrow" w:cs="Arial"/>
                <w:sz w:val="18"/>
                <w:szCs w:val="18"/>
              </w:rPr>
            </w:pPr>
            <w:r w:rsidRPr="00986945">
              <w:rPr>
                <w:rFonts w:ascii="Arial Narrow" w:hAnsi="Arial Narrow" w:cs="Arial"/>
                <w:sz w:val="18"/>
                <w:szCs w:val="18"/>
              </w:rPr>
              <w:t>4</w:t>
            </w:r>
          </w:p>
        </w:tc>
      </w:tr>
      <w:tr w:rsidR="00CC0487" w:rsidRPr="00986945" w14:paraId="2D9A39FA" w14:textId="77777777" w:rsidTr="00DB6666">
        <w:trPr>
          <w:trHeight w:val="330"/>
          <w:jc w:val="center"/>
        </w:trPr>
        <w:tc>
          <w:tcPr>
            <w:tcW w:w="2268" w:type="dxa"/>
            <w:tcBorders>
              <w:top w:val="nil"/>
              <w:left w:val="nil"/>
              <w:bottom w:val="nil"/>
              <w:right w:val="nil"/>
            </w:tcBorders>
            <w:shd w:val="clear" w:color="auto" w:fill="auto"/>
            <w:hideMark/>
          </w:tcPr>
          <w:p w14:paraId="7CFAC21B" w14:textId="77777777" w:rsidR="00CC0487" w:rsidRPr="00986945" w:rsidRDefault="00CC0487" w:rsidP="00DB6666">
            <w:pPr>
              <w:rPr>
                <w:rFonts w:ascii="Arial Narrow" w:hAnsi="Arial Narrow" w:cs="Arial"/>
                <w:sz w:val="18"/>
                <w:szCs w:val="18"/>
              </w:rPr>
            </w:pPr>
            <w:r w:rsidRPr="00986945">
              <w:rPr>
                <w:rFonts w:ascii="Arial Narrow" w:hAnsi="Arial Narrow" w:cs="Arial"/>
                <w:sz w:val="18"/>
                <w:szCs w:val="18"/>
              </w:rPr>
              <w:t>Gehobener Dienst</w:t>
            </w:r>
          </w:p>
        </w:tc>
        <w:tc>
          <w:tcPr>
            <w:tcW w:w="1418" w:type="dxa"/>
            <w:tcBorders>
              <w:top w:val="nil"/>
              <w:left w:val="nil"/>
              <w:bottom w:val="nil"/>
              <w:right w:val="nil"/>
            </w:tcBorders>
            <w:shd w:val="clear" w:color="auto" w:fill="auto"/>
            <w:hideMark/>
          </w:tcPr>
          <w:p w14:paraId="3AF58364" w14:textId="77777777" w:rsidR="00CC0487" w:rsidRPr="00986945" w:rsidRDefault="00CC0487" w:rsidP="00DB6666">
            <w:pPr>
              <w:jc w:val="center"/>
              <w:rPr>
                <w:rFonts w:ascii="Arial Narrow" w:hAnsi="Arial Narrow" w:cs="Arial"/>
                <w:sz w:val="18"/>
                <w:szCs w:val="18"/>
              </w:rPr>
            </w:pPr>
            <w:r w:rsidRPr="00986945">
              <w:rPr>
                <w:rFonts w:ascii="Arial Narrow" w:hAnsi="Arial Narrow" w:cs="Arial"/>
                <w:sz w:val="18"/>
                <w:szCs w:val="18"/>
              </w:rPr>
              <w:t>5</w:t>
            </w:r>
          </w:p>
        </w:tc>
        <w:tc>
          <w:tcPr>
            <w:tcW w:w="1417" w:type="dxa"/>
            <w:tcBorders>
              <w:top w:val="nil"/>
              <w:left w:val="nil"/>
              <w:bottom w:val="nil"/>
              <w:right w:val="nil"/>
            </w:tcBorders>
            <w:shd w:val="clear" w:color="auto" w:fill="auto"/>
            <w:hideMark/>
          </w:tcPr>
          <w:p w14:paraId="77BE5749" w14:textId="77777777" w:rsidR="00CC0487" w:rsidRPr="00986945" w:rsidRDefault="00CC0487" w:rsidP="00DB6666">
            <w:pPr>
              <w:jc w:val="center"/>
              <w:rPr>
                <w:rFonts w:ascii="Arial Narrow" w:hAnsi="Arial Narrow" w:cs="Arial"/>
                <w:sz w:val="18"/>
                <w:szCs w:val="18"/>
              </w:rPr>
            </w:pPr>
            <w:r w:rsidRPr="00986945">
              <w:rPr>
                <w:rFonts w:ascii="Arial Narrow" w:hAnsi="Arial Narrow" w:cs="Arial"/>
                <w:sz w:val="18"/>
                <w:szCs w:val="18"/>
              </w:rPr>
              <w:t>6</w:t>
            </w:r>
          </w:p>
        </w:tc>
        <w:tc>
          <w:tcPr>
            <w:tcW w:w="1418" w:type="dxa"/>
            <w:tcBorders>
              <w:top w:val="nil"/>
              <w:left w:val="nil"/>
              <w:bottom w:val="nil"/>
              <w:right w:val="nil"/>
            </w:tcBorders>
            <w:shd w:val="clear" w:color="auto" w:fill="auto"/>
            <w:hideMark/>
          </w:tcPr>
          <w:p w14:paraId="5C27820E" w14:textId="77777777" w:rsidR="00CC0487" w:rsidRPr="00986945" w:rsidRDefault="00EB67B0" w:rsidP="00DB6666">
            <w:pPr>
              <w:jc w:val="center"/>
              <w:rPr>
                <w:rFonts w:ascii="Arial Narrow" w:hAnsi="Arial Narrow" w:cs="Arial"/>
                <w:sz w:val="18"/>
                <w:szCs w:val="18"/>
              </w:rPr>
            </w:pPr>
            <w:r w:rsidRPr="00986945">
              <w:rPr>
                <w:rFonts w:ascii="Arial Narrow" w:hAnsi="Arial Narrow" w:cs="Arial"/>
                <w:sz w:val="18"/>
                <w:szCs w:val="18"/>
              </w:rPr>
              <w:t>1</w:t>
            </w:r>
          </w:p>
        </w:tc>
        <w:tc>
          <w:tcPr>
            <w:tcW w:w="1459" w:type="dxa"/>
            <w:tcBorders>
              <w:top w:val="nil"/>
              <w:left w:val="nil"/>
              <w:bottom w:val="nil"/>
              <w:right w:val="nil"/>
            </w:tcBorders>
            <w:shd w:val="clear" w:color="auto" w:fill="auto"/>
            <w:hideMark/>
          </w:tcPr>
          <w:p w14:paraId="72B53AB6" w14:textId="77777777" w:rsidR="00CC0487" w:rsidRPr="00986945" w:rsidRDefault="00EB67B0" w:rsidP="00DB6666">
            <w:pPr>
              <w:jc w:val="center"/>
              <w:rPr>
                <w:rFonts w:ascii="Arial Narrow" w:hAnsi="Arial Narrow" w:cs="Arial"/>
                <w:sz w:val="18"/>
                <w:szCs w:val="18"/>
              </w:rPr>
            </w:pPr>
            <w:r w:rsidRPr="00986945">
              <w:rPr>
                <w:rFonts w:ascii="Arial Narrow" w:hAnsi="Arial Narrow" w:cs="Arial"/>
                <w:sz w:val="18"/>
                <w:szCs w:val="18"/>
              </w:rPr>
              <w:t>7</w:t>
            </w:r>
          </w:p>
        </w:tc>
      </w:tr>
      <w:tr w:rsidR="00CC0487" w:rsidRPr="00986945" w14:paraId="1B3ACF84" w14:textId="77777777" w:rsidTr="00DB6666">
        <w:trPr>
          <w:trHeight w:val="330"/>
          <w:jc w:val="center"/>
        </w:trPr>
        <w:tc>
          <w:tcPr>
            <w:tcW w:w="2268" w:type="dxa"/>
            <w:tcBorders>
              <w:top w:val="nil"/>
              <w:left w:val="nil"/>
              <w:bottom w:val="nil"/>
              <w:right w:val="nil"/>
            </w:tcBorders>
            <w:shd w:val="clear" w:color="auto" w:fill="auto"/>
            <w:hideMark/>
          </w:tcPr>
          <w:p w14:paraId="10AEE7FE" w14:textId="77777777" w:rsidR="00CC0487" w:rsidRPr="00986945" w:rsidRDefault="00CC0487" w:rsidP="00DB6666">
            <w:pPr>
              <w:rPr>
                <w:rFonts w:ascii="Arial Narrow" w:hAnsi="Arial Narrow" w:cs="Arial"/>
                <w:sz w:val="18"/>
                <w:szCs w:val="18"/>
              </w:rPr>
            </w:pPr>
            <w:r w:rsidRPr="00986945">
              <w:rPr>
                <w:rFonts w:ascii="Arial Narrow" w:hAnsi="Arial Narrow" w:cs="Arial"/>
                <w:sz w:val="18"/>
                <w:szCs w:val="18"/>
              </w:rPr>
              <w:t>Allgemeiner Dienst</w:t>
            </w:r>
          </w:p>
        </w:tc>
        <w:tc>
          <w:tcPr>
            <w:tcW w:w="1418" w:type="dxa"/>
            <w:tcBorders>
              <w:top w:val="nil"/>
              <w:left w:val="nil"/>
              <w:bottom w:val="nil"/>
              <w:right w:val="nil"/>
            </w:tcBorders>
            <w:shd w:val="clear" w:color="auto" w:fill="auto"/>
            <w:hideMark/>
          </w:tcPr>
          <w:p w14:paraId="2106A948" w14:textId="77777777" w:rsidR="00CC0487" w:rsidRPr="00986945" w:rsidRDefault="00CC0487" w:rsidP="00DB6666">
            <w:pPr>
              <w:jc w:val="center"/>
              <w:rPr>
                <w:rFonts w:ascii="Arial Narrow" w:hAnsi="Arial Narrow" w:cs="Arial"/>
                <w:sz w:val="18"/>
                <w:szCs w:val="18"/>
              </w:rPr>
            </w:pPr>
            <w:r w:rsidRPr="00986945">
              <w:rPr>
                <w:rFonts w:ascii="Arial Narrow" w:hAnsi="Arial Narrow" w:cs="Arial"/>
                <w:sz w:val="18"/>
                <w:szCs w:val="18"/>
              </w:rPr>
              <w:t>4</w:t>
            </w:r>
          </w:p>
        </w:tc>
        <w:tc>
          <w:tcPr>
            <w:tcW w:w="1417" w:type="dxa"/>
            <w:tcBorders>
              <w:top w:val="nil"/>
              <w:left w:val="nil"/>
              <w:bottom w:val="nil"/>
              <w:right w:val="nil"/>
            </w:tcBorders>
            <w:shd w:val="clear" w:color="auto" w:fill="auto"/>
            <w:hideMark/>
          </w:tcPr>
          <w:p w14:paraId="1798F6DE" w14:textId="77777777" w:rsidR="00CC0487" w:rsidRPr="00986945" w:rsidRDefault="00CC0487" w:rsidP="00DB6666">
            <w:pPr>
              <w:jc w:val="center"/>
              <w:rPr>
                <w:rFonts w:ascii="Arial Narrow" w:hAnsi="Arial Narrow" w:cs="Arial"/>
                <w:sz w:val="18"/>
                <w:szCs w:val="18"/>
              </w:rPr>
            </w:pPr>
            <w:r w:rsidRPr="00986945">
              <w:rPr>
                <w:rFonts w:ascii="Arial Narrow" w:hAnsi="Arial Narrow" w:cs="Arial"/>
                <w:sz w:val="18"/>
                <w:szCs w:val="18"/>
              </w:rPr>
              <w:t>4</w:t>
            </w:r>
          </w:p>
        </w:tc>
        <w:tc>
          <w:tcPr>
            <w:tcW w:w="1418" w:type="dxa"/>
            <w:tcBorders>
              <w:top w:val="nil"/>
              <w:left w:val="nil"/>
              <w:bottom w:val="nil"/>
              <w:right w:val="nil"/>
            </w:tcBorders>
            <w:shd w:val="clear" w:color="auto" w:fill="auto"/>
            <w:hideMark/>
          </w:tcPr>
          <w:p w14:paraId="62434F9B" w14:textId="77777777" w:rsidR="00CC0487" w:rsidRPr="00986945" w:rsidRDefault="00CC0487" w:rsidP="00DB6666">
            <w:pPr>
              <w:jc w:val="center"/>
              <w:rPr>
                <w:rFonts w:ascii="Arial Narrow" w:hAnsi="Arial Narrow" w:cs="Arial"/>
                <w:sz w:val="18"/>
                <w:szCs w:val="18"/>
              </w:rPr>
            </w:pPr>
            <w:r w:rsidRPr="00986945">
              <w:rPr>
                <w:rFonts w:ascii="Arial Narrow" w:hAnsi="Arial Narrow" w:cs="Arial"/>
                <w:sz w:val="18"/>
                <w:szCs w:val="18"/>
              </w:rPr>
              <w:t>0</w:t>
            </w:r>
          </w:p>
        </w:tc>
        <w:tc>
          <w:tcPr>
            <w:tcW w:w="1459" w:type="dxa"/>
            <w:tcBorders>
              <w:top w:val="nil"/>
              <w:left w:val="nil"/>
              <w:bottom w:val="nil"/>
              <w:right w:val="nil"/>
            </w:tcBorders>
            <w:shd w:val="clear" w:color="auto" w:fill="auto"/>
            <w:hideMark/>
          </w:tcPr>
          <w:p w14:paraId="4B51C68C" w14:textId="77777777" w:rsidR="00CC0487" w:rsidRPr="00986945" w:rsidRDefault="00CC0487" w:rsidP="00DB6666">
            <w:pPr>
              <w:jc w:val="center"/>
              <w:rPr>
                <w:rFonts w:ascii="Arial Narrow" w:hAnsi="Arial Narrow" w:cs="Arial"/>
                <w:sz w:val="18"/>
                <w:szCs w:val="18"/>
              </w:rPr>
            </w:pPr>
            <w:r w:rsidRPr="00986945">
              <w:rPr>
                <w:rFonts w:ascii="Arial Narrow" w:hAnsi="Arial Narrow" w:cs="Arial"/>
                <w:sz w:val="18"/>
                <w:szCs w:val="18"/>
              </w:rPr>
              <w:t>4</w:t>
            </w:r>
          </w:p>
        </w:tc>
      </w:tr>
      <w:tr w:rsidR="00CC0487" w:rsidRPr="00986945" w14:paraId="149CD624" w14:textId="77777777" w:rsidTr="00DB6666">
        <w:trPr>
          <w:trHeight w:val="330"/>
          <w:jc w:val="center"/>
        </w:trPr>
        <w:tc>
          <w:tcPr>
            <w:tcW w:w="2268" w:type="dxa"/>
            <w:tcBorders>
              <w:top w:val="single" w:sz="4" w:space="0" w:color="AAB8C4"/>
              <w:left w:val="nil"/>
              <w:bottom w:val="single" w:sz="8" w:space="0" w:color="AAB8C4"/>
              <w:right w:val="nil"/>
            </w:tcBorders>
            <w:shd w:val="clear" w:color="auto" w:fill="auto"/>
            <w:vAlign w:val="center"/>
            <w:hideMark/>
          </w:tcPr>
          <w:p w14:paraId="3A37A896" w14:textId="77777777" w:rsidR="00CC0487" w:rsidRPr="00986945" w:rsidRDefault="00CC0487" w:rsidP="00DB6666">
            <w:pPr>
              <w:rPr>
                <w:rFonts w:ascii="Arial Narrow" w:hAnsi="Arial Narrow" w:cs="Arial"/>
                <w:b/>
                <w:bCs/>
                <w:sz w:val="18"/>
                <w:szCs w:val="18"/>
              </w:rPr>
            </w:pPr>
            <w:r w:rsidRPr="00986945">
              <w:rPr>
                <w:rFonts w:ascii="Arial Narrow" w:hAnsi="Arial Narrow" w:cs="Arial"/>
                <w:b/>
                <w:bCs/>
                <w:sz w:val="18"/>
                <w:szCs w:val="18"/>
              </w:rPr>
              <w:t>Insgesamt</w:t>
            </w:r>
          </w:p>
        </w:tc>
        <w:tc>
          <w:tcPr>
            <w:tcW w:w="1418" w:type="dxa"/>
            <w:tcBorders>
              <w:top w:val="single" w:sz="4" w:space="0" w:color="AAB8C4"/>
              <w:left w:val="nil"/>
              <w:bottom w:val="single" w:sz="8" w:space="0" w:color="AAB8C4"/>
              <w:right w:val="nil"/>
            </w:tcBorders>
            <w:shd w:val="clear" w:color="auto" w:fill="auto"/>
            <w:vAlign w:val="center"/>
            <w:hideMark/>
          </w:tcPr>
          <w:p w14:paraId="044B4DB9" w14:textId="77777777" w:rsidR="00CC0487" w:rsidRPr="00986945" w:rsidRDefault="00CC0487" w:rsidP="00DB6666">
            <w:pPr>
              <w:jc w:val="center"/>
              <w:rPr>
                <w:rFonts w:ascii="Arial Narrow" w:hAnsi="Arial Narrow" w:cs="Arial"/>
                <w:b/>
                <w:bCs/>
                <w:sz w:val="18"/>
                <w:szCs w:val="18"/>
              </w:rPr>
            </w:pPr>
            <w:r w:rsidRPr="00986945">
              <w:rPr>
                <w:rFonts w:ascii="Arial Narrow" w:hAnsi="Arial Narrow" w:cs="Arial"/>
                <w:b/>
                <w:bCs/>
                <w:sz w:val="18"/>
                <w:szCs w:val="18"/>
              </w:rPr>
              <w:t>12</w:t>
            </w:r>
          </w:p>
        </w:tc>
        <w:tc>
          <w:tcPr>
            <w:tcW w:w="1417" w:type="dxa"/>
            <w:tcBorders>
              <w:top w:val="single" w:sz="4" w:space="0" w:color="AAB8C4"/>
              <w:left w:val="nil"/>
              <w:bottom w:val="single" w:sz="8" w:space="0" w:color="AAB8C4"/>
              <w:right w:val="nil"/>
            </w:tcBorders>
            <w:shd w:val="clear" w:color="auto" w:fill="auto"/>
            <w:vAlign w:val="center"/>
            <w:hideMark/>
          </w:tcPr>
          <w:p w14:paraId="57F173C5" w14:textId="77777777" w:rsidR="00CC0487" w:rsidRPr="00986945" w:rsidRDefault="00CC0487" w:rsidP="00DB6666">
            <w:pPr>
              <w:jc w:val="center"/>
              <w:rPr>
                <w:rFonts w:ascii="Arial Narrow" w:hAnsi="Arial Narrow" w:cs="Arial"/>
                <w:b/>
                <w:bCs/>
                <w:sz w:val="18"/>
                <w:szCs w:val="18"/>
              </w:rPr>
            </w:pPr>
            <w:r w:rsidRPr="00986945">
              <w:rPr>
                <w:rFonts w:ascii="Arial Narrow" w:hAnsi="Arial Narrow" w:cs="Arial"/>
                <w:b/>
                <w:bCs/>
                <w:sz w:val="18"/>
                <w:szCs w:val="18"/>
              </w:rPr>
              <w:t>13</w:t>
            </w:r>
          </w:p>
        </w:tc>
        <w:tc>
          <w:tcPr>
            <w:tcW w:w="1418" w:type="dxa"/>
            <w:tcBorders>
              <w:top w:val="single" w:sz="4" w:space="0" w:color="AAB8C4"/>
              <w:left w:val="nil"/>
              <w:bottom w:val="single" w:sz="8" w:space="0" w:color="AAB8C4"/>
              <w:right w:val="nil"/>
            </w:tcBorders>
            <w:shd w:val="clear" w:color="auto" w:fill="auto"/>
            <w:vAlign w:val="center"/>
            <w:hideMark/>
          </w:tcPr>
          <w:p w14:paraId="64F323EE" w14:textId="77777777" w:rsidR="00CC0487" w:rsidRPr="00986945" w:rsidRDefault="00CC0487" w:rsidP="00DB6666">
            <w:pPr>
              <w:jc w:val="center"/>
              <w:rPr>
                <w:rFonts w:ascii="Arial Narrow" w:hAnsi="Arial Narrow" w:cs="Arial"/>
                <w:sz w:val="18"/>
                <w:szCs w:val="18"/>
              </w:rPr>
            </w:pPr>
            <w:r w:rsidRPr="00986945">
              <w:rPr>
                <w:rFonts w:ascii="Arial Narrow" w:hAnsi="Arial Narrow" w:cs="Arial"/>
                <w:b/>
                <w:bCs/>
                <w:sz w:val="18"/>
                <w:szCs w:val="18"/>
              </w:rPr>
              <w:t>2</w:t>
            </w:r>
          </w:p>
        </w:tc>
        <w:tc>
          <w:tcPr>
            <w:tcW w:w="1459" w:type="dxa"/>
            <w:tcBorders>
              <w:top w:val="single" w:sz="4" w:space="0" w:color="AAB8C4"/>
              <w:left w:val="nil"/>
              <w:bottom w:val="single" w:sz="8" w:space="0" w:color="AAB8C4"/>
              <w:right w:val="nil"/>
            </w:tcBorders>
            <w:shd w:val="clear" w:color="auto" w:fill="auto"/>
            <w:vAlign w:val="center"/>
            <w:hideMark/>
          </w:tcPr>
          <w:p w14:paraId="5EB659B8" w14:textId="77777777" w:rsidR="00CC0487" w:rsidRPr="00986945" w:rsidRDefault="00CC0487" w:rsidP="00DB6666">
            <w:pPr>
              <w:jc w:val="center"/>
              <w:rPr>
                <w:rFonts w:ascii="Arial Narrow" w:hAnsi="Arial Narrow" w:cs="Arial"/>
                <w:b/>
                <w:bCs/>
                <w:sz w:val="18"/>
                <w:szCs w:val="18"/>
              </w:rPr>
            </w:pPr>
            <w:r w:rsidRPr="00986945">
              <w:rPr>
                <w:rFonts w:ascii="Arial Narrow" w:hAnsi="Arial Narrow" w:cs="Arial"/>
                <w:b/>
                <w:bCs/>
                <w:sz w:val="18"/>
                <w:szCs w:val="18"/>
              </w:rPr>
              <w:t>15</w:t>
            </w:r>
          </w:p>
        </w:tc>
      </w:tr>
    </w:tbl>
    <w:p w14:paraId="5FCFE4F0" w14:textId="77777777" w:rsidR="00CC0487" w:rsidRPr="003E7026" w:rsidRDefault="00CC0487" w:rsidP="00CC0487">
      <w:pPr>
        <w:rPr>
          <w:spacing w:val="-2"/>
          <w:szCs w:val="24"/>
        </w:rPr>
      </w:pPr>
    </w:p>
    <w:p w14:paraId="458EBE6D" w14:textId="77777777" w:rsidR="00CC0487" w:rsidRPr="003E7026" w:rsidRDefault="00CC0487" w:rsidP="00CC0487">
      <w:pPr>
        <w:ind w:left="851" w:right="850"/>
        <w:rPr>
          <w:spacing w:val="-2"/>
          <w:sz w:val="16"/>
          <w:szCs w:val="24"/>
        </w:rPr>
      </w:pPr>
      <w:r w:rsidRPr="003E7026">
        <w:rPr>
          <w:spacing w:val="-2"/>
          <w:sz w:val="16"/>
          <w:szCs w:val="24"/>
        </w:rPr>
        <w:t>* Der Posten des Generalsekretärs</w:t>
      </w:r>
      <w:r w:rsidRPr="003E7026">
        <w:rPr>
          <w:rStyle w:val="FootnoteReference"/>
          <w:spacing w:val="-2"/>
          <w:sz w:val="16"/>
          <w:szCs w:val="24"/>
        </w:rPr>
        <w:footnoteReference w:id="3"/>
      </w:r>
      <w:r w:rsidRPr="003E7026">
        <w:rPr>
          <w:spacing w:val="-2"/>
          <w:sz w:val="16"/>
          <w:szCs w:val="24"/>
        </w:rPr>
        <w:t xml:space="preserve"> ist in dieser Zahl enthalten, jedoch ohne Kosten, da der derzeitige Generaldirektor der WIPO ein Gehalt oder Zulagen für seine Funktion als Generalsekretär der UPOV abgelehnt hat.</w:t>
      </w:r>
    </w:p>
    <w:p w14:paraId="102C4360" w14:textId="77777777" w:rsidR="00CC0487" w:rsidRPr="003E7026" w:rsidRDefault="00CC0487" w:rsidP="00CC0487">
      <w:pPr>
        <w:jc w:val="left"/>
      </w:pPr>
    </w:p>
    <w:p w14:paraId="0D21834F" w14:textId="77777777" w:rsidR="00CC0487" w:rsidRPr="003E7026" w:rsidRDefault="00CC0487" w:rsidP="00CC0487">
      <w:r w:rsidRPr="003E7026">
        <w:rPr>
          <w:spacing w:val="-2"/>
        </w:rPr>
        <w:t xml:space="preserve">Die nachstehende Tabelle gibt einen Überblick über die Personalressourcen, die keine Mitarbeiter sind, die Posten innehaben, d.h. Bedienstete auf Zeit, Fremdpersonal, </w:t>
      </w:r>
      <w:r w:rsidRPr="004766F6">
        <w:rPr>
          <w:i/>
          <w:spacing w:val="-2"/>
        </w:rPr>
        <w:t>Junior Professional Officers</w:t>
      </w:r>
      <w:r w:rsidRPr="003E7026">
        <w:rPr>
          <w:spacing w:val="-2"/>
        </w:rPr>
        <w:t xml:space="preserve">, Praktikanten und Stipendiaten, die in der Rechnungsperiode </w:t>
      </w:r>
      <w:r w:rsidRPr="003E7026">
        <w:rPr>
          <w:rFonts w:cs="Arial"/>
        </w:rPr>
        <w:t>2024-2025 genutzt werden können, vorbehaltlich der Verfügbarkeit von Ressourcen aus dem ordentlichen Haushalt, außeretatmäßigen Mitteln und der Bereitstellung von Personalressourcen durch Verbandsmitglieder</w:t>
      </w:r>
      <w:r w:rsidRPr="003E7026">
        <w:t>.</w:t>
      </w:r>
    </w:p>
    <w:p w14:paraId="59B72179" w14:textId="77777777" w:rsidR="00CC0487" w:rsidRPr="003E7026" w:rsidRDefault="00CC0487" w:rsidP="00CC0487"/>
    <w:p w14:paraId="618C0C80" w14:textId="77777777" w:rsidR="00CC0487" w:rsidRPr="003E7026" w:rsidRDefault="00CC0487" w:rsidP="00CC0487"/>
    <w:tbl>
      <w:tblPr>
        <w:tblW w:w="6580" w:type="dxa"/>
        <w:jc w:val="center"/>
        <w:tblLook w:val="04A0" w:firstRow="1" w:lastRow="0" w:firstColumn="1" w:lastColumn="0" w:noHBand="0" w:noVBand="1"/>
      </w:tblPr>
      <w:tblGrid>
        <w:gridCol w:w="2260"/>
        <w:gridCol w:w="1480"/>
        <w:gridCol w:w="1440"/>
        <w:gridCol w:w="1400"/>
      </w:tblGrid>
      <w:tr w:rsidR="00CC0487" w:rsidRPr="00986945" w14:paraId="30F17CCA" w14:textId="77777777" w:rsidTr="00DB6666">
        <w:trPr>
          <w:trHeight w:val="520"/>
          <w:jc w:val="center"/>
        </w:trPr>
        <w:tc>
          <w:tcPr>
            <w:tcW w:w="2260" w:type="dxa"/>
            <w:vMerge w:val="restart"/>
            <w:tcBorders>
              <w:top w:val="nil"/>
              <w:left w:val="nil"/>
              <w:bottom w:val="nil"/>
              <w:right w:val="nil"/>
            </w:tcBorders>
            <w:shd w:val="clear" w:color="000000" w:fill="C7CFD8"/>
            <w:vAlign w:val="bottom"/>
            <w:hideMark/>
          </w:tcPr>
          <w:p w14:paraId="54C879C4" w14:textId="77777777" w:rsidR="00CC0487" w:rsidRPr="00986945" w:rsidRDefault="00CC0487" w:rsidP="00DB6666">
            <w:pPr>
              <w:jc w:val="left"/>
              <w:rPr>
                <w:rFonts w:ascii="Arial Narrow" w:hAnsi="Arial Narrow" w:cs="Arial"/>
                <w:sz w:val="18"/>
              </w:rPr>
            </w:pPr>
            <w:r w:rsidRPr="00986945">
              <w:rPr>
                <w:rFonts w:ascii="Arial Narrow" w:hAnsi="Arial Narrow" w:cs="Arial"/>
                <w:sz w:val="18"/>
              </w:rPr>
              <w:t> </w:t>
            </w:r>
          </w:p>
        </w:tc>
        <w:tc>
          <w:tcPr>
            <w:tcW w:w="1480" w:type="dxa"/>
            <w:tcBorders>
              <w:top w:val="nil"/>
              <w:left w:val="nil"/>
              <w:right w:val="nil"/>
            </w:tcBorders>
            <w:shd w:val="clear" w:color="000000" w:fill="C7CFD8"/>
            <w:vAlign w:val="center"/>
            <w:hideMark/>
          </w:tcPr>
          <w:p w14:paraId="29F44A4B" w14:textId="77777777" w:rsidR="00CC0487" w:rsidRPr="00986945" w:rsidRDefault="00CC0487" w:rsidP="00DB6666">
            <w:pPr>
              <w:jc w:val="center"/>
              <w:rPr>
                <w:rFonts w:ascii="Arial Narrow" w:hAnsi="Arial Narrow" w:cs="Arial"/>
                <w:b/>
                <w:bCs/>
                <w:i/>
                <w:iCs/>
                <w:sz w:val="18"/>
              </w:rPr>
            </w:pPr>
            <w:r w:rsidRPr="00986945">
              <w:rPr>
                <w:rFonts w:ascii="Arial Narrow" w:hAnsi="Arial Narrow" w:cs="Arial"/>
                <w:b/>
                <w:bCs/>
                <w:i/>
                <w:iCs/>
                <w:sz w:val="18"/>
              </w:rPr>
              <w:t xml:space="preserve">2020-2021 </w:t>
            </w:r>
          </w:p>
          <w:p w14:paraId="1BD2DCEA" w14:textId="77777777" w:rsidR="00CC0487" w:rsidRPr="00986945" w:rsidRDefault="00CC0487" w:rsidP="00DB6666">
            <w:pPr>
              <w:jc w:val="center"/>
              <w:rPr>
                <w:rFonts w:ascii="Arial Narrow" w:hAnsi="Arial Narrow" w:cs="Arial"/>
                <w:b/>
                <w:bCs/>
                <w:i/>
                <w:iCs/>
                <w:sz w:val="18"/>
              </w:rPr>
            </w:pPr>
            <w:r w:rsidRPr="00986945">
              <w:rPr>
                <w:rFonts w:ascii="Arial Narrow" w:hAnsi="Arial Narrow" w:cs="Arial"/>
                <w:b/>
                <w:bCs/>
                <w:i/>
                <w:iCs/>
                <w:sz w:val="18"/>
              </w:rPr>
              <w:t>Ist</w:t>
            </w:r>
          </w:p>
        </w:tc>
        <w:tc>
          <w:tcPr>
            <w:tcW w:w="1440" w:type="dxa"/>
            <w:tcBorders>
              <w:top w:val="nil"/>
              <w:left w:val="nil"/>
              <w:right w:val="nil"/>
            </w:tcBorders>
            <w:shd w:val="clear" w:color="000000" w:fill="C7CFD8"/>
            <w:vAlign w:val="center"/>
            <w:hideMark/>
          </w:tcPr>
          <w:p w14:paraId="0371C34B" w14:textId="77777777" w:rsidR="00CC0487" w:rsidRPr="00986945" w:rsidRDefault="00CC0487" w:rsidP="00DB6666">
            <w:pPr>
              <w:jc w:val="center"/>
              <w:rPr>
                <w:rFonts w:ascii="Arial Narrow" w:hAnsi="Arial Narrow" w:cs="Arial"/>
                <w:b/>
                <w:bCs/>
                <w:i/>
                <w:iCs/>
                <w:sz w:val="18"/>
              </w:rPr>
            </w:pPr>
            <w:r w:rsidRPr="00986945">
              <w:rPr>
                <w:rFonts w:ascii="Arial Narrow" w:hAnsi="Arial Narrow" w:cs="Arial"/>
                <w:b/>
                <w:bCs/>
                <w:i/>
                <w:iCs/>
                <w:sz w:val="18"/>
              </w:rPr>
              <w:t>2022-2023 Haushaltsplan</w:t>
            </w:r>
          </w:p>
        </w:tc>
        <w:tc>
          <w:tcPr>
            <w:tcW w:w="1400" w:type="dxa"/>
            <w:tcBorders>
              <w:top w:val="nil"/>
              <w:left w:val="nil"/>
              <w:right w:val="nil"/>
            </w:tcBorders>
            <w:shd w:val="clear" w:color="000000" w:fill="C7CFD8"/>
            <w:vAlign w:val="center"/>
            <w:hideMark/>
          </w:tcPr>
          <w:p w14:paraId="3E5DD642" w14:textId="77777777" w:rsidR="00CC0487" w:rsidRPr="00986945" w:rsidRDefault="00CC0487" w:rsidP="00DB6666">
            <w:pPr>
              <w:jc w:val="center"/>
              <w:rPr>
                <w:rFonts w:ascii="Arial Narrow" w:hAnsi="Arial Narrow" w:cs="Arial"/>
                <w:b/>
                <w:bCs/>
                <w:i/>
                <w:iCs/>
                <w:sz w:val="18"/>
              </w:rPr>
            </w:pPr>
            <w:r w:rsidRPr="00986945">
              <w:rPr>
                <w:rFonts w:ascii="Arial Narrow" w:hAnsi="Arial Narrow" w:cs="Arial"/>
                <w:b/>
                <w:bCs/>
                <w:i/>
                <w:iCs/>
                <w:sz w:val="18"/>
              </w:rPr>
              <w:t xml:space="preserve">2024-2025 </w:t>
            </w:r>
            <w:r w:rsidRPr="00986945">
              <w:rPr>
                <w:rFonts w:ascii="Arial Narrow" w:hAnsi="Arial Narrow" w:cs="Arial"/>
                <w:b/>
                <w:bCs/>
                <w:i/>
                <w:iCs/>
                <w:sz w:val="18"/>
              </w:rPr>
              <w:br/>
              <w:t>Veranschlagt</w:t>
            </w:r>
          </w:p>
        </w:tc>
      </w:tr>
      <w:tr w:rsidR="00CC0487" w:rsidRPr="00986945" w14:paraId="6A187746" w14:textId="77777777" w:rsidTr="00DB6666">
        <w:trPr>
          <w:trHeight w:val="260"/>
          <w:jc w:val="center"/>
        </w:trPr>
        <w:tc>
          <w:tcPr>
            <w:tcW w:w="2260" w:type="dxa"/>
            <w:vMerge/>
            <w:tcBorders>
              <w:top w:val="nil"/>
              <w:left w:val="nil"/>
              <w:bottom w:val="nil"/>
              <w:right w:val="nil"/>
            </w:tcBorders>
            <w:vAlign w:val="center"/>
            <w:hideMark/>
          </w:tcPr>
          <w:p w14:paraId="3B4D30EB" w14:textId="77777777" w:rsidR="00CC0487" w:rsidRPr="00986945" w:rsidRDefault="00CC0487" w:rsidP="00DB6666">
            <w:pPr>
              <w:jc w:val="left"/>
              <w:rPr>
                <w:rFonts w:ascii="Arial Narrow" w:hAnsi="Arial Narrow" w:cs="Arial"/>
                <w:sz w:val="18"/>
              </w:rPr>
            </w:pPr>
          </w:p>
        </w:tc>
        <w:tc>
          <w:tcPr>
            <w:tcW w:w="1480" w:type="dxa"/>
            <w:tcBorders>
              <w:top w:val="nil"/>
              <w:left w:val="nil"/>
              <w:right w:val="nil"/>
            </w:tcBorders>
            <w:shd w:val="clear" w:color="000000" w:fill="C7CFD8"/>
            <w:vAlign w:val="center"/>
            <w:hideMark/>
          </w:tcPr>
          <w:p w14:paraId="1B5A718D" w14:textId="77777777" w:rsidR="00CC0487" w:rsidRPr="00986945" w:rsidRDefault="00CC0487" w:rsidP="00DB6666">
            <w:pPr>
              <w:jc w:val="center"/>
              <w:rPr>
                <w:rFonts w:ascii="Arial Narrow" w:hAnsi="Arial Narrow" w:cs="Arial"/>
                <w:b/>
                <w:bCs/>
                <w:i/>
                <w:iCs/>
                <w:sz w:val="18"/>
              </w:rPr>
            </w:pPr>
            <w:r w:rsidRPr="00986945">
              <w:rPr>
                <w:rFonts w:ascii="Arial Narrow" w:hAnsi="Arial Narrow" w:cs="Arial"/>
                <w:b/>
                <w:bCs/>
                <w:i/>
                <w:iCs/>
                <w:sz w:val="18"/>
              </w:rPr>
              <w:t>A</w:t>
            </w:r>
          </w:p>
        </w:tc>
        <w:tc>
          <w:tcPr>
            <w:tcW w:w="1440" w:type="dxa"/>
            <w:tcBorders>
              <w:top w:val="nil"/>
              <w:left w:val="nil"/>
              <w:right w:val="nil"/>
            </w:tcBorders>
            <w:shd w:val="clear" w:color="000000" w:fill="C7CFD8"/>
            <w:vAlign w:val="center"/>
            <w:hideMark/>
          </w:tcPr>
          <w:p w14:paraId="77C30151" w14:textId="77777777" w:rsidR="00CC0487" w:rsidRPr="00986945" w:rsidRDefault="00CC0487" w:rsidP="00DB6666">
            <w:pPr>
              <w:jc w:val="center"/>
              <w:rPr>
                <w:rFonts w:ascii="Arial Narrow" w:hAnsi="Arial Narrow" w:cs="Arial"/>
                <w:b/>
                <w:bCs/>
                <w:i/>
                <w:iCs/>
                <w:sz w:val="18"/>
              </w:rPr>
            </w:pPr>
            <w:r w:rsidRPr="00986945">
              <w:rPr>
                <w:rFonts w:ascii="Arial Narrow" w:hAnsi="Arial Narrow" w:cs="Arial"/>
                <w:b/>
                <w:bCs/>
                <w:i/>
                <w:iCs/>
                <w:sz w:val="18"/>
              </w:rPr>
              <w:t>B</w:t>
            </w:r>
          </w:p>
        </w:tc>
        <w:tc>
          <w:tcPr>
            <w:tcW w:w="1400" w:type="dxa"/>
            <w:tcBorders>
              <w:top w:val="nil"/>
              <w:left w:val="nil"/>
              <w:right w:val="nil"/>
            </w:tcBorders>
            <w:shd w:val="clear" w:color="000000" w:fill="C7CFD8"/>
            <w:vAlign w:val="center"/>
            <w:hideMark/>
          </w:tcPr>
          <w:p w14:paraId="0F166B21" w14:textId="77777777" w:rsidR="00CC0487" w:rsidRPr="00986945" w:rsidRDefault="00CC0487" w:rsidP="00DB6666">
            <w:pPr>
              <w:jc w:val="center"/>
              <w:rPr>
                <w:rFonts w:ascii="Arial Narrow" w:hAnsi="Arial Narrow" w:cs="Arial"/>
                <w:b/>
                <w:bCs/>
                <w:i/>
                <w:iCs/>
                <w:sz w:val="18"/>
              </w:rPr>
            </w:pPr>
            <w:r w:rsidRPr="00986945">
              <w:rPr>
                <w:rFonts w:ascii="Arial Narrow" w:hAnsi="Arial Narrow" w:cs="Arial"/>
                <w:b/>
                <w:bCs/>
                <w:i/>
                <w:iCs/>
                <w:sz w:val="18"/>
              </w:rPr>
              <w:t>C</w:t>
            </w:r>
          </w:p>
        </w:tc>
      </w:tr>
      <w:tr w:rsidR="00CC0487" w:rsidRPr="00986945" w14:paraId="10E9FBA4" w14:textId="77777777" w:rsidTr="00DB6666">
        <w:trPr>
          <w:trHeight w:val="260"/>
          <w:jc w:val="center"/>
        </w:trPr>
        <w:tc>
          <w:tcPr>
            <w:tcW w:w="2260" w:type="dxa"/>
            <w:tcBorders>
              <w:top w:val="nil"/>
              <w:left w:val="nil"/>
              <w:bottom w:val="nil"/>
              <w:right w:val="nil"/>
            </w:tcBorders>
            <w:shd w:val="clear" w:color="auto" w:fill="auto"/>
            <w:vAlign w:val="center"/>
            <w:hideMark/>
          </w:tcPr>
          <w:p w14:paraId="47A4B1AA" w14:textId="77777777" w:rsidR="00CC0487" w:rsidRPr="00986945" w:rsidRDefault="00CC0487" w:rsidP="00DB6666">
            <w:pPr>
              <w:jc w:val="left"/>
              <w:rPr>
                <w:rFonts w:ascii="Arial Narrow" w:hAnsi="Arial Narrow" w:cs="Arial"/>
                <w:sz w:val="18"/>
              </w:rPr>
            </w:pPr>
            <w:r w:rsidRPr="00986945">
              <w:rPr>
                <w:rFonts w:ascii="Arial Narrow" w:hAnsi="Arial Narrow" w:cs="Arial"/>
                <w:sz w:val="18"/>
              </w:rPr>
              <w:t>Bedienstete auf Zeit</w:t>
            </w:r>
          </w:p>
        </w:tc>
        <w:tc>
          <w:tcPr>
            <w:tcW w:w="1480" w:type="dxa"/>
            <w:tcBorders>
              <w:left w:val="nil"/>
              <w:bottom w:val="nil"/>
              <w:right w:val="nil"/>
            </w:tcBorders>
            <w:shd w:val="clear" w:color="auto" w:fill="auto"/>
            <w:vAlign w:val="center"/>
            <w:hideMark/>
          </w:tcPr>
          <w:p w14:paraId="14409C8E" w14:textId="77777777" w:rsidR="00CC0487" w:rsidRPr="00986945" w:rsidRDefault="00CC0487" w:rsidP="00DB6666">
            <w:pPr>
              <w:jc w:val="center"/>
              <w:rPr>
                <w:rFonts w:ascii="Arial Narrow" w:hAnsi="Arial Narrow" w:cs="Arial"/>
                <w:sz w:val="18"/>
              </w:rPr>
            </w:pPr>
            <w:r w:rsidRPr="00986945">
              <w:rPr>
                <w:rFonts w:ascii="Arial Narrow" w:hAnsi="Arial Narrow" w:cs="Arial"/>
                <w:sz w:val="18"/>
              </w:rPr>
              <w:t>1</w:t>
            </w:r>
          </w:p>
        </w:tc>
        <w:tc>
          <w:tcPr>
            <w:tcW w:w="1440" w:type="dxa"/>
            <w:tcBorders>
              <w:left w:val="nil"/>
              <w:bottom w:val="nil"/>
              <w:right w:val="nil"/>
            </w:tcBorders>
            <w:shd w:val="clear" w:color="auto" w:fill="auto"/>
            <w:vAlign w:val="center"/>
            <w:hideMark/>
          </w:tcPr>
          <w:p w14:paraId="0DC2A63E" w14:textId="77777777" w:rsidR="00CC0487" w:rsidRPr="00986945" w:rsidRDefault="00CC0487" w:rsidP="00DB6666">
            <w:pPr>
              <w:jc w:val="center"/>
              <w:rPr>
                <w:rFonts w:ascii="Arial Narrow" w:hAnsi="Arial Narrow" w:cs="Arial"/>
                <w:sz w:val="18"/>
              </w:rPr>
            </w:pPr>
            <w:r w:rsidRPr="00986945">
              <w:rPr>
                <w:rFonts w:ascii="Arial Narrow" w:hAnsi="Arial Narrow" w:cs="Arial"/>
                <w:sz w:val="18"/>
              </w:rPr>
              <w:t>2</w:t>
            </w:r>
          </w:p>
        </w:tc>
        <w:tc>
          <w:tcPr>
            <w:tcW w:w="1400" w:type="dxa"/>
            <w:tcBorders>
              <w:left w:val="nil"/>
              <w:bottom w:val="nil"/>
              <w:right w:val="nil"/>
            </w:tcBorders>
            <w:shd w:val="clear" w:color="auto" w:fill="auto"/>
            <w:vAlign w:val="center"/>
            <w:hideMark/>
          </w:tcPr>
          <w:p w14:paraId="7F7043E7" w14:textId="77777777" w:rsidR="00CC0487" w:rsidRPr="00986945" w:rsidRDefault="00CC0487" w:rsidP="00DB6666">
            <w:pPr>
              <w:jc w:val="center"/>
              <w:rPr>
                <w:rFonts w:ascii="Arial Narrow" w:hAnsi="Arial Narrow" w:cs="Arial"/>
                <w:sz w:val="18"/>
              </w:rPr>
            </w:pPr>
            <w:r w:rsidRPr="00986945">
              <w:rPr>
                <w:rFonts w:ascii="Arial Narrow" w:hAnsi="Arial Narrow" w:cs="Arial"/>
                <w:sz w:val="18"/>
              </w:rPr>
              <w:t>1</w:t>
            </w:r>
          </w:p>
        </w:tc>
      </w:tr>
      <w:tr w:rsidR="00CC0487" w:rsidRPr="00986945" w14:paraId="5497E615" w14:textId="77777777" w:rsidTr="00DB6666">
        <w:trPr>
          <w:trHeight w:val="260"/>
          <w:jc w:val="center"/>
        </w:trPr>
        <w:tc>
          <w:tcPr>
            <w:tcW w:w="2260" w:type="dxa"/>
            <w:tcBorders>
              <w:top w:val="nil"/>
              <w:left w:val="nil"/>
              <w:bottom w:val="nil"/>
              <w:right w:val="nil"/>
            </w:tcBorders>
            <w:shd w:val="clear" w:color="auto" w:fill="auto"/>
            <w:vAlign w:val="center"/>
            <w:hideMark/>
          </w:tcPr>
          <w:p w14:paraId="7B678CD4" w14:textId="77777777" w:rsidR="00CC0487" w:rsidRPr="00986945" w:rsidRDefault="00CC0487" w:rsidP="00DB6666">
            <w:pPr>
              <w:jc w:val="left"/>
              <w:rPr>
                <w:rFonts w:ascii="Arial Narrow" w:hAnsi="Arial Narrow" w:cs="Arial"/>
                <w:sz w:val="18"/>
              </w:rPr>
            </w:pPr>
            <w:r w:rsidRPr="00986945">
              <w:rPr>
                <w:rFonts w:ascii="Arial Narrow" w:hAnsi="Arial Narrow" w:cs="Arial"/>
                <w:sz w:val="18"/>
              </w:rPr>
              <w:t>Fremdpersonal**</w:t>
            </w:r>
          </w:p>
        </w:tc>
        <w:tc>
          <w:tcPr>
            <w:tcW w:w="1480" w:type="dxa"/>
            <w:tcBorders>
              <w:top w:val="nil"/>
              <w:left w:val="nil"/>
              <w:bottom w:val="nil"/>
              <w:right w:val="nil"/>
            </w:tcBorders>
            <w:shd w:val="clear" w:color="auto" w:fill="auto"/>
            <w:vAlign w:val="center"/>
            <w:hideMark/>
          </w:tcPr>
          <w:p w14:paraId="4E92A171" w14:textId="77777777" w:rsidR="00CC0487" w:rsidRPr="00986945" w:rsidRDefault="00CC0487" w:rsidP="00DB6666">
            <w:pPr>
              <w:jc w:val="center"/>
              <w:rPr>
                <w:rFonts w:ascii="Arial Narrow" w:hAnsi="Arial Narrow" w:cs="Arial"/>
                <w:sz w:val="18"/>
              </w:rPr>
            </w:pPr>
            <w:r w:rsidRPr="00986945">
              <w:rPr>
                <w:rFonts w:ascii="Arial Narrow" w:hAnsi="Arial Narrow" w:cs="Arial"/>
                <w:sz w:val="18"/>
              </w:rPr>
              <w:t>3</w:t>
            </w:r>
          </w:p>
        </w:tc>
        <w:tc>
          <w:tcPr>
            <w:tcW w:w="1440" w:type="dxa"/>
            <w:tcBorders>
              <w:top w:val="nil"/>
              <w:left w:val="nil"/>
              <w:bottom w:val="nil"/>
              <w:right w:val="nil"/>
            </w:tcBorders>
            <w:shd w:val="clear" w:color="auto" w:fill="auto"/>
            <w:vAlign w:val="center"/>
            <w:hideMark/>
          </w:tcPr>
          <w:p w14:paraId="6A4852C6" w14:textId="77777777" w:rsidR="00CC0487" w:rsidRPr="00986945" w:rsidRDefault="00CC0487" w:rsidP="00DB6666">
            <w:pPr>
              <w:jc w:val="center"/>
              <w:rPr>
                <w:rFonts w:ascii="Arial Narrow" w:hAnsi="Arial Narrow" w:cs="Arial"/>
                <w:sz w:val="18"/>
              </w:rPr>
            </w:pPr>
            <w:r w:rsidRPr="00986945">
              <w:rPr>
                <w:rFonts w:ascii="Arial Narrow" w:hAnsi="Arial Narrow" w:cs="Arial"/>
                <w:sz w:val="18"/>
              </w:rPr>
              <w:t>1</w:t>
            </w:r>
          </w:p>
        </w:tc>
        <w:tc>
          <w:tcPr>
            <w:tcW w:w="1400" w:type="dxa"/>
            <w:tcBorders>
              <w:top w:val="nil"/>
              <w:left w:val="nil"/>
              <w:bottom w:val="nil"/>
              <w:right w:val="nil"/>
            </w:tcBorders>
            <w:shd w:val="clear" w:color="auto" w:fill="auto"/>
            <w:vAlign w:val="center"/>
            <w:hideMark/>
          </w:tcPr>
          <w:p w14:paraId="739C7741" w14:textId="77777777" w:rsidR="00CC0487" w:rsidRPr="00986945" w:rsidRDefault="00CC0487" w:rsidP="00DB6666">
            <w:pPr>
              <w:jc w:val="center"/>
              <w:rPr>
                <w:rFonts w:ascii="Arial Narrow" w:hAnsi="Arial Narrow" w:cs="Arial"/>
                <w:sz w:val="18"/>
              </w:rPr>
            </w:pPr>
            <w:r w:rsidRPr="00986945">
              <w:rPr>
                <w:rFonts w:ascii="Arial Narrow" w:hAnsi="Arial Narrow" w:cs="Arial"/>
                <w:sz w:val="18"/>
              </w:rPr>
              <w:t>2 (2024)</w:t>
            </w:r>
          </w:p>
        </w:tc>
      </w:tr>
      <w:tr w:rsidR="00CC0487" w:rsidRPr="00986945" w14:paraId="4A9B2B1F" w14:textId="77777777" w:rsidTr="00DB6666">
        <w:trPr>
          <w:trHeight w:val="260"/>
          <w:jc w:val="center"/>
        </w:trPr>
        <w:tc>
          <w:tcPr>
            <w:tcW w:w="2260" w:type="dxa"/>
            <w:tcBorders>
              <w:top w:val="nil"/>
              <w:left w:val="nil"/>
              <w:bottom w:val="nil"/>
              <w:right w:val="nil"/>
            </w:tcBorders>
            <w:shd w:val="clear" w:color="auto" w:fill="auto"/>
            <w:vAlign w:val="center"/>
            <w:hideMark/>
          </w:tcPr>
          <w:p w14:paraId="62629C01" w14:textId="77777777" w:rsidR="00CC0487" w:rsidRPr="00986945" w:rsidRDefault="00CC0487" w:rsidP="00DB6666">
            <w:pPr>
              <w:jc w:val="left"/>
              <w:rPr>
                <w:rFonts w:ascii="Arial Narrow" w:hAnsi="Arial Narrow" w:cs="Arial"/>
                <w:sz w:val="18"/>
              </w:rPr>
            </w:pPr>
            <w:r w:rsidRPr="00986945">
              <w:rPr>
                <w:rFonts w:ascii="Arial Narrow" w:hAnsi="Arial Narrow" w:cs="Arial"/>
                <w:sz w:val="18"/>
              </w:rPr>
              <w:t>Stipendiaten</w:t>
            </w:r>
          </w:p>
        </w:tc>
        <w:tc>
          <w:tcPr>
            <w:tcW w:w="1480" w:type="dxa"/>
            <w:tcBorders>
              <w:top w:val="nil"/>
              <w:left w:val="nil"/>
              <w:bottom w:val="nil"/>
              <w:right w:val="nil"/>
            </w:tcBorders>
            <w:shd w:val="clear" w:color="auto" w:fill="auto"/>
            <w:vAlign w:val="center"/>
            <w:hideMark/>
          </w:tcPr>
          <w:p w14:paraId="7C07AD2C" w14:textId="77777777" w:rsidR="00CC0487" w:rsidRPr="00986945" w:rsidRDefault="00CC0487" w:rsidP="00DB6666">
            <w:pPr>
              <w:jc w:val="center"/>
              <w:rPr>
                <w:rFonts w:ascii="Arial Narrow" w:hAnsi="Arial Narrow" w:cs="Arial"/>
                <w:sz w:val="18"/>
              </w:rPr>
            </w:pPr>
            <w:r w:rsidRPr="00986945">
              <w:rPr>
                <w:rFonts w:ascii="Arial Narrow" w:hAnsi="Arial Narrow" w:cs="Arial"/>
                <w:sz w:val="18"/>
              </w:rPr>
              <w:t>1</w:t>
            </w:r>
          </w:p>
        </w:tc>
        <w:tc>
          <w:tcPr>
            <w:tcW w:w="1440" w:type="dxa"/>
            <w:tcBorders>
              <w:top w:val="nil"/>
              <w:left w:val="nil"/>
              <w:bottom w:val="nil"/>
              <w:right w:val="nil"/>
            </w:tcBorders>
            <w:shd w:val="clear" w:color="auto" w:fill="auto"/>
            <w:vAlign w:val="center"/>
            <w:hideMark/>
          </w:tcPr>
          <w:p w14:paraId="4D8B76E1" w14:textId="77777777" w:rsidR="00CC0487" w:rsidRPr="00986945" w:rsidRDefault="00CC0487" w:rsidP="00DB6666">
            <w:pPr>
              <w:jc w:val="center"/>
              <w:rPr>
                <w:rFonts w:ascii="Arial Narrow" w:hAnsi="Arial Narrow" w:cs="Arial"/>
                <w:sz w:val="18"/>
              </w:rPr>
            </w:pPr>
            <w:r w:rsidRPr="00986945">
              <w:rPr>
                <w:rFonts w:ascii="Arial Narrow" w:hAnsi="Arial Narrow" w:cs="Arial"/>
                <w:sz w:val="18"/>
              </w:rPr>
              <w:t>2</w:t>
            </w:r>
          </w:p>
        </w:tc>
        <w:tc>
          <w:tcPr>
            <w:tcW w:w="1400" w:type="dxa"/>
            <w:tcBorders>
              <w:top w:val="nil"/>
              <w:left w:val="nil"/>
              <w:bottom w:val="nil"/>
              <w:right w:val="nil"/>
            </w:tcBorders>
            <w:shd w:val="clear" w:color="auto" w:fill="auto"/>
            <w:vAlign w:val="center"/>
            <w:hideMark/>
          </w:tcPr>
          <w:p w14:paraId="7A5C865A" w14:textId="77777777" w:rsidR="00CC0487" w:rsidRPr="00986945" w:rsidRDefault="00CC0487" w:rsidP="00DB6666">
            <w:pPr>
              <w:jc w:val="center"/>
              <w:rPr>
                <w:rFonts w:ascii="Arial Narrow" w:hAnsi="Arial Narrow" w:cs="Arial"/>
                <w:sz w:val="18"/>
              </w:rPr>
            </w:pPr>
            <w:r w:rsidRPr="00986945">
              <w:rPr>
                <w:rFonts w:ascii="Arial Narrow" w:hAnsi="Arial Narrow" w:cs="Arial"/>
                <w:sz w:val="18"/>
              </w:rPr>
              <w:t>1</w:t>
            </w:r>
          </w:p>
        </w:tc>
      </w:tr>
      <w:tr w:rsidR="00CC0487" w:rsidRPr="00986945" w14:paraId="574C0B64" w14:textId="77777777" w:rsidTr="00DB6666">
        <w:trPr>
          <w:trHeight w:val="260"/>
          <w:jc w:val="center"/>
        </w:trPr>
        <w:tc>
          <w:tcPr>
            <w:tcW w:w="2260" w:type="dxa"/>
            <w:tcBorders>
              <w:top w:val="nil"/>
              <w:left w:val="nil"/>
              <w:bottom w:val="nil"/>
              <w:right w:val="nil"/>
            </w:tcBorders>
            <w:shd w:val="clear" w:color="auto" w:fill="auto"/>
            <w:vAlign w:val="center"/>
            <w:hideMark/>
          </w:tcPr>
          <w:p w14:paraId="3DD22AFD" w14:textId="77777777" w:rsidR="00CC0487" w:rsidRPr="00986945" w:rsidRDefault="00CC0487" w:rsidP="00DB6666">
            <w:pPr>
              <w:jc w:val="left"/>
              <w:rPr>
                <w:rFonts w:ascii="Arial Narrow" w:hAnsi="Arial Narrow" w:cs="Arial"/>
                <w:i/>
                <w:sz w:val="18"/>
              </w:rPr>
            </w:pPr>
            <w:r w:rsidRPr="00986945">
              <w:rPr>
                <w:rFonts w:ascii="Arial Narrow" w:hAnsi="Arial Narrow" w:cs="Arial"/>
                <w:i/>
                <w:sz w:val="18"/>
              </w:rPr>
              <w:t>Junior Professional Officers</w:t>
            </w:r>
          </w:p>
        </w:tc>
        <w:tc>
          <w:tcPr>
            <w:tcW w:w="1480" w:type="dxa"/>
            <w:tcBorders>
              <w:top w:val="nil"/>
              <w:left w:val="nil"/>
              <w:bottom w:val="nil"/>
              <w:right w:val="nil"/>
            </w:tcBorders>
            <w:shd w:val="clear" w:color="auto" w:fill="auto"/>
            <w:vAlign w:val="center"/>
            <w:hideMark/>
          </w:tcPr>
          <w:p w14:paraId="42C806E0" w14:textId="77777777" w:rsidR="00CC0487" w:rsidRPr="00986945" w:rsidRDefault="00CC0487" w:rsidP="00DB6666">
            <w:pPr>
              <w:jc w:val="center"/>
              <w:rPr>
                <w:rFonts w:ascii="Arial Narrow" w:hAnsi="Arial Narrow" w:cs="Arial"/>
                <w:sz w:val="18"/>
              </w:rPr>
            </w:pPr>
            <w:r w:rsidRPr="00986945">
              <w:rPr>
                <w:rFonts w:ascii="Arial Narrow" w:hAnsi="Arial Narrow" w:cs="Arial"/>
                <w:sz w:val="18"/>
              </w:rPr>
              <w:t>0</w:t>
            </w:r>
          </w:p>
        </w:tc>
        <w:tc>
          <w:tcPr>
            <w:tcW w:w="1440" w:type="dxa"/>
            <w:tcBorders>
              <w:top w:val="nil"/>
              <w:left w:val="nil"/>
              <w:bottom w:val="nil"/>
              <w:right w:val="nil"/>
            </w:tcBorders>
            <w:shd w:val="clear" w:color="auto" w:fill="auto"/>
            <w:vAlign w:val="center"/>
            <w:hideMark/>
          </w:tcPr>
          <w:p w14:paraId="0EBC867C" w14:textId="77777777" w:rsidR="00CC0487" w:rsidRPr="00986945" w:rsidRDefault="00CC0487" w:rsidP="00DB6666">
            <w:pPr>
              <w:jc w:val="center"/>
              <w:rPr>
                <w:rFonts w:ascii="Arial Narrow" w:hAnsi="Arial Narrow" w:cs="Arial"/>
                <w:sz w:val="18"/>
              </w:rPr>
            </w:pPr>
            <w:r w:rsidRPr="00986945">
              <w:rPr>
                <w:rFonts w:ascii="Arial Narrow" w:hAnsi="Arial Narrow" w:cs="Arial"/>
                <w:sz w:val="18"/>
              </w:rPr>
              <w:t>1</w:t>
            </w:r>
          </w:p>
        </w:tc>
        <w:tc>
          <w:tcPr>
            <w:tcW w:w="1400" w:type="dxa"/>
            <w:tcBorders>
              <w:top w:val="nil"/>
              <w:left w:val="nil"/>
              <w:bottom w:val="nil"/>
              <w:right w:val="nil"/>
            </w:tcBorders>
            <w:shd w:val="clear" w:color="auto" w:fill="auto"/>
            <w:vAlign w:val="center"/>
            <w:hideMark/>
          </w:tcPr>
          <w:p w14:paraId="718004FB" w14:textId="77777777" w:rsidR="00CC0487" w:rsidRPr="00986945" w:rsidRDefault="00CC0487" w:rsidP="00DB6666">
            <w:pPr>
              <w:jc w:val="center"/>
              <w:rPr>
                <w:rFonts w:ascii="Arial Narrow" w:hAnsi="Arial Narrow" w:cs="Arial"/>
                <w:sz w:val="18"/>
              </w:rPr>
            </w:pPr>
            <w:r w:rsidRPr="00986945">
              <w:rPr>
                <w:rFonts w:ascii="Arial Narrow" w:hAnsi="Arial Narrow" w:cs="Arial"/>
                <w:sz w:val="18"/>
              </w:rPr>
              <w:t>1</w:t>
            </w:r>
          </w:p>
        </w:tc>
      </w:tr>
      <w:tr w:rsidR="00CC0487" w:rsidRPr="00986945" w14:paraId="66859061" w14:textId="77777777" w:rsidTr="00DB6666">
        <w:trPr>
          <w:trHeight w:val="260"/>
          <w:jc w:val="center"/>
        </w:trPr>
        <w:tc>
          <w:tcPr>
            <w:tcW w:w="2260" w:type="dxa"/>
            <w:tcBorders>
              <w:top w:val="nil"/>
              <w:left w:val="nil"/>
              <w:bottom w:val="nil"/>
              <w:right w:val="nil"/>
            </w:tcBorders>
            <w:shd w:val="clear" w:color="auto" w:fill="auto"/>
            <w:vAlign w:val="center"/>
            <w:hideMark/>
          </w:tcPr>
          <w:p w14:paraId="1B5DDF0F" w14:textId="77777777" w:rsidR="00CC0487" w:rsidRPr="00986945" w:rsidRDefault="00CC0487" w:rsidP="00DB6666">
            <w:pPr>
              <w:jc w:val="left"/>
              <w:rPr>
                <w:rFonts w:ascii="Arial Narrow" w:hAnsi="Arial Narrow" w:cs="Arial"/>
                <w:sz w:val="18"/>
              </w:rPr>
            </w:pPr>
            <w:r w:rsidRPr="00986945">
              <w:rPr>
                <w:rFonts w:ascii="Arial Narrow" w:hAnsi="Arial Narrow" w:cs="Arial"/>
                <w:sz w:val="18"/>
              </w:rPr>
              <w:t>Praktikanten</w:t>
            </w:r>
          </w:p>
        </w:tc>
        <w:tc>
          <w:tcPr>
            <w:tcW w:w="1480" w:type="dxa"/>
            <w:tcBorders>
              <w:top w:val="nil"/>
              <w:left w:val="nil"/>
              <w:bottom w:val="nil"/>
              <w:right w:val="nil"/>
            </w:tcBorders>
            <w:shd w:val="clear" w:color="auto" w:fill="auto"/>
            <w:vAlign w:val="center"/>
            <w:hideMark/>
          </w:tcPr>
          <w:p w14:paraId="7B431338" w14:textId="77777777" w:rsidR="00CC0487" w:rsidRPr="00986945" w:rsidRDefault="00CC0487" w:rsidP="00DB6666">
            <w:pPr>
              <w:jc w:val="center"/>
              <w:rPr>
                <w:rFonts w:ascii="Arial Narrow" w:hAnsi="Arial Narrow" w:cs="Arial"/>
                <w:sz w:val="18"/>
              </w:rPr>
            </w:pPr>
            <w:r w:rsidRPr="00986945">
              <w:rPr>
                <w:rFonts w:ascii="Arial Narrow" w:hAnsi="Arial Narrow" w:cs="Arial"/>
                <w:sz w:val="18"/>
              </w:rPr>
              <w:t>1</w:t>
            </w:r>
          </w:p>
        </w:tc>
        <w:tc>
          <w:tcPr>
            <w:tcW w:w="1440" w:type="dxa"/>
            <w:tcBorders>
              <w:top w:val="nil"/>
              <w:left w:val="nil"/>
              <w:bottom w:val="nil"/>
              <w:right w:val="nil"/>
            </w:tcBorders>
            <w:shd w:val="clear" w:color="auto" w:fill="auto"/>
            <w:vAlign w:val="center"/>
            <w:hideMark/>
          </w:tcPr>
          <w:p w14:paraId="57454434" w14:textId="77777777" w:rsidR="00CC0487" w:rsidRPr="00986945" w:rsidRDefault="00CC0487" w:rsidP="00DB6666">
            <w:pPr>
              <w:jc w:val="center"/>
              <w:rPr>
                <w:rFonts w:ascii="Arial Narrow" w:hAnsi="Arial Narrow" w:cs="Arial"/>
                <w:sz w:val="18"/>
              </w:rPr>
            </w:pPr>
            <w:r w:rsidRPr="00986945">
              <w:rPr>
                <w:rFonts w:ascii="Arial Narrow" w:hAnsi="Arial Narrow" w:cs="Arial"/>
                <w:sz w:val="18"/>
              </w:rPr>
              <w:t>1</w:t>
            </w:r>
          </w:p>
        </w:tc>
        <w:tc>
          <w:tcPr>
            <w:tcW w:w="1400" w:type="dxa"/>
            <w:tcBorders>
              <w:top w:val="nil"/>
              <w:left w:val="nil"/>
              <w:bottom w:val="nil"/>
              <w:right w:val="nil"/>
            </w:tcBorders>
            <w:shd w:val="clear" w:color="auto" w:fill="auto"/>
            <w:vAlign w:val="center"/>
            <w:hideMark/>
          </w:tcPr>
          <w:p w14:paraId="17565848" w14:textId="77777777" w:rsidR="00CC0487" w:rsidRPr="00986945" w:rsidRDefault="00CC0487" w:rsidP="00DB6666">
            <w:pPr>
              <w:jc w:val="center"/>
              <w:rPr>
                <w:rFonts w:ascii="Arial Narrow" w:hAnsi="Arial Narrow" w:cs="Arial"/>
                <w:sz w:val="18"/>
              </w:rPr>
            </w:pPr>
            <w:r w:rsidRPr="00986945">
              <w:rPr>
                <w:rFonts w:ascii="Arial Narrow" w:hAnsi="Arial Narrow" w:cs="Arial"/>
                <w:sz w:val="18"/>
              </w:rPr>
              <w:t>1</w:t>
            </w:r>
          </w:p>
        </w:tc>
      </w:tr>
    </w:tbl>
    <w:p w14:paraId="2D00CB5B" w14:textId="77777777" w:rsidR="00CC0487" w:rsidRPr="003E7026" w:rsidRDefault="00CC0487" w:rsidP="00CC0487">
      <w:pPr>
        <w:rPr>
          <w:color w:val="000000" w:themeColor="text1"/>
        </w:rPr>
      </w:pPr>
    </w:p>
    <w:p w14:paraId="12862E0A" w14:textId="77777777" w:rsidR="00CC0487" w:rsidRPr="003E7026" w:rsidRDefault="00CC0487" w:rsidP="00986945">
      <w:pPr>
        <w:ind w:left="1560" w:right="1559"/>
        <w:rPr>
          <w:spacing w:val="-2"/>
          <w:sz w:val="16"/>
          <w:szCs w:val="24"/>
        </w:rPr>
      </w:pPr>
      <w:r w:rsidRPr="003E7026">
        <w:rPr>
          <w:spacing w:val="-2"/>
          <w:sz w:val="16"/>
          <w:szCs w:val="24"/>
        </w:rPr>
        <w:t>** Die Arbeit des Fremdpersonals soll im Laufe der Rechnungsperiode 2024-2025 durch Posten ersetzt werden.</w:t>
      </w:r>
    </w:p>
    <w:p w14:paraId="40A0F027" w14:textId="77777777" w:rsidR="00CC0487" w:rsidRPr="003E7026" w:rsidRDefault="00CC0487" w:rsidP="00CC0487">
      <w:pPr>
        <w:jc w:val="left"/>
        <w:rPr>
          <w:color w:val="26724C" w:themeColor="accent1" w:themeShade="BF"/>
          <w:sz w:val="28"/>
        </w:rPr>
      </w:pPr>
      <w:bookmarkStart w:id="425" w:name="_Toc61532295"/>
      <w:bookmarkStart w:id="426" w:name="_Toc61533690"/>
      <w:r w:rsidRPr="003E7026">
        <w:br w:type="page"/>
      </w:r>
    </w:p>
    <w:p w14:paraId="7929DCAF" w14:textId="77777777" w:rsidR="00CC0487" w:rsidRPr="003E7026" w:rsidRDefault="00CC0487" w:rsidP="00CC0487">
      <w:pPr>
        <w:pStyle w:val="Heading1"/>
        <w:numPr>
          <w:ilvl w:val="0"/>
          <w:numId w:val="1"/>
        </w:numPr>
        <w:ind w:left="567" w:hanging="567"/>
        <w:rPr>
          <w:lang w:val="de-DE"/>
        </w:rPr>
      </w:pPr>
      <w:bookmarkStart w:id="427" w:name="_Toc128060723"/>
      <w:bookmarkEnd w:id="425"/>
      <w:bookmarkEnd w:id="426"/>
      <w:r w:rsidRPr="003E7026">
        <w:rPr>
          <w:lang w:val="de-DE"/>
        </w:rPr>
        <w:lastRenderedPageBreak/>
        <w:t>Ziele und Erwartete Ergebnisse</w:t>
      </w:r>
      <w:bookmarkEnd w:id="427"/>
    </w:p>
    <w:p w14:paraId="56042194" w14:textId="77777777" w:rsidR="00CC0487" w:rsidRPr="003E7026" w:rsidRDefault="00CC0487" w:rsidP="00CC0487">
      <w:pPr>
        <w:keepNext/>
      </w:pPr>
    </w:p>
    <w:p w14:paraId="77891C47" w14:textId="77777777" w:rsidR="00CC0487" w:rsidRPr="003E7026" w:rsidRDefault="00CC0487" w:rsidP="00CC0487">
      <w:pPr>
        <w:pStyle w:val="Heading2"/>
        <w:rPr>
          <w:sz w:val="24"/>
          <w:lang w:val="de-DE"/>
        </w:rPr>
      </w:pPr>
      <w:bookmarkStart w:id="428" w:name="_Toc61532296"/>
      <w:bookmarkStart w:id="429" w:name="_Toc61533691"/>
      <w:bookmarkStart w:id="430" w:name="_Toc128060724"/>
      <w:r w:rsidRPr="003E7026">
        <w:rPr>
          <w:lang w:val="de-DE"/>
        </w:rPr>
        <w:t>Einführung</w:t>
      </w:r>
      <w:bookmarkEnd w:id="428"/>
      <w:bookmarkEnd w:id="429"/>
      <w:bookmarkEnd w:id="430"/>
    </w:p>
    <w:p w14:paraId="620ED71D" w14:textId="77777777" w:rsidR="00CC0487" w:rsidRPr="003E7026" w:rsidRDefault="00CC0487" w:rsidP="00CC0487"/>
    <w:p w14:paraId="6E5F4F2C" w14:textId="1BD8DAD4" w:rsidR="00CC0487" w:rsidRPr="003E7026" w:rsidRDefault="00CC0487" w:rsidP="00CC0487">
      <w:pPr>
        <w:rPr>
          <w:color w:val="000000" w:themeColor="text1"/>
        </w:rPr>
      </w:pPr>
      <w:r w:rsidRPr="003E7026">
        <w:rPr>
          <w:color w:val="000000" w:themeColor="text1"/>
        </w:rPr>
        <w:fldChar w:fldCharType="begin"/>
      </w:r>
      <w:r w:rsidRPr="003E7026">
        <w:rPr>
          <w:color w:val="000000" w:themeColor="text1"/>
        </w:rPr>
        <w:instrText xml:space="preserve"> AUTONUM  </w:instrText>
      </w:r>
      <w:r w:rsidRPr="003E7026">
        <w:rPr>
          <w:color w:val="000000" w:themeColor="text1"/>
        </w:rPr>
        <w:fldChar w:fldCharType="end"/>
      </w:r>
      <w:r w:rsidRPr="003E7026">
        <w:rPr>
          <w:color w:val="000000" w:themeColor="text1"/>
        </w:rPr>
        <w:tab/>
      </w:r>
      <w:r w:rsidRPr="00B34C60">
        <w:rPr>
          <w:color w:val="000000" w:themeColor="text1"/>
          <w:spacing w:val="-2"/>
        </w:rPr>
        <w:t>Der Strategische Geschäftsplan (SBP) der UPOV für den Zeitraum 2023-2027 (Dokument C/56/10) bildet die Grundlage für d</w:t>
      </w:r>
      <w:r w:rsidR="00EF07CE">
        <w:rPr>
          <w:color w:val="000000" w:themeColor="text1"/>
          <w:spacing w:val="-2"/>
        </w:rPr>
        <w:t>as</w:t>
      </w:r>
      <w:r w:rsidRPr="00B34C60">
        <w:rPr>
          <w:color w:val="000000" w:themeColor="text1"/>
          <w:spacing w:val="-2"/>
        </w:rPr>
        <w:t xml:space="preserve"> Programm und </w:t>
      </w:r>
      <w:r w:rsidR="00EF07CE">
        <w:rPr>
          <w:color w:val="000000" w:themeColor="text1"/>
          <w:spacing w:val="-2"/>
        </w:rPr>
        <w:t xml:space="preserve">den </w:t>
      </w:r>
      <w:r w:rsidRPr="00B34C60">
        <w:rPr>
          <w:color w:val="000000" w:themeColor="text1"/>
          <w:spacing w:val="-2"/>
        </w:rPr>
        <w:t>Haushaltsplan für die Rechnungsperiode 2024-2025.</w:t>
      </w:r>
    </w:p>
    <w:p w14:paraId="596D2A71" w14:textId="77777777" w:rsidR="00CC0487" w:rsidRPr="003E7026" w:rsidRDefault="00CC0487" w:rsidP="00CC0487">
      <w:pPr>
        <w:rPr>
          <w:color w:val="000000" w:themeColor="text1"/>
        </w:rPr>
      </w:pPr>
    </w:p>
    <w:p w14:paraId="4C021AC6" w14:textId="77777777" w:rsidR="00CC0487" w:rsidRPr="003E7026" w:rsidRDefault="00CC0487" w:rsidP="00CC0487">
      <w:pPr>
        <w:rPr>
          <w:color w:val="000000" w:themeColor="text1"/>
        </w:rPr>
      </w:pPr>
      <w:r w:rsidRPr="003E7026">
        <w:rPr>
          <w:color w:val="000000" w:themeColor="text1"/>
        </w:rPr>
        <w:fldChar w:fldCharType="begin"/>
      </w:r>
      <w:r w:rsidRPr="003E7026">
        <w:rPr>
          <w:color w:val="000000" w:themeColor="text1"/>
        </w:rPr>
        <w:instrText xml:space="preserve"> AUTONUM  </w:instrText>
      </w:r>
      <w:r w:rsidRPr="003E7026">
        <w:rPr>
          <w:color w:val="000000" w:themeColor="text1"/>
        </w:rPr>
        <w:fldChar w:fldCharType="end"/>
      </w:r>
      <w:r w:rsidRPr="003E7026">
        <w:rPr>
          <w:color w:val="000000" w:themeColor="text1"/>
        </w:rPr>
        <w:tab/>
        <w:t>Das SBP-Strategiehaus stellt die Mission, die strategischen Säulen und das Fundament der UPOV dar und bietet einen Rahmen, um auf die Notwendigkeit eines wirksamen Sortenschutzsystems zu reagieren, das die Entwicklung neuer Pflanzensorten zum Nutzen der Gesellschaft fördern wird.</w:t>
      </w:r>
    </w:p>
    <w:p w14:paraId="07CA0316" w14:textId="77777777" w:rsidR="00CC0487" w:rsidRPr="003E7026" w:rsidRDefault="00CC0487" w:rsidP="00CC0487">
      <w:pPr>
        <w:rPr>
          <w:color w:val="000000" w:themeColor="text1"/>
        </w:rPr>
      </w:pPr>
    </w:p>
    <w:tbl>
      <w:tblPr>
        <w:tblStyle w:val="TableGrid"/>
        <w:tblW w:w="0" w:type="auto"/>
        <w:tblLook w:val="04A0" w:firstRow="1" w:lastRow="0" w:firstColumn="1" w:lastColumn="0" w:noHBand="0" w:noVBand="1"/>
      </w:tblPr>
      <w:tblGrid>
        <w:gridCol w:w="9639"/>
      </w:tblGrid>
      <w:tr w:rsidR="00CC0487" w:rsidRPr="003E7026" w14:paraId="4FD7FD0A" w14:textId="77777777" w:rsidTr="00DB6666">
        <w:tc>
          <w:tcPr>
            <w:tcW w:w="9639" w:type="dxa"/>
            <w:tcBorders>
              <w:top w:val="nil"/>
              <w:left w:val="nil"/>
              <w:bottom w:val="nil"/>
              <w:right w:val="nil"/>
            </w:tcBorders>
            <w:hideMark/>
          </w:tcPr>
          <w:p w14:paraId="6BE51EB5" w14:textId="77777777" w:rsidR="00CC0487" w:rsidRPr="003E7026" w:rsidRDefault="00CC0487" w:rsidP="00DB6666">
            <w:pPr>
              <w:jc w:val="center"/>
              <w:rPr>
                <w:color w:val="000000" w:themeColor="text1"/>
              </w:rPr>
            </w:pPr>
            <w:r w:rsidRPr="003E7026">
              <w:rPr>
                <w:noProof/>
                <w:color w:val="000000" w:themeColor="text1"/>
                <w:lang w:val="en-US"/>
              </w:rPr>
              <w:drawing>
                <wp:inline distT="0" distB="0" distL="0" distR="0" wp14:anchorId="48DB49E9" wp14:editId="1FAF5B9E">
                  <wp:extent cx="5644584" cy="30930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583"/>
                          <a:stretch/>
                        </pic:blipFill>
                        <pic:spPr bwMode="auto">
                          <a:xfrm>
                            <a:off x="0" y="0"/>
                            <a:ext cx="5666809" cy="310523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C134911" w14:textId="77777777" w:rsidR="00CC0487" w:rsidRPr="003E7026" w:rsidRDefault="00CC0487" w:rsidP="00CC0487"/>
    <w:p w14:paraId="7AE6E23F" w14:textId="77777777" w:rsidR="00CC0487" w:rsidRPr="003E7026" w:rsidRDefault="00CC0487" w:rsidP="00CC0487">
      <w:pPr>
        <w:rPr>
          <w:bCs/>
        </w:rPr>
      </w:pPr>
      <w:r w:rsidRPr="003E7026">
        <w:rPr>
          <w:bCs/>
        </w:rPr>
        <w:fldChar w:fldCharType="begin"/>
      </w:r>
      <w:r w:rsidRPr="003E7026">
        <w:rPr>
          <w:bCs/>
        </w:rPr>
        <w:instrText xml:space="preserve"> AUTONUM  </w:instrText>
      </w:r>
      <w:r w:rsidRPr="003E7026">
        <w:rPr>
          <w:bCs/>
        </w:rPr>
        <w:fldChar w:fldCharType="end"/>
      </w:r>
      <w:r w:rsidRPr="003E7026">
        <w:rPr>
          <w:bCs/>
        </w:rPr>
        <w:tab/>
      </w:r>
      <w:r w:rsidRPr="003E7026">
        <w:rPr>
          <w:bCs/>
          <w:spacing w:val="-2"/>
        </w:rPr>
        <w:t>Die drei strategischen Säulen stützen die Mission der UPOV. Sie stellen die wesentlichen Bereiche der strategischen Ausrichtung der UPOV dar, die wiederum in die folgenden Erwarteten Ergebnisse unterteilt werden:</w:t>
      </w:r>
    </w:p>
    <w:p w14:paraId="06827943" w14:textId="77777777" w:rsidR="00CC0487" w:rsidRPr="003E7026" w:rsidRDefault="00CC0487" w:rsidP="00CC0487">
      <w:pPr>
        <w:rPr>
          <w:bCs/>
        </w:rPr>
      </w:pPr>
    </w:p>
    <w:tbl>
      <w:tblPr>
        <w:tblStyle w:val="TableGrid"/>
        <w:tblW w:w="0" w:type="auto"/>
        <w:tblLook w:val="04A0" w:firstRow="1" w:lastRow="0" w:firstColumn="1" w:lastColumn="0" w:noHBand="0" w:noVBand="1"/>
      </w:tblPr>
      <w:tblGrid>
        <w:gridCol w:w="9639"/>
      </w:tblGrid>
      <w:tr w:rsidR="00CC0487" w:rsidRPr="003E7026" w14:paraId="06B92AD4" w14:textId="77777777" w:rsidTr="00DB6666">
        <w:trPr>
          <w:trHeight w:val="5401"/>
        </w:trPr>
        <w:tc>
          <w:tcPr>
            <w:tcW w:w="9639" w:type="dxa"/>
            <w:tcBorders>
              <w:top w:val="nil"/>
              <w:left w:val="nil"/>
              <w:bottom w:val="nil"/>
              <w:right w:val="nil"/>
            </w:tcBorders>
            <w:hideMark/>
          </w:tcPr>
          <w:p w14:paraId="5672A1E1" w14:textId="77777777" w:rsidR="00CC0487" w:rsidRPr="003E7026" w:rsidRDefault="00CC0487" w:rsidP="00DB6666">
            <w:pPr>
              <w:jc w:val="center"/>
              <w:rPr>
                <w:bCs/>
              </w:rPr>
            </w:pPr>
            <w:r w:rsidRPr="003E7026">
              <w:rPr>
                <w:noProof/>
                <w:lang w:val="en-US"/>
              </w:rPr>
              <w:drawing>
                <wp:inline distT="0" distB="0" distL="0" distR="0" wp14:anchorId="255A8C6C" wp14:editId="1DC9E4C7">
                  <wp:extent cx="5893426" cy="344291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164" r="2909" b="1412"/>
                          <a:stretch/>
                        </pic:blipFill>
                        <pic:spPr bwMode="auto">
                          <a:xfrm>
                            <a:off x="0" y="0"/>
                            <a:ext cx="5900851" cy="344725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8ACC4AF" w14:textId="77777777" w:rsidR="00CC0487" w:rsidRPr="003E7026" w:rsidRDefault="00CC0487" w:rsidP="00CC0487">
      <w:pPr>
        <w:rPr>
          <w:bCs/>
        </w:rPr>
      </w:pPr>
      <w:r w:rsidRPr="003E7026">
        <w:rPr>
          <w:bCs/>
        </w:rPr>
        <w:lastRenderedPageBreak/>
        <w:fldChar w:fldCharType="begin"/>
      </w:r>
      <w:r w:rsidRPr="003E7026">
        <w:rPr>
          <w:bCs/>
        </w:rPr>
        <w:instrText xml:space="preserve"> AUTONUM  </w:instrText>
      </w:r>
      <w:r w:rsidRPr="003E7026">
        <w:rPr>
          <w:bCs/>
        </w:rPr>
        <w:fldChar w:fldCharType="end"/>
      </w:r>
      <w:r w:rsidRPr="003E7026">
        <w:rPr>
          <w:bCs/>
        </w:rPr>
        <w:tab/>
        <w:t>In den folgenden Abschnitten werden die drei strategischen Säulen und das Fundament sowie die jeweiligen Erwarteten Ergebnisse näher erläutert.</w:t>
      </w:r>
    </w:p>
    <w:p w14:paraId="670233DB" w14:textId="77777777" w:rsidR="00CC0487" w:rsidRPr="003E7026" w:rsidRDefault="00CC0487" w:rsidP="00CC0487"/>
    <w:p w14:paraId="5A8C40EF" w14:textId="77777777" w:rsidR="00CC0487" w:rsidRPr="003E7026" w:rsidRDefault="00CC0487" w:rsidP="00CC0487"/>
    <w:p w14:paraId="51A3EBA3" w14:textId="77777777" w:rsidR="00CC0487" w:rsidRPr="003E7026" w:rsidRDefault="00CC0487" w:rsidP="00986945">
      <w:pPr>
        <w:pStyle w:val="Heading2"/>
        <w:ind w:left="0" w:firstLine="0"/>
        <w:rPr>
          <w:lang w:val="de-DE"/>
        </w:rPr>
      </w:pPr>
      <w:bookmarkStart w:id="431" w:name="_Toc117798882"/>
      <w:bookmarkStart w:id="432" w:name="_Toc107239587"/>
      <w:bookmarkStart w:id="433" w:name="_Toc107239337"/>
      <w:bookmarkStart w:id="434" w:name="_Toc128060725"/>
      <w:r w:rsidRPr="003E7026">
        <w:rPr>
          <w:lang w:val="de-DE"/>
        </w:rPr>
        <w:t xml:space="preserve">Säule 1: </w:t>
      </w:r>
      <w:bookmarkEnd w:id="431"/>
      <w:bookmarkEnd w:id="432"/>
      <w:bookmarkEnd w:id="433"/>
      <w:r>
        <w:rPr>
          <w:lang w:val="de-DE"/>
        </w:rPr>
        <w:t xml:space="preserve"> </w:t>
      </w:r>
      <w:r w:rsidRPr="003E7026">
        <w:rPr>
          <w:lang w:val="de-DE"/>
        </w:rPr>
        <w:t>Interessengruppen zusammenbringen, um dazu beizutragen, die Zukunft des UPOV-Systems zu gestalten</w:t>
      </w:r>
      <w:bookmarkEnd w:id="434"/>
    </w:p>
    <w:p w14:paraId="1893ABC0" w14:textId="77777777" w:rsidR="00CC0487" w:rsidRPr="003E7026" w:rsidRDefault="00CC0487" w:rsidP="00CC0487">
      <w:pPr>
        <w:rPr>
          <w:b/>
          <w:bCs/>
          <w:sz w:val="22"/>
          <w:szCs w:val="22"/>
        </w:rPr>
      </w:pPr>
    </w:p>
    <w:p w14:paraId="7430AEED" w14:textId="77777777" w:rsidR="00CC0487" w:rsidRPr="003E7026" w:rsidRDefault="00CC0487" w:rsidP="00CC0487">
      <w:pPr>
        <w:pStyle w:val="Heading3"/>
        <w:rPr>
          <w:sz w:val="20"/>
          <w:lang w:val="de-DE"/>
        </w:rPr>
      </w:pPr>
      <w:bookmarkStart w:id="435" w:name="_Toc128060726"/>
      <w:r w:rsidRPr="003E7026">
        <w:rPr>
          <w:lang w:val="de-DE"/>
        </w:rPr>
        <w:t>Umsetzung der Strategie zur Erreichung der Erwarteten Ergebnisse</w:t>
      </w:r>
      <w:bookmarkEnd w:id="435"/>
    </w:p>
    <w:p w14:paraId="0AB3B38F" w14:textId="77777777" w:rsidR="00CC0487" w:rsidRPr="003E7026" w:rsidRDefault="00CC0487" w:rsidP="00CC0487">
      <w:pPr>
        <w:rPr>
          <w:b/>
          <w:bCs/>
          <w:sz w:val="22"/>
          <w:szCs w:val="22"/>
        </w:rPr>
      </w:pPr>
    </w:p>
    <w:p w14:paraId="2AFC395C" w14:textId="77777777" w:rsidR="00CC0487" w:rsidRPr="003E7026" w:rsidRDefault="00CC0487" w:rsidP="00CC0487">
      <w:pPr>
        <w:rPr>
          <w:bCs/>
        </w:rPr>
      </w:pPr>
      <w:r w:rsidRPr="003E7026">
        <w:rPr>
          <w:bCs/>
        </w:rPr>
        <w:fldChar w:fldCharType="begin"/>
      </w:r>
      <w:r w:rsidRPr="003E7026">
        <w:rPr>
          <w:bCs/>
        </w:rPr>
        <w:instrText xml:space="preserve"> AUTONUM  </w:instrText>
      </w:r>
      <w:r w:rsidRPr="003E7026">
        <w:rPr>
          <w:bCs/>
        </w:rPr>
        <w:fldChar w:fldCharType="end"/>
      </w:r>
      <w:r w:rsidRPr="003E7026">
        <w:rPr>
          <w:bCs/>
        </w:rPr>
        <w:tab/>
        <w:t>Diese strategische Säule konzentriert sich auf die Rolle der UPOV als Organisator, der Verbandsmitglieder zusammenbringt, um die Arbeit der UPOV zu überwachen und zu koordinieren und Interessenvertreter mit einzubeziehen, um so dazu beizutragen, die Zukunft des UPOV-Systems zu gestalten.</w:t>
      </w:r>
    </w:p>
    <w:p w14:paraId="2931520B" w14:textId="77777777" w:rsidR="00CC0487" w:rsidRPr="003E7026" w:rsidRDefault="00CC0487" w:rsidP="00CC0487">
      <w:pPr>
        <w:rPr>
          <w:b/>
          <w:bCs/>
          <w:sz w:val="22"/>
          <w:szCs w:val="22"/>
        </w:rPr>
      </w:pPr>
    </w:p>
    <w:p w14:paraId="64253EBE" w14:textId="77777777" w:rsidR="00CC0487" w:rsidRPr="003E7026" w:rsidRDefault="00CC0487" w:rsidP="00CC0487">
      <w:pPr>
        <w:pStyle w:val="Heading4"/>
        <w:rPr>
          <w:lang w:val="de-DE"/>
        </w:rPr>
      </w:pPr>
      <w:r w:rsidRPr="003E7026">
        <w:rPr>
          <w:lang w:val="de-DE"/>
        </w:rPr>
        <w:t>1.1</w:t>
      </w:r>
      <w:r w:rsidRPr="003E7026">
        <w:rPr>
          <w:lang w:val="de-DE"/>
        </w:rPr>
        <w:tab/>
        <w:t xml:space="preserve">Führung durch den Rat der UPOV und Arbeit der UPOV-Ausschüsse und anderen Organe </w:t>
      </w:r>
    </w:p>
    <w:p w14:paraId="03E4FB8F" w14:textId="77777777" w:rsidR="00CC0487" w:rsidRPr="003E7026" w:rsidRDefault="00CC0487" w:rsidP="00CC0487">
      <w:pPr>
        <w:pStyle w:val="ListParagraph"/>
        <w:ind w:left="570"/>
      </w:pPr>
    </w:p>
    <w:p w14:paraId="02934C15" w14:textId="77777777" w:rsidR="00CC0487" w:rsidRPr="003E7026" w:rsidRDefault="00CC0487" w:rsidP="00CC0487">
      <w:r w:rsidRPr="003E7026">
        <w:fldChar w:fldCharType="begin"/>
      </w:r>
      <w:r w:rsidRPr="003E7026">
        <w:instrText xml:space="preserve"> AUTONUM  </w:instrText>
      </w:r>
      <w:r w:rsidRPr="003E7026">
        <w:fldChar w:fldCharType="end"/>
      </w:r>
      <w:r w:rsidRPr="003E7026">
        <w:tab/>
        <w:t>Der Rat, der sich aus Verbandsmitgliedern und Beobachtern zusammensetzt, wird weiterhin die Richtung der UPOV bestimmen und sich dabei vom Beratenden Ausschuss, dem Ve</w:t>
      </w:r>
      <w:r>
        <w:t>rwaltungs- und Rechtsausschuss</w:t>
      </w:r>
      <w:r w:rsidRPr="003E7026">
        <w:t xml:space="preserve"> und dem Technischen Ausschuss leiten lassen.</w:t>
      </w:r>
    </w:p>
    <w:p w14:paraId="67DA7EC5" w14:textId="77777777" w:rsidR="00CC0487" w:rsidRPr="003E7026" w:rsidRDefault="00CC0487" w:rsidP="00CC0487"/>
    <w:p w14:paraId="443E2DCD" w14:textId="77777777" w:rsidR="00CC0487" w:rsidRPr="003E7026" w:rsidRDefault="00CC0487" w:rsidP="00CC0487">
      <w:r w:rsidRPr="003E7026">
        <w:fldChar w:fldCharType="begin"/>
      </w:r>
      <w:r w:rsidRPr="003E7026">
        <w:instrText xml:space="preserve"> AUTONUM  </w:instrText>
      </w:r>
      <w:r w:rsidRPr="003E7026">
        <w:fldChar w:fldCharType="end"/>
      </w:r>
      <w:r w:rsidRPr="003E7026">
        <w:tab/>
        <w:t xml:space="preserve">In Bezug auf die Tagungen der UPOV-Organe wird die Verwendung von Instrumenten für virtuelle Tagungen zu prüfen sein, um die Teilnahme und die Wirksamkeit der Tagungen zu erhöhen und gleichzeitig Zeit und Kosten zu sparen. </w:t>
      </w:r>
    </w:p>
    <w:p w14:paraId="206FE0F9" w14:textId="77777777" w:rsidR="00CC0487" w:rsidRPr="003E7026" w:rsidRDefault="00CC0487" w:rsidP="00CC0487"/>
    <w:p w14:paraId="7F167F94" w14:textId="77777777" w:rsidR="00CC0487" w:rsidRPr="003E7026" w:rsidRDefault="00CC0487" w:rsidP="00CC0487">
      <w:r w:rsidRPr="003E7026">
        <w:fldChar w:fldCharType="begin"/>
      </w:r>
      <w:r w:rsidRPr="003E7026">
        <w:instrText xml:space="preserve"> AUTONUM  </w:instrText>
      </w:r>
      <w:r w:rsidRPr="003E7026">
        <w:fldChar w:fldCharType="end"/>
      </w:r>
      <w:r w:rsidRPr="003E7026">
        <w:tab/>
        <w:t xml:space="preserve">Im Zuge der </w:t>
      </w:r>
      <w:r w:rsidRPr="003E7026">
        <w:rPr>
          <w:szCs w:val="24"/>
        </w:rPr>
        <w:t xml:space="preserve">Weiterentwicklung </w:t>
      </w:r>
      <w:r w:rsidRPr="003E7026">
        <w:t xml:space="preserve">der UPOV und im Interesse einer größtmöglichen Effizienz wird die Arbeit der Ausschüsse ständig überprüft werden. Im Technischen Ausschuss findet eine Überprüfung statt, um die Möglichkeiten für eine effizientere Arbeit des Technischen Ausschusses zu bewerten, insbesondere im Hinblick auf eine verstärkte Zusammenarbeit als grundlegenden Vorteil der UPOV-Mitgliedschaft. </w:t>
      </w:r>
    </w:p>
    <w:p w14:paraId="1D2949C7" w14:textId="77777777" w:rsidR="00CC0487" w:rsidRPr="003E7026" w:rsidRDefault="00CC0487" w:rsidP="00CC0487"/>
    <w:p w14:paraId="54001841" w14:textId="77777777" w:rsidR="00CC0487" w:rsidRPr="003E7026" w:rsidRDefault="00CC0487" w:rsidP="00CC0487">
      <w:pPr>
        <w:pStyle w:val="Heading4"/>
        <w:rPr>
          <w:lang w:val="de-DE"/>
        </w:rPr>
      </w:pPr>
      <w:r w:rsidRPr="003E7026">
        <w:rPr>
          <w:lang w:val="de-DE"/>
        </w:rPr>
        <w:t>1.2</w:t>
      </w:r>
      <w:r w:rsidRPr="003E7026">
        <w:rPr>
          <w:lang w:val="de-DE"/>
        </w:rPr>
        <w:tab/>
        <w:t>Ausarbeitung von Rechtsvorschriften zum Sortenschutz gemäß der Akte von 1991 des UPOV-Übereinkommens</w:t>
      </w:r>
    </w:p>
    <w:p w14:paraId="22AF61F6" w14:textId="77777777" w:rsidR="00CC0487" w:rsidRPr="003E7026" w:rsidRDefault="00CC0487" w:rsidP="00CC0487">
      <w:pPr>
        <w:rPr>
          <w:bCs/>
        </w:rPr>
      </w:pPr>
    </w:p>
    <w:p w14:paraId="3D4DE6DF" w14:textId="77777777" w:rsidR="00CC0487" w:rsidRPr="003E7026" w:rsidRDefault="00CC0487" w:rsidP="00CC0487">
      <w:pPr>
        <w:rPr>
          <w:bCs/>
        </w:rPr>
      </w:pPr>
      <w:r w:rsidRPr="003E7026">
        <w:rPr>
          <w:bCs/>
        </w:rPr>
        <w:fldChar w:fldCharType="begin"/>
      </w:r>
      <w:r w:rsidRPr="003E7026">
        <w:rPr>
          <w:bCs/>
        </w:rPr>
        <w:instrText xml:space="preserve"> AUTONUM  </w:instrText>
      </w:r>
      <w:r w:rsidRPr="003E7026">
        <w:rPr>
          <w:bCs/>
        </w:rPr>
        <w:fldChar w:fldCharType="end"/>
      </w:r>
      <w:r w:rsidRPr="003E7026">
        <w:rPr>
          <w:bCs/>
        </w:rPr>
        <w:tab/>
        <w:t xml:space="preserve">Staaten oder zwischenstaatliche Organisationen, die Mitglied der UPOV zu werden wünschen, müssen vor der Hinterlegung ihrer Beitrittsurkunde eine positive Stellungnahme des Rates der UPOV über die Vereinbarkeit ihrer Rechtsvorschriften mit den Bestimmungen des UPOV-Übereinkommens erwirken. Ein wesentlicher Teil der Arbeit der UPOV besteht darin, Staaten/zwischenstaatlichen Organisationen, die ein Gesetz gemäß der Akte von 1991 des UPOV-Übereinkommens ausarbeiten wollen, Anleitung zu geben. </w:t>
      </w:r>
    </w:p>
    <w:p w14:paraId="709EBDF1" w14:textId="77777777" w:rsidR="00CC0487" w:rsidRPr="003E7026" w:rsidRDefault="00CC0487" w:rsidP="00CC0487">
      <w:pPr>
        <w:rPr>
          <w:bCs/>
        </w:rPr>
      </w:pPr>
    </w:p>
    <w:p w14:paraId="14E9CAF4" w14:textId="77777777" w:rsidR="00CC0487" w:rsidRPr="003E7026" w:rsidRDefault="00CC0487" w:rsidP="00CC0487">
      <w:pPr>
        <w:pStyle w:val="Heading3"/>
        <w:rPr>
          <w:lang w:val="de-DE"/>
        </w:rPr>
      </w:pPr>
      <w:bookmarkStart w:id="436" w:name="_Toc128060727"/>
      <w:r w:rsidRPr="003E7026">
        <w:rPr>
          <w:lang w:val="de-DE"/>
        </w:rPr>
        <w:t>Erwartete Ergebnisse und Planerfüllungsindikatoren</w:t>
      </w:r>
      <w:bookmarkEnd w:id="436"/>
      <w:r w:rsidRPr="003E7026">
        <w:rPr>
          <w:lang w:val="de-DE"/>
        </w:rPr>
        <w:t xml:space="preserve"> </w:t>
      </w:r>
    </w:p>
    <w:p w14:paraId="681BA49E" w14:textId="77777777" w:rsidR="00CC0487" w:rsidRPr="003E7026" w:rsidRDefault="00CC0487" w:rsidP="00CC0487">
      <w:pPr>
        <w:rPr>
          <w:bCs/>
        </w:rPr>
      </w:pPr>
    </w:p>
    <w:tbl>
      <w:tblPr>
        <w:tblStyle w:val="TableGrid"/>
        <w:tblW w:w="9634" w:type="dxa"/>
        <w:tblBorders>
          <w:top w:val="none" w:sz="0" w:space="0" w:color="auto"/>
          <w:left w:val="none" w:sz="0" w:space="0" w:color="auto"/>
          <w:bottom w:val="single" w:sz="4" w:space="0" w:color="F2F2F2" w:themeColor="background1" w:themeShade="F2"/>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677"/>
        <w:gridCol w:w="1412"/>
        <w:gridCol w:w="1559"/>
      </w:tblGrid>
      <w:tr w:rsidR="00CC0487" w:rsidRPr="003E7026" w14:paraId="6C3E8D7A" w14:textId="77777777" w:rsidTr="00DB6666">
        <w:tc>
          <w:tcPr>
            <w:tcW w:w="426" w:type="dxa"/>
            <w:tcBorders>
              <w:bottom w:val="single" w:sz="4" w:space="0" w:color="D9D9D9" w:themeColor="background1" w:themeShade="D9"/>
            </w:tcBorders>
            <w:shd w:val="clear" w:color="auto" w:fill="E2E7EB" w:themeFill="accent3" w:themeFillTint="33"/>
          </w:tcPr>
          <w:p w14:paraId="07872129" w14:textId="77777777" w:rsidR="00CC0487" w:rsidRPr="003E7026" w:rsidRDefault="00CC0487" w:rsidP="00DB6666">
            <w:pPr>
              <w:jc w:val="left"/>
              <w:rPr>
                <w:b/>
                <w:bCs/>
                <w:sz w:val="16"/>
                <w:szCs w:val="16"/>
              </w:rPr>
            </w:pPr>
          </w:p>
        </w:tc>
        <w:tc>
          <w:tcPr>
            <w:tcW w:w="3255" w:type="dxa"/>
            <w:tcBorders>
              <w:bottom w:val="single" w:sz="4" w:space="0" w:color="D9D9D9" w:themeColor="background1" w:themeShade="D9"/>
            </w:tcBorders>
            <w:shd w:val="clear" w:color="auto" w:fill="E2E7EB" w:themeFill="accent3" w:themeFillTint="33"/>
          </w:tcPr>
          <w:p w14:paraId="660FDA9D" w14:textId="77777777" w:rsidR="00CC0487" w:rsidRPr="003E7026" w:rsidRDefault="00CC0487" w:rsidP="00DB6666">
            <w:pPr>
              <w:jc w:val="left"/>
              <w:rPr>
                <w:b/>
                <w:bCs/>
                <w:sz w:val="16"/>
                <w:szCs w:val="16"/>
              </w:rPr>
            </w:pPr>
            <w:r w:rsidRPr="003E7026">
              <w:rPr>
                <w:b/>
                <w:bCs/>
                <w:sz w:val="16"/>
                <w:szCs w:val="16"/>
              </w:rPr>
              <w:t>Erwartete Ergebnisse</w:t>
            </w:r>
          </w:p>
        </w:tc>
        <w:tc>
          <w:tcPr>
            <w:tcW w:w="305" w:type="dxa"/>
            <w:tcBorders>
              <w:bottom w:val="single" w:sz="4" w:space="0" w:color="D9D9D9" w:themeColor="background1" w:themeShade="D9"/>
            </w:tcBorders>
            <w:shd w:val="clear" w:color="auto" w:fill="E2E7EB" w:themeFill="accent3" w:themeFillTint="33"/>
          </w:tcPr>
          <w:p w14:paraId="0942A622" w14:textId="77777777" w:rsidR="00CC0487" w:rsidRPr="003E7026" w:rsidRDefault="00CC0487" w:rsidP="00DB6666">
            <w:pPr>
              <w:jc w:val="center"/>
              <w:rPr>
                <w:b/>
                <w:bCs/>
                <w:sz w:val="16"/>
                <w:szCs w:val="16"/>
              </w:rPr>
            </w:pPr>
          </w:p>
        </w:tc>
        <w:tc>
          <w:tcPr>
            <w:tcW w:w="2677" w:type="dxa"/>
            <w:tcBorders>
              <w:bottom w:val="single" w:sz="4" w:space="0" w:color="D9D9D9" w:themeColor="background1" w:themeShade="D9"/>
            </w:tcBorders>
            <w:shd w:val="clear" w:color="auto" w:fill="E2E7EB" w:themeFill="accent3" w:themeFillTint="33"/>
          </w:tcPr>
          <w:p w14:paraId="5CEC2BCF" w14:textId="77777777" w:rsidR="00CC0487" w:rsidRPr="003E7026" w:rsidRDefault="00CC0487" w:rsidP="00DB6666">
            <w:pPr>
              <w:rPr>
                <w:b/>
                <w:bCs/>
                <w:sz w:val="16"/>
                <w:szCs w:val="16"/>
              </w:rPr>
            </w:pPr>
            <w:r w:rsidRPr="003E7026">
              <w:rPr>
                <w:b/>
                <w:bCs/>
                <w:sz w:val="16"/>
                <w:szCs w:val="16"/>
              </w:rPr>
              <w:t>Planerfüllungsindikatoren</w:t>
            </w:r>
          </w:p>
        </w:tc>
        <w:tc>
          <w:tcPr>
            <w:tcW w:w="1412" w:type="dxa"/>
            <w:tcBorders>
              <w:bottom w:val="single" w:sz="4" w:space="0" w:color="D9D9D9" w:themeColor="background1" w:themeShade="D9"/>
            </w:tcBorders>
            <w:shd w:val="clear" w:color="auto" w:fill="E2E7EB" w:themeFill="accent3" w:themeFillTint="33"/>
          </w:tcPr>
          <w:p w14:paraId="6B598CA6" w14:textId="77777777" w:rsidR="00CC0487" w:rsidRPr="003E7026" w:rsidRDefault="00CC0487" w:rsidP="00DB6666">
            <w:pPr>
              <w:jc w:val="center"/>
              <w:rPr>
                <w:b/>
                <w:bCs/>
                <w:sz w:val="16"/>
                <w:szCs w:val="16"/>
              </w:rPr>
            </w:pPr>
            <w:r w:rsidRPr="003E7026">
              <w:rPr>
                <w:b/>
                <w:bCs/>
                <w:sz w:val="16"/>
                <w:szCs w:val="16"/>
              </w:rPr>
              <w:t>Referenzwerte</w:t>
            </w:r>
          </w:p>
        </w:tc>
        <w:tc>
          <w:tcPr>
            <w:tcW w:w="1559" w:type="dxa"/>
            <w:tcBorders>
              <w:bottom w:val="single" w:sz="4" w:space="0" w:color="D9D9D9" w:themeColor="background1" w:themeShade="D9"/>
            </w:tcBorders>
            <w:shd w:val="clear" w:color="auto" w:fill="E2E7EB" w:themeFill="accent3" w:themeFillTint="33"/>
          </w:tcPr>
          <w:p w14:paraId="65759E16" w14:textId="77777777" w:rsidR="00CC0487" w:rsidRPr="003E7026" w:rsidRDefault="00CC0487" w:rsidP="00DB6666">
            <w:pPr>
              <w:jc w:val="center"/>
              <w:rPr>
                <w:b/>
                <w:bCs/>
                <w:sz w:val="16"/>
                <w:szCs w:val="16"/>
              </w:rPr>
            </w:pPr>
            <w:r w:rsidRPr="003E7026">
              <w:rPr>
                <w:b/>
                <w:bCs/>
                <w:sz w:val="16"/>
                <w:szCs w:val="16"/>
              </w:rPr>
              <w:t>Ziele (2024/25)</w:t>
            </w:r>
          </w:p>
        </w:tc>
      </w:tr>
      <w:tr w:rsidR="00CC0487" w:rsidRPr="003E7026" w14:paraId="09A9DD99" w14:textId="77777777" w:rsidTr="00DB6666">
        <w:tc>
          <w:tcPr>
            <w:tcW w:w="426" w:type="dxa"/>
            <w:tcBorders>
              <w:top w:val="single" w:sz="4" w:space="0" w:color="D9D9D9" w:themeColor="background1" w:themeShade="D9"/>
            </w:tcBorders>
          </w:tcPr>
          <w:p w14:paraId="36C67935" w14:textId="77777777" w:rsidR="00CC0487" w:rsidRPr="003E7026" w:rsidRDefault="00CC0487" w:rsidP="00DB6666">
            <w:pPr>
              <w:jc w:val="left"/>
              <w:rPr>
                <w:rFonts w:cs="Arial"/>
                <w:sz w:val="16"/>
                <w:szCs w:val="16"/>
              </w:rPr>
            </w:pPr>
            <w:r w:rsidRPr="003E7026">
              <w:rPr>
                <w:rFonts w:cs="Arial"/>
                <w:sz w:val="16"/>
                <w:szCs w:val="16"/>
              </w:rPr>
              <w:t>1.1</w:t>
            </w:r>
          </w:p>
        </w:tc>
        <w:tc>
          <w:tcPr>
            <w:tcW w:w="3255" w:type="dxa"/>
            <w:tcBorders>
              <w:top w:val="single" w:sz="4" w:space="0" w:color="D9D9D9" w:themeColor="background1" w:themeShade="D9"/>
            </w:tcBorders>
          </w:tcPr>
          <w:p w14:paraId="7724B1B4" w14:textId="77777777" w:rsidR="00CC0487" w:rsidRPr="003E7026" w:rsidRDefault="00CC0487" w:rsidP="00DB6666">
            <w:pPr>
              <w:jc w:val="left"/>
              <w:rPr>
                <w:rFonts w:cs="Arial"/>
                <w:sz w:val="16"/>
                <w:szCs w:val="16"/>
              </w:rPr>
            </w:pPr>
            <w:r w:rsidRPr="003E7026">
              <w:rPr>
                <w:rFonts w:cs="Arial"/>
                <w:sz w:val="16"/>
                <w:szCs w:val="16"/>
              </w:rPr>
              <w:t xml:space="preserve">Führung durch den Rat der UPOV und Arbeit der UPOV-Ausschüsse und anderen Organe </w:t>
            </w:r>
          </w:p>
        </w:tc>
        <w:tc>
          <w:tcPr>
            <w:tcW w:w="305" w:type="dxa"/>
            <w:tcBorders>
              <w:top w:val="single" w:sz="4" w:space="0" w:color="D9D9D9" w:themeColor="background1" w:themeShade="D9"/>
            </w:tcBorders>
          </w:tcPr>
          <w:p w14:paraId="55C24338" w14:textId="77777777" w:rsidR="00CC0487" w:rsidRPr="003E7026" w:rsidRDefault="00CC0487" w:rsidP="00DB6666">
            <w:pPr>
              <w:jc w:val="center"/>
              <w:rPr>
                <w:rFonts w:cs="Arial"/>
                <w:sz w:val="16"/>
                <w:szCs w:val="16"/>
              </w:rPr>
            </w:pPr>
          </w:p>
        </w:tc>
        <w:tc>
          <w:tcPr>
            <w:tcW w:w="2677" w:type="dxa"/>
            <w:tcBorders>
              <w:top w:val="single" w:sz="4" w:space="0" w:color="D9D9D9" w:themeColor="background1" w:themeShade="D9"/>
            </w:tcBorders>
          </w:tcPr>
          <w:p w14:paraId="1899ACDD" w14:textId="77777777" w:rsidR="00CC0487" w:rsidRPr="003E7026" w:rsidRDefault="00CC0487" w:rsidP="00DB6666">
            <w:pPr>
              <w:jc w:val="left"/>
              <w:rPr>
                <w:rFonts w:cs="Arial"/>
                <w:sz w:val="16"/>
                <w:szCs w:val="16"/>
              </w:rPr>
            </w:pPr>
            <w:r w:rsidRPr="003E7026">
              <w:rPr>
                <w:rFonts w:cs="Arial"/>
                <w:sz w:val="16"/>
                <w:szCs w:val="16"/>
              </w:rPr>
              <w:t>Zunahme der Anzahl von nach dem UPOV-System entwickelten Sorten</w:t>
            </w:r>
          </w:p>
        </w:tc>
        <w:tc>
          <w:tcPr>
            <w:tcW w:w="1412" w:type="dxa"/>
            <w:tcBorders>
              <w:top w:val="single" w:sz="4" w:space="0" w:color="D9D9D9" w:themeColor="background1" w:themeShade="D9"/>
            </w:tcBorders>
            <w:vAlign w:val="bottom"/>
          </w:tcPr>
          <w:p w14:paraId="5A8954E1" w14:textId="77777777" w:rsidR="00CC0487" w:rsidRPr="003E7026" w:rsidRDefault="00CC0487" w:rsidP="00DB6666">
            <w:pPr>
              <w:jc w:val="left"/>
              <w:rPr>
                <w:rFonts w:cs="Arial"/>
                <w:sz w:val="16"/>
                <w:szCs w:val="16"/>
              </w:rPr>
            </w:pPr>
          </w:p>
        </w:tc>
        <w:tc>
          <w:tcPr>
            <w:tcW w:w="1559" w:type="dxa"/>
            <w:tcBorders>
              <w:top w:val="single" w:sz="4" w:space="0" w:color="D9D9D9" w:themeColor="background1" w:themeShade="D9"/>
            </w:tcBorders>
            <w:vAlign w:val="bottom"/>
          </w:tcPr>
          <w:p w14:paraId="618A1739" w14:textId="77777777" w:rsidR="00CC0487" w:rsidRPr="003E7026" w:rsidRDefault="00CC0487" w:rsidP="00DB6666">
            <w:pPr>
              <w:jc w:val="center"/>
              <w:rPr>
                <w:rFonts w:cs="Arial"/>
                <w:sz w:val="16"/>
                <w:szCs w:val="16"/>
              </w:rPr>
            </w:pPr>
          </w:p>
        </w:tc>
      </w:tr>
      <w:tr w:rsidR="00CC0487" w:rsidRPr="003E7026" w14:paraId="4C86F60E" w14:textId="77777777" w:rsidTr="00DB6666">
        <w:tc>
          <w:tcPr>
            <w:tcW w:w="426" w:type="dxa"/>
          </w:tcPr>
          <w:p w14:paraId="54A6DBAC" w14:textId="77777777" w:rsidR="00CC0487" w:rsidRPr="003E7026" w:rsidRDefault="00CC0487" w:rsidP="00DB6666">
            <w:pPr>
              <w:jc w:val="left"/>
              <w:rPr>
                <w:rFonts w:cs="Arial"/>
                <w:sz w:val="16"/>
                <w:szCs w:val="16"/>
              </w:rPr>
            </w:pPr>
          </w:p>
        </w:tc>
        <w:tc>
          <w:tcPr>
            <w:tcW w:w="3255" w:type="dxa"/>
          </w:tcPr>
          <w:p w14:paraId="20462BF4" w14:textId="77777777" w:rsidR="00CC0487" w:rsidRPr="003E7026" w:rsidRDefault="00CC0487" w:rsidP="00DB6666">
            <w:pPr>
              <w:jc w:val="left"/>
              <w:rPr>
                <w:rFonts w:cs="Arial"/>
                <w:sz w:val="16"/>
                <w:szCs w:val="16"/>
              </w:rPr>
            </w:pPr>
          </w:p>
        </w:tc>
        <w:tc>
          <w:tcPr>
            <w:tcW w:w="305" w:type="dxa"/>
          </w:tcPr>
          <w:p w14:paraId="3F10FAA5" w14:textId="77777777" w:rsidR="00CC0487" w:rsidRPr="003E7026" w:rsidRDefault="00CC0487" w:rsidP="00DB6666">
            <w:pPr>
              <w:jc w:val="center"/>
              <w:rPr>
                <w:rFonts w:cs="Arial"/>
                <w:sz w:val="16"/>
                <w:szCs w:val="16"/>
              </w:rPr>
            </w:pPr>
          </w:p>
        </w:tc>
        <w:tc>
          <w:tcPr>
            <w:tcW w:w="2677" w:type="dxa"/>
          </w:tcPr>
          <w:p w14:paraId="096C5EF7" w14:textId="77777777" w:rsidR="00CC0487" w:rsidRPr="003E7026" w:rsidRDefault="00CC0487" w:rsidP="00DB6666">
            <w:pPr>
              <w:ind w:left="284"/>
              <w:jc w:val="left"/>
              <w:rPr>
                <w:rFonts w:cs="Arial"/>
                <w:sz w:val="16"/>
                <w:szCs w:val="16"/>
              </w:rPr>
            </w:pPr>
            <w:r w:rsidRPr="003E7026">
              <w:rPr>
                <w:rFonts w:cs="Arial"/>
                <w:sz w:val="16"/>
                <w:szCs w:val="16"/>
              </w:rPr>
              <w:t>Anzahl von Anträgen in UPOV-Mitgliedern</w:t>
            </w:r>
          </w:p>
        </w:tc>
        <w:tc>
          <w:tcPr>
            <w:tcW w:w="1412" w:type="dxa"/>
            <w:vAlign w:val="center"/>
          </w:tcPr>
          <w:p w14:paraId="1D83E719" w14:textId="77777777" w:rsidR="00CC0487" w:rsidRPr="003E7026" w:rsidRDefault="00CC0487" w:rsidP="00DB6666">
            <w:pPr>
              <w:ind w:right="221"/>
              <w:jc w:val="right"/>
              <w:rPr>
                <w:rFonts w:cs="Arial"/>
                <w:sz w:val="16"/>
                <w:szCs w:val="16"/>
              </w:rPr>
            </w:pPr>
            <w:r w:rsidRPr="003E7026">
              <w:rPr>
                <w:rFonts w:cs="Arial"/>
                <w:sz w:val="16"/>
                <w:szCs w:val="16"/>
              </w:rPr>
              <w:t>25.135 (2021)</w:t>
            </w:r>
          </w:p>
        </w:tc>
        <w:tc>
          <w:tcPr>
            <w:tcW w:w="1559" w:type="dxa"/>
            <w:vAlign w:val="center"/>
          </w:tcPr>
          <w:p w14:paraId="68457ADA" w14:textId="77777777" w:rsidR="00CC0487" w:rsidRPr="003E7026" w:rsidRDefault="00CC0487" w:rsidP="00DB6666">
            <w:pPr>
              <w:ind w:right="230"/>
              <w:jc w:val="right"/>
              <w:rPr>
                <w:rFonts w:cs="Arial"/>
                <w:sz w:val="16"/>
                <w:szCs w:val="16"/>
              </w:rPr>
            </w:pPr>
            <w:r w:rsidRPr="003E7026">
              <w:rPr>
                <w:rFonts w:cs="Arial"/>
                <w:sz w:val="16"/>
                <w:szCs w:val="16"/>
              </w:rPr>
              <w:t>27.500 (2024)</w:t>
            </w:r>
          </w:p>
        </w:tc>
      </w:tr>
      <w:tr w:rsidR="00CC0487" w:rsidRPr="003E7026" w14:paraId="202265E2" w14:textId="77777777" w:rsidTr="00DB6666">
        <w:tc>
          <w:tcPr>
            <w:tcW w:w="426" w:type="dxa"/>
          </w:tcPr>
          <w:p w14:paraId="709A5066" w14:textId="77777777" w:rsidR="00CC0487" w:rsidRPr="003E7026" w:rsidRDefault="00CC0487" w:rsidP="00DB6666">
            <w:pPr>
              <w:jc w:val="left"/>
              <w:rPr>
                <w:rFonts w:cs="Arial"/>
                <w:sz w:val="16"/>
                <w:szCs w:val="16"/>
              </w:rPr>
            </w:pPr>
          </w:p>
        </w:tc>
        <w:tc>
          <w:tcPr>
            <w:tcW w:w="3255" w:type="dxa"/>
          </w:tcPr>
          <w:p w14:paraId="6B0B46AC" w14:textId="77777777" w:rsidR="00CC0487" w:rsidRPr="003E7026" w:rsidRDefault="00CC0487" w:rsidP="00DB6666">
            <w:pPr>
              <w:jc w:val="left"/>
              <w:rPr>
                <w:rFonts w:cs="Arial"/>
                <w:sz w:val="16"/>
                <w:szCs w:val="16"/>
              </w:rPr>
            </w:pPr>
          </w:p>
        </w:tc>
        <w:tc>
          <w:tcPr>
            <w:tcW w:w="305" w:type="dxa"/>
            <w:tcBorders>
              <w:bottom w:val="nil"/>
            </w:tcBorders>
          </w:tcPr>
          <w:p w14:paraId="2AA32ACC" w14:textId="77777777" w:rsidR="00CC0487" w:rsidRPr="003E7026" w:rsidRDefault="00CC0487" w:rsidP="00DB6666">
            <w:pPr>
              <w:jc w:val="center"/>
              <w:rPr>
                <w:rFonts w:cs="Arial"/>
                <w:sz w:val="16"/>
                <w:szCs w:val="16"/>
              </w:rPr>
            </w:pPr>
          </w:p>
        </w:tc>
        <w:tc>
          <w:tcPr>
            <w:tcW w:w="2677" w:type="dxa"/>
            <w:tcBorders>
              <w:bottom w:val="nil"/>
            </w:tcBorders>
          </w:tcPr>
          <w:p w14:paraId="50ADA6C1" w14:textId="77777777" w:rsidR="00CC0487" w:rsidRPr="003E7026" w:rsidRDefault="00CC0487" w:rsidP="00DB6666">
            <w:pPr>
              <w:ind w:left="284"/>
              <w:jc w:val="left"/>
              <w:rPr>
                <w:rFonts w:cs="Arial"/>
                <w:sz w:val="16"/>
                <w:szCs w:val="16"/>
              </w:rPr>
            </w:pPr>
            <w:r w:rsidRPr="003E7026">
              <w:rPr>
                <w:rFonts w:cs="Arial"/>
                <w:sz w:val="16"/>
                <w:szCs w:val="16"/>
              </w:rPr>
              <w:t>Anzahl von in UPOV-Mitgliedern erteilten Titeln</w:t>
            </w:r>
          </w:p>
        </w:tc>
        <w:tc>
          <w:tcPr>
            <w:tcW w:w="1412" w:type="dxa"/>
            <w:vAlign w:val="center"/>
          </w:tcPr>
          <w:p w14:paraId="30E3215E" w14:textId="77777777" w:rsidR="00CC0487" w:rsidRPr="003E7026" w:rsidRDefault="00CC0487" w:rsidP="00DB6666">
            <w:pPr>
              <w:ind w:right="221"/>
              <w:jc w:val="right"/>
              <w:rPr>
                <w:rFonts w:cs="Arial"/>
                <w:sz w:val="16"/>
                <w:szCs w:val="16"/>
              </w:rPr>
            </w:pPr>
            <w:r w:rsidRPr="003E7026">
              <w:rPr>
                <w:rFonts w:cs="Arial"/>
                <w:sz w:val="16"/>
                <w:szCs w:val="16"/>
              </w:rPr>
              <w:t>15.081 (2021)</w:t>
            </w:r>
          </w:p>
        </w:tc>
        <w:tc>
          <w:tcPr>
            <w:tcW w:w="1559" w:type="dxa"/>
            <w:vAlign w:val="center"/>
          </w:tcPr>
          <w:p w14:paraId="1483D22B" w14:textId="77777777" w:rsidR="00CC0487" w:rsidRPr="003E7026" w:rsidRDefault="00CC0487" w:rsidP="00DB6666">
            <w:pPr>
              <w:ind w:right="230"/>
              <w:jc w:val="right"/>
              <w:rPr>
                <w:rFonts w:cs="Arial"/>
                <w:sz w:val="16"/>
                <w:szCs w:val="16"/>
              </w:rPr>
            </w:pPr>
            <w:r w:rsidRPr="003E7026">
              <w:rPr>
                <w:rFonts w:cs="Arial"/>
                <w:sz w:val="16"/>
                <w:szCs w:val="16"/>
              </w:rPr>
              <w:t>16.500 (2024)</w:t>
            </w:r>
          </w:p>
        </w:tc>
      </w:tr>
      <w:tr w:rsidR="00CC0487" w:rsidRPr="003E7026" w14:paraId="1A03EC11" w14:textId="77777777" w:rsidTr="00DB6666">
        <w:tc>
          <w:tcPr>
            <w:tcW w:w="426" w:type="dxa"/>
            <w:tcBorders>
              <w:bottom w:val="single" w:sz="4" w:space="0" w:color="D9D9D9" w:themeColor="background1" w:themeShade="D9"/>
            </w:tcBorders>
          </w:tcPr>
          <w:p w14:paraId="62AB53A9" w14:textId="77777777" w:rsidR="00CC0487" w:rsidRPr="003E7026" w:rsidRDefault="00CC0487" w:rsidP="00DB6666">
            <w:pPr>
              <w:jc w:val="left"/>
              <w:rPr>
                <w:rFonts w:cs="Arial"/>
                <w:sz w:val="16"/>
                <w:szCs w:val="16"/>
              </w:rPr>
            </w:pPr>
          </w:p>
        </w:tc>
        <w:tc>
          <w:tcPr>
            <w:tcW w:w="3255" w:type="dxa"/>
            <w:tcBorders>
              <w:bottom w:val="single" w:sz="4" w:space="0" w:color="D9D9D9" w:themeColor="background1" w:themeShade="D9"/>
            </w:tcBorders>
          </w:tcPr>
          <w:p w14:paraId="61B55BF3" w14:textId="77777777" w:rsidR="00CC0487" w:rsidRPr="003E7026" w:rsidRDefault="00CC0487" w:rsidP="00DB6666">
            <w:pPr>
              <w:jc w:val="left"/>
              <w:rPr>
                <w:rFonts w:cs="Arial"/>
                <w:sz w:val="16"/>
                <w:szCs w:val="16"/>
              </w:rPr>
            </w:pPr>
          </w:p>
        </w:tc>
        <w:tc>
          <w:tcPr>
            <w:tcW w:w="305" w:type="dxa"/>
            <w:tcBorders>
              <w:bottom w:val="single" w:sz="4" w:space="0" w:color="D9D9D9" w:themeColor="background1" w:themeShade="D9"/>
              <w:right w:val="nil"/>
            </w:tcBorders>
          </w:tcPr>
          <w:p w14:paraId="05956627" w14:textId="77777777" w:rsidR="00CC0487" w:rsidRPr="003E7026" w:rsidRDefault="00CC0487" w:rsidP="00DB6666">
            <w:pPr>
              <w:jc w:val="center"/>
              <w:rPr>
                <w:rFonts w:cs="Arial"/>
                <w:sz w:val="16"/>
                <w:szCs w:val="16"/>
              </w:rPr>
            </w:pPr>
          </w:p>
        </w:tc>
        <w:tc>
          <w:tcPr>
            <w:tcW w:w="2677" w:type="dxa"/>
            <w:tcBorders>
              <w:left w:val="nil"/>
              <w:bottom w:val="single" w:sz="4" w:space="0" w:color="D9D9D9" w:themeColor="background1" w:themeShade="D9"/>
            </w:tcBorders>
          </w:tcPr>
          <w:p w14:paraId="4F7C96B9" w14:textId="77777777" w:rsidR="00CC0487" w:rsidRPr="003E7026" w:rsidRDefault="00CC0487" w:rsidP="00DB6666">
            <w:pPr>
              <w:ind w:left="284"/>
              <w:jc w:val="left"/>
              <w:rPr>
                <w:rFonts w:cs="Arial"/>
                <w:sz w:val="16"/>
                <w:szCs w:val="16"/>
              </w:rPr>
            </w:pPr>
            <w:r w:rsidRPr="003E7026">
              <w:rPr>
                <w:rFonts w:cs="Arial"/>
                <w:sz w:val="16"/>
                <w:szCs w:val="16"/>
              </w:rPr>
              <w:t xml:space="preserve">Anzahl von sich in UPOV-Mitgliedern in Kraft befindlichen Titeln </w:t>
            </w:r>
          </w:p>
        </w:tc>
        <w:tc>
          <w:tcPr>
            <w:tcW w:w="1412" w:type="dxa"/>
            <w:tcBorders>
              <w:bottom w:val="single" w:sz="4" w:space="0" w:color="D9D9D9" w:themeColor="background1" w:themeShade="D9"/>
            </w:tcBorders>
            <w:vAlign w:val="center"/>
          </w:tcPr>
          <w:p w14:paraId="79AF05A7" w14:textId="77777777" w:rsidR="00CC0487" w:rsidRPr="003E7026" w:rsidRDefault="00CC0487" w:rsidP="00DB6666">
            <w:pPr>
              <w:ind w:right="221"/>
              <w:jc w:val="right"/>
              <w:rPr>
                <w:rFonts w:cs="Arial"/>
                <w:sz w:val="16"/>
                <w:szCs w:val="16"/>
              </w:rPr>
            </w:pPr>
            <w:r w:rsidRPr="003E7026">
              <w:rPr>
                <w:rFonts w:cs="Arial"/>
                <w:sz w:val="16"/>
                <w:szCs w:val="16"/>
              </w:rPr>
              <w:t>155.122 (2021)</w:t>
            </w:r>
          </w:p>
        </w:tc>
        <w:tc>
          <w:tcPr>
            <w:tcW w:w="1559" w:type="dxa"/>
            <w:tcBorders>
              <w:bottom w:val="single" w:sz="4" w:space="0" w:color="D9D9D9" w:themeColor="background1" w:themeShade="D9"/>
            </w:tcBorders>
            <w:vAlign w:val="center"/>
          </w:tcPr>
          <w:p w14:paraId="4A78DEB0" w14:textId="77777777" w:rsidR="00CC0487" w:rsidRPr="003E7026" w:rsidRDefault="00CC0487" w:rsidP="00DB6666">
            <w:pPr>
              <w:ind w:right="230"/>
              <w:jc w:val="right"/>
              <w:rPr>
                <w:rFonts w:cs="Arial"/>
                <w:sz w:val="16"/>
                <w:szCs w:val="16"/>
              </w:rPr>
            </w:pPr>
            <w:r w:rsidRPr="003E7026">
              <w:rPr>
                <w:rFonts w:cs="Arial"/>
                <w:sz w:val="16"/>
                <w:szCs w:val="16"/>
              </w:rPr>
              <w:t>170.000 (2024)</w:t>
            </w:r>
          </w:p>
        </w:tc>
      </w:tr>
      <w:tr w:rsidR="00CC0487" w:rsidRPr="003E7026" w14:paraId="06DAB91F" w14:textId="77777777" w:rsidTr="00DB6666">
        <w:tc>
          <w:tcPr>
            <w:tcW w:w="426" w:type="dxa"/>
            <w:tcBorders>
              <w:top w:val="single" w:sz="4" w:space="0" w:color="D9D9D9" w:themeColor="background1" w:themeShade="D9"/>
            </w:tcBorders>
          </w:tcPr>
          <w:p w14:paraId="238411C2" w14:textId="77777777" w:rsidR="00CC0487" w:rsidRPr="003E7026" w:rsidRDefault="00CC0487" w:rsidP="00DB6666">
            <w:pPr>
              <w:jc w:val="left"/>
              <w:rPr>
                <w:rFonts w:cs="Arial"/>
                <w:sz w:val="16"/>
                <w:szCs w:val="16"/>
              </w:rPr>
            </w:pPr>
            <w:r w:rsidRPr="003E7026">
              <w:rPr>
                <w:rFonts w:cs="Arial"/>
                <w:sz w:val="16"/>
                <w:szCs w:val="16"/>
              </w:rPr>
              <w:t>1.2</w:t>
            </w:r>
          </w:p>
        </w:tc>
        <w:tc>
          <w:tcPr>
            <w:tcW w:w="3255" w:type="dxa"/>
            <w:tcBorders>
              <w:top w:val="single" w:sz="4" w:space="0" w:color="D9D9D9" w:themeColor="background1" w:themeShade="D9"/>
            </w:tcBorders>
          </w:tcPr>
          <w:p w14:paraId="1CAA0131" w14:textId="77777777" w:rsidR="00CC0487" w:rsidRPr="003E7026" w:rsidRDefault="00CC0487" w:rsidP="00DB6666">
            <w:pPr>
              <w:jc w:val="left"/>
              <w:rPr>
                <w:rFonts w:cs="Arial"/>
                <w:sz w:val="16"/>
                <w:szCs w:val="16"/>
              </w:rPr>
            </w:pPr>
            <w:r w:rsidRPr="003E7026">
              <w:rPr>
                <w:rFonts w:cs="Arial"/>
                <w:sz w:val="16"/>
                <w:szCs w:val="16"/>
              </w:rPr>
              <w:t>Ausarbeitung von Rechtsvorschriften zum Sortenschutz gemäß der Akte von 1991 des UPOV-Übereinkommens</w:t>
            </w:r>
          </w:p>
        </w:tc>
        <w:tc>
          <w:tcPr>
            <w:tcW w:w="305" w:type="dxa"/>
            <w:tcBorders>
              <w:top w:val="single" w:sz="4" w:space="0" w:color="D9D9D9" w:themeColor="background1" w:themeShade="D9"/>
            </w:tcBorders>
          </w:tcPr>
          <w:p w14:paraId="40FC73BE" w14:textId="77777777" w:rsidR="00CC0487" w:rsidRPr="003E7026" w:rsidRDefault="00CC0487" w:rsidP="00DB6666">
            <w:pPr>
              <w:jc w:val="center"/>
              <w:rPr>
                <w:rFonts w:cs="Arial"/>
                <w:sz w:val="16"/>
                <w:szCs w:val="16"/>
              </w:rPr>
            </w:pPr>
          </w:p>
        </w:tc>
        <w:tc>
          <w:tcPr>
            <w:tcW w:w="2677" w:type="dxa"/>
            <w:tcBorders>
              <w:top w:val="single" w:sz="4" w:space="0" w:color="D9D9D9" w:themeColor="background1" w:themeShade="D9"/>
            </w:tcBorders>
          </w:tcPr>
          <w:p w14:paraId="2FF109AE" w14:textId="77777777" w:rsidR="00CC0487" w:rsidRPr="003E7026" w:rsidRDefault="00CC0487" w:rsidP="00DB6666">
            <w:pPr>
              <w:jc w:val="left"/>
              <w:rPr>
                <w:rFonts w:cs="Arial"/>
                <w:sz w:val="16"/>
                <w:szCs w:val="16"/>
              </w:rPr>
            </w:pPr>
            <w:r w:rsidRPr="003E7026">
              <w:rPr>
                <w:rFonts w:cs="Arial"/>
                <w:sz w:val="16"/>
                <w:szCs w:val="16"/>
              </w:rPr>
              <w:t>Anzahl von Staaten/Organisationen, die UPOV-Mitglieder werden</w:t>
            </w:r>
          </w:p>
        </w:tc>
        <w:tc>
          <w:tcPr>
            <w:tcW w:w="1412" w:type="dxa"/>
            <w:tcBorders>
              <w:top w:val="single" w:sz="4" w:space="0" w:color="D9D9D9" w:themeColor="background1" w:themeShade="D9"/>
            </w:tcBorders>
            <w:vAlign w:val="bottom"/>
          </w:tcPr>
          <w:p w14:paraId="4D0D20E4" w14:textId="77777777" w:rsidR="00CC0487" w:rsidRPr="003E7026" w:rsidRDefault="00CC0487" w:rsidP="00DB6666">
            <w:pPr>
              <w:jc w:val="left"/>
              <w:rPr>
                <w:rFonts w:cs="Arial"/>
                <w:sz w:val="16"/>
                <w:szCs w:val="16"/>
              </w:rPr>
            </w:pPr>
          </w:p>
        </w:tc>
        <w:tc>
          <w:tcPr>
            <w:tcW w:w="1559" w:type="dxa"/>
            <w:tcBorders>
              <w:top w:val="single" w:sz="4" w:space="0" w:color="D9D9D9" w:themeColor="background1" w:themeShade="D9"/>
            </w:tcBorders>
            <w:vAlign w:val="bottom"/>
          </w:tcPr>
          <w:p w14:paraId="0BB3AC03" w14:textId="77777777" w:rsidR="00CC0487" w:rsidRPr="003E7026" w:rsidRDefault="00CC0487" w:rsidP="00DB6666">
            <w:pPr>
              <w:jc w:val="center"/>
              <w:rPr>
                <w:rFonts w:cs="Arial"/>
                <w:sz w:val="16"/>
                <w:szCs w:val="16"/>
              </w:rPr>
            </w:pPr>
          </w:p>
        </w:tc>
      </w:tr>
      <w:tr w:rsidR="00CC0487" w:rsidRPr="003E7026" w14:paraId="24F89428" w14:textId="77777777" w:rsidTr="00DB6666">
        <w:tc>
          <w:tcPr>
            <w:tcW w:w="426" w:type="dxa"/>
            <w:tcBorders>
              <w:bottom w:val="single" w:sz="4" w:space="0" w:color="D9D9D9" w:themeColor="background1" w:themeShade="D9"/>
            </w:tcBorders>
          </w:tcPr>
          <w:p w14:paraId="0FFC9F6C" w14:textId="77777777" w:rsidR="00CC0487" w:rsidRPr="003E7026" w:rsidRDefault="00CC0487" w:rsidP="00DB6666">
            <w:pPr>
              <w:jc w:val="left"/>
              <w:rPr>
                <w:rFonts w:cs="Arial"/>
                <w:sz w:val="16"/>
                <w:szCs w:val="16"/>
              </w:rPr>
            </w:pPr>
          </w:p>
        </w:tc>
        <w:tc>
          <w:tcPr>
            <w:tcW w:w="3255" w:type="dxa"/>
            <w:tcBorders>
              <w:bottom w:val="single" w:sz="4" w:space="0" w:color="D9D9D9" w:themeColor="background1" w:themeShade="D9"/>
            </w:tcBorders>
          </w:tcPr>
          <w:p w14:paraId="697CBECF" w14:textId="77777777" w:rsidR="00CC0487" w:rsidRPr="003E7026" w:rsidRDefault="00CC0487" w:rsidP="00DB6666">
            <w:pPr>
              <w:jc w:val="left"/>
              <w:rPr>
                <w:rFonts w:cs="Arial"/>
                <w:sz w:val="16"/>
                <w:szCs w:val="16"/>
              </w:rPr>
            </w:pPr>
          </w:p>
        </w:tc>
        <w:tc>
          <w:tcPr>
            <w:tcW w:w="305" w:type="dxa"/>
            <w:tcBorders>
              <w:bottom w:val="single" w:sz="4" w:space="0" w:color="D9D9D9" w:themeColor="background1" w:themeShade="D9"/>
            </w:tcBorders>
          </w:tcPr>
          <w:p w14:paraId="71B0FD76" w14:textId="77777777" w:rsidR="00CC0487" w:rsidRPr="003E7026" w:rsidRDefault="00CC0487" w:rsidP="00DB6666">
            <w:pPr>
              <w:jc w:val="center"/>
              <w:rPr>
                <w:rFonts w:cs="Arial"/>
                <w:sz w:val="16"/>
                <w:szCs w:val="16"/>
              </w:rPr>
            </w:pPr>
          </w:p>
        </w:tc>
        <w:tc>
          <w:tcPr>
            <w:tcW w:w="2677" w:type="dxa"/>
            <w:tcBorders>
              <w:bottom w:val="single" w:sz="4" w:space="0" w:color="D9D9D9" w:themeColor="background1" w:themeShade="D9"/>
            </w:tcBorders>
          </w:tcPr>
          <w:p w14:paraId="2DF89825" w14:textId="77777777" w:rsidR="00CC0487" w:rsidRPr="003E7026" w:rsidRDefault="00CC0487" w:rsidP="00DB6666">
            <w:pPr>
              <w:ind w:left="284"/>
              <w:jc w:val="left"/>
              <w:rPr>
                <w:rFonts w:cs="Arial"/>
                <w:sz w:val="16"/>
                <w:szCs w:val="16"/>
              </w:rPr>
            </w:pPr>
            <w:r w:rsidRPr="003E7026">
              <w:rPr>
                <w:rFonts w:cs="Arial"/>
                <w:sz w:val="16"/>
                <w:szCs w:val="16"/>
              </w:rPr>
              <w:t>Staaten und Organisationen, die Mitglieder des Verbands werden</w:t>
            </w:r>
          </w:p>
        </w:tc>
        <w:tc>
          <w:tcPr>
            <w:tcW w:w="1412" w:type="dxa"/>
            <w:tcBorders>
              <w:bottom w:val="single" w:sz="4" w:space="0" w:color="D9D9D9" w:themeColor="background1" w:themeShade="D9"/>
            </w:tcBorders>
            <w:vAlign w:val="center"/>
          </w:tcPr>
          <w:p w14:paraId="34F19C15" w14:textId="77777777" w:rsidR="00CC0487" w:rsidRPr="003E7026" w:rsidRDefault="00CC0487" w:rsidP="00DB6666">
            <w:pPr>
              <w:jc w:val="center"/>
              <w:rPr>
                <w:rFonts w:cs="Arial"/>
                <w:sz w:val="16"/>
                <w:szCs w:val="16"/>
              </w:rPr>
            </w:pPr>
            <w:r w:rsidRPr="003E7026">
              <w:rPr>
                <w:rFonts w:cs="Arial"/>
                <w:sz w:val="16"/>
                <w:szCs w:val="16"/>
              </w:rPr>
              <w:t>1 pro Jahr (2020/21)</w:t>
            </w:r>
          </w:p>
        </w:tc>
        <w:tc>
          <w:tcPr>
            <w:tcW w:w="1559" w:type="dxa"/>
            <w:tcBorders>
              <w:bottom w:val="single" w:sz="4" w:space="0" w:color="D9D9D9" w:themeColor="background1" w:themeShade="D9"/>
            </w:tcBorders>
            <w:vAlign w:val="center"/>
          </w:tcPr>
          <w:p w14:paraId="33FDA6E6" w14:textId="77777777" w:rsidR="00CC0487" w:rsidRPr="003E7026" w:rsidRDefault="00CC0487" w:rsidP="00DB6666">
            <w:pPr>
              <w:jc w:val="center"/>
              <w:rPr>
                <w:rFonts w:cs="Arial"/>
                <w:sz w:val="16"/>
                <w:szCs w:val="16"/>
              </w:rPr>
            </w:pPr>
            <w:r w:rsidRPr="003E7026">
              <w:rPr>
                <w:rFonts w:cs="Arial"/>
                <w:sz w:val="16"/>
                <w:szCs w:val="16"/>
              </w:rPr>
              <w:t>1 pro Jahr</w:t>
            </w:r>
          </w:p>
        </w:tc>
      </w:tr>
    </w:tbl>
    <w:p w14:paraId="6F588AC2" w14:textId="77777777" w:rsidR="00CC0487" w:rsidRPr="003E7026" w:rsidRDefault="00CC0487" w:rsidP="00CC0487"/>
    <w:p w14:paraId="32D03894" w14:textId="77777777" w:rsidR="00CC0487" w:rsidRPr="003E7026" w:rsidRDefault="00CC0487" w:rsidP="00CC0487"/>
    <w:p w14:paraId="7917423B" w14:textId="77777777" w:rsidR="00CC0487" w:rsidRPr="00986945" w:rsidRDefault="00CC0487" w:rsidP="00986945">
      <w:pPr>
        <w:pStyle w:val="Heading2"/>
        <w:ind w:left="0" w:firstLine="0"/>
        <w:rPr>
          <w:lang w:val="de-DE"/>
        </w:rPr>
      </w:pPr>
      <w:bookmarkStart w:id="437" w:name="_Toc128060728"/>
      <w:r w:rsidRPr="00986945">
        <w:rPr>
          <w:lang w:val="de-DE"/>
        </w:rPr>
        <w:lastRenderedPageBreak/>
        <w:t>Säule 2: Bereitstellung von Anleitung und Unterstützung und Erleichterung der Zusammenarbeit bei der Umsetzung des UPOV-Systems</w:t>
      </w:r>
      <w:bookmarkEnd w:id="437"/>
    </w:p>
    <w:p w14:paraId="0C54C1AE" w14:textId="77777777" w:rsidR="00CC0487" w:rsidRPr="003E7026" w:rsidRDefault="00CC0487" w:rsidP="00CC0487">
      <w:pPr>
        <w:keepNext/>
        <w:jc w:val="left"/>
        <w:rPr>
          <w:b/>
        </w:rPr>
      </w:pPr>
    </w:p>
    <w:p w14:paraId="2A96E796" w14:textId="77777777" w:rsidR="00CC0487" w:rsidRPr="003E7026" w:rsidRDefault="00CC0487" w:rsidP="00CC0487">
      <w:pPr>
        <w:pStyle w:val="Heading3"/>
        <w:rPr>
          <w:sz w:val="20"/>
          <w:lang w:val="de-DE"/>
        </w:rPr>
      </w:pPr>
      <w:bookmarkStart w:id="438" w:name="_Toc128060729"/>
      <w:r w:rsidRPr="003E7026">
        <w:rPr>
          <w:lang w:val="de-DE"/>
        </w:rPr>
        <w:t>Umsetzung der Strategie zur Erreichung der Erwarteten Ergebnisse</w:t>
      </w:r>
      <w:bookmarkEnd w:id="438"/>
    </w:p>
    <w:p w14:paraId="7A3F21E2" w14:textId="77777777" w:rsidR="00CC0487" w:rsidRPr="003E7026" w:rsidRDefault="00CC0487" w:rsidP="00CC0487">
      <w:pPr>
        <w:keepNext/>
        <w:rPr>
          <w:color w:val="000000" w:themeColor="text1"/>
        </w:rPr>
      </w:pPr>
    </w:p>
    <w:p w14:paraId="6303C460" w14:textId="77777777" w:rsidR="00CC0487" w:rsidRPr="003E7026" w:rsidRDefault="00CC0487" w:rsidP="00CC0487">
      <w:pPr>
        <w:rPr>
          <w:color w:val="000000" w:themeColor="text1"/>
        </w:rPr>
      </w:pPr>
      <w:r w:rsidRPr="003E7026">
        <w:rPr>
          <w:color w:val="000000" w:themeColor="text1"/>
        </w:rPr>
        <w:fldChar w:fldCharType="begin"/>
      </w:r>
      <w:r w:rsidRPr="003E7026">
        <w:rPr>
          <w:color w:val="000000" w:themeColor="text1"/>
        </w:rPr>
        <w:instrText xml:space="preserve"> AUTONUM  </w:instrText>
      </w:r>
      <w:r w:rsidRPr="003E7026">
        <w:rPr>
          <w:color w:val="000000" w:themeColor="text1"/>
        </w:rPr>
        <w:fldChar w:fldCharType="end"/>
      </w:r>
      <w:r w:rsidRPr="003E7026">
        <w:rPr>
          <w:color w:val="000000" w:themeColor="text1"/>
        </w:rPr>
        <w:tab/>
        <w:t xml:space="preserve">Diese strategische </w:t>
      </w:r>
      <w:r>
        <w:rPr>
          <w:color w:val="000000" w:themeColor="text1"/>
        </w:rPr>
        <w:t>Säule</w:t>
      </w:r>
      <w:r w:rsidRPr="003E7026">
        <w:rPr>
          <w:color w:val="000000" w:themeColor="text1"/>
        </w:rPr>
        <w:t xml:space="preserve"> umfasst die Arbeit der UPOV zur Erläuterung der Art und Weise, wie das UPOV-System die Entwicklung neuer Pflanzensorten fördert, welchen Nutzen neue Sorten für die Gesellschaft haben und welche Rolle das UPOV-System in Bezug auf die Landwirtschaft und die wirtschaftliche Entwicklung im ländlichen Raum spielt. Ein besonderes Ziel ist die Sensibilisierung von Staaten und zwischenstaatlichen Organisationen, die nicht Mitglied des Verbandes sind, für die Vorteile des Sortenschutzes nach dem UPOV-Übereinkommen und der UPOV-Mitgliedschaft. Diese strategische Säule umfasst auch die Bereitstellung von Anleitung und Informationen für die Anwendung des UPOV-Sortenschutzsystems sowie die Unterstützung der Zusammenarbeit zwischen Verbandsmitgliedern, einschließlich der Harmonisierungsarbeit.</w:t>
      </w:r>
    </w:p>
    <w:p w14:paraId="229178A9" w14:textId="77777777" w:rsidR="00CC0487" w:rsidRPr="003E7026" w:rsidRDefault="00CC0487" w:rsidP="00CC0487">
      <w:pPr>
        <w:rPr>
          <w:color w:val="000000" w:themeColor="text1"/>
        </w:rPr>
      </w:pPr>
    </w:p>
    <w:p w14:paraId="41CEA072" w14:textId="77777777" w:rsidR="00CC0487" w:rsidRPr="003E7026" w:rsidRDefault="00CC0487" w:rsidP="00CC0487">
      <w:pPr>
        <w:pStyle w:val="Heading4"/>
        <w:rPr>
          <w:color w:val="000000"/>
          <w:lang w:val="de-DE"/>
          <w14:textFill>
            <w14:solidFill>
              <w14:srgbClr w14:val="000000">
                <w14:lumMod w14:val="75000"/>
              </w14:srgbClr>
            </w14:solidFill>
          </w14:textFill>
        </w:rPr>
      </w:pPr>
      <w:bookmarkStart w:id="439" w:name="_Toc117798890"/>
      <w:bookmarkStart w:id="440" w:name="_Toc107239595"/>
      <w:bookmarkStart w:id="441" w:name="_Toc107239345"/>
      <w:r w:rsidRPr="003E7026">
        <w:rPr>
          <w:lang w:val="de-DE"/>
        </w:rPr>
        <w:t>2.1</w:t>
      </w:r>
      <w:r w:rsidRPr="003E7026">
        <w:rPr>
          <w:lang w:val="de-DE"/>
        </w:rPr>
        <w:tab/>
        <w:t>Stärkeres Bewusstsein für die Rolle des UPOV-Systems</w:t>
      </w:r>
      <w:bookmarkEnd w:id="439"/>
      <w:bookmarkEnd w:id="440"/>
      <w:bookmarkEnd w:id="441"/>
    </w:p>
    <w:p w14:paraId="2EEDFFF8" w14:textId="77777777" w:rsidR="00CC0487" w:rsidRPr="003E7026" w:rsidRDefault="00CC0487" w:rsidP="00CC0487">
      <w:pPr>
        <w:pStyle w:val="Heading5"/>
        <w:rPr>
          <w:lang w:val="de-DE"/>
        </w:rPr>
      </w:pPr>
    </w:p>
    <w:p w14:paraId="7B819CAA" w14:textId="77777777" w:rsidR="00CC0487" w:rsidRPr="003E7026" w:rsidRDefault="00CC0487" w:rsidP="00CC0487">
      <w:r w:rsidRPr="003E7026">
        <w:fldChar w:fldCharType="begin"/>
      </w:r>
      <w:r w:rsidRPr="003E7026">
        <w:instrText xml:space="preserve"> AUTONUM  </w:instrText>
      </w:r>
      <w:r w:rsidRPr="003E7026">
        <w:fldChar w:fldCharType="end"/>
      </w:r>
      <w:r w:rsidRPr="003E7026">
        <w:tab/>
        <w:t xml:space="preserve">Im Rahmen der Kommunikationsstrategie der UPOV wird der Schwerpunkt </w:t>
      </w:r>
      <w:r w:rsidRPr="003E7026">
        <w:rPr>
          <w:snapToGrid w:val="0"/>
          <w:szCs w:val="24"/>
          <w:lang w:eastAsia="fr-FR"/>
        </w:rPr>
        <w:t>auf der Entwicklung von Informationen über die Vorteile des Sortenschutzes und der UPOV-Mitgliedschaft liegen. Das Verbandsbüro wird mit den Verbandsmitgliedern zusammenarbeiten, um anschauliche Beispiele, Fallstudien und Daten zu erarbeiten, welche die Vorteile des UPOV-Systems auf ansprechende Weise vermitteln, beispielsweise in Form von Videos, Studienreisen und Auswirkungsstudien</w:t>
      </w:r>
      <w:r w:rsidRPr="003E7026">
        <w:t>.</w:t>
      </w:r>
    </w:p>
    <w:p w14:paraId="36642237" w14:textId="77777777" w:rsidR="00CC0487" w:rsidRPr="003E7026" w:rsidRDefault="00CC0487" w:rsidP="00CC0487"/>
    <w:p w14:paraId="3A816695" w14:textId="77777777" w:rsidR="00CC0487" w:rsidRPr="003E7026" w:rsidRDefault="00CC0487" w:rsidP="00CC0487">
      <w:r w:rsidRPr="003E7026">
        <w:fldChar w:fldCharType="begin"/>
      </w:r>
      <w:r w:rsidRPr="003E7026">
        <w:instrText xml:space="preserve"> AUTONUM  </w:instrText>
      </w:r>
      <w:r w:rsidRPr="003E7026">
        <w:fldChar w:fldCharType="end"/>
      </w:r>
      <w:r w:rsidRPr="003E7026">
        <w:tab/>
        <w:t xml:space="preserve">Die Arbeit an FAQs und Infografiken wird weiterhin eine wichtige Rolle bei der Vermittlung von Schlüsselaspekten des UPOV-Systems und bei </w:t>
      </w:r>
      <w:r>
        <w:t xml:space="preserve">der </w:t>
      </w:r>
      <w:r w:rsidRPr="003E7026">
        <w:t xml:space="preserve">Richtigstellung von Fehlinformationen spielen. Die UPOV wird aktiv an Tagungen und Veranstaltungen einschlägiger Organisationen teilnehmen, und das Verbandsbüro wird sich um eine enge Zusammenarbeit mit den Sekretariaten anderer Organisationen bemühen, um das Bewusstsein und das Verständnis für die Mission der UPOV zu verbessern. </w:t>
      </w:r>
    </w:p>
    <w:p w14:paraId="11492A5D" w14:textId="77777777" w:rsidR="00CC0487" w:rsidRPr="003E7026" w:rsidRDefault="00CC0487" w:rsidP="00CC0487"/>
    <w:p w14:paraId="3EEAE928" w14:textId="77777777" w:rsidR="00CC0487" w:rsidRPr="003E7026" w:rsidRDefault="00CC0487" w:rsidP="00CC0487">
      <w:pPr>
        <w:rPr>
          <w:color w:val="000000" w:themeColor="text1"/>
        </w:rPr>
      </w:pPr>
      <w:r w:rsidRPr="003E7026">
        <w:fldChar w:fldCharType="begin"/>
      </w:r>
      <w:r w:rsidRPr="003E7026">
        <w:instrText xml:space="preserve"> AUTONUM  </w:instrText>
      </w:r>
      <w:r w:rsidRPr="003E7026">
        <w:fldChar w:fldCharType="end"/>
      </w:r>
      <w:r w:rsidRPr="003E7026">
        <w:tab/>
        <w:t>Traditionelle Veranstaltungen und Tätigkeiten, wie Seminare und Arbeitstagungen, werden weiterhin eine Schlüsselrolle bei der Öffentlichkeitsarbeit spielen. Es wird jedoch größeres Gewicht auf die Nutzung virtueller Tätigkeiten gelegt werden, um die Reichweite zu erhöhen, eine größere Wirkung zu erzielen, die Kosten zu senken und die Auswirkungen der Arbeit des Verbandsbüros auf die Umwelt zu verringern</w:t>
      </w:r>
      <w:r w:rsidRPr="003E7026">
        <w:rPr>
          <w:color w:val="000000" w:themeColor="text1"/>
        </w:rPr>
        <w:t>.</w:t>
      </w:r>
    </w:p>
    <w:p w14:paraId="54FF8649" w14:textId="77777777" w:rsidR="00CC0487" w:rsidRPr="003E7026" w:rsidRDefault="00CC0487" w:rsidP="00CC0487">
      <w:pPr>
        <w:rPr>
          <w:color w:val="000000" w:themeColor="text1"/>
        </w:rPr>
      </w:pPr>
    </w:p>
    <w:p w14:paraId="69CF87CB" w14:textId="77777777" w:rsidR="00CC0487" w:rsidRPr="003E7026" w:rsidRDefault="00CC0487" w:rsidP="00CC0487">
      <w:r w:rsidRPr="003E7026">
        <w:fldChar w:fldCharType="begin"/>
      </w:r>
      <w:r w:rsidRPr="003E7026">
        <w:instrText xml:space="preserve"> AUTONUM  </w:instrText>
      </w:r>
      <w:r w:rsidRPr="003E7026">
        <w:fldChar w:fldCharType="end"/>
      </w:r>
      <w:r w:rsidRPr="003E7026">
        <w:tab/>
        <w:t>Soziale Medien werden eine immer wichtigere Rolle bei der Verbreitung von Informationen spielen.</w:t>
      </w:r>
    </w:p>
    <w:p w14:paraId="59995874" w14:textId="77777777" w:rsidR="00CC0487" w:rsidRPr="003E7026" w:rsidRDefault="00CC0487" w:rsidP="00CC0487"/>
    <w:p w14:paraId="6AE32E95" w14:textId="77777777" w:rsidR="00CC0487" w:rsidRPr="003E7026" w:rsidRDefault="00CC0487" w:rsidP="00CC0487">
      <w:r w:rsidRPr="003E7026">
        <w:fldChar w:fldCharType="begin"/>
      </w:r>
      <w:r w:rsidRPr="003E7026">
        <w:instrText xml:space="preserve"> AUTONUM  </w:instrText>
      </w:r>
      <w:r w:rsidRPr="003E7026">
        <w:fldChar w:fldCharType="end"/>
      </w:r>
      <w:r w:rsidRPr="003E7026">
        <w:tab/>
        <w:t>Die Übersetzungspolitik der UPOV zielt darauf ab, die maschinelle Übersetzung zu nutzen, um die Verfügbarkeit des UPOV-Materials in einer Reihe von Sprachen durch immer kostengünstigere Übersetzungen zu erhöhen.</w:t>
      </w:r>
    </w:p>
    <w:p w14:paraId="287EFF2B" w14:textId="77777777" w:rsidR="00CC0487" w:rsidRPr="003E7026" w:rsidRDefault="00CC0487" w:rsidP="00CC0487">
      <w:pPr>
        <w:jc w:val="left"/>
        <w:rPr>
          <w:bCs/>
        </w:rPr>
      </w:pPr>
    </w:p>
    <w:p w14:paraId="2B0FE3F9" w14:textId="77777777" w:rsidR="00CC0487" w:rsidRPr="003E7026" w:rsidRDefault="00CC0487" w:rsidP="00CC0487">
      <w:pPr>
        <w:pStyle w:val="Heading4"/>
        <w:rPr>
          <w:lang w:val="de-DE"/>
        </w:rPr>
      </w:pPr>
      <w:bookmarkStart w:id="442" w:name="_Toc117798891"/>
      <w:bookmarkStart w:id="443" w:name="_Toc107239596"/>
      <w:bookmarkStart w:id="444" w:name="_Toc107239346"/>
      <w:r w:rsidRPr="003E7026">
        <w:rPr>
          <w:lang w:val="de-DE"/>
        </w:rPr>
        <w:t>2.2</w:t>
      </w:r>
      <w:r w:rsidRPr="003E7026">
        <w:rPr>
          <w:lang w:val="de-DE"/>
        </w:rPr>
        <w:tab/>
      </w:r>
      <w:bookmarkEnd w:id="442"/>
      <w:bookmarkEnd w:id="443"/>
      <w:bookmarkEnd w:id="444"/>
      <w:r w:rsidRPr="003E7026">
        <w:rPr>
          <w:lang w:val="de-DE"/>
        </w:rPr>
        <w:t>Anleitung und Unterstützung zum UPOV-Übereinkommen und seiner Umsetzung</w:t>
      </w:r>
    </w:p>
    <w:p w14:paraId="1BA988A6" w14:textId="77777777" w:rsidR="00CC0487" w:rsidRPr="003E7026" w:rsidRDefault="00CC0487" w:rsidP="00CC0487">
      <w:pPr>
        <w:keepNext/>
      </w:pPr>
    </w:p>
    <w:p w14:paraId="51EBFCD4" w14:textId="77777777" w:rsidR="00CC0487" w:rsidRPr="003E7026" w:rsidRDefault="00CC0487" w:rsidP="00CC0487">
      <w:pPr>
        <w:keepNext/>
        <w:rPr>
          <w:i/>
          <w:color w:val="26724C" w:themeColor="accent1" w:themeShade="BF"/>
        </w:rPr>
      </w:pPr>
      <w:bookmarkStart w:id="445" w:name="_Toc117801995"/>
      <w:r w:rsidRPr="003E7026">
        <w:rPr>
          <w:i/>
          <w:color w:val="26724C" w:themeColor="accent1" w:themeShade="BF"/>
        </w:rPr>
        <w:t>Anleitung und Informationsmaterial</w:t>
      </w:r>
      <w:bookmarkEnd w:id="445"/>
    </w:p>
    <w:p w14:paraId="654F3784" w14:textId="77777777" w:rsidR="00CC0487" w:rsidRPr="003E7026" w:rsidRDefault="00CC0487" w:rsidP="00CC0487">
      <w:pPr>
        <w:keepNext/>
      </w:pPr>
    </w:p>
    <w:p w14:paraId="2B11AF60" w14:textId="77777777" w:rsidR="00CC0487" w:rsidRPr="003E7026" w:rsidRDefault="00CC0487" w:rsidP="00CC0487">
      <w:r w:rsidRPr="003E7026">
        <w:fldChar w:fldCharType="begin"/>
      </w:r>
      <w:r w:rsidRPr="003E7026">
        <w:instrText xml:space="preserve"> AUTONUM  </w:instrText>
      </w:r>
      <w:r w:rsidRPr="003E7026">
        <w:fldChar w:fldCharType="end"/>
      </w:r>
      <w:r w:rsidRPr="003E7026">
        <w:tab/>
        <w:t xml:space="preserve">Die UPOV wird weiterhin neues Anleitungsmaterial gemäß den Arbeitsprogrammen der betreffenden UPOV-Organe aktualisieren und ausarbeiten. </w:t>
      </w:r>
    </w:p>
    <w:p w14:paraId="6081C958" w14:textId="77777777" w:rsidR="00CC0487" w:rsidRPr="003E7026" w:rsidRDefault="00CC0487" w:rsidP="00CC0487"/>
    <w:p w14:paraId="6E161C24" w14:textId="77777777" w:rsidR="00CC0487" w:rsidRPr="003E7026" w:rsidRDefault="00CC0487" w:rsidP="00CC0487">
      <w:r w:rsidRPr="003E7026">
        <w:fldChar w:fldCharType="begin"/>
      </w:r>
      <w:r w:rsidRPr="003E7026">
        <w:instrText xml:space="preserve"> AUTONUM  </w:instrText>
      </w:r>
      <w:r w:rsidRPr="003E7026">
        <w:fldChar w:fldCharType="end"/>
      </w:r>
      <w:r w:rsidRPr="003E7026">
        <w:tab/>
        <w:t xml:space="preserve">UPOV-Materialien und -Ressourcen werden in Englisch, Französisch, Deutsch und Spanisch zur Verfügung gestellt. Da die UPOV jedoch wächst und das Interesse an einer UPOV-Mitgliedschaft steigt, bringt es wesentliche Vorteile mit sich, UPOV-Materialien und -Ressourcen in mehr Sprachen bereitzustellen. Das Bereitstellen von Übersetzungen von Materialien sowie das Bereitstellen in einer Reihe von Sprachen haben substanzielle Auswirkungen auf die Ressourcen, und der Erfolg dieser Zielvorgabe wird eine Reihe von Maßnahmen voraussetzen, einschließlich der Zusammenarbeit mit interessierten Verbandsmitgliedern. Durch die raschen Fortschritte bei den maschinellen Übersetzungstechnologien entstehen jedoch neue Möglichkeiten, denen Priorität eingeräumt wird, um die Übersetzungskosten für UPOV-Dokumente in UPOV-Sprachen zu senken und UPOV-Materialien in mehr Sprachen zu erstellen. </w:t>
      </w:r>
    </w:p>
    <w:p w14:paraId="614295D9" w14:textId="77777777" w:rsidR="00CC0487" w:rsidRPr="003E7026" w:rsidRDefault="00CC0487" w:rsidP="00CC0487">
      <w:pPr>
        <w:tabs>
          <w:tab w:val="left" w:pos="851"/>
        </w:tabs>
      </w:pPr>
    </w:p>
    <w:p w14:paraId="527BA0F0" w14:textId="77777777" w:rsidR="00CC0487" w:rsidRPr="003E7026" w:rsidRDefault="00CC0487" w:rsidP="00CC0487">
      <w:pPr>
        <w:pStyle w:val="Heading5"/>
        <w:rPr>
          <w:lang w:val="de-DE"/>
        </w:rPr>
      </w:pPr>
      <w:bookmarkStart w:id="446" w:name="_Toc117798893"/>
      <w:bookmarkStart w:id="447" w:name="_Toc107239598"/>
      <w:bookmarkStart w:id="448" w:name="_Toc107239348"/>
      <w:r w:rsidRPr="003E7026">
        <w:rPr>
          <w:lang w:val="de-DE"/>
        </w:rPr>
        <w:t>Schulung und Unterstützung</w:t>
      </w:r>
      <w:bookmarkEnd w:id="446"/>
      <w:bookmarkEnd w:id="447"/>
      <w:bookmarkEnd w:id="448"/>
    </w:p>
    <w:p w14:paraId="6BDA01BC" w14:textId="77777777" w:rsidR="00CC0487" w:rsidRPr="003E7026" w:rsidRDefault="00CC0487" w:rsidP="005A641D">
      <w:pPr>
        <w:keepNext/>
        <w:tabs>
          <w:tab w:val="left" w:pos="851"/>
        </w:tabs>
        <w:rPr>
          <w:color w:val="000000" w:themeColor="text1"/>
        </w:rPr>
      </w:pPr>
    </w:p>
    <w:p w14:paraId="25816E61" w14:textId="77777777" w:rsidR="00CC0487" w:rsidRPr="003E7026" w:rsidRDefault="00CC0487" w:rsidP="00CC0487">
      <w:r w:rsidRPr="003E7026">
        <w:fldChar w:fldCharType="begin"/>
      </w:r>
      <w:r w:rsidRPr="003E7026">
        <w:instrText xml:space="preserve"> AUTONUM  </w:instrText>
      </w:r>
      <w:r w:rsidRPr="003E7026">
        <w:fldChar w:fldCharType="end"/>
      </w:r>
      <w:r w:rsidRPr="003E7026">
        <w:tab/>
        <w:t>Die Schulungs- und Unterstützungsstrategie bildet die Grundlage für die Schulungs- und Unterstützungstätigkeiten.</w:t>
      </w:r>
    </w:p>
    <w:p w14:paraId="7174340F" w14:textId="77777777" w:rsidR="00CC0487" w:rsidRPr="003E7026" w:rsidRDefault="00CC0487" w:rsidP="00CC0487"/>
    <w:p w14:paraId="11FE25D4" w14:textId="77777777" w:rsidR="00CC0487" w:rsidRPr="003E7026" w:rsidRDefault="00CC0487" w:rsidP="00CC0487">
      <w:r w:rsidRPr="003E7026">
        <w:fldChar w:fldCharType="begin"/>
      </w:r>
      <w:r w:rsidRPr="003E7026">
        <w:instrText xml:space="preserve"> AUTONUM  </w:instrText>
      </w:r>
      <w:r w:rsidRPr="003E7026">
        <w:fldChar w:fldCharType="end"/>
      </w:r>
      <w:r w:rsidRPr="003E7026">
        <w:tab/>
        <w:t>Die Befriedigung der Nachfrage nach Unterstützung bei der Einführung und Umsetzung des UPOV-Systems im Rahmen der verfügbaren Mittel stützt sich auf den Einsatz von Fernlehrgängen, die vom Verbandsbüro gesetzten Prioritäten bei der Unterstützung, die Unterstützung durch Verbandsmitglieder und Partnerschaften mit anderen Anbietern von Unterstützung. Diese thematische Säule wird über den ordentlichen Haushalt finanziert, doch ein erheblicher Teil der für die Unterstützung eingesetzten Mittel stammt aus außeretatmäßigen Mitteln und Sachleistungen. Um die verfügbaren Mittel auf die wirksamste Art und Weise zu verwenden, wird das Verbandsbüro seinen Tätigkeiten auch weiterhin Priorität einräumen und weiterhin Synergien mit den Verbandsmitgliedern und anderen Partnern für seine Tätigkeiten untersuchen.</w:t>
      </w:r>
    </w:p>
    <w:p w14:paraId="5DFDEB96" w14:textId="77777777" w:rsidR="00CC0487" w:rsidRPr="003E7026" w:rsidRDefault="00CC0487" w:rsidP="00CC0487"/>
    <w:p w14:paraId="7143D4D2" w14:textId="77777777" w:rsidR="00CC0487" w:rsidRPr="003E7026" w:rsidRDefault="00CC0487" w:rsidP="00CC0487">
      <w:pPr>
        <w:rPr>
          <w:color w:val="000000" w:themeColor="text1"/>
        </w:rPr>
      </w:pPr>
      <w:r w:rsidRPr="003E7026">
        <w:rPr>
          <w:color w:val="000000" w:themeColor="text1"/>
        </w:rPr>
        <w:fldChar w:fldCharType="begin"/>
      </w:r>
      <w:r w:rsidRPr="003E7026">
        <w:rPr>
          <w:color w:val="000000" w:themeColor="text1"/>
        </w:rPr>
        <w:instrText xml:space="preserve"> AUTONUM  </w:instrText>
      </w:r>
      <w:r w:rsidRPr="003E7026">
        <w:rPr>
          <w:color w:val="000000" w:themeColor="text1"/>
        </w:rPr>
        <w:fldChar w:fldCharType="end"/>
      </w:r>
      <w:r w:rsidRPr="003E7026">
        <w:rPr>
          <w:color w:val="000000" w:themeColor="text1"/>
        </w:rPr>
        <w:tab/>
        <w:t>Das Verbandsbüro wird bei der Bereitstellung von Unterstützung weiterhin folgende Prioritäten setzen:</w:t>
      </w:r>
    </w:p>
    <w:p w14:paraId="52487BBE" w14:textId="77777777" w:rsidR="00CC0487" w:rsidRPr="003E7026" w:rsidRDefault="00CC0487" w:rsidP="00CC0487">
      <w:pPr>
        <w:keepNext/>
        <w:rPr>
          <w:color w:val="000000" w:themeColor="text1"/>
        </w:rPr>
      </w:pPr>
    </w:p>
    <w:p w14:paraId="41C000D0" w14:textId="77777777" w:rsidR="00CC0487" w:rsidRPr="003E7026" w:rsidRDefault="00CC0487" w:rsidP="00CC0487">
      <w:pPr>
        <w:keepNext/>
        <w:spacing w:after="120"/>
        <w:ind w:left="567"/>
        <w:rPr>
          <w:color w:val="000000" w:themeColor="text1"/>
        </w:rPr>
      </w:pPr>
      <w:r w:rsidRPr="003E7026">
        <w:rPr>
          <w:color w:val="000000" w:themeColor="text1"/>
        </w:rPr>
        <w:t xml:space="preserve">i) </w:t>
      </w:r>
      <w:r w:rsidRPr="003E7026">
        <w:rPr>
          <w:color w:val="000000" w:themeColor="text1"/>
        </w:rPr>
        <w:tab/>
        <w:t>Unterstützung für bestehende Verbandsmitglieder;</w:t>
      </w:r>
    </w:p>
    <w:p w14:paraId="7DEC0EC4" w14:textId="77777777" w:rsidR="00CC0487" w:rsidRPr="003E7026" w:rsidRDefault="00CC0487" w:rsidP="00CC0487">
      <w:pPr>
        <w:spacing w:after="120"/>
        <w:ind w:left="1134" w:hanging="567"/>
        <w:rPr>
          <w:color w:val="000000" w:themeColor="text1"/>
        </w:rPr>
      </w:pPr>
      <w:r w:rsidRPr="003E7026">
        <w:rPr>
          <w:color w:val="000000" w:themeColor="text1"/>
        </w:rPr>
        <w:t xml:space="preserve">ii) </w:t>
      </w:r>
      <w:r w:rsidRPr="003E7026">
        <w:rPr>
          <w:color w:val="000000" w:themeColor="text1"/>
        </w:rPr>
        <w:tab/>
        <w:t>Unterstützung von Staaten und bestimmten Organisationen, die nicht Mitglieder des Verbandes sind, insbesondere der Regierungen der Entwicklungsländer und der Länder im Übergang zur Marktwirtschaft, bei der Ausarbeitung von Rechtsvorschriften, die der Akte von 1991 des UPOV-Übereinkommens entsprechen, und beim Beitritt zum UPOV-Übereinkommen; und</w:t>
      </w:r>
    </w:p>
    <w:p w14:paraId="63FF61EC" w14:textId="77777777" w:rsidR="00CC0487" w:rsidRPr="003E7026" w:rsidRDefault="00CC0487" w:rsidP="00CC0487">
      <w:pPr>
        <w:tabs>
          <w:tab w:val="left" w:pos="567"/>
        </w:tabs>
        <w:ind w:left="1134" w:hanging="567"/>
        <w:rPr>
          <w:color w:val="000000" w:themeColor="text1"/>
        </w:rPr>
      </w:pPr>
      <w:r w:rsidRPr="003E7026">
        <w:rPr>
          <w:color w:val="000000" w:themeColor="text1"/>
        </w:rPr>
        <w:t xml:space="preserve">iii) </w:t>
      </w:r>
      <w:r w:rsidRPr="003E7026">
        <w:rPr>
          <w:color w:val="000000" w:themeColor="text1"/>
        </w:rPr>
        <w:tab/>
        <w:t>Unterstützung von Staaten und bestimmten Organisationen, die nicht Mitglieder des Verbandes sind, bei der Umsetzung von Rechtsvorschriften, die eine positive Entscheidung des Rates erhalten haben, gemäß ihrer Bindung bezüglich des Beitritts zum UPOV-Übereinkommen.</w:t>
      </w:r>
    </w:p>
    <w:p w14:paraId="575C8A27" w14:textId="77777777" w:rsidR="00CC0487" w:rsidRPr="003E7026" w:rsidRDefault="00CC0487" w:rsidP="00CC0487">
      <w:pPr>
        <w:tabs>
          <w:tab w:val="left" w:pos="851"/>
        </w:tabs>
        <w:rPr>
          <w:color w:val="000000" w:themeColor="text1"/>
        </w:rPr>
      </w:pPr>
    </w:p>
    <w:p w14:paraId="142CD7D5" w14:textId="77777777" w:rsidR="00CC0487" w:rsidRPr="00BF4ADE" w:rsidRDefault="00CC0487" w:rsidP="00CC0487">
      <w:r w:rsidRPr="003E7026">
        <w:rPr>
          <w:bCs/>
        </w:rPr>
        <w:fldChar w:fldCharType="begin"/>
      </w:r>
      <w:r w:rsidRPr="003E7026">
        <w:rPr>
          <w:bCs/>
        </w:rPr>
        <w:instrText xml:space="preserve"> AUTONUM  </w:instrText>
      </w:r>
      <w:r w:rsidRPr="003E7026">
        <w:rPr>
          <w:bCs/>
        </w:rPr>
        <w:fldChar w:fldCharType="end"/>
      </w:r>
      <w:r w:rsidRPr="003E7026">
        <w:rPr>
          <w:bCs/>
        </w:rPr>
        <w:tab/>
        <w:t>Veranstaltungen und Tätigkeiten, wie Tagungen, Seminare, Arbeitstagungen und Schulungsveranstaltungen werden weiterhin eine Schlüsselrolle bei der Unterstützung spielen. Es wird jedoch größeres Gewicht auf die Nutzung virtueller Tätigkeiten gelegt werden, um die Reichweite zu erhöhen, eine größere Wirkung zu erzielen, die Kosten zu senken und die Auswirkungen der Arbeit des Verbandsbüros auf die Umwelt zu verringern</w:t>
      </w:r>
      <w:r w:rsidRPr="003E7026">
        <w:t>.</w:t>
      </w:r>
      <w:r>
        <w:t xml:space="preserve"> </w:t>
      </w:r>
    </w:p>
    <w:p w14:paraId="1760BBCE" w14:textId="77777777" w:rsidR="00CC0487" w:rsidRPr="00BF4ADE" w:rsidRDefault="00CC0487" w:rsidP="00CC0487"/>
    <w:p w14:paraId="751194DD" w14:textId="77777777" w:rsidR="00CC0487" w:rsidRPr="00BF4ADE" w:rsidRDefault="00CC0487" w:rsidP="00CC0487">
      <w:r w:rsidRPr="00BF60A0">
        <w:fldChar w:fldCharType="begin"/>
      </w:r>
      <w:r w:rsidRPr="00BF60A0">
        <w:instrText xml:space="preserve"> AUTONUM  </w:instrText>
      </w:r>
      <w:r w:rsidRPr="00BF60A0">
        <w:fldChar w:fldCharType="end"/>
      </w:r>
      <w:r w:rsidRPr="00BF60A0">
        <w:tab/>
        <w:t>Das UPOV e-PVP-System (vergleiche Abschnitt 3.1) soll die Arbeit der UPOV im Bereich der Schulung</w:t>
      </w:r>
      <w:r w:rsidRPr="00EC08E2">
        <w:t xml:space="preserve"> und des Kapazitätsaufbaus ergänzen, indem es den Verbandsmitgliedern praktische Unterstützung bei der Umsetzung des Sortenschutzsystems bietet</w:t>
      </w:r>
      <w:r w:rsidRPr="00BF4ADE">
        <w:t xml:space="preserve">. </w:t>
      </w:r>
    </w:p>
    <w:p w14:paraId="3E88E9FB" w14:textId="77777777" w:rsidR="00CC0487" w:rsidRPr="00BF4ADE" w:rsidRDefault="00CC0487" w:rsidP="00CC0487"/>
    <w:p w14:paraId="25851A3A" w14:textId="77777777" w:rsidR="00CC0487" w:rsidRPr="003E7026" w:rsidRDefault="00CC0487" w:rsidP="00CC0487">
      <w:r w:rsidRPr="003E7026">
        <w:fldChar w:fldCharType="begin"/>
      </w:r>
      <w:r w:rsidRPr="003E7026">
        <w:instrText xml:space="preserve"> AUTONUM  </w:instrText>
      </w:r>
      <w:r w:rsidRPr="003E7026">
        <w:fldChar w:fldCharType="end"/>
      </w:r>
      <w:r w:rsidRPr="003E7026">
        <w:tab/>
        <w:t>Um die verschiedenen von der UPOV und ihren Mitgliedern durchgeführten Ausbildungsinitiativen besser nutzbar zu machen, wird die UPOV ein „Internationales Sortenschutzzertifikat“ entwickeln.</w:t>
      </w:r>
    </w:p>
    <w:p w14:paraId="7E4BE6F4" w14:textId="77777777" w:rsidR="00CC0487" w:rsidRPr="003E7026" w:rsidRDefault="00CC0487" w:rsidP="00CC0487">
      <w:pPr>
        <w:tabs>
          <w:tab w:val="left" w:pos="851"/>
        </w:tabs>
        <w:rPr>
          <w:color w:val="000000" w:themeColor="text1"/>
        </w:rPr>
      </w:pPr>
    </w:p>
    <w:p w14:paraId="40E80E36" w14:textId="77777777" w:rsidR="00CC0487" w:rsidRPr="003E7026" w:rsidRDefault="00CC0487" w:rsidP="00CC0487">
      <w:pPr>
        <w:pStyle w:val="Heading4"/>
        <w:rPr>
          <w:color w:val="000000"/>
          <w:lang w:val="de-DE"/>
          <w14:textFill>
            <w14:solidFill>
              <w14:srgbClr w14:val="000000">
                <w14:lumMod w14:val="75000"/>
              </w14:srgbClr>
            </w14:solidFill>
          </w14:textFill>
        </w:rPr>
      </w:pPr>
      <w:bookmarkStart w:id="449" w:name="_Toc117798894"/>
      <w:bookmarkStart w:id="450" w:name="_Toc107239599"/>
      <w:bookmarkStart w:id="451" w:name="_Toc107239349"/>
      <w:r w:rsidRPr="003E7026">
        <w:rPr>
          <w:lang w:val="de-DE"/>
        </w:rPr>
        <w:t xml:space="preserve">2.3 </w:t>
      </w:r>
      <w:bookmarkEnd w:id="449"/>
      <w:bookmarkEnd w:id="450"/>
      <w:bookmarkEnd w:id="451"/>
      <w:r w:rsidRPr="003E7026">
        <w:rPr>
          <w:lang w:val="de-DE"/>
        </w:rPr>
        <w:tab/>
        <w:t>Verstärkte Harmonisierung und Zusammenarbeit bei Prüfungen</w:t>
      </w:r>
    </w:p>
    <w:p w14:paraId="2175F2EE" w14:textId="77777777" w:rsidR="00CC0487" w:rsidRPr="003E7026" w:rsidRDefault="00CC0487" w:rsidP="00CC0487">
      <w:pPr>
        <w:tabs>
          <w:tab w:val="left" w:pos="851"/>
        </w:tabs>
        <w:rPr>
          <w:color w:val="000000" w:themeColor="text1"/>
        </w:rPr>
      </w:pPr>
    </w:p>
    <w:p w14:paraId="44F5489C" w14:textId="77777777" w:rsidR="00CC0487" w:rsidRPr="00BF4ADE" w:rsidRDefault="00CC0487" w:rsidP="00CC0487">
      <w:pPr>
        <w:rPr>
          <w:bCs/>
          <w:color w:val="000000" w:themeColor="text1"/>
          <w:szCs w:val="24"/>
        </w:rPr>
      </w:pPr>
      <w:r w:rsidRPr="003E7026">
        <w:rPr>
          <w:bCs/>
          <w:color w:val="000000" w:themeColor="text1"/>
          <w:szCs w:val="24"/>
        </w:rPr>
        <w:fldChar w:fldCharType="begin"/>
      </w:r>
      <w:r w:rsidRPr="003E7026">
        <w:rPr>
          <w:bCs/>
          <w:color w:val="000000" w:themeColor="text1"/>
          <w:szCs w:val="24"/>
        </w:rPr>
        <w:instrText xml:space="preserve"> AUTONUM  </w:instrText>
      </w:r>
      <w:r w:rsidRPr="003E7026">
        <w:rPr>
          <w:bCs/>
          <w:color w:val="000000" w:themeColor="text1"/>
          <w:szCs w:val="24"/>
        </w:rPr>
        <w:fldChar w:fldCharType="end"/>
      </w:r>
      <w:r w:rsidRPr="003E7026">
        <w:rPr>
          <w:bCs/>
          <w:color w:val="000000" w:themeColor="text1"/>
          <w:szCs w:val="24"/>
        </w:rPr>
        <w:tab/>
        <w:t>Die Zusammenarbeit zwischen den Verbandsmitgliedern ist ein Hauptmerkmal des UPOV-Systems und bildet die Grundlage für ein wirksames System, das zu einer rascheren Verfügbarkeit neuer Sorten und niedrigeren Kosten für die Züchter führt. Um auf die Herausforderungen zu reagieren, vor denen die Landwirtschaft insbesondere im Zusammenhang mit dem Klimawandel und der Ernährungssicherheit steht, wird einer verstärkten Zusammenarbeit, die die Verfügbarkeit neuer Pflanzensorten erhöht, Priorität</w:t>
      </w:r>
      <w:r w:rsidRPr="008C3910">
        <w:rPr>
          <w:bCs/>
          <w:color w:val="000000" w:themeColor="text1"/>
          <w:szCs w:val="24"/>
        </w:rPr>
        <w:t xml:space="preserve"> eingeräumt werden. Daher werden die Arbeiten in den UPOV-Organen </w:t>
      </w:r>
      <w:r>
        <w:rPr>
          <w:bCs/>
          <w:color w:val="000000" w:themeColor="text1"/>
          <w:szCs w:val="24"/>
        </w:rPr>
        <w:t>weiterhin</w:t>
      </w:r>
      <w:r w:rsidRPr="008C3910">
        <w:rPr>
          <w:bCs/>
          <w:color w:val="000000" w:themeColor="text1"/>
          <w:szCs w:val="24"/>
        </w:rPr>
        <w:t xml:space="preserve"> Maßnahmen und Instrumente </w:t>
      </w:r>
      <w:r w:rsidRPr="00BF60A0">
        <w:rPr>
          <w:bCs/>
          <w:color w:val="000000" w:themeColor="text1"/>
          <w:szCs w:val="24"/>
        </w:rPr>
        <w:t>ermitteln, die die Zusammenarbeit auf freiwilliger Basis erleichtern können. Im Technischen Ausschuss findet eine Überprüfung statt, um die Möglichkeiten für eine effizientere Arbeit des Technischen Ausschusses zu bewerten, insbesondere im Hinblick auf eine verstärkte Zusammenarbeit als grundlegenden Vorteil der UPOV-Mitgliedschaft (vergleiche Abschnitt 1.1).</w:t>
      </w:r>
    </w:p>
    <w:p w14:paraId="10EF72B3" w14:textId="77777777" w:rsidR="00CC0487" w:rsidRPr="00BF4ADE" w:rsidRDefault="00CC0487" w:rsidP="00CC0487">
      <w:pPr>
        <w:rPr>
          <w:bCs/>
          <w:color w:val="000000" w:themeColor="text1"/>
          <w:szCs w:val="24"/>
        </w:rPr>
      </w:pPr>
    </w:p>
    <w:p w14:paraId="4D0FF154" w14:textId="77777777" w:rsidR="00CC0487" w:rsidRPr="00BF4ADE" w:rsidRDefault="00CC0487" w:rsidP="00CC0487">
      <w:pPr>
        <w:rPr>
          <w:bCs/>
          <w:color w:val="000000" w:themeColor="text1"/>
          <w:szCs w:val="24"/>
        </w:rPr>
      </w:pPr>
      <w:r w:rsidRPr="003E7026">
        <w:rPr>
          <w:bCs/>
          <w:color w:val="000000" w:themeColor="text1"/>
          <w:szCs w:val="24"/>
        </w:rPr>
        <w:fldChar w:fldCharType="begin"/>
      </w:r>
      <w:r w:rsidRPr="003E7026">
        <w:rPr>
          <w:bCs/>
          <w:color w:val="000000" w:themeColor="text1"/>
          <w:szCs w:val="24"/>
        </w:rPr>
        <w:instrText xml:space="preserve"> AUTONUM  </w:instrText>
      </w:r>
      <w:r w:rsidRPr="003E7026">
        <w:rPr>
          <w:bCs/>
          <w:color w:val="000000" w:themeColor="text1"/>
          <w:szCs w:val="24"/>
        </w:rPr>
        <w:fldChar w:fldCharType="end"/>
      </w:r>
      <w:r w:rsidRPr="003E7026">
        <w:rPr>
          <w:bCs/>
          <w:color w:val="000000" w:themeColor="text1"/>
          <w:szCs w:val="24"/>
        </w:rPr>
        <w:tab/>
        <w:t>Die Einführung eines „Internationalen Sortenschutzzertifikats“ soll die Zusammenarbeit zwischen</w:t>
      </w:r>
      <w:r w:rsidRPr="00BF4ADE">
        <w:rPr>
          <w:bCs/>
          <w:color w:val="000000" w:themeColor="text1"/>
          <w:szCs w:val="24"/>
        </w:rPr>
        <w:t xml:space="preserve"> Verbandsmitgliedern erleichtern, indem es einen Indikator für die von den Sortenschutzbeamten und -prüfern </w:t>
      </w:r>
      <w:r w:rsidRPr="00BF60A0">
        <w:rPr>
          <w:bCs/>
          <w:color w:val="000000" w:themeColor="text1"/>
          <w:szCs w:val="24"/>
        </w:rPr>
        <w:t>erworbenen Fähigkeiten darstellt (vergleiche Abschnitt 2.2).</w:t>
      </w:r>
    </w:p>
    <w:p w14:paraId="77A9F51C" w14:textId="77777777" w:rsidR="00CC0487" w:rsidRPr="00BF4ADE" w:rsidRDefault="00CC0487" w:rsidP="00CC0487">
      <w:pPr>
        <w:rPr>
          <w:bCs/>
          <w:color w:val="000000" w:themeColor="text1"/>
          <w:szCs w:val="24"/>
        </w:rPr>
      </w:pPr>
    </w:p>
    <w:p w14:paraId="4E2D2BF5" w14:textId="77777777" w:rsidR="00CC0487" w:rsidRPr="003E7026" w:rsidRDefault="00CC0487" w:rsidP="00CC0487">
      <w:pPr>
        <w:rPr>
          <w:bCs/>
          <w:szCs w:val="24"/>
        </w:rPr>
      </w:pPr>
      <w:r w:rsidRPr="003E7026">
        <w:rPr>
          <w:bCs/>
          <w:szCs w:val="24"/>
        </w:rPr>
        <w:fldChar w:fldCharType="begin"/>
      </w:r>
      <w:r w:rsidRPr="003E7026">
        <w:rPr>
          <w:bCs/>
          <w:szCs w:val="24"/>
        </w:rPr>
        <w:instrText xml:space="preserve"> AUTONUM  </w:instrText>
      </w:r>
      <w:r w:rsidRPr="003E7026">
        <w:rPr>
          <w:bCs/>
          <w:szCs w:val="24"/>
        </w:rPr>
        <w:fldChar w:fldCharType="end"/>
      </w:r>
      <w:r w:rsidRPr="003E7026">
        <w:rPr>
          <w:bCs/>
          <w:szCs w:val="24"/>
        </w:rPr>
        <w:tab/>
        <w:t xml:space="preserve">Der Technische Ausschuss ermittelte eine Reihe technischer, administrativer, politischer und rechtlicher Fragen, die Hindernisse für eine weitere Zusammenarbeit bei der DUS-Prüfung darstellen könnten. Ein Hauptziel in der Rechnungsperiode </w:t>
      </w:r>
      <w:r w:rsidRPr="003E7026">
        <w:rPr>
          <w:bCs/>
          <w:snapToGrid w:val="0"/>
          <w:szCs w:val="24"/>
        </w:rPr>
        <w:t xml:space="preserve">2024-2025 </w:t>
      </w:r>
      <w:r w:rsidRPr="003E7026">
        <w:rPr>
          <w:bCs/>
          <w:szCs w:val="24"/>
        </w:rPr>
        <w:t>wird darin bestehen, diese potentiellen Hindernisse anzugehen, um die Zusammenarbeit zu verstärken und dadurch die Wirksamkeit der DUS-Prüfung zu erhöhen.</w:t>
      </w:r>
    </w:p>
    <w:p w14:paraId="35FC285A" w14:textId="77777777" w:rsidR="00CC0487" w:rsidRPr="003E7026" w:rsidRDefault="00CC0487" w:rsidP="00CC0487">
      <w:pPr>
        <w:rPr>
          <w:bCs/>
          <w:szCs w:val="24"/>
        </w:rPr>
      </w:pPr>
    </w:p>
    <w:p w14:paraId="25A4D013" w14:textId="77777777" w:rsidR="00CC0487" w:rsidRPr="003E7026" w:rsidRDefault="00CC0487" w:rsidP="00CC0487">
      <w:pPr>
        <w:pStyle w:val="Heading3"/>
        <w:rPr>
          <w:lang w:val="de-DE"/>
        </w:rPr>
      </w:pPr>
      <w:bookmarkStart w:id="452" w:name="_Toc128060730"/>
      <w:r w:rsidRPr="003E7026">
        <w:rPr>
          <w:lang w:val="de-DE"/>
        </w:rPr>
        <w:lastRenderedPageBreak/>
        <w:t>Erwartete Ergebnisse und Planerfüllungsindikatoren</w:t>
      </w:r>
      <w:bookmarkEnd w:id="452"/>
      <w:r w:rsidRPr="003E7026">
        <w:rPr>
          <w:lang w:val="de-DE"/>
        </w:rPr>
        <w:t xml:space="preserve"> </w:t>
      </w:r>
    </w:p>
    <w:p w14:paraId="3ECF3867" w14:textId="77777777" w:rsidR="00CC0487" w:rsidRPr="003E7026" w:rsidRDefault="00CC0487" w:rsidP="00CC0487">
      <w:pPr>
        <w:keepNext/>
        <w:rPr>
          <w:bCs/>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4"/>
        <w:gridCol w:w="305"/>
        <w:gridCol w:w="2677"/>
        <w:gridCol w:w="1413"/>
        <w:gridCol w:w="1559"/>
      </w:tblGrid>
      <w:tr w:rsidR="00CC0487" w:rsidRPr="003E7026" w14:paraId="4D16119A" w14:textId="77777777" w:rsidTr="00DB6666">
        <w:trPr>
          <w:tblHeader/>
        </w:trPr>
        <w:tc>
          <w:tcPr>
            <w:tcW w:w="426" w:type="dxa"/>
            <w:tcBorders>
              <w:bottom w:val="single" w:sz="4" w:space="0" w:color="D9D9D9" w:themeColor="background1" w:themeShade="D9"/>
            </w:tcBorders>
            <w:shd w:val="clear" w:color="auto" w:fill="E2E7EB" w:themeFill="accent3" w:themeFillTint="33"/>
          </w:tcPr>
          <w:p w14:paraId="2EB3968B" w14:textId="77777777" w:rsidR="00CC0487" w:rsidRPr="003E7026" w:rsidRDefault="00CC0487" w:rsidP="00DB6666">
            <w:pPr>
              <w:jc w:val="left"/>
              <w:rPr>
                <w:b/>
                <w:bCs/>
                <w:sz w:val="16"/>
                <w:szCs w:val="16"/>
              </w:rPr>
            </w:pPr>
          </w:p>
        </w:tc>
        <w:tc>
          <w:tcPr>
            <w:tcW w:w="3255" w:type="dxa"/>
            <w:tcBorders>
              <w:bottom w:val="single" w:sz="4" w:space="0" w:color="D9D9D9" w:themeColor="background1" w:themeShade="D9"/>
            </w:tcBorders>
            <w:shd w:val="clear" w:color="auto" w:fill="E2E7EB" w:themeFill="accent3" w:themeFillTint="33"/>
          </w:tcPr>
          <w:p w14:paraId="3AA32525" w14:textId="77777777" w:rsidR="00CC0487" w:rsidRPr="003E7026" w:rsidRDefault="00CC0487" w:rsidP="00DB6666">
            <w:pPr>
              <w:jc w:val="left"/>
              <w:rPr>
                <w:b/>
                <w:bCs/>
                <w:sz w:val="16"/>
                <w:szCs w:val="16"/>
              </w:rPr>
            </w:pPr>
            <w:r w:rsidRPr="003E7026">
              <w:rPr>
                <w:b/>
                <w:bCs/>
                <w:sz w:val="16"/>
                <w:szCs w:val="16"/>
              </w:rPr>
              <w:t>Erwartete Ergebnisse</w:t>
            </w:r>
          </w:p>
        </w:tc>
        <w:tc>
          <w:tcPr>
            <w:tcW w:w="305" w:type="dxa"/>
            <w:tcBorders>
              <w:bottom w:val="single" w:sz="4" w:space="0" w:color="D9D9D9" w:themeColor="background1" w:themeShade="D9"/>
            </w:tcBorders>
            <w:shd w:val="clear" w:color="auto" w:fill="E2E7EB" w:themeFill="accent3" w:themeFillTint="33"/>
          </w:tcPr>
          <w:p w14:paraId="1FD4BD55" w14:textId="77777777" w:rsidR="00CC0487" w:rsidRPr="003E7026" w:rsidRDefault="00CC0487" w:rsidP="00DB6666">
            <w:pPr>
              <w:jc w:val="center"/>
              <w:rPr>
                <w:b/>
                <w:bCs/>
                <w:sz w:val="16"/>
                <w:szCs w:val="16"/>
              </w:rPr>
            </w:pPr>
          </w:p>
        </w:tc>
        <w:tc>
          <w:tcPr>
            <w:tcW w:w="2677" w:type="dxa"/>
            <w:tcBorders>
              <w:bottom w:val="single" w:sz="4" w:space="0" w:color="D9D9D9" w:themeColor="background1" w:themeShade="D9"/>
            </w:tcBorders>
            <w:shd w:val="clear" w:color="auto" w:fill="E2E7EB" w:themeFill="accent3" w:themeFillTint="33"/>
          </w:tcPr>
          <w:p w14:paraId="3F7024E5" w14:textId="77777777" w:rsidR="00CC0487" w:rsidRPr="003E7026" w:rsidRDefault="00CC0487" w:rsidP="00DB6666">
            <w:pPr>
              <w:rPr>
                <w:b/>
                <w:bCs/>
                <w:sz w:val="16"/>
                <w:szCs w:val="16"/>
              </w:rPr>
            </w:pPr>
            <w:r w:rsidRPr="003E7026">
              <w:rPr>
                <w:b/>
                <w:bCs/>
                <w:sz w:val="16"/>
                <w:szCs w:val="16"/>
              </w:rPr>
              <w:t>Planerfüllungsindikatoren</w:t>
            </w:r>
          </w:p>
        </w:tc>
        <w:tc>
          <w:tcPr>
            <w:tcW w:w="1412" w:type="dxa"/>
            <w:tcBorders>
              <w:bottom w:val="single" w:sz="4" w:space="0" w:color="D9D9D9" w:themeColor="background1" w:themeShade="D9"/>
            </w:tcBorders>
            <w:shd w:val="clear" w:color="auto" w:fill="E2E7EB" w:themeFill="accent3" w:themeFillTint="33"/>
          </w:tcPr>
          <w:p w14:paraId="4C4435D0" w14:textId="77777777" w:rsidR="00CC0487" w:rsidRPr="003E7026" w:rsidRDefault="00CC0487" w:rsidP="00DB6666">
            <w:pPr>
              <w:jc w:val="center"/>
              <w:rPr>
                <w:b/>
                <w:bCs/>
                <w:sz w:val="16"/>
                <w:szCs w:val="16"/>
              </w:rPr>
            </w:pPr>
            <w:r w:rsidRPr="003E7026">
              <w:rPr>
                <w:b/>
                <w:bCs/>
                <w:sz w:val="16"/>
                <w:szCs w:val="16"/>
              </w:rPr>
              <w:t>Referenzwerte</w:t>
            </w:r>
          </w:p>
        </w:tc>
        <w:tc>
          <w:tcPr>
            <w:tcW w:w="1559" w:type="dxa"/>
            <w:tcBorders>
              <w:bottom w:val="single" w:sz="4" w:space="0" w:color="D9D9D9" w:themeColor="background1" w:themeShade="D9"/>
            </w:tcBorders>
            <w:shd w:val="clear" w:color="auto" w:fill="E2E7EB" w:themeFill="accent3" w:themeFillTint="33"/>
          </w:tcPr>
          <w:p w14:paraId="6FD1577C" w14:textId="77777777" w:rsidR="00CC0487" w:rsidRPr="003E7026" w:rsidRDefault="00CC0487" w:rsidP="00DB6666">
            <w:pPr>
              <w:jc w:val="center"/>
              <w:rPr>
                <w:b/>
                <w:bCs/>
                <w:sz w:val="16"/>
                <w:szCs w:val="16"/>
              </w:rPr>
            </w:pPr>
            <w:r w:rsidRPr="003E7026">
              <w:rPr>
                <w:b/>
                <w:bCs/>
                <w:sz w:val="16"/>
                <w:szCs w:val="16"/>
              </w:rPr>
              <w:t>Ziele (2024/25)</w:t>
            </w:r>
          </w:p>
        </w:tc>
      </w:tr>
      <w:tr w:rsidR="00CC0487" w:rsidRPr="003E7026" w14:paraId="6FC41D90" w14:textId="77777777" w:rsidTr="00DB6666">
        <w:tc>
          <w:tcPr>
            <w:tcW w:w="426" w:type="dxa"/>
            <w:tcBorders>
              <w:top w:val="single" w:sz="4" w:space="0" w:color="D9D9D9" w:themeColor="background1" w:themeShade="D9"/>
            </w:tcBorders>
          </w:tcPr>
          <w:p w14:paraId="62AE2DF7" w14:textId="77777777" w:rsidR="00CC0487" w:rsidRPr="003E7026" w:rsidRDefault="00CC0487" w:rsidP="00DB6666">
            <w:pPr>
              <w:jc w:val="left"/>
              <w:rPr>
                <w:rFonts w:cs="Arial"/>
                <w:sz w:val="16"/>
                <w:szCs w:val="16"/>
              </w:rPr>
            </w:pPr>
            <w:r w:rsidRPr="003E7026">
              <w:rPr>
                <w:rFonts w:cs="Arial"/>
                <w:sz w:val="16"/>
                <w:szCs w:val="16"/>
              </w:rPr>
              <w:t>2.1</w:t>
            </w:r>
          </w:p>
        </w:tc>
        <w:tc>
          <w:tcPr>
            <w:tcW w:w="3255" w:type="dxa"/>
            <w:tcBorders>
              <w:top w:val="single" w:sz="4" w:space="0" w:color="D9D9D9" w:themeColor="background1" w:themeShade="D9"/>
            </w:tcBorders>
            <w:shd w:val="clear" w:color="auto" w:fill="auto"/>
          </w:tcPr>
          <w:p w14:paraId="4F264195" w14:textId="77777777" w:rsidR="00CC0487" w:rsidRPr="003E7026" w:rsidRDefault="00CC0487" w:rsidP="00DB6666">
            <w:pPr>
              <w:jc w:val="left"/>
              <w:rPr>
                <w:rFonts w:cs="Arial"/>
                <w:sz w:val="16"/>
                <w:szCs w:val="16"/>
              </w:rPr>
            </w:pPr>
            <w:r w:rsidRPr="003E7026">
              <w:rPr>
                <w:rFonts w:cs="Arial"/>
                <w:sz w:val="16"/>
                <w:szCs w:val="16"/>
              </w:rPr>
              <w:t>Stärkeres Bewusstsein für die Rolle des UPOV-Systems</w:t>
            </w:r>
          </w:p>
        </w:tc>
        <w:tc>
          <w:tcPr>
            <w:tcW w:w="305" w:type="dxa"/>
            <w:tcBorders>
              <w:top w:val="single" w:sz="4" w:space="0" w:color="D9D9D9" w:themeColor="background1" w:themeShade="D9"/>
            </w:tcBorders>
            <w:shd w:val="clear" w:color="auto" w:fill="auto"/>
          </w:tcPr>
          <w:p w14:paraId="09AEDDB4" w14:textId="77777777" w:rsidR="00CC0487" w:rsidRPr="003E7026" w:rsidRDefault="00CC0487" w:rsidP="00DB6666">
            <w:pPr>
              <w:jc w:val="left"/>
              <w:rPr>
                <w:rFonts w:cs="Arial"/>
                <w:sz w:val="16"/>
                <w:szCs w:val="16"/>
              </w:rPr>
            </w:pPr>
          </w:p>
        </w:tc>
        <w:tc>
          <w:tcPr>
            <w:tcW w:w="2677" w:type="dxa"/>
            <w:tcBorders>
              <w:top w:val="single" w:sz="4" w:space="0" w:color="D9D9D9" w:themeColor="background1" w:themeShade="D9"/>
            </w:tcBorders>
            <w:shd w:val="clear" w:color="auto" w:fill="auto"/>
          </w:tcPr>
          <w:p w14:paraId="147BFD70" w14:textId="77777777" w:rsidR="00CC0487" w:rsidRPr="003E7026" w:rsidRDefault="00CC0487" w:rsidP="00DB6666">
            <w:pPr>
              <w:jc w:val="left"/>
              <w:rPr>
                <w:rFonts w:cs="Arial"/>
                <w:sz w:val="16"/>
                <w:szCs w:val="16"/>
              </w:rPr>
            </w:pPr>
            <w:r w:rsidRPr="003E7026">
              <w:rPr>
                <w:rFonts w:cs="Arial"/>
                <w:sz w:val="16"/>
                <w:szCs w:val="16"/>
              </w:rPr>
              <w:t>Ansichten von UPOV-Informationen</w:t>
            </w:r>
          </w:p>
        </w:tc>
        <w:tc>
          <w:tcPr>
            <w:tcW w:w="1412" w:type="dxa"/>
            <w:tcBorders>
              <w:top w:val="single" w:sz="4" w:space="0" w:color="D9D9D9" w:themeColor="background1" w:themeShade="D9"/>
            </w:tcBorders>
            <w:shd w:val="clear" w:color="auto" w:fill="auto"/>
          </w:tcPr>
          <w:p w14:paraId="73B66A41" w14:textId="77777777" w:rsidR="00CC0487" w:rsidRPr="003E7026" w:rsidRDefault="00CC0487" w:rsidP="00DB6666">
            <w:pPr>
              <w:jc w:val="center"/>
              <w:rPr>
                <w:rFonts w:cs="Arial"/>
                <w:sz w:val="16"/>
                <w:szCs w:val="16"/>
              </w:rPr>
            </w:pPr>
          </w:p>
        </w:tc>
        <w:tc>
          <w:tcPr>
            <w:tcW w:w="1559" w:type="dxa"/>
            <w:tcBorders>
              <w:top w:val="single" w:sz="4" w:space="0" w:color="D9D9D9" w:themeColor="background1" w:themeShade="D9"/>
            </w:tcBorders>
            <w:shd w:val="clear" w:color="auto" w:fill="auto"/>
          </w:tcPr>
          <w:p w14:paraId="38174523" w14:textId="77777777" w:rsidR="00CC0487" w:rsidRPr="003E7026" w:rsidRDefault="00CC0487" w:rsidP="00DB6666">
            <w:pPr>
              <w:jc w:val="center"/>
              <w:rPr>
                <w:rFonts w:cs="Arial"/>
                <w:sz w:val="16"/>
                <w:szCs w:val="16"/>
              </w:rPr>
            </w:pPr>
          </w:p>
        </w:tc>
      </w:tr>
      <w:tr w:rsidR="00CC0487" w:rsidRPr="003E7026" w14:paraId="39DADA3F" w14:textId="77777777" w:rsidTr="00DB6666">
        <w:tc>
          <w:tcPr>
            <w:tcW w:w="426" w:type="dxa"/>
          </w:tcPr>
          <w:p w14:paraId="51AF12F3" w14:textId="77777777" w:rsidR="00CC0487" w:rsidRPr="003E7026" w:rsidRDefault="00CC0487" w:rsidP="00DB6666">
            <w:pPr>
              <w:jc w:val="left"/>
              <w:rPr>
                <w:rFonts w:cs="Arial"/>
                <w:sz w:val="16"/>
                <w:szCs w:val="16"/>
              </w:rPr>
            </w:pPr>
          </w:p>
        </w:tc>
        <w:tc>
          <w:tcPr>
            <w:tcW w:w="3255" w:type="dxa"/>
            <w:shd w:val="clear" w:color="auto" w:fill="auto"/>
          </w:tcPr>
          <w:p w14:paraId="4476D503" w14:textId="77777777" w:rsidR="00CC0487" w:rsidRPr="003E7026" w:rsidRDefault="00CC0487" w:rsidP="00DB6666">
            <w:pPr>
              <w:jc w:val="left"/>
              <w:rPr>
                <w:rFonts w:cs="Arial"/>
                <w:sz w:val="16"/>
                <w:szCs w:val="16"/>
              </w:rPr>
            </w:pPr>
          </w:p>
        </w:tc>
        <w:tc>
          <w:tcPr>
            <w:tcW w:w="305" w:type="dxa"/>
            <w:shd w:val="clear" w:color="auto" w:fill="auto"/>
          </w:tcPr>
          <w:p w14:paraId="1DD69AAD" w14:textId="77777777" w:rsidR="00CC0487" w:rsidRPr="003E7026" w:rsidRDefault="00CC0487" w:rsidP="00DB6666">
            <w:pPr>
              <w:jc w:val="left"/>
              <w:rPr>
                <w:rFonts w:cs="Arial"/>
                <w:sz w:val="16"/>
                <w:szCs w:val="16"/>
              </w:rPr>
            </w:pPr>
          </w:p>
        </w:tc>
        <w:tc>
          <w:tcPr>
            <w:tcW w:w="2677" w:type="dxa"/>
            <w:shd w:val="clear" w:color="auto" w:fill="auto"/>
          </w:tcPr>
          <w:p w14:paraId="4CF8965E" w14:textId="77777777" w:rsidR="00CC0487" w:rsidRPr="003E7026" w:rsidRDefault="00CC0487" w:rsidP="00DB6666">
            <w:pPr>
              <w:ind w:left="284"/>
              <w:jc w:val="left"/>
              <w:rPr>
                <w:rFonts w:cs="Arial"/>
                <w:sz w:val="16"/>
                <w:szCs w:val="16"/>
              </w:rPr>
            </w:pPr>
            <w:r w:rsidRPr="003E7026">
              <w:rPr>
                <w:rFonts w:cs="Arial"/>
                <w:sz w:val="16"/>
                <w:szCs w:val="16"/>
              </w:rPr>
              <w:t>Besuche der UPOV-Website</w:t>
            </w:r>
          </w:p>
        </w:tc>
        <w:tc>
          <w:tcPr>
            <w:tcW w:w="1412" w:type="dxa"/>
            <w:shd w:val="clear" w:color="auto" w:fill="auto"/>
          </w:tcPr>
          <w:p w14:paraId="77AD84D6" w14:textId="77777777" w:rsidR="00CC0487" w:rsidRPr="003E7026" w:rsidRDefault="00CC0487" w:rsidP="00DB6666">
            <w:pPr>
              <w:jc w:val="center"/>
              <w:rPr>
                <w:rFonts w:cs="Arial"/>
                <w:sz w:val="16"/>
                <w:szCs w:val="16"/>
              </w:rPr>
            </w:pPr>
            <w:r w:rsidRPr="003E7026">
              <w:rPr>
                <w:rFonts w:cs="Arial"/>
                <w:sz w:val="16"/>
                <w:szCs w:val="16"/>
              </w:rPr>
              <w:t>Besuche: 880.000 (2022)</w:t>
            </w:r>
          </w:p>
        </w:tc>
        <w:tc>
          <w:tcPr>
            <w:tcW w:w="1559" w:type="dxa"/>
            <w:shd w:val="clear" w:color="auto" w:fill="auto"/>
          </w:tcPr>
          <w:p w14:paraId="56CE0D23" w14:textId="77777777" w:rsidR="00CC0487" w:rsidRPr="003E7026" w:rsidRDefault="00CC0487" w:rsidP="00DB6666">
            <w:pPr>
              <w:jc w:val="center"/>
              <w:rPr>
                <w:rFonts w:cs="Arial"/>
                <w:sz w:val="16"/>
                <w:szCs w:val="16"/>
              </w:rPr>
            </w:pPr>
            <w:r w:rsidRPr="003E7026">
              <w:rPr>
                <w:rFonts w:cs="Arial"/>
                <w:sz w:val="16"/>
                <w:szCs w:val="16"/>
              </w:rPr>
              <w:t>Besuche: 1.250.000 (2025)</w:t>
            </w:r>
          </w:p>
        </w:tc>
      </w:tr>
      <w:tr w:rsidR="00CC0487" w:rsidRPr="003E7026" w14:paraId="27A88B23" w14:textId="77777777" w:rsidTr="00DB6666">
        <w:tc>
          <w:tcPr>
            <w:tcW w:w="426" w:type="dxa"/>
          </w:tcPr>
          <w:p w14:paraId="1BF37742" w14:textId="77777777" w:rsidR="00CC0487" w:rsidRPr="003E7026" w:rsidRDefault="00CC0487" w:rsidP="00DB6666">
            <w:pPr>
              <w:jc w:val="left"/>
              <w:rPr>
                <w:rFonts w:cs="Arial"/>
                <w:sz w:val="16"/>
                <w:szCs w:val="16"/>
              </w:rPr>
            </w:pPr>
          </w:p>
        </w:tc>
        <w:tc>
          <w:tcPr>
            <w:tcW w:w="3255" w:type="dxa"/>
            <w:shd w:val="clear" w:color="auto" w:fill="auto"/>
          </w:tcPr>
          <w:p w14:paraId="6632E6AE" w14:textId="77777777" w:rsidR="00CC0487" w:rsidRPr="003E7026" w:rsidRDefault="00CC0487" w:rsidP="00DB6666">
            <w:pPr>
              <w:jc w:val="left"/>
              <w:rPr>
                <w:rFonts w:cs="Arial"/>
                <w:sz w:val="16"/>
                <w:szCs w:val="16"/>
              </w:rPr>
            </w:pPr>
          </w:p>
        </w:tc>
        <w:tc>
          <w:tcPr>
            <w:tcW w:w="305" w:type="dxa"/>
            <w:shd w:val="clear" w:color="auto" w:fill="auto"/>
          </w:tcPr>
          <w:p w14:paraId="49C89AE5" w14:textId="77777777" w:rsidR="00CC0487" w:rsidRPr="003E7026" w:rsidRDefault="00CC0487" w:rsidP="00DB6666">
            <w:pPr>
              <w:jc w:val="left"/>
              <w:rPr>
                <w:rFonts w:cs="Arial"/>
                <w:sz w:val="16"/>
                <w:szCs w:val="16"/>
              </w:rPr>
            </w:pPr>
          </w:p>
        </w:tc>
        <w:tc>
          <w:tcPr>
            <w:tcW w:w="2677" w:type="dxa"/>
            <w:shd w:val="clear" w:color="auto" w:fill="auto"/>
          </w:tcPr>
          <w:p w14:paraId="2FEB1C6F" w14:textId="77777777" w:rsidR="00CC0487" w:rsidRPr="003E7026" w:rsidRDefault="00CC0487" w:rsidP="00DB6666">
            <w:pPr>
              <w:ind w:left="284"/>
              <w:jc w:val="left"/>
              <w:rPr>
                <w:rFonts w:cs="Arial"/>
                <w:sz w:val="16"/>
                <w:szCs w:val="16"/>
              </w:rPr>
            </w:pPr>
            <w:r w:rsidRPr="003E7026">
              <w:rPr>
                <w:rFonts w:cs="Arial"/>
                <w:sz w:val="16"/>
                <w:szCs w:val="16"/>
              </w:rPr>
              <w:t>Besucher der UPOV-Website</w:t>
            </w:r>
          </w:p>
        </w:tc>
        <w:tc>
          <w:tcPr>
            <w:tcW w:w="1412" w:type="dxa"/>
            <w:shd w:val="clear" w:color="auto" w:fill="auto"/>
          </w:tcPr>
          <w:p w14:paraId="69AE8E9C" w14:textId="77777777" w:rsidR="00CC0487" w:rsidRPr="003E7026" w:rsidRDefault="00CC0487" w:rsidP="00DB6666">
            <w:pPr>
              <w:jc w:val="center"/>
              <w:rPr>
                <w:rFonts w:cs="Arial"/>
                <w:sz w:val="16"/>
                <w:szCs w:val="16"/>
              </w:rPr>
            </w:pPr>
            <w:r w:rsidRPr="003E7026">
              <w:rPr>
                <w:rFonts w:cs="Arial"/>
                <w:sz w:val="16"/>
                <w:szCs w:val="16"/>
              </w:rPr>
              <w:t>Besucher:118.000 (2022)</w:t>
            </w:r>
          </w:p>
        </w:tc>
        <w:tc>
          <w:tcPr>
            <w:tcW w:w="1559" w:type="dxa"/>
            <w:shd w:val="clear" w:color="auto" w:fill="auto"/>
          </w:tcPr>
          <w:p w14:paraId="68A1F107" w14:textId="77777777" w:rsidR="00CC0487" w:rsidRPr="003E7026" w:rsidRDefault="00CC0487" w:rsidP="00DB6666">
            <w:pPr>
              <w:jc w:val="center"/>
              <w:rPr>
                <w:rFonts w:cs="Arial"/>
                <w:sz w:val="16"/>
                <w:szCs w:val="16"/>
              </w:rPr>
            </w:pPr>
            <w:r w:rsidRPr="003E7026">
              <w:rPr>
                <w:rFonts w:cs="Arial"/>
                <w:sz w:val="16"/>
                <w:szCs w:val="16"/>
              </w:rPr>
              <w:t>175.000</w:t>
            </w:r>
          </w:p>
        </w:tc>
      </w:tr>
      <w:tr w:rsidR="00CC0487" w:rsidRPr="003E7026" w14:paraId="6BC60311" w14:textId="77777777" w:rsidTr="00DB6666">
        <w:tc>
          <w:tcPr>
            <w:tcW w:w="426" w:type="dxa"/>
          </w:tcPr>
          <w:p w14:paraId="07EE7F48" w14:textId="77777777" w:rsidR="00CC0487" w:rsidRPr="003E7026" w:rsidRDefault="00CC0487" w:rsidP="00DB6666">
            <w:pPr>
              <w:jc w:val="left"/>
              <w:rPr>
                <w:rFonts w:cs="Arial"/>
                <w:sz w:val="16"/>
                <w:szCs w:val="16"/>
              </w:rPr>
            </w:pPr>
          </w:p>
        </w:tc>
        <w:tc>
          <w:tcPr>
            <w:tcW w:w="3255" w:type="dxa"/>
            <w:shd w:val="clear" w:color="auto" w:fill="auto"/>
          </w:tcPr>
          <w:p w14:paraId="63959E28" w14:textId="77777777" w:rsidR="00CC0487" w:rsidRPr="003E7026" w:rsidRDefault="00CC0487" w:rsidP="00DB6666">
            <w:pPr>
              <w:jc w:val="left"/>
              <w:rPr>
                <w:rFonts w:cs="Arial"/>
                <w:sz w:val="16"/>
                <w:szCs w:val="16"/>
              </w:rPr>
            </w:pPr>
          </w:p>
        </w:tc>
        <w:tc>
          <w:tcPr>
            <w:tcW w:w="305" w:type="dxa"/>
            <w:shd w:val="clear" w:color="auto" w:fill="auto"/>
          </w:tcPr>
          <w:p w14:paraId="7DE15CCA" w14:textId="77777777" w:rsidR="00CC0487" w:rsidRPr="003E7026" w:rsidRDefault="00CC0487" w:rsidP="00DB6666">
            <w:pPr>
              <w:jc w:val="left"/>
              <w:rPr>
                <w:rFonts w:cs="Arial"/>
                <w:sz w:val="16"/>
                <w:szCs w:val="16"/>
              </w:rPr>
            </w:pPr>
          </w:p>
        </w:tc>
        <w:tc>
          <w:tcPr>
            <w:tcW w:w="2677" w:type="dxa"/>
            <w:shd w:val="clear" w:color="auto" w:fill="auto"/>
          </w:tcPr>
          <w:p w14:paraId="49B19FAD" w14:textId="77777777" w:rsidR="00CC0487" w:rsidRPr="003E7026" w:rsidRDefault="00CC0487" w:rsidP="00DB6666">
            <w:pPr>
              <w:ind w:left="284"/>
              <w:jc w:val="left"/>
              <w:rPr>
                <w:rFonts w:cs="Arial"/>
                <w:sz w:val="16"/>
                <w:szCs w:val="16"/>
              </w:rPr>
            </w:pPr>
            <w:r w:rsidRPr="003E7026">
              <w:rPr>
                <w:rFonts w:cs="Arial"/>
                <w:sz w:val="16"/>
                <w:szCs w:val="16"/>
              </w:rPr>
              <w:t>Anzahl von Followern in sozialen Medien</w:t>
            </w:r>
          </w:p>
        </w:tc>
        <w:tc>
          <w:tcPr>
            <w:tcW w:w="1412" w:type="dxa"/>
            <w:shd w:val="clear" w:color="auto" w:fill="auto"/>
          </w:tcPr>
          <w:p w14:paraId="3E479813" w14:textId="77777777" w:rsidR="00CC0487" w:rsidRPr="003E7026" w:rsidRDefault="00CC0487" w:rsidP="00DB6666">
            <w:pPr>
              <w:jc w:val="center"/>
              <w:rPr>
                <w:rFonts w:cs="Arial"/>
                <w:sz w:val="16"/>
                <w:szCs w:val="16"/>
              </w:rPr>
            </w:pPr>
            <w:r w:rsidRPr="003E7026">
              <w:rPr>
                <w:rFonts w:cs="Arial"/>
                <w:sz w:val="16"/>
                <w:szCs w:val="16"/>
              </w:rPr>
              <w:t xml:space="preserve">Twitter: 2.250 </w:t>
            </w:r>
            <w:r w:rsidRPr="003E7026">
              <w:rPr>
                <w:rFonts w:cs="Arial"/>
                <w:sz w:val="16"/>
                <w:szCs w:val="16"/>
              </w:rPr>
              <w:br/>
              <w:t xml:space="preserve">(Ende 2022); </w:t>
            </w:r>
            <w:r w:rsidRPr="003E7026">
              <w:rPr>
                <w:rFonts w:cs="Arial"/>
                <w:sz w:val="16"/>
                <w:szCs w:val="16"/>
              </w:rPr>
              <w:br/>
              <w:t xml:space="preserve">LinkedIn: 3.900 </w:t>
            </w:r>
            <w:r w:rsidRPr="003E7026">
              <w:rPr>
                <w:rFonts w:cs="Arial"/>
                <w:sz w:val="16"/>
                <w:szCs w:val="16"/>
              </w:rPr>
              <w:br/>
              <w:t>(Ende 2022)</w:t>
            </w:r>
          </w:p>
        </w:tc>
        <w:tc>
          <w:tcPr>
            <w:tcW w:w="1559" w:type="dxa"/>
            <w:shd w:val="clear" w:color="auto" w:fill="auto"/>
          </w:tcPr>
          <w:p w14:paraId="5BA1DDC7" w14:textId="77777777" w:rsidR="00CC0487" w:rsidRPr="003E7026" w:rsidRDefault="00CC0487" w:rsidP="00DB6666">
            <w:pPr>
              <w:jc w:val="center"/>
              <w:rPr>
                <w:rFonts w:cs="Arial"/>
                <w:sz w:val="16"/>
                <w:szCs w:val="16"/>
              </w:rPr>
            </w:pPr>
            <w:r w:rsidRPr="003E7026">
              <w:rPr>
                <w:rFonts w:cs="Arial"/>
                <w:sz w:val="16"/>
                <w:szCs w:val="16"/>
              </w:rPr>
              <w:t>Twitter: 4.000</w:t>
            </w:r>
            <w:r w:rsidRPr="003E7026">
              <w:rPr>
                <w:rFonts w:cs="Arial"/>
                <w:sz w:val="16"/>
                <w:szCs w:val="16"/>
              </w:rPr>
              <w:br/>
              <w:t>(Ende 2025);</w:t>
            </w:r>
            <w:r w:rsidRPr="003E7026">
              <w:rPr>
                <w:rFonts w:cs="Arial"/>
                <w:sz w:val="16"/>
                <w:szCs w:val="16"/>
              </w:rPr>
              <w:br/>
              <w:t>LinkedIn: 7.500</w:t>
            </w:r>
            <w:r w:rsidRPr="003E7026">
              <w:rPr>
                <w:rFonts w:cs="Arial"/>
                <w:sz w:val="16"/>
                <w:szCs w:val="16"/>
              </w:rPr>
              <w:br/>
              <w:t>(Ende 2025)</w:t>
            </w:r>
          </w:p>
        </w:tc>
      </w:tr>
      <w:tr w:rsidR="00CC0487" w:rsidRPr="003E7026" w14:paraId="54366AE4" w14:textId="77777777" w:rsidTr="00DB6666">
        <w:tc>
          <w:tcPr>
            <w:tcW w:w="426" w:type="dxa"/>
            <w:tcBorders>
              <w:bottom w:val="single" w:sz="4" w:space="0" w:color="D9D9D9" w:themeColor="background1" w:themeShade="D9"/>
            </w:tcBorders>
          </w:tcPr>
          <w:p w14:paraId="267092F8" w14:textId="77777777" w:rsidR="00CC0487" w:rsidRPr="003E7026" w:rsidRDefault="00CC0487" w:rsidP="00DB6666">
            <w:pPr>
              <w:jc w:val="left"/>
              <w:rPr>
                <w:rFonts w:cs="Arial"/>
                <w:sz w:val="16"/>
                <w:szCs w:val="16"/>
              </w:rPr>
            </w:pPr>
          </w:p>
        </w:tc>
        <w:tc>
          <w:tcPr>
            <w:tcW w:w="3255" w:type="dxa"/>
            <w:tcBorders>
              <w:bottom w:val="single" w:sz="4" w:space="0" w:color="D9D9D9" w:themeColor="background1" w:themeShade="D9"/>
            </w:tcBorders>
            <w:shd w:val="clear" w:color="auto" w:fill="auto"/>
          </w:tcPr>
          <w:p w14:paraId="47C30E3B" w14:textId="77777777" w:rsidR="00CC0487" w:rsidRPr="003E7026" w:rsidRDefault="00CC0487" w:rsidP="00DB6666">
            <w:pPr>
              <w:jc w:val="left"/>
              <w:rPr>
                <w:rFonts w:cs="Arial"/>
                <w:sz w:val="16"/>
                <w:szCs w:val="16"/>
              </w:rPr>
            </w:pPr>
            <w:r w:rsidRPr="003E7026">
              <w:rPr>
                <w:rFonts w:cs="Arial"/>
                <w:sz w:val="16"/>
                <w:szCs w:val="16"/>
              </w:rPr>
              <w:t> </w:t>
            </w:r>
          </w:p>
        </w:tc>
        <w:tc>
          <w:tcPr>
            <w:tcW w:w="305" w:type="dxa"/>
            <w:tcBorders>
              <w:bottom w:val="single" w:sz="4" w:space="0" w:color="D9D9D9" w:themeColor="background1" w:themeShade="D9"/>
            </w:tcBorders>
            <w:shd w:val="clear" w:color="auto" w:fill="auto"/>
          </w:tcPr>
          <w:p w14:paraId="2105DAFB" w14:textId="77777777" w:rsidR="00CC0487" w:rsidRPr="003E7026" w:rsidRDefault="00CC0487" w:rsidP="00DB6666">
            <w:pPr>
              <w:jc w:val="center"/>
              <w:rPr>
                <w:rFonts w:cs="Arial"/>
                <w:sz w:val="16"/>
                <w:szCs w:val="16"/>
              </w:rPr>
            </w:pPr>
          </w:p>
        </w:tc>
        <w:tc>
          <w:tcPr>
            <w:tcW w:w="2677" w:type="dxa"/>
            <w:tcBorders>
              <w:bottom w:val="single" w:sz="4" w:space="0" w:color="D9D9D9" w:themeColor="background1" w:themeShade="D9"/>
            </w:tcBorders>
            <w:shd w:val="clear" w:color="auto" w:fill="auto"/>
          </w:tcPr>
          <w:p w14:paraId="78AE9816" w14:textId="77777777" w:rsidR="00CC0487" w:rsidRPr="003E7026" w:rsidRDefault="00CC0487" w:rsidP="00DB6666">
            <w:pPr>
              <w:ind w:left="284"/>
              <w:jc w:val="left"/>
              <w:rPr>
                <w:rFonts w:cs="Arial"/>
                <w:sz w:val="16"/>
                <w:szCs w:val="16"/>
              </w:rPr>
            </w:pPr>
            <w:r w:rsidRPr="003E7026">
              <w:rPr>
                <w:rFonts w:cs="Arial"/>
                <w:sz w:val="16"/>
                <w:szCs w:val="16"/>
              </w:rPr>
              <w:t>Anzahl der Aufrufe von Videos auf der Seite „Vorteile“ der UPOV-Website</w:t>
            </w:r>
          </w:p>
        </w:tc>
        <w:tc>
          <w:tcPr>
            <w:tcW w:w="1412" w:type="dxa"/>
            <w:tcBorders>
              <w:bottom w:val="single" w:sz="4" w:space="0" w:color="D9D9D9" w:themeColor="background1" w:themeShade="D9"/>
            </w:tcBorders>
            <w:shd w:val="clear" w:color="auto" w:fill="auto"/>
          </w:tcPr>
          <w:p w14:paraId="5D0D7A14" w14:textId="77777777" w:rsidR="00CC0487" w:rsidRPr="003E7026" w:rsidRDefault="00CC0487" w:rsidP="00DB6666">
            <w:pPr>
              <w:jc w:val="center"/>
              <w:rPr>
                <w:rFonts w:cs="Arial"/>
                <w:sz w:val="16"/>
                <w:szCs w:val="16"/>
              </w:rPr>
            </w:pPr>
            <w:r w:rsidRPr="003E7026">
              <w:rPr>
                <w:rFonts w:cs="Arial"/>
                <w:sz w:val="16"/>
                <w:szCs w:val="16"/>
              </w:rPr>
              <w:t>6.000 (2022)</w:t>
            </w:r>
          </w:p>
        </w:tc>
        <w:tc>
          <w:tcPr>
            <w:tcW w:w="1559" w:type="dxa"/>
            <w:tcBorders>
              <w:bottom w:val="single" w:sz="4" w:space="0" w:color="D9D9D9" w:themeColor="background1" w:themeShade="D9"/>
            </w:tcBorders>
            <w:shd w:val="clear" w:color="auto" w:fill="auto"/>
          </w:tcPr>
          <w:p w14:paraId="6911354B" w14:textId="77777777" w:rsidR="00CC0487" w:rsidRPr="003E7026" w:rsidRDefault="00CC0487" w:rsidP="00DB6666">
            <w:pPr>
              <w:jc w:val="center"/>
              <w:rPr>
                <w:rFonts w:cs="Arial"/>
                <w:sz w:val="16"/>
                <w:szCs w:val="16"/>
              </w:rPr>
            </w:pPr>
            <w:r w:rsidRPr="003E7026">
              <w:rPr>
                <w:rFonts w:cs="Arial"/>
                <w:sz w:val="16"/>
                <w:szCs w:val="16"/>
              </w:rPr>
              <w:t>7.500 (2025)</w:t>
            </w:r>
          </w:p>
        </w:tc>
      </w:tr>
      <w:tr w:rsidR="00CC0487" w:rsidRPr="003E7026" w14:paraId="30F2BCE9" w14:textId="77777777" w:rsidTr="00DB6666">
        <w:tc>
          <w:tcPr>
            <w:tcW w:w="426" w:type="dxa"/>
            <w:tcBorders>
              <w:top w:val="single" w:sz="4" w:space="0" w:color="D9D9D9" w:themeColor="background1" w:themeShade="D9"/>
            </w:tcBorders>
          </w:tcPr>
          <w:p w14:paraId="46AF9534" w14:textId="77777777" w:rsidR="00CC0487" w:rsidRPr="003E7026" w:rsidRDefault="00CC0487" w:rsidP="00DB6666">
            <w:pPr>
              <w:jc w:val="left"/>
              <w:rPr>
                <w:rFonts w:cs="Arial"/>
                <w:sz w:val="16"/>
                <w:szCs w:val="16"/>
              </w:rPr>
            </w:pPr>
            <w:r w:rsidRPr="003E7026">
              <w:rPr>
                <w:rFonts w:cs="Arial"/>
                <w:sz w:val="16"/>
                <w:szCs w:val="16"/>
              </w:rPr>
              <w:t>2.2</w:t>
            </w:r>
          </w:p>
        </w:tc>
        <w:tc>
          <w:tcPr>
            <w:tcW w:w="3255" w:type="dxa"/>
            <w:tcBorders>
              <w:top w:val="single" w:sz="4" w:space="0" w:color="D9D9D9" w:themeColor="background1" w:themeShade="D9"/>
            </w:tcBorders>
            <w:shd w:val="clear" w:color="auto" w:fill="auto"/>
          </w:tcPr>
          <w:p w14:paraId="58FBC6B4" w14:textId="77777777" w:rsidR="00CC0487" w:rsidRPr="003E7026" w:rsidRDefault="00CC0487" w:rsidP="00DB6666">
            <w:pPr>
              <w:jc w:val="left"/>
              <w:rPr>
                <w:rFonts w:cs="Arial"/>
                <w:sz w:val="16"/>
                <w:szCs w:val="16"/>
              </w:rPr>
            </w:pPr>
            <w:r w:rsidRPr="003E7026">
              <w:rPr>
                <w:rFonts w:cs="Arial"/>
                <w:sz w:val="16"/>
                <w:szCs w:val="16"/>
              </w:rPr>
              <w:t>Anleitung und Unterstützung zum UPOV-Übereinkommen und seiner Umsetzung</w:t>
            </w:r>
          </w:p>
        </w:tc>
        <w:tc>
          <w:tcPr>
            <w:tcW w:w="305" w:type="dxa"/>
            <w:tcBorders>
              <w:top w:val="single" w:sz="4" w:space="0" w:color="D9D9D9" w:themeColor="background1" w:themeShade="D9"/>
            </w:tcBorders>
            <w:shd w:val="clear" w:color="auto" w:fill="auto"/>
          </w:tcPr>
          <w:p w14:paraId="4E02C6EC" w14:textId="77777777" w:rsidR="00CC0487" w:rsidRPr="003E7026" w:rsidRDefault="00CC0487" w:rsidP="00DB6666">
            <w:pPr>
              <w:jc w:val="center"/>
              <w:rPr>
                <w:rFonts w:cs="Arial"/>
                <w:sz w:val="16"/>
                <w:szCs w:val="16"/>
              </w:rPr>
            </w:pPr>
          </w:p>
        </w:tc>
        <w:tc>
          <w:tcPr>
            <w:tcW w:w="2677" w:type="dxa"/>
            <w:tcBorders>
              <w:top w:val="single" w:sz="4" w:space="0" w:color="D9D9D9" w:themeColor="background1" w:themeShade="D9"/>
            </w:tcBorders>
            <w:shd w:val="clear" w:color="auto" w:fill="auto"/>
          </w:tcPr>
          <w:p w14:paraId="5B963C46" w14:textId="77777777" w:rsidR="00CC0487" w:rsidRPr="003E7026" w:rsidRDefault="00CC0487" w:rsidP="00DB6666">
            <w:pPr>
              <w:jc w:val="left"/>
              <w:rPr>
                <w:rFonts w:cs="Arial"/>
                <w:sz w:val="16"/>
                <w:szCs w:val="16"/>
              </w:rPr>
            </w:pPr>
            <w:r w:rsidRPr="003E7026">
              <w:rPr>
                <w:rFonts w:cs="Arial"/>
                <w:sz w:val="16"/>
                <w:szCs w:val="16"/>
              </w:rPr>
              <w:t>Anzahl von Staaten und Organisationen, die an Schulungs-/Unterstützungstätigkeiten der UPOV teilnehmen</w:t>
            </w:r>
          </w:p>
        </w:tc>
        <w:tc>
          <w:tcPr>
            <w:tcW w:w="1412" w:type="dxa"/>
            <w:tcBorders>
              <w:top w:val="single" w:sz="4" w:space="0" w:color="D9D9D9" w:themeColor="background1" w:themeShade="D9"/>
            </w:tcBorders>
            <w:shd w:val="clear" w:color="000000" w:fill="FFFFFF"/>
          </w:tcPr>
          <w:p w14:paraId="2D9342E4" w14:textId="77777777" w:rsidR="00CC0487" w:rsidRPr="003E7026" w:rsidRDefault="00CC0487" w:rsidP="00DB6666">
            <w:pPr>
              <w:jc w:val="center"/>
              <w:rPr>
                <w:rFonts w:cs="Arial"/>
                <w:sz w:val="16"/>
                <w:szCs w:val="16"/>
              </w:rPr>
            </w:pPr>
            <w:r w:rsidRPr="003E7026">
              <w:rPr>
                <w:rFonts w:cs="Arial"/>
                <w:sz w:val="16"/>
                <w:szCs w:val="16"/>
              </w:rPr>
              <w:t xml:space="preserve">65 Staaten; </w:t>
            </w:r>
            <w:r w:rsidRPr="003E7026">
              <w:rPr>
                <w:rFonts w:cs="Arial"/>
                <w:sz w:val="16"/>
                <w:szCs w:val="16"/>
              </w:rPr>
              <w:br/>
              <w:t>11 internationale Organisationen (2022)</w:t>
            </w:r>
          </w:p>
        </w:tc>
        <w:tc>
          <w:tcPr>
            <w:tcW w:w="1559" w:type="dxa"/>
            <w:tcBorders>
              <w:top w:val="single" w:sz="4" w:space="0" w:color="D9D9D9" w:themeColor="background1" w:themeShade="D9"/>
            </w:tcBorders>
            <w:shd w:val="clear" w:color="000000" w:fill="FFFFFF"/>
          </w:tcPr>
          <w:p w14:paraId="0579E92B" w14:textId="77777777" w:rsidR="00CC0487" w:rsidRPr="003E7026" w:rsidRDefault="00CC0487" w:rsidP="00DB6666">
            <w:pPr>
              <w:jc w:val="center"/>
              <w:rPr>
                <w:rFonts w:cs="Arial"/>
                <w:sz w:val="16"/>
                <w:szCs w:val="16"/>
              </w:rPr>
            </w:pPr>
            <w:r w:rsidRPr="003E7026">
              <w:rPr>
                <w:rFonts w:cs="Arial"/>
                <w:sz w:val="16"/>
                <w:szCs w:val="16"/>
              </w:rPr>
              <w:t xml:space="preserve">70 Staaten; </w:t>
            </w:r>
            <w:r w:rsidRPr="003E7026">
              <w:rPr>
                <w:rFonts w:cs="Arial"/>
                <w:sz w:val="16"/>
                <w:szCs w:val="16"/>
              </w:rPr>
              <w:br/>
              <w:t>12 internationale Organisationen (2025)</w:t>
            </w:r>
          </w:p>
        </w:tc>
      </w:tr>
      <w:tr w:rsidR="00CC0487" w:rsidRPr="003E7026" w14:paraId="35252774" w14:textId="77777777" w:rsidTr="00DB6666">
        <w:tc>
          <w:tcPr>
            <w:tcW w:w="426" w:type="dxa"/>
          </w:tcPr>
          <w:p w14:paraId="6B460983" w14:textId="77777777" w:rsidR="00CC0487" w:rsidRPr="003E7026" w:rsidRDefault="00CC0487" w:rsidP="00DB6666">
            <w:pPr>
              <w:jc w:val="left"/>
              <w:rPr>
                <w:rFonts w:cs="Arial"/>
                <w:sz w:val="16"/>
                <w:szCs w:val="16"/>
              </w:rPr>
            </w:pPr>
          </w:p>
        </w:tc>
        <w:tc>
          <w:tcPr>
            <w:tcW w:w="3255" w:type="dxa"/>
            <w:shd w:val="clear" w:color="auto" w:fill="auto"/>
          </w:tcPr>
          <w:p w14:paraId="78E7E2BE" w14:textId="77777777" w:rsidR="00CC0487" w:rsidRPr="003E7026" w:rsidRDefault="00CC0487" w:rsidP="00DB6666">
            <w:pPr>
              <w:jc w:val="left"/>
              <w:rPr>
                <w:rFonts w:cs="Arial"/>
                <w:sz w:val="16"/>
                <w:szCs w:val="16"/>
              </w:rPr>
            </w:pPr>
          </w:p>
        </w:tc>
        <w:tc>
          <w:tcPr>
            <w:tcW w:w="305" w:type="dxa"/>
            <w:shd w:val="clear" w:color="auto" w:fill="auto"/>
          </w:tcPr>
          <w:p w14:paraId="72F29279" w14:textId="77777777" w:rsidR="00CC0487" w:rsidRPr="003E7026" w:rsidRDefault="00CC0487" w:rsidP="00DB6666">
            <w:pPr>
              <w:jc w:val="center"/>
              <w:rPr>
                <w:rFonts w:cs="Arial"/>
                <w:sz w:val="16"/>
                <w:szCs w:val="16"/>
              </w:rPr>
            </w:pPr>
          </w:p>
        </w:tc>
        <w:tc>
          <w:tcPr>
            <w:tcW w:w="2677" w:type="dxa"/>
            <w:shd w:val="clear" w:color="auto" w:fill="auto"/>
          </w:tcPr>
          <w:p w14:paraId="5EEA2B1C" w14:textId="77777777" w:rsidR="00CC0487" w:rsidRPr="003E7026" w:rsidRDefault="00CC0487" w:rsidP="00DB6666">
            <w:pPr>
              <w:jc w:val="left"/>
              <w:rPr>
                <w:rFonts w:cs="Arial"/>
                <w:sz w:val="16"/>
                <w:szCs w:val="16"/>
              </w:rPr>
            </w:pPr>
            <w:r w:rsidRPr="003E7026">
              <w:rPr>
                <w:rFonts w:cs="Arial"/>
                <w:sz w:val="16"/>
                <w:szCs w:val="16"/>
              </w:rPr>
              <w:t>Anzahl an Teilnehmern, die Fernlehrgänge der UPOV erfolgreich abgeschlossen haben</w:t>
            </w:r>
          </w:p>
        </w:tc>
        <w:tc>
          <w:tcPr>
            <w:tcW w:w="1412" w:type="dxa"/>
            <w:shd w:val="clear" w:color="000000" w:fill="FFFFFF"/>
          </w:tcPr>
          <w:p w14:paraId="5884B473" w14:textId="77777777" w:rsidR="00CC0487" w:rsidRPr="003E7026" w:rsidRDefault="00CC0487" w:rsidP="00DB6666">
            <w:pPr>
              <w:jc w:val="center"/>
              <w:rPr>
                <w:rFonts w:cs="Arial"/>
                <w:sz w:val="16"/>
                <w:szCs w:val="16"/>
              </w:rPr>
            </w:pPr>
            <w:r w:rsidRPr="003E7026">
              <w:rPr>
                <w:rFonts w:cs="Arial"/>
                <w:sz w:val="16"/>
                <w:szCs w:val="16"/>
              </w:rPr>
              <w:t>600 (2022)</w:t>
            </w:r>
          </w:p>
        </w:tc>
        <w:tc>
          <w:tcPr>
            <w:tcW w:w="1559" w:type="dxa"/>
            <w:shd w:val="clear" w:color="auto" w:fill="auto"/>
          </w:tcPr>
          <w:p w14:paraId="760B9377" w14:textId="77777777" w:rsidR="00CC0487" w:rsidRPr="003E7026" w:rsidRDefault="00CC0487" w:rsidP="00DB6666">
            <w:pPr>
              <w:jc w:val="center"/>
              <w:rPr>
                <w:rFonts w:cs="Arial"/>
                <w:sz w:val="16"/>
                <w:szCs w:val="16"/>
              </w:rPr>
            </w:pPr>
            <w:r w:rsidRPr="003E7026">
              <w:rPr>
                <w:rFonts w:cs="Arial"/>
                <w:sz w:val="16"/>
                <w:szCs w:val="16"/>
              </w:rPr>
              <w:t>750 (2025)</w:t>
            </w:r>
          </w:p>
        </w:tc>
      </w:tr>
      <w:tr w:rsidR="00CC0487" w:rsidRPr="003E7026" w14:paraId="21588FCF" w14:textId="77777777" w:rsidTr="00DB6666">
        <w:tc>
          <w:tcPr>
            <w:tcW w:w="426" w:type="dxa"/>
          </w:tcPr>
          <w:p w14:paraId="6D676448" w14:textId="77777777" w:rsidR="00CC0487" w:rsidRPr="003E7026" w:rsidRDefault="00CC0487" w:rsidP="00DB6666">
            <w:pPr>
              <w:jc w:val="left"/>
              <w:rPr>
                <w:rFonts w:cs="Arial"/>
                <w:sz w:val="16"/>
                <w:szCs w:val="16"/>
              </w:rPr>
            </w:pPr>
          </w:p>
        </w:tc>
        <w:tc>
          <w:tcPr>
            <w:tcW w:w="3255" w:type="dxa"/>
            <w:shd w:val="clear" w:color="auto" w:fill="auto"/>
          </w:tcPr>
          <w:p w14:paraId="327F0183" w14:textId="77777777" w:rsidR="00CC0487" w:rsidRPr="003E7026" w:rsidRDefault="00CC0487" w:rsidP="00DB6666">
            <w:pPr>
              <w:jc w:val="left"/>
              <w:rPr>
                <w:rFonts w:cs="Arial"/>
                <w:sz w:val="16"/>
                <w:szCs w:val="16"/>
              </w:rPr>
            </w:pPr>
          </w:p>
        </w:tc>
        <w:tc>
          <w:tcPr>
            <w:tcW w:w="305" w:type="dxa"/>
            <w:shd w:val="clear" w:color="auto" w:fill="auto"/>
          </w:tcPr>
          <w:p w14:paraId="4D69D309" w14:textId="77777777" w:rsidR="00CC0487" w:rsidRPr="003E7026" w:rsidRDefault="00CC0487" w:rsidP="00DB6666">
            <w:pPr>
              <w:jc w:val="center"/>
              <w:rPr>
                <w:rFonts w:cs="Arial"/>
                <w:sz w:val="16"/>
                <w:szCs w:val="16"/>
              </w:rPr>
            </w:pPr>
          </w:p>
        </w:tc>
        <w:tc>
          <w:tcPr>
            <w:tcW w:w="2677" w:type="dxa"/>
            <w:shd w:val="clear" w:color="auto" w:fill="auto"/>
          </w:tcPr>
          <w:p w14:paraId="6FD1CEF1" w14:textId="77777777" w:rsidR="00CC0487" w:rsidRPr="003E7026" w:rsidRDefault="00CC0487" w:rsidP="00DB6666">
            <w:pPr>
              <w:jc w:val="left"/>
              <w:rPr>
                <w:rFonts w:cs="Arial"/>
                <w:sz w:val="16"/>
                <w:szCs w:val="16"/>
              </w:rPr>
            </w:pPr>
            <w:r w:rsidRPr="003E7026">
              <w:rPr>
                <w:rFonts w:cs="Arial"/>
                <w:sz w:val="16"/>
                <w:szCs w:val="16"/>
              </w:rPr>
              <w:t>Anzahl an akademischen Einrichtungen, die Informationen über das UPOV-System in ihre Lehrveranstaltungen einbinden</w:t>
            </w:r>
          </w:p>
        </w:tc>
        <w:tc>
          <w:tcPr>
            <w:tcW w:w="1412" w:type="dxa"/>
            <w:shd w:val="clear" w:color="auto" w:fill="auto"/>
          </w:tcPr>
          <w:p w14:paraId="5EFCE91D" w14:textId="77777777" w:rsidR="00CC0487" w:rsidRPr="003E7026" w:rsidRDefault="00CC0487" w:rsidP="00DB6666">
            <w:pPr>
              <w:jc w:val="center"/>
              <w:rPr>
                <w:rFonts w:cs="Arial"/>
                <w:sz w:val="16"/>
                <w:szCs w:val="16"/>
              </w:rPr>
            </w:pPr>
            <w:r w:rsidRPr="003E7026">
              <w:rPr>
                <w:rFonts w:cs="Arial"/>
                <w:sz w:val="16"/>
                <w:szCs w:val="16"/>
              </w:rPr>
              <w:t>Afrika: 1; Asien/Pazifik: 2; Europa: 7 (2025)</w:t>
            </w:r>
          </w:p>
        </w:tc>
        <w:tc>
          <w:tcPr>
            <w:tcW w:w="1559" w:type="dxa"/>
            <w:shd w:val="clear" w:color="auto" w:fill="auto"/>
          </w:tcPr>
          <w:p w14:paraId="2787D73A" w14:textId="77777777" w:rsidR="00CC0487" w:rsidRPr="003E7026" w:rsidRDefault="00CC0487" w:rsidP="00DB6666">
            <w:pPr>
              <w:jc w:val="center"/>
              <w:rPr>
                <w:rFonts w:cs="Arial"/>
                <w:sz w:val="16"/>
                <w:szCs w:val="16"/>
              </w:rPr>
            </w:pPr>
            <w:r w:rsidRPr="003E7026">
              <w:rPr>
                <w:rFonts w:cs="Arial"/>
                <w:sz w:val="16"/>
                <w:szCs w:val="16"/>
              </w:rPr>
              <w:t xml:space="preserve">Afrika: 3; </w:t>
            </w:r>
            <w:r w:rsidRPr="003E7026">
              <w:rPr>
                <w:rFonts w:cs="Arial"/>
                <w:sz w:val="16"/>
                <w:szCs w:val="16"/>
              </w:rPr>
              <w:br/>
              <w:t>Amerika: 2; Asien/Pazifik: 4; Europa: 7 (2025)</w:t>
            </w:r>
          </w:p>
        </w:tc>
      </w:tr>
      <w:tr w:rsidR="00CC0487" w:rsidRPr="003E7026" w14:paraId="37D86C34" w14:textId="77777777" w:rsidTr="00DB6666">
        <w:tc>
          <w:tcPr>
            <w:tcW w:w="426" w:type="dxa"/>
          </w:tcPr>
          <w:p w14:paraId="5D91B377" w14:textId="77777777" w:rsidR="00CC0487" w:rsidRPr="003E7026" w:rsidRDefault="00CC0487" w:rsidP="00DB6666">
            <w:pPr>
              <w:jc w:val="left"/>
              <w:rPr>
                <w:rFonts w:cs="Arial"/>
                <w:sz w:val="16"/>
                <w:szCs w:val="16"/>
              </w:rPr>
            </w:pPr>
          </w:p>
        </w:tc>
        <w:tc>
          <w:tcPr>
            <w:tcW w:w="3255" w:type="dxa"/>
            <w:shd w:val="clear" w:color="auto" w:fill="auto"/>
          </w:tcPr>
          <w:p w14:paraId="399ED012" w14:textId="77777777" w:rsidR="00CC0487" w:rsidRPr="003E7026" w:rsidRDefault="00CC0487" w:rsidP="00DB6666">
            <w:pPr>
              <w:jc w:val="left"/>
              <w:rPr>
                <w:rFonts w:cs="Arial"/>
                <w:sz w:val="16"/>
                <w:szCs w:val="16"/>
              </w:rPr>
            </w:pPr>
          </w:p>
        </w:tc>
        <w:tc>
          <w:tcPr>
            <w:tcW w:w="305" w:type="dxa"/>
            <w:shd w:val="clear" w:color="auto" w:fill="auto"/>
          </w:tcPr>
          <w:p w14:paraId="1CA11556" w14:textId="77777777" w:rsidR="00CC0487" w:rsidRPr="003E7026" w:rsidRDefault="00CC0487" w:rsidP="00DB6666">
            <w:pPr>
              <w:jc w:val="center"/>
              <w:rPr>
                <w:rFonts w:cs="Arial"/>
                <w:sz w:val="16"/>
                <w:szCs w:val="16"/>
              </w:rPr>
            </w:pPr>
          </w:p>
        </w:tc>
        <w:tc>
          <w:tcPr>
            <w:tcW w:w="2677" w:type="dxa"/>
            <w:shd w:val="clear" w:color="auto" w:fill="auto"/>
          </w:tcPr>
          <w:p w14:paraId="6ABC5311" w14:textId="77777777" w:rsidR="00CC0487" w:rsidRPr="003E7026" w:rsidRDefault="00CC0487" w:rsidP="00DB6666">
            <w:pPr>
              <w:jc w:val="left"/>
              <w:rPr>
                <w:rFonts w:cs="Arial"/>
                <w:sz w:val="16"/>
                <w:szCs w:val="16"/>
              </w:rPr>
            </w:pPr>
            <w:r w:rsidRPr="003E7026">
              <w:rPr>
                <w:rFonts w:cs="Arial"/>
                <w:sz w:val="16"/>
                <w:szCs w:val="16"/>
              </w:rPr>
              <w:t>Anzahl an Personen mit internationalem Sortenschutzzertifikat der UPOV</w:t>
            </w:r>
          </w:p>
        </w:tc>
        <w:tc>
          <w:tcPr>
            <w:tcW w:w="1412" w:type="dxa"/>
            <w:shd w:val="clear" w:color="auto" w:fill="auto"/>
          </w:tcPr>
          <w:p w14:paraId="55CB9050" w14:textId="77777777" w:rsidR="00CC0487" w:rsidRPr="003E7026" w:rsidRDefault="00986945" w:rsidP="00DB6666">
            <w:pPr>
              <w:jc w:val="center"/>
              <w:rPr>
                <w:rFonts w:cs="Arial"/>
                <w:sz w:val="16"/>
                <w:szCs w:val="16"/>
              </w:rPr>
            </w:pPr>
            <w:r>
              <w:rPr>
                <w:rFonts w:cs="Arial"/>
                <w:sz w:val="16"/>
                <w:szCs w:val="16"/>
              </w:rPr>
              <w:t>k.A.</w:t>
            </w:r>
          </w:p>
        </w:tc>
        <w:tc>
          <w:tcPr>
            <w:tcW w:w="1559" w:type="dxa"/>
            <w:shd w:val="clear" w:color="auto" w:fill="auto"/>
          </w:tcPr>
          <w:p w14:paraId="7D6C1E6E" w14:textId="77777777" w:rsidR="00CC0487" w:rsidRPr="003E7026" w:rsidRDefault="00CC0487" w:rsidP="00DB6666">
            <w:pPr>
              <w:jc w:val="center"/>
              <w:rPr>
                <w:rFonts w:cs="Arial"/>
                <w:sz w:val="16"/>
                <w:szCs w:val="16"/>
              </w:rPr>
            </w:pPr>
            <w:r w:rsidRPr="003E7026">
              <w:rPr>
                <w:rFonts w:cs="Arial"/>
                <w:sz w:val="16"/>
                <w:szCs w:val="16"/>
              </w:rPr>
              <w:t>100 (2025)</w:t>
            </w:r>
          </w:p>
        </w:tc>
      </w:tr>
      <w:tr w:rsidR="00CC0487" w:rsidRPr="003E7026" w14:paraId="4CB690FC" w14:textId="77777777" w:rsidTr="00DB6666">
        <w:tc>
          <w:tcPr>
            <w:tcW w:w="426" w:type="dxa"/>
            <w:tcBorders>
              <w:bottom w:val="single" w:sz="4" w:space="0" w:color="D9D9D9" w:themeColor="background1" w:themeShade="D9"/>
            </w:tcBorders>
          </w:tcPr>
          <w:p w14:paraId="04BBE5AE" w14:textId="77777777" w:rsidR="00CC0487" w:rsidRPr="003E7026" w:rsidRDefault="00CC0487" w:rsidP="00DB6666">
            <w:pPr>
              <w:jc w:val="left"/>
              <w:rPr>
                <w:rFonts w:cs="Arial"/>
                <w:sz w:val="16"/>
                <w:szCs w:val="16"/>
              </w:rPr>
            </w:pPr>
          </w:p>
        </w:tc>
        <w:tc>
          <w:tcPr>
            <w:tcW w:w="3255" w:type="dxa"/>
            <w:tcBorders>
              <w:bottom w:val="single" w:sz="4" w:space="0" w:color="D9D9D9" w:themeColor="background1" w:themeShade="D9"/>
            </w:tcBorders>
            <w:shd w:val="clear" w:color="auto" w:fill="auto"/>
          </w:tcPr>
          <w:p w14:paraId="3766EF12" w14:textId="77777777" w:rsidR="00CC0487" w:rsidRPr="003E7026" w:rsidRDefault="00CC0487" w:rsidP="00DB6666">
            <w:pPr>
              <w:jc w:val="left"/>
              <w:rPr>
                <w:rFonts w:cs="Arial"/>
                <w:sz w:val="16"/>
                <w:szCs w:val="16"/>
              </w:rPr>
            </w:pPr>
          </w:p>
        </w:tc>
        <w:tc>
          <w:tcPr>
            <w:tcW w:w="305" w:type="dxa"/>
            <w:tcBorders>
              <w:bottom w:val="single" w:sz="4" w:space="0" w:color="D9D9D9" w:themeColor="background1" w:themeShade="D9"/>
            </w:tcBorders>
            <w:shd w:val="clear" w:color="auto" w:fill="auto"/>
          </w:tcPr>
          <w:p w14:paraId="02EE5B7C" w14:textId="77777777" w:rsidR="00CC0487" w:rsidRPr="003E7026" w:rsidRDefault="00CC0487" w:rsidP="00DB6666">
            <w:pPr>
              <w:jc w:val="center"/>
              <w:rPr>
                <w:rFonts w:cs="Arial"/>
                <w:sz w:val="16"/>
                <w:szCs w:val="16"/>
              </w:rPr>
            </w:pPr>
          </w:p>
        </w:tc>
        <w:tc>
          <w:tcPr>
            <w:tcW w:w="2677" w:type="dxa"/>
            <w:tcBorders>
              <w:bottom w:val="single" w:sz="4" w:space="0" w:color="D9D9D9" w:themeColor="background1" w:themeShade="D9"/>
            </w:tcBorders>
            <w:shd w:val="clear" w:color="auto" w:fill="auto"/>
          </w:tcPr>
          <w:p w14:paraId="0D3864A3" w14:textId="77777777" w:rsidR="00CC0487" w:rsidRPr="003E7026" w:rsidRDefault="00CC0487" w:rsidP="00DB6666">
            <w:pPr>
              <w:jc w:val="left"/>
              <w:rPr>
                <w:rFonts w:cs="Arial"/>
                <w:sz w:val="16"/>
                <w:szCs w:val="16"/>
              </w:rPr>
            </w:pPr>
            <w:r w:rsidRPr="003E7026">
              <w:rPr>
                <w:rFonts w:cs="Arial"/>
                <w:sz w:val="16"/>
                <w:szCs w:val="16"/>
              </w:rPr>
              <w:t>Anzahl an Absolventen der Ausbildung für Ausbilder der UPOV</w:t>
            </w:r>
          </w:p>
        </w:tc>
        <w:tc>
          <w:tcPr>
            <w:tcW w:w="1412" w:type="dxa"/>
            <w:tcBorders>
              <w:bottom w:val="single" w:sz="4" w:space="0" w:color="D9D9D9" w:themeColor="background1" w:themeShade="D9"/>
            </w:tcBorders>
            <w:shd w:val="clear" w:color="000000" w:fill="FFFFFF"/>
          </w:tcPr>
          <w:p w14:paraId="47798AB9" w14:textId="77777777" w:rsidR="00CC0487" w:rsidRPr="003E7026" w:rsidRDefault="00CC0487" w:rsidP="00DB6666">
            <w:pPr>
              <w:ind w:right="284"/>
              <w:jc w:val="right"/>
              <w:rPr>
                <w:rFonts w:cs="Arial"/>
                <w:sz w:val="16"/>
                <w:szCs w:val="16"/>
              </w:rPr>
            </w:pPr>
            <w:r w:rsidRPr="003E7026">
              <w:rPr>
                <w:rFonts w:cs="Arial"/>
                <w:sz w:val="16"/>
                <w:szCs w:val="16"/>
              </w:rPr>
              <w:t>21 (2022)</w:t>
            </w:r>
          </w:p>
        </w:tc>
        <w:tc>
          <w:tcPr>
            <w:tcW w:w="1559" w:type="dxa"/>
            <w:tcBorders>
              <w:bottom w:val="single" w:sz="4" w:space="0" w:color="D9D9D9" w:themeColor="background1" w:themeShade="D9"/>
            </w:tcBorders>
            <w:shd w:val="clear" w:color="000000" w:fill="FFFFFF"/>
          </w:tcPr>
          <w:p w14:paraId="1CCBACF2" w14:textId="77777777" w:rsidR="00CC0487" w:rsidRPr="003E7026" w:rsidRDefault="00CC0487" w:rsidP="00DB6666">
            <w:pPr>
              <w:jc w:val="center"/>
              <w:rPr>
                <w:rFonts w:cs="Arial"/>
                <w:sz w:val="16"/>
                <w:szCs w:val="16"/>
              </w:rPr>
            </w:pPr>
            <w:r w:rsidRPr="003E7026">
              <w:rPr>
                <w:rFonts w:cs="Arial"/>
                <w:sz w:val="16"/>
                <w:szCs w:val="16"/>
              </w:rPr>
              <w:t>45 (2024&amp;2025)</w:t>
            </w:r>
          </w:p>
        </w:tc>
      </w:tr>
      <w:tr w:rsidR="00CC0487" w:rsidRPr="003E7026" w14:paraId="7CFFA16F" w14:textId="77777777" w:rsidTr="00DB6666">
        <w:tc>
          <w:tcPr>
            <w:tcW w:w="426" w:type="dxa"/>
            <w:tcBorders>
              <w:top w:val="single" w:sz="4" w:space="0" w:color="D9D9D9" w:themeColor="background1" w:themeShade="D9"/>
            </w:tcBorders>
          </w:tcPr>
          <w:p w14:paraId="12E501EB" w14:textId="77777777" w:rsidR="00CC0487" w:rsidRPr="003E7026" w:rsidRDefault="00CC0487" w:rsidP="00DB6666">
            <w:pPr>
              <w:jc w:val="left"/>
              <w:rPr>
                <w:rFonts w:cs="Arial"/>
                <w:sz w:val="16"/>
                <w:szCs w:val="16"/>
              </w:rPr>
            </w:pPr>
            <w:r w:rsidRPr="003E7026">
              <w:rPr>
                <w:rFonts w:cs="Arial"/>
                <w:sz w:val="16"/>
                <w:szCs w:val="16"/>
              </w:rPr>
              <w:t>2.3</w:t>
            </w:r>
          </w:p>
        </w:tc>
        <w:tc>
          <w:tcPr>
            <w:tcW w:w="3255" w:type="dxa"/>
            <w:tcBorders>
              <w:top w:val="single" w:sz="4" w:space="0" w:color="D9D9D9" w:themeColor="background1" w:themeShade="D9"/>
            </w:tcBorders>
            <w:shd w:val="clear" w:color="auto" w:fill="auto"/>
          </w:tcPr>
          <w:p w14:paraId="76875D33" w14:textId="77777777" w:rsidR="00CC0487" w:rsidRPr="003E7026" w:rsidRDefault="00CC0487" w:rsidP="00DB6666">
            <w:pPr>
              <w:jc w:val="left"/>
              <w:rPr>
                <w:rFonts w:cs="Arial"/>
                <w:sz w:val="16"/>
                <w:szCs w:val="16"/>
              </w:rPr>
            </w:pPr>
            <w:r w:rsidRPr="003E7026">
              <w:rPr>
                <w:rFonts w:cs="Arial"/>
                <w:sz w:val="16"/>
                <w:szCs w:val="16"/>
              </w:rPr>
              <w:t>Verstärkte Harmonisierung und Zusammenarbeit bei Prüfungen</w:t>
            </w:r>
          </w:p>
        </w:tc>
        <w:tc>
          <w:tcPr>
            <w:tcW w:w="305" w:type="dxa"/>
            <w:tcBorders>
              <w:top w:val="single" w:sz="4" w:space="0" w:color="D9D9D9" w:themeColor="background1" w:themeShade="D9"/>
            </w:tcBorders>
            <w:shd w:val="clear" w:color="auto" w:fill="auto"/>
          </w:tcPr>
          <w:p w14:paraId="420F5CA5" w14:textId="77777777" w:rsidR="00CC0487" w:rsidRPr="003E7026" w:rsidRDefault="00CC0487" w:rsidP="00DB6666">
            <w:pPr>
              <w:jc w:val="center"/>
              <w:rPr>
                <w:rFonts w:cs="Arial"/>
                <w:sz w:val="16"/>
                <w:szCs w:val="16"/>
              </w:rPr>
            </w:pPr>
          </w:p>
        </w:tc>
        <w:tc>
          <w:tcPr>
            <w:tcW w:w="2677" w:type="dxa"/>
            <w:tcBorders>
              <w:top w:val="single" w:sz="4" w:space="0" w:color="D9D9D9" w:themeColor="background1" w:themeShade="D9"/>
            </w:tcBorders>
            <w:shd w:val="clear" w:color="auto" w:fill="auto"/>
          </w:tcPr>
          <w:p w14:paraId="62620E2A" w14:textId="77777777" w:rsidR="00CC0487" w:rsidRPr="003E7026" w:rsidRDefault="00CC0487" w:rsidP="00DB6666">
            <w:pPr>
              <w:jc w:val="left"/>
              <w:rPr>
                <w:rFonts w:cs="Arial"/>
                <w:sz w:val="16"/>
                <w:szCs w:val="16"/>
              </w:rPr>
            </w:pPr>
            <w:r w:rsidRPr="003E7026">
              <w:rPr>
                <w:rFonts w:cs="Arial"/>
                <w:sz w:val="16"/>
                <w:szCs w:val="16"/>
              </w:rPr>
              <w:t>Anwendung von UPOV-Prüfungsrichtlinien und Technischen Fragebögen</w:t>
            </w:r>
          </w:p>
        </w:tc>
        <w:tc>
          <w:tcPr>
            <w:tcW w:w="1412" w:type="dxa"/>
            <w:tcBorders>
              <w:top w:val="single" w:sz="4" w:space="0" w:color="D9D9D9" w:themeColor="background1" w:themeShade="D9"/>
            </w:tcBorders>
            <w:shd w:val="clear" w:color="auto" w:fill="auto"/>
          </w:tcPr>
          <w:p w14:paraId="66C6547F" w14:textId="77777777" w:rsidR="00CC0487" w:rsidRPr="003E7026" w:rsidRDefault="00CC0487" w:rsidP="00DB6666">
            <w:pPr>
              <w:ind w:right="284"/>
              <w:jc w:val="right"/>
              <w:rPr>
                <w:rFonts w:cs="Arial"/>
                <w:sz w:val="16"/>
                <w:szCs w:val="16"/>
              </w:rPr>
            </w:pPr>
          </w:p>
        </w:tc>
        <w:tc>
          <w:tcPr>
            <w:tcW w:w="1559" w:type="dxa"/>
            <w:tcBorders>
              <w:top w:val="single" w:sz="4" w:space="0" w:color="D9D9D9" w:themeColor="background1" w:themeShade="D9"/>
            </w:tcBorders>
            <w:shd w:val="clear" w:color="auto" w:fill="auto"/>
          </w:tcPr>
          <w:p w14:paraId="61A473E9" w14:textId="77777777" w:rsidR="00CC0487" w:rsidRPr="003E7026" w:rsidRDefault="00CC0487" w:rsidP="00DB6666">
            <w:pPr>
              <w:ind w:right="284"/>
              <w:jc w:val="right"/>
              <w:rPr>
                <w:rFonts w:cs="Arial"/>
                <w:sz w:val="16"/>
                <w:szCs w:val="16"/>
              </w:rPr>
            </w:pPr>
          </w:p>
        </w:tc>
      </w:tr>
      <w:tr w:rsidR="00CC0487" w:rsidRPr="003E7026" w14:paraId="2576BB1B" w14:textId="77777777" w:rsidTr="00DB6666">
        <w:tc>
          <w:tcPr>
            <w:tcW w:w="426" w:type="dxa"/>
          </w:tcPr>
          <w:p w14:paraId="75E11FD3" w14:textId="77777777" w:rsidR="00CC0487" w:rsidRPr="003E7026" w:rsidRDefault="00CC0487" w:rsidP="00DB6666">
            <w:pPr>
              <w:jc w:val="left"/>
              <w:rPr>
                <w:rFonts w:cs="Arial"/>
                <w:sz w:val="16"/>
                <w:szCs w:val="16"/>
              </w:rPr>
            </w:pPr>
          </w:p>
        </w:tc>
        <w:tc>
          <w:tcPr>
            <w:tcW w:w="3255" w:type="dxa"/>
            <w:shd w:val="clear" w:color="auto" w:fill="auto"/>
          </w:tcPr>
          <w:p w14:paraId="588ECF45" w14:textId="77777777" w:rsidR="00CC0487" w:rsidRPr="003E7026" w:rsidRDefault="00CC0487" w:rsidP="00DB6666">
            <w:pPr>
              <w:jc w:val="left"/>
              <w:rPr>
                <w:rFonts w:cs="Arial"/>
                <w:sz w:val="16"/>
                <w:szCs w:val="16"/>
              </w:rPr>
            </w:pPr>
          </w:p>
        </w:tc>
        <w:tc>
          <w:tcPr>
            <w:tcW w:w="305" w:type="dxa"/>
            <w:shd w:val="clear" w:color="auto" w:fill="auto"/>
          </w:tcPr>
          <w:p w14:paraId="79B28060" w14:textId="77777777" w:rsidR="00CC0487" w:rsidRPr="003E7026" w:rsidRDefault="00CC0487" w:rsidP="00DB6666">
            <w:pPr>
              <w:jc w:val="center"/>
              <w:rPr>
                <w:rFonts w:cs="Arial"/>
                <w:sz w:val="16"/>
                <w:szCs w:val="16"/>
              </w:rPr>
            </w:pPr>
          </w:p>
        </w:tc>
        <w:tc>
          <w:tcPr>
            <w:tcW w:w="2677" w:type="dxa"/>
            <w:shd w:val="clear" w:color="auto" w:fill="auto"/>
          </w:tcPr>
          <w:p w14:paraId="4FF3DBCF" w14:textId="77777777" w:rsidR="00CC0487" w:rsidRPr="003E7026" w:rsidRDefault="00CC0487" w:rsidP="00DB6666">
            <w:pPr>
              <w:jc w:val="left"/>
              <w:rPr>
                <w:rFonts w:cs="Arial"/>
                <w:sz w:val="16"/>
                <w:szCs w:val="16"/>
              </w:rPr>
            </w:pPr>
            <w:r w:rsidRPr="003E7026">
              <w:rPr>
                <w:rFonts w:cs="Arial"/>
                <w:sz w:val="16"/>
                <w:szCs w:val="16"/>
              </w:rPr>
              <w:t xml:space="preserve">Anzahl von UPOV-Mitgliedern, die Technische Fragebögen der UPOV unverändert in </w:t>
            </w:r>
            <w:r>
              <w:rPr>
                <w:rFonts w:cs="Arial"/>
                <w:sz w:val="16"/>
                <w:szCs w:val="16"/>
              </w:rPr>
              <w:t>UPOV PRISMA</w:t>
            </w:r>
            <w:r w:rsidRPr="003E7026">
              <w:rPr>
                <w:rFonts w:cs="Arial"/>
                <w:sz w:val="16"/>
                <w:szCs w:val="16"/>
              </w:rPr>
              <w:t xml:space="preserve"> verwenden</w:t>
            </w:r>
          </w:p>
        </w:tc>
        <w:tc>
          <w:tcPr>
            <w:tcW w:w="1412" w:type="dxa"/>
            <w:shd w:val="clear" w:color="000000" w:fill="FFFFFF"/>
          </w:tcPr>
          <w:p w14:paraId="594474A1" w14:textId="77777777" w:rsidR="00CC0487" w:rsidRPr="003E7026" w:rsidRDefault="00CC0487" w:rsidP="00DB6666">
            <w:pPr>
              <w:ind w:right="284"/>
              <w:jc w:val="right"/>
              <w:rPr>
                <w:rFonts w:cs="Arial"/>
                <w:sz w:val="16"/>
                <w:szCs w:val="16"/>
              </w:rPr>
            </w:pPr>
            <w:r w:rsidRPr="003E7026">
              <w:rPr>
                <w:rFonts w:cs="Arial"/>
                <w:sz w:val="16"/>
                <w:szCs w:val="16"/>
              </w:rPr>
              <w:t>24 (2022)</w:t>
            </w:r>
          </w:p>
        </w:tc>
        <w:tc>
          <w:tcPr>
            <w:tcW w:w="1559" w:type="dxa"/>
            <w:shd w:val="clear" w:color="auto" w:fill="auto"/>
          </w:tcPr>
          <w:p w14:paraId="323B3BED" w14:textId="77777777" w:rsidR="00CC0487" w:rsidRPr="003E7026" w:rsidRDefault="00CC0487" w:rsidP="00DB6666">
            <w:pPr>
              <w:ind w:right="284"/>
              <w:jc w:val="right"/>
              <w:rPr>
                <w:rFonts w:cs="Arial"/>
                <w:sz w:val="16"/>
                <w:szCs w:val="16"/>
              </w:rPr>
            </w:pPr>
            <w:r w:rsidRPr="003E7026">
              <w:rPr>
                <w:rFonts w:cs="Arial"/>
                <w:sz w:val="16"/>
                <w:szCs w:val="16"/>
              </w:rPr>
              <w:t>30 (2025)</w:t>
            </w:r>
          </w:p>
        </w:tc>
      </w:tr>
      <w:tr w:rsidR="00CC0487" w:rsidRPr="003E7026" w14:paraId="23A39328" w14:textId="77777777" w:rsidTr="00DB6666">
        <w:tc>
          <w:tcPr>
            <w:tcW w:w="426" w:type="dxa"/>
          </w:tcPr>
          <w:p w14:paraId="56F4C3A3" w14:textId="77777777" w:rsidR="00CC0487" w:rsidRPr="003E7026" w:rsidRDefault="00CC0487" w:rsidP="00DB6666">
            <w:pPr>
              <w:jc w:val="left"/>
              <w:rPr>
                <w:rFonts w:cs="Arial"/>
                <w:sz w:val="16"/>
                <w:szCs w:val="16"/>
              </w:rPr>
            </w:pPr>
          </w:p>
        </w:tc>
        <w:tc>
          <w:tcPr>
            <w:tcW w:w="3255" w:type="dxa"/>
            <w:shd w:val="clear" w:color="auto" w:fill="auto"/>
          </w:tcPr>
          <w:p w14:paraId="07023356" w14:textId="77777777" w:rsidR="00CC0487" w:rsidRPr="003E7026" w:rsidRDefault="00CC0487" w:rsidP="00DB6666">
            <w:pPr>
              <w:jc w:val="left"/>
              <w:rPr>
                <w:rFonts w:cs="Arial"/>
                <w:sz w:val="16"/>
                <w:szCs w:val="16"/>
              </w:rPr>
            </w:pPr>
          </w:p>
        </w:tc>
        <w:tc>
          <w:tcPr>
            <w:tcW w:w="305" w:type="dxa"/>
            <w:shd w:val="clear" w:color="auto" w:fill="auto"/>
          </w:tcPr>
          <w:p w14:paraId="7A782C07" w14:textId="77777777" w:rsidR="00CC0487" w:rsidRPr="003E7026" w:rsidRDefault="00CC0487" w:rsidP="00DB6666">
            <w:pPr>
              <w:jc w:val="center"/>
              <w:rPr>
                <w:rFonts w:cs="Arial"/>
                <w:sz w:val="16"/>
                <w:szCs w:val="16"/>
              </w:rPr>
            </w:pPr>
          </w:p>
        </w:tc>
        <w:tc>
          <w:tcPr>
            <w:tcW w:w="2677" w:type="dxa"/>
            <w:shd w:val="clear" w:color="auto" w:fill="auto"/>
          </w:tcPr>
          <w:p w14:paraId="6F3DF4D0" w14:textId="77777777" w:rsidR="00CC0487" w:rsidRPr="003E7026" w:rsidRDefault="00CC0487" w:rsidP="00DB6666">
            <w:pPr>
              <w:ind w:left="284"/>
              <w:jc w:val="left"/>
              <w:rPr>
                <w:rFonts w:cs="Arial"/>
                <w:sz w:val="16"/>
                <w:szCs w:val="16"/>
              </w:rPr>
            </w:pPr>
            <w:r w:rsidRPr="003E7026">
              <w:rPr>
                <w:rFonts w:cs="Arial"/>
                <w:sz w:val="16"/>
                <w:szCs w:val="16"/>
              </w:rPr>
              <w:t xml:space="preserve">Anzahl von UPOV-Mitgliedern, die die Merkmale im Technischen Fragebogen der UPOV unverändert in </w:t>
            </w:r>
            <w:r>
              <w:rPr>
                <w:rFonts w:cs="Arial"/>
                <w:sz w:val="16"/>
                <w:szCs w:val="16"/>
              </w:rPr>
              <w:t>UPOV PRISMA</w:t>
            </w:r>
            <w:r w:rsidRPr="003E7026">
              <w:rPr>
                <w:rFonts w:cs="Arial"/>
                <w:sz w:val="16"/>
                <w:szCs w:val="16"/>
              </w:rPr>
              <w:t xml:space="preserve"> verwenden</w:t>
            </w:r>
          </w:p>
        </w:tc>
        <w:tc>
          <w:tcPr>
            <w:tcW w:w="1412" w:type="dxa"/>
            <w:shd w:val="clear" w:color="000000" w:fill="FFFFFF"/>
          </w:tcPr>
          <w:p w14:paraId="36E5BB89" w14:textId="77777777" w:rsidR="00CC0487" w:rsidRPr="003E7026" w:rsidRDefault="00CC0487" w:rsidP="00DB6666">
            <w:pPr>
              <w:ind w:right="284"/>
              <w:jc w:val="right"/>
              <w:rPr>
                <w:rFonts w:cs="Arial"/>
                <w:sz w:val="16"/>
                <w:szCs w:val="16"/>
              </w:rPr>
            </w:pPr>
            <w:r w:rsidRPr="003E7026">
              <w:rPr>
                <w:rFonts w:cs="Arial"/>
                <w:sz w:val="16"/>
                <w:szCs w:val="16"/>
              </w:rPr>
              <w:t>6 (2022)</w:t>
            </w:r>
          </w:p>
        </w:tc>
        <w:tc>
          <w:tcPr>
            <w:tcW w:w="1559" w:type="dxa"/>
            <w:shd w:val="clear" w:color="000000" w:fill="FFFFFF"/>
          </w:tcPr>
          <w:p w14:paraId="265846DF" w14:textId="77777777" w:rsidR="00CC0487" w:rsidRPr="003E7026" w:rsidRDefault="00CC0487" w:rsidP="00DB6666">
            <w:pPr>
              <w:ind w:right="284"/>
              <w:jc w:val="right"/>
              <w:rPr>
                <w:rFonts w:cs="Arial"/>
                <w:sz w:val="16"/>
                <w:szCs w:val="16"/>
              </w:rPr>
            </w:pPr>
            <w:r w:rsidRPr="003E7026">
              <w:rPr>
                <w:rFonts w:cs="Arial"/>
                <w:sz w:val="16"/>
                <w:szCs w:val="16"/>
              </w:rPr>
              <w:t>8 (2025)</w:t>
            </w:r>
          </w:p>
        </w:tc>
      </w:tr>
      <w:tr w:rsidR="00CC0487" w:rsidRPr="003E7026" w14:paraId="1AA864D2" w14:textId="77777777" w:rsidTr="00DB6666">
        <w:tc>
          <w:tcPr>
            <w:tcW w:w="426" w:type="dxa"/>
          </w:tcPr>
          <w:p w14:paraId="55513D92" w14:textId="77777777" w:rsidR="00CC0487" w:rsidRPr="003E7026" w:rsidRDefault="00CC0487" w:rsidP="00DB6666">
            <w:pPr>
              <w:jc w:val="left"/>
              <w:rPr>
                <w:rFonts w:cs="Arial"/>
                <w:sz w:val="16"/>
                <w:szCs w:val="16"/>
              </w:rPr>
            </w:pPr>
          </w:p>
        </w:tc>
        <w:tc>
          <w:tcPr>
            <w:tcW w:w="3255" w:type="dxa"/>
            <w:shd w:val="clear" w:color="auto" w:fill="auto"/>
          </w:tcPr>
          <w:p w14:paraId="28B3F44A" w14:textId="77777777" w:rsidR="00CC0487" w:rsidRPr="003E7026" w:rsidRDefault="00CC0487" w:rsidP="00DB6666">
            <w:pPr>
              <w:jc w:val="left"/>
              <w:rPr>
                <w:rFonts w:cs="Arial"/>
                <w:sz w:val="16"/>
                <w:szCs w:val="16"/>
              </w:rPr>
            </w:pPr>
          </w:p>
        </w:tc>
        <w:tc>
          <w:tcPr>
            <w:tcW w:w="305" w:type="dxa"/>
            <w:shd w:val="clear" w:color="auto" w:fill="auto"/>
          </w:tcPr>
          <w:p w14:paraId="1AAF8417" w14:textId="77777777" w:rsidR="00CC0487" w:rsidRPr="003E7026" w:rsidRDefault="00CC0487" w:rsidP="00DB6666">
            <w:pPr>
              <w:jc w:val="center"/>
              <w:rPr>
                <w:rFonts w:cs="Arial"/>
                <w:sz w:val="16"/>
                <w:szCs w:val="16"/>
              </w:rPr>
            </w:pPr>
          </w:p>
        </w:tc>
        <w:tc>
          <w:tcPr>
            <w:tcW w:w="2677" w:type="dxa"/>
            <w:shd w:val="clear" w:color="auto" w:fill="auto"/>
          </w:tcPr>
          <w:p w14:paraId="5A6B2B97" w14:textId="77777777" w:rsidR="00CC0487" w:rsidRPr="003E7026" w:rsidRDefault="00CC0487" w:rsidP="00DB6666">
            <w:pPr>
              <w:ind w:left="284"/>
              <w:jc w:val="left"/>
              <w:rPr>
                <w:rFonts w:cs="Arial"/>
                <w:sz w:val="16"/>
                <w:szCs w:val="16"/>
              </w:rPr>
            </w:pPr>
            <w:r w:rsidRPr="003E7026">
              <w:rPr>
                <w:rFonts w:cs="Arial"/>
                <w:sz w:val="16"/>
                <w:szCs w:val="16"/>
              </w:rPr>
              <w:t xml:space="preserve">% aller Sortenschutzanträge bei UPOV-Mitgliedern, die von Prüfungsrichtlinien der UPOV erfasst werden </w:t>
            </w:r>
          </w:p>
        </w:tc>
        <w:tc>
          <w:tcPr>
            <w:tcW w:w="1412" w:type="dxa"/>
            <w:shd w:val="clear" w:color="000000" w:fill="FFFFFF"/>
          </w:tcPr>
          <w:p w14:paraId="5C741366" w14:textId="77777777" w:rsidR="00CC0487" w:rsidRPr="003E7026" w:rsidRDefault="00CC0487" w:rsidP="00DB6666">
            <w:pPr>
              <w:jc w:val="center"/>
              <w:rPr>
                <w:rFonts w:cs="Arial"/>
                <w:sz w:val="16"/>
                <w:szCs w:val="16"/>
              </w:rPr>
            </w:pPr>
            <w:r w:rsidRPr="003E7026">
              <w:rPr>
                <w:rFonts w:cs="Arial"/>
                <w:sz w:val="16"/>
                <w:szCs w:val="16"/>
              </w:rPr>
              <w:t>94%</w:t>
            </w:r>
          </w:p>
        </w:tc>
        <w:tc>
          <w:tcPr>
            <w:tcW w:w="1559" w:type="dxa"/>
            <w:shd w:val="clear" w:color="auto" w:fill="auto"/>
          </w:tcPr>
          <w:p w14:paraId="6C191E32" w14:textId="77777777" w:rsidR="00CC0487" w:rsidRPr="003E7026" w:rsidRDefault="00CC0487" w:rsidP="00DB6666">
            <w:pPr>
              <w:jc w:val="center"/>
              <w:rPr>
                <w:rFonts w:cs="Arial"/>
                <w:sz w:val="16"/>
                <w:szCs w:val="16"/>
              </w:rPr>
            </w:pPr>
            <w:r w:rsidRPr="003E7026">
              <w:rPr>
                <w:rFonts w:cs="Arial"/>
                <w:sz w:val="16"/>
                <w:szCs w:val="16"/>
              </w:rPr>
              <w:t>94%</w:t>
            </w:r>
          </w:p>
        </w:tc>
      </w:tr>
      <w:tr w:rsidR="00CC0487" w:rsidRPr="003E7026" w14:paraId="7B2C38CE" w14:textId="77777777" w:rsidTr="00DB6666">
        <w:tc>
          <w:tcPr>
            <w:tcW w:w="426" w:type="dxa"/>
          </w:tcPr>
          <w:p w14:paraId="49307B1E" w14:textId="77777777" w:rsidR="00CC0487" w:rsidRPr="003E7026" w:rsidRDefault="00CC0487" w:rsidP="00DB6666">
            <w:pPr>
              <w:jc w:val="left"/>
              <w:rPr>
                <w:rFonts w:cs="Arial"/>
                <w:sz w:val="16"/>
                <w:szCs w:val="16"/>
              </w:rPr>
            </w:pPr>
          </w:p>
        </w:tc>
        <w:tc>
          <w:tcPr>
            <w:tcW w:w="3255" w:type="dxa"/>
            <w:tcBorders>
              <w:bottom w:val="single" w:sz="4" w:space="0" w:color="D9D9D9" w:themeColor="background1" w:themeShade="D9"/>
            </w:tcBorders>
            <w:shd w:val="clear" w:color="auto" w:fill="auto"/>
          </w:tcPr>
          <w:p w14:paraId="63F01BE4" w14:textId="77777777" w:rsidR="00CC0487" w:rsidRPr="003E7026" w:rsidRDefault="00CC0487" w:rsidP="00DB6666">
            <w:pPr>
              <w:jc w:val="left"/>
              <w:rPr>
                <w:rFonts w:cs="Arial"/>
                <w:sz w:val="16"/>
                <w:szCs w:val="16"/>
              </w:rPr>
            </w:pPr>
          </w:p>
        </w:tc>
        <w:tc>
          <w:tcPr>
            <w:tcW w:w="305" w:type="dxa"/>
            <w:tcBorders>
              <w:bottom w:val="single" w:sz="4" w:space="0" w:color="D9D9D9" w:themeColor="background1" w:themeShade="D9"/>
            </w:tcBorders>
            <w:shd w:val="clear" w:color="auto" w:fill="auto"/>
          </w:tcPr>
          <w:p w14:paraId="0D6AEC8C" w14:textId="77777777" w:rsidR="00CC0487" w:rsidRPr="003E7026" w:rsidRDefault="00CC0487" w:rsidP="00DB6666">
            <w:pPr>
              <w:jc w:val="center"/>
              <w:rPr>
                <w:rFonts w:cs="Arial"/>
                <w:sz w:val="16"/>
                <w:szCs w:val="16"/>
              </w:rPr>
            </w:pPr>
          </w:p>
        </w:tc>
        <w:tc>
          <w:tcPr>
            <w:tcW w:w="2677" w:type="dxa"/>
            <w:tcBorders>
              <w:bottom w:val="single" w:sz="4" w:space="0" w:color="D9D9D9" w:themeColor="background1" w:themeShade="D9"/>
            </w:tcBorders>
            <w:shd w:val="clear" w:color="auto" w:fill="auto"/>
          </w:tcPr>
          <w:p w14:paraId="5A016DDB" w14:textId="77777777" w:rsidR="00CC0487" w:rsidRPr="003E7026" w:rsidRDefault="00CC0487" w:rsidP="00DB6666">
            <w:pPr>
              <w:ind w:left="284"/>
              <w:jc w:val="left"/>
              <w:rPr>
                <w:rFonts w:cs="Arial"/>
                <w:sz w:val="16"/>
                <w:szCs w:val="16"/>
              </w:rPr>
            </w:pPr>
            <w:r w:rsidRPr="003E7026">
              <w:rPr>
                <w:rFonts w:cs="Arial"/>
                <w:sz w:val="16"/>
                <w:szCs w:val="16"/>
              </w:rPr>
              <w:t>Anzahl von vom e-PVP-Modul für DUS-Austausch heruntergeladenen DUS-Berichten</w:t>
            </w:r>
          </w:p>
        </w:tc>
        <w:tc>
          <w:tcPr>
            <w:tcW w:w="1412" w:type="dxa"/>
            <w:tcBorders>
              <w:bottom w:val="single" w:sz="4" w:space="0" w:color="D9D9D9" w:themeColor="background1" w:themeShade="D9"/>
            </w:tcBorders>
            <w:shd w:val="clear" w:color="auto" w:fill="auto"/>
          </w:tcPr>
          <w:p w14:paraId="03E050D7" w14:textId="77777777" w:rsidR="00CC0487" w:rsidRPr="003E7026" w:rsidRDefault="00CC0487" w:rsidP="00DB6666">
            <w:pPr>
              <w:jc w:val="center"/>
              <w:rPr>
                <w:rFonts w:cs="Arial"/>
                <w:sz w:val="16"/>
                <w:szCs w:val="16"/>
              </w:rPr>
            </w:pPr>
            <w:r w:rsidRPr="003E7026">
              <w:rPr>
                <w:rFonts w:cs="Arial"/>
                <w:sz w:val="16"/>
                <w:szCs w:val="16"/>
              </w:rPr>
              <w:t>k.A.</w:t>
            </w:r>
          </w:p>
        </w:tc>
        <w:tc>
          <w:tcPr>
            <w:tcW w:w="1559" w:type="dxa"/>
            <w:tcBorders>
              <w:bottom w:val="single" w:sz="4" w:space="0" w:color="D9D9D9" w:themeColor="background1" w:themeShade="D9"/>
            </w:tcBorders>
            <w:shd w:val="clear" w:color="auto" w:fill="auto"/>
          </w:tcPr>
          <w:p w14:paraId="4F89F942" w14:textId="77777777" w:rsidR="00CC0487" w:rsidRPr="003E7026" w:rsidRDefault="00CC0487" w:rsidP="00DB6666">
            <w:pPr>
              <w:jc w:val="center"/>
              <w:rPr>
                <w:rFonts w:cs="Arial"/>
                <w:sz w:val="16"/>
                <w:szCs w:val="16"/>
              </w:rPr>
            </w:pPr>
            <w:r w:rsidRPr="003E7026">
              <w:rPr>
                <w:rFonts w:cs="Arial"/>
                <w:sz w:val="16"/>
                <w:szCs w:val="16"/>
              </w:rPr>
              <w:t>400</w:t>
            </w:r>
          </w:p>
        </w:tc>
      </w:tr>
    </w:tbl>
    <w:p w14:paraId="6A8C4340" w14:textId="77777777" w:rsidR="00CC0487" w:rsidRPr="003E7026" w:rsidRDefault="00CC0487" w:rsidP="00CC0487"/>
    <w:p w14:paraId="21FCD760" w14:textId="77777777" w:rsidR="00CC0487" w:rsidRPr="003E7026" w:rsidRDefault="00CC0487" w:rsidP="00CC0487"/>
    <w:p w14:paraId="7BDF51A4" w14:textId="77777777" w:rsidR="00CC0487" w:rsidRDefault="00CC0487" w:rsidP="00CC0487">
      <w:pPr>
        <w:jc w:val="left"/>
        <w:rPr>
          <w:b/>
          <w:color w:val="26724C" w:themeColor="accent1" w:themeShade="BF"/>
          <w:sz w:val="28"/>
        </w:rPr>
      </w:pPr>
      <w:bookmarkStart w:id="453" w:name="_Toc128060731"/>
      <w:bookmarkStart w:id="454" w:name="_Toc117798897"/>
      <w:bookmarkStart w:id="455" w:name="_Toc107239602"/>
      <w:bookmarkStart w:id="456" w:name="_Toc107239352"/>
      <w:r>
        <w:br w:type="page"/>
      </w:r>
    </w:p>
    <w:p w14:paraId="414C03A1" w14:textId="77777777" w:rsidR="00CC0487" w:rsidRPr="003E7026" w:rsidRDefault="00CC0487" w:rsidP="00986945">
      <w:pPr>
        <w:pStyle w:val="Heading2"/>
        <w:ind w:left="0" w:firstLine="0"/>
        <w:rPr>
          <w:lang w:val="de-DE"/>
        </w:rPr>
      </w:pPr>
      <w:r w:rsidRPr="003E7026">
        <w:rPr>
          <w:lang w:val="de-DE"/>
        </w:rPr>
        <w:lastRenderedPageBreak/>
        <w:t>Säule 3: Bereitstellung qualitativ hochstehender Dienstleistungen für UPOV-Mitglieder und Nutzer des UPOV-Systems</w:t>
      </w:r>
      <w:bookmarkEnd w:id="453"/>
      <w:r w:rsidRPr="003E7026">
        <w:rPr>
          <w:lang w:val="de-DE"/>
        </w:rPr>
        <w:t xml:space="preserve"> </w:t>
      </w:r>
      <w:bookmarkEnd w:id="454"/>
      <w:bookmarkEnd w:id="455"/>
      <w:bookmarkEnd w:id="456"/>
    </w:p>
    <w:p w14:paraId="1C34057E" w14:textId="77777777" w:rsidR="00CC0487" w:rsidRPr="003E7026" w:rsidRDefault="00CC0487" w:rsidP="00CC0487">
      <w:pPr>
        <w:keepNext/>
        <w:rPr>
          <w:b/>
          <w:bCs/>
          <w:sz w:val="22"/>
          <w:szCs w:val="22"/>
        </w:rPr>
      </w:pPr>
    </w:p>
    <w:p w14:paraId="12C369A0" w14:textId="77777777" w:rsidR="00CC0487" w:rsidRPr="003E7026" w:rsidRDefault="00CC0487" w:rsidP="00CC0487">
      <w:pPr>
        <w:pStyle w:val="Heading3"/>
        <w:rPr>
          <w:sz w:val="20"/>
          <w:lang w:val="de-DE"/>
        </w:rPr>
      </w:pPr>
      <w:bookmarkStart w:id="457" w:name="_Toc128060732"/>
      <w:r w:rsidRPr="003E7026">
        <w:rPr>
          <w:lang w:val="de-DE"/>
        </w:rPr>
        <w:t>Umsetzung der Strategie zur Erreichung der Erwarteten Ergebnisse</w:t>
      </w:r>
      <w:bookmarkEnd w:id="457"/>
    </w:p>
    <w:p w14:paraId="6DB7D11A" w14:textId="77777777" w:rsidR="00CC0487" w:rsidRPr="003E7026" w:rsidRDefault="00CC0487" w:rsidP="00CC0487">
      <w:pPr>
        <w:keepNext/>
        <w:rPr>
          <w:b/>
          <w:bCs/>
          <w:sz w:val="22"/>
          <w:szCs w:val="22"/>
        </w:rPr>
      </w:pPr>
    </w:p>
    <w:p w14:paraId="3FDDB234" w14:textId="77777777" w:rsidR="00CC0487" w:rsidRPr="003E7026" w:rsidRDefault="00CC0487" w:rsidP="00CC0487">
      <w:r w:rsidRPr="003E7026">
        <w:rPr>
          <w:bCs/>
        </w:rPr>
        <w:fldChar w:fldCharType="begin"/>
      </w:r>
      <w:r w:rsidRPr="003E7026">
        <w:rPr>
          <w:bCs/>
        </w:rPr>
        <w:instrText xml:space="preserve"> AUTONUM  </w:instrText>
      </w:r>
      <w:r w:rsidRPr="003E7026">
        <w:rPr>
          <w:bCs/>
        </w:rPr>
        <w:fldChar w:fldCharType="end"/>
      </w:r>
      <w:r w:rsidRPr="003E7026">
        <w:rPr>
          <w:bCs/>
        </w:rPr>
        <w:tab/>
        <w:t>In der Vergangenheit legte die UPOV in Anbetracht der begrenzten Ressourcen den Schwerpunkt auf die Erteilung von Anleitung, Informationen und Schulung anstelle der Entwicklung von Tools zur Unterstützung der Verbandsmitglieder bei der Umsetzung des UPOV-Systems. Der Mangel an praktischer Unterstützung hat zu einigen Unterschieden bei der Umsetzung (z. B. Antragsformulare) geführt, die nicht auf grundsätzlichen Faktoren beruhen, sondern eher auf fehlende praktische Unterstützung zurückzuführen sind. Darüber hinaus verfügten einige Verbandsmitglieder über die Ressourcen, um sehr wirksa</w:t>
      </w:r>
      <w:r>
        <w:rPr>
          <w:bCs/>
        </w:rPr>
        <w:t>me Systeme zu entwickeln (z. B. </w:t>
      </w:r>
      <w:r w:rsidRPr="003E7026">
        <w:rPr>
          <w:bCs/>
        </w:rPr>
        <w:t>elektronische Systeme für die Einreichung von Anträgen), während andere Verbandsmitglieder ohne die erforderlichen Ressourcen nicht in der Lage waren, solche Systeme zu entwickeln.</w:t>
      </w:r>
      <w:r w:rsidRPr="003E7026">
        <w:rPr>
          <w:b/>
          <w:bCs/>
        </w:rPr>
        <w:t xml:space="preserve"> </w:t>
      </w:r>
      <w:r w:rsidRPr="003E7026">
        <w:rPr>
          <w:bCs/>
        </w:rPr>
        <w:t xml:space="preserve">Jüngste Entwicklungen im IT-Bereich in Verbindung mit der Schaffung des Postens eines IT-Beauftragten ermöglichten es der UPOV, die e-PVP-Initiative der UPOV zu entwickeln (siehe unten). UPOV E-PVP bietet die Möglichkeit, den Verbandsmitgliedern Dienstleistungen in einer Weise zu erbringen, die die Effizienz des globalen UPOV-Systems verbessern und eine „Angleichung“ </w:t>
      </w:r>
      <w:r w:rsidRPr="003E7026">
        <w:t xml:space="preserve">der Kapazitäten </w:t>
      </w:r>
      <w:r w:rsidRPr="003E7026">
        <w:rPr>
          <w:bCs/>
        </w:rPr>
        <w:t>innerhalb der UPOV ermöglichen wird</w:t>
      </w:r>
      <w:r w:rsidRPr="003E7026">
        <w:t xml:space="preserve">. </w:t>
      </w:r>
    </w:p>
    <w:p w14:paraId="370A5420" w14:textId="77777777" w:rsidR="00CC0487" w:rsidRPr="003E7026" w:rsidRDefault="00CC0487" w:rsidP="00CC0487">
      <w:pPr>
        <w:pStyle w:val="ListParagraph"/>
        <w:ind w:left="0"/>
      </w:pPr>
    </w:p>
    <w:p w14:paraId="224A244C" w14:textId="77777777" w:rsidR="00CC0487" w:rsidRPr="003E7026" w:rsidRDefault="00CC0487" w:rsidP="00CC0487">
      <w:pPr>
        <w:pStyle w:val="Heading4"/>
        <w:rPr>
          <w:lang w:val="de-DE"/>
        </w:rPr>
      </w:pPr>
      <w:bookmarkStart w:id="458" w:name="_Toc117798900"/>
      <w:bookmarkStart w:id="459" w:name="_Toc107239605"/>
      <w:bookmarkStart w:id="460" w:name="_Toc107239355"/>
      <w:r w:rsidRPr="003E7026">
        <w:rPr>
          <w:lang w:val="de-DE"/>
        </w:rPr>
        <w:t xml:space="preserve">3.1 </w:t>
      </w:r>
      <w:bookmarkEnd w:id="458"/>
      <w:bookmarkEnd w:id="459"/>
      <w:bookmarkEnd w:id="460"/>
      <w:r w:rsidRPr="003E7026">
        <w:rPr>
          <w:lang w:val="de-DE"/>
        </w:rPr>
        <w:tab/>
        <w:t xml:space="preserve">Entwicklung von </w:t>
      </w:r>
      <w:r>
        <w:rPr>
          <w:lang w:val="de-DE"/>
        </w:rPr>
        <w:t xml:space="preserve">UPOV </w:t>
      </w:r>
      <w:r w:rsidRPr="003E7026">
        <w:rPr>
          <w:lang w:val="de-DE"/>
        </w:rPr>
        <w:t>e-</w:t>
      </w:r>
      <w:r>
        <w:rPr>
          <w:lang w:val="de-DE"/>
        </w:rPr>
        <w:t>PVP-Diensten</w:t>
      </w:r>
    </w:p>
    <w:p w14:paraId="115F34D4" w14:textId="77777777" w:rsidR="00CC0487" w:rsidRPr="003E7026" w:rsidRDefault="00CC0487" w:rsidP="00CC0487">
      <w:pPr>
        <w:pStyle w:val="Heading5"/>
        <w:rPr>
          <w:snapToGrid w:val="0"/>
          <w:lang w:val="de-DE"/>
        </w:rPr>
      </w:pPr>
    </w:p>
    <w:p w14:paraId="0C7A6BDB" w14:textId="77777777" w:rsidR="00CC0487" w:rsidRPr="003E7026" w:rsidRDefault="00CC0487" w:rsidP="00CC0487">
      <w:pPr>
        <w:pStyle w:val="ListParagraph"/>
        <w:ind w:left="0"/>
      </w:pPr>
      <w:r w:rsidRPr="003E7026">
        <w:fldChar w:fldCharType="begin"/>
      </w:r>
      <w:r w:rsidRPr="003E7026">
        <w:instrText xml:space="preserve"> AUTONUM  </w:instrText>
      </w:r>
      <w:r w:rsidRPr="003E7026">
        <w:fldChar w:fldCharType="end"/>
      </w:r>
      <w:r w:rsidRPr="003E7026">
        <w:tab/>
        <w:t xml:space="preserve">UPOV </w:t>
      </w:r>
      <w:r>
        <w:t>e</w:t>
      </w:r>
      <w:r w:rsidRPr="003E7026">
        <w:t xml:space="preserve">-PVP wird eine kohärente und umfassende Unterstützung bei der Umsetzung des UPOV-Sortenschutzsystems bereitstellen, wobei einige oder alle Komponenten von Verbandsmitgliedern verwendet werden können, je nach Wunsch bzw. Bedarf. UPOV </w:t>
      </w:r>
      <w:r>
        <w:t>e</w:t>
      </w:r>
      <w:r w:rsidRPr="003E7026">
        <w:t>-PVP, das das folgende Paket kompatibler Instrumente umfasst, wird wie angegeben weiterentwickelt:</w:t>
      </w:r>
    </w:p>
    <w:p w14:paraId="4F8864EF" w14:textId="77777777" w:rsidR="00CC0487" w:rsidRPr="003E7026" w:rsidRDefault="00CC0487" w:rsidP="00CC0487"/>
    <w:p w14:paraId="3E94FD64" w14:textId="77777777" w:rsidR="00CC0487" w:rsidRPr="003E7026" w:rsidRDefault="00CC0487" w:rsidP="00CC0487">
      <w:pPr>
        <w:pStyle w:val="ListParagraph"/>
        <w:numPr>
          <w:ilvl w:val="0"/>
          <w:numId w:val="3"/>
        </w:numPr>
        <w:spacing w:after="40"/>
        <w:rPr>
          <w:color w:val="000000" w:themeColor="text1"/>
        </w:rPr>
      </w:pPr>
      <w:r w:rsidRPr="003E7026">
        <w:rPr>
          <w:b/>
        </w:rPr>
        <w:t xml:space="preserve">Das </w:t>
      </w:r>
      <w:r>
        <w:rPr>
          <w:b/>
        </w:rPr>
        <w:t>UPOV PRISMA</w:t>
      </w:r>
      <w:r w:rsidRPr="003E7026">
        <w:rPr>
          <w:b/>
        </w:rPr>
        <w:t xml:space="preserve"> Online-Antragsinstrument </w:t>
      </w:r>
      <w:r w:rsidRPr="003E7026">
        <w:t xml:space="preserve">wird weiterhin auf mehr Verbandsmitglieder und mehr Pflanzen/Arten ausgedehnt werden. </w:t>
      </w:r>
      <w:r>
        <w:rPr>
          <w:color w:val="000000" w:themeColor="text1"/>
        </w:rPr>
        <w:t>UPOV PRISMA</w:t>
      </w:r>
      <w:r w:rsidRPr="003E7026">
        <w:rPr>
          <w:color w:val="000000" w:themeColor="text1"/>
        </w:rPr>
        <w:t xml:space="preserve"> wird weiterentwickelt werden, um Antragsstellern auf Erteilung von Züchterrechten Informationen über die Zusammenarbeit bei der DUS-Prüfung zwischen Verbandsmitgliedern zu erteilen, wenn maßgebliche Informationen von Verbandsmitgliedern bereitgestellt werden.</w:t>
      </w:r>
    </w:p>
    <w:p w14:paraId="74C9B3A0" w14:textId="77777777" w:rsidR="00CC0487" w:rsidRPr="003E7026" w:rsidRDefault="00CC0487" w:rsidP="00CC0487">
      <w:pPr>
        <w:pStyle w:val="ListParagraph"/>
        <w:numPr>
          <w:ilvl w:val="0"/>
          <w:numId w:val="3"/>
        </w:numPr>
        <w:spacing w:after="40"/>
      </w:pPr>
      <w:r w:rsidRPr="003E7026">
        <w:rPr>
          <w:b/>
        </w:rPr>
        <w:t xml:space="preserve">Das UPOV e-PVP-Verwaltungsmodul </w:t>
      </w:r>
      <w:r w:rsidRPr="003E7026">
        <w:t xml:space="preserve">soll den Verbandsmitgliedern für die Verwaltung und Veröffentlichung von Sortenschutzanträgen zur Verfügung gestellt werden, einschließlich der Kommunikation mit den Antragstellern und der Übermittlung von Daten an die PLUTO-Datenbank. Das Modul wird auch eine Funktion zum Erfassen und Vergleichen von Sortenbeschreibungen enthalten. Eine Standardversion des UPOV e-PVP-Verwaltungsmoduls wird den Verbandsmitgliedern kostenlos zur Verfügung gestellt und von der UPOV unterhalten werden, vorbehaltlich der Auswirkungen auf die Ressourcen des Verbandsbüros. Das betreffende Verbandsmitglied muss für die Deckung der Kosten für das Hosting des Moduls in der Cloud sorgen. Individuell angepasste Versionen des UPOV e-PVP-Verwaltungsmoduls, die den speziellen Bedürfnissen der Verbandsmitglieder entsprechen, können zusammen mit der UPOV entwickelt werden, wenn die erforderlichen außeretatmäßigen Mittel bereitgestellt werden und vorbehaltlich der Auswirkungen auf die Ressourcen des Verbandsbüros. </w:t>
      </w:r>
    </w:p>
    <w:p w14:paraId="78FCFA35" w14:textId="77777777" w:rsidR="00CC0487" w:rsidRPr="003E7026" w:rsidRDefault="00CC0487" w:rsidP="00CC0487">
      <w:pPr>
        <w:pStyle w:val="ListParagraph"/>
        <w:numPr>
          <w:ilvl w:val="0"/>
          <w:numId w:val="3"/>
        </w:numPr>
        <w:spacing w:after="40"/>
        <w:rPr>
          <w:color w:val="000000" w:themeColor="text1"/>
        </w:rPr>
      </w:pPr>
      <w:r w:rsidRPr="003E7026">
        <w:rPr>
          <w:b/>
        </w:rPr>
        <w:t xml:space="preserve">Die </w:t>
      </w:r>
      <w:r w:rsidRPr="003E7026">
        <w:rPr>
          <w:b/>
          <w:color w:val="000000" w:themeColor="text1"/>
        </w:rPr>
        <w:t xml:space="preserve">UPOV e-PVP-Plattform zum Austausch von DUS-Berichten </w:t>
      </w:r>
      <w:r w:rsidRPr="003E7026">
        <w:rPr>
          <w:color w:val="000000" w:themeColor="text1"/>
        </w:rPr>
        <w:t>wird eine Plattform zum Austausch von DUS-Berichten bieten. Sie wird weiterentwickelt werden, damit Verbandsmitglieder anderen Verbandsmitgliedern ihre dokumentierten DUS-Verfahren und Informationen über ihre Qualitätsmanagementsysteme zur Verfügung stellen können.</w:t>
      </w:r>
    </w:p>
    <w:p w14:paraId="1C17B17A" w14:textId="77777777" w:rsidR="00CC0487" w:rsidRPr="003E7026" w:rsidRDefault="00CC0487" w:rsidP="00CC0487">
      <w:pPr>
        <w:pStyle w:val="ListParagraph"/>
        <w:numPr>
          <w:ilvl w:val="0"/>
          <w:numId w:val="3"/>
        </w:numPr>
        <w:spacing w:after="40"/>
      </w:pPr>
      <w:r w:rsidRPr="003E7026">
        <w:rPr>
          <w:rFonts w:cs="Arial"/>
          <w:b/>
          <w:snapToGrid w:val="0"/>
          <w:color w:val="000000"/>
        </w:rPr>
        <w:t xml:space="preserve">Die PLUTO-Datenbank </w:t>
      </w:r>
      <w:r w:rsidRPr="003E7026">
        <w:rPr>
          <w:rFonts w:cs="Arial"/>
          <w:snapToGrid w:val="0"/>
          <w:color w:val="000000"/>
        </w:rPr>
        <w:t xml:space="preserve">soll verbessert werden durch: Erhöhen der Vollständigkeit der Dateneinreichungen, insbesondere durch Verwendung des UPOV e-PVP-Verwaltungsmoduls; Verbessern der Benutzerschnittstelle; und Bereitstellen zusätzlicher Benutzerfunktionen. Es wird eine Funktion entwickelt werden, die es UPOV-Mitgliedern ermöglicht, Informationen zu Sortenbeschreibungen über die PLUTO-Datenbank auszutauschen. </w:t>
      </w:r>
    </w:p>
    <w:p w14:paraId="5400504A" w14:textId="77777777" w:rsidR="00CC0487" w:rsidRPr="003E7026" w:rsidRDefault="00CC0487" w:rsidP="00CC0487">
      <w:pPr>
        <w:pStyle w:val="ListParagraph"/>
        <w:numPr>
          <w:ilvl w:val="0"/>
          <w:numId w:val="3"/>
        </w:numPr>
        <w:spacing w:after="40"/>
      </w:pPr>
      <w:r w:rsidRPr="003E7026">
        <w:rPr>
          <w:b/>
        </w:rPr>
        <w:t xml:space="preserve">Die UPOV e-PVP-Plattformen für die Zusammenarbeit von UPOV-Mitgliedern </w:t>
      </w:r>
      <w:r w:rsidRPr="003E7026">
        <w:rPr>
          <w:bCs/>
        </w:rPr>
        <w:t>sollen auf Anfrage</w:t>
      </w:r>
      <w:r w:rsidRPr="003E7026">
        <w:t xml:space="preserve"> (z. B. e-PVP Asien), für die Zusammenarbeit von UPOV-Mitgliedern bei der Verwaltung und Prüfung von Anträgen entwickelt und unterstützt werden, vorbehaltlich der Bereitstellung der erforderlichen außeretatmäßigen Mittel und vorbehaltlich der Auswirkungen auf die Ressourcen des Verbandsbüros.</w:t>
      </w:r>
    </w:p>
    <w:p w14:paraId="2B14FEDA" w14:textId="77777777" w:rsidR="00CC0487" w:rsidRPr="003E7026" w:rsidRDefault="00CC0487" w:rsidP="00CC0487"/>
    <w:p w14:paraId="5F81AE1C" w14:textId="77777777" w:rsidR="00CC0487" w:rsidRPr="003E7026" w:rsidRDefault="00CC0487" w:rsidP="00CC0487">
      <w:r w:rsidRPr="003E7026">
        <w:fldChar w:fldCharType="begin"/>
      </w:r>
      <w:r w:rsidRPr="003E7026">
        <w:instrText xml:space="preserve"> AUTONUM  </w:instrText>
      </w:r>
      <w:r w:rsidRPr="003E7026">
        <w:fldChar w:fldCharType="end"/>
      </w:r>
      <w:r w:rsidRPr="003E7026">
        <w:tab/>
        <w:t>Die nachstehende Abbildung gibt einen graphischen Überblick über die UPOV e-PVP-Komponenten. Im Laufe des Jahres 2022 wird eine Überprüfung der UPOV e-PVP-Komponenten vorgenommen, um eine einheitliche Markenpolitik für das gesamte UPOV e-PVP zu schaffen, was gegebenenfalls zu einer Umbenennung bestimmter bestehender Instrumente führen kann:</w:t>
      </w:r>
    </w:p>
    <w:p w14:paraId="0D015BDD" w14:textId="77777777" w:rsidR="00CC0487" w:rsidRPr="003E7026" w:rsidRDefault="00CC0487" w:rsidP="00CC0487">
      <w:pPr>
        <w:tabs>
          <w:tab w:val="left" w:pos="851"/>
        </w:tabs>
      </w:pPr>
    </w:p>
    <w:tbl>
      <w:tblPr>
        <w:tblStyle w:val="TableGrid"/>
        <w:tblW w:w="0" w:type="auto"/>
        <w:jc w:val="center"/>
        <w:tblLook w:val="04A0" w:firstRow="1" w:lastRow="0" w:firstColumn="1" w:lastColumn="0" w:noHBand="0" w:noVBand="1"/>
      </w:tblPr>
      <w:tblGrid>
        <w:gridCol w:w="9639"/>
      </w:tblGrid>
      <w:tr w:rsidR="00CC0487" w:rsidRPr="003E7026" w14:paraId="65AF4C82" w14:textId="77777777" w:rsidTr="00DB6666">
        <w:trPr>
          <w:trHeight w:val="5669"/>
          <w:jc w:val="center"/>
        </w:trPr>
        <w:tc>
          <w:tcPr>
            <w:tcW w:w="9278" w:type="dxa"/>
            <w:tcBorders>
              <w:top w:val="nil"/>
              <w:left w:val="nil"/>
              <w:bottom w:val="nil"/>
              <w:right w:val="nil"/>
            </w:tcBorders>
            <w:hideMark/>
          </w:tcPr>
          <w:p w14:paraId="082DF226" w14:textId="77777777" w:rsidR="00CC0487" w:rsidRPr="003E7026" w:rsidRDefault="00CC0487" w:rsidP="00DB6666">
            <w:r w:rsidRPr="003E7026">
              <w:rPr>
                <w:noProof/>
                <w:lang w:val="en-US"/>
              </w:rPr>
              <w:drawing>
                <wp:inline distT="0" distB="0" distL="0" distR="0" wp14:anchorId="655A5C17" wp14:editId="568BC83A">
                  <wp:extent cx="6096851" cy="34294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6096851" cy="3429478"/>
                          </a:xfrm>
                          <a:prstGeom prst="rect">
                            <a:avLst/>
                          </a:prstGeom>
                        </pic:spPr>
                      </pic:pic>
                    </a:graphicData>
                  </a:graphic>
                </wp:inline>
              </w:drawing>
            </w:r>
          </w:p>
        </w:tc>
      </w:tr>
    </w:tbl>
    <w:p w14:paraId="1116F39E" w14:textId="77777777" w:rsidR="00CC0487" w:rsidRPr="003E7026" w:rsidRDefault="00CC0487" w:rsidP="00CC0487"/>
    <w:p w14:paraId="388CA674" w14:textId="77777777" w:rsidR="00CC0487" w:rsidRPr="003E7026" w:rsidRDefault="00CC0487" w:rsidP="00CC0487">
      <w:pPr>
        <w:rPr>
          <w:b/>
          <w:bCs/>
          <w:sz w:val="22"/>
          <w:szCs w:val="22"/>
        </w:rPr>
      </w:pPr>
    </w:p>
    <w:p w14:paraId="06DA7082" w14:textId="77777777" w:rsidR="00CC0487" w:rsidRPr="003E7026" w:rsidRDefault="00CC0487" w:rsidP="00CC0487">
      <w:pPr>
        <w:pStyle w:val="Heading3"/>
        <w:rPr>
          <w:lang w:val="de-DE"/>
        </w:rPr>
      </w:pPr>
      <w:bookmarkStart w:id="461" w:name="_Toc128060733"/>
      <w:r w:rsidRPr="003E7026">
        <w:rPr>
          <w:lang w:val="de-DE"/>
        </w:rPr>
        <w:t>Erwartete Ergebnisse und Planerfüllungsindikatoren</w:t>
      </w:r>
      <w:bookmarkEnd w:id="461"/>
    </w:p>
    <w:p w14:paraId="051ADFD5" w14:textId="77777777" w:rsidR="00CC0487" w:rsidRPr="003E7026" w:rsidRDefault="00CC0487" w:rsidP="00CC0487">
      <w:pPr>
        <w:keepNext/>
        <w:rPr>
          <w:bCs/>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818"/>
        <w:gridCol w:w="1418"/>
        <w:gridCol w:w="1412"/>
      </w:tblGrid>
      <w:tr w:rsidR="00CC0487" w:rsidRPr="003E7026" w14:paraId="23C92005" w14:textId="77777777" w:rsidTr="00DB6666">
        <w:trPr>
          <w:tblHeader/>
        </w:trPr>
        <w:tc>
          <w:tcPr>
            <w:tcW w:w="426" w:type="dxa"/>
            <w:shd w:val="clear" w:color="auto" w:fill="E2E7EB" w:themeFill="accent3" w:themeFillTint="33"/>
          </w:tcPr>
          <w:p w14:paraId="73098F1F" w14:textId="77777777" w:rsidR="00CC0487" w:rsidRPr="003E7026" w:rsidRDefault="00CC0487" w:rsidP="00DB6666">
            <w:pPr>
              <w:jc w:val="left"/>
              <w:rPr>
                <w:b/>
                <w:bCs/>
                <w:sz w:val="16"/>
                <w:szCs w:val="16"/>
              </w:rPr>
            </w:pPr>
          </w:p>
        </w:tc>
        <w:tc>
          <w:tcPr>
            <w:tcW w:w="3255" w:type="dxa"/>
            <w:shd w:val="clear" w:color="auto" w:fill="E2E7EB" w:themeFill="accent3" w:themeFillTint="33"/>
          </w:tcPr>
          <w:p w14:paraId="50C48090" w14:textId="77777777" w:rsidR="00CC0487" w:rsidRPr="003E7026" w:rsidRDefault="00CC0487" w:rsidP="00DB6666">
            <w:pPr>
              <w:jc w:val="left"/>
              <w:rPr>
                <w:b/>
                <w:bCs/>
                <w:sz w:val="16"/>
                <w:szCs w:val="16"/>
              </w:rPr>
            </w:pPr>
            <w:r w:rsidRPr="003E7026">
              <w:rPr>
                <w:b/>
                <w:bCs/>
                <w:sz w:val="16"/>
                <w:szCs w:val="16"/>
              </w:rPr>
              <w:t>Erwartete Ergebnisse</w:t>
            </w:r>
          </w:p>
        </w:tc>
        <w:tc>
          <w:tcPr>
            <w:tcW w:w="305" w:type="dxa"/>
            <w:shd w:val="clear" w:color="auto" w:fill="E2E7EB" w:themeFill="accent3" w:themeFillTint="33"/>
          </w:tcPr>
          <w:p w14:paraId="1D84E829" w14:textId="77777777" w:rsidR="00CC0487" w:rsidRPr="003E7026" w:rsidRDefault="00CC0487" w:rsidP="00DB6666">
            <w:pPr>
              <w:jc w:val="center"/>
              <w:rPr>
                <w:b/>
                <w:bCs/>
                <w:sz w:val="16"/>
                <w:szCs w:val="16"/>
              </w:rPr>
            </w:pPr>
          </w:p>
        </w:tc>
        <w:tc>
          <w:tcPr>
            <w:tcW w:w="2818" w:type="dxa"/>
            <w:shd w:val="clear" w:color="auto" w:fill="E2E7EB" w:themeFill="accent3" w:themeFillTint="33"/>
          </w:tcPr>
          <w:p w14:paraId="0ECB2A30" w14:textId="77777777" w:rsidR="00CC0487" w:rsidRPr="003E7026" w:rsidRDefault="00CC0487" w:rsidP="00DB6666">
            <w:pPr>
              <w:rPr>
                <w:b/>
                <w:bCs/>
                <w:sz w:val="16"/>
                <w:szCs w:val="16"/>
              </w:rPr>
            </w:pPr>
            <w:r w:rsidRPr="003E7026">
              <w:rPr>
                <w:b/>
                <w:bCs/>
                <w:sz w:val="16"/>
                <w:szCs w:val="16"/>
              </w:rPr>
              <w:t>Planerfüllungsindikatoren</w:t>
            </w:r>
          </w:p>
        </w:tc>
        <w:tc>
          <w:tcPr>
            <w:tcW w:w="1418" w:type="dxa"/>
            <w:shd w:val="clear" w:color="auto" w:fill="E2E7EB" w:themeFill="accent3" w:themeFillTint="33"/>
          </w:tcPr>
          <w:p w14:paraId="231E3D3E" w14:textId="77777777" w:rsidR="00CC0487" w:rsidRPr="003E7026" w:rsidRDefault="00CC0487" w:rsidP="00DB6666">
            <w:pPr>
              <w:jc w:val="center"/>
              <w:rPr>
                <w:b/>
                <w:bCs/>
                <w:sz w:val="16"/>
                <w:szCs w:val="16"/>
              </w:rPr>
            </w:pPr>
            <w:r w:rsidRPr="003E7026">
              <w:rPr>
                <w:b/>
                <w:bCs/>
                <w:sz w:val="16"/>
                <w:szCs w:val="16"/>
              </w:rPr>
              <w:t>Referenzwerte</w:t>
            </w:r>
          </w:p>
        </w:tc>
        <w:tc>
          <w:tcPr>
            <w:tcW w:w="1412" w:type="dxa"/>
            <w:shd w:val="clear" w:color="auto" w:fill="E2E7EB" w:themeFill="accent3" w:themeFillTint="33"/>
          </w:tcPr>
          <w:p w14:paraId="5A204A24" w14:textId="77777777" w:rsidR="00CC0487" w:rsidRPr="003E7026" w:rsidRDefault="00CC0487" w:rsidP="00DB6666">
            <w:pPr>
              <w:jc w:val="center"/>
              <w:rPr>
                <w:b/>
                <w:bCs/>
                <w:sz w:val="16"/>
                <w:szCs w:val="16"/>
              </w:rPr>
            </w:pPr>
            <w:r w:rsidRPr="003E7026">
              <w:rPr>
                <w:b/>
                <w:bCs/>
                <w:sz w:val="16"/>
                <w:szCs w:val="16"/>
              </w:rPr>
              <w:t>Ziele (2024/25)</w:t>
            </w:r>
          </w:p>
        </w:tc>
      </w:tr>
      <w:tr w:rsidR="00CC0487" w:rsidRPr="003E7026" w14:paraId="74FD21F9" w14:textId="77777777" w:rsidTr="00DB6666">
        <w:tc>
          <w:tcPr>
            <w:tcW w:w="426" w:type="dxa"/>
          </w:tcPr>
          <w:p w14:paraId="75DE2A98" w14:textId="77777777" w:rsidR="00CC0487" w:rsidRPr="003E7026" w:rsidRDefault="00CC0487" w:rsidP="00DB6666">
            <w:pPr>
              <w:jc w:val="left"/>
              <w:rPr>
                <w:rFonts w:cs="Arial"/>
                <w:sz w:val="16"/>
                <w:szCs w:val="16"/>
              </w:rPr>
            </w:pPr>
            <w:r w:rsidRPr="003E7026">
              <w:rPr>
                <w:rFonts w:cs="Arial"/>
                <w:sz w:val="16"/>
                <w:szCs w:val="16"/>
              </w:rPr>
              <w:t>3.1</w:t>
            </w:r>
          </w:p>
        </w:tc>
        <w:tc>
          <w:tcPr>
            <w:tcW w:w="3255" w:type="dxa"/>
            <w:shd w:val="clear" w:color="auto" w:fill="auto"/>
          </w:tcPr>
          <w:p w14:paraId="6714EDB2" w14:textId="77777777" w:rsidR="00CC0487" w:rsidRPr="003E7026" w:rsidRDefault="00CC0487" w:rsidP="00DB6666">
            <w:pPr>
              <w:jc w:val="left"/>
              <w:rPr>
                <w:rFonts w:cs="Arial"/>
                <w:sz w:val="16"/>
                <w:szCs w:val="16"/>
              </w:rPr>
            </w:pPr>
            <w:r w:rsidRPr="003E7026">
              <w:rPr>
                <w:rFonts w:cs="Arial"/>
                <w:sz w:val="16"/>
                <w:szCs w:val="16"/>
              </w:rPr>
              <w:t xml:space="preserve">Entwicklung von </w:t>
            </w:r>
            <w:r w:rsidRPr="005B3437">
              <w:rPr>
                <w:rFonts w:cs="Arial"/>
                <w:sz w:val="16"/>
                <w:szCs w:val="16"/>
              </w:rPr>
              <w:t>UPOV e-PVP-Diensten</w:t>
            </w:r>
          </w:p>
        </w:tc>
        <w:tc>
          <w:tcPr>
            <w:tcW w:w="305" w:type="dxa"/>
            <w:shd w:val="clear" w:color="auto" w:fill="auto"/>
          </w:tcPr>
          <w:p w14:paraId="28EFB5D5" w14:textId="77777777" w:rsidR="00CC0487" w:rsidRPr="003E7026" w:rsidRDefault="00CC0487" w:rsidP="00DB6666">
            <w:pPr>
              <w:jc w:val="left"/>
              <w:rPr>
                <w:rFonts w:cs="Arial"/>
                <w:sz w:val="16"/>
                <w:szCs w:val="16"/>
              </w:rPr>
            </w:pPr>
          </w:p>
        </w:tc>
        <w:tc>
          <w:tcPr>
            <w:tcW w:w="2818" w:type="dxa"/>
            <w:shd w:val="clear" w:color="auto" w:fill="auto"/>
          </w:tcPr>
          <w:p w14:paraId="0F1F8300" w14:textId="77777777" w:rsidR="00CC0487" w:rsidRPr="003E7026" w:rsidRDefault="00CC0487" w:rsidP="00DB6666">
            <w:pPr>
              <w:jc w:val="left"/>
              <w:rPr>
                <w:rFonts w:cs="Arial"/>
                <w:sz w:val="16"/>
                <w:szCs w:val="16"/>
              </w:rPr>
            </w:pPr>
            <w:r w:rsidRPr="003E7026">
              <w:rPr>
                <w:rFonts w:cs="Arial"/>
                <w:sz w:val="16"/>
                <w:szCs w:val="16"/>
              </w:rPr>
              <w:t>Prozentsatz an Sortenschutzanträgen von UPOV-Mitgliedern, die innerhalb von 1 Jahr in die PLUTO-Datenbank aufgenommen werden</w:t>
            </w:r>
          </w:p>
        </w:tc>
        <w:tc>
          <w:tcPr>
            <w:tcW w:w="1418" w:type="dxa"/>
            <w:shd w:val="clear" w:color="auto" w:fill="auto"/>
            <w:vAlign w:val="center"/>
          </w:tcPr>
          <w:p w14:paraId="46F14994" w14:textId="77777777" w:rsidR="00CC0487" w:rsidRPr="003E7026" w:rsidRDefault="00CC0487" w:rsidP="00DB6666">
            <w:pPr>
              <w:jc w:val="center"/>
              <w:rPr>
                <w:rFonts w:cs="Arial"/>
                <w:sz w:val="16"/>
                <w:szCs w:val="16"/>
              </w:rPr>
            </w:pPr>
            <w:r w:rsidRPr="003E7026">
              <w:rPr>
                <w:rFonts w:cs="Arial"/>
                <w:sz w:val="16"/>
                <w:szCs w:val="16"/>
              </w:rPr>
              <w:t>46% (2020)</w:t>
            </w:r>
          </w:p>
        </w:tc>
        <w:tc>
          <w:tcPr>
            <w:tcW w:w="1412" w:type="dxa"/>
            <w:shd w:val="clear" w:color="auto" w:fill="auto"/>
            <w:vAlign w:val="center"/>
          </w:tcPr>
          <w:p w14:paraId="31A07D8C" w14:textId="77777777" w:rsidR="00CC0487" w:rsidRPr="003E7026" w:rsidRDefault="00CC0487" w:rsidP="00DB6666">
            <w:pPr>
              <w:jc w:val="center"/>
              <w:rPr>
                <w:rFonts w:cs="Arial"/>
                <w:sz w:val="16"/>
                <w:szCs w:val="16"/>
              </w:rPr>
            </w:pPr>
            <w:r w:rsidRPr="003E7026">
              <w:rPr>
                <w:rFonts w:cs="Arial"/>
                <w:sz w:val="16"/>
                <w:szCs w:val="16"/>
              </w:rPr>
              <w:t>60% (2024)</w:t>
            </w:r>
          </w:p>
        </w:tc>
      </w:tr>
      <w:tr w:rsidR="00CC0487" w:rsidRPr="003E7026" w14:paraId="0EDEF66F" w14:textId="77777777" w:rsidTr="00DB6666">
        <w:tc>
          <w:tcPr>
            <w:tcW w:w="426" w:type="dxa"/>
          </w:tcPr>
          <w:p w14:paraId="2E0D3D8D" w14:textId="77777777" w:rsidR="00CC0487" w:rsidRPr="003E7026" w:rsidRDefault="00CC0487" w:rsidP="00DB6666">
            <w:pPr>
              <w:jc w:val="left"/>
              <w:rPr>
                <w:rFonts w:cs="Arial"/>
                <w:sz w:val="16"/>
                <w:szCs w:val="16"/>
              </w:rPr>
            </w:pPr>
          </w:p>
        </w:tc>
        <w:tc>
          <w:tcPr>
            <w:tcW w:w="3255" w:type="dxa"/>
            <w:shd w:val="clear" w:color="auto" w:fill="auto"/>
          </w:tcPr>
          <w:p w14:paraId="4CFF19DF" w14:textId="77777777" w:rsidR="00CC0487" w:rsidRPr="003E7026" w:rsidRDefault="00CC0487" w:rsidP="00DB6666">
            <w:pPr>
              <w:jc w:val="left"/>
              <w:rPr>
                <w:rFonts w:cs="Arial"/>
                <w:sz w:val="16"/>
                <w:szCs w:val="16"/>
              </w:rPr>
            </w:pPr>
            <w:r w:rsidRPr="003E7026">
              <w:rPr>
                <w:rFonts w:cs="Arial"/>
                <w:sz w:val="16"/>
                <w:szCs w:val="16"/>
              </w:rPr>
              <w:t> </w:t>
            </w:r>
          </w:p>
        </w:tc>
        <w:tc>
          <w:tcPr>
            <w:tcW w:w="305" w:type="dxa"/>
            <w:shd w:val="clear" w:color="auto" w:fill="auto"/>
          </w:tcPr>
          <w:p w14:paraId="71905D12" w14:textId="77777777" w:rsidR="00CC0487" w:rsidRPr="003E7026" w:rsidRDefault="00CC0487" w:rsidP="00DB6666">
            <w:pPr>
              <w:jc w:val="left"/>
              <w:rPr>
                <w:rFonts w:cs="Arial"/>
                <w:sz w:val="16"/>
                <w:szCs w:val="16"/>
              </w:rPr>
            </w:pPr>
          </w:p>
        </w:tc>
        <w:tc>
          <w:tcPr>
            <w:tcW w:w="2818" w:type="dxa"/>
            <w:shd w:val="clear" w:color="auto" w:fill="auto"/>
          </w:tcPr>
          <w:p w14:paraId="4A4F6C4E" w14:textId="77777777" w:rsidR="00CC0487" w:rsidRPr="003E7026" w:rsidRDefault="00CC0487" w:rsidP="00DB6666">
            <w:pPr>
              <w:jc w:val="left"/>
              <w:rPr>
                <w:rFonts w:cs="Arial"/>
                <w:sz w:val="16"/>
                <w:szCs w:val="16"/>
              </w:rPr>
            </w:pPr>
            <w:r w:rsidRPr="003E7026">
              <w:rPr>
                <w:rFonts w:cs="Arial"/>
                <w:sz w:val="16"/>
                <w:szCs w:val="16"/>
              </w:rPr>
              <w:t>Anzahl von PLUTO-Nutzern</w:t>
            </w:r>
          </w:p>
        </w:tc>
        <w:tc>
          <w:tcPr>
            <w:tcW w:w="1418" w:type="dxa"/>
            <w:shd w:val="clear" w:color="auto" w:fill="auto"/>
            <w:vAlign w:val="center"/>
          </w:tcPr>
          <w:p w14:paraId="63FAD469" w14:textId="77777777" w:rsidR="00CC0487" w:rsidRPr="003E7026" w:rsidRDefault="00CC0487" w:rsidP="00DB6666">
            <w:pPr>
              <w:jc w:val="center"/>
              <w:rPr>
                <w:rFonts w:cs="Arial"/>
                <w:sz w:val="16"/>
                <w:szCs w:val="16"/>
              </w:rPr>
            </w:pPr>
            <w:r w:rsidRPr="003E7026">
              <w:rPr>
                <w:rFonts w:cs="Arial"/>
                <w:sz w:val="16"/>
                <w:szCs w:val="16"/>
              </w:rPr>
              <w:t>3.100 (2022)</w:t>
            </w:r>
          </w:p>
        </w:tc>
        <w:tc>
          <w:tcPr>
            <w:tcW w:w="1412" w:type="dxa"/>
            <w:shd w:val="clear" w:color="auto" w:fill="auto"/>
            <w:vAlign w:val="center"/>
          </w:tcPr>
          <w:p w14:paraId="28B3A573" w14:textId="77777777" w:rsidR="00CC0487" w:rsidRPr="003E7026" w:rsidRDefault="00CC0487" w:rsidP="00DB6666">
            <w:pPr>
              <w:jc w:val="center"/>
              <w:rPr>
                <w:rFonts w:cs="Arial"/>
                <w:sz w:val="16"/>
                <w:szCs w:val="16"/>
              </w:rPr>
            </w:pPr>
            <w:r w:rsidRPr="003E7026">
              <w:rPr>
                <w:rFonts w:cs="Arial"/>
                <w:sz w:val="16"/>
                <w:szCs w:val="16"/>
              </w:rPr>
              <w:t>4.000 (2025)</w:t>
            </w:r>
          </w:p>
        </w:tc>
      </w:tr>
      <w:tr w:rsidR="00CC0487" w:rsidRPr="003E7026" w14:paraId="1B52FD05" w14:textId="77777777" w:rsidTr="00DB6666">
        <w:tc>
          <w:tcPr>
            <w:tcW w:w="426" w:type="dxa"/>
          </w:tcPr>
          <w:p w14:paraId="1AA0C902" w14:textId="77777777" w:rsidR="00CC0487" w:rsidRPr="003E7026" w:rsidRDefault="00CC0487" w:rsidP="00DB6666">
            <w:pPr>
              <w:jc w:val="left"/>
              <w:rPr>
                <w:rFonts w:cs="Arial"/>
                <w:sz w:val="16"/>
                <w:szCs w:val="16"/>
              </w:rPr>
            </w:pPr>
          </w:p>
        </w:tc>
        <w:tc>
          <w:tcPr>
            <w:tcW w:w="3255" w:type="dxa"/>
            <w:shd w:val="clear" w:color="auto" w:fill="auto"/>
          </w:tcPr>
          <w:p w14:paraId="254C0C8C" w14:textId="77777777" w:rsidR="00CC0487" w:rsidRPr="003E7026" w:rsidRDefault="00CC0487" w:rsidP="00DB6666">
            <w:pPr>
              <w:jc w:val="left"/>
              <w:rPr>
                <w:rFonts w:cs="Arial"/>
                <w:sz w:val="16"/>
                <w:szCs w:val="16"/>
              </w:rPr>
            </w:pPr>
            <w:r w:rsidRPr="003E7026">
              <w:rPr>
                <w:rFonts w:cs="Arial"/>
                <w:sz w:val="16"/>
                <w:szCs w:val="16"/>
              </w:rPr>
              <w:t> </w:t>
            </w:r>
          </w:p>
        </w:tc>
        <w:tc>
          <w:tcPr>
            <w:tcW w:w="305" w:type="dxa"/>
            <w:shd w:val="clear" w:color="auto" w:fill="auto"/>
          </w:tcPr>
          <w:p w14:paraId="718A20E3" w14:textId="77777777" w:rsidR="00CC0487" w:rsidRPr="003E7026" w:rsidRDefault="00CC0487" w:rsidP="00DB6666">
            <w:pPr>
              <w:jc w:val="left"/>
              <w:rPr>
                <w:rFonts w:cs="Arial"/>
                <w:sz w:val="16"/>
                <w:szCs w:val="16"/>
              </w:rPr>
            </w:pPr>
          </w:p>
        </w:tc>
        <w:tc>
          <w:tcPr>
            <w:tcW w:w="2818" w:type="dxa"/>
            <w:shd w:val="clear" w:color="auto" w:fill="auto"/>
          </w:tcPr>
          <w:p w14:paraId="5B1C8FFC" w14:textId="77777777" w:rsidR="00CC0487" w:rsidRPr="003E7026" w:rsidRDefault="00CC0487" w:rsidP="00DB6666">
            <w:pPr>
              <w:jc w:val="left"/>
              <w:rPr>
                <w:rFonts w:cs="Arial"/>
                <w:sz w:val="16"/>
                <w:szCs w:val="16"/>
              </w:rPr>
            </w:pPr>
            <w:r w:rsidRPr="003E7026">
              <w:rPr>
                <w:rFonts w:cs="Arial"/>
                <w:sz w:val="16"/>
                <w:szCs w:val="16"/>
              </w:rPr>
              <w:t xml:space="preserve">Anzahl von über </w:t>
            </w:r>
            <w:r>
              <w:rPr>
                <w:rFonts w:cs="Arial"/>
                <w:sz w:val="16"/>
                <w:szCs w:val="16"/>
              </w:rPr>
              <w:t>UPOV PRISMA</w:t>
            </w:r>
            <w:r w:rsidRPr="003E7026">
              <w:rPr>
                <w:rFonts w:cs="Arial"/>
                <w:sz w:val="16"/>
                <w:szCs w:val="16"/>
              </w:rPr>
              <w:t xml:space="preserve"> eingereichten Anträgen</w:t>
            </w:r>
          </w:p>
        </w:tc>
        <w:tc>
          <w:tcPr>
            <w:tcW w:w="1418" w:type="dxa"/>
            <w:shd w:val="clear" w:color="auto" w:fill="auto"/>
            <w:vAlign w:val="center"/>
          </w:tcPr>
          <w:p w14:paraId="71CCA98F" w14:textId="77777777" w:rsidR="00CC0487" w:rsidRPr="003E7026" w:rsidRDefault="00CC0487" w:rsidP="00DB6666">
            <w:pPr>
              <w:jc w:val="center"/>
              <w:rPr>
                <w:rFonts w:cs="Arial"/>
                <w:sz w:val="16"/>
                <w:szCs w:val="16"/>
              </w:rPr>
            </w:pPr>
            <w:r w:rsidRPr="003E7026">
              <w:rPr>
                <w:rFonts w:cs="Arial"/>
                <w:sz w:val="16"/>
                <w:szCs w:val="16"/>
              </w:rPr>
              <w:t>1.900 (2022)</w:t>
            </w:r>
          </w:p>
        </w:tc>
        <w:tc>
          <w:tcPr>
            <w:tcW w:w="1412" w:type="dxa"/>
            <w:shd w:val="clear" w:color="auto" w:fill="auto"/>
            <w:vAlign w:val="center"/>
          </w:tcPr>
          <w:p w14:paraId="5391CC2F" w14:textId="77777777" w:rsidR="00CC0487" w:rsidRPr="003E7026" w:rsidRDefault="00CC0487" w:rsidP="00DB6666">
            <w:pPr>
              <w:jc w:val="center"/>
              <w:rPr>
                <w:rFonts w:cs="Arial"/>
                <w:sz w:val="16"/>
                <w:szCs w:val="16"/>
              </w:rPr>
            </w:pPr>
            <w:r w:rsidRPr="003E7026">
              <w:rPr>
                <w:rFonts w:cs="Arial"/>
                <w:sz w:val="16"/>
                <w:szCs w:val="16"/>
              </w:rPr>
              <w:t>3.150 (2025)</w:t>
            </w:r>
          </w:p>
        </w:tc>
      </w:tr>
      <w:tr w:rsidR="00CC0487" w:rsidRPr="003E7026" w14:paraId="64DE166A" w14:textId="77777777" w:rsidTr="00DB6666">
        <w:tc>
          <w:tcPr>
            <w:tcW w:w="426" w:type="dxa"/>
            <w:tcBorders>
              <w:bottom w:val="single" w:sz="4" w:space="0" w:color="D9D9D9" w:themeColor="background1" w:themeShade="D9"/>
            </w:tcBorders>
          </w:tcPr>
          <w:p w14:paraId="59C16967" w14:textId="77777777" w:rsidR="00CC0487" w:rsidRPr="003E7026" w:rsidRDefault="00CC0487" w:rsidP="00DB6666">
            <w:pPr>
              <w:jc w:val="left"/>
              <w:rPr>
                <w:rFonts w:cs="Arial"/>
                <w:sz w:val="16"/>
                <w:szCs w:val="16"/>
              </w:rPr>
            </w:pPr>
          </w:p>
        </w:tc>
        <w:tc>
          <w:tcPr>
            <w:tcW w:w="3255" w:type="dxa"/>
            <w:tcBorders>
              <w:bottom w:val="single" w:sz="4" w:space="0" w:color="D9D9D9" w:themeColor="background1" w:themeShade="D9"/>
            </w:tcBorders>
            <w:shd w:val="clear" w:color="auto" w:fill="auto"/>
          </w:tcPr>
          <w:p w14:paraId="6BF58449" w14:textId="77777777" w:rsidR="00CC0487" w:rsidRPr="003E7026" w:rsidRDefault="00CC0487" w:rsidP="00DB6666">
            <w:pPr>
              <w:jc w:val="left"/>
              <w:rPr>
                <w:rFonts w:cs="Arial"/>
                <w:sz w:val="16"/>
                <w:szCs w:val="16"/>
              </w:rPr>
            </w:pPr>
            <w:r w:rsidRPr="003E7026">
              <w:rPr>
                <w:rFonts w:cs="Arial"/>
                <w:sz w:val="16"/>
                <w:szCs w:val="16"/>
              </w:rPr>
              <w:t> </w:t>
            </w:r>
          </w:p>
        </w:tc>
        <w:tc>
          <w:tcPr>
            <w:tcW w:w="305" w:type="dxa"/>
            <w:tcBorders>
              <w:bottom w:val="single" w:sz="4" w:space="0" w:color="D9D9D9" w:themeColor="background1" w:themeShade="D9"/>
            </w:tcBorders>
            <w:shd w:val="clear" w:color="auto" w:fill="auto"/>
          </w:tcPr>
          <w:p w14:paraId="44E0C5A0" w14:textId="77777777" w:rsidR="00CC0487" w:rsidRPr="003E7026" w:rsidRDefault="00CC0487" w:rsidP="00DB6666">
            <w:pPr>
              <w:jc w:val="left"/>
              <w:rPr>
                <w:rFonts w:cs="Arial"/>
                <w:sz w:val="16"/>
                <w:szCs w:val="16"/>
              </w:rPr>
            </w:pPr>
          </w:p>
        </w:tc>
        <w:tc>
          <w:tcPr>
            <w:tcW w:w="2818" w:type="dxa"/>
            <w:tcBorders>
              <w:bottom w:val="single" w:sz="4" w:space="0" w:color="D9D9D9" w:themeColor="background1" w:themeShade="D9"/>
            </w:tcBorders>
            <w:shd w:val="clear" w:color="auto" w:fill="auto"/>
          </w:tcPr>
          <w:p w14:paraId="7E0A748C" w14:textId="77777777" w:rsidR="00CC0487" w:rsidRPr="003E7026" w:rsidRDefault="00CC0487" w:rsidP="00DB6666">
            <w:pPr>
              <w:jc w:val="left"/>
              <w:rPr>
                <w:rFonts w:cs="Arial"/>
                <w:sz w:val="16"/>
                <w:szCs w:val="16"/>
              </w:rPr>
            </w:pPr>
            <w:r w:rsidRPr="003E7026">
              <w:rPr>
                <w:rFonts w:cs="Arial"/>
                <w:sz w:val="16"/>
                <w:szCs w:val="16"/>
              </w:rPr>
              <w:t>Anzahl von UPOV-Mitgliedern, die das UPOV e-PVP-Verwaltungsmodul zur Verwaltung und Veröffentlichung von Sortenschutzanträgen nutzen</w:t>
            </w:r>
          </w:p>
        </w:tc>
        <w:tc>
          <w:tcPr>
            <w:tcW w:w="1418" w:type="dxa"/>
            <w:tcBorders>
              <w:bottom w:val="single" w:sz="4" w:space="0" w:color="D9D9D9" w:themeColor="background1" w:themeShade="D9"/>
            </w:tcBorders>
            <w:shd w:val="clear" w:color="auto" w:fill="auto"/>
            <w:vAlign w:val="center"/>
          </w:tcPr>
          <w:p w14:paraId="72260E80" w14:textId="77777777" w:rsidR="00CC0487" w:rsidRPr="003E7026" w:rsidRDefault="00CC0487" w:rsidP="00DB6666">
            <w:pPr>
              <w:jc w:val="center"/>
              <w:rPr>
                <w:rFonts w:cs="Arial"/>
                <w:sz w:val="16"/>
                <w:szCs w:val="16"/>
              </w:rPr>
            </w:pPr>
            <w:r w:rsidRPr="003E7026">
              <w:rPr>
                <w:rFonts w:cs="Arial"/>
                <w:sz w:val="16"/>
                <w:szCs w:val="16"/>
              </w:rPr>
              <w:t>k.A.</w:t>
            </w:r>
          </w:p>
        </w:tc>
        <w:tc>
          <w:tcPr>
            <w:tcW w:w="1412" w:type="dxa"/>
            <w:tcBorders>
              <w:bottom w:val="single" w:sz="4" w:space="0" w:color="D9D9D9" w:themeColor="background1" w:themeShade="D9"/>
            </w:tcBorders>
            <w:shd w:val="clear" w:color="auto" w:fill="auto"/>
            <w:vAlign w:val="center"/>
          </w:tcPr>
          <w:p w14:paraId="39073737" w14:textId="77777777" w:rsidR="00CC0487" w:rsidRPr="003E7026" w:rsidRDefault="00CC0487" w:rsidP="00DB6666">
            <w:pPr>
              <w:jc w:val="center"/>
              <w:rPr>
                <w:rFonts w:cs="Arial"/>
                <w:sz w:val="16"/>
                <w:szCs w:val="16"/>
              </w:rPr>
            </w:pPr>
            <w:r w:rsidRPr="003E7026">
              <w:rPr>
                <w:rFonts w:cs="Arial"/>
                <w:sz w:val="16"/>
                <w:szCs w:val="16"/>
              </w:rPr>
              <w:t>10</w:t>
            </w:r>
          </w:p>
        </w:tc>
      </w:tr>
    </w:tbl>
    <w:p w14:paraId="370ECDC1" w14:textId="77777777" w:rsidR="00CC0487" w:rsidRPr="003E7026" w:rsidRDefault="00CC0487" w:rsidP="00CC0487"/>
    <w:p w14:paraId="4DF83882" w14:textId="77777777" w:rsidR="00CC0487" w:rsidRPr="003E7026" w:rsidRDefault="00CC0487" w:rsidP="00CC0487"/>
    <w:p w14:paraId="469CB36F" w14:textId="77777777" w:rsidR="00CC0487" w:rsidRPr="003E7026" w:rsidRDefault="00CC0487" w:rsidP="00986945">
      <w:pPr>
        <w:pStyle w:val="Heading2"/>
        <w:ind w:left="0" w:firstLine="0"/>
        <w:rPr>
          <w:lang w:val="de-DE"/>
        </w:rPr>
      </w:pPr>
      <w:bookmarkStart w:id="462" w:name="_Toc117798901"/>
      <w:bookmarkStart w:id="463" w:name="_Toc107239606"/>
      <w:bookmarkStart w:id="464" w:name="_Toc107239356"/>
      <w:bookmarkStart w:id="465" w:name="_Toc128060734"/>
      <w:r w:rsidRPr="003E7026">
        <w:rPr>
          <w:lang w:val="de-DE"/>
        </w:rPr>
        <w:t>Fundament: Unsere Mitarbeitenden befähigen, effizient, kooperativ und innovativ zu arbeiten, indem wir ihnen die richtigen Ressourcen, Schulungen und ein geeignetes Umfeld zur Verfügung stellen</w:t>
      </w:r>
      <w:bookmarkEnd w:id="462"/>
      <w:bookmarkEnd w:id="463"/>
      <w:bookmarkEnd w:id="464"/>
      <w:bookmarkEnd w:id="465"/>
    </w:p>
    <w:p w14:paraId="049C8BDC" w14:textId="77777777" w:rsidR="00CC0487" w:rsidRPr="003E7026" w:rsidRDefault="00CC0487" w:rsidP="00CC0487">
      <w:pPr>
        <w:keepNext/>
        <w:rPr>
          <w:b/>
          <w:bCs/>
          <w:sz w:val="22"/>
          <w:szCs w:val="22"/>
        </w:rPr>
      </w:pPr>
    </w:p>
    <w:p w14:paraId="04AE24EF" w14:textId="77777777" w:rsidR="00CC0487" w:rsidRPr="003E7026" w:rsidRDefault="00CC0487" w:rsidP="00CC0487">
      <w:pPr>
        <w:pStyle w:val="Heading3"/>
        <w:rPr>
          <w:sz w:val="20"/>
          <w:lang w:val="de-DE"/>
        </w:rPr>
      </w:pPr>
      <w:bookmarkStart w:id="466" w:name="_Toc128060735"/>
      <w:r w:rsidRPr="003E7026">
        <w:rPr>
          <w:lang w:val="de-DE"/>
        </w:rPr>
        <w:t>Umsetzung der Strategie zur Erreichung der Erwarteten Ergebnisse</w:t>
      </w:r>
      <w:bookmarkEnd w:id="466"/>
    </w:p>
    <w:p w14:paraId="27CB862B" w14:textId="77777777" w:rsidR="00CC0487" w:rsidRPr="003E7026" w:rsidRDefault="00CC0487" w:rsidP="00CC0487">
      <w:pPr>
        <w:pStyle w:val="Default"/>
        <w:keepNext/>
        <w:rPr>
          <w:b/>
          <w:bCs/>
          <w:sz w:val="22"/>
          <w:szCs w:val="22"/>
          <w:lang w:val="de-DE"/>
        </w:rPr>
      </w:pPr>
    </w:p>
    <w:p w14:paraId="45E6F2F1" w14:textId="77777777" w:rsidR="00CC0487" w:rsidRPr="003E7026" w:rsidRDefault="00CC0487" w:rsidP="00CC0487">
      <w:pPr>
        <w:pStyle w:val="Default"/>
        <w:jc w:val="both"/>
        <w:rPr>
          <w:bCs/>
          <w:sz w:val="20"/>
          <w:szCs w:val="20"/>
          <w:lang w:val="de-DE"/>
        </w:rPr>
      </w:pPr>
      <w:r w:rsidRPr="003E7026">
        <w:rPr>
          <w:bCs/>
          <w:sz w:val="20"/>
          <w:szCs w:val="20"/>
          <w:lang w:val="de-DE"/>
        </w:rPr>
        <w:fldChar w:fldCharType="begin"/>
      </w:r>
      <w:r w:rsidRPr="003E7026">
        <w:rPr>
          <w:bCs/>
          <w:sz w:val="20"/>
          <w:szCs w:val="20"/>
          <w:lang w:val="de-DE"/>
        </w:rPr>
        <w:instrText xml:space="preserve"> AUTONUM  </w:instrText>
      </w:r>
      <w:r w:rsidRPr="003E7026">
        <w:rPr>
          <w:bCs/>
          <w:sz w:val="20"/>
          <w:szCs w:val="20"/>
          <w:lang w:val="de-DE"/>
        </w:rPr>
        <w:fldChar w:fldCharType="end"/>
      </w:r>
      <w:r w:rsidRPr="003E7026">
        <w:rPr>
          <w:bCs/>
          <w:sz w:val="20"/>
          <w:szCs w:val="20"/>
          <w:lang w:val="de-DE"/>
        </w:rPr>
        <w:tab/>
        <w:t xml:space="preserve">Der Übergang zum „neuen Normalzustand“ nach COVID-19 beinhaltete die Einführung von regelmäßiger Teilzeit-Telearbeit bis zu maximal drei Tagen pro Woche. Die UPOV hat die vollständige Fernarbeit für bestimmte einzelne Vertragspartner genutzt und wird dies auch weiterhin tun, wenn dies angemessen ist und insbesondere, wenn es neue Möglichkeiten bietet, hochqualifiziertes Personal im Rahmen der verfügbaren Ressourcen zu beschäftigen. </w:t>
      </w:r>
    </w:p>
    <w:p w14:paraId="4802E0CA" w14:textId="77777777" w:rsidR="00CC0487" w:rsidRPr="003E7026" w:rsidRDefault="00CC0487" w:rsidP="00CC0487">
      <w:pPr>
        <w:pStyle w:val="Default"/>
        <w:jc w:val="both"/>
        <w:rPr>
          <w:bCs/>
          <w:sz w:val="20"/>
          <w:szCs w:val="20"/>
          <w:lang w:val="de-DE"/>
        </w:rPr>
      </w:pPr>
    </w:p>
    <w:p w14:paraId="31768C09" w14:textId="77777777" w:rsidR="00CC0487" w:rsidRPr="003E7026" w:rsidRDefault="00CC0487" w:rsidP="00CC0487">
      <w:pPr>
        <w:pStyle w:val="Heading4"/>
        <w:rPr>
          <w:lang w:val="de-DE"/>
        </w:rPr>
      </w:pPr>
      <w:bookmarkStart w:id="467" w:name="_Toc117798904"/>
      <w:bookmarkStart w:id="468" w:name="_Toc107239609"/>
      <w:bookmarkStart w:id="469" w:name="_Toc107239359"/>
      <w:r w:rsidRPr="003E7026">
        <w:rPr>
          <w:lang w:val="de-DE"/>
        </w:rPr>
        <w:t>4.1</w:t>
      </w:r>
      <w:r w:rsidRPr="003E7026">
        <w:rPr>
          <w:lang w:val="de-DE"/>
        </w:rPr>
        <w:tab/>
      </w:r>
      <w:bookmarkEnd w:id="467"/>
      <w:bookmarkEnd w:id="468"/>
      <w:bookmarkEnd w:id="469"/>
      <w:r w:rsidRPr="003E7026">
        <w:rPr>
          <w:lang w:val="de-DE"/>
        </w:rPr>
        <w:t>Diversifizierung der Einnahmen</w:t>
      </w:r>
    </w:p>
    <w:p w14:paraId="2BE70944" w14:textId="77777777" w:rsidR="00CC0487" w:rsidRPr="003E7026" w:rsidRDefault="00CC0487" w:rsidP="00CC0487">
      <w:pPr>
        <w:keepNext/>
      </w:pPr>
    </w:p>
    <w:p w14:paraId="595B40EE" w14:textId="77777777" w:rsidR="00CC0487" w:rsidRPr="003E7026" w:rsidRDefault="00CC0487" w:rsidP="00CC0487">
      <w:pPr>
        <w:pStyle w:val="ListParagraph"/>
        <w:ind w:left="0"/>
      </w:pPr>
      <w:r w:rsidRPr="003E7026">
        <w:fldChar w:fldCharType="begin"/>
      </w:r>
      <w:r w:rsidRPr="003E7026">
        <w:instrText xml:space="preserve"> AUTONUM  </w:instrText>
      </w:r>
      <w:r w:rsidRPr="003E7026">
        <w:fldChar w:fldCharType="end"/>
      </w:r>
      <w:r w:rsidRPr="003E7026">
        <w:tab/>
        <w:t xml:space="preserve">Die 2016 durchgeführte „Evaluierung des Internationalen Verbandes zum Schutz von Pflanzenzüchtungen (UPOV)“ („IOD-Evaluierung der UPOV“) der Abteilung für interne Revision und Aufsicht (IOD) der WIPO empfahl, dass der Verband prüfen sollte, einen Strategischen Geschäftsplan zu entwickeln, </w:t>
      </w:r>
      <w:r w:rsidRPr="003E7026">
        <w:lastRenderedPageBreak/>
        <w:t xml:space="preserve">um sein Wertschöpfungsportfolio zu diversifizieren und die Nachhaltigkeit bestehender Verfahren und Dienste zu bewahren und zu verbessern. Der Fokus der Maßnahmen zur weiteren Diversifizierung des Wertschöpfungsportfolios der UPOV wird bei der Generierung von Einnahmen durch </w:t>
      </w:r>
      <w:r>
        <w:t>U</w:t>
      </w:r>
      <w:r w:rsidRPr="003E7026">
        <w:t xml:space="preserve">POV PRISMA und die PLUTO-Datenbank liegen. </w:t>
      </w:r>
    </w:p>
    <w:p w14:paraId="1CD6D264" w14:textId="77777777" w:rsidR="00CC0487" w:rsidRPr="003E7026" w:rsidRDefault="00CC0487" w:rsidP="00CC0487"/>
    <w:p w14:paraId="7851F754" w14:textId="77777777" w:rsidR="00CC0487" w:rsidRPr="003E7026" w:rsidRDefault="00CC0487" w:rsidP="00CC0487">
      <w:pPr>
        <w:pStyle w:val="Heading5"/>
        <w:rPr>
          <w:lang w:val="de-DE"/>
        </w:rPr>
      </w:pPr>
      <w:bookmarkStart w:id="470" w:name="_Toc117798905"/>
      <w:bookmarkStart w:id="471" w:name="_Toc107239610"/>
      <w:bookmarkStart w:id="472" w:name="_Toc107239360"/>
      <w:r w:rsidRPr="003E7026">
        <w:rPr>
          <w:lang w:val="de-DE"/>
        </w:rPr>
        <w:t>Gebührenpflichtige Dienste</w:t>
      </w:r>
      <w:bookmarkEnd w:id="470"/>
      <w:bookmarkEnd w:id="471"/>
      <w:bookmarkEnd w:id="472"/>
    </w:p>
    <w:p w14:paraId="7B8A49C6" w14:textId="77777777" w:rsidR="00CC0487" w:rsidRPr="003E7026" w:rsidRDefault="00CC0487" w:rsidP="00CC0487">
      <w:pPr>
        <w:pStyle w:val="ListParagraph"/>
        <w:ind w:left="0"/>
      </w:pPr>
    </w:p>
    <w:p w14:paraId="033D1F4E" w14:textId="77777777" w:rsidR="00CC0487" w:rsidRPr="003E7026" w:rsidRDefault="00CC0487" w:rsidP="00CC0487">
      <w:pPr>
        <w:pStyle w:val="ListParagraph"/>
        <w:ind w:left="0"/>
      </w:pPr>
      <w:r w:rsidRPr="003E7026">
        <w:fldChar w:fldCharType="begin"/>
      </w:r>
      <w:r w:rsidRPr="003E7026">
        <w:instrText xml:space="preserve"> AUTONUM  </w:instrText>
      </w:r>
      <w:r w:rsidRPr="003E7026">
        <w:fldChar w:fldCharType="end"/>
      </w:r>
      <w:r w:rsidRPr="003E7026">
        <w:tab/>
        <w:t xml:space="preserve">Eine wesentliche Grundlage für die Diversifizierung der Einnahmen besteht darin, Einnahmen aus Dienstleistungen zu generieren, die für die Nutzer des UPOV-Systems bereitgestellt werden, den Sortenschutzämtern jedoch kostenfreie Dienstleistungen zur Verfügung zu stellen. So wird der UPOV ermöglicht, qualitativ hochstehende Dienstleistungen für Antragsteller und Sortenschutzämter zu entwickeln und zu unterhalten. Ein weiterer bedeutender Vorteil dieses Ansatzes besteht darin, die UPOV mit den Nutzern des UPOV-Systems zu verbinden und die Dienstleistungsorientierung innerhalb der UPOV zu fördern. </w:t>
      </w:r>
    </w:p>
    <w:p w14:paraId="5AE695E0" w14:textId="77777777" w:rsidR="00CC0487" w:rsidRPr="003E7026" w:rsidRDefault="00CC0487" w:rsidP="00CC0487">
      <w:pPr>
        <w:pStyle w:val="ListParagraph"/>
        <w:ind w:left="0"/>
      </w:pPr>
    </w:p>
    <w:p w14:paraId="5B10A877" w14:textId="77777777" w:rsidR="00CC0487" w:rsidRPr="003E7026" w:rsidRDefault="00CC0487" w:rsidP="00CC0487">
      <w:pPr>
        <w:pStyle w:val="ListParagraph"/>
        <w:ind w:left="0"/>
      </w:pPr>
      <w:r w:rsidRPr="003E7026">
        <w:fldChar w:fldCharType="begin"/>
      </w:r>
      <w:r w:rsidRPr="003E7026">
        <w:instrText xml:space="preserve"> AUTONUM  </w:instrText>
      </w:r>
      <w:r w:rsidRPr="003E7026">
        <w:fldChar w:fldCharType="end"/>
      </w:r>
      <w:r w:rsidRPr="003E7026">
        <w:tab/>
      </w:r>
      <w:r>
        <w:t>UPOV PRISMA</w:t>
      </w:r>
      <w:r w:rsidRPr="003E7026">
        <w:t xml:space="preserve"> und der gebührenpflichtige Premium-Dienst der PLUTO-Datenbank werden weiterhin eine wichtige Rolle bei der Steigerung der Einnahmen der UPOV spielen. Der Erfolg bei der Steigerung der Einnahmen aus diesen Diensten hängt von der Unterstützung durch die Verbandsmitglieder ab. Die Einnahmen aus </w:t>
      </w:r>
      <w:r>
        <w:t>UPOV PRISMA</w:t>
      </w:r>
      <w:r w:rsidRPr="003E7026">
        <w:t xml:space="preserve"> werden insbesondere durch die Anzahl der Verbandsmitglieder bestimmt werden, die für alle Pflanzen/Arten an </w:t>
      </w:r>
      <w:r>
        <w:t>UPOV PRISMA</w:t>
      </w:r>
      <w:r w:rsidRPr="003E7026">
        <w:t xml:space="preserve"> teilnehmen und ermöglichen, dass </w:t>
      </w:r>
      <w:r>
        <w:t>UPOV PRISMA</w:t>
      </w:r>
      <w:r w:rsidRPr="003E7026">
        <w:t xml:space="preserve"> eine wirksame und nahtlose Schnittstelle mit ihren Antragsverfahren hat. Gleichermaßen wird die Attraktivität des Premium-Dienstes der PLUTO-Datenbank davon abhängen, inwiefern die Verbandsmitglieder regelmäßig vollständige und aktualisierte Daten einreichen. Daher wird es eine Priorität für das Verbandsbüro sein, mit den Verbandsmitgliedern in Verbindung zu treten, um Unterstützung bei der Durchführung des Sortenschutzes über UPOV e-PVP zu leisten und deren Teilnahme an </w:t>
      </w:r>
      <w:r>
        <w:t>UPOV PRISMA</w:t>
      </w:r>
      <w:r w:rsidRPr="003E7026">
        <w:t xml:space="preserve"> und Beiträge zur PLUTO-Datenbank zu erleichtern. </w:t>
      </w:r>
    </w:p>
    <w:p w14:paraId="291BB1E7" w14:textId="77777777" w:rsidR="00CC0487" w:rsidRPr="003E7026" w:rsidRDefault="00CC0487" w:rsidP="00CC0487">
      <w:pPr>
        <w:pStyle w:val="ListParagraph"/>
        <w:ind w:left="0"/>
      </w:pPr>
    </w:p>
    <w:p w14:paraId="2684A823" w14:textId="77777777" w:rsidR="00CC0487" w:rsidRPr="003E7026" w:rsidRDefault="00CC0487" w:rsidP="00CC0487">
      <w:pPr>
        <w:pStyle w:val="Heading5"/>
        <w:rPr>
          <w:lang w:val="de-DE"/>
        </w:rPr>
      </w:pPr>
      <w:bookmarkStart w:id="473" w:name="_Toc117802009"/>
      <w:r w:rsidRPr="003E7026">
        <w:rPr>
          <w:lang w:val="de-DE"/>
        </w:rPr>
        <w:t>Außeretatmäßige Finanzmittel</w:t>
      </w:r>
      <w:bookmarkEnd w:id="473"/>
    </w:p>
    <w:p w14:paraId="4A33098D" w14:textId="77777777" w:rsidR="00CC0487" w:rsidRPr="003E7026" w:rsidRDefault="00CC0487" w:rsidP="00CC0487"/>
    <w:p w14:paraId="230240F7" w14:textId="77777777" w:rsidR="00CC0487" w:rsidRPr="003E7026" w:rsidRDefault="00CC0487" w:rsidP="00CC0487">
      <w:pPr>
        <w:pStyle w:val="ListParagraph"/>
        <w:ind w:left="0"/>
      </w:pPr>
      <w:r w:rsidRPr="003E7026">
        <w:fldChar w:fldCharType="begin"/>
      </w:r>
      <w:r w:rsidRPr="003E7026">
        <w:instrText xml:space="preserve"> AUTONUM  </w:instrText>
      </w:r>
      <w:r w:rsidRPr="003E7026">
        <w:fldChar w:fldCharType="end"/>
      </w:r>
      <w:r w:rsidRPr="003E7026">
        <w:tab/>
        <w:t xml:space="preserve">Die UPOV hat in hohem Maße von außeretatmäßigen Mitteln profitiert, die von Verbandsmitgliedern bereitgestellt wurden, beispielsweise in Form von Treuhandgeldern. In Anerkennung der Kosten, die dem Verbandsbüro im Zusammenhang mit der Verwaltung solcher Treuhandgelder entstehen, ist eine Gebühr für Kosten für administrative Unterstützung enthalten, die als Einnahmen behandelt wird. </w:t>
      </w:r>
    </w:p>
    <w:p w14:paraId="2882F5EF" w14:textId="77777777" w:rsidR="00CC0487" w:rsidRPr="003E7026" w:rsidRDefault="00CC0487" w:rsidP="00CC0487">
      <w:pPr>
        <w:pStyle w:val="ListParagraph"/>
        <w:ind w:left="0"/>
      </w:pPr>
    </w:p>
    <w:p w14:paraId="4321A020" w14:textId="77777777" w:rsidR="00CC0487" w:rsidRPr="003E7026" w:rsidRDefault="00CC0487" w:rsidP="00CC0487">
      <w:pPr>
        <w:pStyle w:val="ListParagraph"/>
        <w:ind w:left="0"/>
      </w:pPr>
      <w:r w:rsidRPr="003E7026">
        <w:fldChar w:fldCharType="begin"/>
      </w:r>
      <w:r w:rsidRPr="003E7026">
        <w:instrText xml:space="preserve"> AUTONUM  </w:instrText>
      </w:r>
      <w:r w:rsidRPr="003E7026">
        <w:fldChar w:fldCharType="end"/>
      </w:r>
      <w:r w:rsidRPr="003E7026">
        <w:tab/>
        <w:t xml:space="preserve">Außeretatmäßige Finanzmittel werden in Zukunft eine große Bedeutung haben. Es werden Anstrengungen unternommen, um zu gewährleisten, dass die bestehenden Mittel weiter bestehen und dass andere Verbandsmitglieder dazu angehalten werden, solche Mittel zu beschaffen. </w:t>
      </w:r>
    </w:p>
    <w:p w14:paraId="7C08BE58" w14:textId="77777777" w:rsidR="00CC0487" w:rsidRPr="003E7026" w:rsidRDefault="00CC0487" w:rsidP="00CC0487"/>
    <w:p w14:paraId="767B242F" w14:textId="77777777" w:rsidR="00CC0487" w:rsidRPr="003E7026" w:rsidRDefault="00CC0487" w:rsidP="00CC0487">
      <w:pPr>
        <w:pStyle w:val="ListParagraph"/>
        <w:ind w:left="0"/>
        <w:rPr>
          <w:rFonts w:cs="Arial"/>
          <w:sz w:val="19"/>
          <w:szCs w:val="19"/>
        </w:rPr>
      </w:pPr>
      <w:r w:rsidRPr="003E7026">
        <w:fldChar w:fldCharType="begin"/>
      </w:r>
      <w:r w:rsidRPr="003E7026">
        <w:instrText xml:space="preserve"> AUTONUM  </w:instrText>
      </w:r>
      <w:r w:rsidRPr="003E7026">
        <w:fldChar w:fldCharType="end"/>
      </w:r>
      <w:r w:rsidRPr="003E7026">
        <w:tab/>
        <w:t xml:space="preserve">Darüber hinaus wird die UPOV mit Verbandsmitgliedern und potentiellen Empfängerstaaten und -organisationen zusammenarbeiten, um sie dabei zu unterstützen, Anträge für Mittel einzuleiten und zu stellen. </w:t>
      </w:r>
    </w:p>
    <w:p w14:paraId="6D2826C4" w14:textId="77777777" w:rsidR="00CC0487" w:rsidRPr="003E7026" w:rsidRDefault="00CC0487" w:rsidP="00CC0487"/>
    <w:p w14:paraId="38642B9C" w14:textId="77777777" w:rsidR="00CC0487" w:rsidRPr="003E7026" w:rsidRDefault="00CC0487" w:rsidP="00CC0487">
      <w:pPr>
        <w:pStyle w:val="Heading4"/>
        <w:rPr>
          <w:lang w:val="de-DE"/>
        </w:rPr>
      </w:pPr>
      <w:bookmarkStart w:id="474" w:name="_Toc117798907"/>
      <w:bookmarkStart w:id="475" w:name="_Toc107239612"/>
      <w:bookmarkStart w:id="476" w:name="_Toc107239362"/>
      <w:r w:rsidRPr="003E7026">
        <w:rPr>
          <w:lang w:val="de-DE"/>
        </w:rPr>
        <w:t xml:space="preserve">4.2 </w:t>
      </w:r>
      <w:r w:rsidRPr="003E7026">
        <w:rPr>
          <w:lang w:val="de-DE"/>
        </w:rPr>
        <w:tab/>
      </w:r>
      <w:bookmarkEnd w:id="474"/>
      <w:bookmarkEnd w:id="475"/>
      <w:bookmarkEnd w:id="476"/>
      <w:r w:rsidRPr="003E7026">
        <w:rPr>
          <w:lang w:val="de-DE"/>
        </w:rPr>
        <w:t>Ein Sekretariat, das über die erforderlichen Befugnisse und die richtigen Ressourcen und Schulungen verfügt, um effizient, kooperativ und innovativ zu arbeiten</w:t>
      </w:r>
    </w:p>
    <w:p w14:paraId="75E9C3A1" w14:textId="77777777" w:rsidR="00CC0487" w:rsidRPr="003E7026" w:rsidRDefault="00CC0487" w:rsidP="00CC0487">
      <w:bookmarkStart w:id="477" w:name="_Toc42703050"/>
    </w:p>
    <w:bookmarkEnd w:id="477"/>
    <w:p w14:paraId="2402EE07" w14:textId="77777777" w:rsidR="00CC0487" w:rsidRPr="003E7026" w:rsidRDefault="00CC0487" w:rsidP="00CC0487">
      <w:pPr>
        <w:pStyle w:val="ListParagraph"/>
        <w:ind w:left="0"/>
        <w:rPr>
          <w:spacing w:val="-2"/>
        </w:rPr>
      </w:pPr>
      <w:r w:rsidRPr="003E7026">
        <w:rPr>
          <w:spacing w:val="-2"/>
        </w:rPr>
        <w:fldChar w:fldCharType="begin"/>
      </w:r>
      <w:r w:rsidRPr="003E7026">
        <w:rPr>
          <w:spacing w:val="-2"/>
        </w:rPr>
        <w:instrText xml:space="preserve"> AUTONUM  </w:instrText>
      </w:r>
      <w:r w:rsidRPr="003E7026">
        <w:rPr>
          <w:spacing w:val="-2"/>
        </w:rPr>
        <w:fldChar w:fldCharType="end"/>
      </w:r>
      <w:r w:rsidRPr="003E7026">
        <w:rPr>
          <w:spacing w:val="-2"/>
        </w:rPr>
        <w:tab/>
        <w:t>Die Arbeitsweise der UPOV wird sich weiter entwickeln, wobei eine ständige Verpflichtung zur kontinuierlichen Verbesserung besteht. Um sicherzustellen, dass das UPOV-Team über die erforderlichen Fähigkeiten verfügt, um sich an Veränderungen anzupassen und sich kontinuierlich zu verbessern, wird der Schwerpunkt auf die Entwicklung systematischer und kohärenter Personalschulungsprogramme gelegt</w:t>
      </w:r>
      <w:r w:rsidRPr="003E7026">
        <w:t>.</w:t>
      </w:r>
    </w:p>
    <w:p w14:paraId="1F7243CF" w14:textId="77777777" w:rsidR="00CC0487" w:rsidRPr="003E7026" w:rsidRDefault="00CC0487" w:rsidP="00CC0487">
      <w:pPr>
        <w:pStyle w:val="ListParagraph"/>
        <w:ind w:left="0"/>
        <w:rPr>
          <w:spacing w:val="-2"/>
        </w:rPr>
      </w:pPr>
    </w:p>
    <w:p w14:paraId="7DA017B0" w14:textId="77777777" w:rsidR="00CC0487" w:rsidRPr="003E7026" w:rsidRDefault="00CC0487" w:rsidP="00CC0487">
      <w:pPr>
        <w:pStyle w:val="ListParagraph"/>
        <w:ind w:left="0"/>
        <w:rPr>
          <w:spacing w:val="-2"/>
        </w:rPr>
      </w:pPr>
      <w:r w:rsidRPr="003E7026">
        <w:rPr>
          <w:spacing w:val="-2"/>
        </w:rPr>
        <w:fldChar w:fldCharType="begin"/>
      </w:r>
      <w:r w:rsidRPr="003E7026">
        <w:rPr>
          <w:spacing w:val="-2"/>
        </w:rPr>
        <w:instrText xml:space="preserve"> AUTONUM  </w:instrText>
      </w:r>
      <w:r w:rsidRPr="003E7026">
        <w:rPr>
          <w:spacing w:val="-2"/>
        </w:rPr>
        <w:fldChar w:fldCharType="end"/>
      </w:r>
      <w:r w:rsidRPr="003E7026">
        <w:rPr>
          <w:spacing w:val="-2"/>
        </w:rPr>
        <w:tab/>
        <w:t>Die Ausweitung der Arbeit der UPOV in Bezug auf d</w:t>
      </w:r>
      <w:r>
        <w:rPr>
          <w:spacing w:val="-2"/>
        </w:rPr>
        <w:t>ie</w:t>
      </w:r>
      <w:r w:rsidRPr="003E7026">
        <w:rPr>
          <w:spacing w:val="-2"/>
        </w:rPr>
        <w:t xml:space="preserve"> strategische </w:t>
      </w:r>
      <w:r>
        <w:rPr>
          <w:spacing w:val="-2"/>
        </w:rPr>
        <w:t>Säule</w:t>
      </w:r>
      <w:r w:rsidRPr="003E7026">
        <w:rPr>
          <w:spacing w:val="-2"/>
        </w:rPr>
        <w:t xml:space="preserve"> 3 „Erbringung qualitativ hochwertiger Dienstleistungen für Verbandsmitglieder und Nutzer des UPOV-Systems“ hat einen neuen Schwerpunkt auf ausgelagerte Projekte und eine größere Abhängigkeit von Leiharbeitnehmern, Dienstleistern, </w:t>
      </w:r>
      <w:r w:rsidRPr="003E7026">
        <w:t xml:space="preserve">JPOs, Stipendiaten und Praktikanten gesetzt. Dieser Ansatz erfordert starke Managementfähigkeiten, die in die Schulungsprogramme für den höheren Dienst aufgenommen werden. </w:t>
      </w:r>
    </w:p>
    <w:p w14:paraId="01B9C3B0" w14:textId="77777777" w:rsidR="00CC0487" w:rsidRPr="003E7026" w:rsidRDefault="00CC0487" w:rsidP="00CC0487">
      <w:pPr>
        <w:tabs>
          <w:tab w:val="left" w:pos="567"/>
        </w:tabs>
        <w:rPr>
          <w:spacing w:val="-2"/>
        </w:rPr>
      </w:pPr>
    </w:p>
    <w:p w14:paraId="4E94D715" w14:textId="77777777" w:rsidR="00CC0487" w:rsidRPr="003E7026" w:rsidRDefault="00CC0487" w:rsidP="00CC0487">
      <w:r w:rsidRPr="003E7026">
        <w:fldChar w:fldCharType="begin"/>
      </w:r>
      <w:r w:rsidRPr="003E7026">
        <w:instrText xml:space="preserve"> AUTONUM  </w:instrText>
      </w:r>
      <w:r w:rsidRPr="003E7026">
        <w:fldChar w:fldCharType="end"/>
      </w:r>
      <w:r w:rsidRPr="003E7026">
        <w:tab/>
        <w:t>Besonderes Augenmerk wird auf die Schulung aller Teammitglieder im Hinblick auf einen ausgezeichneten Kundenservice gelegt. Dies wird für die Ausweitung der Arbeit im Rahmen de</w:t>
      </w:r>
      <w:r>
        <w:t>r</w:t>
      </w:r>
      <w:r w:rsidRPr="003E7026">
        <w:t xml:space="preserve"> strategischen </w:t>
      </w:r>
      <w:r>
        <w:t>Säule</w:t>
      </w:r>
      <w:r w:rsidRPr="003E7026">
        <w:t xml:space="preserve"> 3 von wesentlicher Bedeutung sein, während gleichzeitig anerkannt wird, dass alle Bereiche der Arbeit der UPOV im Kern die Erbringung von Dienstleistungen beinhalten.</w:t>
      </w:r>
    </w:p>
    <w:p w14:paraId="3F0C178C" w14:textId="77777777" w:rsidR="00CC0487" w:rsidRPr="003E7026" w:rsidRDefault="00CC0487" w:rsidP="00CC0487">
      <w:pPr>
        <w:pStyle w:val="ListParagraph"/>
        <w:ind w:left="0"/>
        <w:rPr>
          <w:spacing w:val="-2"/>
        </w:rPr>
      </w:pPr>
    </w:p>
    <w:p w14:paraId="4DF03B50" w14:textId="77777777" w:rsidR="00CC0487" w:rsidRPr="003E7026" w:rsidRDefault="00CC0487" w:rsidP="00CC0487">
      <w:pPr>
        <w:tabs>
          <w:tab w:val="left" w:pos="567"/>
        </w:tabs>
        <w:rPr>
          <w:spacing w:val="-2"/>
        </w:rPr>
      </w:pPr>
      <w:r w:rsidRPr="003E7026">
        <w:rPr>
          <w:spacing w:val="-2"/>
        </w:rPr>
        <w:fldChar w:fldCharType="begin"/>
      </w:r>
      <w:r w:rsidRPr="003E7026">
        <w:rPr>
          <w:spacing w:val="-2"/>
        </w:rPr>
        <w:instrText xml:space="preserve"> AUTONUM  </w:instrText>
      </w:r>
      <w:r w:rsidRPr="003E7026">
        <w:rPr>
          <w:spacing w:val="-2"/>
        </w:rPr>
        <w:fldChar w:fldCharType="end"/>
      </w:r>
      <w:r w:rsidRPr="003E7026">
        <w:rPr>
          <w:spacing w:val="-2"/>
        </w:rPr>
        <w:tab/>
        <w:t xml:space="preserve">Die Anzahl der vom UPOV-Übereinkommen erfassten Verbandsmitglieder und Staaten hat weiter zugenommen, wobei dieser Anstieg in den letzten Jahren von einem signifikanten Anstieg der Staaten und Organisationen begleitet war, die um Anleitung zu Rechtsvorschriften ersuchten. Diese Entwicklung ging mit </w:t>
      </w:r>
      <w:r w:rsidRPr="003E7026">
        <w:rPr>
          <w:spacing w:val="-2"/>
        </w:rPr>
        <w:lastRenderedPageBreak/>
        <w:t>einer Zunahme des Portfolios an Dienstleistungen einher, die vom Verbandsbüro bereitgestellt werden, insbesondere UPOV</w:t>
      </w:r>
      <w:r>
        <w:rPr>
          <w:spacing w:val="-2"/>
        </w:rPr>
        <w:t xml:space="preserve"> </w:t>
      </w:r>
      <w:r w:rsidRPr="003E7026">
        <w:rPr>
          <w:spacing w:val="-2"/>
        </w:rPr>
        <w:t>e-PVP und neue Fernlehrgänge.</w:t>
      </w:r>
    </w:p>
    <w:p w14:paraId="142043A8" w14:textId="77777777" w:rsidR="00CC0487" w:rsidRPr="003E7026" w:rsidRDefault="00CC0487" w:rsidP="00CC0487">
      <w:pPr>
        <w:tabs>
          <w:tab w:val="left" w:pos="567"/>
        </w:tabs>
        <w:rPr>
          <w:spacing w:val="-2"/>
        </w:rPr>
      </w:pPr>
    </w:p>
    <w:p w14:paraId="34D04478" w14:textId="77777777" w:rsidR="00CC0487" w:rsidRPr="003E7026" w:rsidRDefault="00CC0487" w:rsidP="00CC0487">
      <w:pPr>
        <w:tabs>
          <w:tab w:val="left" w:pos="567"/>
        </w:tabs>
      </w:pPr>
      <w:r w:rsidRPr="003E7026">
        <w:rPr>
          <w:spacing w:val="-2"/>
        </w:rPr>
        <w:fldChar w:fldCharType="begin"/>
      </w:r>
      <w:r w:rsidRPr="003E7026">
        <w:rPr>
          <w:spacing w:val="-2"/>
        </w:rPr>
        <w:instrText xml:space="preserve"> AUTONUM  </w:instrText>
      </w:r>
      <w:r w:rsidRPr="003E7026">
        <w:rPr>
          <w:spacing w:val="-2"/>
        </w:rPr>
        <w:fldChar w:fldCharType="end"/>
      </w:r>
      <w:r w:rsidRPr="003E7026">
        <w:rPr>
          <w:spacing w:val="-2"/>
        </w:rPr>
        <w:tab/>
        <w:t>Um die zunehmende Arbeitsbelastung abzudecken, wurde seit 2017 z</w:t>
      </w:r>
      <w:r>
        <w:rPr>
          <w:spacing w:val="-2"/>
        </w:rPr>
        <w:t>usätzliche Unterstützung durch drei </w:t>
      </w:r>
      <w:r w:rsidRPr="003E7026">
        <w:rPr>
          <w:spacing w:val="-2"/>
        </w:rPr>
        <w:t xml:space="preserve">Fremdarbeitskräfte geleistet. Die zurzeit von den drei Fremdarbeitskräften ausgeführten Aufgaben sind zu einem Kernteil der Arbeiten der UPOV geworden und sollten in feste Personalposten umgewandelt werden, um die Kontinuität und Stabilität der Arbeit der UPOV zu gewährleisten, unter der Voraussetzung, dass ausreichende und verlässliche Einkommen vorhanden sind, um eine solche Verpflichtung zu rechtfertigen. Im Programm und Haushaltsplan für die Rechnungsperiode </w:t>
      </w:r>
      <w:r w:rsidRPr="003E7026">
        <w:rPr>
          <w:snapToGrid w:val="0"/>
          <w:spacing w:val="-2"/>
          <w:szCs w:val="24"/>
        </w:rPr>
        <w:t>2022-2023 wurde eine Rückstellung für einen zusätzlichen Posten gemacht</w:t>
      </w:r>
      <w:r w:rsidRPr="003E7026">
        <w:rPr>
          <w:spacing w:val="-2"/>
        </w:rPr>
        <w:t>, um eine F</w:t>
      </w:r>
      <w:r w:rsidRPr="003E7026">
        <w:t xml:space="preserve">remdarbeitskraft </w:t>
      </w:r>
      <w:r w:rsidRPr="003E7026">
        <w:rPr>
          <w:spacing w:val="-2"/>
        </w:rPr>
        <w:t xml:space="preserve">zu ersetzen. Das Programm und der Haushaltsplan für die Rechnungsperiode </w:t>
      </w:r>
      <w:r w:rsidRPr="003E7026">
        <w:rPr>
          <w:snapToGrid w:val="0"/>
          <w:spacing w:val="-2"/>
          <w:szCs w:val="24"/>
        </w:rPr>
        <w:t xml:space="preserve">2024-2025 </w:t>
      </w:r>
      <w:r w:rsidRPr="003E7026">
        <w:rPr>
          <w:spacing w:val="-2"/>
        </w:rPr>
        <w:t>sieht zwei zusätzliche Posten zur Ersetzung von F</w:t>
      </w:r>
      <w:r w:rsidRPr="003E7026">
        <w:t xml:space="preserve">remdarbeitskräften </w:t>
      </w:r>
      <w:r w:rsidRPr="003E7026">
        <w:rPr>
          <w:spacing w:val="-2"/>
        </w:rPr>
        <w:t>vor.</w:t>
      </w:r>
    </w:p>
    <w:p w14:paraId="34DF9187" w14:textId="77777777" w:rsidR="00CC0487" w:rsidRPr="003E7026" w:rsidRDefault="00CC0487" w:rsidP="00CC0487">
      <w:pPr>
        <w:tabs>
          <w:tab w:val="left" w:pos="567"/>
        </w:tabs>
        <w:rPr>
          <w:spacing w:val="-2"/>
        </w:rPr>
      </w:pPr>
    </w:p>
    <w:p w14:paraId="7FDEAB06" w14:textId="77777777" w:rsidR="00CC0487" w:rsidRPr="003E7026" w:rsidRDefault="00CC0487" w:rsidP="00CC0487">
      <w:pPr>
        <w:pStyle w:val="ListParagraph"/>
        <w:ind w:left="0"/>
        <w:rPr>
          <w:spacing w:val="-2"/>
        </w:rPr>
      </w:pPr>
      <w:r w:rsidRPr="003E7026">
        <w:rPr>
          <w:spacing w:val="-2"/>
        </w:rPr>
        <w:fldChar w:fldCharType="begin"/>
      </w:r>
      <w:r w:rsidRPr="003E7026">
        <w:rPr>
          <w:spacing w:val="-2"/>
        </w:rPr>
        <w:instrText xml:space="preserve"> AUTONUM  </w:instrText>
      </w:r>
      <w:r w:rsidRPr="003E7026">
        <w:rPr>
          <w:spacing w:val="-2"/>
        </w:rPr>
        <w:fldChar w:fldCharType="end"/>
      </w:r>
      <w:r w:rsidRPr="003E7026">
        <w:rPr>
          <w:spacing w:val="-2"/>
        </w:rPr>
        <w:tab/>
        <w:t xml:space="preserve">Die UPOV hat wertvolle Unterstützung durch das Stipendienprogramm in Form einer Folge von erfahrenen Sachverständigen erhalten, die von Verbandsmitgliedern zur Verfügung gestellt wurden, insbesondere in Bezug auf </w:t>
      </w:r>
      <w:r>
        <w:rPr>
          <w:spacing w:val="-2"/>
        </w:rPr>
        <w:t>UPOV PRISMA</w:t>
      </w:r>
      <w:r w:rsidRPr="003E7026">
        <w:rPr>
          <w:spacing w:val="-2"/>
        </w:rPr>
        <w:t>, die PLUTO-Datenbank, die GENIE-Datenbank und die Verwaltung der UPOV-Codes. Die Fortführung des Stipendienprogramms wurde durch die COVID-19-Pandemie erschwert. Dieses soll jedoch wieder eingeführt und erweitert werden, sobald es die Umstände erlauben.</w:t>
      </w:r>
    </w:p>
    <w:p w14:paraId="1C541438" w14:textId="77777777" w:rsidR="00CC0487" w:rsidRPr="003E7026" w:rsidRDefault="00CC0487" w:rsidP="00CC0487">
      <w:pPr>
        <w:pStyle w:val="ListParagraph"/>
        <w:ind w:left="0"/>
        <w:rPr>
          <w:spacing w:val="-2"/>
        </w:rPr>
      </w:pPr>
    </w:p>
    <w:p w14:paraId="609878BD" w14:textId="77777777" w:rsidR="00CC0487" w:rsidRPr="00BF4ADE" w:rsidRDefault="00CC0487" w:rsidP="00CC0487">
      <w:pPr>
        <w:pStyle w:val="ListParagraph"/>
        <w:ind w:left="0"/>
        <w:rPr>
          <w:spacing w:val="-2"/>
        </w:rPr>
      </w:pPr>
      <w:r w:rsidRPr="003E7026">
        <w:rPr>
          <w:spacing w:val="-2"/>
        </w:rPr>
        <w:fldChar w:fldCharType="begin"/>
      </w:r>
      <w:r w:rsidRPr="003E7026">
        <w:rPr>
          <w:spacing w:val="-2"/>
        </w:rPr>
        <w:instrText xml:space="preserve"> AUTONUM  </w:instrText>
      </w:r>
      <w:r w:rsidRPr="003E7026">
        <w:rPr>
          <w:spacing w:val="-2"/>
        </w:rPr>
        <w:fldChar w:fldCharType="end"/>
      </w:r>
      <w:r w:rsidRPr="003E7026">
        <w:rPr>
          <w:spacing w:val="-2"/>
        </w:rPr>
        <w:tab/>
        <w:t xml:space="preserve">Ein weiterer Bereich, in dem Verbandsmitglieder die Arbeit der UPOV hoffentlich weiter unterstützen werden, wird darin bestehen, dass die Verbandsmitglieder der </w:t>
      </w:r>
      <w:r w:rsidRPr="003E7026">
        <w:t xml:space="preserve">UPOV </w:t>
      </w:r>
      <w:r w:rsidRPr="007615BC">
        <w:rPr>
          <w:i/>
        </w:rPr>
        <w:t>Junior Professional Officers</w:t>
      </w:r>
      <w:r w:rsidRPr="003E7026">
        <w:t xml:space="preserve"> </w:t>
      </w:r>
      <w:r w:rsidRPr="003E7026">
        <w:rPr>
          <w:spacing w:val="-2"/>
        </w:rPr>
        <w:t>zur Verfügung stellen</w:t>
      </w:r>
      <w:r w:rsidRPr="003E7026">
        <w:t>.</w:t>
      </w:r>
    </w:p>
    <w:p w14:paraId="545CE70A" w14:textId="77777777" w:rsidR="00CC0487" w:rsidRPr="00BF4ADE" w:rsidRDefault="00CC0487" w:rsidP="00CC0487">
      <w:pPr>
        <w:tabs>
          <w:tab w:val="left" w:pos="567"/>
        </w:tabs>
        <w:rPr>
          <w:spacing w:val="-2"/>
        </w:rPr>
      </w:pPr>
    </w:p>
    <w:p w14:paraId="0B18588E" w14:textId="77777777" w:rsidR="00CC0487" w:rsidRPr="00BF4ADE" w:rsidRDefault="00CC0487" w:rsidP="00CC0487">
      <w:pPr>
        <w:pStyle w:val="Heading3"/>
        <w:rPr>
          <w:lang w:val="de-DE"/>
        </w:rPr>
      </w:pPr>
      <w:bookmarkStart w:id="478" w:name="_Toc128060736"/>
      <w:r>
        <w:rPr>
          <w:lang w:val="de-DE"/>
        </w:rPr>
        <w:t>Erwartete Ergebnisse</w:t>
      </w:r>
      <w:r w:rsidRPr="00BF4ADE">
        <w:rPr>
          <w:lang w:val="de-DE"/>
        </w:rPr>
        <w:t xml:space="preserve"> und </w:t>
      </w:r>
      <w:r>
        <w:rPr>
          <w:lang w:val="de-DE"/>
        </w:rPr>
        <w:t>Planerfüllungsindikatoren</w:t>
      </w:r>
      <w:bookmarkEnd w:id="478"/>
    </w:p>
    <w:p w14:paraId="400A04F8" w14:textId="77777777" w:rsidR="00CC0487" w:rsidRPr="00BF4ADE" w:rsidRDefault="00CC0487" w:rsidP="00CC0487">
      <w:pPr>
        <w:keepNext/>
        <w:rPr>
          <w:bCs/>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535"/>
        <w:gridCol w:w="1554"/>
        <w:gridCol w:w="1559"/>
      </w:tblGrid>
      <w:tr w:rsidR="00CC0487" w:rsidRPr="00BF4ADE" w14:paraId="58657E57" w14:textId="77777777" w:rsidTr="00DB6666">
        <w:trPr>
          <w:tblHeader/>
        </w:trPr>
        <w:tc>
          <w:tcPr>
            <w:tcW w:w="426" w:type="dxa"/>
            <w:tcBorders>
              <w:bottom w:val="single" w:sz="4" w:space="0" w:color="D9D9D9" w:themeColor="background1" w:themeShade="D9"/>
            </w:tcBorders>
            <w:shd w:val="clear" w:color="auto" w:fill="E2E7EB" w:themeFill="accent3" w:themeFillTint="33"/>
          </w:tcPr>
          <w:p w14:paraId="5B6D7F93" w14:textId="77777777" w:rsidR="00CC0487" w:rsidRPr="00BF4ADE" w:rsidRDefault="00CC0487" w:rsidP="00DB6666">
            <w:pPr>
              <w:jc w:val="left"/>
              <w:rPr>
                <w:b/>
                <w:bCs/>
                <w:sz w:val="16"/>
                <w:szCs w:val="16"/>
              </w:rPr>
            </w:pPr>
          </w:p>
        </w:tc>
        <w:tc>
          <w:tcPr>
            <w:tcW w:w="3255" w:type="dxa"/>
            <w:tcBorders>
              <w:bottom w:val="single" w:sz="4" w:space="0" w:color="D9D9D9" w:themeColor="background1" w:themeShade="D9"/>
            </w:tcBorders>
            <w:shd w:val="clear" w:color="auto" w:fill="E2E7EB" w:themeFill="accent3" w:themeFillTint="33"/>
          </w:tcPr>
          <w:p w14:paraId="12C4104F" w14:textId="77777777" w:rsidR="00CC0487" w:rsidRPr="00BF4ADE" w:rsidRDefault="00CC0487" w:rsidP="00DB6666">
            <w:pPr>
              <w:jc w:val="left"/>
              <w:rPr>
                <w:b/>
                <w:bCs/>
                <w:sz w:val="16"/>
                <w:szCs w:val="16"/>
              </w:rPr>
            </w:pPr>
            <w:r>
              <w:rPr>
                <w:b/>
                <w:bCs/>
                <w:sz w:val="16"/>
                <w:szCs w:val="16"/>
              </w:rPr>
              <w:t>Erwartete Ergebnisse</w:t>
            </w:r>
          </w:p>
        </w:tc>
        <w:tc>
          <w:tcPr>
            <w:tcW w:w="305" w:type="dxa"/>
            <w:tcBorders>
              <w:bottom w:val="single" w:sz="4" w:space="0" w:color="D9D9D9" w:themeColor="background1" w:themeShade="D9"/>
            </w:tcBorders>
            <w:shd w:val="clear" w:color="auto" w:fill="E2E7EB" w:themeFill="accent3" w:themeFillTint="33"/>
          </w:tcPr>
          <w:p w14:paraId="06B25B61" w14:textId="77777777" w:rsidR="00CC0487" w:rsidRPr="00BF4ADE" w:rsidRDefault="00CC0487" w:rsidP="00DB6666">
            <w:pPr>
              <w:jc w:val="center"/>
              <w:rPr>
                <w:b/>
                <w:bCs/>
                <w:sz w:val="16"/>
                <w:szCs w:val="16"/>
              </w:rPr>
            </w:pPr>
          </w:p>
        </w:tc>
        <w:tc>
          <w:tcPr>
            <w:tcW w:w="2535" w:type="dxa"/>
            <w:tcBorders>
              <w:bottom w:val="single" w:sz="4" w:space="0" w:color="D9D9D9" w:themeColor="background1" w:themeShade="D9"/>
            </w:tcBorders>
            <w:shd w:val="clear" w:color="auto" w:fill="E2E7EB" w:themeFill="accent3" w:themeFillTint="33"/>
          </w:tcPr>
          <w:p w14:paraId="03683FF4" w14:textId="77777777" w:rsidR="00CC0487" w:rsidRPr="00BF4ADE" w:rsidRDefault="00CC0487" w:rsidP="00DB6666">
            <w:pPr>
              <w:rPr>
                <w:b/>
                <w:bCs/>
                <w:sz w:val="16"/>
                <w:szCs w:val="16"/>
              </w:rPr>
            </w:pPr>
            <w:r>
              <w:rPr>
                <w:b/>
                <w:bCs/>
                <w:sz w:val="16"/>
                <w:szCs w:val="16"/>
              </w:rPr>
              <w:t>Planerfüllungsindikatoren</w:t>
            </w:r>
          </w:p>
        </w:tc>
        <w:tc>
          <w:tcPr>
            <w:tcW w:w="1554" w:type="dxa"/>
            <w:tcBorders>
              <w:bottom w:val="single" w:sz="4" w:space="0" w:color="D9D9D9" w:themeColor="background1" w:themeShade="D9"/>
            </w:tcBorders>
            <w:shd w:val="clear" w:color="auto" w:fill="E2E7EB" w:themeFill="accent3" w:themeFillTint="33"/>
          </w:tcPr>
          <w:p w14:paraId="516A3175" w14:textId="77777777" w:rsidR="00CC0487" w:rsidRPr="00BF4ADE" w:rsidRDefault="00CC0487" w:rsidP="00DB6666">
            <w:pPr>
              <w:jc w:val="center"/>
              <w:rPr>
                <w:b/>
                <w:bCs/>
                <w:sz w:val="16"/>
                <w:szCs w:val="16"/>
              </w:rPr>
            </w:pPr>
            <w:r>
              <w:rPr>
                <w:b/>
                <w:bCs/>
                <w:sz w:val="16"/>
                <w:szCs w:val="16"/>
              </w:rPr>
              <w:t>Referenzwerte</w:t>
            </w:r>
          </w:p>
        </w:tc>
        <w:tc>
          <w:tcPr>
            <w:tcW w:w="1559" w:type="dxa"/>
            <w:tcBorders>
              <w:bottom w:val="single" w:sz="4" w:space="0" w:color="D9D9D9" w:themeColor="background1" w:themeShade="D9"/>
            </w:tcBorders>
            <w:shd w:val="clear" w:color="auto" w:fill="E2E7EB" w:themeFill="accent3" w:themeFillTint="33"/>
          </w:tcPr>
          <w:p w14:paraId="71F829B8" w14:textId="77777777" w:rsidR="00CC0487" w:rsidRPr="00BF4ADE" w:rsidRDefault="00CC0487" w:rsidP="00DB6666">
            <w:pPr>
              <w:jc w:val="center"/>
              <w:rPr>
                <w:b/>
                <w:bCs/>
                <w:sz w:val="16"/>
                <w:szCs w:val="16"/>
              </w:rPr>
            </w:pPr>
            <w:r>
              <w:rPr>
                <w:b/>
                <w:bCs/>
                <w:sz w:val="16"/>
                <w:szCs w:val="16"/>
              </w:rPr>
              <w:t>Ziele</w:t>
            </w:r>
            <w:r w:rsidRPr="00BF4ADE">
              <w:rPr>
                <w:b/>
                <w:bCs/>
                <w:sz w:val="16"/>
                <w:szCs w:val="16"/>
              </w:rPr>
              <w:t xml:space="preserve"> (2024/25)</w:t>
            </w:r>
          </w:p>
        </w:tc>
      </w:tr>
      <w:tr w:rsidR="00CC0487" w:rsidRPr="00BF4ADE" w14:paraId="788B17F4" w14:textId="77777777" w:rsidTr="00DB6666">
        <w:tc>
          <w:tcPr>
            <w:tcW w:w="426" w:type="dxa"/>
            <w:tcBorders>
              <w:top w:val="single" w:sz="4" w:space="0" w:color="D9D9D9" w:themeColor="background1" w:themeShade="D9"/>
              <w:bottom w:val="single" w:sz="4" w:space="0" w:color="D9D9D9" w:themeColor="background1" w:themeShade="D9"/>
            </w:tcBorders>
          </w:tcPr>
          <w:p w14:paraId="48ACAB3E" w14:textId="77777777" w:rsidR="00CC0487" w:rsidRPr="00BF4ADE" w:rsidRDefault="00CC0487" w:rsidP="00DB6666">
            <w:pPr>
              <w:jc w:val="left"/>
              <w:rPr>
                <w:rFonts w:cs="Arial"/>
                <w:sz w:val="16"/>
                <w:szCs w:val="16"/>
              </w:rPr>
            </w:pPr>
            <w:r w:rsidRPr="00BF4ADE">
              <w:rPr>
                <w:rFonts w:cs="Arial"/>
                <w:sz w:val="16"/>
                <w:szCs w:val="16"/>
              </w:rPr>
              <w:t>4.1</w:t>
            </w:r>
          </w:p>
        </w:tc>
        <w:tc>
          <w:tcPr>
            <w:tcW w:w="3255" w:type="dxa"/>
            <w:tcBorders>
              <w:top w:val="single" w:sz="4" w:space="0" w:color="D9D9D9" w:themeColor="background1" w:themeShade="D9"/>
              <w:bottom w:val="single" w:sz="4" w:space="0" w:color="D9D9D9" w:themeColor="background1" w:themeShade="D9"/>
            </w:tcBorders>
            <w:shd w:val="clear" w:color="auto" w:fill="auto"/>
          </w:tcPr>
          <w:p w14:paraId="233248FC" w14:textId="77777777" w:rsidR="00CC0487" w:rsidRPr="00BF4ADE" w:rsidRDefault="00CC0487" w:rsidP="00DB6666">
            <w:pPr>
              <w:jc w:val="left"/>
              <w:rPr>
                <w:rFonts w:cs="Arial"/>
                <w:sz w:val="16"/>
                <w:szCs w:val="16"/>
              </w:rPr>
            </w:pPr>
            <w:r w:rsidRPr="00BF4ADE">
              <w:rPr>
                <w:rFonts w:cs="Arial"/>
                <w:sz w:val="16"/>
                <w:szCs w:val="16"/>
              </w:rPr>
              <w:t>Diversifizierung der Einnahmen</w:t>
            </w:r>
          </w:p>
        </w:tc>
        <w:tc>
          <w:tcPr>
            <w:tcW w:w="305" w:type="dxa"/>
            <w:tcBorders>
              <w:top w:val="single" w:sz="4" w:space="0" w:color="D9D9D9" w:themeColor="background1" w:themeShade="D9"/>
              <w:bottom w:val="single" w:sz="4" w:space="0" w:color="D9D9D9" w:themeColor="background1" w:themeShade="D9"/>
            </w:tcBorders>
            <w:shd w:val="clear" w:color="auto" w:fill="auto"/>
          </w:tcPr>
          <w:p w14:paraId="5B26AEC2" w14:textId="77777777" w:rsidR="00CC0487" w:rsidRPr="00BF4ADE" w:rsidRDefault="00CC0487" w:rsidP="00DB6666">
            <w:pPr>
              <w:jc w:val="left"/>
              <w:rPr>
                <w:rFonts w:cs="Arial"/>
                <w:sz w:val="16"/>
                <w:szCs w:val="16"/>
              </w:rPr>
            </w:pPr>
            <w:r w:rsidRPr="00BF4ADE">
              <w:rPr>
                <w:rFonts w:cs="Arial"/>
                <w:sz w:val="16"/>
                <w:szCs w:val="16"/>
              </w:rPr>
              <w:t>15</w:t>
            </w:r>
          </w:p>
        </w:tc>
        <w:tc>
          <w:tcPr>
            <w:tcW w:w="2535" w:type="dxa"/>
            <w:tcBorders>
              <w:top w:val="single" w:sz="4" w:space="0" w:color="D9D9D9" w:themeColor="background1" w:themeShade="D9"/>
              <w:bottom w:val="single" w:sz="4" w:space="0" w:color="D9D9D9" w:themeColor="background1" w:themeShade="D9"/>
            </w:tcBorders>
            <w:shd w:val="clear" w:color="auto" w:fill="auto"/>
          </w:tcPr>
          <w:p w14:paraId="760B1FB1" w14:textId="77777777" w:rsidR="00CC0487" w:rsidRPr="00BF4ADE" w:rsidRDefault="00CC0487" w:rsidP="00DB6666">
            <w:pPr>
              <w:jc w:val="left"/>
              <w:rPr>
                <w:rFonts w:cs="Arial"/>
                <w:sz w:val="16"/>
                <w:szCs w:val="16"/>
              </w:rPr>
            </w:pPr>
            <w:r w:rsidRPr="00BF4ADE">
              <w:rPr>
                <w:rFonts w:cs="Arial"/>
                <w:sz w:val="16"/>
                <w:szCs w:val="16"/>
              </w:rPr>
              <w:t>Einnahmen aus anderen Quellen als den Beiträgen der UPOV-Mitglieder</w:t>
            </w:r>
          </w:p>
        </w:tc>
        <w:tc>
          <w:tcPr>
            <w:tcW w:w="1554" w:type="dxa"/>
            <w:tcBorders>
              <w:top w:val="single" w:sz="4" w:space="0" w:color="D9D9D9" w:themeColor="background1" w:themeShade="D9"/>
              <w:bottom w:val="single" w:sz="4" w:space="0" w:color="D9D9D9" w:themeColor="background1" w:themeShade="D9"/>
            </w:tcBorders>
            <w:shd w:val="clear" w:color="auto" w:fill="auto"/>
            <w:vAlign w:val="center"/>
          </w:tcPr>
          <w:p w14:paraId="23CBB3A0" w14:textId="77777777" w:rsidR="00CC0487" w:rsidRPr="00BF4ADE" w:rsidRDefault="00CC0487" w:rsidP="00DB6666">
            <w:pPr>
              <w:jc w:val="center"/>
              <w:rPr>
                <w:rFonts w:cs="Arial"/>
                <w:sz w:val="16"/>
                <w:szCs w:val="16"/>
              </w:rPr>
            </w:pPr>
            <w:r w:rsidRPr="00BF4ADE">
              <w:rPr>
                <w:rFonts w:cs="Arial"/>
                <w:sz w:val="16"/>
                <w:szCs w:val="16"/>
              </w:rPr>
              <w:t>6</w:t>
            </w:r>
            <w:r>
              <w:rPr>
                <w:rFonts w:cs="Arial"/>
                <w:sz w:val="16"/>
                <w:szCs w:val="16"/>
              </w:rPr>
              <w:t>,</w:t>
            </w:r>
            <w:r w:rsidRPr="00BF4ADE">
              <w:rPr>
                <w:rFonts w:cs="Arial"/>
                <w:sz w:val="16"/>
                <w:szCs w:val="16"/>
              </w:rPr>
              <w:t>6% (2022/23)</w:t>
            </w:r>
          </w:p>
        </w:tc>
        <w:tc>
          <w:tcPr>
            <w:tcW w:w="1559" w:type="dxa"/>
            <w:tcBorders>
              <w:top w:val="single" w:sz="4" w:space="0" w:color="D9D9D9" w:themeColor="background1" w:themeShade="D9"/>
              <w:bottom w:val="single" w:sz="4" w:space="0" w:color="D9D9D9" w:themeColor="background1" w:themeShade="D9"/>
            </w:tcBorders>
            <w:shd w:val="clear" w:color="auto" w:fill="auto"/>
            <w:vAlign w:val="center"/>
          </w:tcPr>
          <w:p w14:paraId="58B6D15F" w14:textId="77777777" w:rsidR="00CC0487" w:rsidRPr="00BF4ADE" w:rsidRDefault="00CC0487" w:rsidP="00DB6666">
            <w:pPr>
              <w:jc w:val="center"/>
              <w:rPr>
                <w:rFonts w:cs="Arial"/>
                <w:sz w:val="16"/>
                <w:szCs w:val="16"/>
              </w:rPr>
            </w:pPr>
            <w:r w:rsidRPr="00BF4ADE">
              <w:rPr>
                <w:rFonts w:cs="Arial"/>
                <w:sz w:val="16"/>
                <w:szCs w:val="16"/>
              </w:rPr>
              <w:t>9%</w:t>
            </w:r>
          </w:p>
        </w:tc>
      </w:tr>
      <w:tr w:rsidR="00CC0487" w:rsidRPr="00BF4ADE" w14:paraId="249D3EA0" w14:textId="77777777" w:rsidTr="00DB6666">
        <w:tc>
          <w:tcPr>
            <w:tcW w:w="426" w:type="dxa"/>
            <w:tcBorders>
              <w:top w:val="single" w:sz="4" w:space="0" w:color="D9D9D9" w:themeColor="background1" w:themeShade="D9"/>
              <w:bottom w:val="single" w:sz="4" w:space="0" w:color="D9D9D9" w:themeColor="background1" w:themeShade="D9"/>
            </w:tcBorders>
          </w:tcPr>
          <w:p w14:paraId="0B22E1CE" w14:textId="77777777" w:rsidR="00CC0487" w:rsidRPr="00BF4ADE" w:rsidRDefault="00CC0487" w:rsidP="00DB6666">
            <w:pPr>
              <w:jc w:val="left"/>
              <w:rPr>
                <w:rFonts w:cs="Arial"/>
                <w:sz w:val="16"/>
                <w:szCs w:val="16"/>
              </w:rPr>
            </w:pPr>
            <w:r w:rsidRPr="00BF4ADE">
              <w:rPr>
                <w:rFonts w:cs="Arial"/>
                <w:sz w:val="16"/>
                <w:szCs w:val="16"/>
              </w:rPr>
              <w:t>4.2</w:t>
            </w:r>
          </w:p>
        </w:tc>
        <w:tc>
          <w:tcPr>
            <w:tcW w:w="3255" w:type="dxa"/>
            <w:tcBorders>
              <w:top w:val="single" w:sz="4" w:space="0" w:color="D9D9D9" w:themeColor="background1" w:themeShade="D9"/>
              <w:bottom w:val="single" w:sz="4" w:space="0" w:color="D9D9D9" w:themeColor="background1" w:themeShade="D9"/>
            </w:tcBorders>
            <w:shd w:val="clear" w:color="auto" w:fill="auto"/>
          </w:tcPr>
          <w:p w14:paraId="543D608B" w14:textId="77777777" w:rsidR="00CC0487" w:rsidRPr="00BF4ADE" w:rsidRDefault="00CC0487" w:rsidP="00DB6666">
            <w:pPr>
              <w:jc w:val="left"/>
              <w:rPr>
                <w:rFonts w:cs="Arial"/>
                <w:sz w:val="16"/>
                <w:szCs w:val="16"/>
              </w:rPr>
            </w:pPr>
            <w:r w:rsidRPr="00592D39">
              <w:rPr>
                <w:rFonts w:cs="Arial"/>
                <w:sz w:val="16"/>
                <w:szCs w:val="16"/>
              </w:rPr>
              <w:t>Ein Sekretariat, das über die erforderlichen Befugnisse und die richtigen Ressourcen und Schulungen verfügt, um effizient, kooperativ und innovativ zu arbeiten</w:t>
            </w:r>
          </w:p>
        </w:tc>
        <w:tc>
          <w:tcPr>
            <w:tcW w:w="305" w:type="dxa"/>
            <w:tcBorders>
              <w:top w:val="single" w:sz="4" w:space="0" w:color="D9D9D9" w:themeColor="background1" w:themeShade="D9"/>
              <w:bottom w:val="single" w:sz="4" w:space="0" w:color="D9D9D9" w:themeColor="background1" w:themeShade="D9"/>
            </w:tcBorders>
            <w:shd w:val="clear" w:color="auto" w:fill="auto"/>
          </w:tcPr>
          <w:p w14:paraId="51ADA3FD" w14:textId="77777777" w:rsidR="00CC0487" w:rsidRPr="00BF4ADE" w:rsidRDefault="00CC0487" w:rsidP="00DB6666">
            <w:pPr>
              <w:jc w:val="left"/>
              <w:rPr>
                <w:rFonts w:cs="Arial"/>
                <w:sz w:val="16"/>
                <w:szCs w:val="16"/>
              </w:rPr>
            </w:pPr>
            <w:r w:rsidRPr="00BF4ADE">
              <w:rPr>
                <w:rFonts w:cs="Arial"/>
                <w:sz w:val="16"/>
                <w:szCs w:val="16"/>
              </w:rPr>
              <w:t>16</w:t>
            </w:r>
          </w:p>
        </w:tc>
        <w:tc>
          <w:tcPr>
            <w:tcW w:w="2535" w:type="dxa"/>
            <w:tcBorders>
              <w:top w:val="single" w:sz="4" w:space="0" w:color="D9D9D9" w:themeColor="background1" w:themeShade="D9"/>
              <w:bottom w:val="single" w:sz="4" w:space="0" w:color="D9D9D9" w:themeColor="background1" w:themeShade="D9"/>
            </w:tcBorders>
            <w:shd w:val="clear" w:color="auto" w:fill="auto"/>
          </w:tcPr>
          <w:p w14:paraId="0D79058B" w14:textId="77777777" w:rsidR="00CC0487" w:rsidRPr="00BF4ADE" w:rsidRDefault="00CC0487" w:rsidP="00DB6666">
            <w:pPr>
              <w:jc w:val="left"/>
              <w:rPr>
                <w:rFonts w:cs="Arial"/>
                <w:sz w:val="16"/>
                <w:szCs w:val="16"/>
              </w:rPr>
            </w:pPr>
            <w:r w:rsidRPr="00BF4ADE">
              <w:rPr>
                <w:rFonts w:cs="Arial"/>
                <w:sz w:val="16"/>
                <w:szCs w:val="16"/>
              </w:rPr>
              <w:t>Grad der Zufriedenheit des Personals</w:t>
            </w:r>
          </w:p>
        </w:tc>
        <w:tc>
          <w:tcPr>
            <w:tcW w:w="1554" w:type="dxa"/>
            <w:tcBorders>
              <w:top w:val="single" w:sz="4" w:space="0" w:color="D9D9D9" w:themeColor="background1" w:themeShade="D9"/>
              <w:bottom w:val="single" w:sz="4" w:space="0" w:color="D9D9D9" w:themeColor="background1" w:themeShade="D9"/>
            </w:tcBorders>
            <w:shd w:val="clear" w:color="auto" w:fill="auto"/>
            <w:vAlign w:val="center"/>
          </w:tcPr>
          <w:p w14:paraId="76D656CC" w14:textId="77777777" w:rsidR="00CC0487" w:rsidRPr="00BF4ADE" w:rsidRDefault="00CC0487" w:rsidP="00DB6666">
            <w:pPr>
              <w:jc w:val="center"/>
              <w:rPr>
                <w:rFonts w:cs="Arial"/>
                <w:sz w:val="16"/>
                <w:szCs w:val="16"/>
              </w:rPr>
            </w:pPr>
            <w:r w:rsidRPr="00BF4ADE">
              <w:rPr>
                <w:rFonts w:cs="Arial"/>
                <w:sz w:val="16"/>
                <w:szCs w:val="16"/>
              </w:rPr>
              <w:t>86%</w:t>
            </w:r>
          </w:p>
        </w:tc>
        <w:tc>
          <w:tcPr>
            <w:tcW w:w="1559" w:type="dxa"/>
            <w:tcBorders>
              <w:top w:val="single" w:sz="4" w:space="0" w:color="D9D9D9" w:themeColor="background1" w:themeShade="D9"/>
              <w:bottom w:val="single" w:sz="4" w:space="0" w:color="D9D9D9" w:themeColor="background1" w:themeShade="D9"/>
            </w:tcBorders>
            <w:shd w:val="clear" w:color="auto" w:fill="auto"/>
            <w:vAlign w:val="center"/>
          </w:tcPr>
          <w:p w14:paraId="17CCBDE2" w14:textId="77777777" w:rsidR="00CC0487" w:rsidRPr="00BF4ADE" w:rsidRDefault="00CC0487" w:rsidP="00DB6666">
            <w:pPr>
              <w:jc w:val="center"/>
              <w:rPr>
                <w:rFonts w:cs="Arial"/>
                <w:sz w:val="16"/>
                <w:szCs w:val="16"/>
              </w:rPr>
            </w:pPr>
            <w:r w:rsidRPr="00BF4ADE">
              <w:rPr>
                <w:rFonts w:cs="Arial"/>
                <w:sz w:val="16"/>
                <w:szCs w:val="16"/>
              </w:rPr>
              <w:t>88%</w:t>
            </w:r>
          </w:p>
        </w:tc>
      </w:tr>
    </w:tbl>
    <w:p w14:paraId="3F784A74" w14:textId="77777777" w:rsidR="00CC0487" w:rsidRPr="00BF4ADE" w:rsidRDefault="00CC0487" w:rsidP="00CC0487"/>
    <w:p w14:paraId="04CD252D" w14:textId="77777777" w:rsidR="00CC0487" w:rsidRPr="00BF4ADE" w:rsidRDefault="00CC0487" w:rsidP="00CC0487">
      <w:pPr>
        <w:jc w:val="left"/>
        <w:rPr>
          <w:color w:val="000000"/>
        </w:rPr>
      </w:pPr>
    </w:p>
    <w:p w14:paraId="4D17EB71" w14:textId="77777777" w:rsidR="00CC0487" w:rsidRPr="00BF4ADE" w:rsidRDefault="00CC0487" w:rsidP="00CC0487">
      <w:pPr>
        <w:jc w:val="center"/>
        <w:rPr>
          <w:rFonts w:cs="Arial"/>
          <w:b/>
          <w:bCs/>
          <w:color w:val="26724C" w:themeColor="accent1" w:themeShade="BF"/>
        </w:rPr>
      </w:pPr>
      <w:r w:rsidRPr="00BF4ADE">
        <w:rPr>
          <w:rFonts w:cs="Arial"/>
          <w:b/>
          <w:bCs/>
          <w:color w:val="26724C" w:themeColor="accent1" w:themeShade="BF"/>
        </w:rPr>
        <w:t>Tabelle 6: Haushalt</w:t>
      </w:r>
      <w:r>
        <w:rPr>
          <w:rFonts w:cs="Arial"/>
          <w:b/>
          <w:bCs/>
          <w:color w:val="26724C" w:themeColor="accent1" w:themeShade="BF"/>
        </w:rPr>
        <w:t>splan</w:t>
      </w:r>
      <w:r w:rsidRPr="00BF4ADE">
        <w:rPr>
          <w:rFonts w:cs="Arial"/>
          <w:b/>
          <w:bCs/>
          <w:color w:val="26724C" w:themeColor="accent1" w:themeShade="BF"/>
        </w:rPr>
        <w:t xml:space="preserve"> </w:t>
      </w:r>
      <w:r>
        <w:rPr>
          <w:rFonts w:cs="Arial"/>
          <w:b/>
          <w:bCs/>
          <w:color w:val="26724C" w:themeColor="accent1" w:themeShade="BF"/>
        </w:rPr>
        <w:t>2024-2025</w:t>
      </w:r>
      <w:r w:rsidRPr="00BF4ADE">
        <w:rPr>
          <w:rFonts w:cs="Arial"/>
          <w:b/>
          <w:bCs/>
          <w:color w:val="26724C" w:themeColor="accent1" w:themeShade="BF"/>
        </w:rPr>
        <w:t xml:space="preserve"> nach </w:t>
      </w:r>
      <w:r w:rsidRPr="00153A85">
        <w:rPr>
          <w:rFonts w:cs="Arial"/>
          <w:b/>
          <w:bCs/>
          <w:color w:val="26724C" w:themeColor="accent1" w:themeShade="BF"/>
        </w:rPr>
        <w:t>Erwarteten Ergebnissen</w:t>
      </w:r>
    </w:p>
    <w:p w14:paraId="29B01B74" w14:textId="77777777" w:rsidR="00CC0487" w:rsidRPr="00BF4ADE" w:rsidRDefault="00CC0487" w:rsidP="00CC0487">
      <w:pPr>
        <w:jc w:val="center"/>
        <w:rPr>
          <w:rFonts w:cs="Arial"/>
          <w:b/>
          <w:bCs/>
          <w:color w:val="26724C" w:themeColor="accent1" w:themeShade="BF"/>
        </w:rPr>
      </w:pPr>
    </w:p>
    <w:tbl>
      <w:tblPr>
        <w:tblW w:w="8260" w:type="dxa"/>
        <w:jc w:val="center"/>
        <w:tblLook w:val="04A0" w:firstRow="1" w:lastRow="0" w:firstColumn="1" w:lastColumn="0" w:noHBand="0" w:noVBand="1"/>
      </w:tblPr>
      <w:tblGrid>
        <w:gridCol w:w="1488"/>
        <w:gridCol w:w="5148"/>
        <w:gridCol w:w="1624"/>
      </w:tblGrid>
      <w:tr w:rsidR="00CC0487" w:rsidRPr="00986945" w14:paraId="33382165" w14:textId="77777777" w:rsidTr="00DB6666">
        <w:trPr>
          <w:trHeight w:val="270"/>
          <w:jc w:val="center"/>
        </w:trPr>
        <w:tc>
          <w:tcPr>
            <w:tcW w:w="6636" w:type="dxa"/>
            <w:gridSpan w:val="2"/>
            <w:vMerge w:val="restart"/>
            <w:tcBorders>
              <w:top w:val="nil"/>
              <w:left w:val="nil"/>
              <w:bottom w:val="nil"/>
              <w:right w:val="nil"/>
            </w:tcBorders>
            <w:shd w:val="clear" w:color="000000" w:fill="C7CFD8"/>
            <w:vAlign w:val="center"/>
          </w:tcPr>
          <w:p w14:paraId="6419FCF7" w14:textId="77777777" w:rsidR="00CC0487" w:rsidRPr="00986945" w:rsidRDefault="00CC0487" w:rsidP="00DB6666">
            <w:pPr>
              <w:jc w:val="center"/>
              <w:rPr>
                <w:rFonts w:ascii="Arial Narrow" w:hAnsi="Arial Narrow" w:cstheme="majorHAnsi"/>
                <w:b/>
                <w:bCs/>
                <w:sz w:val="16"/>
                <w:szCs w:val="16"/>
                <w:lang w:val="en-US"/>
              </w:rPr>
            </w:pPr>
          </w:p>
        </w:tc>
        <w:tc>
          <w:tcPr>
            <w:tcW w:w="1624" w:type="dxa"/>
            <w:vMerge w:val="restart"/>
            <w:tcBorders>
              <w:top w:val="nil"/>
              <w:left w:val="nil"/>
              <w:bottom w:val="nil"/>
              <w:right w:val="nil"/>
            </w:tcBorders>
            <w:shd w:val="clear" w:color="000000" w:fill="C7CFD8"/>
            <w:vAlign w:val="center"/>
            <w:hideMark/>
          </w:tcPr>
          <w:p w14:paraId="540A890A" w14:textId="77777777" w:rsidR="00CC0487" w:rsidRPr="00986945" w:rsidRDefault="00CC0487" w:rsidP="00DB6666">
            <w:pPr>
              <w:jc w:val="center"/>
              <w:rPr>
                <w:rFonts w:ascii="Arial Narrow" w:hAnsi="Arial Narrow" w:cstheme="majorHAnsi"/>
                <w:b/>
                <w:bCs/>
                <w:sz w:val="16"/>
                <w:szCs w:val="16"/>
              </w:rPr>
            </w:pPr>
            <w:r w:rsidRPr="00986945">
              <w:rPr>
                <w:rFonts w:ascii="Arial Narrow" w:hAnsi="Arial Narrow" w:cstheme="majorHAnsi"/>
                <w:b/>
                <w:bCs/>
                <w:sz w:val="16"/>
                <w:szCs w:val="16"/>
                <w:lang w:val="en-US"/>
              </w:rPr>
              <w:t xml:space="preserve"> </w:t>
            </w:r>
            <w:r w:rsidRPr="00986945">
              <w:rPr>
                <w:rFonts w:ascii="Arial Narrow" w:hAnsi="Arial Narrow" w:cstheme="majorHAnsi"/>
                <w:b/>
                <w:bCs/>
                <w:sz w:val="16"/>
                <w:szCs w:val="16"/>
              </w:rPr>
              <w:t xml:space="preserve">2024-2025 Veranschlagt </w:t>
            </w:r>
          </w:p>
        </w:tc>
      </w:tr>
      <w:tr w:rsidR="00CC0487" w:rsidRPr="00986945" w14:paraId="786F93DE" w14:textId="77777777" w:rsidTr="00DB6666">
        <w:trPr>
          <w:trHeight w:val="240"/>
          <w:jc w:val="center"/>
        </w:trPr>
        <w:tc>
          <w:tcPr>
            <w:tcW w:w="6636" w:type="dxa"/>
            <w:gridSpan w:val="2"/>
            <w:vMerge/>
            <w:tcBorders>
              <w:top w:val="nil"/>
              <w:left w:val="nil"/>
              <w:bottom w:val="nil"/>
              <w:right w:val="nil"/>
            </w:tcBorders>
            <w:vAlign w:val="center"/>
            <w:hideMark/>
          </w:tcPr>
          <w:p w14:paraId="0B65F497" w14:textId="77777777" w:rsidR="00CC0487" w:rsidRPr="00986945" w:rsidRDefault="00CC0487" w:rsidP="00DB6666">
            <w:pPr>
              <w:jc w:val="left"/>
              <w:rPr>
                <w:rFonts w:ascii="Arial Narrow" w:hAnsi="Arial Narrow" w:cstheme="majorHAnsi"/>
                <w:b/>
                <w:bCs/>
                <w:sz w:val="16"/>
                <w:szCs w:val="16"/>
              </w:rPr>
            </w:pPr>
          </w:p>
        </w:tc>
        <w:tc>
          <w:tcPr>
            <w:tcW w:w="1624" w:type="dxa"/>
            <w:vMerge/>
            <w:tcBorders>
              <w:top w:val="nil"/>
              <w:left w:val="nil"/>
              <w:bottom w:val="nil"/>
              <w:right w:val="nil"/>
            </w:tcBorders>
            <w:vAlign w:val="center"/>
            <w:hideMark/>
          </w:tcPr>
          <w:p w14:paraId="6164F09D" w14:textId="77777777" w:rsidR="00CC0487" w:rsidRPr="00986945" w:rsidRDefault="00CC0487" w:rsidP="00DB6666">
            <w:pPr>
              <w:jc w:val="left"/>
              <w:rPr>
                <w:rFonts w:ascii="Arial Narrow" w:hAnsi="Arial Narrow" w:cstheme="majorHAnsi"/>
                <w:b/>
                <w:bCs/>
                <w:sz w:val="16"/>
                <w:szCs w:val="16"/>
              </w:rPr>
            </w:pPr>
          </w:p>
        </w:tc>
      </w:tr>
      <w:tr w:rsidR="00CC0487" w:rsidRPr="00986945" w14:paraId="461C57E7" w14:textId="77777777" w:rsidTr="00DB6666">
        <w:trPr>
          <w:trHeight w:val="61"/>
          <w:jc w:val="center"/>
        </w:trPr>
        <w:tc>
          <w:tcPr>
            <w:tcW w:w="6636" w:type="dxa"/>
            <w:gridSpan w:val="2"/>
            <w:tcBorders>
              <w:top w:val="nil"/>
              <w:left w:val="nil"/>
              <w:bottom w:val="nil"/>
              <w:right w:val="nil"/>
            </w:tcBorders>
            <w:shd w:val="clear" w:color="auto" w:fill="auto"/>
            <w:vAlign w:val="bottom"/>
            <w:hideMark/>
          </w:tcPr>
          <w:p w14:paraId="6B88ADDF" w14:textId="77777777" w:rsidR="00CC0487" w:rsidRPr="00986945" w:rsidRDefault="00CC0487" w:rsidP="00DB6666">
            <w:pPr>
              <w:jc w:val="center"/>
              <w:rPr>
                <w:rFonts w:ascii="Arial Narrow" w:hAnsi="Arial Narrow" w:cstheme="majorHAnsi"/>
                <w:b/>
                <w:bCs/>
                <w:sz w:val="16"/>
                <w:szCs w:val="16"/>
              </w:rPr>
            </w:pPr>
          </w:p>
        </w:tc>
        <w:tc>
          <w:tcPr>
            <w:tcW w:w="1624" w:type="dxa"/>
            <w:tcBorders>
              <w:top w:val="nil"/>
              <w:left w:val="nil"/>
              <w:bottom w:val="nil"/>
              <w:right w:val="nil"/>
            </w:tcBorders>
            <w:shd w:val="clear" w:color="auto" w:fill="auto"/>
            <w:vAlign w:val="bottom"/>
            <w:hideMark/>
          </w:tcPr>
          <w:p w14:paraId="75833886" w14:textId="77777777" w:rsidR="00CC0487" w:rsidRPr="00986945" w:rsidRDefault="00CC0487" w:rsidP="00DB6666">
            <w:pPr>
              <w:jc w:val="left"/>
              <w:rPr>
                <w:rFonts w:ascii="Arial Narrow" w:hAnsi="Arial Narrow" w:cstheme="majorHAnsi"/>
                <w:sz w:val="16"/>
                <w:szCs w:val="16"/>
              </w:rPr>
            </w:pPr>
          </w:p>
        </w:tc>
      </w:tr>
      <w:tr w:rsidR="00CC0487" w:rsidRPr="00986945" w14:paraId="4DF8E217" w14:textId="77777777" w:rsidTr="00DB6666">
        <w:trPr>
          <w:trHeight w:val="448"/>
          <w:jc w:val="center"/>
        </w:trPr>
        <w:tc>
          <w:tcPr>
            <w:tcW w:w="1488" w:type="dxa"/>
            <w:tcBorders>
              <w:top w:val="nil"/>
              <w:left w:val="nil"/>
              <w:bottom w:val="nil"/>
              <w:right w:val="nil"/>
            </w:tcBorders>
            <w:shd w:val="clear" w:color="auto" w:fill="auto"/>
            <w:hideMark/>
          </w:tcPr>
          <w:p w14:paraId="4865100F" w14:textId="77777777" w:rsidR="00CC0487" w:rsidRPr="00986945" w:rsidRDefault="00CC0487" w:rsidP="00DB6666">
            <w:pPr>
              <w:jc w:val="center"/>
              <w:rPr>
                <w:rFonts w:ascii="Arial Narrow" w:hAnsi="Arial Narrow" w:cstheme="majorHAnsi"/>
                <w:sz w:val="16"/>
                <w:szCs w:val="16"/>
              </w:rPr>
            </w:pPr>
            <w:r w:rsidRPr="00986945">
              <w:rPr>
                <w:rFonts w:ascii="Arial Narrow" w:hAnsi="Arial Narrow" w:cstheme="majorHAnsi"/>
                <w:sz w:val="16"/>
                <w:szCs w:val="16"/>
              </w:rPr>
              <w:t>1.1</w:t>
            </w:r>
          </w:p>
        </w:tc>
        <w:tc>
          <w:tcPr>
            <w:tcW w:w="5148" w:type="dxa"/>
            <w:tcBorders>
              <w:top w:val="nil"/>
              <w:left w:val="nil"/>
              <w:bottom w:val="nil"/>
              <w:right w:val="nil"/>
            </w:tcBorders>
            <w:shd w:val="clear" w:color="auto" w:fill="auto"/>
            <w:hideMark/>
          </w:tcPr>
          <w:p w14:paraId="6825F2CD" w14:textId="77777777" w:rsidR="00CC0487" w:rsidRPr="00986945" w:rsidRDefault="00CC0487" w:rsidP="00DB6666">
            <w:pPr>
              <w:jc w:val="left"/>
              <w:rPr>
                <w:rFonts w:ascii="Arial Narrow" w:hAnsi="Arial Narrow" w:cstheme="majorHAnsi"/>
                <w:sz w:val="16"/>
                <w:szCs w:val="16"/>
              </w:rPr>
            </w:pPr>
            <w:r w:rsidRPr="00986945">
              <w:rPr>
                <w:rFonts w:ascii="Arial Narrow" w:hAnsi="Arial Narrow" w:cstheme="majorHAnsi"/>
                <w:sz w:val="16"/>
                <w:szCs w:val="16"/>
              </w:rPr>
              <w:t xml:space="preserve">Führung durch den Rat der UPOV und Arbeit der UPOV-Ausschüsse und anderen Organe </w:t>
            </w:r>
          </w:p>
        </w:tc>
        <w:tc>
          <w:tcPr>
            <w:tcW w:w="1624" w:type="dxa"/>
            <w:tcBorders>
              <w:top w:val="nil"/>
              <w:left w:val="nil"/>
              <w:bottom w:val="nil"/>
              <w:right w:val="nil"/>
            </w:tcBorders>
            <w:shd w:val="clear" w:color="auto" w:fill="auto"/>
            <w:hideMark/>
          </w:tcPr>
          <w:p w14:paraId="12E09D22" w14:textId="77777777" w:rsidR="00CC0487" w:rsidRPr="00986945" w:rsidRDefault="00CC0487" w:rsidP="00DB6666">
            <w:pPr>
              <w:jc w:val="center"/>
              <w:rPr>
                <w:rFonts w:ascii="Arial Narrow" w:hAnsi="Arial Narrow" w:cstheme="majorHAnsi"/>
                <w:sz w:val="16"/>
                <w:szCs w:val="16"/>
              </w:rPr>
            </w:pPr>
            <w:r w:rsidRPr="00986945">
              <w:rPr>
                <w:rFonts w:ascii="Arial Narrow" w:hAnsi="Arial Narrow" w:cs="Arial"/>
                <w:sz w:val="16"/>
                <w:szCs w:val="16"/>
              </w:rPr>
              <w:t>1.326</w:t>
            </w:r>
          </w:p>
        </w:tc>
      </w:tr>
      <w:tr w:rsidR="00CC0487" w:rsidRPr="00986945" w14:paraId="5FD04429" w14:textId="77777777" w:rsidTr="00DB6666">
        <w:trPr>
          <w:trHeight w:val="444"/>
          <w:jc w:val="center"/>
        </w:trPr>
        <w:tc>
          <w:tcPr>
            <w:tcW w:w="1488" w:type="dxa"/>
            <w:tcBorders>
              <w:top w:val="nil"/>
              <w:left w:val="nil"/>
              <w:bottom w:val="nil"/>
              <w:right w:val="nil"/>
            </w:tcBorders>
            <w:shd w:val="clear" w:color="auto" w:fill="auto"/>
            <w:hideMark/>
          </w:tcPr>
          <w:p w14:paraId="600663CC" w14:textId="77777777" w:rsidR="00CC0487" w:rsidRPr="00986945" w:rsidRDefault="00CC0487" w:rsidP="00DB6666">
            <w:pPr>
              <w:jc w:val="center"/>
              <w:rPr>
                <w:rFonts w:ascii="Arial Narrow" w:hAnsi="Arial Narrow" w:cstheme="majorHAnsi"/>
                <w:sz w:val="16"/>
                <w:szCs w:val="16"/>
              </w:rPr>
            </w:pPr>
            <w:r w:rsidRPr="00986945">
              <w:rPr>
                <w:rFonts w:ascii="Arial Narrow" w:hAnsi="Arial Narrow" w:cstheme="majorHAnsi"/>
                <w:sz w:val="16"/>
                <w:szCs w:val="16"/>
              </w:rPr>
              <w:t>1.2</w:t>
            </w:r>
          </w:p>
        </w:tc>
        <w:tc>
          <w:tcPr>
            <w:tcW w:w="5148" w:type="dxa"/>
            <w:tcBorders>
              <w:top w:val="nil"/>
              <w:left w:val="nil"/>
              <w:bottom w:val="nil"/>
              <w:right w:val="nil"/>
            </w:tcBorders>
            <w:shd w:val="clear" w:color="auto" w:fill="auto"/>
            <w:hideMark/>
          </w:tcPr>
          <w:p w14:paraId="702F61F9" w14:textId="77777777" w:rsidR="00CC0487" w:rsidRPr="00986945" w:rsidRDefault="00CC0487" w:rsidP="00DB6666">
            <w:pPr>
              <w:jc w:val="left"/>
              <w:rPr>
                <w:rFonts w:ascii="Arial Narrow" w:hAnsi="Arial Narrow" w:cstheme="majorHAnsi"/>
                <w:sz w:val="16"/>
                <w:szCs w:val="16"/>
              </w:rPr>
            </w:pPr>
            <w:r w:rsidRPr="00986945">
              <w:rPr>
                <w:rFonts w:ascii="Arial Narrow" w:hAnsi="Arial Narrow" w:cstheme="majorHAnsi"/>
                <w:sz w:val="16"/>
                <w:szCs w:val="16"/>
              </w:rPr>
              <w:t>Ausarbeitung von Rechtsvorschriften zum Sortenschutz gemäß der Akte von 1991 des UPOV-Übereinkommens</w:t>
            </w:r>
          </w:p>
        </w:tc>
        <w:tc>
          <w:tcPr>
            <w:tcW w:w="1624" w:type="dxa"/>
            <w:tcBorders>
              <w:top w:val="nil"/>
              <w:left w:val="nil"/>
              <w:bottom w:val="nil"/>
              <w:right w:val="nil"/>
            </w:tcBorders>
            <w:shd w:val="clear" w:color="auto" w:fill="auto"/>
            <w:hideMark/>
          </w:tcPr>
          <w:p w14:paraId="64CE77A1" w14:textId="77777777" w:rsidR="00CC0487" w:rsidRPr="00986945" w:rsidRDefault="00CC0487" w:rsidP="00DB6666">
            <w:pPr>
              <w:jc w:val="center"/>
              <w:rPr>
                <w:rFonts w:ascii="Arial Narrow" w:hAnsi="Arial Narrow" w:cstheme="majorHAnsi"/>
                <w:sz w:val="16"/>
                <w:szCs w:val="16"/>
              </w:rPr>
            </w:pPr>
            <w:r w:rsidRPr="00986945">
              <w:rPr>
                <w:rFonts w:ascii="Arial Narrow" w:hAnsi="Arial Narrow" w:cs="Arial"/>
                <w:sz w:val="16"/>
                <w:szCs w:val="16"/>
              </w:rPr>
              <w:t>309</w:t>
            </w:r>
          </w:p>
        </w:tc>
      </w:tr>
      <w:tr w:rsidR="00CC0487" w:rsidRPr="00986945" w14:paraId="73AB377C" w14:textId="77777777" w:rsidTr="00DB6666">
        <w:trPr>
          <w:trHeight w:val="282"/>
          <w:jc w:val="center"/>
        </w:trPr>
        <w:tc>
          <w:tcPr>
            <w:tcW w:w="1488" w:type="dxa"/>
            <w:tcBorders>
              <w:top w:val="nil"/>
              <w:left w:val="nil"/>
              <w:bottom w:val="nil"/>
              <w:right w:val="nil"/>
            </w:tcBorders>
            <w:shd w:val="clear" w:color="auto" w:fill="auto"/>
            <w:hideMark/>
          </w:tcPr>
          <w:p w14:paraId="53D3CF94" w14:textId="77777777" w:rsidR="00CC0487" w:rsidRPr="00986945" w:rsidRDefault="00CC0487" w:rsidP="00DB6666">
            <w:pPr>
              <w:jc w:val="center"/>
              <w:rPr>
                <w:rFonts w:ascii="Arial Narrow" w:hAnsi="Arial Narrow" w:cstheme="majorHAnsi"/>
                <w:sz w:val="16"/>
                <w:szCs w:val="16"/>
              </w:rPr>
            </w:pPr>
            <w:r w:rsidRPr="00986945">
              <w:rPr>
                <w:rFonts w:ascii="Arial Narrow" w:hAnsi="Arial Narrow" w:cstheme="majorHAnsi"/>
                <w:sz w:val="16"/>
                <w:szCs w:val="16"/>
              </w:rPr>
              <w:t>2.1</w:t>
            </w:r>
          </w:p>
        </w:tc>
        <w:tc>
          <w:tcPr>
            <w:tcW w:w="5148" w:type="dxa"/>
            <w:tcBorders>
              <w:top w:val="nil"/>
              <w:left w:val="nil"/>
              <w:bottom w:val="nil"/>
              <w:right w:val="nil"/>
            </w:tcBorders>
            <w:shd w:val="clear" w:color="auto" w:fill="auto"/>
            <w:hideMark/>
          </w:tcPr>
          <w:p w14:paraId="7FCF562D" w14:textId="77777777" w:rsidR="00CC0487" w:rsidRPr="00986945" w:rsidRDefault="00CC0487" w:rsidP="00DB6666">
            <w:pPr>
              <w:jc w:val="left"/>
              <w:rPr>
                <w:rFonts w:ascii="Arial Narrow" w:hAnsi="Arial Narrow" w:cstheme="majorHAnsi"/>
                <w:sz w:val="16"/>
                <w:szCs w:val="16"/>
              </w:rPr>
            </w:pPr>
            <w:r w:rsidRPr="00986945">
              <w:rPr>
                <w:rFonts w:ascii="Arial Narrow" w:hAnsi="Arial Narrow" w:cstheme="majorHAnsi"/>
                <w:sz w:val="16"/>
                <w:szCs w:val="16"/>
              </w:rPr>
              <w:t>Stärkeres Bewusstsein für die Rolle des UPOV-Systems</w:t>
            </w:r>
          </w:p>
        </w:tc>
        <w:tc>
          <w:tcPr>
            <w:tcW w:w="1624" w:type="dxa"/>
            <w:tcBorders>
              <w:top w:val="nil"/>
              <w:left w:val="nil"/>
              <w:bottom w:val="nil"/>
              <w:right w:val="nil"/>
            </w:tcBorders>
            <w:shd w:val="clear" w:color="auto" w:fill="auto"/>
            <w:hideMark/>
          </w:tcPr>
          <w:p w14:paraId="5029EE63" w14:textId="77777777" w:rsidR="00CC0487" w:rsidRPr="00986945" w:rsidRDefault="00CC0487" w:rsidP="00DB6666">
            <w:pPr>
              <w:jc w:val="center"/>
              <w:rPr>
                <w:rFonts w:ascii="Arial Narrow" w:hAnsi="Arial Narrow" w:cstheme="majorHAnsi"/>
                <w:sz w:val="16"/>
                <w:szCs w:val="16"/>
              </w:rPr>
            </w:pPr>
            <w:r w:rsidRPr="00986945">
              <w:rPr>
                <w:rFonts w:ascii="Arial Narrow" w:hAnsi="Arial Narrow" w:cs="Arial"/>
                <w:sz w:val="16"/>
                <w:szCs w:val="16"/>
              </w:rPr>
              <w:t>344</w:t>
            </w:r>
          </w:p>
        </w:tc>
      </w:tr>
      <w:tr w:rsidR="00CC0487" w:rsidRPr="00986945" w14:paraId="54D76CBE" w14:textId="77777777" w:rsidTr="00DB6666">
        <w:trPr>
          <w:trHeight w:val="264"/>
          <w:jc w:val="center"/>
        </w:trPr>
        <w:tc>
          <w:tcPr>
            <w:tcW w:w="1488" w:type="dxa"/>
            <w:tcBorders>
              <w:top w:val="nil"/>
              <w:left w:val="nil"/>
              <w:bottom w:val="nil"/>
              <w:right w:val="nil"/>
            </w:tcBorders>
            <w:shd w:val="clear" w:color="auto" w:fill="auto"/>
            <w:hideMark/>
          </w:tcPr>
          <w:p w14:paraId="0A7C82FE" w14:textId="77777777" w:rsidR="00CC0487" w:rsidRPr="00986945" w:rsidRDefault="00CC0487" w:rsidP="00DB6666">
            <w:pPr>
              <w:jc w:val="center"/>
              <w:rPr>
                <w:rFonts w:ascii="Arial Narrow" w:hAnsi="Arial Narrow" w:cstheme="majorHAnsi"/>
                <w:sz w:val="16"/>
                <w:szCs w:val="16"/>
              </w:rPr>
            </w:pPr>
            <w:r w:rsidRPr="00986945">
              <w:rPr>
                <w:rFonts w:ascii="Arial Narrow" w:hAnsi="Arial Narrow" w:cstheme="majorHAnsi"/>
                <w:sz w:val="16"/>
                <w:szCs w:val="16"/>
              </w:rPr>
              <w:t>2.2</w:t>
            </w:r>
          </w:p>
        </w:tc>
        <w:tc>
          <w:tcPr>
            <w:tcW w:w="5148" w:type="dxa"/>
            <w:tcBorders>
              <w:top w:val="nil"/>
              <w:left w:val="nil"/>
              <w:bottom w:val="nil"/>
              <w:right w:val="nil"/>
            </w:tcBorders>
            <w:shd w:val="clear" w:color="auto" w:fill="auto"/>
            <w:hideMark/>
          </w:tcPr>
          <w:p w14:paraId="65B9EFF6" w14:textId="77777777" w:rsidR="00CC0487" w:rsidRPr="00986945" w:rsidRDefault="00CC0487" w:rsidP="00DB6666">
            <w:pPr>
              <w:jc w:val="left"/>
              <w:rPr>
                <w:rFonts w:ascii="Arial Narrow" w:hAnsi="Arial Narrow" w:cstheme="majorHAnsi"/>
                <w:sz w:val="16"/>
                <w:szCs w:val="16"/>
              </w:rPr>
            </w:pPr>
            <w:r w:rsidRPr="00986945">
              <w:rPr>
                <w:rFonts w:ascii="Arial Narrow" w:hAnsi="Arial Narrow" w:cstheme="majorHAnsi"/>
                <w:sz w:val="16"/>
                <w:szCs w:val="16"/>
              </w:rPr>
              <w:t>Anleitung und Unterstützung zum UPOV-Übereinkommen und seiner Umsetzung</w:t>
            </w:r>
          </w:p>
        </w:tc>
        <w:tc>
          <w:tcPr>
            <w:tcW w:w="1624" w:type="dxa"/>
            <w:tcBorders>
              <w:top w:val="nil"/>
              <w:left w:val="nil"/>
              <w:bottom w:val="nil"/>
              <w:right w:val="nil"/>
            </w:tcBorders>
            <w:shd w:val="clear" w:color="auto" w:fill="auto"/>
            <w:hideMark/>
          </w:tcPr>
          <w:p w14:paraId="29379838" w14:textId="77777777" w:rsidR="00CC0487" w:rsidRPr="00986945" w:rsidRDefault="00CC0487" w:rsidP="00DB6666">
            <w:pPr>
              <w:jc w:val="center"/>
              <w:rPr>
                <w:rFonts w:ascii="Arial Narrow" w:hAnsi="Arial Narrow" w:cstheme="majorHAnsi"/>
                <w:sz w:val="16"/>
                <w:szCs w:val="16"/>
              </w:rPr>
            </w:pPr>
            <w:r w:rsidRPr="00986945">
              <w:rPr>
                <w:rFonts w:ascii="Arial Narrow" w:hAnsi="Arial Narrow" w:cs="Arial"/>
                <w:sz w:val="16"/>
                <w:szCs w:val="16"/>
              </w:rPr>
              <w:t>2.856</w:t>
            </w:r>
          </w:p>
        </w:tc>
      </w:tr>
      <w:tr w:rsidR="00CC0487" w:rsidRPr="00986945" w14:paraId="16FEB394" w14:textId="77777777" w:rsidTr="00DB6666">
        <w:trPr>
          <w:trHeight w:val="273"/>
          <w:jc w:val="center"/>
        </w:trPr>
        <w:tc>
          <w:tcPr>
            <w:tcW w:w="1488" w:type="dxa"/>
            <w:tcBorders>
              <w:top w:val="nil"/>
              <w:left w:val="nil"/>
              <w:bottom w:val="nil"/>
              <w:right w:val="nil"/>
            </w:tcBorders>
            <w:shd w:val="clear" w:color="auto" w:fill="auto"/>
            <w:hideMark/>
          </w:tcPr>
          <w:p w14:paraId="67738B0A" w14:textId="77777777" w:rsidR="00CC0487" w:rsidRPr="00986945" w:rsidRDefault="00CC0487" w:rsidP="00DB6666">
            <w:pPr>
              <w:jc w:val="center"/>
              <w:rPr>
                <w:rFonts w:ascii="Arial Narrow" w:hAnsi="Arial Narrow" w:cstheme="majorHAnsi"/>
                <w:sz w:val="16"/>
                <w:szCs w:val="16"/>
              </w:rPr>
            </w:pPr>
            <w:r w:rsidRPr="00986945">
              <w:rPr>
                <w:rFonts w:ascii="Arial Narrow" w:hAnsi="Arial Narrow" w:cstheme="majorHAnsi"/>
                <w:sz w:val="16"/>
                <w:szCs w:val="16"/>
              </w:rPr>
              <w:t>2.3</w:t>
            </w:r>
          </w:p>
        </w:tc>
        <w:tc>
          <w:tcPr>
            <w:tcW w:w="5148" w:type="dxa"/>
            <w:tcBorders>
              <w:top w:val="nil"/>
              <w:left w:val="nil"/>
              <w:bottom w:val="nil"/>
              <w:right w:val="nil"/>
            </w:tcBorders>
            <w:shd w:val="clear" w:color="auto" w:fill="auto"/>
            <w:hideMark/>
          </w:tcPr>
          <w:p w14:paraId="56A9EC8D" w14:textId="77777777" w:rsidR="00CC0487" w:rsidRPr="00986945" w:rsidRDefault="00CC0487" w:rsidP="00DB6666">
            <w:pPr>
              <w:jc w:val="left"/>
              <w:rPr>
                <w:rFonts w:ascii="Arial Narrow" w:hAnsi="Arial Narrow" w:cstheme="majorHAnsi"/>
                <w:sz w:val="16"/>
                <w:szCs w:val="16"/>
              </w:rPr>
            </w:pPr>
            <w:r w:rsidRPr="00986945">
              <w:rPr>
                <w:rFonts w:ascii="Arial Narrow" w:hAnsi="Arial Narrow" w:cstheme="majorHAnsi"/>
                <w:sz w:val="16"/>
                <w:szCs w:val="16"/>
              </w:rPr>
              <w:t>Verstärkte Harmonisierung und Zusammenarbeit bei Prüfungen</w:t>
            </w:r>
          </w:p>
        </w:tc>
        <w:tc>
          <w:tcPr>
            <w:tcW w:w="1624" w:type="dxa"/>
            <w:tcBorders>
              <w:top w:val="nil"/>
              <w:left w:val="nil"/>
              <w:bottom w:val="nil"/>
              <w:right w:val="nil"/>
            </w:tcBorders>
            <w:shd w:val="clear" w:color="auto" w:fill="auto"/>
            <w:hideMark/>
          </w:tcPr>
          <w:p w14:paraId="4FE4C8F8" w14:textId="77777777" w:rsidR="00CC0487" w:rsidRPr="00986945" w:rsidRDefault="00CC0487" w:rsidP="00DB6666">
            <w:pPr>
              <w:jc w:val="center"/>
              <w:rPr>
                <w:rFonts w:ascii="Arial Narrow" w:hAnsi="Arial Narrow" w:cstheme="majorHAnsi"/>
                <w:sz w:val="16"/>
                <w:szCs w:val="16"/>
              </w:rPr>
            </w:pPr>
            <w:r w:rsidRPr="00986945">
              <w:rPr>
                <w:rFonts w:ascii="Arial Narrow" w:hAnsi="Arial Narrow" w:cs="Arial"/>
                <w:sz w:val="16"/>
                <w:szCs w:val="16"/>
              </w:rPr>
              <w:t>700</w:t>
            </w:r>
          </w:p>
        </w:tc>
      </w:tr>
      <w:tr w:rsidR="00CC0487" w:rsidRPr="00986945" w14:paraId="5EE1A574" w14:textId="77777777" w:rsidTr="00DB6666">
        <w:trPr>
          <w:trHeight w:val="273"/>
          <w:jc w:val="center"/>
        </w:trPr>
        <w:tc>
          <w:tcPr>
            <w:tcW w:w="1488" w:type="dxa"/>
            <w:tcBorders>
              <w:top w:val="nil"/>
              <w:left w:val="nil"/>
              <w:bottom w:val="nil"/>
              <w:right w:val="nil"/>
            </w:tcBorders>
            <w:shd w:val="clear" w:color="auto" w:fill="auto"/>
            <w:hideMark/>
          </w:tcPr>
          <w:p w14:paraId="443BF44E" w14:textId="77777777" w:rsidR="00CC0487" w:rsidRPr="00986945" w:rsidRDefault="00CC0487" w:rsidP="00DB6666">
            <w:pPr>
              <w:jc w:val="center"/>
              <w:rPr>
                <w:rFonts w:ascii="Arial Narrow" w:hAnsi="Arial Narrow" w:cstheme="majorHAnsi"/>
                <w:sz w:val="16"/>
                <w:szCs w:val="16"/>
              </w:rPr>
            </w:pPr>
            <w:r w:rsidRPr="00986945">
              <w:rPr>
                <w:rFonts w:ascii="Arial Narrow" w:hAnsi="Arial Narrow" w:cstheme="majorHAnsi"/>
                <w:sz w:val="16"/>
                <w:szCs w:val="16"/>
              </w:rPr>
              <w:t>3.1</w:t>
            </w:r>
          </w:p>
        </w:tc>
        <w:tc>
          <w:tcPr>
            <w:tcW w:w="5148" w:type="dxa"/>
            <w:tcBorders>
              <w:top w:val="nil"/>
              <w:left w:val="nil"/>
              <w:bottom w:val="nil"/>
              <w:right w:val="nil"/>
            </w:tcBorders>
            <w:shd w:val="clear" w:color="auto" w:fill="auto"/>
            <w:hideMark/>
          </w:tcPr>
          <w:p w14:paraId="4B182F60" w14:textId="77777777" w:rsidR="00CC0487" w:rsidRPr="00986945" w:rsidRDefault="00CC0487" w:rsidP="00DB6666">
            <w:pPr>
              <w:jc w:val="left"/>
              <w:rPr>
                <w:rFonts w:ascii="Arial Narrow" w:hAnsi="Arial Narrow" w:cstheme="majorHAnsi"/>
                <w:sz w:val="16"/>
                <w:szCs w:val="16"/>
              </w:rPr>
            </w:pPr>
            <w:r w:rsidRPr="00986945">
              <w:rPr>
                <w:rFonts w:ascii="Arial Narrow" w:hAnsi="Arial Narrow" w:cstheme="majorHAnsi"/>
                <w:sz w:val="16"/>
                <w:szCs w:val="16"/>
              </w:rPr>
              <w:t>Entwicklung von UPOV e-PVP-Diensten</w:t>
            </w:r>
          </w:p>
        </w:tc>
        <w:tc>
          <w:tcPr>
            <w:tcW w:w="1624" w:type="dxa"/>
            <w:tcBorders>
              <w:top w:val="nil"/>
              <w:left w:val="nil"/>
              <w:bottom w:val="nil"/>
              <w:right w:val="nil"/>
            </w:tcBorders>
            <w:shd w:val="clear" w:color="auto" w:fill="auto"/>
            <w:hideMark/>
          </w:tcPr>
          <w:p w14:paraId="79DE43F2" w14:textId="77777777" w:rsidR="00CC0487" w:rsidRPr="00986945" w:rsidRDefault="00CC0487" w:rsidP="00DB6666">
            <w:pPr>
              <w:jc w:val="center"/>
              <w:rPr>
                <w:rFonts w:ascii="Arial Narrow" w:hAnsi="Arial Narrow" w:cstheme="majorHAnsi"/>
                <w:sz w:val="16"/>
                <w:szCs w:val="16"/>
              </w:rPr>
            </w:pPr>
            <w:r w:rsidRPr="00986945">
              <w:rPr>
                <w:rFonts w:ascii="Arial Narrow" w:hAnsi="Arial Narrow" w:cs="Arial"/>
                <w:sz w:val="16"/>
                <w:szCs w:val="16"/>
              </w:rPr>
              <w:t>873</w:t>
            </w:r>
          </w:p>
        </w:tc>
      </w:tr>
      <w:tr w:rsidR="00CC0487" w:rsidRPr="00986945" w14:paraId="34AD6D51" w14:textId="77777777" w:rsidTr="00DB6666">
        <w:trPr>
          <w:trHeight w:val="264"/>
          <w:jc w:val="center"/>
        </w:trPr>
        <w:tc>
          <w:tcPr>
            <w:tcW w:w="1488" w:type="dxa"/>
            <w:tcBorders>
              <w:top w:val="nil"/>
              <w:left w:val="nil"/>
              <w:bottom w:val="nil"/>
              <w:right w:val="nil"/>
            </w:tcBorders>
            <w:shd w:val="clear" w:color="auto" w:fill="auto"/>
            <w:hideMark/>
          </w:tcPr>
          <w:p w14:paraId="11954DCD" w14:textId="77777777" w:rsidR="00CC0487" w:rsidRPr="00986945" w:rsidRDefault="00CC0487" w:rsidP="00DB6666">
            <w:pPr>
              <w:jc w:val="center"/>
              <w:rPr>
                <w:rFonts w:ascii="Arial Narrow" w:hAnsi="Arial Narrow" w:cstheme="majorHAnsi"/>
                <w:sz w:val="16"/>
                <w:szCs w:val="16"/>
              </w:rPr>
            </w:pPr>
            <w:r w:rsidRPr="00986945">
              <w:rPr>
                <w:rFonts w:ascii="Arial Narrow" w:hAnsi="Arial Narrow" w:cstheme="majorHAnsi"/>
                <w:sz w:val="16"/>
                <w:szCs w:val="16"/>
              </w:rPr>
              <w:t>4.1</w:t>
            </w:r>
          </w:p>
        </w:tc>
        <w:tc>
          <w:tcPr>
            <w:tcW w:w="5148" w:type="dxa"/>
            <w:tcBorders>
              <w:top w:val="nil"/>
              <w:left w:val="nil"/>
              <w:bottom w:val="nil"/>
              <w:right w:val="nil"/>
            </w:tcBorders>
            <w:shd w:val="clear" w:color="auto" w:fill="auto"/>
            <w:hideMark/>
          </w:tcPr>
          <w:p w14:paraId="27D67236" w14:textId="77777777" w:rsidR="00CC0487" w:rsidRPr="00986945" w:rsidRDefault="00CC0487" w:rsidP="00DB6666">
            <w:pPr>
              <w:jc w:val="left"/>
              <w:rPr>
                <w:rFonts w:ascii="Arial Narrow" w:hAnsi="Arial Narrow" w:cstheme="majorHAnsi"/>
                <w:sz w:val="16"/>
                <w:szCs w:val="16"/>
              </w:rPr>
            </w:pPr>
            <w:r w:rsidRPr="00986945">
              <w:rPr>
                <w:rFonts w:ascii="Arial Narrow" w:hAnsi="Arial Narrow" w:cstheme="majorHAnsi"/>
                <w:sz w:val="16"/>
                <w:szCs w:val="16"/>
              </w:rPr>
              <w:t>Diversifizierung der Einnahmen</w:t>
            </w:r>
          </w:p>
        </w:tc>
        <w:tc>
          <w:tcPr>
            <w:tcW w:w="1624" w:type="dxa"/>
            <w:tcBorders>
              <w:top w:val="nil"/>
              <w:left w:val="nil"/>
              <w:bottom w:val="nil"/>
              <w:right w:val="nil"/>
            </w:tcBorders>
            <w:shd w:val="clear" w:color="auto" w:fill="auto"/>
            <w:hideMark/>
          </w:tcPr>
          <w:p w14:paraId="68E8590E" w14:textId="77777777" w:rsidR="00CC0487" w:rsidRPr="00986945" w:rsidRDefault="00CC0487" w:rsidP="00DB6666">
            <w:pPr>
              <w:jc w:val="center"/>
              <w:rPr>
                <w:rFonts w:ascii="Arial Narrow" w:hAnsi="Arial Narrow" w:cstheme="majorHAnsi"/>
                <w:sz w:val="16"/>
                <w:szCs w:val="16"/>
              </w:rPr>
            </w:pPr>
            <w:r w:rsidRPr="00986945">
              <w:rPr>
                <w:rFonts w:ascii="Arial Narrow" w:hAnsi="Arial Narrow" w:cs="Arial"/>
                <w:sz w:val="16"/>
                <w:szCs w:val="16"/>
              </w:rPr>
              <w:t>241</w:t>
            </w:r>
          </w:p>
        </w:tc>
      </w:tr>
      <w:tr w:rsidR="00CC0487" w:rsidRPr="00986945" w14:paraId="71602F50" w14:textId="77777777" w:rsidTr="00DB6666">
        <w:trPr>
          <w:trHeight w:val="600"/>
          <w:jc w:val="center"/>
        </w:trPr>
        <w:tc>
          <w:tcPr>
            <w:tcW w:w="1488" w:type="dxa"/>
            <w:tcBorders>
              <w:top w:val="nil"/>
              <w:left w:val="nil"/>
              <w:bottom w:val="nil"/>
              <w:right w:val="nil"/>
            </w:tcBorders>
            <w:shd w:val="clear" w:color="auto" w:fill="auto"/>
            <w:hideMark/>
          </w:tcPr>
          <w:p w14:paraId="7C47803C" w14:textId="77777777" w:rsidR="00CC0487" w:rsidRPr="00986945" w:rsidRDefault="00CC0487" w:rsidP="00DB6666">
            <w:pPr>
              <w:jc w:val="center"/>
              <w:rPr>
                <w:rFonts w:ascii="Arial Narrow" w:hAnsi="Arial Narrow" w:cstheme="majorHAnsi"/>
                <w:sz w:val="16"/>
                <w:szCs w:val="16"/>
              </w:rPr>
            </w:pPr>
            <w:r w:rsidRPr="00986945">
              <w:rPr>
                <w:rFonts w:ascii="Arial Narrow" w:hAnsi="Arial Narrow" w:cstheme="majorHAnsi"/>
                <w:sz w:val="16"/>
                <w:szCs w:val="16"/>
              </w:rPr>
              <w:t>4.2</w:t>
            </w:r>
          </w:p>
        </w:tc>
        <w:tc>
          <w:tcPr>
            <w:tcW w:w="5148" w:type="dxa"/>
            <w:tcBorders>
              <w:top w:val="nil"/>
              <w:left w:val="nil"/>
              <w:bottom w:val="nil"/>
              <w:right w:val="nil"/>
            </w:tcBorders>
            <w:shd w:val="clear" w:color="auto" w:fill="auto"/>
            <w:hideMark/>
          </w:tcPr>
          <w:p w14:paraId="5E0F6665" w14:textId="77777777" w:rsidR="00CC0487" w:rsidRPr="00986945" w:rsidRDefault="00CC0487" w:rsidP="00DB6666">
            <w:pPr>
              <w:jc w:val="left"/>
              <w:rPr>
                <w:rFonts w:ascii="Arial Narrow" w:hAnsi="Arial Narrow" w:cstheme="majorHAnsi"/>
                <w:sz w:val="16"/>
                <w:szCs w:val="16"/>
              </w:rPr>
            </w:pPr>
            <w:r w:rsidRPr="00986945">
              <w:rPr>
                <w:rFonts w:ascii="Arial Narrow" w:hAnsi="Arial Narrow" w:cstheme="majorHAnsi"/>
                <w:sz w:val="16"/>
                <w:szCs w:val="16"/>
              </w:rPr>
              <w:t>Ein Sekretariat, das über die erforderlichen Befugnisse und die richtigen Ressourcen und Schulungen verfügt, um effizient, kooperativ und innovativ zu arbeiten</w:t>
            </w:r>
          </w:p>
        </w:tc>
        <w:tc>
          <w:tcPr>
            <w:tcW w:w="1624" w:type="dxa"/>
            <w:tcBorders>
              <w:top w:val="nil"/>
              <w:left w:val="nil"/>
              <w:bottom w:val="nil"/>
              <w:right w:val="nil"/>
            </w:tcBorders>
            <w:shd w:val="clear" w:color="auto" w:fill="auto"/>
            <w:hideMark/>
          </w:tcPr>
          <w:p w14:paraId="0FD8206A" w14:textId="77777777" w:rsidR="00CC0487" w:rsidRPr="00986945" w:rsidRDefault="00CC0487" w:rsidP="00DB6666">
            <w:pPr>
              <w:jc w:val="center"/>
              <w:rPr>
                <w:rFonts w:ascii="Arial Narrow" w:hAnsi="Arial Narrow" w:cstheme="majorHAnsi"/>
                <w:sz w:val="16"/>
                <w:szCs w:val="16"/>
              </w:rPr>
            </w:pPr>
            <w:r w:rsidRPr="00986945">
              <w:rPr>
                <w:rFonts w:ascii="Arial Narrow" w:hAnsi="Arial Narrow" w:cs="Arial"/>
                <w:sz w:val="16"/>
                <w:szCs w:val="16"/>
              </w:rPr>
              <w:t>1.252</w:t>
            </w:r>
          </w:p>
        </w:tc>
      </w:tr>
      <w:tr w:rsidR="00CC0487" w:rsidRPr="00986945" w14:paraId="63744F7B" w14:textId="77777777" w:rsidTr="00DB6666">
        <w:trPr>
          <w:trHeight w:val="61"/>
          <w:jc w:val="center"/>
        </w:trPr>
        <w:tc>
          <w:tcPr>
            <w:tcW w:w="1488" w:type="dxa"/>
            <w:tcBorders>
              <w:top w:val="nil"/>
              <w:left w:val="nil"/>
              <w:bottom w:val="nil"/>
              <w:right w:val="nil"/>
            </w:tcBorders>
            <w:shd w:val="clear" w:color="auto" w:fill="auto"/>
            <w:vAlign w:val="bottom"/>
            <w:hideMark/>
          </w:tcPr>
          <w:p w14:paraId="120401BB" w14:textId="77777777" w:rsidR="00CC0487" w:rsidRPr="00986945" w:rsidRDefault="00CC0487" w:rsidP="00DB6666">
            <w:pPr>
              <w:jc w:val="right"/>
              <w:rPr>
                <w:rFonts w:ascii="Arial Narrow" w:hAnsi="Arial Narrow" w:cstheme="majorHAnsi"/>
                <w:sz w:val="16"/>
                <w:szCs w:val="16"/>
              </w:rPr>
            </w:pPr>
          </w:p>
        </w:tc>
        <w:tc>
          <w:tcPr>
            <w:tcW w:w="5148" w:type="dxa"/>
            <w:tcBorders>
              <w:top w:val="nil"/>
              <w:left w:val="nil"/>
              <w:bottom w:val="nil"/>
              <w:right w:val="nil"/>
            </w:tcBorders>
            <w:shd w:val="clear" w:color="auto" w:fill="auto"/>
            <w:vAlign w:val="bottom"/>
            <w:hideMark/>
          </w:tcPr>
          <w:p w14:paraId="3EC32B8A" w14:textId="77777777" w:rsidR="00CC0487" w:rsidRPr="00986945" w:rsidRDefault="00CC0487" w:rsidP="00DB6666">
            <w:pPr>
              <w:jc w:val="left"/>
              <w:rPr>
                <w:rFonts w:ascii="Arial Narrow" w:hAnsi="Arial Narrow" w:cstheme="majorHAnsi"/>
                <w:sz w:val="16"/>
                <w:szCs w:val="16"/>
              </w:rPr>
            </w:pPr>
          </w:p>
        </w:tc>
        <w:tc>
          <w:tcPr>
            <w:tcW w:w="1624" w:type="dxa"/>
            <w:tcBorders>
              <w:top w:val="nil"/>
              <w:left w:val="nil"/>
              <w:bottom w:val="nil"/>
              <w:right w:val="nil"/>
            </w:tcBorders>
            <w:shd w:val="clear" w:color="auto" w:fill="auto"/>
            <w:vAlign w:val="bottom"/>
            <w:hideMark/>
          </w:tcPr>
          <w:p w14:paraId="606A2758" w14:textId="77777777" w:rsidR="00CC0487" w:rsidRPr="00986945" w:rsidRDefault="00CC0487" w:rsidP="00DB6666">
            <w:pPr>
              <w:jc w:val="center"/>
              <w:rPr>
                <w:rFonts w:ascii="Arial Narrow" w:hAnsi="Arial Narrow" w:cstheme="majorHAnsi"/>
                <w:sz w:val="16"/>
                <w:szCs w:val="16"/>
              </w:rPr>
            </w:pPr>
          </w:p>
        </w:tc>
      </w:tr>
      <w:tr w:rsidR="00CC0487" w:rsidRPr="00986945" w14:paraId="347E426F" w14:textId="77777777" w:rsidTr="00DB6666">
        <w:trPr>
          <w:trHeight w:val="345"/>
          <w:jc w:val="center"/>
        </w:trPr>
        <w:tc>
          <w:tcPr>
            <w:tcW w:w="1488" w:type="dxa"/>
            <w:tcBorders>
              <w:top w:val="single" w:sz="4" w:space="0" w:color="AAB8C4"/>
              <w:left w:val="nil"/>
              <w:bottom w:val="single" w:sz="8" w:space="0" w:color="AAB8C4"/>
              <w:right w:val="nil"/>
            </w:tcBorders>
            <w:shd w:val="clear" w:color="auto" w:fill="auto"/>
            <w:vAlign w:val="center"/>
            <w:hideMark/>
          </w:tcPr>
          <w:p w14:paraId="001A0CD6" w14:textId="77777777" w:rsidR="00CC0487" w:rsidRPr="00986945" w:rsidRDefault="00CC0487" w:rsidP="00DB6666">
            <w:pPr>
              <w:ind w:firstLineChars="200" w:firstLine="321"/>
              <w:jc w:val="left"/>
              <w:rPr>
                <w:rFonts w:ascii="Arial Narrow" w:hAnsi="Arial Narrow" w:cstheme="majorHAnsi"/>
                <w:b/>
                <w:bCs/>
                <w:sz w:val="16"/>
                <w:szCs w:val="16"/>
              </w:rPr>
            </w:pPr>
            <w:r w:rsidRPr="00986945">
              <w:rPr>
                <w:rFonts w:ascii="Arial Narrow" w:hAnsi="Arial Narrow" w:cstheme="majorHAnsi"/>
                <w:b/>
                <w:bCs/>
                <w:sz w:val="16"/>
                <w:szCs w:val="16"/>
              </w:rPr>
              <w:t>INSGESAMT</w:t>
            </w:r>
          </w:p>
        </w:tc>
        <w:tc>
          <w:tcPr>
            <w:tcW w:w="5148" w:type="dxa"/>
            <w:tcBorders>
              <w:top w:val="single" w:sz="4" w:space="0" w:color="AAB8C4"/>
              <w:left w:val="nil"/>
              <w:bottom w:val="single" w:sz="8" w:space="0" w:color="AAB8C4"/>
              <w:right w:val="nil"/>
            </w:tcBorders>
            <w:shd w:val="clear" w:color="auto" w:fill="auto"/>
            <w:vAlign w:val="center"/>
            <w:hideMark/>
          </w:tcPr>
          <w:p w14:paraId="026B177B" w14:textId="77777777" w:rsidR="00CC0487" w:rsidRPr="00986945" w:rsidRDefault="00CC0487" w:rsidP="00DB6666">
            <w:pPr>
              <w:jc w:val="left"/>
              <w:rPr>
                <w:rFonts w:ascii="Arial Narrow" w:hAnsi="Arial Narrow" w:cstheme="majorHAnsi"/>
                <w:b/>
                <w:bCs/>
                <w:sz w:val="16"/>
                <w:szCs w:val="16"/>
              </w:rPr>
            </w:pPr>
            <w:r w:rsidRPr="00986945">
              <w:rPr>
                <w:rFonts w:ascii="Arial Narrow" w:hAnsi="Arial Narrow" w:cstheme="majorHAnsi"/>
                <w:b/>
                <w:bCs/>
                <w:sz w:val="16"/>
                <w:szCs w:val="16"/>
              </w:rPr>
              <w:t> </w:t>
            </w:r>
          </w:p>
        </w:tc>
        <w:tc>
          <w:tcPr>
            <w:tcW w:w="1624" w:type="dxa"/>
            <w:tcBorders>
              <w:top w:val="single" w:sz="4" w:space="0" w:color="AAB8C4"/>
              <w:left w:val="nil"/>
              <w:bottom w:val="single" w:sz="8" w:space="0" w:color="AAB8C4"/>
              <w:right w:val="nil"/>
            </w:tcBorders>
            <w:shd w:val="clear" w:color="auto" w:fill="auto"/>
            <w:vAlign w:val="center"/>
            <w:hideMark/>
          </w:tcPr>
          <w:p w14:paraId="617083D4" w14:textId="77777777" w:rsidR="00CC0487" w:rsidRPr="00986945" w:rsidRDefault="00CC0487" w:rsidP="00DB6666">
            <w:pPr>
              <w:jc w:val="center"/>
              <w:rPr>
                <w:rFonts w:ascii="Arial Narrow" w:hAnsi="Arial Narrow" w:cstheme="majorHAnsi"/>
                <w:b/>
                <w:bCs/>
                <w:sz w:val="16"/>
                <w:szCs w:val="16"/>
              </w:rPr>
            </w:pPr>
            <w:r w:rsidRPr="00986945">
              <w:rPr>
                <w:rFonts w:ascii="Arial Narrow" w:hAnsi="Arial Narrow" w:cs="Arial"/>
                <w:b/>
                <w:bCs/>
                <w:sz w:val="16"/>
                <w:szCs w:val="16"/>
              </w:rPr>
              <w:t>7.901</w:t>
            </w:r>
          </w:p>
        </w:tc>
      </w:tr>
    </w:tbl>
    <w:p w14:paraId="6AC75B7D" w14:textId="77777777" w:rsidR="00CC0487" w:rsidRDefault="00CC0487" w:rsidP="00CC0487"/>
    <w:p w14:paraId="7D0DA8F7" w14:textId="77777777" w:rsidR="00CC0487" w:rsidRDefault="00CC0487" w:rsidP="00CC0487">
      <w:pPr>
        <w:jc w:val="left"/>
      </w:pPr>
      <w:r>
        <w:br w:type="page"/>
      </w:r>
    </w:p>
    <w:p w14:paraId="101814ED" w14:textId="77777777" w:rsidR="00CC0487" w:rsidRPr="007615BC" w:rsidRDefault="00CC0487" w:rsidP="00CC0487"/>
    <w:p w14:paraId="06E7920E" w14:textId="77777777" w:rsidR="00CC0487" w:rsidRPr="003E7026" w:rsidRDefault="00CC0487" w:rsidP="00CC0487">
      <w:pPr>
        <w:pStyle w:val="Heading1"/>
        <w:numPr>
          <w:ilvl w:val="0"/>
          <w:numId w:val="1"/>
        </w:numPr>
        <w:ind w:left="567" w:hanging="567"/>
        <w:rPr>
          <w:lang w:val="de-DE"/>
        </w:rPr>
      </w:pPr>
      <w:bookmarkStart w:id="479" w:name="_Toc128060737"/>
      <w:r w:rsidRPr="003E7026">
        <w:rPr>
          <w:lang w:val="de-DE"/>
        </w:rPr>
        <w:t>FINANZINDIKATOREN 2017-2026</w:t>
      </w:r>
      <w:bookmarkEnd w:id="479"/>
    </w:p>
    <w:p w14:paraId="7CDAE146" w14:textId="77777777" w:rsidR="00CC0487" w:rsidRPr="003E7026" w:rsidRDefault="00CC0487" w:rsidP="00CC0487"/>
    <w:p w14:paraId="7401317D" w14:textId="1A4EEAD9" w:rsidR="00CC0487" w:rsidRPr="003E7026" w:rsidRDefault="00C34358" w:rsidP="00CC0487">
      <w:pPr>
        <w:tabs>
          <w:tab w:val="left" w:pos="567"/>
        </w:tabs>
      </w:pPr>
      <w:r>
        <w:t xml:space="preserve">Das </w:t>
      </w:r>
      <w:r w:rsidR="00CC0487" w:rsidRPr="003E7026">
        <w:t xml:space="preserve">Programm und </w:t>
      </w:r>
      <w:r>
        <w:t xml:space="preserve">den </w:t>
      </w:r>
      <w:r w:rsidR="00CC0487" w:rsidRPr="003E7026">
        <w:t>Haushaltsplan für die Rechnungsperiode 2024-2025 umfassen eine Darstellung der Finanzindikatoren über einen Zeitraum von zehn Jahren, einschließlich zweier Jahre über die neue Rechnungsperiode hinaus, sowie Informationen aus der jüngsten Vergangenheit. Die Darstellung der Finanzindikatoren soll den vorgeschlagenen Haushaltsplan für die Rechnungsperiode 2024-2025 in einen Kontext stellen durch Angabe von Trends und Beurteilung der künftigen finanziellen Nachhaltigkeit. Diese Auskünfte werden erteilt, um den Verbandsmitgliedern die Überprüfung und Entscheidung bezüglich des vorgeschlagenen Programms und Haushaltsplans zu erleichtern, und sollten nicht als spezifisches finanzielles Engagement oder eine Billigung der Finanzen über das Jahr 2025 hinaus ausgelegt werden.</w:t>
      </w:r>
    </w:p>
    <w:p w14:paraId="6CD47A60" w14:textId="77777777" w:rsidR="00CC0487" w:rsidRPr="003E7026" w:rsidRDefault="00CC0487" w:rsidP="00CC0487">
      <w:pPr>
        <w:tabs>
          <w:tab w:val="left" w:pos="567"/>
        </w:tabs>
      </w:pPr>
    </w:p>
    <w:p w14:paraId="2E67995B" w14:textId="77777777" w:rsidR="00CC0487" w:rsidRPr="003E7026" w:rsidRDefault="00CC0487" w:rsidP="00CC0487">
      <w:pPr>
        <w:tabs>
          <w:tab w:val="left" w:pos="567"/>
        </w:tabs>
      </w:pPr>
      <w:r w:rsidRPr="003E7026">
        <w:t xml:space="preserve">Die voraussichtliche Entwicklung des ordentlichen Haushalts in Bezug auf Einnahmen, Ausgaben und Höhe des Reserve- und des Betriebsmittelfonds ist in Tabelle </w:t>
      </w:r>
      <w:r>
        <w:t>7</w:t>
      </w:r>
      <w:r w:rsidRPr="003E7026">
        <w:t xml:space="preserve"> und Abbildung 1 dargestellt.</w:t>
      </w:r>
    </w:p>
    <w:p w14:paraId="577301DD" w14:textId="77777777" w:rsidR="00CC0487" w:rsidRPr="003E7026" w:rsidRDefault="00CC0487" w:rsidP="00CC0487">
      <w:pPr>
        <w:rPr>
          <w:spacing w:val="-2"/>
          <w:szCs w:val="24"/>
        </w:rPr>
      </w:pPr>
    </w:p>
    <w:p w14:paraId="721B51E6" w14:textId="77777777" w:rsidR="00CC0487" w:rsidRPr="003E7026" w:rsidRDefault="00CC0487" w:rsidP="00CC0487">
      <w:pPr>
        <w:rPr>
          <w:spacing w:val="-2"/>
          <w:szCs w:val="24"/>
        </w:rPr>
      </w:pPr>
    </w:p>
    <w:p w14:paraId="1D21E3DC" w14:textId="77777777" w:rsidR="00CC0487" w:rsidRPr="003E7026" w:rsidRDefault="00CC0487" w:rsidP="00CC0487">
      <w:pPr>
        <w:jc w:val="center"/>
        <w:rPr>
          <w:rFonts w:cs="Arial"/>
          <w:i/>
          <w:iCs/>
          <w:sz w:val="18"/>
          <w:szCs w:val="18"/>
        </w:rPr>
      </w:pPr>
      <w:r w:rsidRPr="003E7026">
        <w:rPr>
          <w:rFonts w:cs="Arial"/>
          <w:b/>
          <w:bCs/>
          <w:color w:val="26724C" w:themeColor="accent1" w:themeShade="BF"/>
        </w:rPr>
        <w:t>Tabelle 7: Einnahmen, Ausgaben und Reserven für 2017-2026</w:t>
      </w:r>
      <w:r w:rsidRPr="003E7026">
        <w:rPr>
          <w:rFonts w:cs="Arial"/>
          <w:b/>
          <w:bCs/>
        </w:rPr>
        <w:br/>
      </w:r>
      <w:r w:rsidRPr="003E7026">
        <w:rPr>
          <w:rFonts w:cs="Arial"/>
          <w:i/>
          <w:iCs/>
          <w:sz w:val="18"/>
          <w:szCs w:val="18"/>
        </w:rPr>
        <w:t>(in tausend Schweizer Franken)</w:t>
      </w:r>
    </w:p>
    <w:p w14:paraId="382F39C7" w14:textId="77777777" w:rsidR="00CC0487" w:rsidRPr="003E7026" w:rsidRDefault="00CC0487" w:rsidP="00CC0487">
      <w:pPr>
        <w:jc w:val="center"/>
        <w:rPr>
          <w:spacing w:val="-2"/>
          <w:sz w:val="18"/>
          <w:szCs w:val="18"/>
        </w:rPr>
      </w:pPr>
    </w:p>
    <w:tbl>
      <w:tblPr>
        <w:tblW w:w="8126" w:type="dxa"/>
        <w:jc w:val="center"/>
        <w:tblLook w:val="04A0" w:firstRow="1" w:lastRow="0" w:firstColumn="1" w:lastColumn="0" w:noHBand="0" w:noVBand="1"/>
      </w:tblPr>
      <w:tblGrid>
        <w:gridCol w:w="2396"/>
        <w:gridCol w:w="1004"/>
        <w:gridCol w:w="1038"/>
        <w:gridCol w:w="1225"/>
        <w:gridCol w:w="1216"/>
        <w:gridCol w:w="1256"/>
      </w:tblGrid>
      <w:tr w:rsidR="00CC0487" w:rsidRPr="00986945" w14:paraId="058639CA" w14:textId="77777777" w:rsidTr="00DB6666">
        <w:trPr>
          <w:trHeight w:val="260"/>
          <w:jc w:val="center"/>
        </w:trPr>
        <w:tc>
          <w:tcPr>
            <w:tcW w:w="2396" w:type="dxa"/>
            <w:tcBorders>
              <w:top w:val="nil"/>
              <w:left w:val="nil"/>
              <w:right w:val="nil"/>
            </w:tcBorders>
            <w:shd w:val="clear" w:color="000000" w:fill="FFFFFF"/>
            <w:noWrap/>
            <w:vAlign w:val="bottom"/>
            <w:hideMark/>
          </w:tcPr>
          <w:p w14:paraId="06C84C61" w14:textId="77777777" w:rsidR="00CC0487" w:rsidRPr="00986945" w:rsidRDefault="00CC0487" w:rsidP="00DB6666">
            <w:pPr>
              <w:jc w:val="left"/>
              <w:rPr>
                <w:rFonts w:ascii="Arial Narrow" w:hAnsi="Arial Narrow" w:cs="Arial"/>
                <w:i/>
                <w:iCs/>
                <w:sz w:val="18"/>
                <w:szCs w:val="18"/>
              </w:rPr>
            </w:pPr>
            <w:r w:rsidRPr="00986945">
              <w:rPr>
                <w:rFonts w:ascii="Arial Narrow" w:hAnsi="Arial Narrow" w:cs="Arial"/>
                <w:i/>
                <w:iCs/>
                <w:sz w:val="18"/>
                <w:szCs w:val="18"/>
              </w:rPr>
              <w:t>Haushaltsgrundlage</w:t>
            </w:r>
          </w:p>
        </w:tc>
        <w:tc>
          <w:tcPr>
            <w:tcW w:w="1004" w:type="dxa"/>
            <w:tcBorders>
              <w:top w:val="nil"/>
              <w:left w:val="nil"/>
              <w:right w:val="nil"/>
            </w:tcBorders>
            <w:shd w:val="clear" w:color="000000" w:fill="FFFFFF"/>
            <w:noWrap/>
            <w:vAlign w:val="bottom"/>
            <w:hideMark/>
          </w:tcPr>
          <w:p w14:paraId="4D26EAD9" w14:textId="77777777" w:rsidR="00CC0487" w:rsidRPr="00986945" w:rsidRDefault="00CC0487" w:rsidP="00DB6666">
            <w:pPr>
              <w:jc w:val="left"/>
              <w:rPr>
                <w:rFonts w:ascii="Arial Narrow" w:hAnsi="Arial Narrow" w:cs="Arial"/>
                <w:sz w:val="18"/>
                <w:szCs w:val="18"/>
              </w:rPr>
            </w:pPr>
            <w:r w:rsidRPr="00986945">
              <w:rPr>
                <w:rFonts w:ascii="Arial Narrow" w:hAnsi="Arial Narrow" w:cs="Arial"/>
                <w:sz w:val="18"/>
                <w:szCs w:val="18"/>
              </w:rPr>
              <w:t> </w:t>
            </w:r>
          </w:p>
        </w:tc>
        <w:tc>
          <w:tcPr>
            <w:tcW w:w="1038" w:type="dxa"/>
            <w:tcBorders>
              <w:top w:val="nil"/>
              <w:left w:val="nil"/>
              <w:right w:val="nil"/>
            </w:tcBorders>
            <w:shd w:val="clear" w:color="000000" w:fill="FFFFFF"/>
            <w:noWrap/>
            <w:vAlign w:val="bottom"/>
            <w:hideMark/>
          </w:tcPr>
          <w:p w14:paraId="690C56DA" w14:textId="77777777" w:rsidR="00CC0487" w:rsidRPr="00986945" w:rsidRDefault="00CC0487" w:rsidP="00DB6666">
            <w:pPr>
              <w:jc w:val="left"/>
              <w:rPr>
                <w:rFonts w:ascii="Arial Narrow" w:hAnsi="Arial Narrow" w:cs="Arial"/>
                <w:sz w:val="18"/>
                <w:szCs w:val="18"/>
              </w:rPr>
            </w:pPr>
            <w:r w:rsidRPr="00986945">
              <w:rPr>
                <w:rFonts w:ascii="Arial Narrow" w:hAnsi="Arial Narrow" w:cs="Arial"/>
                <w:sz w:val="18"/>
                <w:szCs w:val="18"/>
              </w:rPr>
              <w:t> </w:t>
            </w:r>
          </w:p>
        </w:tc>
        <w:tc>
          <w:tcPr>
            <w:tcW w:w="1216" w:type="dxa"/>
            <w:tcBorders>
              <w:top w:val="nil"/>
              <w:left w:val="nil"/>
              <w:right w:val="nil"/>
            </w:tcBorders>
            <w:shd w:val="clear" w:color="000000" w:fill="FFFFFF"/>
            <w:noWrap/>
            <w:vAlign w:val="bottom"/>
            <w:hideMark/>
          </w:tcPr>
          <w:p w14:paraId="196CE91A" w14:textId="77777777" w:rsidR="00CC0487" w:rsidRPr="00986945" w:rsidRDefault="00CC0487" w:rsidP="00DB6666">
            <w:pPr>
              <w:jc w:val="left"/>
              <w:rPr>
                <w:rFonts w:ascii="Arial Narrow" w:hAnsi="Arial Narrow" w:cs="Arial"/>
                <w:sz w:val="18"/>
                <w:szCs w:val="18"/>
              </w:rPr>
            </w:pPr>
            <w:r w:rsidRPr="00986945">
              <w:rPr>
                <w:rFonts w:ascii="Arial Narrow" w:hAnsi="Arial Narrow" w:cs="Arial"/>
                <w:sz w:val="18"/>
                <w:szCs w:val="18"/>
              </w:rPr>
              <w:t> </w:t>
            </w:r>
          </w:p>
        </w:tc>
        <w:tc>
          <w:tcPr>
            <w:tcW w:w="1216" w:type="dxa"/>
            <w:tcBorders>
              <w:top w:val="nil"/>
              <w:left w:val="nil"/>
              <w:right w:val="nil"/>
            </w:tcBorders>
            <w:shd w:val="clear" w:color="000000" w:fill="FFFFFF"/>
            <w:noWrap/>
            <w:vAlign w:val="bottom"/>
            <w:hideMark/>
          </w:tcPr>
          <w:p w14:paraId="0237403F" w14:textId="77777777" w:rsidR="00CC0487" w:rsidRPr="00986945" w:rsidRDefault="00CC0487" w:rsidP="00DB6666">
            <w:pPr>
              <w:jc w:val="left"/>
              <w:rPr>
                <w:rFonts w:ascii="Arial Narrow" w:hAnsi="Arial Narrow" w:cs="Arial"/>
                <w:sz w:val="18"/>
                <w:szCs w:val="18"/>
              </w:rPr>
            </w:pPr>
            <w:r w:rsidRPr="00986945">
              <w:rPr>
                <w:rFonts w:ascii="Arial Narrow" w:hAnsi="Arial Narrow" w:cs="Arial"/>
                <w:sz w:val="18"/>
                <w:szCs w:val="18"/>
              </w:rPr>
              <w:t> </w:t>
            </w:r>
          </w:p>
        </w:tc>
        <w:tc>
          <w:tcPr>
            <w:tcW w:w="1256" w:type="dxa"/>
            <w:tcBorders>
              <w:top w:val="nil"/>
              <w:left w:val="nil"/>
              <w:right w:val="nil"/>
            </w:tcBorders>
            <w:shd w:val="clear" w:color="auto" w:fill="auto"/>
            <w:noWrap/>
            <w:vAlign w:val="bottom"/>
            <w:hideMark/>
          </w:tcPr>
          <w:p w14:paraId="1CA87466" w14:textId="77777777" w:rsidR="00CC0487" w:rsidRPr="00986945" w:rsidRDefault="00CC0487" w:rsidP="00DB6666">
            <w:pPr>
              <w:jc w:val="left"/>
              <w:rPr>
                <w:rFonts w:ascii="Arial Narrow" w:hAnsi="Arial Narrow" w:cs="Arial"/>
                <w:sz w:val="18"/>
                <w:szCs w:val="18"/>
              </w:rPr>
            </w:pPr>
          </w:p>
        </w:tc>
      </w:tr>
      <w:tr w:rsidR="00CC0487" w:rsidRPr="00986945" w14:paraId="4FF5F152" w14:textId="77777777" w:rsidTr="00DB6666">
        <w:trPr>
          <w:trHeight w:val="330"/>
          <w:jc w:val="center"/>
        </w:trPr>
        <w:tc>
          <w:tcPr>
            <w:tcW w:w="2396" w:type="dxa"/>
            <w:tcBorders>
              <w:top w:val="nil"/>
              <w:left w:val="nil"/>
              <w:right w:val="nil"/>
            </w:tcBorders>
            <w:shd w:val="clear" w:color="000000" w:fill="C7CFD8"/>
            <w:vAlign w:val="center"/>
            <w:hideMark/>
          </w:tcPr>
          <w:p w14:paraId="09639E80" w14:textId="77777777" w:rsidR="00CC0487" w:rsidRPr="00986945" w:rsidRDefault="00CC0487" w:rsidP="00DB6666">
            <w:pPr>
              <w:jc w:val="center"/>
              <w:rPr>
                <w:rFonts w:ascii="Arial Narrow" w:hAnsi="Arial Narrow" w:cs="Arial"/>
                <w:i/>
                <w:iCs/>
                <w:color w:val="000000"/>
                <w:sz w:val="18"/>
                <w:szCs w:val="18"/>
              </w:rPr>
            </w:pPr>
            <w:r w:rsidRPr="00986945">
              <w:rPr>
                <w:rFonts w:ascii="Arial Narrow" w:hAnsi="Arial Narrow" w:cs="Arial"/>
                <w:i/>
                <w:iCs/>
                <w:color w:val="000000"/>
                <w:sz w:val="18"/>
                <w:szCs w:val="18"/>
              </w:rPr>
              <w:t> </w:t>
            </w:r>
          </w:p>
        </w:tc>
        <w:tc>
          <w:tcPr>
            <w:tcW w:w="2042" w:type="dxa"/>
            <w:gridSpan w:val="2"/>
            <w:tcBorders>
              <w:top w:val="nil"/>
              <w:left w:val="nil"/>
              <w:right w:val="nil"/>
            </w:tcBorders>
            <w:shd w:val="clear" w:color="000000" w:fill="C7CFD8"/>
            <w:vAlign w:val="center"/>
            <w:hideMark/>
          </w:tcPr>
          <w:p w14:paraId="4DC45D1B" w14:textId="77777777" w:rsidR="00CC0487" w:rsidRPr="00986945" w:rsidRDefault="00CC0487" w:rsidP="00DB6666">
            <w:pPr>
              <w:jc w:val="center"/>
              <w:rPr>
                <w:rFonts w:ascii="Arial Narrow" w:hAnsi="Arial Narrow" w:cs="Arial"/>
                <w:b/>
                <w:bCs/>
                <w:sz w:val="18"/>
                <w:szCs w:val="18"/>
              </w:rPr>
            </w:pPr>
            <w:r w:rsidRPr="00986945">
              <w:rPr>
                <w:rFonts w:ascii="Arial Narrow" w:hAnsi="Arial Narrow" w:cs="Arial"/>
                <w:b/>
                <w:bCs/>
                <w:sz w:val="18"/>
                <w:szCs w:val="18"/>
              </w:rPr>
              <w:t xml:space="preserve">Ist </w:t>
            </w:r>
          </w:p>
        </w:tc>
        <w:tc>
          <w:tcPr>
            <w:tcW w:w="1216" w:type="dxa"/>
            <w:tcBorders>
              <w:top w:val="nil"/>
              <w:left w:val="nil"/>
              <w:right w:val="nil"/>
            </w:tcBorders>
            <w:shd w:val="clear" w:color="000000" w:fill="C7CFD8"/>
            <w:vAlign w:val="center"/>
            <w:hideMark/>
          </w:tcPr>
          <w:p w14:paraId="0134AF07" w14:textId="77777777" w:rsidR="00CC0487" w:rsidRPr="00986945" w:rsidRDefault="00CC0487" w:rsidP="00DB6666">
            <w:pPr>
              <w:jc w:val="center"/>
              <w:rPr>
                <w:rFonts w:ascii="Arial Narrow" w:hAnsi="Arial Narrow" w:cs="Arial"/>
                <w:b/>
                <w:bCs/>
                <w:sz w:val="18"/>
                <w:szCs w:val="18"/>
              </w:rPr>
            </w:pPr>
            <w:r w:rsidRPr="00986945">
              <w:rPr>
                <w:rFonts w:ascii="Arial Narrow" w:hAnsi="Arial Narrow" w:cs="Arial"/>
                <w:b/>
                <w:bCs/>
                <w:sz w:val="18"/>
                <w:szCs w:val="18"/>
              </w:rPr>
              <w:t xml:space="preserve">Haushaltsplan </w:t>
            </w:r>
          </w:p>
        </w:tc>
        <w:tc>
          <w:tcPr>
            <w:tcW w:w="1216" w:type="dxa"/>
            <w:tcBorders>
              <w:top w:val="nil"/>
              <w:left w:val="nil"/>
              <w:right w:val="nil"/>
            </w:tcBorders>
            <w:shd w:val="clear" w:color="000000" w:fill="C7CFD8"/>
            <w:vAlign w:val="center"/>
            <w:hideMark/>
          </w:tcPr>
          <w:p w14:paraId="5D2B4754" w14:textId="77777777" w:rsidR="00CC0487" w:rsidRPr="00986945" w:rsidRDefault="00CC0487" w:rsidP="00DB6666">
            <w:pPr>
              <w:jc w:val="center"/>
              <w:rPr>
                <w:rFonts w:ascii="Arial Narrow" w:hAnsi="Arial Narrow" w:cs="Arial"/>
                <w:b/>
                <w:bCs/>
                <w:sz w:val="18"/>
                <w:szCs w:val="18"/>
              </w:rPr>
            </w:pPr>
            <w:r w:rsidRPr="00986945">
              <w:rPr>
                <w:rFonts w:ascii="Arial Narrow" w:hAnsi="Arial Narrow" w:cs="Arial"/>
                <w:b/>
                <w:bCs/>
                <w:sz w:val="18"/>
                <w:szCs w:val="18"/>
              </w:rPr>
              <w:t>Veranschlagt</w:t>
            </w:r>
          </w:p>
        </w:tc>
        <w:tc>
          <w:tcPr>
            <w:tcW w:w="1256" w:type="dxa"/>
            <w:tcBorders>
              <w:top w:val="nil"/>
              <w:left w:val="nil"/>
              <w:right w:val="nil"/>
            </w:tcBorders>
            <w:shd w:val="clear" w:color="000000" w:fill="C7CFD8"/>
            <w:vAlign w:val="center"/>
            <w:hideMark/>
          </w:tcPr>
          <w:p w14:paraId="605C4CAA" w14:textId="77777777" w:rsidR="00CC0487" w:rsidRPr="00986945" w:rsidRDefault="00CC0487" w:rsidP="00DB6666">
            <w:pPr>
              <w:jc w:val="center"/>
              <w:rPr>
                <w:rFonts w:ascii="Arial Narrow" w:hAnsi="Arial Narrow" w:cs="Arial"/>
                <w:b/>
                <w:bCs/>
                <w:sz w:val="18"/>
                <w:szCs w:val="18"/>
              </w:rPr>
            </w:pPr>
            <w:r w:rsidRPr="00986945">
              <w:rPr>
                <w:rFonts w:ascii="Arial Narrow" w:hAnsi="Arial Narrow" w:cs="Arial"/>
                <w:b/>
                <w:bCs/>
                <w:sz w:val="18"/>
                <w:szCs w:val="18"/>
              </w:rPr>
              <w:t>Geschätzt</w:t>
            </w:r>
          </w:p>
        </w:tc>
      </w:tr>
      <w:tr w:rsidR="00CC0487" w:rsidRPr="00986945" w14:paraId="368268F8" w14:textId="77777777" w:rsidTr="00DB6666">
        <w:trPr>
          <w:trHeight w:val="330"/>
          <w:jc w:val="center"/>
        </w:trPr>
        <w:tc>
          <w:tcPr>
            <w:tcW w:w="2396" w:type="dxa"/>
            <w:tcBorders>
              <w:top w:val="nil"/>
              <w:left w:val="nil"/>
              <w:bottom w:val="single" w:sz="4" w:space="0" w:color="D9D9D9" w:themeColor="background1" w:themeShade="D9"/>
              <w:right w:val="nil"/>
            </w:tcBorders>
            <w:shd w:val="clear" w:color="000000" w:fill="C7CFD8"/>
            <w:vAlign w:val="center"/>
            <w:hideMark/>
          </w:tcPr>
          <w:p w14:paraId="2937AF48" w14:textId="77777777" w:rsidR="00CC0487" w:rsidRPr="00986945" w:rsidRDefault="00CC0487" w:rsidP="00DB6666">
            <w:pPr>
              <w:jc w:val="right"/>
              <w:rPr>
                <w:rFonts w:ascii="Arial Narrow" w:hAnsi="Arial Narrow" w:cs="Arial"/>
                <w:i/>
                <w:iCs/>
                <w:color w:val="000000"/>
                <w:sz w:val="18"/>
                <w:szCs w:val="18"/>
              </w:rPr>
            </w:pPr>
            <w:r w:rsidRPr="00986945">
              <w:rPr>
                <w:rFonts w:ascii="Arial Narrow" w:hAnsi="Arial Narrow" w:cs="Arial"/>
                <w:i/>
                <w:iCs/>
                <w:color w:val="000000"/>
                <w:sz w:val="18"/>
                <w:szCs w:val="18"/>
              </w:rPr>
              <w:t> </w:t>
            </w:r>
          </w:p>
        </w:tc>
        <w:tc>
          <w:tcPr>
            <w:tcW w:w="1004" w:type="dxa"/>
            <w:tcBorders>
              <w:top w:val="nil"/>
              <w:left w:val="nil"/>
              <w:bottom w:val="single" w:sz="4" w:space="0" w:color="D9D9D9" w:themeColor="background1" w:themeShade="D9"/>
              <w:right w:val="nil"/>
            </w:tcBorders>
            <w:shd w:val="clear" w:color="000000" w:fill="C7CFD8"/>
            <w:vAlign w:val="center"/>
            <w:hideMark/>
          </w:tcPr>
          <w:p w14:paraId="584C247D" w14:textId="77777777" w:rsidR="00CC0487" w:rsidRPr="00986945" w:rsidRDefault="00CC0487" w:rsidP="00DB6666">
            <w:pPr>
              <w:jc w:val="center"/>
              <w:rPr>
                <w:rFonts w:ascii="Arial Narrow" w:hAnsi="Arial Narrow" w:cs="Arial"/>
                <w:b/>
                <w:bCs/>
                <w:sz w:val="18"/>
                <w:szCs w:val="18"/>
              </w:rPr>
            </w:pPr>
            <w:r w:rsidRPr="00986945">
              <w:rPr>
                <w:rFonts w:ascii="Arial Narrow" w:hAnsi="Arial Narrow" w:cs="Arial"/>
                <w:b/>
                <w:bCs/>
                <w:sz w:val="18"/>
                <w:szCs w:val="18"/>
              </w:rPr>
              <w:t>2018-2019</w:t>
            </w:r>
          </w:p>
        </w:tc>
        <w:tc>
          <w:tcPr>
            <w:tcW w:w="1038" w:type="dxa"/>
            <w:tcBorders>
              <w:top w:val="nil"/>
              <w:left w:val="nil"/>
              <w:bottom w:val="single" w:sz="4" w:space="0" w:color="D9D9D9" w:themeColor="background1" w:themeShade="D9"/>
              <w:right w:val="nil"/>
            </w:tcBorders>
            <w:shd w:val="clear" w:color="000000" w:fill="C7CFD8"/>
            <w:vAlign w:val="center"/>
            <w:hideMark/>
          </w:tcPr>
          <w:p w14:paraId="7C20A640" w14:textId="77777777" w:rsidR="00CC0487" w:rsidRPr="00986945" w:rsidRDefault="00CC0487" w:rsidP="00DB6666">
            <w:pPr>
              <w:jc w:val="center"/>
              <w:rPr>
                <w:rFonts w:ascii="Arial Narrow" w:hAnsi="Arial Narrow" w:cs="Arial"/>
                <w:b/>
                <w:bCs/>
                <w:sz w:val="18"/>
                <w:szCs w:val="18"/>
              </w:rPr>
            </w:pPr>
            <w:r w:rsidRPr="00986945">
              <w:rPr>
                <w:rFonts w:ascii="Arial Narrow" w:hAnsi="Arial Narrow" w:cs="Arial"/>
                <w:b/>
                <w:bCs/>
                <w:sz w:val="18"/>
                <w:szCs w:val="18"/>
              </w:rPr>
              <w:t>2020-2021</w:t>
            </w:r>
          </w:p>
        </w:tc>
        <w:tc>
          <w:tcPr>
            <w:tcW w:w="1216" w:type="dxa"/>
            <w:tcBorders>
              <w:top w:val="nil"/>
              <w:left w:val="nil"/>
              <w:bottom w:val="single" w:sz="4" w:space="0" w:color="D9D9D9" w:themeColor="background1" w:themeShade="D9"/>
              <w:right w:val="nil"/>
            </w:tcBorders>
            <w:shd w:val="clear" w:color="000000" w:fill="C7CFD8"/>
            <w:noWrap/>
            <w:vAlign w:val="center"/>
            <w:hideMark/>
          </w:tcPr>
          <w:p w14:paraId="0B96D319" w14:textId="77777777" w:rsidR="00CC0487" w:rsidRPr="00986945" w:rsidRDefault="00CC0487" w:rsidP="00DB6666">
            <w:pPr>
              <w:jc w:val="center"/>
              <w:rPr>
                <w:rFonts w:ascii="Arial Narrow" w:hAnsi="Arial Narrow" w:cs="Arial"/>
                <w:b/>
                <w:bCs/>
                <w:sz w:val="18"/>
                <w:szCs w:val="18"/>
              </w:rPr>
            </w:pPr>
            <w:r w:rsidRPr="00986945">
              <w:rPr>
                <w:rFonts w:ascii="Arial Narrow" w:hAnsi="Arial Narrow" w:cs="Arial"/>
                <w:b/>
                <w:bCs/>
                <w:sz w:val="18"/>
                <w:szCs w:val="18"/>
              </w:rPr>
              <w:t xml:space="preserve">2022-2023 </w:t>
            </w:r>
          </w:p>
        </w:tc>
        <w:tc>
          <w:tcPr>
            <w:tcW w:w="1216" w:type="dxa"/>
            <w:tcBorders>
              <w:top w:val="nil"/>
              <w:left w:val="nil"/>
              <w:bottom w:val="single" w:sz="4" w:space="0" w:color="D9D9D9" w:themeColor="background1" w:themeShade="D9"/>
              <w:right w:val="nil"/>
            </w:tcBorders>
            <w:shd w:val="clear" w:color="000000" w:fill="C7CFD8"/>
            <w:noWrap/>
            <w:vAlign w:val="center"/>
            <w:hideMark/>
          </w:tcPr>
          <w:p w14:paraId="342D24A6" w14:textId="77777777" w:rsidR="00CC0487" w:rsidRPr="00986945" w:rsidRDefault="00CC0487" w:rsidP="00DB6666">
            <w:pPr>
              <w:jc w:val="center"/>
              <w:rPr>
                <w:rFonts w:ascii="Arial Narrow" w:hAnsi="Arial Narrow" w:cs="Arial"/>
                <w:b/>
                <w:bCs/>
                <w:sz w:val="18"/>
                <w:szCs w:val="18"/>
              </w:rPr>
            </w:pPr>
            <w:r w:rsidRPr="00986945">
              <w:rPr>
                <w:rFonts w:ascii="Arial Narrow" w:hAnsi="Arial Narrow" w:cs="Arial"/>
                <w:b/>
                <w:bCs/>
                <w:sz w:val="18"/>
                <w:szCs w:val="18"/>
              </w:rPr>
              <w:t xml:space="preserve">2024-2025 </w:t>
            </w:r>
          </w:p>
        </w:tc>
        <w:tc>
          <w:tcPr>
            <w:tcW w:w="1256" w:type="dxa"/>
            <w:tcBorders>
              <w:top w:val="nil"/>
              <w:left w:val="nil"/>
              <w:bottom w:val="single" w:sz="4" w:space="0" w:color="D9D9D9" w:themeColor="background1" w:themeShade="D9"/>
              <w:right w:val="nil"/>
            </w:tcBorders>
            <w:shd w:val="clear" w:color="000000" w:fill="C7CFD8"/>
            <w:noWrap/>
            <w:vAlign w:val="center"/>
            <w:hideMark/>
          </w:tcPr>
          <w:p w14:paraId="42E3C17B" w14:textId="77777777" w:rsidR="00CC0487" w:rsidRPr="00986945" w:rsidRDefault="00CC0487" w:rsidP="00DB6666">
            <w:pPr>
              <w:jc w:val="center"/>
              <w:rPr>
                <w:rFonts w:ascii="Arial Narrow" w:hAnsi="Arial Narrow" w:cs="Arial"/>
                <w:b/>
                <w:bCs/>
                <w:sz w:val="18"/>
                <w:szCs w:val="18"/>
              </w:rPr>
            </w:pPr>
            <w:r w:rsidRPr="00986945">
              <w:rPr>
                <w:rFonts w:ascii="Arial Narrow" w:hAnsi="Arial Narrow" w:cs="Arial"/>
                <w:b/>
                <w:bCs/>
                <w:sz w:val="18"/>
                <w:szCs w:val="18"/>
              </w:rPr>
              <w:t>2026-2027</w:t>
            </w:r>
          </w:p>
        </w:tc>
      </w:tr>
      <w:tr w:rsidR="00CC0487" w:rsidRPr="00986945" w14:paraId="45C7EDDC" w14:textId="77777777" w:rsidTr="00986945">
        <w:trPr>
          <w:trHeight w:val="420"/>
          <w:jc w:val="center"/>
        </w:trPr>
        <w:tc>
          <w:tcPr>
            <w:tcW w:w="2396" w:type="dxa"/>
            <w:tcBorders>
              <w:top w:val="single" w:sz="4" w:space="0" w:color="D9D9D9" w:themeColor="background1" w:themeShade="D9"/>
              <w:left w:val="nil"/>
            </w:tcBorders>
            <w:shd w:val="clear" w:color="000000" w:fill="FFFFFF"/>
            <w:vAlign w:val="center"/>
            <w:hideMark/>
          </w:tcPr>
          <w:p w14:paraId="4401D167" w14:textId="77777777" w:rsidR="00CC0487" w:rsidRPr="00986945" w:rsidRDefault="00CC0487" w:rsidP="00DB6666">
            <w:pPr>
              <w:jc w:val="left"/>
              <w:rPr>
                <w:rFonts w:ascii="Arial Narrow" w:hAnsi="Arial Narrow" w:cs="Arial"/>
                <w:color w:val="000000"/>
                <w:sz w:val="18"/>
                <w:szCs w:val="18"/>
              </w:rPr>
            </w:pPr>
            <w:r w:rsidRPr="00986945">
              <w:rPr>
                <w:rFonts w:ascii="Arial Narrow" w:hAnsi="Arial Narrow" w:cs="Arial"/>
                <w:color w:val="000000"/>
                <w:sz w:val="18"/>
                <w:szCs w:val="18"/>
              </w:rPr>
              <w:t>Einnahmen</w:t>
            </w:r>
          </w:p>
        </w:tc>
        <w:tc>
          <w:tcPr>
            <w:tcW w:w="1004" w:type="dxa"/>
            <w:tcBorders>
              <w:top w:val="single" w:sz="4" w:space="0" w:color="D9D9D9" w:themeColor="background1" w:themeShade="D9"/>
            </w:tcBorders>
            <w:shd w:val="clear" w:color="auto" w:fill="auto"/>
            <w:vAlign w:val="center"/>
            <w:hideMark/>
          </w:tcPr>
          <w:p w14:paraId="14CB380F" w14:textId="77777777" w:rsidR="00CC0487" w:rsidRPr="00986945" w:rsidRDefault="00CC0487" w:rsidP="00986945">
            <w:pPr>
              <w:jc w:val="right"/>
              <w:rPr>
                <w:rFonts w:ascii="Arial Narrow" w:hAnsi="Arial Narrow" w:cs="Arial"/>
                <w:color w:val="000000"/>
                <w:sz w:val="18"/>
                <w:szCs w:val="18"/>
              </w:rPr>
            </w:pPr>
            <w:r w:rsidRPr="00986945">
              <w:rPr>
                <w:rFonts w:ascii="Arial Narrow" w:hAnsi="Arial Narrow" w:cs="Arial"/>
                <w:sz w:val="18"/>
                <w:szCs w:val="18"/>
              </w:rPr>
              <w:t>6.931</w:t>
            </w:r>
          </w:p>
        </w:tc>
        <w:tc>
          <w:tcPr>
            <w:tcW w:w="1038" w:type="dxa"/>
            <w:tcBorders>
              <w:top w:val="single" w:sz="4" w:space="0" w:color="D9D9D9" w:themeColor="background1" w:themeShade="D9"/>
            </w:tcBorders>
            <w:shd w:val="clear" w:color="auto" w:fill="auto"/>
            <w:vAlign w:val="center"/>
            <w:hideMark/>
          </w:tcPr>
          <w:p w14:paraId="5332508B" w14:textId="77777777" w:rsidR="00CC0487" w:rsidRPr="00986945" w:rsidRDefault="00CC0487" w:rsidP="00986945">
            <w:pPr>
              <w:jc w:val="right"/>
              <w:rPr>
                <w:rFonts w:ascii="Arial Narrow" w:hAnsi="Arial Narrow" w:cs="Arial"/>
                <w:color w:val="000000"/>
                <w:sz w:val="18"/>
                <w:szCs w:val="18"/>
              </w:rPr>
            </w:pPr>
            <w:r w:rsidRPr="00986945">
              <w:rPr>
                <w:rFonts w:ascii="Arial Narrow" w:hAnsi="Arial Narrow" w:cs="Arial"/>
                <w:sz w:val="18"/>
                <w:szCs w:val="18"/>
              </w:rPr>
              <w:t>7.404</w:t>
            </w:r>
          </w:p>
        </w:tc>
        <w:tc>
          <w:tcPr>
            <w:tcW w:w="1216" w:type="dxa"/>
            <w:tcBorders>
              <w:top w:val="single" w:sz="4" w:space="0" w:color="D9D9D9" w:themeColor="background1" w:themeShade="D9"/>
            </w:tcBorders>
            <w:shd w:val="clear" w:color="auto" w:fill="auto"/>
            <w:vAlign w:val="center"/>
            <w:hideMark/>
          </w:tcPr>
          <w:p w14:paraId="4C48CE12" w14:textId="77777777" w:rsidR="00CC0487" w:rsidRPr="00986945" w:rsidRDefault="00CC0487" w:rsidP="00986945">
            <w:pPr>
              <w:jc w:val="right"/>
              <w:rPr>
                <w:rFonts w:ascii="Arial Narrow" w:hAnsi="Arial Narrow" w:cs="Arial"/>
                <w:color w:val="000000"/>
                <w:sz w:val="18"/>
                <w:szCs w:val="18"/>
              </w:rPr>
            </w:pPr>
            <w:r w:rsidRPr="00986945">
              <w:rPr>
                <w:rFonts w:ascii="Arial Narrow" w:hAnsi="Arial Narrow" w:cs="Arial"/>
                <w:sz w:val="18"/>
                <w:szCs w:val="18"/>
              </w:rPr>
              <w:t>7.635</w:t>
            </w:r>
          </w:p>
        </w:tc>
        <w:tc>
          <w:tcPr>
            <w:tcW w:w="1216" w:type="dxa"/>
            <w:tcBorders>
              <w:top w:val="single" w:sz="4" w:space="0" w:color="D9D9D9" w:themeColor="background1" w:themeShade="D9"/>
            </w:tcBorders>
            <w:shd w:val="clear" w:color="auto" w:fill="auto"/>
            <w:vAlign w:val="center"/>
            <w:hideMark/>
          </w:tcPr>
          <w:p w14:paraId="20165FC2" w14:textId="77777777" w:rsidR="00CC0487" w:rsidRPr="00986945" w:rsidRDefault="00CC0487" w:rsidP="00986945">
            <w:pPr>
              <w:jc w:val="right"/>
              <w:rPr>
                <w:rFonts w:ascii="Arial Narrow" w:hAnsi="Arial Narrow" w:cs="Arial"/>
                <w:sz w:val="18"/>
                <w:szCs w:val="18"/>
              </w:rPr>
            </w:pPr>
            <w:r w:rsidRPr="00986945">
              <w:rPr>
                <w:rFonts w:ascii="Arial Narrow" w:hAnsi="Arial Narrow" w:cs="Arial"/>
                <w:sz w:val="18"/>
                <w:szCs w:val="18"/>
              </w:rPr>
              <w:t>7.901</w:t>
            </w:r>
          </w:p>
        </w:tc>
        <w:tc>
          <w:tcPr>
            <w:tcW w:w="1256" w:type="dxa"/>
            <w:tcBorders>
              <w:top w:val="single" w:sz="4" w:space="0" w:color="D9D9D9" w:themeColor="background1" w:themeShade="D9"/>
            </w:tcBorders>
            <w:shd w:val="clear" w:color="auto" w:fill="auto"/>
            <w:vAlign w:val="center"/>
            <w:hideMark/>
          </w:tcPr>
          <w:p w14:paraId="15645970" w14:textId="77777777" w:rsidR="00CC0487" w:rsidRPr="00986945" w:rsidRDefault="00CC0487" w:rsidP="00986945">
            <w:pPr>
              <w:jc w:val="right"/>
              <w:rPr>
                <w:rFonts w:ascii="Arial Narrow" w:hAnsi="Arial Narrow" w:cs="Arial"/>
                <w:sz w:val="18"/>
                <w:szCs w:val="18"/>
              </w:rPr>
            </w:pPr>
            <w:r w:rsidRPr="00986945">
              <w:rPr>
                <w:rFonts w:ascii="Arial Narrow" w:hAnsi="Arial Narrow" w:cs="Arial"/>
                <w:sz w:val="18"/>
                <w:szCs w:val="18"/>
              </w:rPr>
              <w:t>8.013</w:t>
            </w:r>
          </w:p>
        </w:tc>
      </w:tr>
      <w:tr w:rsidR="00CC0487" w:rsidRPr="00986945" w14:paraId="778C7F93" w14:textId="77777777" w:rsidTr="00986945">
        <w:trPr>
          <w:trHeight w:val="420"/>
          <w:jc w:val="center"/>
        </w:trPr>
        <w:tc>
          <w:tcPr>
            <w:tcW w:w="2396" w:type="dxa"/>
            <w:tcBorders>
              <w:top w:val="nil"/>
              <w:left w:val="nil"/>
              <w:bottom w:val="single" w:sz="4" w:space="0" w:color="D9D9D9" w:themeColor="background1" w:themeShade="D9"/>
            </w:tcBorders>
            <w:shd w:val="clear" w:color="000000" w:fill="FFFFFF"/>
            <w:vAlign w:val="center"/>
            <w:hideMark/>
          </w:tcPr>
          <w:p w14:paraId="21FCF866" w14:textId="77777777" w:rsidR="00CC0487" w:rsidRPr="00986945" w:rsidRDefault="00CC0487" w:rsidP="00DB6666">
            <w:pPr>
              <w:jc w:val="left"/>
              <w:rPr>
                <w:rFonts w:ascii="Arial Narrow" w:hAnsi="Arial Narrow" w:cs="Arial"/>
                <w:color w:val="000000"/>
                <w:sz w:val="18"/>
                <w:szCs w:val="18"/>
              </w:rPr>
            </w:pPr>
            <w:r w:rsidRPr="00986945">
              <w:rPr>
                <w:rFonts w:ascii="Arial Narrow" w:hAnsi="Arial Narrow" w:cs="Arial"/>
                <w:color w:val="000000"/>
                <w:sz w:val="18"/>
                <w:szCs w:val="18"/>
              </w:rPr>
              <w:t>Ausgaben</w:t>
            </w:r>
          </w:p>
        </w:tc>
        <w:tc>
          <w:tcPr>
            <w:tcW w:w="1004" w:type="dxa"/>
            <w:tcBorders>
              <w:top w:val="nil"/>
              <w:bottom w:val="single" w:sz="4" w:space="0" w:color="D9D9D9" w:themeColor="background1" w:themeShade="D9"/>
            </w:tcBorders>
            <w:shd w:val="clear" w:color="auto" w:fill="auto"/>
            <w:vAlign w:val="center"/>
            <w:hideMark/>
          </w:tcPr>
          <w:p w14:paraId="00D234FB" w14:textId="77777777" w:rsidR="00CC0487" w:rsidRPr="00986945" w:rsidRDefault="00CC0487" w:rsidP="00986945">
            <w:pPr>
              <w:jc w:val="right"/>
              <w:rPr>
                <w:rFonts w:ascii="Arial Narrow" w:hAnsi="Arial Narrow" w:cs="Arial"/>
                <w:color w:val="000000"/>
                <w:sz w:val="18"/>
                <w:szCs w:val="18"/>
              </w:rPr>
            </w:pPr>
            <w:r w:rsidRPr="00986945">
              <w:rPr>
                <w:rFonts w:ascii="Arial Narrow" w:hAnsi="Arial Narrow" w:cs="Arial"/>
                <w:sz w:val="18"/>
                <w:szCs w:val="18"/>
              </w:rPr>
              <w:t>6.854</w:t>
            </w:r>
          </w:p>
        </w:tc>
        <w:tc>
          <w:tcPr>
            <w:tcW w:w="1038" w:type="dxa"/>
            <w:tcBorders>
              <w:top w:val="nil"/>
              <w:bottom w:val="single" w:sz="4" w:space="0" w:color="D9D9D9" w:themeColor="background1" w:themeShade="D9"/>
            </w:tcBorders>
            <w:shd w:val="clear" w:color="auto" w:fill="auto"/>
            <w:vAlign w:val="center"/>
            <w:hideMark/>
          </w:tcPr>
          <w:p w14:paraId="1B471F15" w14:textId="77777777" w:rsidR="00CC0487" w:rsidRPr="00986945" w:rsidRDefault="00CC0487" w:rsidP="00986945">
            <w:pPr>
              <w:jc w:val="right"/>
              <w:rPr>
                <w:rFonts w:ascii="Arial Narrow" w:hAnsi="Arial Narrow" w:cs="Arial"/>
                <w:color w:val="000000"/>
                <w:sz w:val="18"/>
                <w:szCs w:val="18"/>
              </w:rPr>
            </w:pPr>
            <w:r w:rsidRPr="00986945">
              <w:rPr>
                <w:rFonts w:ascii="Arial Narrow" w:hAnsi="Arial Narrow" w:cs="Arial"/>
                <w:sz w:val="18"/>
                <w:szCs w:val="18"/>
              </w:rPr>
              <w:t>7.071</w:t>
            </w:r>
          </w:p>
        </w:tc>
        <w:tc>
          <w:tcPr>
            <w:tcW w:w="1216" w:type="dxa"/>
            <w:tcBorders>
              <w:top w:val="nil"/>
              <w:bottom w:val="single" w:sz="4" w:space="0" w:color="D9D9D9" w:themeColor="background1" w:themeShade="D9"/>
            </w:tcBorders>
            <w:shd w:val="clear" w:color="auto" w:fill="auto"/>
            <w:vAlign w:val="center"/>
            <w:hideMark/>
          </w:tcPr>
          <w:p w14:paraId="12802E51" w14:textId="77777777" w:rsidR="00CC0487" w:rsidRPr="00986945" w:rsidRDefault="00CC0487" w:rsidP="00986945">
            <w:pPr>
              <w:jc w:val="right"/>
              <w:rPr>
                <w:rFonts w:ascii="Arial Narrow" w:hAnsi="Arial Narrow" w:cs="Arial"/>
                <w:color w:val="000000"/>
                <w:sz w:val="18"/>
                <w:szCs w:val="18"/>
              </w:rPr>
            </w:pPr>
            <w:r w:rsidRPr="00986945">
              <w:rPr>
                <w:rFonts w:ascii="Arial Narrow" w:hAnsi="Arial Narrow" w:cs="Arial"/>
                <w:sz w:val="18"/>
                <w:szCs w:val="18"/>
              </w:rPr>
              <w:t>7.635</w:t>
            </w:r>
          </w:p>
        </w:tc>
        <w:tc>
          <w:tcPr>
            <w:tcW w:w="1216" w:type="dxa"/>
            <w:tcBorders>
              <w:top w:val="nil"/>
              <w:bottom w:val="single" w:sz="4" w:space="0" w:color="D9D9D9" w:themeColor="background1" w:themeShade="D9"/>
            </w:tcBorders>
            <w:shd w:val="clear" w:color="auto" w:fill="auto"/>
            <w:vAlign w:val="center"/>
            <w:hideMark/>
          </w:tcPr>
          <w:p w14:paraId="5A7D958E" w14:textId="77777777" w:rsidR="00CC0487" w:rsidRPr="00986945" w:rsidRDefault="00CC0487" w:rsidP="00986945">
            <w:pPr>
              <w:jc w:val="right"/>
              <w:rPr>
                <w:rFonts w:ascii="Arial Narrow" w:hAnsi="Arial Narrow" w:cs="Arial"/>
                <w:sz w:val="18"/>
                <w:szCs w:val="18"/>
              </w:rPr>
            </w:pPr>
            <w:r w:rsidRPr="00986945">
              <w:rPr>
                <w:rFonts w:ascii="Arial Narrow" w:hAnsi="Arial Narrow" w:cs="Arial"/>
                <w:sz w:val="18"/>
                <w:szCs w:val="18"/>
              </w:rPr>
              <w:t>7.901</w:t>
            </w:r>
          </w:p>
        </w:tc>
        <w:tc>
          <w:tcPr>
            <w:tcW w:w="1256" w:type="dxa"/>
            <w:tcBorders>
              <w:top w:val="nil"/>
              <w:bottom w:val="single" w:sz="4" w:space="0" w:color="D9D9D9" w:themeColor="background1" w:themeShade="D9"/>
            </w:tcBorders>
            <w:shd w:val="clear" w:color="auto" w:fill="auto"/>
            <w:vAlign w:val="center"/>
            <w:hideMark/>
          </w:tcPr>
          <w:p w14:paraId="1EDF4CA8" w14:textId="77777777" w:rsidR="00CC0487" w:rsidRPr="00986945" w:rsidRDefault="00CC0487" w:rsidP="00986945">
            <w:pPr>
              <w:jc w:val="right"/>
              <w:rPr>
                <w:rFonts w:ascii="Arial Narrow" w:hAnsi="Arial Narrow" w:cs="Arial"/>
                <w:sz w:val="18"/>
                <w:szCs w:val="18"/>
              </w:rPr>
            </w:pPr>
            <w:r w:rsidRPr="00986945">
              <w:rPr>
                <w:rFonts w:ascii="Arial Narrow" w:hAnsi="Arial Narrow" w:cs="Arial"/>
                <w:sz w:val="18"/>
                <w:szCs w:val="18"/>
              </w:rPr>
              <w:t>8.013</w:t>
            </w:r>
          </w:p>
        </w:tc>
      </w:tr>
      <w:tr w:rsidR="00CC0487" w:rsidRPr="00986945" w14:paraId="223C7369" w14:textId="77777777" w:rsidTr="00986945">
        <w:trPr>
          <w:trHeight w:val="375"/>
          <w:jc w:val="center"/>
        </w:trPr>
        <w:tc>
          <w:tcPr>
            <w:tcW w:w="2396" w:type="dxa"/>
            <w:tcBorders>
              <w:top w:val="single" w:sz="4" w:space="0" w:color="D9D9D9" w:themeColor="background1" w:themeShade="D9"/>
              <w:left w:val="nil"/>
              <w:bottom w:val="single" w:sz="4" w:space="0" w:color="D9D9D9" w:themeColor="background1" w:themeShade="D9"/>
            </w:tcBorders>
            <w:shd w:val="clear" w:color="000000" w:fill="FFFFFF"/>
            <w:vAlign w:val="center"/>
            <w:hideMark/>
          </w:tcPr>
          <w:p w14:paraId="64073398" w14:textId="77777777" w:rsidR="00CC0487" w:rsidRPr="00986945" w:rsidRDefault="00CC0487" w:rsidP="00DB6666">
            <w:pPr>
              <w:ind w:firstLineChars="100" w:firstLine="180"/>
              <w:jc w:val="left"/>
              <w:rPr>
                <w:rFonts w:ascii="Arial Narrow" w:hAnsi="Arial Narrow" w:cs="Arial"/>
                <w:i/>
                <w:iCs/>
                <w:color w:val="000000"/>
                <w:sz w:val="18"/>
                <w:szCs w:val="18"/>
              </w:rPr>
            </w:pPr>
            <w:r w:rsidRPr="00986945">
              <w:rPr>
                <w:rFonts w:ascii="Arial Narrow" w:hAnsi="Arial Narrow" w:cs="Arial"/>
                <w:i/>
                <w:iCs/>
                <w:color w:val="000000"/>
                <w:sz w:val="18"/>
                <w:szCs w:val="18"/>
              </w:rPr>
              <w:t>Differenz</w:t>
            </w:r>
          </w:p>
        </w:tc>
        <w:tc>
          <w:tcPr>
            <w:tcW w:w="1004" w:type="dxa"/>
            <w:tcBorders>
              <w:top w:val="single" w:sz="4" w:space="0" w:color="D9D9D9" w:themeColor="background1" w:themeShade="D9"/>
              <w:bottom w:val="single" w:sz="4" w:space="0" w:color="D9D9D9" w:themeColor="background1" w:themeShade="D9"/>
            </w:tcBorders>
            <w:shd w:val="clear" w:color="auto" w:fill="auto"/>
            <w:vAlign w:val="center"/>
            <w:hideMark/>
          </w:tcPr>
          <w:p w14:paraId="03533E8A" w14:textId="77777777" w:rsidR="00CC0487" w:rsidRPr="00986945" w:rsidRDefault="00CC0487" w:rsidP="00986945">
            <w:pPr>
              <w:jc w:val="right"/>
              <w:rPr>
                <w:rFonts w:ascii="Arial Narrow" w:hAnsi="Arial Narrow" w:cs="Arial"/>
                <w:i/>
                <w:iCs/>
                <w:color w:val="000000"/>
                <w:sz w:val="18"/>
                <w:szCs w:val="18"/>
              </w:rPr>
            </w:pPr>
            <w:r w:rsidRPr="00986945">
              <w:rPr>
                <w:rFonts w:ascii="Arial Narrow" w:hAnsi="Arial Narrow" w:cs="Arial"/>
                <w:i/>
                <w:iCs/>
                <w:sz w:val="18"/>
                <w:szCs w:val="18"/>
              </w:rPr>
              <w:t>76</w:t>
            </w:r>
          </w:p>
        </w:tc>
        <w:tc>
          <w:tcPr>
            <w:tcW w:w="1038" w:type="dxa"/>
            <w:tcBorders>
              <w:top w:val="single" w:sz="4" w:space="0" w:color="D9D9D9" w:themeColor="background1" w:themeShade="D9"/>
              <w:bottom w:val="single" w:sz="4" w:space="0" w:color="D9D9D9" w:themeColor="background1" w:themeShade="D9"/>
            </w:tcBorders>
            <w:shd w:val="clear" w:color="auto" w:fill="auto"/>
            <w:vAlign w:val="center"/>
            <w:hideMark/>
          </w:tcPr>
          <w:p w14:paraId="2B92F253" w14:textId="77777777" w:rsidR="00CC0487" w:rsidRPr="00986945" w:rsidRDefault="00CC0487" w:rsidP="00986945">
            <w:pPr>
              <w:jc w:val="right"/>
              <w:rPr>
                <w:rFonts w:ascii="Arial Narrow" w:hAnsi="Arial Narrow" w:cs="Arial"/>
                <w:i/>
                <w:iCs/>
                <w:color w:val="000000"/>
                <w:sz w:val="18"/>
                <w:szCs w:val="18"/>
              </w:rPr>
            </w:pPr>
            <w:r w:rsidRPr="00986945">
              <w:rPr>
                <w:rFonts w:ascii="Arial Narrow" w:hAnsi="Arial Narrow" w:cs="Arial"/>
                <w:i/>
                <w:iCs/>
                <w:sz w:val="18"/>
                <w:szCs w:val="18"/>
              </w:rPr>
              <w:t>334</w:t>
            </w:r>
          </w:p>
        </w:tc>
        <w:tc>
          <w:tcPr>
            <w:tcW w:w="1216" w:type="dxa"/>
            <w:tcBorders>
              <w:top w:val="single" w:sz="4" w:space="0" w:color="D9D9D9" w:themeColor="background1" w:themeShade="D9"/>
              <w:bottom w:val="single" w:sz="4" w:space="0" w:color="D9D9D9" w:themeColor="background1" w:themeShade="D9"/>
            </w:tcBorders>
            <w:shd w:val="clear" w:color="auto" w:fill="auto"/>
            <w:vAlign w:val="center"/>
            <w:hideMark/>
          </w:tcPr>
          <w:p w14:paraId="3F672ADA" w14:textId="77777777" w:rsidR="00CC0487" w:rsidRPr="00986945" w:rsidRDefault="00CC0487" w:rsidP="00986945">
            <w:pPr>
              <w:jc w:val="right"/>
              <w:rPr>
                <w:rFonts w:ascii="Arial Narrow" w:hAnsi="Arial Narrow" w:cs="Arial"/>
                <w:i/>
                <w:iCs/>
                <w:color w:val="000000"/>
                <w:sz w:val="18"/>
                <w:szCs w:val="18"/>
              </w:rPr>
            </w:pPr>
            <w:r w:rsidRPr="00986945">
              <w:rPr>
                <w:rFonts w:ascii="Arial Narrow" w:hAnsi="Arial Narrow" w:cs="Arial"/>
                <w:i/>
                <w:iCs/>
                <w:sz w:val="18"/>
                <w:szCs w:val="18"/>
              </w:rPr>
              <w:t>-</w:t>
            </w:r>
          </w:p>
        </w:tc>
        <w:tc>
          <w:tcPr>
            <w:tcW w:w="1216" w:type="dxa"/>
            <w:tcBorders>
              <w:top w:val="single" w:sz="4" w:space="0" w:color="D9D9D9" w:themeColor="background1" w:themeShade="D9"/>
              <w:bottom w:val="single" w:sz="4" w:space="0" w:color="D9D9D9" w:themeColor="background1" w:themeShade="D9"/>
            </w:tcBorders>
            <w:shd w:val="clear" w:color="auto" w:fill="auto"/>
            <w:vAlign w:val="center"/>
            <w:hideMark/>
          </w:tcPr>
          <w:p w14:paraId="73E3CFB9" w14:textId="77777777" w:rsidR="00CC0487" w:rsidRPr="00986945" w:rsidRDefault="00CC0487" w:rsidP="00986945">
            <w:pPr>
              <w:jc w:val="right"/>
              <w:rPr>
                <w:rFonts w:ascii="Arial Narrow" w:hAnsi="Arial Narrow" w:cs="Arial"/>
                <w:i/>
                <w:iCs/>
                <w:color w:val="000000"/>
                <w:sz w:val="18"/>
                <w:szCs w:val="18"/>
              </w:rPr>
            </w:pPr>
            <w:r w:rsidRPr="00986945">
              <w:rPr>
                <w:rFonts w:ascii="Arial Narrow" w:hAnsi="Arial Narrow" w:cs="Arial"/>
                <w:i/>
                <w:iCs/>
                <w:sz w:val="18"/>
                <w:szCs w:val="18"/>
              </w:rPr>
              <w:t>-</w:t>
            </w:r>
          </w:p>
        </w:tc>
        <w:tc>
          <w:tcPr>
            <w:tcW w:w="1256" w:type="dxa"/>
            <w:tcBorders>
              <w:top w:val="single" w:sz="4" w:space="0" w:color="D9D9D9" w:themeColor="background1" w:themeShade="D9"/>
              <w:bottom w:val="single" w:sz="4" w:space="0" w:color="D9D9D9" w:themeColor="background1" w:themeShade="D9"/>
            </w:tcBorders>
            <w:shd w:val="clear" w:color="auto" w:fill="auto"/>
            <w:vAlign w:val="center"/>
            <w:hideMark/>
          </w:tcPr>
          <w:p w14:paraId="05A4E6F2" w14:textId="77777777" w:rsidR="00CC0487" w:rsidRPr="00986945" w:rsidRDefault="00CC0487" w:rsidP="00986945">
            <w:pPr>
              <w:jc w:val="right"/>
              <w:rPr>
                <w:rFonts w:ascii="Arial Narrow" w:hAnsi="Arial Narrow" w:cs="Arial"/>
                <w:i/>
                <w:iCs/>
                <w:color w:val="000000"/>
                <w:sz w:val="18"/>
                <w:szCs w:val="18"/>
              </w:rPr>
            </w:pPr>
            <w:r w:rsidRPr="00986945">
              <w:rPr>
                <w:rFonts w:ascii="Arial Narrow" w:hAnsi="Arial Narrow" w:cs="Arial"/>
                <w:i/>
                <w:iCs/>
                <w:sz w:val="18"/>
                <w:szCs w:val="18"/>
              </w:rPr>
              <w:t>-</w:t>
            </w:r>
          </w:p>
        </w:tc>
      </w:tr>
    </w:tbl>
    <w:p w14:paraId="04243E0B" w14:textId="77777777" w:rsidR="00CC0487" w:rsidRPr="003E7026" w:rsidRDefault="00CC0487" w:rsidP="00CC0487">
      <w:pPr>
        <w:rPr>
          <w:rFonts w:cs="Arial"/>
          <w:b/>
          <w:bCs/>
        </w:rPr>
      </w:pPr>
    </w:p>
    <w:p w14:paraId="7D6CD6A0" w14:textId="77777777" w:rsidR="00CC0487" w:rsidRPr="003E7026" w:rsidRDefault="00CC0487" w:rsidP="00CC0487">
      <w:pPr>
        <w:rPr>
          <w:rFonts w:cs="Arial"/>
          <w:b/>
          <w:bCs/>
        </w:rPr>
      </w:pPr>
    </w:p>
    <w:p w14:paraId="5372C5E3" w14:textId="77777777" w:rsidR="00CC0487" w:rsidRPr="003E7026" w:rsidRDefault="00CC0487" w:rsidP="00CC0487">
      <w:pPr>
        <w:rPr>
          <w:rFonts w:cs="Arial"/>
          <w:b/>
          <w:bCs/>
        </w:rPr>
      </w:pPr>
    </w:p>
    <w:p w14:paraId="751E88C7" w14:textId="77777777" w:rsidR="00CC0487" w:rsidRPr="003E7026" w:rsidRDefault="00CC0487" w:rsidP="00CC0487">
      <w:pPr>
        <w:keepNext/>
        <w:jc w:val="center"/>
        <w:rPr>
          <w:i/>
          <w:color w:val="26724C" w:themeColor="accent1" w:themeShade="BF"/>
          <w:sz w:val="18"/>
        </w:rPr>
      </w:pPr>
      <w:r w:rsidRPr="003E7026">
        <w:rPr>
          <w:i/>
          <w:color w:val="26724C" w:themeColor="accent1" w:themeShade="BF"/>
          <w:sz w:val="18"/>
        </w:rPr>
        <w:t>Abbildung 1. Entwicklung von Einnahmen, Ausgaben und Reserven für 2018-2027</w:t>
      </w:r>
    </w:p>
    <w:p w14:paraId="2F72290A" w14:textId="77777777" w:rsidR="00CC0487" w:rsidRPr="003E7026" w:rsidRDefault="00CC0487" w:rsidP="00CC0487">
      <w:pPr>
        <w:keepNext/>
        <w:jc w:val="center"/>
        <w:rPr>
          <w:i/>
          <w:color w:val="26724C" w:themeColor="accent1" w:themeShade="BF"/>
          <w:sz w:val="18"/>
        </w:rPr>
      </w:pPr>
    </w:p>
    <w:p w14:paraId="499D2A17" w14:textId="77777777" w:rsidR="00CC0487" w:rsidRPr="003E7026" w:rsidRDefault="00CC0487" w:rsidP="00CC0487">
      <w:r w:rsidRPr="003E7026">
        <w:rPr>
          <w:noProof/>
          <w:lang w:val="en-US"/>
        </w:rPr>
        <w:drawing>
          <wp:inline distT="0" distB="0" distL="0" distR="0" wp14:anchorId="4B8D4C29" wp14:editId="06AF9ABD">
            <wp:extent cx="6120765" cy="3016885"/>
            <wp:effectExtent l="0" t="0" r="635"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3016885"/>
                    </a:xfrm>
                    <a:prstGeom prst="rect">
                      <a:avLst/>
                    </a:prstGeom>
                  </pic:spPr>
                </pic:pic>
              </a:graphicData>
            </a:graphic>
          </wp:inline>
        </w:drawing>
      </w:r>
      <w:r w:rsidRPr="003E7026">
        <w:rPr>
          <w:noProof/>
        </w:rPr>
        <w:t xml:space="preserve"> </w:t>
      </w:r>
    </w:p>
    <w:p w14:paraId="2D649CCF" w14:textId="77777777" w:rsidR="00CC0487" w:rsidRPr="003E7026" w:rsidRDefault="00CC0487" w:rsidP="00CC0487">
      <w:pPr>
        <w:jc w:val="left"/>
      </w:pPr>
    </w:p>
    <w:p w14:paraId="07E06C9F" w14:textId="77777777" w:rsidR="00CC0487" w:rsidRPr="003E7026" w:rsidRDefault="00CC0487" w:rsidP="00CC0487">
      <w:pPr>
        <w:ind w:left="567" w:hanging="567"/>
      </w:pPr>
    </w:p>
    <w:p w14:paraId="47B3C4D0" w14:textId="77777777" w:rsidR="00CC0487" w:rsidRPr="003E7026" w:rsidRDefault="00CC0487" w:rsidP="00CC0487">
      <w:pPr>
        <w:ind w:left="567" w:hanging="567"/>
      </w:pPr>
    </w:p>
    <w:p w14:paraId="56922A1D" w14:textId="77777777" w:rsidR="00CC0487" w:rsidRPr="003E7026" w:rsidRDefault="00CC0487" w:rsidP="00CC0487">
      <w:pPr>
        <w:ind w:left="567" w:hanging="567"/>
        <w:jc w:val="right"/>
      </w:pPr>
      <w:r w:rsidRPr="003E7026">
        <w:t>[Anhänge folgen]</w:t>
      </w:r>
    </w:p>
    <w:p w14:paraId="40669079" w14:textId="77777777" w:rsidR="00CC0487" w:rsidRPr="003E7026" w:rsidRDefault="00CC0487" w:rsidP="00CC0487">
      <w:pPr>
        <w:ind w:left="567" w:hanging="567"/>
        <w:jc w:val="center"/>
      </w:pPr>
    </w:p>
    <w:p w14:paraId="39C1480D" w14:textId="77777777" w:rsidR="00CC0487" w:rsidRPr="003E7026" w:rsidRDefault="00CC0487" w:rsidP="00CC0487">
      <w:pPr>
        <w:ind w:left="567" w:hanging="567"/>
        <w:jc w:val="right"/>
        <w:sectPr w:rsidR="00CC0487" w:rsidRPr="003E7026" w:rsidSect="00CC0487">
          <w:headerReference w:type="even" r:id="rId14"/>
          <w:headerReference w:type="default" r:id="rId15"/>
          <w:footerReference w:type="even" r:id="rId16"/>
          <w:footerReference w:type="default" r:id="rId17"/>
          <w:headerReference w:type="first" r:id="rId18"/>
          <w:footerReference w:type="first" r:id="rId19"/>
          <w:pgSz w:w="11907" w:h="16840" w:code="9"/>
          <w:pgMar w:top="510" w:right="1134" w:bottom="993" w:left="1134" w:header="510" w:footer="680" w:gutter="0"/>
          <w:pgNumType w:start="1"/>
          <w:cols w:space="720"/>
          <w:titlePg/>
          <w:docGrid w:linePitch="272"/>
        </w:sectPr>
      </w:pPr>
    </w:p>
    <w:p w14:paraId="46F5E93F" w14:textId="77777777" w:rsidR="00CC0487" w:rsidRPr="003E7026" w:rsidRDefault="00CC0487" w:rsidP="00CC0487">
      <w:pPr>
        <w:pStyle w:val="Heading1"/>
        <w:numPr>
          <w:ilvl w:val="0"/>
          <w:numId w:val="1"/>
        </w:numPr>
        <w:ind w:left="567" w:hanging="567"/>
        <w:rPr>
          <w:lang w:val="de-DE"/>
        </w:rPr>
      </w:pPr>
      <w:bookmarkStart w:id="480" w:name="_Toc128060738"/>
      <w:r w:rsidRPr="003E7026">
        <w:rPr>
          <w:lang w:val="de-DE"/>
        </w:rPr>
        <w:lastRenderedPageBreak/>
        <w:t>ANHÄNGE</w:t>
      </w:r>
      <w:bookmarkEnd w:id="480"/>
    </w:p>
    <w:p w14:paraId="6301FD83" w14:textId="77777777" w:rsidR="00CC0487" w:rsidRPr="003E7026" w:rsidRDefault="00CC0487" w:rsidP="00CC0487">
      <w:pPr>
        <w:rPr>
          <w:sz w:val="32"/>
        </w:rPr>
      </w:pPr>
    </w:p>
    <w:p w14:paraId="5E676C72" w14:textId="77777777" w:rsidR="00CC0487" w:rsidRPr="003E7026" w:rsidRDefault="00CC0487" w:rsidP="00CC0487">
      <w:pPr>
        <w:pStyle w:val="Heading9"/>
        <w:ind w:left="1843" w:hanging="1843"/>
        <w:rPr>
          <w:lang w:val="de-DE"/>
        </w:rPr>
      </w:pPr>
      <w:bookmarkStart w:id="481" w:name="_Toc63091108"/>
      <w:bookmarkStart w:id="482" w:name="_Toc63091305"/>
      <w:bookmarkStart w:id="483" w:name="_Toc63091835"/>
      <w:bookmarkStart w:id="484" w:name="_Toc63091109"/>
      <w:bookmarkStart w:id="485" w:name="_Toc63091306"/>
      <w:bookmarkStart w:id="486" w:name="_Toc63091836"/>
      <w:bookmarkStart w:id="487" w:name="_Toc128060739"/>
      <w:bookmarkEnd w:id="481"/>
      <w:bookmarkEnd w:id="482"/>
      <w:bookmarkEnd w:id="483"/>
      <w:bookmarkEnd w:id="484"/>
      <w:bookmarkEnd w:id="485"/>
      <w:bookmarkEnd w:id="486"/>
      <w:r w:rsidRPr="003E7026">
        <w:rPr>
          <w:lang w:val="de-DE"/>
        </w:rPr>
        <w:t>ANHANG I</w:t>
      </w:r>
      <w:r w:rsidRPr="003E7026">
        <w:rPr>
          <w:lang w:val="de-DE"/>
        </w:rPr>
        <w:tab/>
        <w:t xml:space="preserve">Stand in Bezug auf den Internationalen Verband zum </w:t>
      </w:r>
      <w:r w:rsidRPr="000F236D">
        <w:rPr>
          <w:rFonts w:ascii="Arial Bold" w:hAnsi="Arial Bold"/>
          <w:spacing w:val="-2"/>
          <w:lang w:val="de-DE"/>
        </w:rPr>
        <w:t>Schutz von Pflanzenzüchtungen (UPOV) zum 1. Januar 2023</w:t>
      </w:r>
      <w:bookmarkEnd w:id="487"/>
    </w:p>
    <w:p w14:paraId="40B833CC" w14:textId="77777777" w:rsidR="00CC0487" w:rsidRPr="003E7026" w:rsidRDefault="00CC0487" w:rsidP="00CC0487">
      <w:pPr>
        <w:ind w:left="2268" w:hanging="1984"/>
        <w:jc w:val="center"/>
        <w:rPr>
          <w:b/>
        </w:rPr>
      </w:pPr>
    </w:p>
    <w:p w14:paraId="75A7DF8A" w14:textId="77777777" w:rsidR="00CC0487" w:rsidRPr="003E7026" w:rsidRDefault="00CC0487" w:rsidP="00CC0487">
      <w:pPr>
        <w:rPr>
          <w:rFonts w:cs="Arial"/>
          <w:i/>
          <w:sz w:val="16"/>
          <w:szCs w:val="24"/>
        </w:rPr>
      </w:pPr>
    </w:p>
    <w:p w14:paraId="4437A772" w14:textId="77777777" w:rsidR="00CC0487" w:rsidRPr="003E7026" w:rsidRDefault="00CC0487" w:rsidP="00CC0487">
      <w:pPr>
        <w:ind w:left="284" w:hanging="284"/>
        <w:jc w:val="left"/>
        <w:rPr>
          <w:rFonts w:cs="Arial"/>
          <w:b/>
          <w:color w:val="26724C" w:themeColor="accent1" w:themeShade="BF"/>
          <w:sz w:val="18"/>
        </w:rPr>
      </w:pPr>
      <w:r w:rsidRPr="003E7026">
        <w:rPr>
          <w:rFonts w:cs="Arial"/>
          <w:b/>
          <w:color w:val="26724C" w:themeColor="accent1" w:themeShade="BF"/>
          <w:sz w:val="18"/>
        </w:rPr>
        <w:t>A.</w:t>
      </w:r>
      <w:r w:rsidRPr="003E7026">
        <w:rPr>
          <w:rFonts w:cs="Arial"/>
          <w:b/>
          <w:color w:val="26724C" w:themeColor="accent1" w:themeShade="BF"/>
          <w:sz w:val="18"/>
        </w:rPr>
        <w:tab/>
        <w:t>Mitglieder der UPOV</w:t>
      </w:r>
    </w:p>
    <w:p w14:paraId="261F9310" w14:textId="77777777" w:rsidR="00CC0487" w:rsidRPr="003E7026" w:rsidRDefault="00CC0487" w:rsidP="00CC0487">
      <w:pPr>
        <w:pStyle w:val="BodyText"/>
        <w:spacing w:before="120"/>
        <w:rPr>
          <w:rFonts w:cs="Arial"/>
          <w:sz w:val="16"/>
          <w:szCs w:val="16"/>
        </w:rPr>
      </w:pPr>
    </w:p>
    <w:p w14:paraId="24598DB4" w14:textId="77777777" w:rsidR="00CC0487" w:rsidRPr="003E7026" w:rsidRDefault="00CC0487" w:rsidP="00CC0487">
      <w:pPr>
        <w:spacing w:before="40"/>
        <w:rPr>
          <w:rFonts w:cs="Arial"/>
          <w:sz w:val="16"/>
          <w:szCs w:val="16"/>
        </w:rPr>
        <w:sectPr w:rsidR="00CC0487" w:rsidRPr="003E7026" w:rsidSect="0016531D">
          <w:headerReference w:type="even" r:id="rId20"/>
          <w:headerReference w:type="default" r:id="rId21"/>
          <w:footerReference w:type="even" r:id="rId22"/>
          <w:footerReference w:type="default" r:id="rId23"/>
          <w:headerReference w:type="first" r:id="rId24"/>
          <w:footerReference w:type="first" r:id="rId25"/>
          <w:pgSz w:w="11907" w:h="16840" w:code="9"/>
          <w:pgMar w:top="510" w:right="1134" w:bottom="851" w:left="1134" w:header="510" w:footer="624" w:gutter="0"/>
          <w:cols w:space="720"/>
          <w:docGrid w:linePitch="272"/>
        </w:sectPr>
      </w:pPr>
    </w:p>
    <w:p w14:paraId="1A9DF168" w14:textId="77777777" w:rsidR="00CC0487" w:rsidRPr="003E7026" w:rsidRDefault="00CC0487" w:rsidP="00CC0487">
      <w:pPr>
        <w:spacing w:after="4"/>
        <w:ind w:left="57" w:hanging="57"/>
        <w:jc w:val="left"/>
        <w:rPr>
          <w:rFonts w:cs="Arial"/>
          <w:sz w:val="16"/>
          <w:szCs w:val="16"/>
        </w:rPr>
      </w:pPr>
      <w:r w:rsidRPr="003E7026">
        <w:rPr>
          <w:rFonts w:cs="Arial"/>
          <w:sz w:val="16"/>
          <w:szCs w:val="16"/>
        </w:rPr>
        <w:t xml:space="preserve">Afrikanische Organisation </w:t>
      </w:r>
      <w:r w:rsidRPr="003E7026">
        <w:rPr>
          <w:rFonts w:cs="Arial"/>
          <w:sz w:val="16"/>
          <w:szCs w:val="16"/>
        </w:rPr>
        <w:br/>
        <w:t>für geistiges Eigentum</w:t>
      </w:r>
      <w:r w:rsidRPr="003E7026">
        <w:rPr>
          <w:rFonts w:cs="Arial"/>
          <w:sz w:val="16"/>
          <w:szCs w:val="16"/>
          <w:vertAlign w:val="superscript"/>
        </w:rPr>
        <w:t>2, 4</w:t>
      </w:r>
    </w:p>
    <w:p w14:paraId="3842F368" w14:textId="77777777" w:rsidR="00CC0487" w:rsidRPr="003E7026" w:rsidRDefault="00CC0487" w:rsidP="00CC0487">
      <w:pPr>
        <w:spacing w:after="4"/>
        <w:ind w:left="57" w:hanging="57"/>
        <w:jc w:val="left"/>
        <w:rPr>
          <w:rFonts w:cs="Arial"/>
          <w:sz w:val="16"/>
          <w:szCs w:val="16"/>
        </w:rPr>
      </w:pPr>
      <w:r w:rsidRPr="003E7026">
        <w:rPr>
          <w:rFonts w:cs="Arial"/>
          <w:sz w:val="16"/>
          <w:szCs w:val="16"/>
        </w:rPr>
        <w:t>Ägypten</w:t>
      </w:r>
      <w:r w:rsidRPr="003E7026">
        <w:rPr>
          <w:rFonts w:cs="Arial"/>
          <w:sz w:val="16"/>
          <w:szCs w:val="16"/>
          <w:vertAlign w:val="superscript"/>
        </w:rPr>
        <w:t>2</w:t>
      </w:r>
    </w:p>
    <w:p w14:paraId="7B80A156" w14:textId="77777777" w:rsidR="00CC0487" w:rsidRPr="003E7026" w:rsidRDefault="00CC0487" w:rsidP="00CC0487">
      <w:pPr>
        <w:spacing w:after="4"/>
        <w:ind w:left="57" w:hanging="57"/>
        <w:jc w:val="left"/>
        <w:rPr>
          <w:rFonts w:cs="Arial"/>
          <w:sz w:val="16"/>
          <w:szCs w:val="16"/>
        </w:rPr>
      </w:pPr>
      <w:r w:rsidRPr="003E7026">
        <w:rPr>
          <w:rFonts w:cs="Arial"/>
          <w:sz w:val="16"/>
          <w:szCs w:val="16"/>
        </w:rPr>
        <w:t>Albanien</w:t>
      </w:r>
      <w:r w:rsidRPr="003E7026">
        <w:rPr>
          <w:rFonts w:cs="Arial"/>
          <w:sz w:val="16"/>
          <w:szCs w:val="16"/>
          <w:vertAlign w:val="superscript"/>
        </w:rPr>
        <w:t>2</w:t>
      </w:r>
    </w:p>
    <w:p w14:paraId="10BA682A" w14:textId="77777777" w:rsidR="00CC0487" w:rsidRPr="003E7026" w:rsidRDefault="00CC0487" w:rsidP="00CC0487">
      <w:pPr>
        <w:spacing w:after="4"/>
        <w:ind w:left="57" w:hanging="57"/>
        <w:jc w:val="left"/>
        <w:rPr>
          <w:rFonts w:cs="Arial"/>
          <w:sz w:val="16"/>
          <w:szCs w:val="16"/>
        </w:rPr>
      </w:pPr>
      <w:r w:rsidRPr="003E7026">
        <w:rPr>
          <w:rFonts w:cs="Arial"/>
          <w:sz w:val="16"/>
          <w:szCs w:val="16"/>
        </w:rPr>
        <w:t>Argentinien</w:t>
      </w:r>
      <w:r w:rsidRPr="003E7026">
        <w:rPr>
          <w:rFonts w:cs="Arial"/>
          <w:sz w:val="16"/>
          <w:szCs w:val="16"/>
          <w:vertAlign w:val="superscript"/>
        </w:rPr>
        <w:t>1</w:t>
      </w:r>
    </w:p>
    <w:p w14:paraId="5A3AD9EA" w14:textId="77777777" w:rsidR="00CC0487" w:rsidRPr="003E7026" w:rsidRDefault="00CC0487" w:rsidP="00CC0487">
      <w:pPr>
        <w:spacing w:after="4"/>
        <w:ind w:left="57" w:hanging="57"/>
        <w:jc w:val="left"/>
        <w:rPr>
          <w:rFonts w:cs="Arial"/>
          <w:sz w:val="16"/>
          <w:szCs w:val="16"/>
        </w:rPr>
      </w:pPr>
      <w:r w:rsidRPr="003E7026">
        <w:rPr>
          <w:rFonts w:cs="Arial"/>
          <w:sz w:val="16"/>
          <w:szCs w:val="16"/>
        </w:rPr>
        <w:t>Aserbaidschan</w:t>
      </w:r>
      <w:r w:rsidRPr="003E7026">
        <w:rPr>
          <w:rFonts w:cs="Arial"/>
          <w:sz w:val="16"/>
          <w:szCs w:val="16"/>
          <w:vertAlign w:val="superscript"/>
        </w:rPr>
        <w:t>2</w:t>
      </w:r>
    </w:p>
    <w:p w14:paraId="1EC6CADD" w14:textId="77777777" w:rsidR="00CC0487" w:rsidRPr="003E7026" w:rsidRDefault="00CC0487" w:rsidP="00CC0487">
      <w:pPr>
        <w:spacing w:after="4"/>
        <w:ind w:left="57" w:hanging="57"/>
        <w:jc w:val="left"/>
        <w:rPr>
          <w:rFonts w:cs="Arial"/>
          <w:sz w:val="16"/>
          <w:szCs w:val="16"/>
        </w:rPr>
      </w:pPr>
      <w:r w:rsidRPr="003E7026">
        <w:rPr>
          <w:rFonts w:cs="Arial"/>
          <w:sz w:val="16"/>
          <w:szCs w:val="16"/>
        </w:rPr>
        <w:t>Australien</w:t>
      </w:r>
      <w:r w:rsidRPr="003E7026">
        <w:rPr>
          <w:rFonts w:cs="Arial"/>
          <w:sz w:val="16"/>
          <w:szCs w:val="16"/>
          <w:vertAlign w:val="superscript"/>
        </w:rPr>
        <w:t>2</w:t>
      </w:r>
    </w:p>
    <w:p w14:paraId="4B61467E" w14:textId="77777777" w:rsidR="00CC0487" w:rsidRPr="003E7026" w:rsidRDefault="00CC0487" w:rsidP="00CC0487">
      <w:pPr>
        <w:spacing w:after="4"/>
        <w:ind w:left="57" w:hanging="57"/>
        <w:jc w:val="left"/>
        <w:rPr>
          <w:rFonts w:cs="Arial"/>
          <w:sz w:val="16"/>
          <w:szCs w:val="16"/>
        </w:rPr>
      </w:pPr>
      <w:r w:rsidRPr="003E7026">
        <w:rPr>
          <w:rFonts w:cs="Arial"/>
          <w:sz w:val="16"/>
          <w:szCs w:val="16"/>
        </w:rPr>
        <w:t>Belarus</w:t>
      </w:r>
      <w:r w:rsidRPr="003E7026">
        <w:rPr>
          <w:rFonts w:cs="Arial"/>
          <w:sz w:val="16"/>
          <w:szCs w:val="16"/>
          <w:vertAlign w:val="superscript"/>
        </w:rPr>
        <w:t>2</w:t>
      </w:r>
    </w:p>
    <w:p w14:paraId="6DDA312E" w14:textId="77777777" w:rsidR="00CC0487" w:rsidRPr="003E7026" w:rsidRDefault="00CC0487" w:rsidP="00CC0487">
      <w:pPr>
        <w:spacing w:after="4"/>
        <w:ind w:left="57" w:hanging="57"/>
        <w:jc w:val="left"/>
        <w:rPr>
          <w:rFonts w:cs="Arial"/>
          <w:sz w:val="16"/>
          <w:szCs w:val="16"/>
        </w:rPr>
      </w:pPr>
      <w:r w:rsidRPr="003E7026">
        <w:rPr>
          <w:rFonts w:cs="Arial"/>
          <w:sz w:val="16"/>
          <w:szCs w:val="16"/>
        </w:rPr>
        <w:t>Belgien</w:t>
      </w:r>
      <w:r w:rsidRPr="003E7026">
        <w:rPr>
          <w:rFonts w:cs="Arial"/>
          <w:sz w:val="16"/>
          <w:szCs w:val="16"/>
          <w:vertAlign w:val="superscript"/>
        </w:rPr>
        <w:t>2</w:t>
      </w:r>
    </w:p>
    <w:p w14:paraId="669D90A5" w14:textId="77777777" w:rsidR="00CC0487" w:rsidRPr="003E7026" w:rsidRDefault="00CC0487" w:rsidP="00CC0487">
      <w:pPr>
        <w:spacing w:after="4"/>
        <w:ind w:left="57" w:hanging="57"/>
        <w:jc w:val="left"/>
        <w:rPr>
          <w:rFonts w:cs="Arial"/>
          <w:sz w:val="16"/>
          <w:szCs w:val="16"/>
          <w:vertAlign w:val="superscript"/>
        </w:rPr>
      </w:pPr>
      <w:r w:rsidRPr="003E7026">
        <w:rPr>
          <w:rFonts w:cs="Arial"/>
          <w:sz w:val="16"/>
          <w:szCs w:val="16"/>
        </w:rPr>
        <w:t xml:space="preserve">Bolivien </w:t>
      </w:r>
      <w:r w:rsidRPr="003E7026">
        <w:rPr>
          <w:rFonts w:cs="Arial"/>
          <w:sz w:val="16"/>
          <w:szCs w:val="16"/>
        </w:rPr>
        <w:br/>
        <w:t>(Plurinationaler Staat)</w:t>
      </w:r>
      <w:r w:rsidRPr="003E7026">
        <w:rPr>
          <w:rFonts w:cs="Arial"/>
          <w:sz w:val="16"/>
          <w:szCs w:val="16"/>
          <w:vertAlign w:val="superscript"/>
        </w:rPr>
        <w:t>1</w:t>
      </w:r>
    </w:p>
    <w:p w14:paraId="45C2E92D" w14:textId="77777777" w:rsidR="00CC0487" w:rsidRPr="003E7026" w:rsidRDefault="00CC0487" w:rsidP="00CC0487">
      <w:pPr>
        <w:spacing w:after="4"/>
        <w:ind w:left="57" w:hanging="57"/>
        <w:jc w:val="left"/>
        <w:rPr>
          <w:rFonts w:cs="Arial"/>
          <w:sz w:val="16"/>
          <w:szCs w:val="16"/>
        </w:rPr>
      </w:pPr>
      <w:r w:rsidRPr="003E7026">
        <w:rPr>
          <w:rFonts w:cs="Arial"/>
          <w:sz w:val="16"/>
          <w:szCs w:val="16"/>
        </w:rPr>
        <w:t>Bosnien und Herzegowina</w:t>
      </w:r>
      <w:r w:rsidRPr="003E7026">
        <w:rPr>
          <w:rFonts w:cs="Arial"/>
          <w:sz w:val="16"/>
          <w:szCs w:val="16"/>
          <w:vertAlign w:val="superscript"/>
        </w:rPr>
        <w:t>2</w:t>
      </w:r>
    </w:p>
    <w:p w14:paraId="61783804" w14:textId="77777777" w:rsidR="00CC0487" w:rsidRPr="003E7026" w:rsidRDefault="00CC0487" w:rsidP="00CC0487">
      <w:pPr>
        <w:spacing w:after="4"/>
        <w:ind w:left="57" w:hanging="57"/>
        <w:jc w:val="left"/>
        <w:rPr>
          <w:rFonts w:cs="Arial"/>
          <w:sz w:val="16"/>
          <w:szCs w:val="16"/>
          <w:lang w:val="es-ES"/>
        </w:rPr>
      </w:pPr>
      <w:r w:rsidRPr="003E7026">
        <w:rPr>
          <w:rFonts w:cs="Arial"/>
          <w:sz w:val="16"/>
          <w:szCs w:val="16"/>
          <w:lang w:val="es-ES"/>
        </w:rPr>
        <w:t>Brasilien</w:t>
      </w:r>
      <w:r w:rsidRPr="003E7026">
        <w:rPr>
          <w:rFonts w:cs="Arial"/>
          <w:sz w:val="16"/>
          <w:szCs w:val="16"/>
          <w:vertAlign w:val="superscript"/>
          <w:lang w:val="es-ES"/>
        </w:rPr>
        <w:t>1</w:t>
      </w:r>
    </w:p>
    <w:p w14:paraId="5C09D508" w14:textId="77777777" w:rsidR="00CC0487" w:rsidRPr="003E7026" w:rsidRDefault="00CC0487" w:rsidP="00CC0487">
      <w:pPr>
        <w:spacing w:after="4"/>
        <w:ind w:left="57" w:hanging="57"/>
        <w:jc w:val="left"/>
        <w:rPr>
          <w:rFonts w:cs="Arial"/>
          <w:sz w:val="16"/>
          <w:szCs w:val="16"/>
          <w:lang w:val="es-ES"/>
        </w:rPr>
      </w:pPr>
      <w:r w:rsidRPr="003E7026">
        <w:rPr>
          <w:rFonts w:cs="Arial"/>
          <w:sz w:val="16"/>
          <w:szCs w:val="16"/>
          <w:lang w:val="es-ES"/>
        </w:rPr>
        <w:t>Bulgarien</w:t>
      </w:r>
      <w:r w:rsidRPr="003E7026">
        <w:rPr>
          <w:rFonts w:cs="Arial"/>
          <w:sz w:val="16"/>
          <w:szCs w:val="16"/>
          <w:vertAlign w:val="superscript"/>
          <w:lang w:val="es-ES"/>
        </w:rPr>
        <w:t>2</w:t>
      </w:r>
    </w:p>
    <w:p w14:paraId="003E7D1C" w14:textId="77777777" w:rsidR="00CC0487" w:rsidRPr="003E7026" w:rsidRDefault="00CC0487" w:rsidP="00CC0487">
      <w:pPr>
        <w:spacing w:after="4"/>
        <w:ind w:left="57" w:hanging="57"/>
        <w:jc w:val="left"/>
        <w:rPr>
          <w:rFonts w:cs="Arial"/>
          <w:sz w:val="16"/>
          <w:szCs w:val="16"/>
          <w:lang w:val="es-ES"/>
        </w:rPr>
      </w:pPr>
      <w:r w:rsidRPr="003E7026">
        <w:rPr>
          <w:rFonts w:cs="Arial"/>
          <w:sz w:val="16"/>
          <w:szCs w:val="16"/>
          <w:lang w:val="es-ES"/>
        </w:rPr>
        <w:t>Chile</w:t>
      </w:r>
      <w:r w:rsidRPr="003E7026">
        <w:rPr>
          <w:rFonts w:cs="Arial"/>
          <w:sz w:val="16"/>
          <w:szCs w:val="16"/>
          <w:vertAlign w:val="superscript"/>
          <w:lang w:val="es-ES"/>
        </w:rPr>
        <w:t>1</w:t>
      </w:r>
    </w:p>
    <w:p w14:paraId="78524F8B" w14:textId="77777777" w:rsidR="00CC0487" w:rsidRPr="003E7026" w:rsidRDefault="00CC0487" w:rsidP="00CC0487">
      <w:pPr>
        <w:spacing w:after="4"/>
        <w:ind w:left="57" w:hanging="57"/>
        <w:jc w:val="left"/>
        <w:rPr>
          <w:rFonts w:cs="Arial"/>
          <w:sz w:val="16"/>
          <w:szCs w:val="16"/>
          <w:lang w:val="es-ES"/>
        </w:rPr>
      </w:pPr>
      <w:r w:rsidRPr="003E7026">
        <w:rPr>
          <w:rFonts w:cs="Arial"/>
          <w:sz w:val="16"/>
          <w:szCs w:val="16"/>
          <w:lang w:val="es-ES"/>
        </w:rPr>
        <w:t>China</w:t>
      </w:r>
      <w:r w:rsidRPr="003E7026">
        <w:rPr>
          <w:rFonts w:cs="Arial"/>
          <w:sz w:val="16"/>
          <w:szCs w:val="16"/>
          <w:vertAlign w:val="superscript"/>
          <w:lang w:val="es-ES"/>
        </w:rPr>
        <w:t>1</w:t>
      </w:r>
    </w:p>
    <w:p w14:paraId="08C2866E" w14:textId="77777777" w:rsidR="00CC0487" w:rsidRPr="003E7026" w:rsidRDefault="00CC0487" w:rsidP="00CC0487">
      <w:pPr>
        <w:spacing w:after="4"/>
        <w:ind w:left="57" w:hanging="57"/>
        <w:jc w:val="left"/>
        <w:rPr>
          <w:rFonts w:cs="Arial"/>
          <w:sz w:val="16"/>
          <w:szCs w:val="16"/>
          <w:vertAlign w:val="superscript"/>
          <w:lang w:val="es-ES"/>
        </w:rPr>
      </w:pPr>
      <w:r w:rsidRPr="003E7026">
        <w:rPr>
          <w:rFonts w:cs="Arial"/>
          <w:sz w:val="16"/>
          <w:szCs w:val="16"/>
          <w:lang w:val="es-ES"/>
        </w:rPr>
        <w:t>Costa Rica</w:t>
      </w:r>
      <w:r w:rsidRPr="003E7026">
        <w:rPr>
          <w:rFonts w:cs="Arial"/>
          <w:sz w:val="16"/>
          <w:szCs w:val="16"/>
          <w:vertAlign w:val="superscript"/>
          <w:lang w:val="es-ES"/>
        </w:rPr>
        <w:t>2</w:t>
      </w:r>
    </w:p>
    <w:p w14:paraId="29ABE049" w14:textId="77777777" w:rsidR="00CC0487" w:rsidRPr="003E7026" w:rsidRDefault="00CC0487" w:rsidP="00CC0487">
      <w:pPr>
        <w:spacing w:after="4"/>
        <w:ind w:left="57" w:hanging="57"/>
        <w:jc w:val="left"/>
        <w:rPr>
          <w:rFonts w:cs="Arial"/>
          <w:sz w:val="16"/>
          <w:szCs w:val="16"/>
          <w:vertAlign w:val="superscript"/>
        </w:rPr>
      </w:pPr>
      <w:r w:rsidRPr="003E7026">
        <w:rPr>
          <w:rFonts w:cs="Arial"/>
          <w:sz w:val="16"/>
          <w:szCs w:val="16"/>
        </w:rPr>
        <w:t>Dänemark</w:t>
      </w:r>
      <w:r w:rsidRPr="003E7026">
        <w:rPr>
          <w:rFonts w:cs="Arial"/>
          <w:sz w:val="16"/>
          <w:szCs w:val="16"/>
          <w:vertAlign w:val="superscript"/>
        </w:rPr>
        <w:t>2</w:t>
      </w:r>
    </w:p>
    <w:p w14:paraId="41C81E72" w14:textId="77777777" w:rsidR="00CC0487" w:rsidRPr="003E7026" w:rsidRDefault="00CC0487" w:rsidP="00CC0487">
      <w:pPr>
        <w:spacing w:after="4"/>
        <w:ind w:left="57" w:hanging="57"/>
        <w:jc w:val="left"/>
        <w:rPr>
          <w:rFonts w:cs="Arial"/>
          <w:sz w:val="16"/>
          <w:szCs w:val="16"/>
        </w:rPr>
      </w:pPr>
      <w:r w:rsidRPr="003E7026">
        <w:rPr>
          <w:rFonts w:cs="Arial"/>
          <w:sz w:val="16"/>
          <w:szCs w:val="16"/>
        </w:rPr>
        <w:t>Deutschland</w:t>
      </w:r>
      <w:r w:rsidRPr="003E7026">
        <w:rPr>
          <w:rFonts w:cs="Arial"/>
          <w:sz w:val="16"/>
          <w:szCs w:val="16"/>
          <w:vertAlign w:val="superscript"/>
        </w:rPr>
        <w:t>2</w:t>
      </w:r>
    </w:p>
    <w:p w14:paraId="3544D1A8" w14:textId="77777777" w:rsidR="00CC0487" w:rsidRPr="003E7026" w:rsidRDefault="00CC0487" w:rsidP="00CC0487">
      <w:pPr>
        <w:spacing w:after="4"/>
        <w:ind w:left="57" w:hanging="57"/>
        <w:jc w:val="left"/>
        <w:rPr>
          <w:rFonts w:cs="Arial"/>
          <w:sz w:val="16"/>
          <w:szCs w:val="16"/>
        </w:rPr>
      </w:pPr>
      <w:r w:rsidRPr="003E7026">
        <w:rPr>
          <w:rFonts w:cs="Arial"/>
          <w:sz w:val="16"/>
          <w:szCs w:val="16"/>
        </w:rPr>
        <w:t>Dominikanische Republik</w:t>
      </w:r>
      <w:r w:rsidRPr="003E7026">
        <w:rPr>
          <w:rFonts w:cs="Arial"/>
          <w:sz w:val="16"/>
          <w:szCs w:val="16"/>
          <w:vertAlign w:val="superscript"/>
        </w:rPr>
        <w:t>2</w:t>
      </w:r>
    </w:p>
    <w:p w14:paraId="2C2BF67F" w14:textId="77777777" w:rsidR="00CC0487" w:rsidRPr="003E7026" w:rsidRDefault="00CC0487" w:rsidP="00CC0487">
      <w:pPr>
        <w:spacing w:after="4"/>
        <w:ind w:left="57" w:hanging="57"/>
        <w:jc w:val="left"/>
        <w:rPr>
          <w:rFonts w:cs="Arial"/>
          <w:sz w:val="16"/>
          <w:szCs w:val="16"/>
        </w:rPr>
      </w:pPr>
      <w:r w:rsidRPr="003E7026">
        <w:rPr>
          <w:rFonts w:cs="Arial"/>
          <w:sz w:val="16"/>
          <w:szCs w:val="16"/>
        </w:rPr>
        <w:t>Ecuador</w:t>
      </w:r>
      <w:r w:rsidRPr="003E7026">
        <w:rPr>
          <w:rFonts w:cs="Arial"/>
          <w:sz w:val="16"/>
          <w:szCs w:val="16"/>
          <w:vertAlign w:val="superscript"/>
        </w:rPr>
        <w:t>1</w:t>
      </w:r>
    </w:p>
    <w:p w14:paraId="2D9C1F29" w14:textId="77777777" w:rsidR="00CC0487" w:rsidRPr="003E7026" w:rsidRDefault="00CC0487" w:rsidP="00CC0487">
      <w:pPr>
        <w:spacing w:after="4"/>
        <w:ind w:left="57" w:hanging="57"/>
        <w:jc w:val="left"/>
        <w:rPr>
          <w:rFonts w:cs="Arial"/>
          <w:sz w:val="16"/>
          <w:szCs w:val="16"/>
        </w:rPr>
      </w:pPr>
      <w:r w:rsidRPr="003E7026">
        <w:rPr>
          <w:rFonts w:cs="Arial"/>
          <w:sz w:val="16"/>
          <w:szCs w:val="16"/>
        </w:rPr>
        <w:t>Estland</w:t>
      </w:r>
      <w:r w:rsidRPr="003E7026">
        <w:rPr>
          <w:rFonts w:cs="Arial"/>
          <w:sz w:val="16"/>
          <w:szCs w:val="16"/>
          <w:vertAlign w:val="superscript"/>
        </w:rPr>
        <w:t>2</w:t>
      </w:r>
    </w:p>
    <w:p w14:paraId="59642423" w14:textId="77777777" w:rsidR="00CC0487" w:rsidRPr="003E7026" w:rsidRDefault="00CC0487" w:rsidP="00CC0487">
      <w:pPr>
        <w:spacing w:after="4"/>
        <w:ind w:left="57" w:hanging="57"/>
        <w:jc w:val="left"/>
        <w:rPr>
          <w:rFonts w:cs="Arial"/>
          <w:sz w:val="16"/>
          <w:szCs w:val="16"/>
          <w:vertAlign w:val="superscript"/>
        </w:rPr>
      </w:pPr>
      <w:r w:rsidRPr="003E7026">
        <w:rPr>
          <w:rFonts w:cs="Arial"/>
          <w:sz w:val="16"/>
          <w:szCs w:val="16"/>
        </w:rPr>
        <w:t>Europäische Union</w:t>
      </w:r>
      <w:r w:rsidRPr="003E7026">
        <w:rPr>
          <w:rFonts w:cs="Arial"/>
          <w:sz w:val="16"/>
          <w:szCs w:val="16"/>
          <w:vertAlign w:val="superscript"/>
        </w:rPr>
        <w:t>2, 3</w:t>
      </w:r>
    </w:p>
    <w:p w14:paraId="71CB2E0D" w14:textId="77777777" w:rsidR="00CC0487" w:rsidRPr="003E7026" w:rsidRDefault="00CC0487" w:rsidP="00CC0487">
      <w:pPr>
        <w:spacing w:after="4"/>
        <w:ind w:left="57" w:hanging="57"/>
        <w:jc w:val="left"/>
        <w:rPr>
          <w:rFonts w:cs="Arial"/>
          <w:sz w:val="16"/>
          <w:szCs w:val="16"/>
          <w:vertAlign w:val="superscript"/>
        </w:rPr>
      </w:pPr>
      <w:r w:rsidRPr="003E7026">
        <w:rPr>
          <w:rFonts w:cs="Arial"/>
          <w:sz w:val="16"/>
          <w:szCs w:val="16"/>
        </w:rPr>
        <w:t>Finnland</w:t>
      </w:r>
      <w:r w:rsidRPr="003E7026">
        <w:rPr>
          <w:rFonts w:cs="Arial"/>
          <w:sz w:val="16"/>
          <w:szCs w:val="16"/>
          <w:vertAlign w:val="superscript"/>
        </w:rPr>
        <w:t>2</w:t>
      </w:r>
    </w:p>
    <w:p w14:paraId="1AB292AD" w14:textId="77777777" w:rsidR="00CC0487" w:rsidRPr="003E7026" w:rsidRDefault="00CC0487" w:rsidP="00CC0487">
      <w:pPr>
        <w:spacing w:after="4"/>
        <w:ind w:left="57" w:hanging="57"/>
        <w:jc w:val="left"/>
        <w:rPr>
          <w:rFonts w:cs="Arial"/>
          <w:sz w:val="16"/>
          <w:szCs w:val="16"/>
        </w:rPr>
      </w:pPr>
      <w:r w:rsidRPr="003E7026">
        <w:rPr>
          <w:rFonts w:cs="Arial"/>
          <w:sz w:val="16"/>
          <w:szCs w:val="16"/>
        </w:rPr>
        <w:t>Frankreich</w:t>
      </w:r>
      <w:r w:rsidRPr="003E7026">
        <w:rPr>
          <w:rFonts w:cs="Arial"/>
          <w:sz w:val="16"/>
          <w:szCs w:val="16"/>
          <w:vertAlign w:val="superscript"/>
        </w:rPr>
        <w:t>2</w:t>
      </w:r>
    </w:p>
    <w:p w14:paraId="4FB1A454" w14:textId="77777777" w:rsidR="00CC0487" w:rsidRPr="003E7026" w:rsidRDefault="00CC0487" w:rsidP="00CC0487">
      <w:pPr>
        <w:spacing w:after="4"/>
        <w:ind w:left="57" w:hanging="57"/>
        <w:jc w:val="left"/>
        <w:rPr>
          <w:rFonts w:cs="Arial"/>
          <w:sz w:val="16"/>
          <w:szCs w:val="16"/>
        </w:rPr>
      </w:pPr>
      <w:r w:rsidRPr="003E7026">
        <w:rPr>
          <w:rFonts w:cs="Arial"/>
          <w:sz w:val="16"/>
          <w:szCs w:val="16"/>
        </w:rPr>
        <w:t>Georgien</w:t>
      </w:r>
      <w:r w:rsidRPr="003E7026">
        <w:rPr>
          <w:rFonts w:cs="Arial"/>
          <w:sz w:val="16"/>
          <w:szCs w:val="16"/>
          <w:vertAlign w:val="superscript"/>
        </w:rPr>
        <w:t>2</w:t>
      </w:r>
    </w:p>
    <w:p w14:paraId="6CFA0E2B" w14:textId="77777777" w:rsidR="00CC0487" w:rsidRPr="003E7026" w:rsidRDefault="00CC0487" w:rsidP="00CC0487">
      <w:pPr>
        <w:spacing w:after="4"/>
        <w:ind w:left="57" w:hanging="57"/>
        <w:jc w:val="left"/>
        <w:rPr>
          <w:rFonts w:cs="Arial"/>
          <w:sz w:val="16"/>
          <w:szCs w:val="16"/>
        </w:rPr>
      </w:pPr>
      <w:r w:rsidRPr="003E7026">
        <w:rPr>
          <w:rFonts w:cs="Arial"/>
          <w:sz w:val="16"/>
          <w:szCs w:val="16"/>
        </w:rPr>
        <w:t>Ghana</w:t>
      </w:r>
      <w:r w:rsidRPr="003E7026">
        <w:rPr>
          <w:rFonts w:cs="Arial"/>
          <w:sz w:val="16"/>
          <w:szCs w:val="16"/>
          <w:vertAlign w:val="superscript"/>
        </w:rPr>
        <w:t>2</w:t>
      </w:r>
    </w:p>
    <w:p w14:paraId="4FFE77CA" w14:textId="77777777" w:rsidR="00CC0487" w:rsidRPr="003E7026" w:rsidRDefault="00CC0487" w:rsidP="00CC0487">
      <w:pPr>
        <w:spacing w:after="4"/>
        <w:ind w:left="57" w:hanging="57"/>
        <w:jc w:val="left"/>
        <w:rPr>
          <w:rFonts w:cs="Arial"/>
          <w:sz w:val="16"/>
          <w:szCs w:val="16"/>
        </w:rPr>
      </w:pPr>
      <w:r w:rsidRPr="003E7026">
        <w:rPr>
          <w:rFonts w:cs="Arial"/>
          <w:sz w:val="16"/>
          <w:szCs w:val="16"/>
        </w:rPr>
        <w:t>Irland</w:t>
      </w:r>
      <w:r w:rsidRPr="003E7026">
        <w:rPr>
          <w:rFonts w:cs="Arial"/>
          <w:sz w:val="16"/>
          <w:szCs w:val="16"/>
          <w:vertAlign w:val="superscript"/>
        </w:rPr>
        <w:t>2</w:t>
      </w:r>
    </w:p>
    <w:p w14:paraId="70465712" w14:textId="77777777" w:rsidR="00CC0487" w:rsidRPr="003E7026" w:rsidRDefault="00CC0487" w:rsidP="00CC0487">
      <w:pPr>
        <w:spacing w:after="4"/>
        <w:ind w:left="57" w:hanging="57"/>
        <w:jc w:val="left"/>
        <w:rPr>
          <w:rFonts w:cs="Arial"/>
          <w:sz w:val="16"/>
          <w:szCs w:val="16"/>
        </w:rPr>
      </w:pPr>
      <w:r w:rsidRPr="003E7026">
        <w:rPr>
          <w:rFonts w:cs="Arial"/>
          <w:sz w:val="16"/>
          <w:szCs w:val="16"/>
        </w:rPr>
        <w:t>Island</w:t>
      </w:r>
      <w:r w:rsidRPr="003E7026">
        <w:rPr>
          <w:rFonts w:cs="Arial"/>
          <w:sz w:val="16"/>
          <w:szCs w:val="16"/>
          <w:vertAlign w:val="superscript"/>
        </w:rPr>
        <w:t>2</w:t>
      </w:r>
    </w:p>
    <w:p w14:paraId="558753CF" w14:textId="77777777" w:rsidR="00CC0487" w:rsidRPr="003E7026" w:rsidRDefault="00CC0487" w:rsidP="00CC0487">
      <w:pPr>
        <w:spacing w:after="4"/>
        <w:ind w:left="57" w:hanging="57"/>
        <w:jc w:val="left"/>
        <w:rPr>
          <w:rFonts w:cs="Arial"/>
          <w:sz w:val="16"/>
          <w:szCs w:val="16"/>
        </w:rPr>
      </w:pPr>
      <w:r w:rsidRPr="003E7026">
        <w:rPr>
          <w:rFonts w:cs="Arial"/>
          <w:sz w:val="16"/>
          <w:szCs w:val="16"/>
        </w:rPr>
        <w:t>Israel</w:t>
      </w:r>
      <w:r w:rsidRPr="003E7026">
        <w:rPr>
          <w:rFonts w:cs="Arial"/>
          <w:sz w:val="16"/>
          <w:szCs w:val="16"/>
          <w:vertAlign w:val="superscript"/>
        </w:rPr>
        <w:t>2</w:t>
      </w:r>
    </w:p>
    <w:p w14:paraId="43A71938" w14:textId="77777777" w:rsidR="00CC0487" w:rsidRPr="003E7026" w:rsidRDefault="00CC0487" w:rsidP="00CC0487">
      <w:pPr>
        <w:spacing w:after="4"/>
        <w:ind w:left="57" w:hanging="57"/>
        <w:jc w:val="left"/>
        <w:rPr>
          <w:rFonts w:cs="Arial"/>
          <w:sz w:val="16"/>
          <w:szCs w:val="16"/>
        </w:rPr>
      </w:pPr>
      <w:r w:rsidRPr="003E7026">
        <w:rPr>
          <w:rFonts w:cs="Arial"/>
          <w:sz w:val="16"/>
          <w:szCs w:val="16"/>
        </w:rPr>
        <w:t>Italien</w:t>
      </w:r>
      <w:r w:rsidRPr="003E7026">
        <w:rPr>
          <w:rFonts w:cs="Arial"/>
          <w:sz w:val="16"/>
          <w:szCs w:val="16"/>
          <w:vertAlign w:val="superscript"/>
        </w:rPr>
        <w:t>1</w:t>
      </w:r>
    </w:p>
    <w:p w14:paraId="7C7F5E32" w14:textId="77777777" w:rsidR="00CC0487" w:rsidRPr="003E7026" w:rsidRDefault="00CC0487" w:rsidP="00CC0487">
      <w:pPr>
        <w:spacing w:after="4"/>
        <w:ind w:left="57" w:hanging="57"/>
        <w:jc w:val="left"/>
        <w:rPr>
          <w:rFonts w:cs="Arial"/>
          <w:sz w:val="16"/>
          <w:szCs w:val="16"/>
          <w:vertAlign w:val="superscript"/>
        </w:rPr>
      </w:pPr>
      <w:r w:rsidRPr="003E7026">
        <w:rPr>
          <w:rFonts w:cs="Arial"/>
          <w:sz w:val="16"/>
          <w:szCs w:val="16"/>
        </w:rPr>
        <w:t>Japan</w:t>
      </w:r>
      <w:r w:rsidRPr="003E7026">
        <w:rPr>
          <w:rFonts w:cs="Arial"/>
          <w:sz w:val="16"/>
          <w:szCs w:val="16"/>
          <w:vertAlign w:val="superscript"/>
        </w:rPr>
        <w:t>2</w:t>
      </w:r>
    </w:p>
    <w:p w14:paraId="3D4D90BC" w14:textId="77777777" w:rsidR="00CC0487" w:rsidRPr="003E7026" w:rsidRDefault="00CC0487" w:rsidP="00CC0487">
      <w:pPr>
        <w:spacing w:after="4"/>
        <w:ind w:left="57" w:hanging="57"/>
        <w:jc w:val="left"/>
        <w:rPr>
          <w:rFonts w:cs="Arial"/>
          <w:sz w:val="16"/>
          <w:szCs w:val="16"/>
        </w:rPr>
      </w:pPr>
      <w:r w:rsidRPr="003E7026">
        <w:rPr>
          <w:rFonts w:cs="Arial"/>
          <w:sz w:val="16"/>
          <w:szCs w:val="16"/>
        </w:rPr>
        <w:t>Jordanien</w:t>
      </w:r>
      <w:r w:rsidRPr="003E7026">
        <w:rPr>
          <w:rFonts w:cs="Arial"/>
          <w:sz w:val="16"/>
          <w:szCs w:val="16"/>
          <w:vertAlign w:val="superscript"/>
        </w:rPr>
        <w:t>2</w:t>
      </w:r>
    </w:p>
    <w:p w14:paraId="63B65DC7" w14:textId="77777777" w:rsidR="00CC0487" w:rsidRPr="003E7026" w:rsidRDefault="00CC0487" w:rsidP="00CC0487">
      <w:pPr>
        <w:spacing w:after="4"/>
        <w:ind w:left="57" w:hanging="57"/>
        <w:jc w:val="left"/>
        <w:rPr>
          <w:rFonts w:cs="Arial"/>
          <w:sz w:val="16"/>
          <w:szCs w:val="16"/>
        </w:rPr>
      </w:pPr>
      <w:r w:rsidRPr="003E7026">
        <w:rPr>
          <w:rFonts w:cs="Arial"/>
          <w:sz w:val="16"/>
          <w:szCs w:val="16"/>
        </w:rPr>
        <w:t>Kanada</w:t>
      </w:r>
      <w:r w:rsidRPr="003E7026">
        <w:rPr>
          <w:rFonts w:cs="Arial"/>
          <w:sz w:val="16"/>
          <w:szCs w:val="16"/>
          <w:vertAlign w:val="superscript"/>
        </w:rPr>
        <w:t>2</w:t>
      </w:r>
    </w:p>
    <w:p w14:paraId="66388132" w14:textId="77777777" w:rsidR="00CC0487" w:rsidRPr="003E7026" w:rsidRDefault="00CC0487" w:rsidP="00CC0487">
      <w:pPr>
        <w:spacing w:after="4"/>
        <w:ind w:left="57" w:hanging="57"/>
        <w:jc w:val="left"/>
        <w:rPr>
          <w:rFonts w:cs="Arial"/>
          <w:sz w:val="16"/>
          <w:szCs w:val="16"/>
        </w:rPr>
      </w:pPr>
      <w:r w:rsidRPr="003E7026">
        <w:rPr>
          <w:rFonts w:cs="Arial"/>
          <w:sz w:val="16"/>
          <w:szCs w:val="16"/>
        </w:rPr>
        <w:t>Kenia</w:t>
      </w:r>
      <w:r w:rsidRPr="003E7026">
        <w:rPr>
          <w:rFonts w:cs="Arial"/>
          <w:sz w:val="16"/>
          <w:szCs w:val="16"/>
          <w:vertAlign w:val="superscript"/>
        </w:rPr>
        <w:t>2</w:t>
      </w:r>
    </w:p>
    <w:p w14:paraId="20C13634" w14:textId="77777777" w:rsidR="00CC0487" w:rsidRPr="003E7026" w:rsidRDefault="00CC0487" w:rsidP="00CC0487">
      <w:pPr>
        <w:spacing w:after="4"/>
        <w:ind w:left="57" w:hanging="57"/>
        <w:jc w:val="left"/>
        <w:rPr>
          <w:rFonts w:cs="Arial"/>
          <w:sz w:val="16"/>
          <w:szCs w:val="16"/>
        </w:rPr>
      </w:pPr>
      <w:r w:rsidRPr="003E7026">
        <w:rPr>
          <w:rFonts w:cs="Arial"/>
          <w:sz w:val="16"/>
          <w:szCs w:val="16"/>
        </w:rPr>
        <w:t>Kirgisistan</w:t>
      </w:r>
      <w:r w:rsidRPr="003E7026">
        <w:rPr>
          <w:rFonts w:cs="Arial"/>
          <w:sz w:val="16"/>
          <w:szCs w:val="16"/>
          <w:vertAlign w:val="superscript"/>
        </w:rPr>
        <w:t>2</w:t>
      </w:r>
    </w:p>
    <w:p w14:paraId="2F4936F8" w14:textId="77777777" w:rsidR="00CC0487" w:rsidRPr="003E7026" w:rsidRDefault="00CC0487" w:rsidP="00CC0487">
      <w:pPr>
        <w:spacing w:after="4"/>
        <w:ind w:left="57" w:hanging="57"/>
        <w:jc w:val="left"/>
        <w:rPr>
          <w:rFonts w:cs="Arial"/>
          <w:sz w:val="16"/>
          <w:szCs w:val="16"/>
        </w:rPr>
      </w:pPr>
      <w:r w:rsidRPr="003E7026">
        <w:rPr>
          <w:rFonts w:cs="Arial"/>
          <w:sz w:val="16"/>
          <w:szCs w:val="16"/>
        </w:rPr>
        <w:t>Kolumbien</w:t>
      </w:r>
      <w:r w:rsidRPr="003E7026">
        <w:rPr>
          <w:rFonts w:cs="Arial"/>
          <w:sz w:val="16"/>
          <w:szCs w:val="16"/>
          <w:vertAlign w:val="superscript"/>
        </w:rPr>
        <w:t>1</w:t>
      </w:r>
    </w:p>
    <w:p w14:paraId="26CE85E9" w14:textId="77777777" w:rsidR="00CC0487" w:rsidRPr="003E7026" w:rsidRDefault="00CC0487" w:rsidP="00CC0487">
      <w:pPr>
        <w:spacing w:after="4"/>
        <w:ind w:left="57" w:hanging="57"/>
        <w:jc w:val="left"/>
        <w:rPr>
          <w:rFonts w:cs="Arial"/>
          <w:sz w:val="16"/>
          <w:szCs w:val="16"/>
        </w:rPr>
      </w:pPr>
      <w:r w:rsidRPr="003E7026">
        <w:rPr>
          <w:rFonts w:cs="Arial"/>
          <w:sz w:val="16"/>
          <w:szCs w:val="16"/>
        </w:rPr>
        <w:t>Kroatien</w:t>
      </w:r>
      <w:r w:rsidRPr="003E7026">
        <w:rPr>
          <w:rFonts w:cs="Arial"/>
          <w:sz w:val="16"/>
          <w:szCs w:val="16"/>
          <w:vertAlign w:val="superscript"/>
        </w:rPr>
        <w:t>2</w:t>
      </w:r>
    </w:p>
    <w:p w14:paraId="5BF40FDD" w14:textId="77777777" w:rsidR="00CC0487" w:rsidRPr="003E7026" w:rsidRDefault="00CC0487" w:rsidP="00CC0487">
      <w:pPr>
        <w:spacing w:after="4"/>
        <w:ind w:left="57" w:hanging="57"/>
        <w:jc w:val="left"/>
        <w:rPr>
          <w:rFonts w:cs="Arial"/>
          <w:sz w:val="16"/>
          <w:szCs w:val="16"/>
        </w:rPr>
      </w:pPr>
      <w:r w:rsidRPr="003E7026">
        <w:rPr>
          <w:rFonts w:cs="Arial"/>
          <w:sz w:val="16"/>
          <w:szCs w:val="16"/>
        </w:rPr>
        <w:t>Lettland</w:t>
      </w:r>
      <w:r w:rsidRPr="003E7026">
        <w:rPr>
          <w:rFonts w:cs="Arial"/>
          <w:sz w:val="16"/>
          <w:szCs w:val="16"/>
          <w:vertAlign w:val="superscript"/>
        </w:rPr>
        <w:t>2</w:t>
      </w:r>
    </w:p>
    <w:p w14:paraId="3D11716B" w14:textId="77777777" w:rsidR="00CC0487" w:rsidRPr="003E7026" w:rsidRDefault="00CC0487" w:rsidP="00CC0487">
      <w:pPr>
        <w:spacing w:after="4"/>
        <w:ind w:left="57" w:hanging="57"/>
        <w:jc w:val="left"/>
        <w:rPr>
          <w:rFonts w:cs="Arial"/>
          <w:sz w:val="16"/>
          <w:szCs w:val="16"/>
        </w:rPr>
      </w:pPr>
      <w:r w:rsidRPr="003E7026">
        <w:rPr>
          <w:rFonts w:cs="Arial"/>
          <w:sz w:val="16"/>
          <w:szCs w:val="16"/>
        </w:rPr>
        <w:t>Litauen</w:t>
      </w:r>
      <w:r w:rsidRPr="003E7026">
        <w:rPr>
          <w:rFonts w:cs="Arial"/>
          <w:sz w:val="16"/>
          <w:szCs w:val="16"/>
          <w:vertAlign w:val="superscript"/>
        </w:rPr>
        <w:t>2</w:t>
      </w:r>
    </w:p>
    <w:p w14:paraId="6138F16F" w14:textId="77777777" w:rsidR="00CC0487" w:rsidRPr="003E7026" w:rsidRDefault="00CC0487" w:rsidP="00CC0487">
      <w:pPr>
        <w:spacing w:after="4"/>
        <w:ind w:left="57" w:hanging="57"/>
        <w:jc w:val="left"/>
        <w:rPr>
          <w:rFonts w:cs="Arial"/>
          <w:sz w:val="16"/>
          <w:szCs w:val="16"/>
        </w:rPr>
      </w:pPr>
      <w:r w:rsidRPr="003E7026">
        <w:rPr>
          <w:rFonts w:cs="Arial"/>
          <w:sz w:val="16"/>
          <w:szCs w:val="16"/>
        </w:rPr>
        <w:t>Marokko</w:t>
      </w:r>
      <w:r w:rsidRPr="003E7026">
        <w:rPr>
          <w:rFonts w:cs="Arial"/>
          <w:sz w:val="16"/>
          <w:szCs w:val="16"/>
          <w:vertAlign w:val="superscript"/>
        </w:rPr>
        <w:t>2</w:t>
      </w:r>
    </w:p>
    <w:p w14:paraId="609307D0" w14:textId="77777777" w:rsidR="00CC0487" w:rsidRPr="003E7026" w:rsidRDefault="00CC0487" w:rsidP="00CC0487">
      <w:pPr>
        <w:spacing w:after="4"/>
        <w:ind w:left="57" w:hanging="57"/>
        <w:jc w:val="left"/>
        <w:rPr>
          <w:rFonts w:cs="Arial"/>
          <w:sz w:val="16"/>
          <w:szCs w:val="16"/>
        </w:rPr>
      </w:pPr>
      <w:r w:rsidRPr="003E7026">
        <w:rPr>
          <w:rFonts w:cs="Arial"/>
          <w:sz w:val="16"/>
          <w:szCs w:val="16"/>
        </w:rPr>
        <w:t>Mexiko</w:t>
      </w:r>
      <w:r w:rsidRPr="003E7026">
        <w:rPr>
          <w:rFonts w:cs="Arial"/>
          <w:sz w:val="16"/>
          <w:szCs w:val="16"/>
          <w:vertAlign w:val="superscript"/>
        </w:rPr>
        <w:t>1</w:t>
      </w:r>
    </w:p>
    <w:p w14:paraId="039FA443" w14:textId="77777777" w:rsidR="00CC0487" w:rsidRPr="003E7026" w:rsidRDefault="00CC0487" w:rsidP="00CC0487">
      <w:pPr>
        <w:spacing w:after="4"/>
        <w:ind w:left="57" w:hanging="57"/>
        <w:jc w:val="left"/>
        <w:rPr>
          <w:rFonts w:cs="Arial"/>
          <w:sz w:val="16"/>
          <w:szCs w:val="16"/>
        </w:rPr>
      </w:pPr>
      <w:r w:rsidRPr="003E7026">
        <w:rPr>
          <w:rFonts w:cs="Arial"/>
          <w:sz w:val="16"/>
          <w:szCs w:val="16"/>
        </w:rPr>
        <w:t>Montenegro</w:t>
      </w:r>
      <w:r w:rsidRPr="003E7026">
        <w:rPr>
          <w:rFonts w:cs="Arial"/>
          <w:sz w:val="16"/>
          <w:szCs w:val="16"/>
          <w:vertAlign w:val="superscript"/>
        </w:rPr>
        <w:t>2</w:t>
      </w:r>
    </w:p>
    <w:p w14:paraId="1E6D4ED2" w14:textId="77777777" w:rsidR="00CC0487" w:rsidRPr="003E7026" w:rsidRDefault="00CC0487" w:rsidP="00CC0487">
      <w:pPr>
        <w:spacing w:after="4"/>
        <w:ind w:left="57" w:hanging="57"/>
        <w:jc w:val="left"/>
        <w:rPr>
          <w:rFonts w:cs="Arial"/>
          <w:sz w:val="16"/>
          <w:szCs w:val="16"/>
        </w:rPr>
      </w:pPr>
      <w:r w:rsidRPr="003E7026">
        <w:rPr>
          <w:rFonts w:cs="Arial"/>
          <w:sz w:val="16"/>
          <w:szCs w:val="16"/>
        </w:rPr>
        <w:t>Neuseeland</w:t>
      </w:r>
      <w:r w:rsidRPr="003E7026">
        <w:rPr>
          <w:rFonts w:cs="Arial"/>
          <w:sz w:val="16"/>
          <w:szCs w:val="16"/>
          <w:vertAlign w:val="superscript"/>
        </w:rPr>
        <w:t>1</w:t>
      </w:r>
    </w:p>
    <w:p w14:paraId="627595C5" w14:textId="77777777" w:rsidR="00CC0487" w:rsidRPr="003E7026" w:rsidRDefault="00CC0487" w:rsidP="00CC0487">
      <w:pPr>
        <w:spacing w:after="4"/>
        <w:ind w:left="57" w:hanging="57"/>
        <w:jc w:val="left"/>
        <w:rPr>
          <w:rFonts w:cs="Arial"/>
          <w:sz w:val="16"/>
          <w:szCs w:val="16"/>
        </w:rPr>
      </w:pPr>
      <w:r w:rsidRPr="003E7026">
        <w:rPr>
          <w:rFonts w:cs="Arial"/>
          <w:sz w:val="16"/>
          <w:szCs w:val="16"/>
        </w:rPr>
        <w:t>Nicaragua</w:t>
      </w:r>
      <w:r w:rsidRPr="003E7026">
        <w:rPr>
          <w:rFonts w:cs="Arial"/>
          <w:sz w:val="16"/>
          <w:szCs w:val="16"/>
          <w:vertAlign w:val="superscript"/>
        </w:rPr>
        <w:t>1</w:t>
      </w:r>
    </w:p>
    <w:p w14:paraId="53FF8B58" w14:textId="77777777" w:rsidR="00CC0487" w:rsidRPr="003E7026" w:rsidRDefault="00CC0487" w:rsidP="00CC0487">
      <w:pPr>
        <w:spacing w:after="4"/>
        <w:ind w:left="57" w:hanging="57"/>
        <w:jc w:val="left"/>
        <w:rPr>
          <w:rFonts w:cs="Arial"/>
          <w:sz w:val="16"/>
          <w:szCs w:val="16"/>
        </w:rPr>
      </w:pPr>
      <w:r w:rsidRPr="003E7026">
        <w:rPr>
          <w:rFonts w:cs="Arial"/>
          <w:sz w:val="16"/>
          <w:szCs w:val="16"/>
        </w:rPr>
        <w:t>Niederlande</w:t>
      </w:r>
      <w:r w:rsidRPr="003E7026">
        <w:rPr>
          <w:rFonts w:cs="Arial"/>
          <w:sz w:val="16"/>
          <w:szCs w:val="16"/>
          <w:vertAlign w:val="superscript"/>
        </w:rPr>
        <w:t>2</w:t>
      </w:r>
    </w:p>
    <w:p w14:paraId="0D919493" w14:textId="77777777" w:rsidR="00CC0487" w:rsidRPr="003E7026" w:rsidRDefault="00CC0487" w:rsidP="00CC0487">
      <w:pPr>
        <w:spacing w:after="4"/>
        <w:ind w:left="57" w:hanging="57"/>
        <w:jc w:val="left"/>
        <w:rPr>
          <w:rFonts w:cs="Arial"/>
          <w:sz w:val="16"/>
          <w:szCs w:val="16"/>
        </w:rPr>
      </w:pPr>
      <w:r w:rsidRPr="003E7026">
        <w:rPr>
          <w:rFonts w:cs="Arial"/>
          <w:sz w:val="16"/>
          <w:szCs w:val="16"/>
        </w:rPr>
        <w:t>Nordmazedonien</w:t>
      </w:r>
      <w:r w:rsidRPr="003E7026">
        <w:rPr>
          <w:rFonts w:cs="Arial"/>
          <w:sz w:val="16"/>
          <w:szCs w:val="16"/>
          <w:vertAlign w:val="superscript"/>
        </w:rPr>
        <w:t>2</w:t>
      </w:r>
    </w:p>
    <w:p w14:paraId="24FD8A92" w14:textId="77777777" w:rsidR="00CC0487" w:rsidRPr="003E7026" w:rsidRDefault="00CC0487" w:rsidP="00CC0487">
      <w:pPr>
        <w:spacing w:after="4"/>
        <w:ind w:left="57" w:hanging="57"/>
        <w:jc w:val="left"/>
        <w:rPr>
          <w:rFonts w:cs="Arial"/>
          <w:sz w:val="16"/>
          <w:szCs w:val="16"/>
        </w:rPr>
      </w:pPr>
      <w:r w:rsidRPr="003E7026">
        <w:rPr>
          <w:rFonts w:cs="Arial"/>
          <w:sz w:val="16"/>
          <w:szCs w:val="16"/>
        </w:rPr>
        <w:t>Norwegen</w:t>
      </w:r>
      <w:r w:rsidRPr="003E7026">
        <w:rPr>
          <w:rFonts w:cs="Arial"/>
          <w:sz w:val="16"/>
          <w:szCs w:val="16"/>
          <w:vertAlign w:val="superscript"/>
        </w:rPr>
        <w:t>1</w:t>
      </w:r>
    </w:p>
    <w:p w14:paraId="2DB9BB3D" w14:textId="77777777" w:rsidR="00CC0487" w:rsidRPr="003E7026" w:rsidRDefault="00CC0487" w:rsidP="00CC0487">
      <w:pPr>
        <w:spacing w:after="4"/>
        <w:ind w:left="57" w:hanging="57"/>
        <w:jc w:val="left"/>
        <w:rPr>
          <w:rFonts w:cs="Arial"/>
          <w:sz w:val="16"/>
          <w:szCs w:val="16"/>
          <w:vertAlign w:val="superscript"/>
        </w:rPr>
      </w:pPr>
      <w:r w:rsidRPr="003E7026">
        <w:rPr>
          <w:rFonts w:cs="Arial"/>
          <w:sz w:val="16"/>
          <w:szCs w:val="16"/>
        </w:rPr>
        <w:t>Oman</w:t>
      </w:r>
      <w:r w:rsidRPr="003E7026">
        <w:rPr>
          <w:rFonts w:cs="Arial"/>
          <w:sz w:val="16"/>
          <w:szCs w:val="16"/>
          <w:vertAlign w:val="superscript"/>
        </w:rPr>
        <w:t>2</w:t>
      </w:r>
    </w:p>
    <w:p w14:paraId="4950CF7A" w14:textId="77777777" w:rsidR="00CC0487" w:rsidRPr="003E7026" w:rsidRDefault="00CC0487" w:rsidP="00CC0487">
      <w:pPr>
        <w:spacing w:after="4"/>
        <w:ind w:left="57" w:hanging="57"/>
        <w:jc w:val="left"/>
        <w:rPr>
          <w:rFonts w:cs="Arial"/>
          <w:sz w:val="16"/>
          <w:szCs w:val="16"/>
        </w:rPr>
      </w:pPr>
      <w:r w:rsidRPr="003E7026">
        <w:rPr>
          <w:rFonts w:cs="Arial"/>
          <w:sz w:val="16"/>
          <w:szCs w:val="16"/>
        </w:rPr>
        <w:t>Österreich</w:t>
      </w:r>
      <w:r w:rsidRPr="003E7026">
        <w:rPr>
          <w:rFonts w:cs="Arial"/>
          <w:sz w:val="16"/>
          <w:szCs w:val="16"/>
          <w:vertAlign w:val="superscript"/>
        </w:rPr>
        <w:t>2</w:t>
      </w:r>
    </w:p>
    <w:p w14:paraId="3C345DA0" w14:textId="77777777" w:rsidR="00CC0487" w:rsidRPr="003E7026" w:rsidRDefault="00CC0487" w:rsidP="00CC0487">
      <w:pPr>
        <w:spacing w:after="4"/>
        <w:ind w:left="57" w:hanging="57"/>
        <w:jc w:val="left"/>
        <w:rPr>
          <w:rFonts w:cs="Arial"/>
          <w:sz w:val="16"/>
          <w:szCs w:val="16"/>
        </w:rPr>
      </w:pPr>
      <w:r w:rsidRPr="003E7026">
        <w:rPr>
          <w:rFonts w:cs="Arial"/>
          <w:sz w:val="16"/>
          <w:szCs w:val="16"/>
        </w:rPr>
        <w:t>Panama</w:t>
      </w:r>
      <w:r w:rsidRPr="003E7026">
        <w:rPr>
          <w:rFonts w:cs="Arial"/>
          <w:sz w:val="16"/>
          <w:szCs w:val="16"/>
          <w:vertAlign w:val="superscript"/>
        </w:rPr>
        <w:t>2</w:t>
      </w:r>
    </w:p>
    <w:p w14:paraId="3FF8A8F4" w14:textId="77777777" w:rsidR="00CC0487" w:rsidRPr="003E7026" w:rsidRDefault="00CC0487" w:rsidP="00CC0487">
      <w:pPr>
        <w:spacing w:after="4"/>
        <w:ind w:left="57" w:hanging="57"/>
        <w:jc w:val="left"/>
        <w:rPr>
          <w:rFonts w:cs="Arial"/>
          <w:sz w:val="16"/>
          <w:szCs w:val="16"/>
        </w:rPr>
      </w:pPr>
      <w:r w:rsidRPr="003E7026">
        <w:rPr>
          <w:rFonts w:cs="Arial"/>
          <w:sz w:val="16"/>
          <w:szCs w:val="16"/>
        </w:rPr>
        <w:t>Paraguay</w:t>
      </w:r>
      <w:r w:rsidRPr="003E7026">
        <w:rPr>
          <w:rFonts w:cs="Arial"/>
          <w:sz w:val="16"/>
          <w:szCs w:val="16"/>
          <w:vertAlign w:val="superscript"/>
        </w:rPr>
        <w:t>1</w:t>
      </w:r>
    </w:p>
    <w:p w14:paraId="41766CB6" w14:textId="77777777" w:rsidR="00CC0487" w:rsidRPr="003E7026" w:rsidRDefault="00CC0487" w:rsidP="00CC0487">
      <w:pPr>
        <w:spacing w:after="4"/>
        <w:ind w:left="57" w:hanging="57"/>
        <w:jc w:val="left"/>
        <w:rPr>
          <w:rFonts w:cs="Arial"/>
          <w:sz w:val="16"/>
          <w:szCs w:val="16"/>
          <w:vertAlign w:val="superscript"/>
        </w:rPr>
      </w:pPr>
      <w:r w:rsidRPr="003E7026">
        <w:rPr>
          <w:rFonts w:cs="Arial"/>
          <w:sz w:val="16"/>
          <w:szCs w:val="16"/>
        </w:rPr>
        <w:t>Peru</w:t>
      </w:r>
      <w:r w:rsidRPr="003E7026">
        <w:rPr>
          <w:rFonts w:cs="Arial"/>
          <w:sz w:val="16"/>
          <w:szCs w:val="16"/>
          <w:vertAlign w:val="superscript"/>
        </w:rPr>
        <w:t>2</w:t>
      </w:r>
    </w:p>
    <w:p w14:paraId="7735544F" w14:textId="77777777" w:rsidR="00CC0487" w:rsidRPr="003E7026" w:rsidRDefault="00CC0487" w:rsidP="00CC0487">
      <w:pPr>
        <w:spacing w:after="4"/>
        <w:ind w:left="57" w:hanging="57"/>
        <w:jc w:val="left"/>
        <w:rPr>
          <w:rFonts w:cs="Arial"/>
          <w:sz w:val="16"/>
          <w:szCs w:val="16"/>
          <w:vertAlign w:val="superscript"/>
        </w:rPr>
      </w:pPr>
      <w:r w:rsidRPr="003E7026">
        <w:rPr>
          <w:rFonts w:cs="Arial"/>
          <w:sz w:val="16"/>
          <w:szCs w:val="16"/>
        </w:rPr>
        <w:t>Polen</w:t>
      </w:r>
      <w:r w:rsidRPr="003E7026">
        <w:rPr>
          <w:rFonts w:cs="Arial"/>
          <w:sz w:val="16"/>
          <w:szCs w:val="16"/>
          <w:vertAlign w:val="superscript"/>
        </w:rPr>
        <w:t>2</w:t>
      </w:r>
    </w:p>
    <w:p w14:paraId="53F064DE" w14:textId="77777777" w:rsidR="00CC0487" w:rsidRPr="003E7026" w:rsidRDefault="00CC0487" w:rsidP="00CC0487">
      <w:pPr>
        <w:spacing w:after="4"/>
        <w:ind w:left="57" w:hanging="57"/>
        <w:jc w:val="left"/>
        <w:rPr>
          <w:rFonts w:cs="Arial"/>
          <w:sz w:val="16"/>
          <w:szCs w:val="16"/>
        </w:rPr>
      </w:pPr>
      <w:r w:rsidRPr="003E7026">
        <w:rPr>
          <w:rFonts w:cs="Arial"/>
          <w:sz w:val="16"/>
          <w:szCs w:val="16"/>
        </w:rPr>
        <w:t>Portugal</w:t>
      </w:r>
      <w:r w:rsidRPr="003E7026">
        <w:rPr>
          <w:rFonts w:cs="Arial"/>
          <w:sz w:val="16"/>
          <w:szCs w:val="16"/>
          <w:vertAlign w:val="superscript"/>
        </w:rPr>
        <w:t>1</w:t>
      </w:r>
    </w:p>
    <w:p w14:paraId="485A7064" w14:textId="77777777" w:rsidR="00CC0487" w:rsidRPr="003E7026" w:rsidRDefault="00CC0487" w:rsidP="00CC0487">
      <w:pPr>
        <w:spacing w:after="4"/>
        <w:ind w:left="57" w:hanging="57"/>
        <w:jc w:val="left"/>
        <w:rPr>
          <w:rFonts w:cs="Arial"/>
          <w:sz w:val="16"/>
          <w:szCs w:val="16"/>
        </w:rPr>
      </w:pPr>
      <w:r w:rsidRPr="003E7026">
        <w:rPr>
          <w:rFonts w:cs="Arial"/>
          <w:sz w:val="16"/>
          <w:szCs w:val="16"/>
        </w:rPr>
        <w:t>Republik Korea</w:t>
      </w:r>
      <w:r w:rsidRPr="003E7026">
        <w:rPr>
          <w:rFonts w:cs="Arial"/>
          <w:sz w:val="16"/>
          <w:szCs w:val="16"/>
          <w:vertAlign w:val="superscript"/>
        </w:rPr>
        <w:t>2</w:t>
      </w:r>
    </w:p>
    <w:p w14:paraId="50967AB4" w14:textId="77777777" w:rsidR="00CC0487" w:rsidRPr="003E7026" w:rsidRDefault="00CC0487" w:rsidP="00CC0487">
      <w:pPr>
        <w:spacing w:after="4"/>
        <w:ind w:left="57" w:hanging="57"/>
        <w:jc w:val="left"/>
        <w:rPr>
          <w:rFonts w:cs="Arial"/>
          <w:sz w:val="16"/>
          <w:szCs w:val="16"/>
        </w:rPr>
      </w:pPr>
      <w:r w:rsidRPr="003E7026">
        <w:rPr>
          <w:rFonts w:cs="Arial"/>
          <w:sz w:val="16"/>
          <w:szCs w:val="16"/>
        </w:rPr>
        <w:t>Republik Moldau</w:t>
      </w:r>
      <w:r w:rsidRPr="003E7026">
        <w:rPr>
          <w:rFonts w:cs="Arial"/>
          <w:sz w:val="16"/>
          <w:szCs w:val="16"/>
          <w:vertAlign w:val="superscript"/>
        </w:rPr>
        <w:t>2</w:t>
      </w:r>
    </w:p>
    <w:p w14:paraId="37EE2515" w14:textId="77777777" w:rsidR="00CC0487" w:rsidRPr="003E7026" w:rsidRDefault="00CC0487" w:rsidP="00CC0487">
      <w:pPr>
        <w:spacing w:after="4"/>
        <w:ind w:left="57" w:hanging="57"/>
        <w:jc w:val="left"/>
        <w:rPr>
          <w:rFonts w:cs="Arial"/>
          <w:sz w:val="16"/>
          <w:szCs w:val="16"/>
        </w:rPr>
      </w:pPr>
      <w:r w:rsidRPr="003E7026">
        <w:rPr>
          <w:rFonts w:cs="Arial"/>
          <w:sz w:val="16"/>
          <w:szCs w:val="16"/>
        </w:rPr>
        <w:t>Rumänien</w:t>
      </w:r>
      <w:r w:rsidRPr="003E7026">
        <w:rPr>
          <w:rFonts w:cs="Arial"/>
          <w:sz w:val="16"/>
          <w:szCs w:val="16"/>
          <w:vertAlign w:val="superscript"/>
        </w:rPr>
        <w:t>2</w:t>
      </w:r>
    </w:p>
    <w:p w14:paraId="46115A5D" w14:textId="77777777" w:rsidR="00CC0487" w:rsidRPr="003E7026" w:rsidRDefault="00CC0487" w:rsidP="00CC0487">
      <w:pPr>
        <w:spacing w:after="4"/>
        <w:ind w:left="57" w:hanging="57"/>
        <w:jc w:val="left"/>
        <w:rPr>
          <w:rFonts w:cs="Arial"/>
          <w:sz w:val="16"/>
          <w:szCs w:val="16"/>
        </w:rPr>
      </w:pPr>
      <w:r w:rsidRPr="003E7026">
        <w:rPr>
          <w:rFonts w:cs="Arial"/>
          <w:sz w:val="16"/>
          <w:szCs w:val="16"/>
        </w:rPr>
        <w:t>Russische Föderation</w:t>
      </w:r>
      <w:r w:rsidRPr="003E7026">
        <w:rPr>
          <w:rFonts w:cs="Arial"/>
          <w:sz w:val="16"/>
          <w:szCs w:val="16"/>
          <w:vertAlign w:val="superscript"/>
        </w:rPr>
        <w:t>2</w:t>
      </w:r>
    </w:p>
    <w:p w14:paraId="22C4836B" w14:textId="77777777" w:rsidR="00CC0487" w:rsidRPr="003E7026" w:rsidRDefault="00CC0487" w:rsidP="00CC0487">
      <w:pPr>
        <w:spacing w:after="4"/>
        <w:ind w:left="57" w:hanging="57"/>
        <w:jc w:val="left"/>
        <w:rPr>
          <w:rFonts w:cs="Arial"/>
          <w:sz w:val="16"/>
          <w:szCs w:val="16"/>
        </w:rPr>
      </w:pPr>
      <w:r w:rsidRPr="003E7026">
        <w:rPr>
          <w:rFonts w:cs="Arial"/>
          <w:sz w:val="16"/>
          <w:szCs w:val="16"/>
        </w:rPr>
        <w:t>Schweden</w:t>
      </w:r>
      <w:r w:rsidRPr="003E7026">
        <w:rPr>
          <w:rFonts w:cs="Arial"/>
          <w:sz w:val="16"/>
          <w:szCs w:val="16"/>
          <w:vertAlign w:val="superscript"/>
        </w:rPr>
        <w:t>2</w:t>
      </w:r>
    </w:p>
    <w:p w14:paraId="67F26D58" w14:textId="77777777" w:rsidR="00CC0487" w:rsidRPr="003E7026" w:rsidRDefault="00CC0487" w:rsidP="00CC0487">
      <w:pPr>
        <w:spacing w:after="4"/>
        <w:ind w:left="57" w:hanging="57"/>
        <w:jc w:val="left"/>
        <w:rPr>
          <w:rFonts w:cs="Arial"/>
          <w:sz w:val="16"/>
          <w:szCs w:val="16"/>
        </w:rPr>
      </w:pPr>
      <w:r w:rsidRPr="003E7026">
        <w:rPr>
          <w:rFonts w:cs="Arial"/>
          <w:sz w:val="16"/>
          <w:szCs w:val="16"/>
        </w:rPr>
        <w:t>Schweiz</w:t>
      </w:r>
      <w:r w:rsidRPr="003E7026">
        <w:rPr>
          <w:rFonts w:cs="Arial"/>
          <w:sz w:val="16"/>
          <w:szCs w:val="16"/>
          <w:vertAlign w:val="superscript"/>
        </w:rPr>
        <w:t>2</w:t>
      </w:r>
    </w:p>
    <w:p w14:paraId="5A59C220" w14:textId="77777777" w:rsidR="00CC0487" w:rsidRPr="003E7026" w:rsidRDefault="00CC0487" w:rsidP="00CC0487">
      <w:pPr>
        <w:spacing w:after="4"/>
        <w:ind w:left="57" w:hanging="57"/>
        <w:jc w:val="left"/>
        <w:rPr>
          <w:rFonts w:cs="Arial"/>
          <w:sz w:val="16"/>
          <w:szCs w:val="16"/>
        </w:rPr>
      </w:pPr>
      <w:r w:rsidRPr="003E7026">
        <w:rPr>
          <w:rFonts w:cs="Arial"/>
          <w:sz w:val="16"/>
          <w:szCs w:val="16"/>
        </w:rPr>
        <w:t>Serbien</w:t>
      </w:r>
      <w:r w:rsidRPr="003E7026">
        <w:rPr>
          <w:rFonts w:cs="Arial"/>
          <w:sz w:val="16"/>
          <w:szCs w:val="16"/>
          <w:vertAlign w:val="superscript"/>
        </w:rPr>
        <w:t>2</w:t>
      </w:r>
    </w:p>
    <w:p w14:paraId="40793AD0" w14:textId="77777777" w:rsidR="00CC0487" w:rsidRPr="003E7026" w:rsidRDefault="00CC0487" w:rsidP="00CC0487">
      <w:pPr>
        <w:spacing w:after="4"/>
        <w:ind w:left="57" w:hanging="57"/>
        <w:jc w:val="left"/>
        <w:rPr>
          <w:rFonts w:cs="Arial"/>
          <w:sz w:val="16"/>
          <w:szCs w:val="16"/>
        </w:rPr>
      </w:pPr>
      <w:r w:rsidRPr="003E7026">
        <w:rPr>
          <w:rFonts w:cs="Arial"/>
          <w:sz w:val="16"/>
          <w:szCs w:val="16"/>
        </w:rPr>
        <w:t>Singapur</w:t>
      </w:r>
      <w:r w:rsidRPr="003E7026">
        <w:rPr>
          <w:rFonts w:cs="Arial"/>
          <w:sz w:val="16"/>
          <w:szCs w:val="16"/>
          <w:vertAlign w:val="superscript"/>
        </w:rPr>
        <w:t>2</w:t>
      </w:r>
    </w:p>
    <w:p w14:paraId="05D21AB4" w14:textId="77777777" w:rsidR="00CC0487" w:rsidRPr="003E7026" w:rsidRDefault="00CC0487" w:rsidP="00CC0487">
      <w:pPr>
        <w:spacing w:after="4"/>
        <w:ind w:left="57" w:hanging="57"/>
        <w:jc w:val="left"/>
        <w:rPr>
          <w:rFonts w:cs="Arial"/>
          <w:sz w:val="16"/>
          <w:szCs w:val="16"/>
          <w:vertAlign w:val="superscript"/>
        </w:rPr>
      </w:pPr>
      <w:r w:rsidRPr="003E7026">
        <w:rPr>
          <w:rFonts w:cs="Arial"/>
          <w:sz w:val="16"/>
          <w:szCs w:val="16"/>
        </w:rPr>
        <w:t>Slowakei</w:t>
      </w:r>
      <w:r w:rsidRPr="003E7026">
        <w:rPr>
          <w:rFonts w:cs="Arial"/>
          <w:sz w:val="16"/>
          <w:szCs w:val="16"/>
          <w:vertAlign w:val="superscript"/>
        </w:rPr>
        <w:t>2</w:t>
      </w:r>
    </w:p>
    <w:p w14:paraId="68571666" w14:textId="77777777" w:rsidR="00CC0487" w:rsidRPr="003E7026" w:rsidRDefault="00CC0487" w:rsidP="00CC0487">
      <w:pPr>
        <w:spacing w:after="4"/>
        <w:ind w:left="57" w:hanging="57"/>
        <w:jc w:val="left"/>
        <w:rPr>
          <w:rFonts w:cs="Arial"/>
          <w:sz w:val="16"/>
          <w:szCs w:val="16"/>
        </w:rPr>
      </w:pPr>
      <w:r w:rsidRPr="003E7026">
        <w:rPr>
          <w:rFonts w:cs="Arial"/>
          <w:sz w:val="16"/>
          <w:szCs w:val="16"/>
        </w:rPr>
        <w:t>Slowenien</w:t>
      </w:r>
      <w:r w:rsidRPr="003E7026">
        <w:rPr>
          <w:rFonts w:cs="Arial"/>
          <w:sz w:val="16"/>
          <w:szCs w:val="16"/>
          <w:vertAlign w:val="superscript"/>
        </w:rPr>
        <w:t>2</w:t>
      </w:r>
    </w:p>
    <w:p w14:paraId="70032AEE" w14:textId="77777777" w:rsidR="00CC0487" w:rsidRPr="003E7026" w:rsidRDefault="00CC0487" w:rsidP="00CC0487">
      <w:pPr>
        <w:spacing w:after="4"/>
        <w:ind w:left="57" w:hanging="57"/>
        <w:jc w:val="left"/>
        <w:rPr>
          <w:rFonts w:cs="Arial"/>
          <w:sz w:val="16"/>
          <w:szCs w:val="16"/>
        </w:rPr>
      </w:pPr>
      <w:r w:rsidRPr="003E7026">
        <w:rPr>
          <w:rFonts w:cs="Arial"/>
          <w:sz w:val="16"/>
          <w:szCs w:val="16"/>
        </w:rPr>
        <w:t>Spanien</w:t>
      </w:r>
      <w:r w:rsidRPr="003E7026">
        <w:rPr>
          <w:rFonts w:cs="Arial"/>
          <w:sz w:val="16"/>
          <w:szCs w:val="16"/>
          <w:vertAlign w:val="superscript"/>
        </w:rPr>
        <w:t>2</w:t>
      </w:r>
    </w:p>
    <w:p w14:paraId="4492F189" w14:textId="77777777" w:rsidR="00CC0487" w:rsidRPr="003E7026" w:rsidRDefault="00CC0487" w:rsidP="00CC0487">
      <w:pPr>
        <w:spacing w:after="4"/>
        <w:ind w:left="57" w:hanging="57"/>
        <w:jc w:val="left"/>
        <w:rPr>
          <w:rFonts w:cs="Arial"/>
          <w:sz w:val="16"/>
          <w:szCs w:val="16"/>
        </w:rPr>
      </w:pPr>
      <w:r w:rsidRPr="003E7026">
        <w:rPr>
          <w:rFonts w:cs="Arial"/>
          <w:sz w:val="16"/>
          <w:szCs w:val="16"/>
        </w:rPr>
        <w:t>St. Vincent und die Grenadinen</w:t>
      </w:r>
      <w:r w:rsidRPr="003E7026">
        <w:rPr>
          <w:rFonts w:cs="Arial"/>
          <w:sz w:val="16"/>
          <w:szCs w:val="16"/>
          <w:vertAlign w:val="superscript"/>
        </w:rPr>
        <w:t>2</w:t>
      </w:r>
    </w:p>
    <w:p w14:paraId="5448DF06" w14:textId="77777777" w:rsidR="00CC0487" w:rsidRPr="003E7026" w:rsidRDefault="00CC0487" w:rsidP="00CC0487">
      <w:pPr>
        <w:keepNext/>
        <w:spacing w:after="4"/>
        <w:ind w:left="57" w:hanging="57"/>
        <w:jc w:val="left"/>
        <w:rPr>
          <w:rFonts w:cs="Arial"/>
          <w:sz w:val="16"/>
          <w:szCs w:val="16"/>
        </w:rPr>
      </w:pPr>
      <w:r w:rsidRPr="003E7026">
        <w:rPr>
          <w:rFonts w:cs="Arial"/>
          <w:sz w:val="16"/>
          <w:szCs w:val="16"/>
        </w:rPr>
        <w:t>Südafrika</w:t>
      </w:r>
      <w:r w:rsidRPr="003E7026">
        <w:rPr>
          <w:rFonts w:cs="Arial"/>
          <w:sz w:val="16"/>
          <w:szCs w:val="16"/>
          <w:vertAlign w:val="superscript"/>
        </w:rPr>
        <w:t>1</w:t>
      </w:r>
    </w:p>
    <w:p w14:paraId="0AA0C33F" w14:textId="77777777" w:rsidR="00CC0487" w:rsidRPr="003E7026" w:rsidRDefault="00CC0487" w:rsidP="00CC0487">
      <w:pPr>
        <w:spacing w:after="4"/>
        <w:ind w:left="57" w:hanging="57"/>
        <w:jc w:val="left"/>
        <w:rPr>
          <w:rFonts w:cs="Arial"/>
          <w:sz w:val="16"/>
          <w:szCs w:val="16"/>
        </w:rPr>
      </w:pPr>
      <w:r w:rsidRPr="003E7026">
        <w:rPr>
          <w:rFonts w:cs="Arial"/>
          <w:sz w:val="16"/>
          <w:szCs w:val="16"/>
        </w:rPr>
        <w:t>Trinidad und Tobago</w:t>
      </w:r>
      <w:r w:rsidRPr="003E7026">
        <w:rPr>
          <w:rFonts w:cs="Arial"/>
          <w:sz w:val="16"/>
          <w:szCs w:val="16"/>
          <w:vertAlign w:val="superscript"/>
        </w:rPr>
        <w:t>1</w:t>
      </w:r>
    </w:p>
    <w:p w14:paraId="546F0819" w14:textId="77777777" w:rsidR="00CC0487" w:rsidRPr="003E7026" w:rsidRDefault="00CC0487" w:rsidP="00CC0487">
      <w:pPr>
        <w:spacing w:after="4"/>
        <w:ind w:left="57" w:hanging="57"/>
        <w:jc w:val="left"/>
        <w:rPr>
          <w:rFonts w:cs="Arial"/>
          <w:sz w:val="16"/>
          <w:szCs w:val="16"/>
          <w:vertAlign w:val="superscript"/>
        </w:rPr>
      </w:pPr>
      <w:r w:rsidRPr="003E7026">
        <w:rPr>
          <w:rFonts w:cs="Arial"/>
          <w:sz w:val="16"/>
          <w:szCs w:val="16"/>
        </w:rPr>
        <w:t>Tschechische Republik</w:t>
      </w:r>
      <w:r w:rsidRPr="003E7026">
        <w:rPr>
          <w:rFonts w:cs="Arial"/>
          <w:sz w:val="16"/>
          <w:szCs w:val="16"/>
          <w:vertAlign w:val="superscript"/>
        </w:rPr>
        <w:t>2</w:t>
      </w:r>
    </w:p>
    <w:p w14:paraId="42969A79" w14:textId="77777777" w:rsidR="00CC0487" w:rsidRPr="003E7026" w:rsidRDefault="00CC0487" w:rsidP="00CC0487">
      <w:pPr>
        <w:spacing w:after="4"/>
        <w:ind w:left="57" w:hanging="57"/>
        <w:jc w:val="left"/>
        <w:rPr>
          <w:rFonts w:cs="Arial"/>
        </w:rPr>
      </w:pPr>
      <w:r w:rsidRPr="003E7026">
        <w:rPr>
          <w:rFonts w:cs="Arial"/>
          <w:sz w:val="16"/>
        </w:rPr>
        <w:t>Tunesien</w:t>
      </w:r>
      <w:r w:rsidRPr="003E7026">
        <w:rPr>
          <w:rFonts w:cs="Arial"/>
          <w:sz w:val="16"/>
          <w:vertAlign w:val="superscript"/>
        </w:rPr>
        <w:t>2</w:t>
      </w:r>
    </w:p>
    <w:p w14:paraId="26B0E34F" w14:textId="77777777" w:rsidR="00CC0487" w:rsidRPr="003E7026" w:rsidRDefault="00CC0487" w:rsidP="00CC0487">
      <w:pPr>
        <w:spacing w:after="4"/>
        <w:ind w:left="57" w:hanging="57"/>
        <w:jc w:val="left"/>
        <w:rPr>
          <w:rFonts w:cs="Arial"/>
          <w:sz w:val="16"/>
          <w:szCs w:val="16"/>
        </w:rPr>
      </w:pPr>
      <w:r w:rsidRPr="003E7026">
        <w:rPr>
          <w:rFonts w:cs="Arial"/>
          <w:sz w:val="16"/>
          <w:szCs w:val="16"/>
        </w:rPr>
        <w:t>Türkiye</w:t>
      </w:r>
      <w:r w:rsidRPr="003E7026">
        <w:rPr>
          <w:rFonts w:cs="Arial"/>
          <w:sz w:val="16"/>
          <w:szCs w:val="16"/>
          <w:vertAlign w:val="superscript"/>
        </w:rPr>
        <w:t>2</w:t>
      </w:r>
    </w:p>
    <w:p w14:paraId="6B0D0EE2" w14:textId="77777777" w:rsidR="00CC0487" w:rsidRPr="003E7026" w:rsidRDefault="00CC0487" w:rsidP="00CC0487">
      <w:pPr>
        <w:spacing w:after="4"/>
        <w:ind w:left="57" w:hanging="57"/>
        <w:jc w:val="left"/>
        <w:rPr>
          <w:rFonts w:cs="Arial"/>
          <w:sz w:val="16"/>
          <w:szCs w:val="16"/>
        </w:rPr>
      </w:pPr>
      <w:r w:rsidRPr="003E7026">
        <w:rPr>
          <w:rFonts w:cs="Arial"/>
          <w:sz w:val="16"/>
          <w:szCs w:val="16"/>
        </w:rPr>
        <w:t>Ukraine</w:t>
      </w:r>
      <w:r w:rsidRPr="003E7026">
        <w:rPr>
          <w:rFonts w:cs="Arial"/>
          <w:sz w:val="16"/>
          <w:szCs w:val="16"/>
          <w:vertAlign w:val="superscript"/>
        </w:rPr>
        <w:t>2</w:t>
      </w:r>
    </w:p>
    <w:p w14:paraId="6F00F55A" w14:textId="77777777" w:rsidR="00CC0487" w:rsidRPr="003E7026" w:rsidRDefault="00CC0487" w:rsidP="00CC0487">
      <w:pPr>
        <w:spacing w:after="4"/>
        <w:ind w:left="57" w:hanging="57"/>
        <w:jc w:val="left"/>
        <w:rPr>
          <w:rFonts w:cs="Arial"/>
          <w:sz w:val="16"/>
          <w:szCs w:val="16"/>
        </w:rPr>
      </w:pPr>
      <w:r w:rsidRPr="003E7026">
        <w:rPr>
          <w:rFonts w:cs="Arial"/>
          <w:sz w:val="16"/>
          <w:szCs w:val="16"/>
        </w:rPr>
        <w:t>Ungarn</w:t>
      </w:r>
      <w:r w:rsidRPr="003E7026">
        <w:rPr>
          <w:rFonts w:cs="Arial"/>
          <w:sz w:val="16"/>
          <w:szCs w:val="16"/>
          <w:vertAlign w:val="superscript"/>
        </w:rPr>
        <w:t>2</w:t>
      </w:r>
    </w:p>
    <w:p w14:paraId="12D16446" w14:textId="77777777" w:rsidR="00CC0487" w:rsidRPr="003E7026" w:rsidRDefault="00CC0487" w:rsidP="00CC0487">
      <w:pPr>
        <w:spacing w:after="4"/>
        <w:ind w:left="57" w:hanging="57"/>
        <w:jc w:val="left"/>
        <w:rPr>
          <w:rFonts w:cs="Arial"/>
          <w:sz w:val="16"/>
          <w:szCs w:val="16"/>
        </w:rPr>
      </w:pPr>
      <w:r w:rsidRPr="003E7026">
        <w:rPr>
          <w:rFonts w:cs="Arial"/>
          <w:sz w:val="16"/>
          <w:szCs w:val="16"/>
        </w:rPr>
        <w:t>Uruguay</w:t>
      </w:r>
      <w:r w:rsidRPr="003E7026">
        <w:rPr>
          <w:rFonts w:cs="Arial"/>
          <w:sz w:val="16"/>
          <w:szCs w:val="16"/>
          <w:vertAlign w:val="superscript"/>
        </w:rPr>
        <w:t>1</w:t>
      </w:r>
    </w:p>
    <w:p w14:paraId="06009E89" w14:textId="77777777" w:rsidR="00CC0487" w:rsidRPr="003E7026" w:rsidRDefault="00CC0487" w:rsidP="00CC0487">
      <w:pPr>
        <w:spacing w:after="4"/>
        <w:ind w:left="57" w:hanging="57"/>
        <w:jc w:val="left"/>
        <w:rPr>
          <w:rFonts w:cs="Arial"/>
          <w:sz w:val="16"/>
          <w:szCs w:val="16"/>
        </w:rPr>
      </w:pPr>
      <w:r w:rsidRPr="003E7026">
        <w:rPr>
          <w:rFonts w:cs="Arial"/>
          <w:sz w:val="16"/>
          <w:szCs w:val="16"/>
        </w:rPr>
        <w:t>Usbekistan</w:t>
      </w:r>
      <w:r w:rsidRPr="003E7026">
        <w:rPr>
          <w:rFonts w:cs="Arial"/>
          <w:sz w:val="16"/>
          <w:szCs w:val="16"/>
          <w:vertAlign w:val="superscript"/>
        </w:rPr>
        <w:t>2</w:t>
      </w:r>
    </w:p>
    <w:p w14:paraId="60CE9DB9" w14:textId="77777777" w:rsidR="00CC0487" w:rsidRPr="003E7026" w:rsidRDefault="00CC0487" w:rsidP="00CC0487">
      <w:pPr>
        <w:spacing w:after="4"/>
        <w:ind w:left="57" w:right="-34" w:hanging="57"/>
        <w:jc w:val="left"/>
        <w:rPr>
          <w:rFonts w:cs="Arial"/>
          <w:sz w:val="16"/>
          <w:szCs w:val="16"/>
          <w:vertAlign w:val="superscript"/>
        </w:rPr>
      </w:pPr>
      <w:r w:rsidRPr="003E7026">
        <w:rPr>
          <w:rFonts w:cs="Arial"/>
          <w:sz w:val="16"/>
          <w:szCs w:val="16"/>
        </w:rPr>
        <w:t>Vereinigte Republik Tansania</w:t>
      </w:r>
      <w:r w:rsidRPr="003E7026">
        <w:rPr>
          <w:rFonts w:cs="Arial"/>
          <w:sz w:val="16"/>
          <w:szCs w:val="16"/>
          <w:vertAlign w:val="superscript"/>
        </w:rPr>
        <w:t>2</w:t>
      </w:r>
    </w:p>
    <w:p w14:paraId="7185A5A2" w14:textId="77777777" w:rsidR="00CC0487" w:rsidRPr="003E7026" w:rsidRDefault="00CC0487" w:rsidP="00CC0487">
      <w:pPr>
        <w:spacing w:after="4"/>
        <w:ind w:left="57" w:hanging="57"/>
        <w:jc w:val="left"/>
        <w:rPr>
          <w:rFonts w:cs="Arial"/>
          <w:sz w:val="16"/>
          <w:szCs w:val="16"/>
        </w:rPr>
      </w:pPr>
      <w:r w:rsidRPr="003E7026">
        <w:rPr>
          <w:rFonts w:cs="Arial"/>
          <w:sz w:val="16"/>
          <w:szCs w:val="16"/>
        </w:rPr>
        <w:t>Vereinigte Staaten von Amerika</w:t>
      </w:r>
      <w:r w:rsidRPr="003E7026">
        <w:rPr>
          <w:rFonts w:cs="Arial"/>
          <w:sz w:val="16"/>
          <w:szCs w:val="16"/>
          <w:vertAlign w:val="superscript"/>
        </w:rPr>
        <w:t>2</w:t>
      </w:r>
    </w:p>
    <w:p w14:paraId="2F30397B" w14:textId="77777777" w:rsidR="00CC0487" w:rsidRPr="003E7026" w:rsidRDefault="00CC0487" w:rsidP="00CC0487">
      <w:pPr>
        <w:spacing w:after="4"/>
        <w:ind w:left="57" w:hanging="57"/>
        <w:jc w:val="left"/>
        <w:rPr>
          <w:rFonts w:cs="Arial"/>
          <w:sz w:val="16"/>
          <w:szCs w:val="16"/>
        </w:rPr>
      </w:pPr>
      <w:r w:rsidRPr="003E7026">
        <w:rPr>
          <w:rFonts w:cs="Arial"/>
          <w:sz w:val="16"/>
          <w:szCs w:val="16"/>
        </w:rPr>
        <w:t>Vereinigtes Königreich</w:t>
      </w:r>
      <w:r w:rsidRPr="003E7026">
        <w:rPr>
          <w:rFonts w:cs="Arial"/>
          <w:sz w:val="16"/>
          <w:szCs w:val="16"/>
          <w:vertAlign w:val="superscript"/>
        </w:rPr>
        <w:t>2</w:t>
      </w:r>
    </w:p>
    <w:p w14:paraId="6819E073" w14:textId="77777777" w:rsidR="00CC0487" w:rsidRPr="003E7026" w:rsidRDefault="00CC0487" w:rsidP="00CC0487">
      <w:pPr>
        <w:spacing w:after="4"/>
        <w:ind w:left="57" w:hanging="57"/>
        <w:jc w:val="left"/>
        <w:rPr>
          <w:rFonts w:cs="Arial"/>
          <w:sz w:val="16"/>
          <w:szCs w:val="16"/>
          <w:vertAlign w:val="superscript"/>
        </w:rPr>
      </w:pPr>
      <w:r w:rsidRPr="003E7026">
        <w:rPr>
          <w:rFonts w:cs="Arial"/>
          <w:sz w:val="16"/>
          <w:szCs w:val="16"/>
        </w:rPr>
        <w:t>Vietnam</w:t>
      </w:r>
      <w:r w:rsidRPr="003E7026">
        <w:rPr>
          <w:rFonts w:cs="Arial"/>
          <w:sz w:val="16"/>
          <w:szCs w:val="16"/>
          <w:vertAlign w:val="superscript"/>
        </w:rPr>
        <w:t>2</w:t>
      </w:r>
    </w:p>
    <w:p w14:paraId="43C48188" w14:textId="77777777" w:rsidR="00CC0487" w:rsidRPr="003E7026" w:rsidRDefault="00CC0487" w:rsidP="00CC0487">
      <w:pPr>
        <w:spacing w:before="40"/>
        <w:rPr>
          <w:rFonts w:cs="Arial"/>
          <w:sz w:val="16"/>
          <w:szCs w:val="16"/>
        </w:rPr>
      </w:pPr>
    </w:p>
    <w:p w14:paraId="64AA0B81" w14:textId="77777777" w:rsidR="00CC0487" w:rsidRPr="003E7026" w:rsidRDefault="00CC0487" w:rsidP="00CC0487">
      <w:pPr>
        <w:spacing w:before="40"/>
        <w:jc w:val="left"/>
        <w:rPr>
          <w:rFonts w:cs="Arial"/>
          <w:sz w:val="16"/>
          <w:szCs w:val="16"/>
        </w:rPr>
      </w:pPr>
      <w:r w:rsidRPr="003E7026">
        <w:rPr>
          <w:rFonts w:cs="Arial"/>
          <w:sz w:val="16"/>
          <w:szCs w:val="16"/>
        </w:rPr>
        <w:t>(Insgesamt 78)</w:t>
      </w:r>
    </w:p>
    <w:p w14:paraId="6A88508B" w14:textId="77777777" w:rsidR="00CC0487" w:rsidRPr="003E7026" w:rsidRDefault="00CC0487" w:rsidP="00CC0487">
      <w:pPr>
        <w:spacing w:before="40"/>
        <w:rPr>
          <w:rFonts w:cs="Arial"/>
          <w:sz w:val="16"/>
          <w:szCs w:val="16"/>
        </w:rPr>
        <w:sectPr w:rsidR="00CC0487" w:rsidRPr="003E7026" w:rsidSect="00A11A43">
          <w:headerReference w:type="even" r:id="rId26"/>
          <w:footerReference w:type="even" r:id="rId27"/>
          <w:footerReference w:type="default" r:id="rId28"/>
          <w:headerReference w:type="first" r:id="rId29"/>
          <w:footerReference w:type="first" r:id="rId30"/>
          <w:type w:val="continuous"/>
          <w:pgSz w:w="11907" w:h="16840" w:code="9"/>
          <w:pgMar w:top="340" w:right="851" w:bottom="567" w:left="993" w:header="510" w:footer="284" w:gutter="0"/>
          <w:cols w:num="5" w:space="0" w:equalWidth="0">
            <w:col w:w="2478" w:space="0"/>
            <w:col w:w="1972" w:space="0"/>
            <w:col w:w="1728" w:space="0"/>
            <w:col w:w="1759" w:space="0"/>
            <w:col w:w="2268"/>
          </w:cols>
          <w:docGrid w:linePitch="272"/>
        </w:sectPr>
      </w:pPr>
    </w:p>
    <w:p w14:paraId="0A86C7EE" w14:textId="77777777" w:rsidR="00CC0487" w:rsidRPr="003E7026" w:rsidRDefault="00CC0487" w:rsidP="00CC0487">
      <w:pPr>
        <w:spacing w:before="40"/>
        <w:jc w:val="right"/>
        <w:rPr>
          <w:rFonts w:cs="Arial"/>
          <w:sz w:val="16"/>
          <w:szCs w:val="16"/>
        </w:rPr>
      </w:pPr>
    </w:p>
    <w:p w14:paraId="6FB0AA5C" w14:textId="77777777" w:rsidR="00CC0487" w:rsidRPr="003E7026" w:rsidRDefault="00CC0487" w:rsidP="00CC0487">
      <w:pPr>
        <w:tabs>
          <w:tab w:val="left" w:pos="1418"/>
        </w:tabs>
        <w:spacing w:before="40" w:after="120"/>
        <w:jc w:val="left"/>
        <w:rPr>
          <w:sz w:val="16"/>
          <w:u w:val="single"/>
        </w:rPr>
      </w:pPr>
      <w:r w:rsidRPr="003E7026">
        <w:rPr>
          <w:sz w:val="16"/>
          <w:u w:val="single"/>
        </w:rPr>
        <w:tab/>
      </w:r>
    </w:p>
    <w:p w14:paraId="67846E66" w14:textId="77777777" w:rsidR="00CC0487" w:rsidRPr="003E7026" w:rsidRDefault="00CC0487" w:rsidP="00CC0487">
      <w:pPr>
        <w:tabs>
          <w:tab w:val="left" w:pos="284"/>
        </w:tabs>
        <w:spacing w:before="60" w:after="40"/>
        <w:ind w:left="284" w:right="465" w:hanging="284"/>
        <w:rPr>
          <w:rFonts w:cs="Arial"/>
          <w:sz w:val="14"/>
          <w:szCs w:val="16"/>
        </w:rPr>
      </w:pPr>
      <w:r w:rsidRPr="003E7026">
        <w:rPr>
          <w:sz w:val="14"/>
          <w:szCs w:val="16"/>
          <w:vertAlign w:val="superscript"/>
        </w:rPr>
        <w:t>1</w:t>
      </w:r>
      <w:r w:rsidRPr="003E7026">
        <w:tab/>
      </w:r>
      <w:r w:rsidRPr="003E7026">
        <w:rPr>
          <w:sz w:val="14"/>
          <w:szCs w:val="16"/>
        </w:rPr>
        <w:t>Die Akte von 1978 ist die neueste Akte, an die 17 Staaten gebunden sind.</w:t>
      </w:r>
    </w:p>
    <w:p w14:paraId="5E8C3D4F" w14:textId="77777777" w:rsidR="00CC0487" w:rsidRPr="003E7026" w:rsidRDefault="00CC0487" w:rsidP="00CC0487">
      <w:pPr>
        <w:tabs>
          <w:tab w:val="left" w:pos="284"/>
        </w:tabs>
        <w:spacing w:after="40"/>
        <w:ind w:left="284" w:right="467" w:hanging="283"/>
        <w:rPr>
          <w:rFonts w:cs="Arial"/>
          <w:sz w:val="14"/>
          <w:szCs w:val="16"/>
        </w:rPr>
      </w:pPr>
      <w:r w:rsidRPr="003E7026">
        <w:rPr>
          <w:sz w:val="14"/>
          <w:szCs w:val="16"/>
          <w:vertAlign w:val="superscript"/>
        </w:rPr>
        <w:t>2</w:t>
      </w:r>
      <w:r w:rsidRPr="003E7026">
        <w:tab/>
      </w:r>
      <w:r w:rsidRPr="003E7026">
        <w:rPr>
          <w:sz w:val="14"/>
          <w:szCs w:val="16"/>
        </w:rPr>
        <w:t>Die Akte von 1991 ist die neueste Akte, an die 59 Staaten und 2 Organisationen gebunden sind.</w:t>
      </w:r>
    </w:p>
    <w:p w14:paraId="4518DC03" w14:textId="77777777" w:rsidR="00CC0487" w:rsidRPr="003E7026" w:rsidRDefault="00CC0487" w:rsidP="00CC0487">
      <w:pPr>
        <w:tabs>
          <w:tab w:val="left" w:pos="284"/>
        </w:tabs>
        <w:spacing w:after="40"/>
        <w:ind w:left="284" w:right="467" w:hanging="283"/>
        <w:rPr>
          <w:sz w:val="14"/>
          <w:szCs w:val="14"/>
        </w:rPr>
      </w:pPr>
      <w:r w:rsidRPr="003E7026">
        <w:rPr>
          <w:sz w:val="14"/>
          <w:szCs w:val="16"/>
          <w:vertAlign w:val="superscript"/>
        </w:rPr>
        <w:t>3</w:t>
      </w:r>
      <w:r w:rsidRPr="003E7026">
        <w:tab/>
      </w:r>
      <w:r w:rsidRPr="003E7026">
        <w:rPr>
          <w:sz w:val="14"/>
          <w:szCs w:val="16"/>
        </w:rPr>
        <w:t xml:space="preserve">Betreibt ein Züchterrechtssystem, das das Hoheitsgebiet ihrer 27 Mitgliedstaaten erfasst </w:t>
      </w:r>
      <w:r w:rsidRPr="003E7026">
        <w:rPr>
          <w:rFonts w:eastAsia="Arial" w:cs="Arial"/>
          <w:i/>
          <w:sz w:val="14"/>
          <w:szCs w:val="14"/>
        </w:rPr>
        <w:t>(Belgien, Bulgarien, Dänemark, Deutschland, Estland, Finnland, Frankreich, Griechenland, Irland, Italien, Kroatien, Lettland, Litauen, Luxemburg, Malta, Niederlande, Österreich, Polen, Portugal, Rumänien, Schweden, Slowakei, Slowenien, Spanien, Tschechische Republik, Ungarn, Zypern).</w:t>
      </w:r>
    </w:p>
    <w:p w14:paraId="65BD3089" w14:textId="77777777" w:rsidR="00CC0487" w:rsidRPr="003E7026" w:rsidRDefault="00CC0487" w:rsidP="00CC0487">
      <w:pPr>
        <w:tabs>
          <w:tab w:val="left" w:pos="284"/>
        </w:tabs>
        <w:spacing w:after="40"/>
        <w:ind w:left="284" w:right="467" w:hanging="283"/>
        <w:rPr>
          <w:rFonts w:eastAsia="Arial" w:cs="Arial"/>
          <w:i/>
          <w:sz w:val="14"/>
          <w:szCs w:val="14"/>
        </w:rPr>
      </w:pPr>
      <w:r w:rsidRPr="003E7026">
        <w:rPr>
          <w:sz w:val="14"/>
          <w:szCs w:val="16"/>
          <w:vertAlign w:val="superscript"/>
        </w:rPr>
        <w:t>4</w:t>
      </w:r>
      <w:r w:rsidRPr="003E7026">
        <w:tab/>
      </w:r>
      <w:r w:rsidRPr="003E7026">
        <w:rPr>
          <w:sz w:val="14"/>
          <w:szCs w:val="16"/>
        </w:rPr>
        <w:t xml:space="preserve">Betreibt ein Züchterrechtssystem, das das Hoheitsgebiet ihrer 17 Mitgliedstaaten erfasst </w:t>
      </w:r>
      <w:r w:rsidRPr="003E7026">
        <w:rPr>
          <w:rFonts w:eastAsia="Arial" w:cs="Arial"/>
          <w:i/>
          <w:sz w:val="14"/>
          <w:szCs w:val="14"/>
        </w:rPr>
        <w:t>(Äquatorialguinea, Benin, Burkina Faso, Côte d‘Ivoire, Gabun, Guinea, Guinea-Bissau, Kamerun, Komoren, Kongo, Mali, Mauretanien, Niger, Senegal, Togo, Tschad, Zentralafrikanische Republik)</w:t>
      </w:r>
    </w:p>
    <w:p w14:paraId="25FBE29F" w14:textId="77777777" w:rsidR="00CC0487" w:rsidRPr="003E7026" w:rsidRDefault="00CC0487" w:rsidP="00CC0487">
      <w:pPr>
        <w:pStyle w:val="BodyText3"/>
        <w:tabs>
          <w:tab w:val="left" w:pos="284"/>
        </w:tabs>
        <w:spacing w:after="0" w:line="360" w:lineRule="auto"/>
        <w:jc w:val="both"/>
        <w:rPr>
          <w:rFonts w:ascii="Arial" w:hAnsi="Arial" w:cs="Arial"/>
          <w:sz w:val="18"/>
          <w:szCs w:val="20"/>
        </w:rPr>
      </w:pPr>
    </w:p>
    <w:p w14:paraId="4B31A1FD" w14:textId="77777777" w:rsidR="00CC0487" w:rsidRPr="003E7026" w:rsidRDefault="00CC0487" w:rsidP="00CC0487">
      <w:pPr>
        <w:ind w:left="284" w:hanging="284"/>
        <w:jc w:val="left"/>
        <w:rPr>
          <w:rFonts w:cs="Arial"/>
          <w:b/>
          <w:color w:val="26724C" w:themeColor="accent1" w:themeShade="BF"/>
          <w:spacing w:val="-2"/>
          <w:sz w:val="18"/>
          <w:szCs w:val="16"/>
        </w:rPr>
      </w:pPr>
      <w:r w:rsidRPr="003E7026">
        <w:rPr>
          <w:rFonts w:cs="Arial"/>
          <w:b/>
          <w:color w:val="26724C" w:themeColor="accent1" w:themeShade="BF"/>
          <w:spacing w:val="-2"/>
          <w:sz w:val="18"/>
          <w:szCs w:val="16"/>
        </w:rPr>
        <w:t>B.</w:t>
      </w:r>
      <w:r w:rsidRPr="003E7026">
        <w:rPr>
          <w:rFonts w:cs="Arial"/>
          <w:b/>
          <w:color w:val="26724C" w:themeColor="accent1" w:themeShade="BF"/>
          <w:spacing w:val="-2"/>
          <w:sz w:val="18"/>
          <w:szCs w:val="16"/>
        </w:rPr>
        <w:tab/>
      </w:r>
      <w:r w:rsidRPr="003E7026">
        <w:rPr>
          <w:rFonts w:cs="Arial"/>
          <w:b/>
          <w:color w:val="26724C" w:themeColor="accent1" w:themeShade="BF"/>
          <w:sz w:val="18"/>
        </w:rPr>
        <w:t xml:space="preserve">Staaten </w:t>
      </w:r>
      <w:r w:rsidRPr="003E7026">
        <w:rPr>
          <w:rFonts w:cs="Arial"/>
          <w:b/>
          <w:color w:val="26724C" w:themeColor="accent1" w:themeShade="BF"/>
          <w:spacing w:val="-2"/>
          <w:sz w:val="18"/>
          <w:szCs w:val="16"/>
        </w:rPr>
        <w:t>und zwischenstaatliche Organisationen, die das Verfahren für den Beitritt zum UPOV-Übereinkommen eingeleitet haben</w:t>
      </w:r>
    </w:p>
    <w:p w14:paraId="4A20318A" w14:textId="77777777" w:rsidR="00CC0487" w:rsidRPr="003E7026" w:rsidRDefault="00CC0487" w:rsidP="00CC0487">
      <w:pPr>
        <w:tabs>
          <w:tab w:val="left" w:pos="284"/>
        </w:tabs>
        <w:ind w:left="284"/>
        <w:rPr>
          <w:rFonts w:cs="Arial"/>
          <w:sz w:val="16"/>
          <w:szCs w:val="16"/>
        </w:rPr>
      </w:pPr>
    </w:p>
    <w:p w14:paraId="501951AD" w14:textId="77777777" w:rsidR="00CC0487" w:rsidRPr="003E7026" w:rsidRDefault="00CC0487" w:rsidP="00CC0487">
      <w:pPr>
        <w:keepNext/>
        <w:rPr>
          <w:rFonts w:cs="Arial"/>
          <w:i/>
          <w:sz w:val="16"/>
          <w:szCs w:val="16"/>
        </w:rPr>
      </w:pPr>
      <w:r w:rsidRPr="003E7026">
        <w:rPr>
          <w:rFonts w:cs="Arial"/>
          <w:i/>
          <w:sz w:val="16"/>
          <w:szCs w:val="16"/>
        </w:rPr>
        <w:t>Staaten (19):</w:t>
      </w:r>
    </w:p>
    <w:p w14:paraId="765F2BD1" w14:textId="77777777" w:rsidR="00CC0487" w:rsidRPr="003E7026" w:rsidRDefault="00CC0487" w:rsidP="00CC0487">
      <w:pPr>
        <w:keepNext/>
        <w:rPr>
          <w:rFonts w:cs="Arial"/>
          <w:sz w:val="10"/>
          <w:szCs w:val="16"/>
        </w:rPr>
      </w:pPr>
    </w:p>
    <w:p w14:paraId="3C20E630" w14:textId="77777777" w:rsidR="00CC0487" w:rsidRPr="003E7026" w:rsidRDefault="00CC0487" w:rsidP="00CC0487">
      <w:pPr>
        <w:rPr>
          <w:rFonts w:cs="Arial"/>
          <w:spacing w:val="-2"/>
          <w:sz w:val="16"/>
          <w:szCs w:val="16"/>
        </w:rPr>
      </w:pPr>
      <w:r w:rsidRPr="003E7026">
        <w:rPr>
          <w:rFonts w:cs="Arial"/>
          <w:spacing w:val="-2"/>
          <w:sz w:val="16"/>
          <w:szCs w:val="16"/>
        </w:rPr>
        <w:t>Afghanistan, Armenien, Brunei Darussalam, Guatemala, Honduras, Indien, Iran (Islamische Republik), Jamaika, Kasachstan, Malaysia, Mauritius, Mongolei, Myanmar, Nigeria, Philippinen, Simbabwe, Tadschikistan, Vereinigte Arabische Emirate, Venezuela (Bolivarische Republik)</w:t>
      </w:r>
    </w:p>
    <w:p w14:paraId="552BA39E" w14:textId="77777777" w:rsidR="00CC0487" w:rsidRPr="003E7026" w:rsidRDefault="00CC0487" w:rsidP="00CC0487">
      <w:pPr>
        <w:rPr>
          <w:rFonts w:cs="Arial"/>
          <w:spacing w:val="-2"/>
          <w:sz w:val="16"/>
          <w:szCs w:val="16"/>
        </w:rPr>
      </w:pPr>
    </w:p>
    <w:p w14:paraId="0630B89F" w14:textId="77777777" w:rsidR="00CC0487" w:rsidRPr="003E7026" w:rsidRDefault="00CC0487" w:rsidP="00CC0487">
      <w:pPr>
        <w:rPr>
          <w:rFonts w:cs="Arial"/>
          <w:spacing w:val="-2"/>
          <w:sz w:val="16"/>
          <w:szCs w:val="16"/>
        </w:rPr>
      </w:pPr>
      <w:r w:rsidRPr="003E7026">
        <w:rPr>
          <w:rFonts w:cs="Arial"/>
          <w:i/>
          <w:spacing w:val="-2"/>
          <w:sz w:val="16"/>
          <w:szCs w:val="16"/>
        </w:rPr>
        <w:t>Organisation (1):</w:t>
      </w:r>
    </w:p>
    <w:p w14:paraId="16276589" w14:textId="77777777" w:rsidR="00CC0487" w:rsidRPr="003E7026" w:rsidRDefault="00CC0487" w:rsidP="00CC0487">
      <w:pPr>
        <w:rPr>
          <w:rFonts w:cs="Arial"/>
          <w:spacing w:val="-2"/>
          <w:sz w:val="16"/>
          <w:szCs w:val="16"/>
        </w:rPr>
      </w:pPr>
    </w:p>
    <w:p w14:paraId="006EEDF9" w14:textId="77777777" w:rsidR="00CC0487" w:rsidRPr="003E7026" w:rsidRDefault="00CC0487" w:rsidP="00CC0487">
      <w:pPr>
        <w:rPr>
          <w:rFonts w:cs="Arial"/>
          <w:spacing w:val="-2"/>
          <w:sz w:val="16"/>
          <w:szCs w:val="16"/>
        </w:rPr>
      </w:pPr>
      <w:r w:rsidRPr="003E7026">
        <w:rPr>
          <w:rFonts w:cs="Arial"/>
          <w:spacing w:val="-2"/>
          <w:sz w:val="16"/>
          <w:szCs w:val="16"/>
        </w:rPr>
        <w:t>Afrikanische Regionalorganisation für geistiges Eigentum (ARIPO)</w:t>
      </w:r>
    </w:p>
    <w:p w14:paraId="3AAC1B96" w14:textId="77777777" w:rsidR="00CC0487" w:rsidRPr="003E7026" w:rsidRDefault="00CC0487" w:rsidP="00CC0487">
      <w:pPr>
        <w:rPr>
          <w:rFonts w:cs="Arial"/>
          <w:spacing w:val="-2"/>
          <w:sz w:val="16"/>
          <w:szCs w:val="16"/>
        </w:rPr>
      </w:pPr>
      <w:r w:rsidRPr="003E7026">
        <w:rPr>
          <w:rFonts w:cs="Arial"/>
          <w:i/>
          <w:spacing w:val="-2"/>
          <w:sz w:val="16"/>
          <w:szCs w:val="16"/>
        </w:rPr>
        <w:t xml:space="preserve">(Mitgliedstaaten der ARIPO (20): Botsuana, Eswatini, Gambia, Ghana, Kenia, Lesotho, Liberia, Malawi, Mauritius, Mosambik, Namibia, Ruanda, Sambia, São Tomé und Príncipe, Sierra Leone, Simbabwe, Somalia, Sudan, Uganda, Vereinigte Republik Tansania) </w:t>
      </w:r>
    </w:p>
    <w:p w14:paraId="77AB10D2" w14:textId="77777777" w:rsidR="00CC0487" w:rsidRPr="003E7026" w:rsidRDefault="00CC0487" w:rsidP="00CC0487">
      <w:pPr>
        <w:rPr>
          <w:rFonts w:cs="Arial"/>
          <w:sz w:val="16"/>
          <w:szCs w:val="16"/>
        </w:rPr>
      </w:pPr>
    </w:p>
    <w:p w14:paraId="78B150F5" w14:textId="77777777" w:rsidR="00CC0487" w:rsidRPr="003E7026" w:rsidRDefault="00CC0487" w:rsidP="00CC0487">
      <w:pPr>
        <w:rPr>
          <w:rFonts w:cs="Arial"/>
          <w:sz w:val="16"/>
          <w:szCs w:val="16"/>
        </w:rPr>
      </w:pPr>
    </w:p>
    <w:p w14:paraId="457BACD5" w14:textId="77777777" w:rsidR="00CC0487" w:rsidRPr="003E7026" w:rsidRDefault="00CC0487" w:rsidP="00CC0487">
      <w:pPr>
        <w:ind w:left="284" w:hanging="284"/>
        <w:jc w:val="left"/>
        <w:rPr>
          <w:rFonts w:cs="Arial"/>
          <w:b/>
          <w:color w:val="26724C" w:themeColor="accent1" w:themeShade="BF"/>
          <w:sz w:val="18"/>
          <w:szCs w:val="24"/>
        </w:rPr>
      </w:pPr>
      <w:r w:rsidRPr="003E7026">
        <w:rPr>
          <w:rFonts w:cs="Arial"/>
          <w:b/>
          <w:color w:val="26724C" w:themeColor="accent1" w:themeShade="BF"/>
          <w:sz w:val="18"/>
          <w:szCs w:val="24"/>
        </w:rPr>
        <w:t>C.</w:t>
      </w:r>
      <w:r w:rsidRPr="003E7026">
        <w:rPr>
          <w:rFonts w:cs="Arial"/>
          <w:b/>
          <w:color w:val="26724C" w:themeColor="accent1" w:themeShade="BF"/>
          <w:sz w:val="18"/>
          <w:szCs w:val="24"/>
        </w:rPr>
        <w:tab/>
      </w:r>
      <w:r w:rsidRPr="003E7026">
        <w:rPr>
          <w:rFonts w:cs="Arial"/>
          <w:b/>
          <w:color w:val="26724C" w:themeColor="accent1" w:themeShade="BF"/>
          <w:sz w:val="18"/>
        </w:rPr>
        <w:t xml:space="preserve">Staaten </w:t>
      </w:r>
      <w:r w:rsidRPr="003E7026">
        <w:rPr>
          <w:rFonts w:cs="Arial"/>
          <w:b/>
          <w:color w:val="26724C" w:themeColor="accent1" w:themeShade="BF"/>
          <w:sz w:val="18"/>
          <w:szCs w:val="24"/>
        </w:rPr>
        <w:t xml:space="preserve">und </w:t>
      </w:r>
      <w:r w:rsidRPr="003E7026">
        <w:rPr>
          <w:rFonts w:cs="Arial"/>
          <w:b/>
          <w:color w:val="26724C" w:themeColor="accent1" w:themeShade="BF"/>
          <w:spacing w:val="-2"/>
          <w:sz w:val="18"/>
          <w:szCs w:val="16"/>
        </w:rPr>
        <w:t xml:space="preserve">zwischenstaatliche </w:t>
      </w:r>
      <w:r w:rsidRPr="003E7026">
        <w:rPr>
          <w:rFonts w:cs="Arial"/>
          <w:b/>
          <w:color w:val="26724C" w:themeColor="accent1" w:themeShade="BF"/>
          <w:sz w:val="18"/>
          <w:szCs w:val="24"/>
        </w:rPr>
        <w:t xml:space="preserve">Organisationen, die im Hinblick auf Unterstützung bei der Ausarbeitung von Rechtsvorschriften aufgrund des UPOV-Übereinkommens mit dem Verbandsbüro in Verbindung standen </w:t>
      </w:r>
    </w:p>
    <w:p w14:paraId="34A23B86" w14:textId="77777777" w:rsidR="00CC0487" w:rsidRPr="003E7026" w:rsidRDefault="00CC0487" w:rsidP="00CC0487">
      <w:pPr>
        <w:jc w:val="center"/>
        <w:rPr>
          <w:rFonts w:cs="Arial"/>
          <w:b/>
          <w:sz w:val="18"/>
          <w:szCs w:val="24"/>
        </w:rPr>
      </w:pPr>
    </w:p>
    <w:p w14:paraId="4ED25CD8" w14:textId="77777777" w:rsidR="00CC0487" w:rsidRPr="003E7026" w:rsidRDefault="00CC0487" w:rsidP="00CC0487">
      <w:pPr>
        <w:keepNext/>
        <w:rPr>
          <w:rFonts w:cs="Arial"/>
          <w:i/>
          <w:sz w:val="16"/>
          <w:szCs w:val="24"/>
        </w:rPr>
      </w:pPr>
      <w:r w:rsidRPr="003E7026">
        <w:rPr>
          <w:rFonts w:cs="Arial"/>
          <w:i/>
          <w:sz w:val="16"/>
          <w:szCs w:val="24"/>
        </w:rPr>
        <w:t>Staaten (23):</w:t>
      </w:r>
    </w:p>
    <w:p w14:paraId="7740AA26" w14:textId="77777777" w:rsidR="00CC0487" w:rsidRPr="003E7026" w:rsidRDefault="00CC0487" w:rsidP="00CC0487">
      <w:pPr>
        <w:keepNext/>
        <w:rPr>
          <w:rFonts w:cs="Arial"/>
          <w:sz w:val="10"/>
          <w:szCs w:val="24"/>
        </w:rPr>
      </w:pPr>
    </w:p>
    <w:p w14:paraId="06CC724A" w14:textId="77777777" w:rsidR="00CC0487" w:rsidRPr="003E7026" w:rsidRDefault="00CC0487" w:rsidP="00CC0487">
      <w:pPr>
        <w:rPr>
          <w:rFonts w:cs="Arial"/>
          <w:spacing w:val="-2"/>
          <w:sz w:val="16"/>
          <w:szCs w:val="16"/>
        </w:rPr>
      </w:pPr>
      <w:r w:rsidRPr="003E7026">
        <w:rPr>
          <w:rFonts w:cs="Arial"/>
          <w:spacing w:val="-2"/>
          <w:sz w:val="16"/>
          <w:szCs w:val="16"/>
        </w:rPr>
        <w:t>Algerien, Antigua und Barbuda, Bahrain, Barbados, Demokratische Volksrepublik Laos, El Salvador, Indonesien, Irak, Kambodscha, Kuba, Libyen, Liechtenstein, Malawi, Mosambik, Namibia, Pakistan, Saudi-Arabien, Sambia, Sudan, Thailand, Tonga, Turkmenistan, Zypern</w:t>
      </w:r>
    </w:p>
    <w:p w14:paraId="6C49255F" w14:textId="77777777" w:rsidR="00CC0487" w:rsidRPr="003E7026" w:rsidRDefault="00CC0487" w:rsidP="00CC0487">
      <w:pPr>
        <w:rPr>
          <w:rFonts w:cs="Arial"/>
          <w:spacing w:val="-2"/>
          <w:sz w:val="16"/>
          <w:szCs w:val="16"/>
        </w:rPr>
      </w:pPr>
    </w:p>
    <w:p w14:paraId="4D2B98F5" w14:textId="77777777" w:rsidR="00CC0487" w:rsidRPr="003E7026" w:rsidRDefault="00CC0487" w:rsidP="00CC0487">
      <w:pPr>
        <w:rPr>
          <w:rFonts w:cs="Arial"/>
          <w:spacing w:val="-2"/>
          <w:sz w:val="16"/>
          <w:szCs w:val="16"/>
        </w:rPr>
      </w:pPr>
      <w:r w:rsidRPr="003E7026">
        <w:rPr>
          <w:rFonts w:cs="Arial"/>
          <w:i/>
          <w:spacing w:val="-2"/>
          <w:sz w:val="16"/>
          <w:szCs w:val="16"/>
        </w:rPr>
        <w:t>Organisation (1):</w:t>
      </w:r>
    </w:p>
    <w:p w14:paraId="1C97DB21" w14:textId="77777777" w:rsidR="00CC0487" w:rsidRPr="003E7026" w:rsidRDefault="00CC0487" w:rsidP="00CC0487">
      <w:pPr>
        <w:rPr>
          <w:rFonts w:cs="Arial"/>
          <w:spacing w:val="-2"/>
          <w:sz w:val="16"/>
          <w:szCs w:val="16"/>
        </w:rPr>
      </w:pPr>
    </w:p>
    <w:p w14:paraId="08BE3897" w14:textId="77777777" w:rsidR="00CC0487" w:rsidRPr="003E7026" w:rsidRDefault="00CC0487" w:rsidP="00CC0487">
      <w:pPr>
        <w:rPr>
          <w:rFonts w:cs="Arial"/>
          <w:spacing w:val="-2"/>
          <w:sz w:val="16"/>
          <w:szCs w:val="16"/>
        </w:rPr>
      </w:pPr>
      <w:r w:rsidRPr="003E7026">
        <w:rPr>
          <w:rFonts w:cs="Arial"/>
          <w:spacing w:val="-2"/>
          <w:sz w:val="16"/>
          <w:szCs w:val="16"/>
        </w:rPr>
        <w:t>Entwicklungsgemeinschaft des südlichen Afrika (SADC)</w:t>
      </w:r>
    </w:p>
    <w:p w14:paraId="048DA3CB" w14:textId="77777777" w:rsidR="00CC0487" w:rsidRPr="003E7026" w:rsidRDefault="00CC0487" w:rsidP="00CC0487">
      <w:pPr>
        <w:rPr>
          <w:rFonts w:cs="Arial"/>
          <w:i/>
          <w:spacing w:val="-2"/>
          <w:sz w:val="16"/>
          <w:szCs w:val="16"/>
        </w:rPr>
      </w:pPr>
      <w:r w:rsidRPr="003E7026">
        <w:rPr>
          <w:rFonts w:cs="Arial"/>
          <w:i/>
          <w:spacing w:val="-2"/>
          <w:sz w:val="16"/>
          <w:szCs w:val="16"/>
        </w:rPr>
        <w:t>(Mitgliedstaaten der SADC (15): Angola, Botsuana, Demokratische Republik Kongo, Eswatini, Lesotho, Madagaskar, Malawi, Mauritius, Mosambik, Namibia, Sambia, Seychellen, Simbabwe, Südafrika, Vereinigte Republik Tansania)</w:t>
      </w:r>
    </w:p>
    <w:p w14:paraId="48D1594B" w14:textId="77777777" w:rsidR="00CC0487" w:rsidRPr="003E7026" w:rsidRDefault="00CC0487" w:rsidP="00CC0487"/>
    <w:p w14:paraId="225B7514" w14:textId="77777777" w:rsidR="00CC0487" w:rsidRPr="003E7026" w:rsidRDefault="00CC0487" w:rsidP="00CC0487">
      <w:pPr>
        <w:rPr>
          <w:rFonts w:cs="Arial"/>
          <w:snapToGrid w:val="0"/>
          <w:color w:val="000000"/>
        </w:rPr>
      </w:pPr>
    </w:p>
    <w:p w14:paraId="29A74A26" w14:textId="77777777" w:rsidR="00CC0487" w:rsidRPr="003E7026" w:rsidRDefault="00CC0487" w:rsidP="00CC0487">
      <w:pPr>
        <w:rPr>
          <w:rFonts w:cs="Arial"/>
          <w:snapToGrid w:val="0"/>
          <w:color w:val="000000"/>
        </w:rPr>
      </w:pPr>
    </w:p>
    <w:p w14:paraId="11D44B08" w14:textId="77777777" w:rsidR="00CC0487" w:rsidRPr="003E7026" w:rsidRDefault="00CC0487" w:rsidP="00CC0487">
      <w:pPr>
        <w:pStyle w:val="Endofdocument"/>
        <w:jc w:val="right"/>
        <w:rPr>
          <w:rFonts w:ascii="Arial" w:hAnsi="Arial" w:cs="Arial"/>
          <w:snapToGrid w:val="0"/>
          <w:color w:val="000000"/>
          <w:sz w:val="20"/>
        </w:rPr>
      </w:pPr>
      <w:r w:rsidRPr="003E7026">
        <w:rPr>
          <w:rFonts w:ascii="Arial" w:hAnsi="Arial" w:cs="Arial"/>
          <w:snapToGrid w:val="0"/>
          <w:color w:val="000000"/>
          <w:sz w:val="20"/>
        </w:rPr>
        <w:t>[Anhang II folgt]</w:t>
      </w:r>
    </w:p>
    <w:p w14:paraId="184F205D" w14:textId="77777777" w:rsidR="00CC0487" w:rsidRPr="003E7026" w:rsidRDefault="00CC0487" w:rsidP="00CC0487">
      <w:pPr>
        <w:pStyle w:val="Endofdocument"/>
        <w:jc w:val="both"/>
        <w:rPr>
          <w:rFonts w:ascii="Arial" w:hAnsi="Arial" w:cs="Arial"/>
          <w:snapToGrid w:val="0"/>
          <w:color w:val="000000"/>
          <w:sz w:val="20"/>
        </w:rPr>
        <w:sectPr w:rsidR="00CC0487" w:rsidRPr="003E7026" w:rsidSect="008577A0">
          <w:headerReference w:type="even" r:id="rId31"/>
          <w:footerReference w:type="even" r:id="rId32"/>
          <w:footerReference w:type="default" r:id="rId33"/>
          <w:headerReference w:type="first" r:id="rId34"/>
          <w:footerReference w:type="first" r:id="rId35"/>
          <w:type w:val="continuous"/>
          <w:pgSz w:w="11907" w:h="16840" w:code="9"/>
          <w:pgMar w:top="510" w:right="1134" w:bottom="1134" w:left="1134" w:header="510" w:footer="624" w:gutter="0"/>
          <w:cols w:space="720"/>
        </w:sectPr>
      </w:pPr>
    </w:p>
    <w:p w14:paraId="2E995AF1" w14:textId="77777777" w:rsidR="00CC0487" w:rsidRPr="003E7026" w:rsidRDefault="00CC0487" w:rsidP="00CC0487">
      <w:pPr>
        <w:pStyle w:val="Heading9"/>
        <w:rPr>
          <w:lang w:val="de-DE"/>
        </w:rPr>
      </w:pPr>
      <w:bookmarkStart w:id="488" w:name="_Toc128060740"/>
      <w:r w:rsidRPr="003E7026">
        <w:rPr>
          <w:lang w:val="de-DE"/>
        </w:rPr>
        <w:lastRenderedPageBreak/>
        <w:t>ANHANG II</w:t>
      </w:r>
      <w:r w:rsidRPr="003E7026">
        <w:rPr>
          <w:lang w:val="de-DE"/>
        </w:rPr>
        <w:tab/>
        <w:t>Beiträge der Verbandsmitglieder zum 31. Dezember 2022</w:t>
      </w:r>
      <w:bookmarkEnd w:id="488"/>
    </w:p>
    <w:p w14:paraId="4C428A25" w14:textId="77777777" w:rsidR="00CC0487" w:rsidRPr="003E7026" w:rsidRDefault="00CC0487" w:rsidP="00CC0487">
      <w:pPr>
        <w:jc w:val="center"/>
        <w:rPr>
          <w:i/>
          <w:sz w:val="18"/>
          <w:szCs w:val="18"/>
        </w:rPr>
      </w:pPr>
    </w:p>
    <w:p w14:paraId="2FBA88EE" w14:textId="77777777" w:rsidR="00CC0487" w:rsidRPr="003E7026" w:rsidRDefault="00CC0487" w:rsidP="00CC0487">
      <w:pPr>
        <w:spacing w:after="120"/>
        <w:jc w:val="center"/>
        <w:rPr>
          <w:i/>
          <w:caps/>
          <w:sz w:val="18"/>
          <w:szCs w:val="18"/>
        </w:rPr>
      </w:pPr>
      <w:r w:rsidRPr="003E7026">
        <w:rPr>
          <w:i/>
          <w:sz w:val="18"/>
          <w:szCs w:val="18"/>
        </w:rPr>
        <w:t>(in Schweizer Franken)</w:t>
      </w:r>
    </w:p>
    <w:tbl>
      <w:tblPr>
        <w:tblW w:w="9781" w:type="dxa"/>
        <w:tblLook w:val="04A0" w:firstRow="1" w:lastRow="0" w:firstColumn="1" w:lastColumn="0" w:noHBand="0" w:noVBand="1"/>
      </w:tblPr>
      <w:tblGrid>
        <w:gridCol w:w="1230"/>
        <w:gridCol w:w="1229"/>
        <w:gridCol w:w="3166"/>
        <w:gridCol w:w="984"/>
        <w:gridCol w:w="1586"/>
        <w:gridCol w:w="1586"/>
      </w:tblGrid>
      <w:tr w:rsidR="00CC0487" w:rsidRPr="003E7026" w14:paraId="648B1B8A" w14:textId="77777777" w:rsidTr="00DB6666">
        <w:trPr>
          <w:trHeight w:val="1092"/>
          <w:tblHeader/>
        </w:trPr>
        <w:tc>
          <w:tcPr>
            <w:tcW w:w="1230" w:type="dxa"/>
            <w:tcBorders>
              <w:top w:val="nil"/>
              <w:left w:val="nil"/>
              <w:right w:val="nil"/>
            </w:tcBorders>
            <w:shd w:val="clear" w:color="000000" w:fill="C7CFD8"/>
            <w:vAlign w:val="center"/>
            <w:hideMark/>
          </w:tcPr>
          <w:p w14:paraId="2223E3FC" w14:textId="77777777" w:rsidR="00CC0487" w:rsidRPr="003E7026" w:rsidRDefault="00CC0487" w:rsidP="00DB6666">
            <w:pPr>
              <w:jc w:val="center"/>
              <w:rPr>
                <w:rFonts w:ascii="Arial Narrow" w:hAnsi="Arial Narrow" w:cs="Arial"/>
                <w:b/>
                <w:bCs/>
                <w:color w:val="000000"/>
                <w:sz w:val="18"/>
                <w:szCs w:val="18"/>
              </w:rPr>
            </w:pPr>
            <w:r w:rsidRPr="003E7026">
              <w:rPr>
                <w:rFonts w:ascii="Arial Narrow" w:hAnsi="Arial Narrow" w:cs="Arial"/>
                <w:b/>
                <w:bCs/>
                <w:color w:val="000000"/>
                <w:sz w:val="18"/>
                <w:szCs w:val="18"/>
              </w:rPr>
              <w:t>2022</w:t>
            </w:r>
          </w:p>
          <w:p w14:paraId="55EE0600" w14:textId="77777777" w:rsidR="00CC0487" w:rsidRPr="003E7026" w:rsidRDefault="00CC0487" w:rsidP="00DB6666">
            <w:pPr>
              <w:jc w:val="center"/>
              <w:rPr>
                <w:rFonts w:ascii="Arial Narrow" w:hAnsi="Arial Narrow" w:cs="Arial"/>
                <w:b/>
                <w:bCs/>
                <w:color w:val="000000"/>
                <w:sz w:val="18"/>
                <w:szCs w:val="18"/>
              </w:rPr>
            </w:pPr>
            <w:r w:rsidRPr="003E7026">
              <w:rPr>
                <w:rFonts w:ascii="Arial Narrow" w:hAnsi="Arial Narrow" w:cs="Arial"/>
                <w:b/>
                <w:bCs/>
                <w:color w:val="000000"/>
                <w:sz w:val="18"/>
                <w:szCs w:val="18"/>
              </w:rPr>
              <w:t>In Rechnung gestellt</w:t>
            </w:r>
          </w:p>
        </w:tc>
        <w:tc>
          <w:tcPr>
            <w:tcW w:w="1229" w:type="dxa"/>
            <w:tcBorders>
              <w:top w:val="nil"/>
              <w:left w:val="nil"/>
              <w:right w:val="nil"/>
            </w:tcBorders>
            <w:shd w:val="clear" w:color="000000" w:fill="C7CFD8"/>
            <w:vAlign w:val="center"/>
            <w:hideMark/>
          </w:tcPr>
          <w:p w14:paraId="27690478" w14:textId="77777777" w:rsidR="00CC0487" w:rsidRPr="003E7026" w:rsidRDefault="00CC0487" w:rsidP="00DB6666">
            <w:pPr>
              <w:jc w:val="center"/>
              <w:rPr>
                <w:rFonts w:ascii="Arial Narrow" w:hAnsi="Arial Narrow" w:cs="Arial"/>
                <w:b/>
                <w:bCs/>
                <w:color w:val="000000"/>
                <w:sz w:val="18"/>
                <w:szCs w:val="18"/>
              </w:rPr>
            </w:pPr>
            <w:r w:rsidRPr="003E7026">
              <w:rPr>
                <w:rFonts w:ascii="Arial Narrow" w:hAnsi="Arial Narrow" w:cs="Arial"/>
                <w:b/>
                <w:bCs/>
                <w:color w:val="000000"/>
                <w:sz w:val="18"/>
                <w:szCs w:val="18"/>
              </w:rPr>
              <w:t>2023</w:t>
            </w:r>
          </w:p>
          <w:p w14:paraId="02DD3A9A" w14:textId="77777777" w:rsidR="00CC0487" w:rsidRPr="003E7026" w:rsidRDefault="00CC0487" w:rsidP="00DB6666">
            <w:pPr>
              <w:jc w:val="center"/>
              <w:rPr>
                <w:rFonts w:ascii="Arial Narrow" w:hAnsi="Arial Narrow" w:cs="Arial"/>
                <w:b/>
                <w:bCs/>
                <w:color w:val="000000"/>
                <w:sz w:val="18"/>
                <w:szCs w:val="18"/>
              </w:rPr>
            </w:pPr>
            <w:r w:rsidRPr="003E7026">
              <w:rPr>
                <w:rFonts w:ascii="Arial Narrow" w:hAnsi="Arial Narrow" w:cs="Arial"/>
                <w:b/>
                <w:bCs/>
                <w:color w:val="000000"/>
                <w:sz w:val="18"/>
                <w:szCs w:val="18"/>
              </w:rPr>
              <w:t>In Rechnung gestellt</w:t>
            </w:r>
          </w:p>
        </w:tc>
        <w:tc>
          <w:tcPr>
            <w:tcW w:w="3166" w:type="dxa"/>
            <w:tcBorders>
              <w:top w:val="nil"/>
              <w:left w:val="nil"/>
              <w:bottom w:val="single" w:sz="8" w:space="0" w:color="BFBFBF"/>
              <w:right w:val="nil"/>
            </w:tcBorders>
            <w:shd w:val="clear" w:color="000000" w:fill="C7CFD8"/>
            <w:vAlign w:val="center"/>
            <w:hideMark/>
          </w:tcPr>
          <w:p w14:paraId="7C1DD299" w14:textId="77777777" w:rsidR="00CC0487" w:rsidRPr="003E7026" w:rsidRDefault="00CC0487" w:rsidP="00DB6666">
            <w:pPr>
              <w:jc w:val="center"/>
              <w:rPr>
                <w:rFonts w:ascii="Arial Narrow" w:hAnsi="Arial Narrow" w:cs="Arial"/>
                <w:b/>
                <w:bCs/>
                <w:color w:val="000000"/>
                <w:sz w:val="18"/>
                <w:szCs w:val="18"/>
              </w:rPr>
            </w:pPr>
            <w:r w:rsidRPr="003E7026">
              <w:rPr>
                <w:rFonts w:ascii="Arial Narrow" w:hAnsi="Arial Narrow" w:cs="Arial"/>
                <w:b/>
                <w:bCs/>
                <w:color w:val="000000"/>
                <w:sz w:val="18"/>
                <w:szCs w:val="18"/>
              </w:rPr>
              <w:t>Mitglieder</w:t>
            </w:r>
          </w:p>
        </w:tc>
        <w:tc>
          <w:tcPr>
            <w:tcW w:w="984" w:type="dxa"/>
            <w:tcBorders>
              <w:top w:val="nil"/>
              <w:left w:val="nil"/>
              <w:right w:val="nil"/>
            </w:tcBorders>
            <w:shd w:val="clear" w:color="000000" w:fill="C7CFD8"/>
            <w:vAlign w:val="center"/>
            <w:hideMark/>
          </w:tcPr>
          <w:p w14:paraId="1F2541AE" w14:textId="77777777" w:rsidR="00CC0487" w:rsidRPr="003E7026" w:rsidRDefault="00CC0487" w:rsidP="00DB6666">
            <w:pPr>
              <w:jc w:val="center"/>
              <w:rPr>
                <w:rFonts w:ascii="Arial Narrow" w:hAnsi="Arial Narrow" w:cs="Arial"/>
                <w:b/>
                <w:bCs/>
                <w:color w:val="000000"/>
                <w:sz w:val="18"/>
                <w:szCs w:val="18"/>
              </w:rPr>
            </w:pPr>
            <w:r w:rsidRPr="003E7026">
              <w:rPr>
                <w:rFonts w:ascii="Arial Narrow" w:hAnsi="Arial Narrow" w:cs="Arial"/>
                <w:b/>
                <w:bCs/>
                <w:color w:val="000000"/>
                <w:sz w:val="18"/>
                <w:szCs w:val="18"/>
              </w:rPr>
              <w:t>Anzahl</w:t>
            </w:r>
          </w:p>
          <w:p w14:paraId="7355719F" w14:textId="77777777" w:rsidR="00CC0487" w:rsidRPr="003E7026" w:rsidRDefault="00CC0487" w:rsidP="00DB6666">
            <w:pPr>
              <w:jc w:val="center"/>
              <w:rPr>
                <w:rFonts w:ascii="Arial Narrow" w:hAnsi="Arial Narrow" w:cs="Arial"/>
                <w:b/>
                <w:bCs/>
                <w:color w:val="000000"/>
                <w:sz w:val="18"/>
                <w:szCs w:val="18"/>
              </w:rPr>
            </w:pPr>
            <w:r w:rsidRPr="003E7026">
              <w:rPr>
                <w:rFonts w:ascii="Arial Narrow" w:hAnsi="Arial Narrow" w:cs="Arial"/>
                <w:b/>
                <w:bCs/>
                <w:color w:val="000000"/>
                <w:sz w:val="18"/>
                <w:szCs w:val="18"/>
              </w:rPr>
              <w:t>Einheiten</w:t>
            </w:r>
          </w:p>
        </w:tc>
        <w:tc>
          <w:tcPr>
            <w:tcW w:w="1586" w:type="dxa"/>
            <w:tcBorders>
              <w:top w:val="nil"/>
              <w:left w:val="nil"/>
              <w:right w:val="nil"/>
            </w:tcBorders>
            <w:shd w:val="clear" w:color="000000" w:fill="C7CFD8"/>
            <w:vAlign w:val="center"/>
            <w:hideMark/>
          </w:tcPr>
          <w:p w14:paraId="2FF4D08E" w14:textId="77777777" w:rsidR="00CC0487" w:rsidRPr="003E7026" w:rsidRDefault="00CC0487" w:rsidP="00DB6666">
            <w:pPr>
              <w:jc w:val="center"/>
              <w:rPr>
                <w:rFonts w:ascii="Arial Narrow" w:hAnsi="Arial Narrow" w:cs="Arial"/>
                <w:b/>
                <w:bCs/>
                <w:color w:val="000000"/>
                <w:sz w:val="18"/>
                <w:szCs w:val="18"/>
              </w:rPr>
            </w:pPr>
            <w:r w:rsidRPr="003E7026">
              <w:rPr>
                <w:rFonts w:ascii="Arial Narrow" w:hAnsi="Arial Narrow" w:cs="Arial"/>
                <w:b/>
                <w:bCs/>
                <w:color w:val="000000"/>
                <w:sz w:val="18"/>
                <w:szCs w:val="18"/>
              </w:rPr>
              <w:t>2024</w:t>
            </w:r>
          </w:p>
          <w:p w14:paraId="5DF1B1B9" w14:textId="77777777" w:rsidR="00CC0487" w:rsidRPr="003E7026" w:rsidRDefault="00CC0487" w:rsidP="00DB6666">
            <w:pPr>
              <w:jc w:val="center"/>
              <w:rPr>
                <w:rFonts w:ascii="Arial Narrow" w:hAnsi="Arial Narrow" w:cs="Arial"/>
                <w:b/>
                <w:bCs/>
                <w:color w:val="000000"/>
                <w:sz w:val="18"/>
                <w:szCs w:val="18"/>
              </w:rPr>
            </w:pPr>
            <w:r w:rsidRPr="003E7026">
              <w:rPr>
                <w:rFonts w:ascii="Arial Narrow" w:hAnsi="Arial Narrow" w:cs="Arial"/>
                <w:b/>
                <w:bCs/>
                <w:color w:val="000000"/>
                <w:sz w:val="18"/>
                <w:szCs w:val="18"/>
              </w:rPr>
              <w:t>Für Rechnungsstellung geschätzt</w:t>
            </w:r>
          </w:p>
        </w:tc>
        <w:tc>
          <w:tcPr>
            <w:tcW w:w="1586" w:type="dxa"/>
            <w:tcBorders>
              <w:top w:val="nil"/>
              <w:left w:val="nil"/>
              <w:right w:val="nil"/>
            </w:tcBorders>
            <w:shd w:val="clear" w:color="000000" w:fill="C7CFD8"/>
            <w:vAlign w:val="center"/>
            <w:hideMark/>
          </w:tcPr>
          <w:p w14:paraId="1C3BF3C1" w14:textId="77777777" w:rsidR="00CC0487" w:rsidRPr="003E7026" w:rsidRDefault="00CC0487" w:rsidP="00DB6666">
            <w:pPr>
              <w:jc w:val="center"/>
              <w:rPr>
                <w:rFonts w:ascii="Arial Narrow" w:hAnsi="Arial Narrow" w:cs="Arial"/>
                <w:b/>
                <w:bCs/>
                <w:color w:val="000000"/>
                <w:sz w:val="18"/>
                <w:szCs w:val="18"/>
              </w:rPr>
            </w:pPr>
            <w:r w:rsidRPr="003E7026">
              <w:rPr>
                <w:rFonts w:ascii="Arial Narrow" w:hAnsi="Arial Narrow" w:cs="Arial"/>
                <w:b/>
                <w:bCs/>
                <w:color w:val="000000"/>
                <w:sz w:val="18"/>
                <w:szCs w:val="18"/>
              </w:rPr>
              <w:t>2025</w:t>
            </w:r>
          </w:p>
          <w:p w14:paraId="4302FC05" w14:textId="77777777" w:rsidR="00CC0487" w:rsidRPr="003E7026" w:rsidRDefault="00CC0487" w:rsidP="00DB6666">
            <w:pPr>
              <w:jc w:val="center"/>
              <w:rPr>
                <w:rFonts w:ascii="Arial Narrow" w:hAnsi="Arial Narrow" w:cs="Arial"/>
                <w:b/>
                <w:bCs/>
                <w:color w:val="000000"/>
                <w:sz w:val="18"/>
                <w:szCs w:val="18"/>
              </w:rPr>
            </w:pPr>
            <w:r w:rsidRPr="003E7026">
              <w:rPr>
                <w:rFonts w:ascii="Arial Narrow" w:hAnsi="Arial Narrow" w:cs="Arial"/>
                <w:b/>
                <w:bCs/>
                <w:color w:val="000000"/>
                <w:sz w:val="18"/>
                <w:szCs w:val="18"/>
              </w:rPr>
              <w:t>Für Rechnungsstellung geschätzt</w:t>
            </w:r>
          </w:p>
        </w:tc>
      </w:tr>
      <w:tr w:rsidR="00CC0487" w:rsidRPr="003E7026" w14:paraId="30B7CB71" w14:textId="77777777" w:rsidTr="00DB6666">
        <w:trPr>
          <w:trHeight w:val="162"/>
        </w:trPr>
        <w:tc>
          <w:tcPr>
            <w:tcW w:w="1230" w:type="dxa"/>
            <w:tcBorders>
              <w:top w:val="nil"/>
              <w:left w:val="nil"/>
              <w:bottom w:val="nil"/>
              <w:right w:val="nil"/>
            </w:tcBorders>
            <w:shd w:val="clear" w:color="auto" w:fill="auto"/>
            <w:vAlign w:val="center"/>
            <w:hideMark/>
          </w:tcPr>
          <w:p w14:paraId="47AC6129" w14:textId="77777777" w:rsidR="00CC0487" w:rsidRPr="003E7026" w:rsidRDefault="00CC0487" w:rsidP="00DB6666">
            <w:pPr>
              <w:jc w:val="center"/>
              <w:rPr>
                <w:rFonts w:ascii="Arial Narrow" w:hAnsi="Arial Narrow" w:cs="Arial"/>
                <w:b/>
                <w:bCs/>
                <w:color w:val="000000"/>
                <w:sz w:val="18"/>
                <w:szCs w:val="18"/>
              </w:rPr>
            </w:pPr>
          </w:p>
        </w:tc>
        <w:tc>
          <w:tcPr>
            <w:tcW w:w="1229" w:type="dxa"/>
            <w:tcBorders>
              <w:top w:val="nil"/>
              <w:left w:val="nil"/>
              <w:bottom w:val="nil"/>
              <w:right w:val="nil"/>
            </w:tcBorders>
            <w:shd w:val="clear" w:color="auto" w:fill="auto"/>
            <w:vAlign w:val="center"/>
            <w:hideMark/>
          </w:tcPr>
          <w:p w14:paraId="3B184E8B" w14:textId="77777777" w:rsidR="00CC0487" w:rsidRPr="003E7026" w:rsidRDefault="00CC0487" w:rsidP="00DB6666">
            <w:pPr>
              <w:jc w:val="right"/>
              <w:rPr>
                <w:rFonts w:ascii="Times New Roman" w:hAnsi="Times New Roman"/>
              </w:rPr>
            </w:pPr>
          </w:p>
        </w:tc>
        <w:tc>
          <w:tcPr>
            <w:tcW w:w="3166" w:type="dxa"/>
            <w:tcBorders>
              <w:top w:val="nil"/>
              <w:left w:val="nil"/>
              <w:bottom w:val="nil"/>
              <w:right w:val="nil"/>
            </w:tcBorders>
            <w:shd w:val="clear" w:color="auto" w:fill="auto"/>
            <w:vAlign w:val="center"/>
            <w:hideMark/>
          </w:tcPr>
          <w:p w14:paraId="2E89EC82" w14:textId="77777777" w:rsidR="00CC0487" w:rsidRPr="003E7026" w:rsidRDefault="00CC0487" w:rsidP="00DB6666">
            <w:pPr>
              <w:jc w:val="right"/>
              <w:rPr>
                <w:rFonts w:ascii="Times New Roman" w:hAnsi="Times New Roman"/>
              </w:rPr>
            </w:pPr>
          </w:p>
        </w:tc>
        <w:tc>
          <w:tcPr>
            <w:tcW w:w="984" w:type="dxa"/>
            <w:tcBorders>
              <w:top w:val="nil"/>
              <w:left w:val="nil"/>
              <w:bottom w:val="nil"/>
              <w:right w:val="nil"/>
            </w:tcBorders>
            <w:shd w:val="clear" w:color="auto" w:fill="auto"/>
            <w:vAlign w:val="center"/>
            <w:hideMark/>
          </w:tcPr>
          <w:p w14:paraId="7C431209" w14:textId="77777777" w:rsidR="00CC0487" w:rsidRPr="003E7026" w:rsidRDefault="00CC0487" w:rsidP="00DB6666">
            <w:pPr>
              <w:rPr>
                <w:rFonts w:ascii="Times New Roman" w:hAnsi="Times New Roman"/>
              </w:rPr>
            </w:pPr>
          </w:p>
        </w:tc>
        <w:tc>
          <w:tcPr>
            <w:tcW w:w="1586" w:type="dxa"/>
            <w:tcBorders>
              <w:top w:val="nil"/>
              <w:left w:val="nil"/>
              <w:bottom w:val="nil"/>
              <w:right w:val="nil"/>
            </w:tcBorders>
            <w:shd w:val="clear" w:color="auto" w:fill="auto"/>
            <w:vAlign w:val="center"/>
            <w:hideMark/>
          </w:tcPr>
          <w:p w14:paraId="3417E92B" w14:textId="77777777" w:rsidR="00CC0487" w:rsidRPr="003E7026" w:rsidRDefault="00CC0487" w:rsidP="00DB6666">
            <w:pPr>
              <w:jc w:val="left"/>
              <w:rPr>
                <w:rFonts w:ascii="Times New Roman" w:hAnsi="Times New Roman"/>
              </w:rPr>
            </w:pPr>
          </w:p>
        </w:tc>
        <w:tc>
          <w:tcPr>
            <w:tcW w:w="1586" w:type="dxa"/>
            <w:tcBorders>
              <w:top w:val="nil"/>
              <w:left w:val="nil"/>
              <w:bottom w:val="nil"/>
              <w:right w:val="nil"/>
            </w:tcBorders>
            <w:shd w:val="clear" w:color="auto" w:fill="auto"/>
            <w:vAlign w:val="center"/>
            <w:hideMark/>
          </w:tcPr>
          <w:p w14:paraId="1458E0E1" w14:textId="77777777" w:rsidR="00CC0487" w:rsidRPr="003E7026" w:rsidRDefault="00CC0487" w:rsidP="00DB6666">
            <w:pPr>
              <w:jc w:val="right"/>
              <w:rPr>
                <w:rFonts w:ascii="Times New Roman" w:hAnsi="Times New Roman"/>
              </w:rPr>
            </w:pPr>
          </w:p>
        </w:tc>
      </w:tr>
      <w:tr w:rsidR="00CC0487" w:rsidRPr="003E7026" w14:paraId="38F5AC78" w14:textId="77777777" w:rsidTr="00DB6666">
        <w:trPr>
          <w:trHeight w:val="256"/>
        </w:trPr>
        <w:tc>
          <w:tcPr>
            <w:tcW w:w="1230" w:type="dxa"/>
            <w:tcBorders>
              <w:top w:val="nil"/>
              <w:left w:val="nil"/>
              <w:bottom w:val="nil"/>
              <w:right w:val="nil"/>
            </w:tcBorders>
            <w:shd w:val="clear" w:color="auto" w:fill="auto"/>
            <w:hideMark/>
          </w:tcPr>
          <w:p w14:paraId="16046E44"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hideMark/>
          </w:tcPr>
          <w:p w14:paraId="4306F3B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7CC11C47"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Afrikanische Organisation für geistiges Eigentum (OAPI)</w:t>
            </w:r>
          </w:p>
        </w:tc>
        <w:tc>
          <w:tcPr>
            <w:tcW w:w="984" w:type="dxa"/>
            <w:tcBorders>
              <w:top w:val="nil"/>
              <w:left w:val="nil"/>
              <w:bottom w:val="nil"/>
              <w:right w:val="nil"/>
            </w:tcBorders>
            <w:shd w:val="clear" w:color="auto" w:fill="auto"/>
            <w:hideMark/>
          </w:tcPr>
          <w:p w14:paraId="1766DDB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hideMark/>
          </w:tcPr>
          <w:p w14:paraId="605443C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hideMark/>
          </w:tcPr>
          <w:p w14:paraId="1BB990D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29B040A6" w14:textId="77777777" w:rsidTr="00DB6666">
        <w:trPr>
          <w:trHeight w:val="256"/>
        </w:trPr>
        <w:tc>
          <w:tcPr>
            <w:tcW w:w="1230" w:type="dxa"/>
            <w:tcBorders>
              <w:top w:val="nil"/>
              <w:left w:val="nil"/>
              <w:bottom w:val="nil"/>
              <w:right w:val="nil"/>
            </w:tcBorders>
            <w:shd w:val="clear" w:color="auto" w:fill="auto"/>
            <w:vAlign w:val="center"/>
            <w:hideMark/>
          </w:tcPr>
          <w:p w14:paraId="43E64BD0"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74F74AB1"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4DF96A3A"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Ägypten</w:t>
            </w:r>
          </w:p>
        </w:tc>
        <w:tc>
          <w:tcPr>
            <w:tcW w:w="984" w:type="dxa"/>
            <w:tcBorders>
              <w:top w:val="nil"/>
              <w:left w:val="nil"/>
              <w:bottom w:val="nil"/>
              <w:right w:val="nil"/>
            </w:tcBorders>
            <w:shd w:val="clear" w:color="auto" w:fill="auto"/>
            <w:vAlign w:val="center"/>
            <w:hideMark/>
          </w:tcPr>
          <w:p w14:paraId="746D0BB5"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16671A6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0C6C16B8"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177AFCE7" w14:textId="77777777" w:rsidTr="00DB6666">
        <w:trPr>
          <w:trHeight w:val="256"/>
        </w:trPr>
        <w:tc>
          <w:tcPr>
            <w:tcW w:w="1230" w:type="dxa"/>
            <w:tcBorders>
              <w:top w:val="nil"/>
              <w:left w:val="nil"/>
              <w:bottom w:val="nil"/>
              <w:right w:val="nil"/>
            </w:tcBorders>
            <w:shd w:val="clear" w:color="auto" w:fill="auto"/>
            <w:vAlign w:val="center"/>
            <w:hideMark/>
          </w:tcPr>
          <w:p w14:paraId="69ACF5C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2B5E769E"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61F94744"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Albanien</w:t>
            </w:r>
          </w:p>
        </w:tc>
        <w:tc>
          <w:tcPr>
            <w:tcW w:w="984" w:type="dxa"/>
            <w:tcBorders>
              <w:top w:val="nil"/>
              <w:left w:val="nil"/>
              <w:bottom w:val="nil"/>
              <w:right w:val="nil"/>
            </w:tcBorders>
            <w:shd w:val="clear" w:color="auto" w:fill="auto"/>
            <w:vAlign w:val="center"/>
            <w:hideMark/>
          </w:tcPr>
          <w:p w14:paraId="332FDA90"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4DE09E81"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3D2D8CA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1B366719" w14:textId="77777777" w:rsidTr="00DB6666">
        <w:trPr>
          <w:trHeight w:val="256"/>
        </w:trPr>
        <w:tc>
          <w:tcPr>
            <w:tcW w:w="1230" w:type="dxa"/>
            <w:tcBorders>
              <w:top w:val="nil"/>
              <w:left w:val="nil"/>
              <w:bottom w:val="nil"/>
              <w:right w:val="nil"/>
            </w:tcBorders>
            <w:shd w:val="clear" w:color="auto" w:fill="auto"/>
            <w:vAlign w:val="center"/>
            <w:hideMark/>
          </w:tcPr>
          <w:p w14:paraId="6444EFE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c>
          <w:tcPr>
            <w:tcW w:w="1229" w:type="dxa"/>
            <w:tcBorders>
              <w:top w:val="nil"/>
              <w:left w:val="nil"/>
              <w:bottom w:val="nil"/>
              <w:right w:val="nil"/>
            </w:tcBorders>
            <w:shd w:val="clear" w:color="auto" w:fill="auto"/>
            <w:vAlign w:val="center"/>
            <w:hideMark/>
          </w:tcPr>
          <w:p w14:paraId="43B43D6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c>
          <w:tcPr>
            <w:tcW w:w="3166" w:type="dxa"/>
            <w:tcBorders>
              <w:top w:val="nil"/>
              <w:left w:val="nil"/>
              <w:bottom w:val="nil"/>
              <w:right w:val="nil"/>
            </w:tcBorders>
            <w:shd w:val="clear" w:color="auto" w:fill="auto"/>
            <w:vAlign w:val="center"/>
            <w:hideMark/>
          </w:tcPr>
          <w:p w14:paraId="74A51D2A"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Argentinien</w:t>
            </w:r>
          </w:p>
        </w:tc>
        <w:tc>
          <w:tcPr>
            <w:tcW w:w="984" w:type="dxa"/>
            <w:tcBorders>
              <w:top w:val="nil"/>
              <w:left w:val="nil"/>
              <w:bottom w:val="nil"/>
              <w:right w:val="nil"/>
            </w:tcBorders>
            <w:shd w:val="clear" w:color="auto" w:fill="auto"/>
            <w:vAlign w:val="center"/>
            <w:hideMark/>
          </w:tcPr>
          <w:p w14:paraId="7D5CD8A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0.50</w:t>
            </w:r>
          </w:p>
        </w:tc>
        <w:tc>
          <w:tcPr>
            <w:tcW w:w="1586" w:type="dxa"/>
            <w:tcBorders>
              <w:top w:val="nil"/>
              <w:left w:val="nil"/>
              <w:bottom w:val="nil"/>
              <w:right w:val="nil"/>
            </w:tcBorders>
            <w:shd w:val="clear" w:color="auto" w:fill="auto"/>
            <w:vAlign w:val="center"/>
            <w:hideMark/>
          </w:tcPr>
          <w:p w14:paraId="6DF07D5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c>
          <w:tcPr>
            <w:tcW w:w="1586" w:type="dxa"/>
            <w:tcBorders>
              <w:top w:val="nil"/>
              <w:left w:val="nil"/>
              <w:bottom w:val="nil"/>
              <w:right w:val="nil"/>
            </w:tcBorders>
            <w:shd w:val="clear" w:color="auto" w:fill="auto"/>
            <w:vAlign w:val="center"/>
            <w:hideMark/>
          </w:tcPr>
          <w:p w14:paraId="3E068558"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r>
      <w:tr w:rsidR="00CC0487" w:rsidRPr="003E7026" w14:paraId="6E3CB2AA" w14:textId="77777777" w:rsidTr="00DB6666">
        <w:trPr>
          <w:trHeight w:val="256"/>
        </w:trPr>
        <w:tc>
          <w:tcPr>
            <w:tcW w:w="1230" w:type="dxa"/>
            <w:tcBorders>
              <w:top w:val="nil"/>
              <w:left w:val="nil"/>
              <w:bottom w:val="nil"/>
              <w:right w:val="nil"/>
            </w:tcBorders>
            <w:shd w:val="clear" w:color="auto" w:fill="auto"/>
            <w:vAlign w:val="center"/>
            <w:hideMark/>
          </w:tcPr>
          <w:p w14:paraId="111DF3A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45198278"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7EAF1AE5"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Aserbaidschan</w:t>
            </w:r>
          </w:p>
        </w:tc>
        <w:tc>
          <w:tcPr>
            <w:tcW w:w="984" w:type="dxa"/>
            <w:tcBorders>
              <w:top w:val="nil"/>
              <w:left w:val="nil"/>
              <w:bottom w:val="nil"/>
              <w:right w:val="nil"/>
            </w:tcBorders>
            <w:shd w:val="clear" w:color="auto" w:fill="auto"/>
            <w:vAlign w:val="center"/>
            <w:hideMark/>
          </w:tcPr>
          <w:p w14:paraId="1EA7B33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2292E760"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78C30FA9"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38E70479" w14:textId="77777777" w:rsidTr="00DB6666">
        <w:trPr>
          <w:trHeight w:val="256"/>
        </w:trPr>
        <w:tc>
          <w:tcPr>
            <w:tcW w:w="1230" w:type="dxa"/>
            <w:tcBorders>
              <w:top w:val="nil"/>
              <w:left w:val="nil"/>
              <w:bottom w:val="nil"/>
              <w:right w:val="nil"/>
            </w:tcBorders>
            <w:shd w:val="clear" w:color="auto" w:fill="auto"/>
            <w:vAlign w:val="center"/>
            <w:hideMark/>
          </w:tcPr>
          <w:p w14:paraId="299F0FB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c>
          <w:tcPr>
            <w:tcW w:w="1229" w:type="dxa"/>
            <w:tcBorders>
              <w:top w:val="nil"/>
              <w:left w:val="nil"/>
              <w:bottom w:val="nil"/>
              <w:right w:val="nil"/>
            </w:tcBorders>
            <w:shd w:val="clear" w:color="auto" w:fill="auto"/>
            <w:vAlign w:val="center"/>
            <w:hideMark/>
          </w:tcPr>
          <w:p w14:paraId="562B4908"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c>
          <w:tcPr>
            <w:tcW w:w="3166" w:type="dxa"/>
            <w:tcBorders>
              <w:top w:val="nil"/>
              <w:left w:val="nil"/>
              <w:bottom w:val="nil"/>
              <w:right w:val="nil"/>
            </w:tcBorders>
            <w:shd w:val="clear" w:color="auto" w:fill="auto"/>
            <w:vAlign w:val="center"/>
            <w:hideMark/>
          </w:tcPr>
          <w:p w14:paraId="559D986A"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Australien</w:t>
            </w:r>
          </w:p>
        </w:tc>
        <w:tc>
          <w:tcPr>
            <w:tcW w:w="984" w:type="dxa"/>
            <w:tcBorders>
              <w:top w:val="nil"/>
              <w:left w:val="nil"/>
              <w:bottom w:val="nil"/>
              <w:right w:val="nil"/>
            </w:tcBorders>
            <w:shd w:val="clear" w:color="auto" w:fill="auto"/>
            <w:vAlign w:val="center"/>
            <w:hideMark/>
          </w:tcPr>
          <w:p w14:paraId="19ECF28D"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1.00</w:t>
            </w:r>
          </w:p>
        </w:tc>
        <w:tc>
          <w:tcPr>
            <w:tcW w:w="1586" w:type="dxa"/>
            <w:tcBorders>
              <w:top w:val="nil"/>
              <w:left w:val="nil"/>
              <w:bottom w:val="nil"/>
              <w:right w:val="nil"/>
            </w:tcBorders>
            <w:shd w:val="clear" w:color="auto" w:fill="auto"/>
            <w:vAlign w:val="center"/>
            <w:hideMark/>
          </w:tcPr>
          <w:p w14:paraId="3221CF1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c>
          <w:tcPr>
            <w:tcW w:w="1586" w:type="dxa"/>
            <w:tcBorders>
              <w:top w:val="nil"/>
              <w:left w:val="nil"/>
              <w:bottom w:val="nil"/>
              <w:right w:val="nil"/>
            </w:tcBorders>
            <w:shd w:val="clear" w:color="auto" w:fill="auto"/>
            <w:vAlign w:val="center"/>
            <w:hideMark/>
          </w:tcPr>
          <w:p w14:paraId="56132E60"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r>
      <w:tr w:rsidR="00CC0487" w:rsidRPr="003E7026" w14:paraId="71CE8610" w14:textId="77777777" w:rsidTr="00DB6666">
        <w:trPr>
          <w:trHeight w:val="256"/>
        </w:trPr>
        <w:tc>
          <w:tcPr>
            <w:tcW w:w="1230" w:type="dxa"/>
            <w:tcBorders>
              <w:top w:val="nil"/>
              <w:left w:val="nil"/>
              <w:bottom w:val="nil"/>
              <w:right w:val="nil"/>
            </w:tcBorders>
            <w:shd w:val="clear" w:color="auto" w:fill="auto"/>
            <w:vAlign w:val="center"/>
          </w:tcPr>
          <w:p w14:paraId="11A36981"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tcPr>
          <w:p w14:paraId="451341A5"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tcPr>
          <w:p w14:paraId="0ECA313C"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Belarus</w:t>
            </w:r>
          </w:p>
        </w:tc>
        <w:tc>
          <w:tcPr>
            <w:tcW w:w="984" w:type="dxa"/>
            <w:tcBorders>
              <w:top w:val="nil"/>
              <w:left w:val="nil"/>
              <w:bottom w:val="nil"/>
              <w:right w:val="nil"/>
            </w:tcBorders>
            <w:shd w:val="clear" w:color="auto" w:fill="auto"/>
            <w:vAlign w:val="center"/>
          </w:tcPr>
          <w:p w14:paraId="7DCF798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tcPr>
          <w:p w14:paraId="1B76FD40"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tcPr>
          <w:p w14:paraId="3EDE50C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68BBC54C" w14:textId="77777777" w:rsidTr="00DB6666">
        <w:trPr>
          <w:trHeight w:val="256"/>
        </w:trPr>
        <w:tc>
          <w:tcPr>
            <w:tcW w:w="1230" w:type="dxa"/>
            <w:tcBorders>
              <w:top w:val="nil"/>
              <w:left w:val="nil"/>
              <w:bottom w:val="nil"/>
              <w:right w:val="nil"/>
            </w:tcBorders>
            <w:shd w:val="clear" w:color="auto" w:fill="auto"/>
            <w:vAlign w:val="center"/>
            <w:hideMark/>
          </w:tcPr>
          <w:p w14:paraId="1AF9F97E"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80.462</w:t>
            </w:r>
          </w:p>
        </w:tc>
        <w:tc>
          <w:tcPr>
            <w:tcW w:w="1229" w:type="dxa"/>
            <w:tcBorders>
              <w:top w:val="nil"/>
              <w:left w:val="nil"/>
              <w:bottom w:val="nil"/>
              <w:right w:val="nil"/>
            </w:tcBorders>
            <w:shd w:val="clear" w:color="auto" w:fill="auto"/>
            <w:vAlign w:val="center"/>
            <w:hideMark/>
          </w:tcPr>
          <w:p w14:paraId="02E51CF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80.462</w:t>
            </w:r>
          </w:p>
        </w:tc>
        <w:tc>
          <w:tcPr>
            <w:tcW w:w="3166" w:type="dxa"/>
            <w:tcBorders>
              <w:top w:val="nil"/>
              <w:left w:val="nil"/>
              <w:bottom w:val="nil"/>
              <w:right w:val="nil"/>
            </w:tcBorders>
            <w:shd w:val="clear" w:color="auto" w:fill="auto"/>
            <w:vAlign w:val="center"/>
            <w:hideMark/>
          </w:tcPr>
          <w:p w14:paraId="2A95AA98"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 xml:space="preserve">Belgien </w:t>
            </w:r>
          </w:p>
        </w:tc>
        <w:tc>
          <w:tcPr>
            <w:tcW w:w="984" w:type="dxa"/>
            <w:tcBorders>
              <w:top w:val="nil"/>
              <w:left w:val="nil"/>
              <w:bottom w:val="nil"/>
              <w:right w:val="nil"/>
            </w:tcBorders>
            <w:shd w:val="clear" w:color="auto" w:fill="auto"/>
            <w:vAlign w:val="center"/>
            <w:hideMark/>
          </w:tcPr>
          <w:p w14:paraId="4ABE41C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1.50</w:t>
            </w:r>
          </w:p>
        </w:tc>
        <w:tc>
          <w:tcPr>
            <w:tcW w:w="1586" w:type="dxa"/>
            <w:tcBorders>
              <w:top w:val="nil"/>
              <w:left w:val="nil"/>
              <w:bottom w:val="nil"/>
              <w:right w:val="nil"/>
            </w:tcBorders>
            <w:shd w:val="clear" w:color="auto" w:fill="auto"/>
            <w:vAlign w:val="center"/>
            <w:hideMark/>
          </w:tcPr>
          <w:p w14:paraId="7FEED88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80.462</w:t>
            </w:r>
          </w:p>
        </w:tc>
        <w:tc>
          <w:tcPr>
            <w:tcW w:w="1586" w:type="dxa"/>
            <w:tcBorders>
              <w:top w:val="nil"/>
              <w:left w:val="nil"/>
              <w:bottom w:val="nil"/>
              <w:right w:val="nil"/>
            </w:tcBorders>
            <w:shd w:val="clear" w:color="auto" w:fill="auto"/>
            <w:vAlign w:val="center"/>
            <w:hideMark/>
          </w:tcPr>
          <w:p w14:paraId="08F6377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80.462</w:t>
            </w:r>
          </w:p>
        </w:tc>
      </w:tr>
      <w:tr w:rsidR="00CC0487" w:rsidRPr="003E7026" w14:paraId="38776A1B" w14:textId="77777777" w:rsidTr="00DB6666">
        <w:trPr>
          <w:trHeight w:val="256"/>
        </w:trPr>
        <w:tc>
          <w:tcPr>
            <w:tcW w:w="1230" w:type="dxa"/>
            <w:tcBorders>
              <w:top w:val="nil"/>
              <w:left w:val="nil"/>
              <w:bottom w:val="nil"/>
              <w:right w:val="nil"/>
            </w:tcBorders>
            <w:shd w:val="clear" w:color="auto" w:fill="auto"/>
            <w:vAlign w:val="center"/>
            <w:hideMark/>
          </w:tcPr>
          <w:p w14:paraId="068CDD5D"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6514E9B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6E56DC68"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Bolivien (Plurinationaler Staat)</w:t>
            </w:r>
          </w:p>
        </w:tc>
        <w:tc>
          <w:tcPr>
            <w:tcW w:w="984" w:type="dxa"/>
            <w:tcBorders>
              <w:top w:val="nil"/>
              <w:left w:val="nil"/>
              <w:bottom w:val="nil"/>
              <w:right w:val="nil"/>
            </w:tcBorders>
            <w:shd w:val="clear" w:color="auto" w:fill="auto"/>
            <w:vAlign w:val="center"/>
            <w:hideMark/>
          </w:tcPr>
          <w:p w14:paraId="1552743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17408A18"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21FE6BB9"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23B9EC61" w14:textId="77777777" w:rsidTr="00DB6666">
        <w:trPr>
          <w:trHeight w:val="256"/>
        </w:trPr>
        <w:tc>
          <w:tcPr>
            <w:tcW w:w="1230" w:type="dxa"/>
            <w:tcBorders>
              <w:top w:val="nil"/>
              <w:left w:val="nil"/>
              <w:bottom w:val="nil"/>
              <w:right w:val="nil"/>
            </w:tcBorders>
            <w:shd w:val="clear" w:color="auto" w:fill="auto"/>
            <w:vAlign w:val="center"/>
            <w:hideMark/>
          </w:tcPr>
          <w:p w14:paraId="582E55BD"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049C1BE4"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73E6A057"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 xml:space="preserve">Bosnien und Herzegowina </w:t>
            </w:r>
          </w:p>
        </w:tc>
        <w:tc>
          <w:tcPr>
            <w:tcW w:w="984" w:type="dxa"/>
            <w:tcBorders>
              <w:top w:val="nil"/>
              <w:left w:val="nil"/>
              <w:bottom w:val="nil"/>
              <w:right w:val="nil"/>
            </w:tcBorders>
            <w:shd w:val="clear" w:color="auto" w:fill="auto"/>
            <w:vAlign w:val="center"/>
            <w:hideMark/>
          </w:tcPr>
          <w:p w14:paraId="71A21161"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7181A61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15CE3AFE"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4DA2F4EF" w14:textId="77777777" w:rsidTr="00DB6666">
        <w:trPr>
          <w:trHeight w:val="256"/>
        </w:trPr>
        <w:tc>
          <w:tcPr>
            <w:tcW w:w="1230" w:type="dxa"/>
            <w:tcBorders>
              <w:top w:val="nil"/>
              <w:left w:val="nil"/>
              <w:bottom w:val="nil"/>
              <w:right w:val="nil"/>
            </w:tcBorders>
            <w:shd w:val="clear" w:color="auto" w:fill="auto"/>
            <w:vAlign w:val="center"/>
            <w:hideMark/>
          </w:tcPr>
          <w:p w14:paraId="2EAE115E"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13.410</w:t>
            </w:r>
          </w:p>
        </w:tc>
        <w:tc>
          <w:tcPr>
            <w:tcW w:w="1229" w:type="dxa"/>
            <w:tcBorders>
              <w:top w:val="nil"/>
              <w:left w:val="nil"/>
              <w:bottom w:val="nil"/>
              <w:right w:val="nil"/>
            </w:tcBorders>
            <w:shd w:val="clear" w:color="auto" w:fill="auto"/>
            <w:vAlign w:val="center"/>
            <w:hideMark/>
          </w:tcPr>
          <w:p w14:paraId="66DD0B9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13.410</w:t>
            </w:r>
          </w:p>
        </w:tc>
        <w:tc>
          <w:tcPr>
            <w:tcW w:w="3166" w:type="dxa"/>
            <w:tcBorders>
              <w:top w:val="nil"/>
              <w:left w:val="nil"/>
              <w:bottom w:val="nil"/>
              <w:right w:val="nil"/>
            </w:tcBorders>
            <w:shd w:val="clear" w:color="auto" w:fill="auto"/>
            <w:vAlign w:val="center"/>
            <w:hideMark/>
          </w:tcPr>
          <w:p w14:paraId="49130596"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Brasilien</w:t>
            </w:r>
          </w:p>
        </w:tc>
        <w:tc>
          <w:tcPr>
            <w:tcW w:w="984" w:type="dxa"/>
            <w:tcBorders>
              <w:top w:val="nil"/>
              <w:left w:val="nil"/>
              <w:bottom w:val="nil"/>
              <w:right w:val="nil"/>
            </w:tcBorders>
            <w:shd w:val="clear" w:color="auto" w:fill="auto"/>
            <w:vAlign w:val="center"/>
            <w:hideMark/>
          </w:tcPr>
          <w:p w14:paraId="79CA21E2"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0.25</w:t>
            </w:r>
          </w:p>
        </w:tc>
        <w:tc>
          <w:tcPr>
            <w:tcW w:w="1586" w:type="dxa"/>
            <w:tcBorders>
              <w:top w:val="nil"/>
              <w:left w:val="nil"/>
              <w:bottom w:val="nil"/>
              <w:right w:val="nil"/>
            </w:tcBorders>
            <w:shd w:val="clear" w:color="auto" w:fill="auto"/>
            <w:vAlign w:val="center"/>
            <w:hideMark/>
          </w:tcPr>
          <w:p w14:paraId="5A82C580"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13.410</w:t>
            </w:r>
          </w:p>
        </w:tc>
        <w:tc>
          <w:tcPr>
            <w:tcW w:w="1586" w:type="dxa"/>
            <w:tcBorders>
              <w:top w:val="nil"/>
              <w:left w:val="nil"/>
              <w:bottom w:val="nil"/>
              <w:right w:val="nil"/>
            </w:tcBorders>
            <w:shd w:val="clear" w:color="auto" w:fill="auto"/>
            <w:vAlign w:val="center"/>
            <w:hideMark/>
          </w:tcPr>
          <w:p w14:paraId="65DF96A4"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13.410</w:t>
            </w:r>
          </w:p>
        </w:tc>
      </w:tr>
      <w:tr w:rsidR="00CC0487" w:rsidRPr="003E7026" w14:paraId="52AB47ED" w14:textId="77777777" w:rsidTr="00DB6666">
        <w:trPr>
          <w:trHeight w:val="256"/>
        </w:trPr>
        <w:tc>
          <w:tcPr>
            <w:tcW w:w="1230" w:type="dxa"/>
            <w:tcBorders>
              <w:top w:val="nil"/>
              <w:left w:val="nil"/>
              <w:bottom w:val="nil"/>
              <w:right w:val="nil"/>
            </w:tcBorders>
            <w:shd w:val="clear" w:color="auto" w:fill="auto"/>
            <w:vAlign w:val="center"/>
            <w:hideMark/>
          </w:tcPr>
          <w:p w14:paraId="7F9B491D"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0350EB01"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52543671"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Bulgarien</w:t>
            </w:r>
          </w:p>
        </w:tc>
        <w:tc>
          <w:tcPr>
            <w:tcW w:w="984" w:type="dxa"/>
            <w:tcBorders>
              <w:top w:val="nil"/>
              <w:left w:val="nil"/>
              <w:bottom w:val="nil"/>
              <w:right w:val="nil"/>
            </w:tcBorders>
            <w:shd w:val="clear" w:color="auto" w:fill="auto"/>
            <w:vAlign w:val="center"/>
            <w:hideMark/>
          </w:tcPr>
          <w:p w14:paraId="03B965E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7A87C32E"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4557C19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41C34826" w14:textId="77777777" w:rsidTr="00DB6666">
        <w:trPr>
          <w:trHeight w:val="256"/>
        </w:trPr>
        <w:tc>
          <w:tcPr>
            <w:tcW w:w="1230" w:type="dxa"/>
            <w:tcBorders>
              <w:top w:val="nil"/>
              <w:left w:val="nil"/>
              <w:bottom w:val="nil"/>
              <w:right w:val="nil"/>
            </w:tcBorders>
            <w:shd w:val="clear" w:color="auto" w:fill="auto"/>
            <w:vAlign w:val="center"/>
            <w:hideMark/>
          </w:tcPr>
          <w:p w14:paraId="0FF3292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7E7EF078"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66DC1EFB"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Chile</w:t>
            </w:r>
          </w:p>
        </w:tc>
        <w:tc>
          <w:tcPr>
            <w:tcW w:w="984" w:type="dxa"/>
            <w:tcBorders>
              <w:top w:val="nil"/>
              <w:left w:val="nil"/>
              <w:bottom w:val="nil"/>
              <w:right w:val="nil"/>
            </w:tcBorders>
            <w:shd w:val="clear" w:color="auto" w:fill="auto"/>
            <w:vAlign w:val="center"/>
            <w:hideMark/>
          </w:tcPr>
          <w:p w14:paraId="259D78E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2533D0B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4FDBE3E9"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32EA2952" w14:textId="77777777" w:rsidTr="00DB6666">
        <w:trPr>
          <w:trHeight w:val="256"/>
        </w:trPr>
        <w:tc>
          <w:tcPr>
            <w:tcW w:w="1230" w:type="dxa"/>
            <w:tcBorders>
              <w:top w:val="nil"/>
              <w:left w:val="nil"/>
              <w:bottom w:val="nil"/>
              <w:right w:val="nil"/>
            </w:tcBorders>
            <w:shd w:val="clear" w:color="auto" w:fill="auto"/>
            <w:vAlign w:val="center"/>
            <w:hideMark/>
          </w:tcPr>
          <w:p w14:paraId="7BB39FD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107.282</w:t>
            </w:r>
          </w:p>
        </w:tc>
        <w:tc>
          <w:tcPr>
            <w:tcW w:w="1229" w:type="dxa"/>
            <w:tcBorders>
              <w:top w:val="nil"/>
              <w:left w:val="nil"/>
              <w:bottom w:val="nil"/>
              <w:right w:val="nil"/>
            </w:tcBorders>
            <w:shd w:val="clear" w:color="auto" w:fill="auto"/>
            <w:vAlign w:val="center"/>
            <w:hideMark/>
          </w:tcPr>
          <w:p w14:paraId="3508B4C2"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107.282</w:t>
            </w:r>
          </w:p>
        </w:tc>
        <w:tc>
          <w:tcPr>
            <w:tcW w:w="3166" w:type="dxa"/>
            <w:tcBorders>
              <w:top w:val="nil"/>
              <w:left w:val="nil"/>
              <w:bottom w:val="nil"/>
              <w:right w:val="nil"/>
            </w:tcBorders>
            <w:shd w:val="clear" w:color="auto" w:fill="auto"/>
            <w:vAlign w:val="center"/>
            <w:hideMark/>
          </w:tcPr>
          <w:p w14:paraId="2A0B3771"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China</w:t>
            </w:r>
          </w:p>
        </w:tc>
        <w:tc>
          <w:tcPr>
            <w:tcW w:w="984" w:type="dxa"/>
            <w:tcBorders>
              <w:top w:val="nil"/>
              <w:left w:val="nil"/>
              <w:bottom w:val="nil"/>
              <w:right w:val="nil"/>
            </w:tcBorders>
            <w:shd w:val="clear" w:color="auto" w:fill="auto"/>
            <w:vAlign w:val="center"/>
            <w:hideMark/>
          </w:tcPr>
          <w:p w14:paraId="0B5AB00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2.00</w:t>
            </w:r>
          </w:p>
        </w:tc>
        <w:tc>
          <w:tcPr>
            <w:tcW w:w="1586" w:type="dxa"/>
            <w:tcBorders>
              <w:top w:val="nil"/>
              <w:left w:val="nil"/>
              <w:bottom w:val="nil"/>
              <w:right w:val="nil"/>
            </w:tcBorders>
            <w:shd w:val="clear" w:color="auto" w:fill="auto"/>
            <w:vAlign w:val="center"/>
            <w:hideMark/>
          </w:tcPr>
          <w:p w14:paraId="312015C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107.282</w:t>
            </w:r>
          </w:p>
        </w:tc>
        <w:tc>
          <w:tcPr>
            <w:tcW w:w="1586" w:type="dxa"/>
            <w:tcBorders>
              <w:top w:val="nil"/>
              <w:left w:val="nil"/>
              <w:bottom w:val="nil"/>
              <w:right w:val="nil"/>
            </w:tcBorders>
            <w:shd w:val="clear" w:color="auto" w:fill="auto"/>
            <w:vAlign w:val="center"/>
            <w:hideMark/>
          </w:tcPr>
          <w:p w14:paraId="36F011DD"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107.282</w:t>
            </w:r>
          </w:p>
        </w:tc>
      </w:tr>
      <w:tr w:rsidR="00CC0487" w:rsidRPr="003E7026" w14:paraId="6407ECB9" w14:textId="77777777" w:rsidTr="00DB6666">
        <w:trPr>
          <w:trHeight w:val="256"/>
        </w:trPr>
        <w:tc>
          <w:tcPr>
            <w:tcW w:w="1230" w:type="dxa"/>
            <w:tcBorders>
              <w:top w:val="nil"/>
              <w:left w:val="nil"/>
              <w:bottom w:val="nil"/>
              <w:right w:val="nil"/>
            </w:tcBorders>
            <w:shd w:val="clear" w:color="auto" w:fill="auto"/>
            <w:vAlign w:val="center"/>
            <w:hideMark/>
          </w:tcPr>
          <w:p w14:paraId="5C40070E"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1F5B7CE1"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13D28095"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Costa Rica</w:t>
            </w:r>
          </w:p>
        </w:tc>
        <w:tc>
          <w:tcPr>
            <w:tcW w:w="984" w:type="dxa"/>
            <w:tcBorders>
              <w:top w:val="nil"/>
              <w:left w:val="nil"/>
              <w:bottom w:val="nil"/>
              <w:right w:val="nil"/>
            </w:tcBorders>
            <w:shd w:val="clear" w:color="auto" w:fill="auto"/>
            <w:vAlign w:val="center"/>
            <w:hideMark/>
          </w:tcPr>
          <w:p w14:paraId="0D9B9A7D"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25827664"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1904B10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6C4F41EC" w14:textId="77777777" w:rsidTr="00DB6666">
        <w:trPr>
          <w:trHeight w:val="256"/>
        </w:trPr>
        <w:tc>
          <w:tcPr>
            <w:tcW w:w="1230" w:type="dxa"/>
            <w:tcBorders>
              <w:top w:val="nil"/>
              <w:left w:val="nil"/>
              <w:bottom w:val="nil"/>
              <w:right w:val="nil"/>
            </w:tcBorders>
            <w:shd w:val="clear" w:color="auto" w:fill="auto"/>
            <w:vAlign w:val="center"/>
            <w:hideMark/>
          </w:tcPr>
          <w:p w14:paraId="1F11623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c>
          <w:tcPr>
            <w:tcW w:w="1229" w:type="dxa"/>
            <w:tcBorders>
              <w:top w:val="nil"/>
              <w:left w:val="nil"/>
              <w:bottom w:val="nil"/>
              <w:right w:val="nil"/>
            </w:tcBorders>
            <w:shd w:val="clear" w:color="auto" w:fill="auto"/>
            <w:vAlign w:val="center"/>
            <w:hideMark/>
          </w:tcPr>
          <w:p w14:paraId="78F22FE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c>
          <w:tcPr>
            <w:tcW w:w="3166" w:type="dxa"/>
            <w:tcBorders>
              <w:top w:val="nil"/>
              <w:left w:val="nil"/>
              <w:bottom w:val="nil"/>
              <w:right w:val="nil"/>
            </w:tcBorders>
            <w:shd w:val="clear" w:color="auto" w:fill="auto"/>
            <w:vAlign w:val="center"/>
            <w:hideMark/>
          </w:tcPr>
          <w:p w14:paraId="7E255D4D"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Dänemark</w:t>
            </w:r>
          </w:p>
        </w:tc>
        <w:tc>
          <w:tcPr>
            <w:tcW w:w="984" w:type="dxa"/>
            <w:tcBorders>
              <w:top w:val="nil"/>
              <w:left w:val="nil"/>
              <w:bottom w:val="nil"/>
              <w:right w:val="nil"/>
            </w:tcBorders>
            <w:shd w:val="clear" w:color="auto" w:fill="auto"/>
            <w:vAlign w:val="center"/>
            <w:hideMark/>
          </w:tcPr>
          <w:p w14:paraId="7A795AD0"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0.50</w:t>
            </w:r>
          </w:p>
        </w:tc>
        <w:tc>
          <w:tcPr>
            <w:tcW w:w="1586" w:type="dxa"/>
            <w:tcBorders>
              <w:top w:val="nil"/>
              <w:left w:val="nil"/>
              <w:bottom w:val="nil"/>
              <w:right w:val="nil"/>
            </w:tcBorders>
            <w:shd w:val="clear" w:color="auto" w:fill="auto"/>
            <w:vAlign w:val="center"/>
            <w:hideMark/>
          </w:tcPr>
          <w:p w14:paraId="1C9DE9E8"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c>
          <w:tcPr>
            <w:tcW w:w="1586" w:type="dxa"/>
            <w:tcBorders>
              <w:top w:val="nil"/>
              <w:left w:val="nil"/>
              <w:bottom w:val="nil"/>
              <w:right w:val="nil"/>
            </w:tcBorders>
            <w:shd w:val="clear" w:color="auto" w:fill="auto"/>
            <w:vAlign w:val="center"/>
            <w:hideMark/>
          </w:tcPr>
          <w:p w14:paraId="712324F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r>
      <w:tr w:rsidR="00CC0487" w:rsidRPr="003E7026" w14:paraId="73268B19" w14:textId="77777777" w:rsidTr="00DB6666">
        <w:trPr>
          <w:trHeight w:val="256"/>
        </w:trPr>
        <w:tc>
          <w:tcPr>
            <w:tcW w:w="1230" w:type="dxa"/>
            <w:tcBorders>
              <w:top w:val="nil"/>
              <w:left w:val="nil"/>
              <w:bottom w:val="nil"/>
              <w:right w:val="nil"/>
            </w:tcBorders>
            <w:shd w:val="clear" w:color="auto" w:fill="auto"/>
            <w:vAlign w:val="center"/>
            <w:hideMark/>
          </w:tcPr>
          <w:p w14:paraId="37A0DB2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268.205</w:t>
            </w:r>
          </w:p>
        </w:tc>
        <w:tc>
          <w:tcPr>
            <w:tcW w:w="1229" w:type="dxa"/>
            <w:tcBorders>
              <w:top w:val="nil"/>
              <w:left w:val="nil"/>
              <w:bottom w:val="nil"/>
              <w:right w:val="nil"/>
            </w:tcBorders>
            <w:shd w:val="clear" w:color="auto" w:fill="auto"/>
            <w:vAlign w:val="center"/>
            <w:hideMark/>
          </w:tcPr>
          <w:p w14:paraId="3104D1C5"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268.205</w:t>
            </w:r>
          </w:p>
        </w:tc>
        <w:tc>
          <w:tcPr>
            <w:tcW w:w="3166" w:type="dxa"/>
            <w:tcBorders>
              <w:top w:val="nil"/>
              <w:left w:val="nil"/>
              <w:bottom w:val="nil"/>
              <w:right w:val="nil"/>
            </w:tcBorders>
            <w:shd w:val="clear" w:color="auto" w:fill="auto"/>
            <w:vAlign w:val="center"/>
            <w:hideMark/>
          </w:tcPr>
          <w:p w14:paraId="20F0418B"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Deutschland</w:t>
            </w:r>
          </w:p>
        </w:tc>
        <w:tc>
          <w:tcPr>
            <w:tcW w:w="984" w:type="dxa"/>
            <w:tcBorders>
              <w:top w:val="nil"/>
              <w:left w:val="nil"/>
              <w:bottom w:val="nil"/>
              <w:right w:val="nil"/>
            </w:tcBorders>
            <w:shd w:val="clear" w:color="auto" w:fill="auto"/>
            <w:vAlign w:val="center"/>
            <w:hideMark/>
          </w:tcPr>
          <w:p w14:paraId="3C0F3635"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5.00</w:t>
            </w:r>
          </w:p>
        </w:tc>
        <w:tc>
          <w:tcPr>
            <w:tcW w:w="1586" w:type="dxa"/>
            <w:tcBorders>
              <w:top w:val="nil"/>
              <w:left w:val="nil"/>
              <w:bottom w:val="nil"/>
              <w:right w:val="nil"/>
            </w:tcBorders>
            <w:shd w:val="clear" w:color="auto" w:fill="auto"/>
            <w:vAlign w:val="center"/>
            <w:hideMark/>
          </w:tcPr>
          <w:p w14:paraId="2E9F586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268.205</w:t>
            </w:r>
          </w:p>
        </w:tc>
        <w:tc>
          <w:tcPr>
            <w:tcW w:w="1586" w:type="dxa"/>
            <w:tcBorders>
              <w:top w:val="nil"/>
              <w:left w:val="nil"/>
              <w:bottom w:val="nil"/>
              <w:right w:val="nil"/>
            </w:tcBorders>
            <w:shd w:val="clear" w:color="auto" w:fill="auto"/>
            <w:vAlign w:val="center"/>
            <w:hideMark/>
          </w:tcPr>
          <w:p w14:paraId="320E8C3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268.205</w:t>
            </w:r>
          </w:p>
        </w:tc>
      </w:tr>
      <w:tr w:rsidR="00CC0487" w:rsidRPr="003E7026" w14:paraId="52520A49" w14:textId="77777777" w:rsidTr="00DB6666">
        <w:trPr>
          <w:trHeight w:val="256"/>
        </w:trPr>
        <w:tc>
          <w:tcPr>
            <w:tcW w:w="1230" w:type="dxa"/>
            <w:tcBorders>
              <w:top w:val="nil"/>
              <w:left w:val="nil"/>
              <w:bottom w:val="nil"/>
              <w:right w:val="nil"/>
            </w:tcBorders>
            <w:shd w:val="clear" w:color="auto" w:fill="auto"/>
            <w:vAlign w:val="center"/>
            <w:hideMark/>
          </w:tcPr>
          <w:p w14:paraId="28B32BD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7CA62814"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0D5C77F6"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Dominikanische Republik</w:t>
            </w:r>
          </w:p>
        </w:tc>
        <w:tc>
          <w:tcPr>
            <w:tcW w:w="984" w:type="dxa"/>
            <w:tcBorders>
              <w:top w:val="nil"/>
              <w:left w:val="nil"/>
              <w:bottom w:val="nil"/>
              <w:right w:val="nil"/>
            </w:tcBorders>
            <w:shd w:val="clear" w:color="auto" w:fill="auto"/>
            <w:vAlign w:val="center"/>
            <w:hideMark/>
          </w:tcPr>
          <w:p w14:paraId="2F72D30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6316E2B9"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0004C6F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3F9EA8B6" w14:textId="77777777" w:rsidTr="00DB6666">
        <w:trPr>
          <w:trHeight w:val="256"/>
        </w:trPr>
        <w:tc>
          <w:tcPr>
            <w:tcW w:w="1230" w:type="dxa"/>
            <w:tcBorders>
              <w:top w:val="nil"/>
              <w:left w:val="nil"/>
              <w:bottom w:val="nil"/>
              <w:right w:val="nil"/>
            </w:tcBorders>
            <w:shd w:val="clear" w:color="auto" w:fill="auto"/>
            <w:vAlign w:val="center"/>
            <w:hideMark/>
          </w:tcPr>
          <w:p w14:paraId="30616578"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237E70D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44BC473E"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Ecuador</w:t>
            </w:r>
          </w:p>
        </w:tc>
        <w:tc>
          <w:tcPr>
            <w:tcW w:w="984" w:type="dxa"/>
            <w:tcBorders>
              <w:top w:val="nil"/>
              <w:left w:val="nil"/>
              <w:bottom w:val="nil"/>
              <w:right w:val="nil"/>
            </w:tcBorders>
            <w:shd w:val="clear" w:color="auto" w:fill="auto"/>
            <w:vAlign w:val="center"/>
            <w:hideMark/>
          </w:tcPr>
          <w:p w14:paraId="0605EC85"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2C4F595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7B246E0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360A090F" w14:textId="77777777" w:rsidTr="00DB6666">
        <w:trPr>
          <w:trHeight w:val="256"/>
        </w:trPr>
        <w:tc>
          <w:tcPr>
            <w:tcW w:w="1230" w:type="dxa"/>
            <w:tcBorders>
              <w:top w:val="nil"/>
              <w:left w:val="nil"/>
              <w:bottom w:val="nil"/>
              <w:right w:val="nil"/>
            </w:tcBorders>
            <w:shd w:val="clear" w:color="auto" w:fill="auto"/>
            <w:vAlign w:val="center"/>
            <w:hideMark/>
          </w:tcPr>
          <w:p w14:paraId="44BB2CC0"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5BB0AB6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23AC463E"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Estland</w:t>
            </w:r>
          </w:p>
        </w:tc>
        <w:tc>
          <w:tcPr>
            <w:tcW w:w="984" w:type="dxa"/>
            <w:tcBorders>
              <w:top w:val="nil"/>
              <w:left w:val="nil"/>
              <w:bottom w:val="nil"/>
              <w:right w:val="nil"/>
            </w:tcBorders>
            <w:shd w:val="clear" w:color="auto" w:fill="auto"/>
            <w:vAlign w:val="center"/>
            <w:hideMark/>
          </w:tcPr>
          <w:p w14:paraId="230F785D"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2389585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670E98D5"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4592F4DA" w14:textId="77777777" w:rsidTr="00DB6666">
        <w:trPr>
          <w:trHeight w:val="256"/>
        </w:trPr>
        <w:tc>
          <w:tcPr>
            <w:tcW w:w="1230" w:type="dxa"/>
            <w:tcBorders>
              <w:top w:val="nil"/>
              <w:left w:val="nil"/>
              <w:bottom w:val="nil"/>
              <w:right w:val="nil"/>
            </w:tcBorders>
            <w:shd w:val="clear" w:color="auto" w:fill="auto"/>
            <w:vAlign w:val="center"/>
            <w:hideMark/>
          </w:tcPr>
          <w:p w14:paraId="3A0A4A95"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268.205</w:t>
            </w:r>
          </w:p>
        </w:tc>
        <w:tc>
          <w:tcPr>
            <w:tcW w:w="1229" w:type="dxa"/>
            <w:tcBorders>
              <w:top w:val="nil"/>
              <w:left w:val="nil"/>
              <w:bottom w:val="nil"/>
              <w:right w:val="nil"/>
            </w:tcBorders>
            <w:shd w:val="clear" w:color="auto" w:fill="auto"/>
            <w:vAlign w:val="center"/>
            <w:hideMark/>
          </w:tcPr>
          <w:p w14:paraId="37DC1091"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268.205</w:t>
            </w:r>
          </w:p>
        </w:tc>
        <w:tc>
          <w:tcPr>
            <w:tcW w:w="3166" w:type="dxa"/>
            <w:tcBorders>
              <w:top w:val="nil"/>
              <w:left w:val="nil"/>
              <w:bottom w:val="nil"/>
              <w:right w:val="nil"/>
            </w:tcBorders>
            <w:shd w:val="clear" w:color="auto" w:fill="auto"/>
            <w:vAlign w:val="center"/>
            <w:hideMark/>
          </w:tcPr>
          <w:p w14:paraId="10746DBC"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Europäische Union</w:t>
            </w:r>
          </w:p>
        </w:tc>
        <w:tc>
          <w:tcPr>
            <w:tcW w:w="984" w:type="dxa"/>
            <w:tcBorders>
              <w:top w:val="nil"/>
              <w:left w:val="nil"/>
              <w:bottom w:val="nil"/>
              <w:right w:val="nil"/>
            </w:tcBorders>
            <w:shd w:val="clear" w:color="auto" w:fill="auto"/>
            <w:vAlign w:val="center"/>
            <w:hideMark/>
          </w:tcPr>
          <w:p w14:paraId="5DA27DB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5.00</w:t>
            </w:r>
          </w:p>
        </w:tc>
        <w:tc>
          <w:tcPr>
            <w:tcW w:w="1586" w:type="dxa"/>
            <w:tcBorders>
              <w:top w:val="nil"/>
              <w:left w:val="nil"/>
              <w:bottom w:val="nil"/>
              <w:right w:val="nil"/>
            </w:tcBorders>
            <w:shd w:val="clear" w:color="auto" w:fill="auto"/>
            <w:vAlign w:val="center"/>
            <w:hideMark/>
          </w:tcPr>
          <w:p w14:paraId="3DBDCD11"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268.205</w:t>
            </w:r>
          </w:p>
        </w:tc>
        <w:tc>
          <w:tcPr>
            <w:tcW w:w="1586" w:type="dxa"/>
            <w:tcBorders>
              <w:top w:val="nil"/>
              <w:left w:val="nil"/>
              <w:bottom w:val="nil"/>
              <w:right w:val="nil"/>
            </w:tcBorders>
            <w:shd w:val="clear" w:color="auto" w:fill="auto"/>
            <w:vAlign w:val="center"/>
            <w:hideMark/>
          </w:tcPr>
          <w:p w14:paraId="3570DB1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268.205</w:t>
            </w:r>
          </w:p>
        </w:tc>
      </w:tr>
      <w:tr w:rsidR="00CC0487" w:rsidRPr="003E7026" w14:paraId="57B7B874" w14:textId="77777777" w:rsidTr="00DB6666">
        <w:trPr>
          <w:trHeight w:val="256"/>
        </w:trPr>
        <w:tc>
          <w:tcPr>
            <w:tcW w:w="1230" w:type="dxa"/>
            <w:tcBorders>
              <w:top w:val="nil"/>
              <w:left w:val="nil"/>
              <w:bottom w:val="nil"/>
              <w:right w:val="nil"/>
            </w:tcBorders>
            <w:shd w:val="clear" w:color="auto" w:fill="auto"/>
            <w:vAlign w:val="center"/>
            <w:hideMark/>
          </w:tcPr>
          <w:p w14:paraId="31C818B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c>
          <w:tcPr>
            <w:tcW w:w="1229" w:type="dxa"/>
            <w:tcBorders>
              <w:top w:val="nil"/>
              <w:left w:val="nil"/>
              <w:bottom w:val="nil"/>
              <w:right w:val="nil"/>
            </w:tcBorders>
            <w:shd w:val="clear" w:color="auto" w:fill="auto"/>
            <w:vAlign w:val="center"/>
            <w:hideMark/>
          </w:tcPr>
          <w:p w14:paraId="64686C22"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c>
          <w:tcPr>
            <w:tcW w:w="3166" w:type="dxa"/>
            <w:tcBorders>
              <w:top w:val="nil"/>
              <w:left w:val="nil"/>
              <w:bottom w:val="nil"/>
              <w:right w:val="nil"/>
            </w:tcBorders>
            <w:shd w:val="clear" w:color="auto" w:fill="auto"/>
            <w:vAlign w:val="center"/>
            <w:hideMark/>
          </w:tcPr>
          <w:p w14:paraId="15093DC7"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Finnland</w:t>
            </w:r>
          </w:p>
        </w:tc>
        <w:tc>
          <w:tcPr>
            <w:tcW w:w="984" w:type="dxa"/>
            <w:tcBorders>
              <w:top w:val="nil"/>
              <w:left w:val="nil"/>
              <w:bottom w:val="nil"/>
              <w:right w:val="nil"/>
            </w:tcBorders>
            <w:shd w:val="clear" w:color="auto" w:fill="auto"/>
            <w:vAlign w:val="center"/>
            <w:hideMark/>
          </w:tcPr>
          <w:p w14:paraId="1E93C49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1.00</w:t>
            </w:r>
          </w:p>
        </w:tc>
        <w:tc>
          <w:tcPr>
            <w:tcW w:w="1586" w:type="dxa"/>
            <w:tcBorders>
              <w:top w:val="nil"/>
              <w:left w:val="nil"/>
              <w:bottom w:val="nil"/>
              <w:right w:val="nil"/>
            </w:tcBorders>
            <w:shd w:val="clear" w:color="auto" w:fill="auto"/>
            <w:vAlign w:val="center"/>
            <w:hideMark/>
          </w:tcPr>
          <w:p w14:paraId="25E9079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c>
          <w:tcPr>
            <w:tcW w:w="1586" w:type="dxa"/>
            <w:tcBorders>
              <w:top w:val="nil"/>
              <w:left w:val="nil"/>
              <w:bottom w:val="nil"/>
              <w:right w:val="nil"/>
            </w:tcBorders>
            <w:shd w:val="clear" w:color="auto" w:fill="auto"/>
            <w:vAlign w:val="center"/>
            <w:hideMark/>
          </w:tcPr>
          <w:p w14:paraId="77D594B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r>
      <w:tr w:rsidR="00CC0487" w:rsidRPr="003E7026" w14:paraId="3885E594" w14:textId="77777777" w:rsidTr="00DB6666">
        <w:trPr>
          <w:trHeight w:val="256"/>
        </w:trPr>
        <w:tc>
          <w:tcPr>
            <w:tcW w:w="1230" w:type="dxa"/>
            <w:tcBorders>
              <w:top w:val="nil"/>
              <w:left w:val="nil"/>
              <w:bottom w:val="nil"/>
              <w:right w:val="nil"/>
            </w:tcBorders>
            <w:shd w:val="clear" w:color="auto" w:fill="auto"/>
            <w:vAlign w:val="center"/>
            <w:hideMark/>
          </w:tcPr>
          <w:p w14:paraId="3E2C10F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268.205</w:t>
            </w:r>
          </w:p>
        </w:tc>
        <w:tc>
          <w:tcPr>
            <w:tcW w:w="1229" w:type="dxa"/>
            <w:tcBorders>
              <w:top w:val="nil"/>
              <w:left w:val="nil"/>
              <w:bottom w:val="nil"/>
              <w:right w:val="nil"/>
            </w:tcBorders>
            <w:shd w:val="clear" w:color="auto" w:fill="auto"/>
            <w:vAlign w:val="center"/>
            <w:hideMark/>
          </w:tcPr>
          <w:p w14:paraId="3B945B0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268.205</w:t>
            </w:r>
          </w:p>
        </w:tc>
        <w:tc>
          <w:tcPr>
            <w:tcW w:w="3166" w:type="dxa"/>
            <w:tcBorders>
              <w:top w:val="nil"/>
              <w:left w:val="nil"/>
              <w:bottom w:val="nil"/>
              <w:right w:val="nil"/>
            </w:tcBorders>
            <w:shd w:val="clear" w:color="auto" w:fill="auto"/>
            <w:vAlign w:val="center"/>
            <w:hideMark/>
          </w:tcPr>
          <w:p w14:paraId="45750052"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Frankreich</w:t>
            </w:r>
          </w:p>
        </w:tc>
        <w:tc>
          <w:tcPr>
            <w:tcW w:w="984" w:type="dxa"/>
            <w:tcBorders>
              <w:top w:val="nil"/>
              <w:left w:val="nil"/>
              <w:bottom w:val="nil"/>
              <w:right w:val="nil"/>
            </w:tcBorders>
            <w:shd w:val="clear" w:color="auto" w:fill="auto"/>
            <w:vAlign w:val="center"/>
            <w:hideMark/>
          </w:tcPr>
          <w:p w14:paraId="349A2F65"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5.00</w:t>
            </w:r>
          </w:p>
        </w:tc>
        <w:tc>
          <w:tcPr>
            <w:tcW w:w="1586" w:type="dxa"/>
            <w:tcBorders>
              <w:top w:val="nil"/>
              <w:left w:val="nil"/>
              <w:bottom w:val="nil"/>
              <w:right w:val="nil"/>
            </w:tcBorders>
            <w:shd w:val="clear" w:color="auto" w:fill="auto"/>
            <w:vAlign w:val="center"/>
            <w:hideMark/>
          </w:tcPr>
          <w:p w14:paraId="1A18F4D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268.205</w:t>
            </w:r>
          </w:p>
        </w:tc>
        <w:tc>
          <w:tcPr>
            <w:tcW w:w="1586" w:type="dxa"/>
            <w:tcBorders>
              <w:top w:val="nil"/>
              <w:left w:val="nil"/>
              <w:bottom w:val="nil"/>
              <w:right w:val="nil"/>
            </w:tcBorders>
            <w:shd w:val="clear" w:color="auto" w:fill="auto"/>
            <w:vAlign w:val="center"/>
            <w:hideMark/>
          </w:tcPr>
          <w:p w14:paraId="4A76541E"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268.205</w:t>
            </w:r>
          </w:p>
        </w:tc>
      </w:tr>
      <w:tr w:rsidR="00CC0487" w:rsidRPr="003E7026" w14:paraId="08C350D7" w14:textId="77777777" w:rsidTr="00DB6666">
        <w:trPr>
          <w:trHeight w:val="256"/>
        </w:trPr>
        <w:tc>
          <w:tcPr>
            <w:tcW w:w="1230" w:type="dxa"/>
            <w:tcBorders>
              <w:top w:val="nil"/>
              <w:left w:val="nil"/>
              <w:bottom w:val="nil"/>
              <w:right w:val="nil"/>
            </w:tcBorders>
            <w:shd w:val="clear" w:color="auto" w:fill="auto"/>
            <w:vAlign w:val="center"/>
            <w:hideMark/>
          </w:tcPr>
          <w:p w14:paraId="03C5411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415E355E"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56322B38"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Georgien</w:t>
            </w:r>
          </w:p>
        </w:tc>
        <w:tc>
          <w:tcPr>
            <w:tcW w:w="984" w:type="dxa"/>
            <w:tcBorders>
              <w:top w:val="nil"/>
              <w:left w:val="nil"/>
              <w:bottom w:val="nil"/>
              <w:right w:val="nil"/>
            </w:tcBorders>
            <w:shd w:val="clear" w:color="auto" w:fill="auto"/>
            <w:vAlign w:val="center"/>
            <w:hideMark/>
          </w:tcPr>
          <w:p w14:paraId="5DB0D58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63FCF2E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7A00B8ED"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70BDA9CB" w14:textId="77777777" w:rsidTr="00DB6666">
        <w:trPr>
          <w:trHeight w:val="256"/>
        </w:trPr>
        <w:tc>
          <w:tcPr>
            <w:tcW w:w="1230" w:type="dxa"/>
            <w:tcBorders>
              <w:top w:val="nil"/>
              <w:left w:val="nil"/>
              <w:bottom w:val="nil"/>
              <w:right w:val="nil"/>
            </w:tcBorders>
            <w:shd w:val="clear" w:color="auto" w:fill="auto"/>
            <w:vAlign w:val="center"/>
            <w:hideMark/>
          </w:tcPr>
          <w:p w14:paraId="4800FB95"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68C054C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358215DD"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Ghana</w:t>
            </w:r>
          </w:p>
        </w:tc>
        <w:tc>
          <w:tcPr>
            <w:tcW w:w="984" w:type="dxa"/>
            <w:tcBorders>
              <w:top w:val="nil"/>
              <w:left w:val="nil"/>
              <w:bottom w:val="nil"/>
              <w:right w:val="nil"/>
            </w:tcBorders>
            <w:shd w:val="clear" w:color="auto" w:fill="auto"/>
            <w:vAlign w:val="center"/>
            <w:hideMark/>
          </w:tcPr>
          <w:p w14:paraId="5A8D8D82"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037AA659"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134C49F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77F99502" w14:textId="77777777" w:rsidTr="00DB6666">
        <w:trPr>
          <w:trHeight w:val="256"/>
        </w:trPr>
        <w:tc>
          <w:tcPr>
            <w:tcW w:w="1230" w:type="dxa"/>
            <w:tcBorders>
              <w:top w:val="nil"/>
              <w:left w:val="nil"/>
              <w:bottom w:val="nil"/>
              <w:right w:val="nil"/>
            </w:tcBorders>
            <w:shd w:val="clear" w:color="auto" w:fill="auto"/>
            <w:vAlign w:val="center"/>
            <w:hideMark/>
          </w:tcPr>
          <w:p w14:paraId="3727CBA1"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c>
          <w:tcPr>
            <w:tcW w:w="1229" w:type="dxa"/>
            <w:tcBorders>
              <w:top w:val="nil"/>
              <w:left w:val="nil"/>
              <w:bottom w:val="nil"/>
              <w:right w:val="nil"/>
            </w:tcBorders>
            <w:shd w:val="clear" w:color="auto" w:fill="auto"/>
            <w:vAlign w:val="center"/>
            <w:hideMark/>
          </w:tcPr>
          <w:p w14:paraId="0CBBB52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c>
          <w:tcPr>
            <w:tcW w:w="3166" w:type="dxa"/>
            <w:tcBorders>
              <w:top w:val="nil"/>
              <w:left w:val="nil"/>
              <w:bottom w:val="nil"/>
              <w:right w:val="nil"/>
            </w:tcBorders>
            <w:shd w:val="clear" w:color="auto" w:fill="auto"/>
            <w:vAlign w:val="center"/>
            <w:hideMark/>
          </w:tcPr>
          <w:p w14:paraId="1820A46F"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Irland</w:t>
            </w:r>
          </w:p>
        </w:tc>
        <w:tc>
          <w:tcPr>
            <w:tcW w:w="984" w:type="dxa"/>
            <w:tcBorders>
              <w:top w:val="nil"/>
              <w:left w:val="nil"/>
              <w:bottom w:val="nil"/>
              <w:right w:val="nil"/>
            </w:tcBorders>
            <w:shd w:val="clear" w:color="auto" w:fill="auto"/>
            <w:vAlign w:val="center"/>
            <w:hideMark/>
          </w:tcPr>
          <w:p w14:paraId="3750E9F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1.00</w:t>
            </w:r>
          </w:p>
        </w:tc>
        <w:tc>
          <w:tcPr>
            <w:tcW w:w="1586" w:type="dxa"/>
            <w:tcBorders>
              <w:top w:val="nil"/>
              <w:left w:val="nil"/>
              <w:bottom w:val="nil"/>
              <w:right w:val="nil"/>
            </w:tcBorders>
            <w:shd w:val="clear" w:color="auto" w:fill="auto"/>
            <w:vAlign w:val="center"/>
            <w:hideMark/>
          </w:tcPr>
          <w:p w14:paraId="362BEEE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c>
          <w:tcPr>
            <w:tcW w:w="1586" w:type="dxa"/>
            <w:tcBorders>
              <w:top w:val="nil"/>
              <w:left w:val="nil"/>
              <w:bottom w:val="nil"/>
              <w:right w:val="nil"/>
            </w:tcBorders>
            <w:shd w:val="clear" w:color="auto" w:fill="auto"/>
            <w:vAlign w:val="center"/>
            <w:hideMark/>
          </w:tcPr>
          <w:p w14:paraId="4E784B9D"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r>
      <w:tr w:rsidR="00CC0487" w:rsidRPr="003E7026" w14:paraId="4E45BBD6" w14:textId="77777777" w:rsidTr="00DB6666">
        <w:trPr>
          <w:trHeight w:val="256"/>
        </w:trPr>
        <w:tc>
          <w:tcPr>
            <w:tcW w:w="1230" w:type="dxa"/>
            <w:tcBorders>
              <w:top w:val="nil"/>
              <w:left w:val="nil"/>
              <w:bottom w:val="nil"/>
              <w:right w:val="nil"/>
            </w:tcBorders>
            <w:shd w:val="clear" w:color="auto" w:fill="auto"/>
            <w:vAlign w:val="center"/>
            <w:hideMark/>
          </w:tcPr>
          <w:p w14:paraId="3CD658CD"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061979AE"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1A5DCD73"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Island</w:t>
            </w:r>
          </w:p>
        </w:tc>
        <w:tc>
          <w:tcPr>
            <w:tcW w:w="984" w:type="dxa"/>
            <w:tcBorders>
              <w:top w:val="nil"/>
              <w:left w:val="nil"/>
              <w:bottom w:val="nil"/>
              <w:right w:val="nil"/>
            </w:tcBorders>
            <w:shd w:val="clear" w:color="auto" w:fill="auto"/>
            <w:vAlign w:val="center"/>
            <w:hideMark/>
          </w:tcPr>
          <w:p w14:paraId="1B9F61F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4C7DE22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1459A619"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01B98C23" w14:textId="77777777" w:rsidTr="00DB6666">
        <w:trPr>
          <w:trHeight w:val="256"/>
        </w:trPr>
        <w:tc>
          <w:tcPr>
            <w:tcW w:w="1230" w:type="dxa"/>
            <w:tcBorders>
              <w:top w:val="nil"/>
              <w:left w:val="nil"/>
              <w:bottom w:val="nil"/>
              <w:right w:val="nil"/>
            </w:tcBorders>
            <w:shd w:val="clear" w:color="auto" w:fill="auto"/>
            <w:vAlign w:val="center"/>
            <w:hideMark/>
          </w:tcPr>
          <w:p w14:paraId="6443E7C4"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c>
          <w:tcPr>
            <w:tcW w:w="1229" w:type="dxa"/>
            <w:tcBorders>
              <w:top w:val="nil"/>
              <w:left w:val="nil"/>
              <w:bottom w:val="nil"/>
              <w:right w:val="nil"/>
            </w:tcBorders>
            <w:shd w:val="clear" w:color="auto" w:fill="auto"/>
            <w:vAlign w:val="center"/>
            <w:hideMark/>
          </w:tcPr>
          <w:p w14:paraId="1C1F410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c>
          <w:tcPr>
            <w:tcW w:w="3166" w:type="dxa"/>
            <w:tcBorders>
              <w:top w:val="nil"/>
              <w:left w:val="nil"/>
              <w:bottom w:val="nil"/>
              <w:right w:val="nil"/>
            </w:tcBorders>
            <w:shd w:val="clear" w:color="auto" w:fill="auto"/>
            <w:vAlign w:val="center"/>
            <w:hideMark/>
          </w:tcPr>
          <w:p w14:paraId="760EF99E"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Israel</w:t>
            </w:r>
          </w:p>
        </w:tc>
        <w:tc>
          <w:tcPr>
            <w:tcW w:w="984" w:type="dxa"/>
            <w:tcBorders>
              <w:top w:val="nil"/>
              <w:left w:val="nil"/>
              <w:bottom w:val="nil"/>
              <w:right w:val="nil"/>
            </w:tcBorders>
            <w:shd w:val="clear" w:color="auto" w:fill="auto"/>
            <w:vAlign w:val="center"/>
            <w:hideMark/>
          </w:tcPr>
          <w:p w14:paraId="378B0C3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0.50</w:t>
            </w:r>
          </w:p>
        </w:tc>
        <w:tc>
          <w:tcPr>
            <w:tcW w:w="1586" w:type="dxa"/>
            <w:tcBorders>
              <w:top w:val="nil"/>
              <w:left w:val="nil"/>
              <w:bottom w:val="nil"/>
              <w:right w:val="nil"/>
            </w:tcBorders>
            <w:shd w:val="clear" w:color="auto" w:fill="auto"/>
            <w:vAlign w:val="center"/>
            <w:hideMark/>
          </w:tcPr>
          <w:p w14:paraId="6C5FC649"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c>
          <w:tcPr>
            <w:tcW w:w="1586" w:type="dxa"/>
            <w:tcBorders>
              <w:top w:val="nil"/>
              <w:left w:val="nil"/>
              <w:bottom w:val="nil"/>
              <w:right w:val="nil"/>
            </w:tcBorders>
            <w:shd w:val="clear" w:color="auto" w:fill="auto"/>
            <w:vAlign w:val="center"/>
            <w:hideMark/>
          </w:tcPr>
          <w:p w14:paraId="3146BC7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r>
      <w:tr w:rsidR="00CC0487" w:rsidRPr="003E7026" w14:paraId="1805554B" w14:textId="77777777" w:rsidTr="00DB6666">
        <w:trPr>
          <w:trHeight w:val="256"/>
        </w:trPr>
        <w:tc>
          <w:tcPr>
            <w:tcW w:w="1230" w:type="dxa"/>
            <w:tcBorders>
              <w:top w:val="nil"/>
              <w:left w:val="nil"/>
              <w:bottom w:val="nil"/>
              <w:right w:val="nil"/>
            </w:tcBorders>
            <w:shd w:val="clear" w:color="auto" w:fill="auto"/>
            <w:vAlign w:val="center"/>
            <w:hideMark/>
          </w:tcPr>
          <w:p w14:paraId="4641B8D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107.282</w:t>
            </w:r>
          </w:p>
        </w:tc>
        <w:tc>
          <w:tcPr>
            <w:tcW w:w="1229" w:type="dxa"/>
            <w:tcBorders>
              <w:top w:val="nil"/>
              <w:left w:val="nil"/>
              <w:bottom w:val="nil"/>
              <w:right w:val="nil"/>
            </w:tcBorders>
            <w:shd w:val="clear" w:color="auto" w:fill="auto"/>
            <w:vAlign w:val="center"/>
            <w:hideMark/>
          </w:tcPr>
          <w:p w14:paraId="625CC455"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107.282</w:t>
            </w:r>
          </w:p>
        </w:tc>
        <w:tc>
          <w:tcPr>
            <w:tcW w:w="3166" w:type="dxa"/>
            <w:tcBorders>
              <w:top w:val="nil"/>
              <w:left w:val="nil"/>
              <w:bottom w:val="nil"/>
              <w:right w:val="nil"/>
            </w:tcBorders>
            <w:shd w:val="clear" w:color="auto" w:fill="auto"/>
            <w:vAlign w:val="center"/>
            <w:hideMark/>
          </w:tcPr>
          <w:p w14:paraId="1BE4D283"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Italien</w:t>
            </w:r>
          </w:p>
        </w:tc>
        <w:tc>
          <w:tcPr>
            <w:tcW w:w="984" w:type="dxa"/>
            <w:tcBorders>
              <w:top w:val="nil"/>
              <w:left w:val="nil"/>
              <w:bottom w:val="nil"/>
              <w:right w:val="nil"/>
            </w:tcBorders>
            <w:shd w:val="clear" w:color="auto" w:fill="auto"/>
            <w:vAlign w:val="center"/>
            <w:hideMark/>
          </w:tcPr>
          <w:p w14:paraId="346CB911"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2.00</w:t>
            </w:r>
          </w:p>
        </w:tc>
        <w:tc>
          <w:tcPr>
            <w:tcW w:w="1586" w:type="dxa"/>
            <w:tcBorders>
              <w:top w:val="nil"/>
              <w:left w:val="nil"/>
              <w:bottom w:val="nil"/>
              <w:right w:val="nil"/>
            </w:tcBorders>
            <w:shd w:val="clear" w:color="auto" w:fill="auto"/>
            <w:vAlign w:val="center"/>
            <w:hideMark/>
          </w:tcPr>
          <w:p w14:paraId="4A0493F9"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107.282</w:t>
            </w:r>
          </w:p>
        </w:tc>
        <w:tc>
          <w:tcPr>
            <w:tcW w:w="1586" w:type="dxa"/>
            <w:tcBorders>
              <w:top w:val="nil"/>
              <w:left w:val="nil"/>
              <w:bottom w:val="nil"/>
              <w:right w:val="nil"/>
            </w:tcBorders>
            <w:shd w:val="clear" w:color="auto" w:fill="auto"/>
            <w:vAlign w:val="center"/>
            <w:hideMark/>
          </w:tcPr>
          <w:p w14:paraId="2CAD8648"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107.282</w:t>
            </w:r>
          </w:p>
        </w:tc>
      </w:tr>
      <w:tr w:rsidR="00CC0487" w:rsidRPr="003E7026" w14:paraId="33DF5104" w14:textId="77777777" w:rsidTr="00DB6666">
        <w:trPr>
          <w:trHeight w:val="256"/>
        </w:trPr>
        <w:tc>
          <w:tcPr>
            <w:tcW w:w="1230" w:type="dxa"/>
            <w:tcBorders>
              <w:top w:val="nil"/>
              <w:left w:val="nil"/>
              <w:bottom w:val="nil"/>
              <w:right w:val="nil"/>
            </w:tcBorders>
            <w:shd w:val="clear" w:color="auto" w:fill="auto"/>
            <w:vAlign w:val="center"/>
            <w:hideMark/>
          </w:tcPr>
          <w:p w14:paraId="1FA5EF9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268.205</w:t>
            </w:r>
          </w:p>
        </w:tc>
        <w:tc>
          <w:tcPr>
            <w:tcW w:w="1229" w:type="dxa"/>
            <w:tcBorders>
              <w:top w:val="nil"/>
              <w:left w:val="nil"/>
              <w:bottom w:val="nil"/>
              <w:right w:val="nil"/>
            </w:tcBorders>
            <w:shd w:val="clear" w:color="auto" w:fill="auto"/>
            <w:vAlign w:val="center"/>
            <w:hideMark/>
          </w:tcPr>
          <w:p w14:paraId="3BE6644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268.205</w:t>
            </w:r>
          </w:p>
        </w:tc>
        <w:tc>
          <w:tcPr>
            <w:tcW w:w="3166" w:type="dxa"/>
            <w:tcBorders>
              <w:top w:val="nil"/>
              <w:left w:val="nil"/>
              <w:bottom w:val="nil"/>
              <w:right w:val="nil"/>
            </w:tcBorders>
            <w:shd w:val="clear" w:color="auto" w:fill="auto"/>
            <w:vAlign w:val="center"/>
            <w:hideMark/>
          </w:tcPr>
          <w:p w14:paraId="10A1D681"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Japan</w:t>
            </w:r>
          </w:p>
        </w:tc>
        <w:tc>
          <w:tcPr>
            <w:tcW w:w="984" w:type="dxa"/>
            <w:tcBorders>
              <w:top w:val="nil"/>
              <w:left w:val="nil"/>
              <w:bottom w:val="nil"/>
              <w:right w:val="nil"/>
            </w:tcBorders>
            <w:shd w:val="clear" w:color="auto" w:fill="auto"/>
            <w:vAlign w:val="center"/>
            <w:hideMark/>
          </w:tcPr>
          <w:p w14:paraId="2BAEDD1E"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5.00</w:t>
            </w:r>
          </w:p>
        </w:tc>
        <w:tc>
          <w:tcPr>
            <w:tcW w:w="1586" w:type="dxa"/>
            <w:tcBorders>
              <w:top w:val="nil"/>
              <w:left w:val="nil"/>
              <w:bottom w:val="nil"/>
              <w:right w:val="nil"/>
            </w:tcBorders>
            <w:shd w:val="clear" w:color="auto" w:fill="auto"/>
            <w:vAlign w:val="center"/>
            <w:hideMark/>
          </w:tcPr>
          <w:p w14:paraId="6E65A1F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268.205</w:t>
            </w:r>
          </w:p>
        </w:tc>
        <w:tc>
          <w:tcPr>
            <w:tcW w:w="1586" w:type="dxa"/>
            <w:tcBorders>
              <w:top w:val="nil"/>
              <w:left w:val="nil"/>
              <w:bottom w:val="nil"/>
              <w:right w:val="nil"/>
            </w:tcBorders>
            <w:shd w:val="clear" w:color="auto" w:fill="auto"/>
            <w:vAlign w:val="center"/>
            <w:hideMark/>
          </w:tcPr>
          <w:p w14:paraId="4C0340F2"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268.205</w:t>
            </w:r>
          </w:p>
        </w:tc>
      </w:tr>
      <w:tr w:rsidR="00CC0487" w:rsidRPr="003E7026" w14:paraId="6F27A29B" w14:textId="77777777" w:rsidTr="00DB6666">
        <w:trPr>
          <w:trHeight w:val="256"/>
        </w:trPr>
        <w:tc>
          <w:tcPr>
            <w:tcW w:w="1230" w:type="dxa"/>
            <w:tcBorders>
              <w:top w:val="nil"/>
              <w:left w:val="nil"/>
              <w:bottom w:val="nil"/>
              <w:right w:val="nil"/>
            </w:tcBorders>
            <w:shd w:val="clear" w:color="auto" w:fill="auto"/>
            <w:vAlign w:val="center"/>
            <w:hideMark/>
          </w:tcPr>
          <w:p w14:paraId="1933DCC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75A954FE"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7C2E95E5"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Jordanien</w:t>
            </w:r>
          </w:p>
        </w:tc>
        <w:tc>
          <w:tcPr>
            <w:tcW w:w="984" w:type="dxa"/>
            <w:tcBorders>
              <w:top w:val="nil"/>
              <w:left w:val="nil"/>
              <w:bottom w:val="nil"/>
              <w:right w:val="nil"/>
            </w:tcBorders>
            <w:shd w:val="clear" w:color="auto" w:fill="auto"/>
            <w:vAlign w:val="center"/>
            <w:hideMark/>
          </w:tcPr>
          <w:p w14:paraId="22397BB0"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124ACE68"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5ADD197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2F353AA6" w14:textId="77777777" w:rsidTr="00DB6666">
        <w:trPr>
          <w:trHeight w:val="256"/>
        </w:trPr>
        <w:tc>
          <w:tcPr>
            <w:tcW w:w="1230" w:type="dxa"/>
            <w:tcBorders>
              <w:top w:val="nil"/>
              <w:left w:val="nil"/>
              <w:bottom w:val="nil"/>
              <w:right w:val="nil"/>
            </w:tcBorders>
            <w:shd w:val="clear" w:color="auto" w:fill="auto"/>
            <w:vAlign w:val="center"/>
            <w:hideMark/>
          </w:tcPr>
          <w:p w14:paraId="5E95F81D"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c>
          <w:tcPr>
            <w:tcW w:w="1229" w:type="dxa"/>
            <w:tcBorders>
              <w:top w:val="nil"/>
              <w:left w:val="nil"/>
              <w:bottom w:val="nil"/>
              <w:right w:val="nil"/>
            </w:tcBorders>
            <w:shd w:val="clear" w:color="auto" w:fill="auto"/>
            <w:vAlign w:val="center"/>
            <w:hideMark/>
          </w:tcPr>
          <w:p w14:paraId="3A5C484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c>
          <w:tcPr>
            <w:tcW w:w="3166" w:type="dxa"/>
            <w:tcBorders>
              <w:top w:val="nil"/>
              <w:left w:val="nil"/>
              <w:bottom w:val="nil"/>
              <w:right w:val="nil"/>
            </w:tcBorders>
            <w:shd w:val="clear" w:color="auto" w:fill="auto"/>
            <w:vAlign w:val="center"/>
            <w:hideMark/>
          </w:tcPr>
          <w:p w14:paraId="014D9A2C"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Kanada</w:t>
            </w:r>
          </w:p>
        </w:tc>
        <w:tc>
          <w:tcPr>
            <w:tcW w:w="984" w:type="dxa"/>
            <w:tcBorders>
              <w:top w:val="nil"/>
              <w:left w:val="nil"/>
              <w:bottom w:val="nil"/>
              <w:right w:val="nil"/>
            </w:tcBorders>
            <w:shd w:val="clear" w:color="auto" w:fill="auto"/>
            <w:vAlign w:val="center"/>
            <w:hideMark/>
          </w:tcPr>
          <w:p w14:paraId="19203D50"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1.00</w:t>
            </w:r>
          </w:p>
        </w:tc>
        <w:tc>
          <w:tcPr>
            <w:tcW w:w="1586" w:type="dxa"/>
            <w:tcBorders>
              <w:top w:val="nil"/>
              <w:left w:val="nil"/>
              <w:bottom w:val="nil"/>
              <w:right w:val="nil"/>
            </w:tcBorders>
            <w:shd w:val="clear" w:color="auto" w:fill="auto"/>
            <w:vAlign w:val="center"/>
            <w:hideMark/>
          </w:tcPr>
          <w:p w14:paraId="04DCE9CE"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c>
          <w:tcPr>
            <w:tcW w:w="1586" w:type="dxa"/>
            <w:tcBorders>
              <w:top w:val="nil"/>
              <w:left w:val="nil"/>
              <w:bottom w:val="nil"/>
              <w:right w:val="nil"/>
            </w:tcBorders>
            <w:shd w:val="clear" w:color="auto" w:fill="auto"/>
            <w:vAlign w:val="center"/>
            <w:hideMark/>
          </w:tcPr>
          <w:p w14:paraId="2A02243E"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r>
      <w:tr w:rsidR="00CC0487" w:rsidRPr="003E7026" w14:paraId="336D653F" w14:textId="77777777" w:rsidTr="00DB6666">
        <w:trPr>
          <w:trHeight w:val="256"/>
        </w:trPr>
        <w:tc>
          <w:tcPr>
            <w:tcW w:w="1230" w:type="dxa"/>
            <w:tcBorders>
              <w:top w:val="nil"/>
              <w:left w:val="nil"/>
              <w:bottom w:val="nil"/>
              <w:right w:val="nil"/>
            </w:tcBorders>
            <w:shd w:val="clear" w:color="auto" w:fill="auto"/>
            <w:vAlign w:val="center"/>
            <w:hideMark/>
          </w:tcPr>
          <w:p w14:paraId="2817C584"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3301148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4B7E8B9A"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Kenia</w:t>
            </w:r>
          </w:p>
        </w:tc>
        <w:tc>
          <w:tcPr>
            <w:tcW w:w="984" w:type="dxa"/>
            <w:tcBorders>
              <w:top w:val="nil"/>
              <w:left w:val="nil"/>
              <w:bottom w:val="nil"/>
              <w:right w:val="nil"/>
            </w:tcBorders>
            <w:shd w:val="clear" w:color="auto" w:fill="auto"/>
            <w:vAlign w:val="center"/>
            <w:hideMark/>
          </w:tcPr>
          <w:p w14:paraId="50BE6661"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336A67B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14198E1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18C49405" w14:textId="77777777" w:rsidTr="00DB6666">
        <w:trPr>
          <w:trHeight w:val="256"/>
        </w:trPr>
        <w:tc>
          <w:tcPr>
            <w:tcW w:w="1230" w:type="dxa"/>
            <w:tcBorders>
              <w:top w:val="nil"/>
              <w:left w:val="nil"/>
              <w:bottom w:val="nil"/>
              <w:right w:val="nil"/>
            </w:tcBorders>
            <w:shd w:val="clear" w:color="auto" w:fill="auto"/>
            <w:vAlign w:val="center"/>
            <w:hideMark/>
          </w:tcPr>
          <w:p w14:paraId="06D1E7A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3DB082E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379AA937"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Kirgisistan</w:t>
            </w:r>
          </w:p>
        </w:tc>
        <w:tc>
          <w:tcPr>
            <w:tcW w:w="984" w:type="dxa"/>
            <w:tcBorders>
              <w:top w:val="nil"/>
              <w:left w:val="nil"/>
              <w:bottom w:val="nil"/>
              <w:right w:val="nil"/>
            </w:tcBorders>
            <w:shd w:val="clear" w:color="auto" w:fill="auto"/>
            <w:vAlign w:val="center"/>
            <w:hideMark/>
          </w:tcPr>
          <w:p w14:paraId="435A7FE4"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01E930A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69FC8D4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6E9A3DBB" w14:textId="77777777" w:rsidTr="00DB6666">
        <w:trPr>
          <w:trHeight w:val="256"/>
        </w:trPr>
        <w:tc>
          <w:tcPr>
            <w:tcW w:w="1230" w:type="dxa"/>
            <w:tcBorders>
              <w:top w:val="nil"/>
              <w:left w:val="nil"/>
              <w:bottom w:val="nil"/>
              <w:right w:val="nil"/>
            </w:tcBorders>
            <w:shd w:val="clear" w:color="auto" w:fill="auto"/>
            <w:vAlign w:val="center"/>
            <w:hideMark/>
          </w:tcPr>
          <w:p w14:paraId="486F494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705AEAE1"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6AF19B84"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Kolumbien</w:t>
            </w:r>
          </w:p>
        </w:tc>
        <w:tc>
          <w:tcPr>
            <w:tcW w:w="984" w:type="dxa"/>
            <w:tcBorders>
              <w:top w:val="nil"/>
              <w:left w:val="nil"/>
              <w:bottom w:val="nil"/>
              <w:right w:val="nil"/>
            </w:tcBorders>
            <w:shd w:val="clear" w:color="auto" w:fill="auto"/>
            <w:vAlign w:val="center"/>
            <w:hideMark/>
          </w:tcPr>
          <w:p w14:paraId="51E818CE"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500C686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070F3CC0"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311712D6" w14:textId="77777777" w:rsidTr="00DB6666">
        <w:trPr>
          <w:trHeight w:val="256"/>
        </w:trPr>
        <w:tc>
          <w:tcPr>
            <w:tcW w:w="1230" w:type="dxa"/>
            <w:tcBorders>
              <w:top w:val="nil"/>
              <w:left w:val="nil"/>
              <w:bottom w:val="nil"/>
              <w:right w:val="nil"/>
            </w:tcBorders>
            <w:shd w:val="clear" w:color="auto" w:fill="auto"/>
            <w:vAlign w:val="center"/>
            <w:hideMark/>
          </w:tcPr>
          <w:p w14:paraId="2E3F20AD"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46D55C7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024A5134"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Kroatien</w:t>
            </w:r>
          </w:p>
        </w:tc>
        <w:tc>
          <w:tcPr>
            <w:tcW w:w="984" w:type="dxa"/>
            <w:tcBorders>
              <w:top w:val="nil"/>
              <w:left w:val="nil"/>
              <w:bottom w:val="nil"/>
              <w:right w:val="nil"/>
            </w:tcBorders>
            <w:shd w:val="clear" w:color="auto" w:fill="auto"/>
            <w:vAlign w:val="center"/>
            <w:hideMark/>
          </w:tcPr>
          <w:p w14:paraId="7819DBEE"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13172178"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796BA14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661B692A" w14:textId="77777777" w:rsidTr="00DB6666">
        <w:trPr>
          <w:trHeight w:val="256"/>
        </w:trPr>
        <w:tc>
          <w:tcPr>
            <w:tcW w:w="1230" w:type="dxa"/>
            <w:tcBorders>
              <w:top w:val="nil"/>
              <w:left w:val="nil"/>
              <w:bottom w:val="nil"/>
              <w:right w:val="nil"/>
            </w:tcBorders>
            <w:shd w:val="clear" w:color="auto" w:fill="auto"/>
            <w:vAlign w:val="center"/>
            <w:hideMark/>
          </w:tcPr>
          <w:p w14:paraId="5D3A60E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23A44A7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70CAB609"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Lettland</w:t>
            </w:r>
          </w:p>
        </w:tc>
        <w:tc>
          <w:tcPr>
            <w:tcW w:w="984" w:type="dxa"/>
            <w:tcBorders>
              <w:top w:val="nil"/>
              <w:left w:val="nil"/>
              <w:bottom w:val="nil"/>
              <w:right w:val="nil"/>
            </w:tcBorders>
            <w:shd w:val="clear" w:color="auto" w:fill="auto"/>
            <w:vAlign w:val="center"/>
            <w:hideMark/>
          </w:tcPr>
          <w:p w14:paraId="2BB6778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12150E81"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4CDA19C5"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13ED7F79" w14:textId="77777777" w:rsidTr="00DB6666">
        <w:trPr>
          <w:trHeight w:val="256"/>
        </w:trPr>
        <w:tc>
          <w:tcPr>
            <w:tcW w:w="1230" w:type="dxa"/>
            <w:tcBorders>
              <w:top w:val="nil"/>
              <w:left w:val="nil"/>
              <w:bottom w:val="nil"/>
              <w:right w:val="nil"/>
            </w:tcBorders>
            <w:shd w:val="clear" w:color="auto" w:fill="auto"/>
            <w:vAlign w:val="center"/>
            <w:hideMark/>
          </w:tcPr>
          <w:p w14:paraId="449E5ED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0AA9AEE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2AA8C338"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Litauen</w:t>
            </w:r>
          </w:p>
        </w:tc>
        <w:tc>
          <w:tcPr>
            <w:tcW w:w="984" w:type="dxa"/>
            <w:tcBorders>
              <w:top w:val="nil"/>
              <w:left w:val="nil"/>
              <w:bottom w:val="nil"/>
              <w:right w:val="nil"/>
            </w:tcBorders>
            <w:shd w:val="clear" w:color="auto" w:fill="auto"/>
            <w:vAlign w:val="center"/>
            <w:hideMark/>
          </w:tcPr>
          <w:p w14:paraId="2755FE42"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2907E552"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2EF54F3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0695343D" w14:textId="77777777" w:rsidTr="00DB6666">
        <w:trPr>
          <w:trHeight w:val="256"/>
        </w:trPr>
        <w:tc>
          <w:tcPr>
            <w:tcW w:w="1230" w:type="dxa"/>
            <w:tcBorders>
              <w:top w:val="nil"/>
              <w:left w:val="nil"/>
              <w:bottom w:val="nil"/>
              <w:right w:val="nil"/>
            </w:tcBorders>
            <w:shd w:val="clear" w:color="auto" w:fill="auto"/>
            <w:vAlign w:val="center"/>
            <w:hideMark/>
          </w:tcPr>
          <w:p w14:paraId="19401429"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4A521C25"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4B0E9A92"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Marokko</w:t>
            </w:r>
          </w:p>
        </w:tc>
        <w:tc>
          <w:tcPr>
            <w:tcW w:w="984" w:type="dxa"/>
            <w:tcBorders>
              <w:top w:val="nil"/>
              <w:left w:val="nil"/>
              <w:bottom w:val="nil"/>
              <w:right w:val="nil"/>
            </w:tcBorders>
            <w:shd w:val="clear" w:color="auto" w:fill="auto"/>
            <w:vAlign w:val="center"/>
            <w:hideMark/>
          </w:tcPr>
          <w:p w14:paraId="0A4CB8C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3C5A10D9"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66452B2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33B1CDD7" w14:textId="77777777" w:rsidTr="00DB6666">
        <w:trPr>
          <w:trHeight w:val="256"/>
        </w:trPr>
        <w:tc>
          <w:tcPr>
            <w:tcW w:w="1230" w:type="dxa"/>
            <w:tcBorders>
              <w:top w:val="nil"/>
              <w:left w:val="nil"/>
              <w:bottom w:val="nil"/>
              <w:right w:val="nil"/>
            </w:tcBorders>
            <w:shd w:val="clear" w:color="auto" w:fill="auto"/>
            <w:vAlign w:val="center"/>
            <w:hideMark/>
          </w:tcPr>
          <w:p w14:paraId="2501BD10"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40.231</w:t>
            </w:r>
          </w:p>
        </w:tc>
        <w:tc>
          <w:tcPr>
            <w:tcW w:w="1229" w:type="dxa"/>
            <w:tcBorders>
              <w:top w:val="nil"/>
              <w:left w:val="nil"/>
              <w:bottom w:val="nil"/>
              <w:right w:val="nil"/>
            </w:tcBorders>
            <w:shd w:val="clear" w:color="auto" w:fill="auto"/>
            <w:vAlign w:val="center"/>
            <w:hideMark/>
          </w:tcPr>
          <w:p w14:paraId="4EBECB6E"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40.231</w:t>
            </w:r>
          </w:p>
        </w:tc>
        <w:tc>
          <w:tcPr>
            <w:tcW w:w="3166" w:type="dxa"/>
            <w:tcBorders>
              <w:top w:val="nil"/>
              <w:left w:val="nil"/>
              <w:bottom w:val="nil"/>
              <w:right w:val="nil"/>
            </w:tcBorders>
            <w:shd w:val="clear" w:color="auto" w:fill="auto"/>
            <w:vAlign w:val="center"/>
            <w:hideMark/>
          </w:tcPr>
          <w:p w14:paraId="088F12C8"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Mexiko</w:t>
            </w:r>
          </w:p>
        </w:tc>
        <w:tc>
          <w:tcPr>
            <w:tcW w:w="984" w:type="dxa"/>
            <w:tcBorders>
              <w:top w:val="nil"/>
              <w:left w:val="nil"/>
              <w:bottom w:val="nil"/>
              <w:right w:val="nil"/>
            </w:tcBorders>
            <w:shd w:val="clear" w:color="auto" w:fill="auto"/>
            <w:vAlign w:val="center"/>
            <w:hideMark/>
          </w:tcPr>
          <w:p w14:paraId="73D031A2"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0.75</w:t>
            </w:r>
          </w:p>
        </w:tc>
        <w:tc>
          <w:tcPr>
            <w:tcW w:w="1586" w:type="dxa"/>
            <w:tcBorders>
              <w:top w:val="nil"/>
              <w:left w:val="nil"/>
              <w:bottom w:val="nil"/>
              <w:right w:val="nil"/>
            </w:tcBorders>
            <w:shd w:val="clear" w:color="auto" w:fill="auto"/>
            <w:vAlign w:val="center"/>
            <w:hideMark/>
          </w:tcPr>
          <w:p w14:paraId="150D0FC9"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40.231</w:t>
            </w:r>
          </w:p>
        </w:tc>
        <w:tc>
          <w:tcPr>
            <w:tcW w:w="1586" w:type="dxa"/>
            <w:tcBorders>
              <w:top w:val="nil"/>
              <w:left w:val="nil"/>
              <w:bottom w:val="nil"/>
              <w:right w:val="nil"/>
            </w:tcBorders>
            <w:shd w:val="clear" w:color="auto" w:fill="auto"/>
            <w:vAlign w:val="center"/>
            <w:hideMark/>
          </w:tcPr>
          <w:p w14:paraId="31235648"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40.231</w:t>
            </w:r>
          </w:p>
        </w:tc>
      </w:tr>
      <w:tr w:rsidR="00CC0487" w:rsidRPr="003E7026" w14:paraId="76990435" w14:textId="77777777" w:rsidTr="00DB6666">
        <w:trPr>
          <w:trHeight w:val="256"/>
        </w:trPr>
        <w:tc>
          <w:tcPr>
            <w:tcW w:w="1230" w:type="dxa"/>
            <w:tcBorders>
              <w:top w:val="nil"/>
              <w:left w:val="nil"/>
              <w:bottom w:val="nil"/>
              <w:right w:val="nil"/>
            </w:tcBorders>
            <w:shd w:val="clear" w:color="auto" w:fill="auto"/>
            <w:vAlign w:val="center"/>
            <w:hideMark/>
          </w:tcPr>
          <w:p w14:paraId="47328819"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789BFC7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1332970A"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Montenegro</w:t>
            </w:r>
          </w:p>
        </w:tc>
        <w:tc>
          <w:tcPr>
            <w:tcW w:w="984" w:type="dxa"/>
            <w:tcBorders>
              <w:top w:val="nil"/>
              <w:left w:val="nil"/>
              <w:bottom w:val="nil"/>
              <w:right w:val="nil"/>
            </w:tcBorders>
            <w:shd w:val="clear" w:color="auto" w:fill="auto"/>
            <w:vAlign w:val="center"/>
            <w:hideMark/>
          </w:tcPr>
          <w:p w14:paraId="16D91AB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21E2041E"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76C4CA7D"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2AC75443" w14:textId="77777777" w:rsidTr="00DB6666">
        <w:trPr>
          <w:trHeight w:val="256"/>
        </w:trPr>
        <w:tc>
          <w:tcPr>
            <w:tcW w:w="1230" w:type="dxa"/>
            <w:tcBorders>
              <w:top w:val="nil"/>
              <w:left w:val="nil"/>
              <w:bottom w:val="nil"/>
              <w:right w:val="nil"/>
            </w:tcBorders>
            <w:shd w:val="clear" w:color="auto" w:fill="auto"/>
            <w:vAlign w:val="center"/>
            <w:hideMark/>
          </w:tcPr>
          <w:p w14:paraId="67436D8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c>
          <w:tcPr>
            <w:tcW w:w="1229" w:type="dxa"/>
            <w:tcBorders>
              <w:top w:val="nil"/>
              <w:left w:val="nil"/>
              <w:bottom w:val="nil"/>
              <w:right w:val="nil"/>
            </w:tcBorders>
            <w:shd w:val="clear" w:color="auto" w:fill="auto"/>
            <w:vAlign w:val="center"/>
            <w:hideMark/>
          </w:tcPr>
          <w:p w14:paraId="20CE7D49"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c>
          <w:tcPr>
            <w:tcW w:w="3166" w:type="dxa"/>
            <w:tcBorders>
              <w:top w:val="nil"/>
              <w:left w:val="nil"/>
              <w:bottom w:val="nil"/>
              <w:right w:val="nil"/>
            </w:tcBorders>
            <w:shd w:val="clear" w:color="auto" w:fill="auto"/>
            <w:vAlign w:val="center"/>
            <w:hideMark/>
          </w:tcPr>
          <w:p w14:paraId="2CA922CD"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Neuseeland</w:t>
            </w:r>
          </w:p>
        </w:tc>
        <w:tc>
          <w:tcPr>
            <w:tcW w:w="984" w:type="dxa"/>
            <w:tcBorders>
              <w:top w:val="nil"/>
              <w:left w:val="nil"/>
              <w:bottom w:val="nil"/>
              <w:right w:val="nil"/>
            </w:tcBorders>
            <w:shd w:val="clear" w:color="auto" w:fill="auto"/>
            <w:vAlign w:val="center"/>
            <w:hideMark/>
          </w:tcPr>
          <w:p w14:paraId="6FA8DEA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1.00</w:t>
            </w:r>
          </w:p>
        </w:tc>
        <w:tc>
          <w:tcPr>
            <w:tcW w:w="1586" w:type="dxa"/>
            <w:tcBorders>
              <w:top w:val="nil"/>
              <w:left w:val="nil"/>
              <w:bottom w:val="nil"/>
              <w:right w:val="nil"/>
            </w:tcBorders>
            <w:shd w:val="clear" w:color="auto" w:fill="auto"/>
            <w:vAlign w:val="center"/>
            <w:hideMark/>
          </w:tcPr>
          <w:p w14:paraId="3C73624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c>
          <w:tcPr>
            <w:tcW w:w="1586" w:type="dxa"/>
            <w:tcBorders>
              <w:top w:val="nil"/>
              <w:left w:val="nil"/>
              <w:bottom w:val="nil"/>
              <w:right w:val="nil"/>
            </w:tcBorders>
            <w:shd w:val="clear" w:color="auto" w:fill="auto"/>
            <w:vAlign w:val="center"/>
            <w:hideMark/>
          </w:tcPr>
          <w:p w14:paraId="318DDF9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r>
      <w:tr w:rsidR="00CC0487" w:rsidRPr="003E7026" w14:paraId="223AE089" w14:textId="77777777" w:rsidTr="00DB6666">
        <w:trPr>
          <w:trHeight w:val="256"/>
        </w:trPr>
        <w:tc>
          <w:tcPr>
            <w:tcW w:w="1230" w:type="dxa"/>
            <w:tcBorders>
              <w:top w:val="nil"/>
              <w:left w:val="nil"/>
              <w:bottom w:val="nil"/>
              <w:right w:val="nil"/>
            </w:tcBorders>
            <w:shd w:val="clear" w:color="auto" w:fill="auto"/>
            <w:vAlign w:val="center"/>
            <w:hideMark/>
          </w:tcPr>
          <w:p w14:paraId="3BF84ED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3FF5EA18"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58227FF2"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Nicaragua</w:t>
            </w:r>
          </w:p>
        </w:tc>
        <w:tc>
          <w:tcPr>
            <w:tcW w:w="984" w:type="dxa"/>
            <w:tcBorders>
              <w:top w:val="nil"/>
              <w:left w:val="nil"/>
              <w:bottom w:val="nil"/>
              <w:right w:val="nil"/>
            </w:tcBorders>
            <w:shd w:val="clear" w:color="auto" w:fill="auto"/>
            <w:vAlign w:val="center"/>
            <w:hideMark/>
          </w:tcPr>
          <w:p w14:paraId="3E934FF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346F8388"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3515D93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3B160B22" w14:textId="77777777" w:rsidTr="00DB6666">
        <w:trPr>
          <w:trHeight w:val="256"/>
        </w:trPr>
        <w:tc>
          <w:tcPr>
            <w:tcW w:w="1230" w:type="dxa"/>
            <w:tcBorders>
              <w:top w:val="nil"/>
              <w:left w:val="nil"/>
              <w:bottom w:val="nil"/>
              <w:right w:val="nil"/>
            </w:tcBorders>
            <w:shd w:val="clear" w:color="auto" w:fill="auto"/>
            <w:vAlign w:val="center"/>
            <w:hideMark/>
          </w:tcPr>
          <w:p w14:paraId="47C49B2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160.923</w:t>
            </w:r>
          </w:p>
        </w:tc>
        <w:tc>
          <w:tcPr>
            <w:tcW w:w="1229" w:type="dxa"/>
            <w:tcBorders>
              <w:top w:val="nil"/>
              <w:left w:val="nil"/>
              <w:bottom w:val="nil"/>
              <w:right w:val="nil"/>
            </w:tcBorders>
            <w:shd w:val="clear" w:color="auto" w:fill="auto"/>
            <w:vAlign w:val="center"/>
            <w:hideMark/>
          </w:tcPr>
          <w:p w14:paraId="5C81B1B0"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160.923</w:t>
            </w:r>
          </w:p>
        </w:tc>
        <w:tc>
          <w:tcPr>
            <w:tcW w:w="3166" w:type="dxa"/>
            <w:tcBorders>
              <w:top w:val="nil"/>
              <w:left w:val="nil"/>
              <w:bottom w:val="nil"/>
              <w:right w:val="nil"/>
            </w:tcBorders>
            <w:shd w:val="clear" w:color="auto" w:fill="auto"/>
            <w:vAlign w:val="center"/>
            <w:hideMark/>
          </w:tcPr>
          <w:p w14:paraId="768A8A72"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 xml:space="preserve">Niederlande </w:t>
            </w:r>
          </w:p>
        </w:tc>
        <w:tc>
          <w:tcPr>
            <w:tcW w:w="984" w:type="dxa"/>
            <w:tcBorders>
              <w:top w:val="nil"/>
              <w:left w:val="nil"/>
              <w:bottom w:val="nil"/>
              <w:right w:val="nil"/>
            </w:tcBorders>
            <w:shd w:val="clear" w:color="auto" w:fill="auto"/>
            <w:vAlign w:val="center"/>
            <w:hideMark/>
          </w:tcPr>
          <w:p w14:paraId="3BEE2BA1"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3.00</w:t>
            </w:r>
          </w:p>
        </w:tc>
        <w:tc>
          <w:tcPr>
            <w:tcW w:w="1586" w:type="dxa"/>
            <w:tcBorders>
              <w:top w:val="nil"/>
              <w:left w:val="nil"/>
              <w:bottom w:val="nil"/>
              <w:right w:val="nil"/>
            </w:tcBorders>
            <w:shd w:val="clear" w:color="auto" w:fill="auto"/>
            <w:vAlign w:val="center"/>
            <w:hideMark/>
          </w:tcPr>
          <w:p w14:paraId="3B0C8ED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160.923</w:t>
            </w:r>
          </w:p>
        </w:tc>
        <w:tc>
          <w:tcPr>
            <w:tcW w:w="1586" w:type="dxa"/>
            <w:tcBorders>
              <w:top w:val="nil"/>
              <w:left w:val="nil"/>
              <w:bottom w:val="nil"/>
              <w:right w:val="nil"/>
            </w:tcBorders>
            <w:shd w:val="clear" w:color="auto" w:fill="auto"/>
            <w:vAlign w:val="center"/>
            <w:hideMark/>
          </w:tcPr>
          <w:p w14:paraId="6BD08F4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160.923</w:t>
            </w:r>
          </w:p>
        </w:tc>
      </w:tr>
      <w:tr w:rsidR="00CC0487" w:rsidRPr="003E7026" w14:paraId="2A1E103C" w14:textId="77777777" w:rsidTr="00DB6666">
        <w:trPr>
          <w:trHeight w:val="256"/>
        </w:trPr>
        <w:tc>
          <w:tcPr>
            <w:tcW w:w="1230" w:type="dxa"/>
            <w:tcBorders>
              <w:top w:val="nil"/>
              <w:left w:val="nil"/>
              <w:bottom w:val="nil"/>
              <w:right w:val="nil"/>
            </w:tcBorders>
            <w:shd w:val="clear" w:color="auto" w:fill="auto"/>
            <w:vAlign w:val="center"/>
            <w:hideMark/>
          </w:tcPr>
          <w:p w14:paraId="57B5FDED"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7BDB607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2A116AC3"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Nord-Mazedonien</w:t>
            </w:r>
          </w:p>
        </w:tc>
        <w:tc>
          <w:tcPr>
            <w:tcW w:w="984" w:type="dxa"/>
            <w:tcBorders>
              <w:top w:val="nil"/>
              <w:left w:val="nil"/>
              <w:bottom w:val="nil"/>
              <w:right w:val="nil"/>
            </w:tcBorders>
            <w:shd w:val="clear" w:color="auto" w:fill="auto"/>
            <w:vAlign w:val="center"/>
            <w:hideMark/>
          </w:tcPr>
          <w:p w14:paraId="79397C19"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2D5AD34E"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10691382"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5DA231C9" w14:textId="77777777" w:rsidTr="00DB6666">
        <w:trPr>
          <w:trHeight w:val="256"/>
        </w:trPr>
        <w:tc>
          <w:tcPr>
            <w:tcW w:w="1230" w:type="dxa"/>
            <w:tcBorders>
              <w:top w:val="nil"/>
              <w:left w:val="nil"/>
              <w:bottom w:val="nil"/>
              <w:right w:val="nil"/>
            </w:tcBorders>
            <w:shd w:val="clear" w:color="auto" w:fill="auto"/>
            <w:vAlign w:val="center"/>
            <w:hideMark/>
          </w:tcPr>
          <w:p w14:paraId="5E619580"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c>
          <w:tcPr>
            <w:tcW w:w="1229" w:type="dxa"/>
            <w:tcBorders>
              <w:top w:val="nil"/>
              <w:left w:val="nil"/>
              <w:bottom w:val="nil"/>
              <w:right w:val="nil"/>
            </w:tcBorders>
            <w:shd w:val="clear" w:color="auto" w:fill="auto"/>
            <w:vAlign w:val="center"/>
            <w:hideMark/>
          </w:tcPr>
          <w:p w14:paraId="60B1492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c>
          <w:tcPr>
            <w:tcW w:w="3166" w:type="dxa"/>
            <w:tcBorders>
              <w:top w:val="nil"/>
              <w:left w:val="nil"/>
              <w:bottom w:val="nil"/>
              <w:right w:val="nil"/>
            </w:tcBorders>
            <w:shd w:val="clear" w:color="auto" w:fill="auto"/>
            <w:vAlign w:val="center"/>
            <w:hideMark/>
          </w:tcPr>
          <w:p w14:paraId="0C516951"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Norwegen</w:t>
            </w:r>
          </w:p>
        </w:tc>
        <w:tc>
          <w:tcPr>
            <w:tcW w:w="984" w:type="dxa"/>
            <w:tcBorders>
              <w:top w:val="nil"/>
              <w:left w:val="nil"/>
              <w:bottom w:val="nil"/>
              <w:right w:val="nil"/>
            </w:tcBorders>
            <w:shd w:val="clear" w:color="auto" w:fill="auto"/>
            <w:vAlign w:val="center"/>
            <w:hideMark/>
          </w:tcPr>
          <w:p w14:paraId="2A4208B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1.00</w:t>
            </w:r>
          </w:p>
        </w:tc>
        <w:tc>
          <w:tcPr>
            <w:tcW w:w="1586" w:type="dxa"/>
            <w:tcBorders>
              <w:top w:val="nil"/>
              <w:left w:val="nil"/>
              <w:bottom w:val="nil"/>
              <w:right w:val="nil"/>
            </w:tcBorders>
            <w:shd w:val="clear" w:color="auto" w:fill="auto"/>
            <w:vAlign w:val="center"/>
            <w:hideMark/>
          </w:tcPr>
          <w:p w14:paraId="4255287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c>
          <w:tcPr>
            <w:tcW w:w="1586" w:type="dxa"/>
            <w:tcBorders>
              <w:top w:val="nil"/>
              <w:left w:val="nil"/>
              <w:bottom w:val="nil"/>
              <w:right w:val="nil"/>
            </w:tcBorders>
            <w:shd w:val="clear" w:color="auto" w:fill="auto"/>
            <w:vAlign w:val="center"/>
            <w:hideMark/>
          </w:tcPr>
          <w:p w14:paraId="57FE9B8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r>
      <w:tr w:rsidR="00CC0487" w:rsidRPr="003E7026" w14:paraId="354455A3" w14:textId="77777777" w:rsidTr="00DB6666">
        <w:trPr>
          <w:trHeight w:val="256"/>
        </w:trPr>
        <w:tc>
          <w:tcPr>
            <w:tcW w:w="1230" w:type="dxa"/>
            <w:tcBorders>
              <w:top w:val="nil"/>
              <w:left w:val="nil"/>
              <w:bottom w:val="nil"/>
              <w:right w:val="nil"/>
            </w:tcBorders>
            <w:shd w:val="clear" w:color="auto" w:fill="auto"/>
            <w:vAlign w:val="center"/>
            <w:hideMark/>
          </w:tcPr>
          <w:p w14:paraId="325CC36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lastRenderedPageBreak/>
              <w:t>53.641</w:t>
            </w:r>
          </w:p>
        </w:tc>
        <w:tc>
          <w:tcPr>
            <w:tcW w:w="1229" w:type="dxa"/>
            <w:tcBorders>
              <w:top w:val="nil"/>
              <w:left w:val="nil"/>
              <w:bottom w:val="nil"/>
              <w:right w:val="nil"/>
            </w:tcBorders>
            <w:shd w:val="clear" w:color="auto" w:fill="auto"/>
            <w:vAlign w:val="center"/>
            <w:hideMark/>
          </w:tcPr>
          <w:p w14:paraId="2BC07EDD"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c>
          <w:tcPr>
            <w:tcW w:w="3166" w:type="dxa"/>
            <w:tcBorders>
              <w:top w:val="nil"/>
              <w:left w:val="nil"/>
              <w:bottom w:val="nil"/>
              <w:right w:val="nil"/>
            </w:tcBorders>
            <w:shd w:val="clear" w:color="auto" w:fill="auto"/>
            <w:vAlign w:val="center"/>
            <w:hideMark/>
          </w:tcPr>
          <w:p w14:paraId="12CFAC38"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Oman</w:t>
            </w:r>
          </w:p>
        </w:tc>
        <w:tc>
          <w:tcPr>
            <w:tcW w:w="984" w:type="dxa"/>
            <w:tcBorders>
              <w:top w:val="nil"/>
              <w:left w:val="nil"/>
              <w:bottom w:val="nil"/>
              <w:right w:val="nil"/>
            </w:tcBorders>
            <w:shd w:val="clear" w:color="auto" w:fill="auto"/>
            <w:vAlign w:val="center"/>
            <w:hideMark/>
          </w:tcPr>
          <w:p w14:paraId="440EA235"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1.00</w:t>
            </w:r>
          </w:p>
        </w:tc>
        <w:tc>
          <w:tcPr>
            <w:tcW w:w="1586" w:type="dxa"/>
            <w:tcBorders>
              <w:top w:val="nil"/>
              <w:left w:val="nil"/>
              <w:bottom w:val="nil"/>
              <w:right w:val="nil"/>
            </w:tcBorders>
            <w:shd w:val="clear" w:color="auto" w:fill="auto"/>
            <w:vAlign w:val="center"/>
            <w:hideMark/>
          </w:tcPr>
          <w:p w14:paraId="00719822"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c>
          <w:tcPr>
            <w:tcW w:w="1586" w:type="dxa"/>
            <w:tcBorders>
              <w:top w:val="nil"/>
              <w:left w:val="nil"/>
              <w:bottom w:val="nil"/>
              <w:right w:val="nil"/>
            </w:tcBorders>
            <w:shd w:val="clear" w:color="auto" w:fill="auto"/>
            <w:vAlign w:val="center"/>
            <w:hideMark/>
          </w:tcPr>
          <w:p w14:paraId="20E611C4"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r>
      <w:tr w:rsidR="00CC0487" w:rsidRPr="003E7026" w14:paraId="7BEF05E9" w14:textId="77777777" w:rsidTr="00DB6666">
        <w:trPr>
          <w:trHeight w:val="256"/>
        </w:trPr>
        <w:tc>
          <w:tcPr>
            <w:tcW w:w="1230" w:type="dxa"/>
            <w:tcBorders>
              <w:top w:val="nil"/>
              <w:left w:val="nil"/>
              <w:bottom w:val="nil"/>
              <w:right w:val="nil"/>
            </w:tcBorders>
            <w:shd w:val="clear" w:color="auto" w:fill="auto"/>
            <w:vAlign w:val="center"/>
            <w:hideMark/>
          </w:tcPr>
          <w:p w14:paraId="19960D7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40.231</w:t>
            </w:r>
          </w:p>
        </w:tc>
        <w:tc>
          <w:tcPr>
            <w:tcW w:w="1229" w:type="dxa"/>
            <w:tcBorders>
              <w:top w:val="nil"/>
              <w:left w:val="nil"/>
              <w:bottom w:val="nil"/>
              <w:right w:val="nil"/>
            </w:tcBorders>
            <w:shd w:val="clear" w:color="auto" w:fill="auto"/>
            <w:vAlign w:val="center"/>
            <w:hideMark/>
          </w:tcPr>
          <w:p w14:paraId="2C90709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40.231</w:t>
            </w:r>
          </w:p>
        </w:tc>
        <w:tc>
          <w:tcPr>
            <w:tcW w:w="3166" w:type="dxa"/>
            <w:tcBorders>
              <w:top w:val="nil"/>
              <w:left w:val="nil"/>
              <w:bottom w:val="nil"/>
              <w:right w:val="nil"/>
            </w:tcBorders>
            <w:shd w:val="clear" w:color="auto" w:fill="auto"/>
            <w:vAlign w:val="center"/>
            <w:hideMark/>
          </w:tcPr>
          <w:p w14:paraId="3C3CB3A0"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 xml:space="preserve">Österreich </w:t>
            </w:r>
          </w:p>
        </w:tc>
        <w:tc>
          <w:tcPr>
            <w:tcW w:w="984" w:type="dxa"/>
            <w:tcBorders>
              <w:top w:val="nil"/>
              <w:left w:val="nil"/>
              <w:bottom w:val="nil"/>
              <w:right w:val="nil"/>
            </w:tcBorders>
            <w:shd w:val="clear" w:color="auto" w:fill="auto"/>
            <w:vAlign w:val="center"/>
            <w:hideMark/>
          </w:tcPr>
          <w:p w14:paraId="7FC3E3FD"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0.75</w:t>
            </w:r>
          </w:p>
        </w:tc>
        <w:tc>
          <w:tcPr>
            <w:tcW w:w="1586" w:type="dxa"/>
            <w:tcBorders>
              <w:top w:val="nil"/>
              <w:left w:val="nil"/>
              <w:bottom w:val="nil"/>
              <w:right w:val="nil"/>
            </w:tcBorders>
            <w:shd w:val="clear" w:color="auto" w:fill="auto"/>
            <w:vAlign w:val="center"/>
            <w:hideMark/>
          </w:tcPr>
          <w:p w14:paraId="190E67C9"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40.231</w:t>
            </w:r>
          </w:p>
        </w:tc>
        <w:tc>
          <w:tcPr>
            <w:tcW w:w="1586" w:type="dxa"/>
            <w:tcBorders>
              <w:top w:val="nil"/>
              <w:left w:val="nil"/>
              <w:bottom w:val="nil"/>
              <w:right w:val="nil"/>
            </w:tcBorders>
            <w:shd w:val="clear" w:color="auto" w:fill="auto"/>
            <w:vAlign w:val="center"/>
            <w:hideMark/>
          </w:tcPr>
          <w:p w14:paraId="58B03BB2"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40.231</w:t>
            </w:r>
          </w:p>
        </w:tc>
      </w:tr>
      <w:tr w:rsidR="00CC0487" w:rsidRPr="003E7026" w14:paraId="2A9C510E" w14:textId="77777777" w:rsidTr="00DB6666">
        <w:trPr>
          <w:trHeight w:val="256"/>
        </w:trPr>
        <w:tc>
          <w:tcPr>
            <w:tcW w:w="1230" w:type="dxa"/>
            <w:tcBorders>
              <w:top w:val="nil"/>
              <w:left w:val="nil"/>
              <w:bottom w:val="nil"/>
              <w:right w:val="nil"/>
            </w:tcBorders>
            <w:shd w:val="clear" w:color="auto" w:fill="auto"/>
            <w:vAlign w:val="center"/>
            <w:hideMark/>
          </w:tcPr>
          <w:p w14:paraId="1BC2AB3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162F224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29434B66"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Panama</w:t>
            </w:r>
          </w:p>
        </w:tc>
        <w:tc>
          <w:tcPr>
            <w:tcW w:w="984" w:type="dxa"/>
            <w:tcBorders>
              <w:top w:val="nil"/>
              <w:left w:val="nil"/>
              <w:bottom w:val="nil"/>
              <w:right w:val="nil"/>
            </w:tcBorders>
            <w:shd w:val="clear" w:color="auto" w:fill="auto"/>
            <w:vAlign w:val="center"/>
            <w:hideMark/>
          </w:tcPr>
          <w:p w14:paraId="15B04BB8"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27558625"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17080B0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31CD3739" w14:textId="77777777" w:rsidTr="00DB6666">
        <w:trPr>
          <w:trHeight w:val="256"/>
        </w:trPr>
        <w:tc>
          <w:tcPr>
            <w:tcW w:w="1230" w:type="dxa"/>
            <w:tcBorders>
              <w:top w:val="nil"/>
              <w:left w:val="nil"/>
              <w:bottom w:val="nil"/>
              <w:right w:val="nil"/>
            </w:tcBorders>
            <w:shd w:val="clear" w:color="auto" w:fill="auto"/>
            <w:vAlign w:val="center"/>
            <w:hideMark/>
          </w:tcPr>
          <w:p w14:paraId="49DE586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71F365B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219179E4"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Paraguay</w:t>
            </w:r>
          </w:p>
        </w:tc>
        <w:tc>
          <w:tcPr>
            <w:tcW w:w="984" w:type="dxa"/>
            <w:tcBorders>
              <w:top w:val="nil"/>
              <w:left w:val="nil"/>
              <w:bottom w:val="nil"/>
              <w:right w:val="nil"/>
            </w:tcBorders>
            <w:shd w:val="clear" w:color="auto" w:fill="auto"/>
            <w:vAlign w:val="center"/>
            <w:hideMark/>
          </w:tcPr>
          <w:p w14:paraId="64FDEF0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7CC7B92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151716A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63E85106" w14:textId="77777777" w:rsidTr="00DB6666">
        <w:trPr>
          <w:trHeight w:val="256"/>
        </w:trPr>
        <w:tc>
          <w:tcPr>
            <w:tcW w:w="1230" w:type="dxa"/>
            <w:tcBorders>
              <w:top w:val="nil"/>
              <w:left w:val="nil"/>
              <w:bottom w:val="nil"/>
              <w:right w:val="nil"/>
            </w:tcBorders>
            <w:shd w:val="clear" w:color="auto" w:fill="auto"/>
            <w:vAlign w:val="center"/>
            <w:hideMark/>
          </w:tcPr>
          <w:p w14:paraId="28CC59C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429CF97D"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1B1C1438"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Peru</w:t>
            </w:r>
          </w:p>
        </w:tc>
        <w:tc>
          <w:tcPr>
            <w:tcW w:w="984" w:type="dxa"/>
            <w:tcBorders>
              <w:top w:val="nil"/>
              <w:left w:val="nil"/>
              <w:bottom w:val="nil"/>
              <w:right w:val="nil"/>
            </w:tcBorders>
            <w:shd w:val="clear" w:color="auto" w:fill="auto"/>
            <w:vAlign w:val="center"/>
            <w:hideMark/>
          </w:tcPr>
          <w:p w14:paraId="1F4059B9"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02BEDC9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6F2119D1"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333ABD5F" w14:textId="77777777" w:rsidTr="00DB6666">
        <w:trPr>
          <w:trHeight w:val="256"/>
        </w:trPr>
        <w:tc>
          <w:tcPr>
            <w:tcW w:w="1230" w:type="dxa"/>
            <w:tcBorders>
              <w:top w:val="nil"/>
              <w:left w:val="nil"/>
              <w:bottom w:val="nil"/>
              <w:right w:val="nil"/>
            </w:tcBorders>
            <w:shd w:val="clear" w:color="auto" w:fill="auto"/>
            <w:vAlign w:val="center"/>
            <w:hideMark/>
          </w:tcPr>
          <w:p w14:paraId="62794BE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c>
          <w:tcPr>
            <w:tcW w:w="1229" w:type="dxa"/>
            <w:tcBorders>
              <w:top w:val="nil"/>
              <w:left w:val="nil"/>
              <w:bottom w:val="nil"/>
              <w:right w:val="nil"/>
            </w:tcBorders>
            <w:shd w:val="clear" w:color="auto" w:fill="auto"/>
            <w:vAlign w:val="center"/>
            <w:hideMark/>
          </w:tcPr>
          <w:p w14:paraId="62613534"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c>
          <w:tcPr>
            <w:tcW w:w="3166" w:type="dxa"/>
            <w:tcBorders>
              <w:top w:val="nil"/>
              <w:left w:val="nil"/>
              <w:bottom w:val="nil"/>
              <w:right w:val="nil"/>
            </w:tcBorders>
            <w:shd w:val="clear" w:color="auto" w:fill="auto"/>
            <w:vAlign w:val="center"/>
            <w:hideMark/>
          </w:tcPr>
          <w:p w14:paraId="464301C1"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Polen</w:t>
            </w:r>
          </w:p>
        </w:tc>
        <w:tc>
          <w:tcPr>
            <w:tcW w:w="984" w:type="dxa"/>
            <w:tcBorders>
              <w:top w:val="nil"/>
              <w:left w:val="nil"/>
              <w:bottom w:val="nil"/>
              <w:right w:val="nil"/>
            </w:tcBorders>
            <w:shd w:val="clear" w:color="auto" w:fill="auto"/>
            <w:vAlign w:val="center"/>
            <w:hideMark/>
          </w:tcPr>
          <w:p w14:paraId="13A7183E"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0.50</w:t>
            </w:r>
          </w:p>
        </w:tc>
        <w:tc>
          <w:tcPr>
            <w:tcW w:w="1586" w:type="dxa"/>
            <w:tcBorders>
              <w:top w:val="nil"/>
              <w:left w:val="nil"/>
              <w:bottom w:val="nil"/>
              <w:right w:val="nil"/>
            </w:tcBorders>
            <w:shd w:val="clear" w:color="auto" w:fill="auto"/>
            <w:vAlign w:val="center"/>
            <w:hideMark/>
          </w:tcPr>
          <w:p w14:paraId="0C59AEC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c>
          <w:tcPr>
            <w:tcW w:w="1586" w:type="dxa"/>
            <w:tcBorders>
              <w:top w:val="nil"/>
              <w:left w:val="nil"/>
              <w:bottom w:val="nil"/>
              <w:right w:val="nil"/>
            </w:tcBorders>
            <w:shd w:val="clear" w:color="auto" w:fill="auto"/>
            <w:vAlign w:val="center"/>
            <w:hideMark/>
          </w:tcPr>
          <w:p w14:paraId="6793FC1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r>
      <w:tr w:rsidR="00CC0487" w:rsidRPr="003E7026" w14:paraId="60305C67" w14:textId="77777777" w:rsidTr="00DB6666">
        <w:trPr>
          <w:trHeight w:val="256"/>
        </w:trPr>
        <w:tc>
          <w:tcPr>
            <w:tcW w:w="1230" w:type="dxa"/>
            <w:tcBorders>
              <w:top w:val="nil"/>
              <w:left w:val="nil"/>
              <w:bottom w:val="nil"/>
              <w:right w:val="nil"/>
            </w:tcBorders>
            <w:shd w:val="clear" w:color="auto" w:fill="auto"/>
            <w:vAlign w:val="center"/>
            <w:hideMark/>
          </w:tcPr>
          <w:p w14:paraId="6F7FB622"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117B214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3BB85C10"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Portugal</w:t>
            </w:r>
          </w:p>
        </w:tc>
        <w:tc>
          <w:tcPr>
            <w:tcW w:w="984" w:type="dxa"/>
            <w:tcBorders>
              <w:top w:val="nil"/>
              <w:left w:val="nil"/>
              <w:bottom w:val="nil"/>
              <w:right w:val="nil"/>
            </w:tcBorders>
            <w:shd w:val="clear" w:color="auto" w:fill="auto"/>
            <w:vAlign w:val="center"/>
            <w:hideMark/>
          </w:tcPr>
          <w:p w14:paraId="2AB09F4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54DBACAD"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0A7C5E0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1A18D952" w14:textId="77777777" w:rsidTr="00DB6666">
        <w:trPr>
          <w:trHeight w:val="256"/>
        </w:trPr>
        <w:tc>
          <w:tcPr>
            <w:tcW w:w="1230" w:type="dxa"/>
            <w:tcBorders>
              <w:top w:val="nil"/>
              <w:left w:val="nil"/>
              <w:bottom w:val="nil"/>
              <w:right w:val="nil"/>
            </w:tcBorders>
            <w:shd w:val="clear" w:color="auto" w:fill="auto"/>
            <w:vAlign w:val="center"/>
            <w:hideMark/>
          </w:tcPr>
          <w:p w14:paraId="3A55D32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80.462</w:t>
            </w:r>
          </w:p>
        </w:tc>
        <w:tc>
          <w:tcPr>
            <w:tcW w:w="1229" w:type="dxa"/>
            <w:tcBorders>
              <w:top w:val="nil"/>
              <w:left w:val="nil"/>
              <w:bottom w:val="nil"/>
              <w:right w:val="nil"/>
            </w:tcBorders>
            <w:shd w:val="clear" w:color="auto" w:fill="auto"/>
            <w:vAlign w:val="center"/>
            <w:hideMark/>
          </w:tcPr>
          <w:p w14:paraId="0992630D"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80.462</w:t>
            </w:r>
          </w:p>
        </w:tc>
        <w:tc>
          <w:tcPr>
            <w:tcW w:w="3166" w:type="dxa"/>
            <w:tcBorders>
              <w:top w:val="nil"/>
              <w:left w:val="nil"/>
              <w:bottom w:val="nil"/>
              <w:right w:val="nil"/>
            </w:tcBorders>
            <w:shd w:val="clear" w:color="auto" w:fill="auto"/>
            <w:vAlign w:val="center"/>
            <w:hideMark/>
          </w:tcPr>
          <w:p w14:paraId="4FEEA211"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Republik Korea</w:t>
            </w:r>
          </w:p>
        </w:tc>
        <w:tc>
          <w:tcPr>
            <w:tcW w:w="984" w:type="dxa"/>
            <w:tcBorders>
              <w:top w:val="nil"/>
              <w:left w:val="nil"/>
              <w:bottom w:val="nil"/>
              <w:right w:val="nil"/>
            </w:tcBorders>
            <w:shd w:val="clear" w:color="auto" w:fill="auto"/>
            <w:vAlign w:val="center"/>
            <w:hideMark/>
          </w:tcPr>
          <w:p w14:paraId="10CC56C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1.50</w:t>
            </w:r>
          </w:p>
        </w:tc>
        <w:tc>
          <w:tcPr>
            <w:tcW w:w="1586" w:type="dxa"/>
            <w:tcBorders>
              <w:top w:val="nil"/>
              <w:left w:val="nil"/>
              <w:bottom w:val="nil"/>
              <w:right w:val="nil"/>
            </w:tcBorders>
            <w:shd w:val="clear" w:color="auto" w:fill="auto"/>
            <w:vAlign w:val="center"/>
            <w:hideMark/>
          </w:tcPr>
          <w:p w14:paraId="0A2A83D0"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80.462</w:t>
            </w:r>
          </w:p>
        </w:tc>
        <w:tc>
          <w:tcPr>
            <w:tcW w:w="1586" w:type="dxa"/>
            <w:tcBorders>
              <w:top w:val="nil"/>
              <w:left w:val="nil"/>
              <w:bottom w:val="nil"/>
              <w:right w:val="nil"/>
            </w:tcBorders>
            <w:shd w:val="clear" w:color="auto" w:fill="auto"/>
            <w:vAlign w:val="center"/>
            <w:hideMark/>
          </w:tcPr>
          <w:p w14:paraId="1C0F82C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80.462</w:t>
            </w:r>
          </w:p>
        </w:tc>
      </w:tr>
      <w:tr w:rsidR="00CC0487" w:rsidRPr="003E7026" w14:paraId="0C870A59" w14:textId="77777777" w:rsidTr="00DB6666">
        <w:trPr>
          <w:trHeight w:val="256"/>
        </w:trPr>
        <w:tc>
          <w:tcPr>
            <w:tcW w:w="1230" w:type="dxa"/>
            <w:tcBorders>
              <w:top w:val="nil"/>
              <w:left w:val="nil"/>
              <w:bottom w:val="nil"/>
              <w:right w:val="nil"/>
            </w:tcBorders>
            <w:shd w:val="clear" w:color="auto" w:fill="auto"/>
            <w:vAlign w:val="center"/>
            <w:hideMark/>
          </w:tcPr>
          <w:p w14:paraId="4655EE2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699D9C4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5E80B797"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Republik Moldau</w:t>
            </w:r>
          </w:p>
        </w:tc>
        <w:tc>
          <w:tcPr>
            <w:tcW w:w="984" w:type="dxa"/>
            <w:tcBorders>
              <w:top w:val="nil"/>
              <w:left w:val="nil"/>
              <w:bottom w:val="nil"/>
              <w:right w:val="nil"/>
            </w:tcBorders>
            <w:shd w:val="clear" w:color="auto" w:fill="auto"/>
            <w:vAlign w:val="center"/>
            <w:hideMark/>
          </w:tcPr>
          <w:p w14:paraId="0B10025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0037497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640AC72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5C8CE689" w14:textId="77777777" w:rsidTr="00DB6666">
        <w:trPr>
          <w:trHeight w:val="256"/>
        </w:trPr>
        <w:tc>
          <w:tcPr>
            <w:tcW w:w="1230" w:type="dxa"/>
            <w:tcBorders>
              <w:top w:val="nil"/>
              <w:left w:val="nil"/>
              <w:bottom w:val="nil"/>
              <w:right w:val="nil"/>
            </w:tcBorders>
            <w:shd w:val="clear" w:color="auto" w:fill="auto"/>
            <w:vAlign w:val="center"/>
            <w:hideMark/>
          </w:tcPr>
          <w:p w14:paraId="33A4BEC4"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5237352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2AFEEBBE"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Rumänien</w:t>
            </w:r>
          </w:p>
        </w:tc>
        <w:tc>
          <w:tcPr>
            <w:tcW w:w="984" w:type="dxa"/>
            <w:tcBorders>
              <w:top w:val="nil"/>
              <w:left w:val="nil"/>
              <w:bottom w:val="nil"/>
              <w:right w:val="nil"/>
            </w:tcBorders>
            <w:shd w:val="clear" w:color="auto" w:fill="auto"/>
            <w:vAlign w:val="center"/>
            <w:hideMark/>
          </w:tcPr>
          <w:p w14:paraId="10A691F2"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6139B40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7DBD26F8"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3CC6692D" w14:textId="77777777" w:rsidTr="00DB6666">
        <w:trPr>
          <w:trHeight w:val="256"/>
        </w:trPr>
        <w:tc>
          <w:tcPr>
            <w:tcW w:w="1230" w:type="dxa"/>
            <w:tcBorders>
              <w:top w:val="nil"/>
              <w:left w:val="nil"/>
              <w:bottom w:val="nil"/>
              <w:right w:val="nil"/>
            </w:tcBorders>
            <w:shd w:val="clear" w:color="auto" w:fill="auto"/>
            <w:vAlign w:val="center"/>
            <w:hideMark/>
          </w:tcPr>
          <w:p w14:paraId="24750C15"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107.282</w:t>
            </w:r>
          </w:p>
        </w:tc>
        <w:tc>
          <w:tcPr>
            <w:tcW w:w="1229" w:type="dxa"/>
            <w:tcBorders>
              <w:top w:val="nil"/>
              <w:left w:val="nil"/>
              <w:bottom w:val="nil"/>
              <w:right w:val="nil"/>
            </w:tcBorders>
            <w:shd w:val="clear" w:color="auto" w:fill="auto"/>
            <w:vAlign w:val="center"/>
            <w:hideMark/>
          </w:tcPr>
          <w:p w14:paraId="395D543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107.282</w:t>
            </w:r>
          </w:p>
        </w:tc>
        <w:tc>
          <w:tcPr>
            <w:tcW w:w="3166" w:type="dxa"/>
            <w:tcBorders>
              <w:top w:val="nil"/>
              <w:left w:val="nil"/>
              <w:bottom w:val="nil"/>
              <w:right w:val="nil"/>
            </w:tcBorders>
            <w:shd w:val="clear" w:color="auto" w:fill="auto"/>
            <w:vAlign w:val="center"/>
            <w:hideMark/>
          </w:tcPr>
          <w:p w14:paraId="4C7408CF"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 xml:space="preserve">Russische Föderation </w:t>
            </w:r>
          </w:p>
        </w:tc>
        <w:tc>
          <w:tcPr>
            <w:tcW w:w="984" w:type="dxa"/>
            <w:tcBorders>
              <w:top w:val="nil"/>
              <w:left w:val="nil"/>
              <w:bottom w:val="nil"/>
              <w:right w:val="nil"/>
            </w:tcBorders>
            <w:shd w:val="clear" w:color="auto" w:fill="auto"/>
            <w:vAlign w:val="center"/>
            <w:hideMark/>
          </w:tcPr>
          <w:p w14:paraId="1A82D6B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2.00</w:t>
            </w:r>
          </w:p>
        </w:tc>
        <w:tc>
          <w:tcPr>
            <w:tcW w:w="1586" w:type="dxa"/>
            <w:tcBorders>
              <w:top w:val="nil"/>
              <w:left w:val="nil"/>
              <w:bottom w:val="nil"/>
              <w:right w:val="nil"/>
            </w:tcBorders>
            <w:shd w:val="clear" w:color="auto" w:fill="auto"/>
            <w:vAlign w:val="center"/>
            <w:hideMark/>
          </w:tcPr>
          <w:p w14:paraId="2873614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107.282</w:t>
            </w:r>
          </w:p>
        </w:tc>
        <w:tc>
          <w:tcPr>
            <w:tcW w:w="1586" w:type="dxa"/>
            <w:tcBorders>
              <w:top w:val="nil"/>
              <w:left w:val="nil"/>
              <w:bottom w:val="nil"/>
              <w:right w:val="nil"/>
            </w:tcBorders>
            <w:shd w:val="clear" w:color="auto" w:fill="auto"/>
            <w:vAlign w:val="center"/>
            <w:hideMark/>
          </w:tcPr>
          <w:p w14:paraId="6D67A8D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107.282</w:t>
            </w:r>
          </w:p>
        </w:tc>
      </w:tr>
      <w:tr w:rsidR="00CC0487" w:rsidRPr="003E7026" w14:paraId="2F25D661" w14:textId="77777777" w:rsidTr="00DB6666">
        <w:trPr>
          <w:trHeight w:val="256"/>
        </w:trPr>
        <w:tc>
          <w:tcPr>
            <w:tcW w:w="1230" w:type="dxa"/>
            <w:tcBorders>
              <w:top w:val="nil"/>
              <w:left w:val="nil"/>
              <w:bottom w:val="nil"/>
              <w:right w:val="nil"/>
            </w:tcBorders>
            <w:shd w:val="clear" w:color="auto" w:fill="auto"/>
            <w:vAlign w:val="center"/>
            <w:hideMark/>
          </w:tcPr>
          <w:p w14:paraId="22BDA80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80.462</w:t>
            </w:r>
          </w:p>
        </w:tc>
        <w:tc>
          <w:tcPr>
            <w:tcW w:w="1229" w:type="dxa"/>
            <w:tcBorders>
              <w:top w:val="nil"/>
              <w:left w:val="nil"/>
              <w:bottom w:val="nil"/>
              <w:right w:val="nil"/>
            </w:tcBorders>
            <w:shd w:val="clear" w:color="auto" w:fill="auto"/>
            <w:vAlign w:val="center"/>
            <w:hideMark/>
          </w:tcPr>
          <w:p w14:paraId="60E51094"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80.462</w:t>
            </w:r>
          </w:p>
        </w:tc>
        <w:tc>
          <w:tcPr>
            <w:tcW w:w="3166" w:type="dxa"/>
            <w:tcBorders>
              <w:top w:val="nil"/>
              <w:left w:val="nil"/>
              <w:bottom w:val="nil"/>
              <w:right w:val="nil"/>
            </w:tcBorders>
            <w:shd w:val="clear" w:color="auto" w:fill="auto"/>
            <w:vAlign w:val="center"/>
            <w:hideMark/>
          </w:tcPr>
          <w:p w14:paraId="4EB9E265"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Schweden</w:t>
            </w:r>
          </w:p>
        </w:tc>
        <w:tc>
          <w:tcPr>
            <w:tcW w:w="984" w:type="dxa"/>
            <w:tcBorders>
              <w:top w:val="nil"/>
              <w:left w:val="nil"/>
              <w:bottom w:val="nil"/>
              <w:right w:val="nil"/>
            </w:tcBorders>
            <w:shd w:val="clear" w:color="auto" w:fill="auto"/>
            <w:vAlign w:val="center"/>
            <w:hideMark/>
          </w:tcPr>
          <w:p w14:paraId="4C2F145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1.50</w:t>
            </w:r>
          </w:p>
        </w:tc>
        <w:tc>
          <w:tcPr>
            <w:tcW w:w="1586" w:type="dxa"/>
            <w:tcBorders>
              <w:top w:val="nil"/>
              <w:left w:val="nil"/>
              <w:bottom w:val="nil"/>
              <w:right w:val="nil"/>
            </w:tcBorders>
            <w:shd w:val="clear" w:color="auto" w:fill="auto"/>
            <w:vAlign w:val="center"/>
            <w:hideMark/>
          </w:tcPr>
          <w:p w14:paraId="452CD4D4"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80.462</w:t>
            </w:r>
          </w:p>
        </w:tc>
        <w:tc>
          <w:tcPr>
            <w:tcW w:w="1586" w:type="dxa"/>
            <w:tcBorders>
              <w:top w:val="nil"/>
              <w:left w:val="nil"/>
              <w:bottom w:val="nil"/>
              <w:right w:val="nil"/>
            </w:tcBorders>
            <w:shd w:val="clear" w:color="auto" w:fill="auto"/>
            <w:vAlign w:val="center"/>
            <w:hideMark/>
          </w:tcPr>
          <w:p w14:paraId="63EDA6D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80.462</w:t>
            </w:r>
          </w:p>
        </w:tc>
      </w:tr>
      <w:tr w:rsidR="00CC0487" w:rsidRPr="003E7026" w14:paraId="79B803BC" w14:textId="77777777" w:rsidTr="00DB6666">
        <w:trPr>
          <w:trHeight w:val="256"/>
        </w:trPr>
        <w:tc>
          <w:tcPr>
            <w:tcW w:w="1230" w:type="dxa"/>
            <w:tcBorders>
              <w:top w:val="nil"/>
              <w:left w:val="nil"/>
              <w:bottom w:val="nil"/>
              <w:right w:val="nil"/>
            </w:tcBorders>
            <w:shd w:val="clear" w:color="auto" w:fill="auto"/>
            <w:vAlign w:val="center"/>
            <w:hideMark/>
          </w:tcPr>
          <w:p w14:paraId="599E060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80.462</w:t>
            </w:r>
          </w:p>
        </w:tc>
        <w:tc>
          <w:tcPr>
            <w:tcW w:w="1229" w:type="dxa"/>
            <w:tcBorders>
              <w:top w:val="nil"/>
              <w:left w:val="nil"/>
              <w:bottom w:val="nil"/>
              <w:right w:val="nil"/>
            </w:tcBorders>
            <w:shd w:val="clear" w:color="auto" w:fill="auto"/>
            <w:vAlign w:val="center"/>
            <w:hideMark/>
          </w:tcPr>
          <w:p w14:paraId="1E5A1CA0"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80.462</w:t>
            </w:r>
          </w:p>
        </w:tc>
        <w:tc>
          <w:tcPr>
            <w:tcW w:w="3166" w:type="dxa"/>
            <w:tcBorders>
              <w:top w:val="nil"/>
              <w:left w:val="nil"/>
              <w:bottom w:val="nil"/>
              <w:right w:val="nil"/>
            </w:tcBorders>
            <w:shd w:val="clear" w:color="auto" w:fill="auto"/>
            <w:vAlign w:val="center"/>
            <w:hideMark/>
          </w:tcPr>
          <w:p w14:paraId="0208F70D"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Schweiz</w:t>
            </w:r>
          </w:p>
        </w:tc>
        <w:tc>
          <w:tcPr>
            <w:tcW w:w="984" w:type="dxa"/>
            <w:tcBorders>
              <w:top w:val="nil"/>
              <w:left w:val="nil"/>
              <w:bottom w:val="nil"/>
              <w:right w:val="nil"/>
            </w:tcBorders>
            <w:shd w:val="clear" w:color="auto" w:fill="auto"/>
            <w:vAlign w:val="center"/>
            <w:hideMark/>
          </w:tcPr>
          <w:p w14:paraId="2CFA67C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1.50</w:t>
            </w:r>
          </w:p>
        </w:tc>
        <w:tc>
          <w:tcPr>
            <w:tcW w:w="1586" w:type="dxa"/>
            <w:tcBorders>
              <w:top w:val="nil"/>
              <w:left w:val="nil"/>
              <w:bottom w:val="nil"/>
              <w:right w:val="nil"/>
            </w:tcBorders>
            <w:shd w:val="clear" w:color="auto" w:fill="auto"/>
            <w:vAlign w:val="center"/>
            <w:hideMark/>
          </w:tcPr>
          <w:p w14:paraId="1D6CA7D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80.462</w:t>
            </w:r>
          </w:p>
        </w:tc>
        <w:tc>
          <w:tcPr>
            <w:tcW w:w="1586" w:type="dxa"/>
            <w:tcBorders>
              <w:top w:val="nil"/>
              <w:left w:val="nil"/>
              <w:bottom w:val="nil"/>
              <w:right w:val="nil"/>
            </w:tcBorders>
            <w:shd w:val="clear" w:color="auto" w:fill="auto"/>
            <w:vAlign w:val="center"/>
            <w:hideMark/>
          </w:tcPr>
          <w:p w14:paraId="6C6F024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80.462</w:t>
            </w:r>
          </w:p>
        </w:tc>
      </w:tr>
      <w:tr w:rsidR="00CC0487" w:rsidRPr="003E7026" w14:paraId="1969C15E" w14:textId="77777777" w:rsidTr="00DB6666">
        <w:trPr>
          <w:trHeight w:val="256"/>
        </w:trPr>
        <w:tc>
          <w:tcPr>
            <w:tcW w:w="1230" w:type="dxa"/>
            <w:tcBorders>
              <w:top w:val="nil"/>
              <w:left w:val="nil"/>
              <w:bottom w:val="nil"/>
              <w:right w:val="nil"/>
            </w:tcBorders>
            <w:shd w:val="clear" w:color="auto" w:fill="auto"/>
            <w:vAlign w:val="center"/>
            <w:hideMark/>
          </w:tcPr>
          <w:p w14:paraId="23743351"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3BE1732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530C93DC"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Serbien</w:t>
            </w:r>
          </w:p>
        </w:tc>
        <w:tc>
          <w:tcPr>
            <w:tcW w:w="984" w:type="dxa"/>
            <w:tcBorders>
              <w:top w:val="nil"/>
              <w:left w:val="nil"/>
              <w:bottom w:val="nil"/>
              <w:right w:val="nil"/>
            </w:tcBorders>
            <w:shd w:val="clear" w:color="auto" w:fill="auto"/>
            <w:vAlign w:val="center"/>
            <w:hideMark/>
          </w:tcPr>
          <w:p w14:paraId="24914B32"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74FE82B2"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62E8D615"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4449A011" w14:textId="77777777" w:rsidTr="00DB6666">
        <w:trPr>
          <w:trHeight w:val="256"/>
        </w:trPr>
        <w:tc>
          <w:tcPr>
            <w:tcW w:w="1230" w:type="dxa"/>
            <w:tcBorders>
              <w:top w:val="nil"/>
              <w:left w:val="nil"/>
              <w:bottom w:val="nil"/>
              <w:right w:val="nil"/>
            </w:tcBorders>
            <w:shd w:val="clear" w:color="auto" w:fill="auto"/>
            <w:vAlign w:val="center"/>
            <w:hideMark/>
          </w:tcPr>
          <w:p w14:paraId="092BEF8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75916A6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66ABF97C"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Singapur</w:t>
            </w:r>
          </w:p>
        </w:tc>
        <w:tc>
          <w:tcPr>
            <w:tcW w:w="984" w:type="dxa"/>
            <w:tcBorders>
              <w:top w:val="nil"/>
              <w:left w:val="nil"/>
              <w:bottom w:val="nil"/>
              <w:right w:val="nil"/>
            </w:tcBorders>
            <w:shd w:val="clear" w:color="auto" w:fill="auto"/>
            <w:vAlign w:val="center"/>
            <w:hideMark/>
          </w:tcPr>
          <w:p w14:paraId="6E8F04D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7FBA143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20A7112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35AAF8ED" w14:textId="77777777" w:rsidTr="00DB6666">
        <w:trPr>
          <w:trHeight w:val="256"/>
        </w:trPr>
        <w:tc>
          <w:tcPr>
            <w:tcW w:w="1230" w:type="dxa"/>
            <w:tcBorders>
              <w:top w:val="nil"/>
              <w:left w:val="nil"/>
              <w:bottom w:val="nil"/>
              <w:right w:val="nil"/>
            </w:tcBorders>
            <w:shd w:val="clear" w:color="auto" w:fill="auto"/>
            <w:vAlign w:val="center"/>
            <w:hideMark/>
          </w:tcPr>
          <w:p w14:paraId="578E8E08"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c>
          <w:tcPr>
            <w:tcW w:w="1229" w:type="dxa"/>
            <w:tcBorders>
              <w:top w:val="nil"/>
              <w:left w:val="nil"/>
              <w:bottom w:val="nil"/>
              <w:right w:val="nil"/>
            </w:tcBorders>
            <w:shd w:val="clear" w:color="auto" w:fill="auto"/>
            <w:vAlign w:val="center"/>
            <w:hideMark/>
          </w:tcPr>
          <w:p w14:paraId="12EBAB4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c>
          <w:tcPr>
            <w:tcW w:w="3166" w:type="dxa"/>
            <w:tcBorders>
              <w:top w:val="nil"/>
              <w:left w:val="nil"/>
              <w:bottom w:val="nil"/>
              <w:right w:val="nil"/>
            </w:tcBorders>
            <w:shd w:val="clear" w:color="auto" w:fill="auto"/>
            <w:vAlign w:val="center"/>
            <w:hideMark/>
          </w:tcPr>
          <w:p w14:paraId="7616FC50"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Slowakei</w:t>
            </w:r>
          </w:p>
        </w:tc>
        <w:tc>
          <w:tcPr>
            <w:tcW w:w="984" w:type="dxa"/>
            <w:tcBorders>
              <w:top w:val="nil"/>
              <w:left w:val="nil"/>
              <w:bottom w:val="nil"/>
              <w:right w:val="nil"/>
            </w:tcBorders>
            <w:shd w:val="clear" w:color="auto" w:fill="auto"/>
            <w:vAlign w:val="center"/>
            <w:hideMark/>
          </w:tcPr>
          <w:p w14:paraId="6ADA7F5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0.50</w:t>
            </w:r>
          </w:p>
        </w:tc>
        <w:tc>
          <w:tcPr>
            <w:tcW w:w="1586" w:type="dxa"/>
            <w:tcBorders>
              <w:top w:val="nil"/>
              <w:left w:val="nil"/>
              <w:bottom w:val="nil"/>
              <w:right w:val="nil"/>
            </w:tcBorders>
            <w:shd w:val="clear" w:color="auto" w:fill="auto"/>
            <w:vAlign w:val="center"/>
            <w:hideMark/>
          </w:tcPr>
          <w:p w14:paraId="5B555885"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c>
          <w:tcPr>
            <w:tcW w:w="1586" w:type="dxa"/>
            <w:tcBorders>
              <w:top w:val="nil"/>
              <w:left w:val="nil"/>
              <w:bottom w:val="nil"/>
              <w:right w:val="nil"/>
            </w:tcBorders>
            <w:shd w:val="clear" w:color="auto" w:fill="auto"/>
            <w:vAlign w:val="center"/>
            <w:hideMark/>
          </w:tcPr>
          <w:p w14:paraId="7431CDA4"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r>
      <w:tr w:rsidR="00CC0487" w:rsidRPr="003E7026" w14:paraId="461B203D" w14:textId="77777777" w:rsidTr="00DB6666">
        <w:trPr>
          <w:trHeight w:val="256"/>
        </w:trPr>
        <w:tc>
          <w:tcPr>
            <w:tcW w:w="1230" w:type="dxa"/>
            <w:tcBorders>
              <w:top w:val="nil"/>
              <w:left w:val="nil"/>
              <w:bottom w:val="nil"/>
              <w:right w:val="nil"/>
            </w:tcBorders>
            <w:shd w:val="clear" w:color="auto" w:fill="auto"/>
            <w:vAlign w:val="center"/>
            <w:hideMark/>
          </w:tcPr>
          <w:p w14:paraId="7B1C68B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0BEB60A0"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5FE689B4"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Slowenien</w:t>
            </w:r>
          </w:p>
        </w:tc>
        <w:tc>
          <w:tcPr>
            <w:tcW w:w="984" w:type="dxa"/>
            <w:tcBorders>
              <w:top w:val="nil"/>
              <w:left w:val="nil"/>
              <w:bottom w:val="nil"/>
              <w:right w:val="nil"/>
            </w:tcBorders>
            <w:shd w:val="clear" w:color="auto" w:fill="auto"/>
            <w:vAlign w:val="center"/>
            <w:hideMark/>
          </w:tcPr>
          <w:p w14:paraId="2A3DA558"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19FCEA7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16BC0511"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0388941D" w14:textId="77777777" w:rsidTr="00DB6666">
        <w:trPr>
          <w:trHeight w:val="256"/>
        </w:trPr>
        <w:tc>
          <w:tcPr>
            <w:tcW w:w="1230" w:type="dxa"/>
            <w:tcBorders>
              <w:top w:val="nil"/>
              <w:left w:val="nil"/>
              <w:bottom w:val="nil"/>
              <w:right w:val="nil"/>
            </w:tcBorders>
            <w:shd w:val="clear" w:color="auto" w:fill="auto"/>
            <w:vAlign w:val="center"/>
            <w:hideMark/>
          </w:tcPr>
          <w:p w14:paraId="19B08D71"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107.282</w:t>
            </w:r>
          </w:p>
        </w:tc>
        <w:tc>
          <w:tcPr>
            <w:tcW w:w="1229" w:type="dxa"/>
            <w:tcBorders>
              <w:top w:val="nil"/>
              <w:left w:val="nil"/>
              <w:bottom w:val="nil"/>
              <w:right w:val="nil"/>
            </w:tcBorders>
            <w:shd w:val="clear" w:color="auto" w:fill="auto"/>
            <w:vAlign w:val="center"/>
            <w:hideMark/>
          </w:tcPr>
          <w:p w14:paraId="252EF441"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107.282</w:t>
            </w:r>
          </w:p>
        </w:tc>
        <w:tc>
          <w:tcPr>
            <w:tcW w:w="3166" w:type="dxa"/>
            <w:tcBorders>
              <w:top w:val="nil"/>
              <w:left w:val="nil"/>
              <w:bottom w:val="nil"/>
              <w:right w:val="nil"/>
            </w:tcBorders>
            <w:shd w:val="clear" w:color="auto" w:fill="auto"/>
            <w:vAlign w:val="center"/>
            <w:hideMark/>
          </w:tcPr>
          <w:p w14:paraId="155D310A"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Spanien</w:t>
            </w:r>
          </w:p>
        </w:tc>
        <w:tc>
          <w:tcPr>
            <w:tcW w:w="984" w:type="dxa"/>
            <w:tcBorders>
              <w:top w:val="nil"/>
              <w:left w:val="nil"/>
              <w:bottom w:val="nil"/>
              <w:right w:val="nil"/>
            </w:tcBorders>
            <w:shd w:val="clear" w:color="auto" w:fill="auto"/>
            <w:vAlign w:val="center"/>
            <w:hideMark/>
          </w:tcPr>
          <w:p w14:paraId="332F14C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2.00</w:t>
            </w:r>
          </w:p>
        </w:tc>
        <w:tc>
          <w:tcPr>
            <w:tcW w:w="1586" w:type="dxa"/>
            <w:tcBorders>
              <w:top w:val="nil"/>
              <w:left w:val="nil"/>
              <w:bottom w:val="nil"/>
              <w:right w:val="nil"/>
            </w:tcBorders>
            <w:shd w:val="clear" w:color="auto" w:fill="auto"/>
            <w:vAlign w:val="center"/>
            <w:hideMark/>
          </w:tcPr>
          <w:p w14:paraId="303D602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107.282</w:t>
            </w:r>
          </w:p>
        </w:tc>
        <w:tc>
          <w:tcPr>
            <w:tcW w:w="1586" w:type="dxa"/>
            <w:tcBorders>
              <w:top w:val="nil"/>
              <w:left w:val="nil"/>
              <w:bottom w:val="nil"/>
              <w:right w:val="nil"/>
            </w:tcBorders>
            <w:shd w:val="clear" w:color="auto" w:fill="auto"/>
            <w:vAlign w:val="center"/>
            <w:hideMark/>
          </w:tcPr>
          <w:p w14:paraId="3D9E78A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107.282</w:t>
            </w:r>
          </w:p>
        </w:tc>
      </w:tr>
      <w:tr w:rsidR="00CC0487" w:rsidRPr="003E7026" w14:paraId="265C932E" w14:textId="77777777" w:rsidTr="00DB6666">
        <w:trPr>
          <w:trHeight w:val="256"/>
        </w:trPr>
        <w:tc>
          <w:tcPr>
            <w:tcW w:w="1230" w:type="dxa"/>
            <w:tcBorders>
              <w:top w:val="nil"/>
              <w:left w:val="nil"/>
              <w:bottom w:val="nil"/>
              <w:right w:val="nil"/>
            </w:tcBorders>
            <w:shd w:val="clear" w:color="auto" w:fill="auto"/>
            <w:vAlign w:val="center"/>
            <w:hideMark/>
          </w:tcPr>
          <w:p w14:paraId="29A6DB6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013BC11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6C6BF59C"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St. Vincent und die Grenadinen</w:t>
            </w:r>
          </w:p>
        </w:tc>
        <w:tc>
          <w:tcPr>
            <w:tcW w:w="984" w:type="dxa"/>
            <w:tcBorders>
              <w:top w:val="nil"/>
              <w:left w:val="nil"/>
              <w:bottom w:val="nil"/>
              <w:right w:val="nil"/>
            </w:tcBorders>
            <w:shd w:val="clear" w:color="auto" w:fill="auto"/>
            <w:vAlign w:val="center"/>
            <w:hideMark/>
          </w:tcPr>
          <w:p w14:paraId="04BA427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789541C5"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110921A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768060E8" w14:textId="77777777" w:rsidTr="00DB6666">
        <w:trPr>
          <w:trHeight w:val="256"/>
        </w:trPr>
        <w:tc>
          <w:tcPr>
            <w:tcW w:w="1230" w:type="dxa"/>
            <w:tcBorders>
              <w:top w:val="nil"/>
              <w:left w:val="nil"/>
              <w:bottom w:val="nil"/>
              <w:right w:val="nil"/>
            </w:tcBorders>
            <w:shd w:val="clear" w:color="auto" w:fill="auto"/>
            <w:vAlign w:val="center"/>
            <w:hideMark/>
          </w:tcPr>
          <w:p w14:paraId="48871631"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c>
          <w:tcPr>
            <w:tcW w:w="1229" w:type="dxa"/>
            <w:tcBorders>
              <w:top w:val="nil"/>
              <w:left w:val="nil"/>
              <w:bottom w:val="nil"/>
              <w:right w:val="nil"/>
            </w:tcBorders>
            <w:shd w:val="clear" w:color="auto" w:fill="auto"/>
            <w:vAlign w:val="center"/>
            <w:hideMark/>
          </w:tcPr>
          <w:p w14:paraId="016B1E69"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c>
          <w:tcPr>
            <w:tcW w:w="3166" w:type="dxa"/>
            <w:tcBorders>
              <w:top w:val="nil"/>
              <w:left w:val="nil"/>
              <w:bottom w:val="nil"/>
              <w:right w:val="nil"/>
            </w:tcBorders>
            <w:shd w:val="clear" w:color="auto" w:fill="auto"/>
            <w:vAlign w:val="center"/>
            <w:hideMark/>
          </w:tcPr>
          <w:p w14:paraId="057A5600"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Südafrika</w:t>
            </w:r>
          </w:p>
        </w:tc>
        <w:tc>
          <w:tcPr>
            <w:tcW w:w="984" w:type="dxa"/>
            <w:tcBorders>
              <w:top w:val="nil"/>
              <w:left w:val="nil"/>
              <w:bottom w:val="nil"/>
              <w:right w:val="nil"/>
            </w:tcBorders>
            <w:shd w:val="clear" w:color="auto" w:fill="auto"/>
            <w:vAlign w:val="center"/>
            <w:hideMark/>
          </w:tcPr>
          <w:p w14:paraId="4141E5C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1.00</w:t>
            </w:r>
          </w:p>
        </w:tc>
        <w:tc>
          <w:tcPr>
            <w:tcW w:w="1586" w:type="dxa"/>
            <w:tcBorders>
              <w:top w:val="nil"/>
              <w:left w:val="nil"/>
              <w:bottom w:val="nil"/>
              <w:right w:val="nil"/>
            </w:tcBorders>
            <w:shd w:val="clear" w:color="auto" w:fill="auto"/>
            <w:vAlign w:val="center"/>
            <w:hideMark/>
          </w:tcPr>
          <w:p w14:paraId="181946A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c>
          <w:tcPr>
            <w:tcW w:w="1586" w:type="dxa"/>
            <w:tcBorders>
              <w:top w:val="nil"/>
              <w:left w:val="nil"/>
              <w:bottom w:val="nil"/>
              <w:right w:val="nil"/>
            </w:tcBorders>
            <w:shd w:val="clear" w:color="auto" w:fill="auto"/>
            <w:vAlign w:val="center"/>
            <w:hideMark/>
          </w:tcPr>
          <w:p w14:paraId="1CB8BEE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53.641</w:t>
            </w:r>
          </w:p>
        </w:tc>
      </w:tr>
      <w:tr w:rsidR="00CC0487" w:rsidRPr="003E7026" w14:paraId="121C8FD6" w14:textId="77777777" w:rsidTr="00DB6666">
        <w:trPr>
          <w:trHeight w:val="256"/>
        </w:trPr>
        <w:tc>
          <w:tcPr>
            <w:tcW w:w="1230" w:type="dxa"/>
            <w:tcBorders>
              <w:top w:val="nil"/>
              <w:left w:val="nil"/>
              <w:bottom w:val="nil"/>
              <w:right w:val="nil"/>
            </w:tcBorders>
            <w:shd w:val="clear" w:color="auto" w:fill="auto"/>
            <w:vAlign w:val="center"/>
            <w:hideMark/>
          </w:tcPr>
          <w:p w14:paraId="36129EF1"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0368445E"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52138232"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Trinidad und Tobago</w:t>
            </w:r>
          </w:p>
        </w:tc>
        <w:tc>
          <w:tcPr>
            <w:tcW w:w="984" w:type="dxa"/>
            <w:tcBorders>
              <w:top w:val="nil"/>
              <w:left w:val="nil"/>
              <w:bottom w:val="nil"/>
              <w:right w:val="nil"/>
            </w:tcBorders>
            <w:shd w:val="clear" w:color="auto" w:fill="auto"/>
            <w:vAlign w:val="center"/>
            <w:hideMark/>
          </w:tcPr>
          <w:p w14:paraId="51768CE8"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4C088AD4"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7EC2CC1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3A9EFE80" w14:textId="77777777" w:rsidTr="00DB6666">
        <w:trPr>
          <w:trHeight w:val="256"/>
        </w:trPr>
        <w:tc>
          <w:tcPr>
            <w:tcW w:w="1230" w:type="dxa"/>
            <w:tcBorders>
              <w:top w:val="nil"/>
              <w:left w:val="nil"/>
              <w:bottom w:val="nil"/>
              <w:right w:val="nil"/>
            </w:tcBorders>
            <w:shd w:val="clear" w:color="auto" w:fill="auto"/>
            <w:vAlign w:val="center"/>
            <w:hideMark/>
          </w:tcPr>
          <w:p w14:paraId="6CC6B36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c>
          <w:tcPr>
            <w:tcW w:w="1229" w:type="dxa"/>
            <w:tcBorders>
              <w:top w:val="nil"/>
              <w:left w:val="nil"/>
              <w:bottom w:val="nil"/>
              <w:right w:val="nil"/>
            </w:tcBorders>
            <w:shd w:val="clear" w:color="auto" w:fill="auto"/>
            <w:vAlign w:val="center"/>
            <w:hideMark/>
          </w:tcPr>
          <w:p w14:paraId="1DDE164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c>
          <w:tcPr>
            <w:tcW w:w="3166" w:type="dxa"/>
            <w:tcBorders>
              <w:top w:val="nil"/>
              <w:left w:val="nil"/>
              <w:bottom w:val="nil"/>
              <w:right w:val="nil"/>
            </w:tcBorders>
            <w:shd w:val="clear" w:color="auto" w:fill="auto"/>
            <w:vAlign w:val="center"/>
            <w:hideMark/>
          </w:tcPr>
          <w:p w14:paraId="6C0A0FFD"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 xml:space="preserve">Tschechische Republik </w:t>
            </w:r>
          </w:p>
        </w:tc>
        <w:tc>
          <w:tcPr>
            <w:tcW w:w="984" w:type="dxa"/>
            <w:tcBorders>
              <w:top w:val="nil"/>
              <w:left w:val="nil"/>
              <w:bottom w:val="nil"/>
              <w:right w:val="nil"/>
            </w:tcBorders>
            <w:shd w:val="clear" w:color="auto" w:fill="auto"/>
            <w:vAlign w:val="center"/>
            <w:hideMark/>
          </w:tcPr>
          <w:p w14:paraId="59144775"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0.50</w:t>
            </w:r>
          </w:p>
        </w:tc>
        <w:tc>
          <w:tcPr>
            <w:tcW w:w="1586" w:type="dxa"/>
            <w:tcBorders>
              <w:top w:val="nil"/>
              <w:left w:val="nil"/>
              <w:bottom w:val="nil"/>
              <w:right w:val="nil"/>
            </w:tcBorders>
            <w:shd w:val="clear" w:color="auto" w:fill="auto"/>
            <w:vAlign w:val="center"/>
            <w:hideMark/>
          </w:tcPr>
          <w:p w14:paraId="7A0638B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c>
          <w:tcPr>
            <w:tcW w:w="1586" w:type="dxa"/>
            <w:tcBorders>
              <w:top w:val="nil"/>
              <w:left w:val="nil"/>
              <w:bottom w:val="nil"/>
              <w:right w:val="nil"/>
            </w:tcBorders>
            <w:shd w:val="clear" w:color="auto" w:fill="auto"/>
            <w:vAlign w:val="center"/>
            <w:hideMark/>
          </w:tcPr>
          <w:p w14:paraId="5BBB46F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r>
      <w:tr w:rsidR="00CC0487" w:rsidRPr="003E7026" w14:paraId="15BB01D1" w14:textId="77777777" w:rsidTr="00DB6666">
        <w:trPr>
          <w:trHeight w:val="256"/>
        </w:trPr>
        <w:tc>
          <w:tcPr>
            <w:tcW w:w="1230" w:type="dxa"/>
            <w:tcBorders>
              <w:top w:val="nil"/>
              <w:left w:val="nil"/>
              <w:bottom w:val="nil"/>
              <w:right w:val="nil"/>
            </w:tcBorders>
            <w:shd w:val="clear" w:color="auto" w:fill="auto"/>
            <w:vAlign w:val="center"/>
            <w:hideMark/>
          </w:tcPr>
          <w:p w14:paraId="00963CE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1EAA6F6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0B80E9AA"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Tunesien</w:t>
            </w:r>
          </w:p>
        </w:tc>
        <w:tc>
          <w:tcPr>
            <w:tcW w:w="984" w:type="dxa"/>
            <w:tcBorders>
              <w:top w:val="nil"/>
              <w:left w:val="nil"/>
              <w:bottom w:val="nil"/>
              <w:right w:val="nil"/>
            </w:tcBorders>
            <w:shd w:val="clear" w:color="auto" w:fill="auto"/>
            <w:vAlign w:val="center"/>
            <w:hideMark/>
          </w:tcPr>
          <w:p w14:paraId="6B90C78E"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2C447BE6"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5A51F89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6451E0F8" w14:textId="77777777" w:rsidTr="00DB6666">
        <w:trPr>
          <w:trHeight w:val="256"/>
        </w:trPr>
        <w:tc>
          <w:tcPr>
            <w:tcW w:w="1230" w:type="dxa"/>
            <w:tcBorders>
              <w:top w:val="nil"/>
              <w:left w:val="nil"/>
              <w:bottom w:val="nil"/>
              <w:right w:val="nil"/>
            </w:tcBorders>
            <w:shd w:val="clear" w:color="auto" w:fill="auto"/>
            <w:vAlign w:val="center"/>
            <w:hideMark/>
          </w:tcPr>
          <w:p w14:paraId="4241688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c>
          <w:tcPr>
            <w:tcW w:w="1229" w:type="dxa"/>
            <w:tcBorders>
              <w:top w:val="nil"/>
              <w:left w:val="nil"/>
              <w:bottom w:val="nil"/>
              <w:right w:val="nil"/>
            </w:tcBorders>
            <w:shd w:val="clear" w:color="auto" w:fill="auto"/>
            <w:vAlign w:val="center"/>
            <w:hideMark/>
          </w:tcPr>
          <w:p w14:paraId="6254907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c>
          <w:tcPr>
            <w:tcW w:w="3166" w:type="dxa"/>
            <w:tcBorders>
              <w:top w:val="nil"/>
              <w:left w:val="nil"/>
              <w:bottom w:val="nil"/>
              <w:right w:val="nil"/>
            </w:tcBorders>
            <w:shd w:val="clear" w:color="auto" w:fill="auto"/>
            <w:vAlign w:val="center"/>
            <w:hideMark/>
          </w:tcPr>
          <w:p w14:paraId="6137C5C7"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Türkiye</w:t>
            </w:r>
          </w:p>
        </w:tc>
        <w:tc>
          <w:tcPr>
            <w:tcW w:w="984" w:type="dxa"/>
            <w:tcBorders>
              <w:top w:val="nil"/>
              <w:left w:val="nil"/>
              <w:bottom w:val="nil"/>
              <w:right w:val="nil"/>
            </w:tcBorders>
            <w:shd w:val="clear" w:color="auto" w:fill="auto"/>
            <w:vAlign w:val="center"/>
            <w:hideMark/>
          </w:tcPr>
          <w:p w14:paraId="33AB503D"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0.50</w:t>
            </w:r>
          </w:p>
        </w:tc>
        <w:tc>
          <w:tcPr>
            <w:tcW w:w="1586" w:type="dxa"/>
            <w:tcBorders>
              <w:top w:val="nil"/>
              <w:left w:val="nil"/>
              <w:bottom w:val="nil"/>
              <w:right w:val="nil"/>
            </w:tcBorders>
            <w:shd w:val="clear" w:color="auto" w:fill="auto"/>
            <w:vAlign w:val="center"/>
            <w:hideMark/>
          </w:tcPr>
          <w:p w14:paraId="4E32120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c>
          <w:tcPr>
            <w:tcW w:w="1586" w:type="dxa"/>
            <w:tcBorders>
              <w:top w:val="nil"/>
              <w:left w:val="nil"/>
              <w:bottom w:val="nil"/>
              <w:right w:val="nil"/>
            </w:tcBorders>
            <w:shd w:val="clear" w:color="auto" w:fill="auto"/>
            <w:vAlign w:val="center"/>
            <w:hideMark/>
          </w:tcPr>
          <w:p w14:paraId="71EB20A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r>
      <w:tr w:rsidR="00CC0487" w:rsidRPr="003E7026" w14:paraId="3A510C81" w14:textId="77777777" w:rsidTr="00DB6666">
        <w:trPr>
          <w:trHeight w:val="256"/>
        </w:trPr>
        <w:tc>
          <w:tcPr>
            <w:tcW w:w="1230" w:type="dxa"/>
            <w:tcBorders>
              <w:top w:val="nil"/>
              <w:left w:val="nil"/>
              <w:bottom w:val="nil"/>
              <w:right w:val="nil"/>
            </w:tcBorders>
            <w:shd w:val="clear" w:color="auto" w:fill="auto"/>
            <w:vAlign w:val="center"/>
            <w:hideMark/>
          </w:tcPr>
          <w:p w14:paraId="34306CA0"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40C40A7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3BD371D8"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Ukraine</w:t>
            </w:r>
          </w:p>
        </w:tc>
        <w:tc>
          <w:tcPr>
            <w:tcW w:w="984" w:type="dxa"/>
            <w:tcBorders>
              <w:top w:val="nil"/>
              <w:left w:val="nil"/>
              <w:bottom w:val="nil"/>
              <w:right w:val="nil"/>
            </w:tcBorders>
            <w:shd w:val="clear" w:color="auto" w:fill="auto"/>
            <w:vAlign w:val="center"/>
            <w:hideMark/>
          </w:tcPr>
          <w:p w14:paraId="39C33EC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124CA4A0"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21544E6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35F975B5" w14:textId="77777777" w:rsidTr="00DB6666">
        <w:trPr>
          <w:trHeight w:val="256"/>
        </w:trPr>
        <w:tc>
          <w:tcPr>
            <w:tcW w:w="1230" w:type="dxa"/>
            <w:tcBorders>
              <w:top w:val="nil"/>
              <w:left w:val="nil"/>
              <w:bottom w:val="nil"/>
              <w:right w:val="nil"/>
            </w:tcBorders>
            <w:shd w:val="clear" w:color="auto" w:fill="auto"/>
            <w:vAlign w:val="center"/>
            <w:hideMark/>
          </w:tcPr>
          <w:p w14:paraId="52597C1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c>
          <w:tcPr>
            <w:tcW w:w="1229" w:type="dxa"/>
            <w:tcBorders>
              <w:top w:val="nil"/>
              <w:left w:val="nil"/>
              <w:bottom w:val="nil"/>
              <w:right w:val="nil"/>
            </w:tcBorders>
            <w:shd w:val="clear" w:color="auto" w:fill="auto"/>
            <w:vAlign w:val="center"/>
            <w:hideMark/>
          </w:tcPr>
          <w:p w14:paraId="4DFA6648"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c>
          <w:tcPr>
            <w:tcW w:w="3166" w:type="dxa"/>
            <w:tcBorders>
              <w:top w:val="nil"/>
              <w:left w:val="nil"/>
              <w:bottom w:val="nil"/>
              <w:right w:val="nil"/>
            </w:tcBorders>
            <w:shd w:val="clear" w:color="auto" w:fill="auto"/>
            <w:vAlign w:val="center"/>
            <w:hideMark/>
          </w:tcPr>
          <w:p w14:paraId="1A32AF86"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Ungarn</w:t>
            </w:r>
          </w:p>
        </w:tc>
        <w:tc>
          <w:tcPr>
            <w:tcW w:w="984" w:type="dxa"/>
            <w:tcBorders>
              <w:top w:val="nil"/>
              <w:left w:val="nil"/>
              <w:bottom w:val="nil"/>
              <w:right w:val="nil"/>
            </w:tcBorders>
            <w:shd w:val="clear" w:color="auto" w:fill="auto"/>
            <w:vAlign w:val="center"/>
            <w:hideMark/>
          </w:tcPr>
          <w:p w14:paraId="25847994"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0.50</w:t>
            </w:r>
          </w:p>
        </w:tc>
        <w:tc>
          <w:tcPr>
            <w:tcW w:w="1586" w:type="dxa"/>
            <w:tcBorders>
              <w:top w:val="nil"/>
              <w:left w:val="nil"/>
              <w:bottom w:val="nil"/>
              <w:right w:val="nil"/>
            </w:tcBorders>
            <w:shd w:val="clear" w:color="auto" w:fill="auto"/>
            <w:vAlign w:val="center"/>
            <w:hideMark/>
          </w:tcPr>
          <w:p w14:paraId="6638EAB2"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c>
          <w:tcPr>
            <w:tcW w:w="1586" w:type="dxa"/>
            <w:tcBorders>
              <w:top w:val="nil"/>
              <w:left w:val="nil"/>
              <w:bottom w:val="nil"/>
              <w:right w:val="nil"/>
            </w:tcBorders>
            <w:shd w:val="clear" w:color="auto" w:fill="auto"/>
            <w:vAlign w:val="center"/>
            <w:hideMark/>
          </w:tcPr>
          <w:p w14:paraId="309096E4"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w:t>
            </w:r>
          </w:p>
        </w:tc>
      </w:tr>
      <w:tr w:rsidR="00CC0487" w:rsidRPr="003E7026" w14:paraId="45A2CEBC" w14:textId="77777777" w:rsidTr="00DB6666">
        <w:trPr>
          <w:trHeight w:val="256"/>
        </w:trPr>
        <w:tc>
          <w:tcPr>
            <w:tcW w:w="1230" w:type="dxa"/>
            <w:tcBorders>
              <w:top w:val="nil"/>
              <w:left w:val="nil"/>
              <w:bottom w:val="nil"/>
              <w:right w:val="nil"/>
            </w:tcBorders>
            <w:shd w:val="clear" w:color="auto" w:fill="auto"/>
            <w:vAlign w:val="center"/>
            <w:hideMark/>
          </w:tcPr>
          <w:p w14:paraId="3E25622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3B33D50D"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4E812DDC"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Uruguay</w:t>
            </w:r>
          </w:p>
        </w:tc>
        <w:tc>
          <w:tcPr>
            <w:tcW w:w="984" w:type="dxa"/>
            <w:tcBorders>
              <w:top w:val="nil"/>
              <w:left w:val="nil"/>
              <w:bottom w:val="nil"/>
              <w:right w:val="nil"/>
            </w:tcBorders>
            <w:shd w:val="clear" w:color="auto" w:fill="auto"/>
            <w:vAlign w:val="center"/>
            <w:hideMark/>
          </w:tcPr>
          <w:p w14:paraId="4CC93E7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5F6E4A7F"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252CE03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5D4B1E3F" w14:textId="77777777" w:rsidTr="00DB6666">
        <w:trPr>
          <w:trHeight w:val="256"/>
        </w:trPr>
        <w:tc>
          <w:tcPr>
            <w:tcW w:w="1230" w:type="dxa"/>
            <w:tcBorders>
              <w:top w:val="nil"/>
              <w:left w:val="nil"/>
              <w:bottom w:val="nil"/>
              <w:right w:val="nil"/>
            </w:tcBorders>
            <w:shd w:val="clear" w:color="auto" w:fill="auto"/>
            <w:vAlign w:val="center"/>
            <w:hideMark/>
          </w:tcPr>
          <w:p w14:paraId="11E1EEF2"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23987BEE"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2BD70DEA"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Usbekistan</w:t>
            </w:r>
          </w:p>
        </w:tc>
        <w:tc>
          <w:tcPr>
            <w:tcW w:w="984" w:type="dxa"/>
            <w:tcBorders>
              <w:top w:val="nil"/>
              <w:left w:val="nil"/>
              <w:bottom w:val="nil"/>
              <w:right w:val="nil"/>
            </w:tcBorders>
            <w:shd w:val="clear" w:color="auto" w:fill="auto"/>
            <w:vAlign w:val="center"/>
            <w:hideMark/>
          </w:tcPr>
          <w:p w14:paraId="743D832D"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76DE45E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482C0F1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2CA05BAF" w14:textId="77777777" w:rsidTr="00DB6666">
        <w:trPr>
          <w:trHeight w:val="256"/>
        </w:trPr>
        <w:tc>
          <w:tcPr>
            <w:tcW w:w="1230" w:type="dxa"/>
            <w:tcBorders>
              <w:top w:val="nil"/>
              <w:left w:val="nil"/>
              <w:bottom w:val="nil"/>
              <w:right w:val="nil"/>
            </w:tcBorders>
            <w:shd w:val="clear" w:color="auto" w:fill="auto"/>
            <w:vAlign w:val="center"/>
            <w:hideMark/>
          </w:tcPr>
          <w:p w14:paraId="25D448A1"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nil"/>
              <w:right w:val="nil"/>
            </w:tcBorders>
            <w:shd w:val="clear" w:color="auto" w:fill="auto"/>
            <w:vAlign w:val="center"/>
            <w:hideMark/>
          </w:tcPr>
          <w:p w14:paraId="5BF317F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nil"/>
              <w:right w:val="nil"/>
            </w:tcBorders>
            <w:shd w:val="clear" w:color="auto" w:fill="auto"/>
            <w:vAlign w:val="center"/>
            <w:hideMark/>
          </w:tcPr>
          <w:p w14:paraId="17EC140A"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Vereinigte Republik Tansania</w:t>
            </w:r>
          </w:p>
        </w:tc>
        <w:tc>
          <w:tcPr>
            <w:tcW w:w="984" w:type="dxa"/>
            <w:tcBorders>
              <w:top w:val="nil"/>
              <w:left w:val="nil"/>
              <w:bottom w:val="nil"/>
              <w:right w:val="nil"/>
            </w:tcBorders>
            <w:shd w:val="clear" w:color="auto" w:fill="auto"/>
            <w:vAlign w:val="center"/>
            <w:hideMark/>
          </w:tcPr>
          <w:p w14:paraId="56C96FEA"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nil"/>
              <w:right w:val="nil"/>
            </w:tcBorders>
            <w:shd w:val="clear" w:color="auto" w:fill="auto"/>
            <w:vAlign w:val="center"/>
            <w:hideMark/>
          </w:tcPr>
          <w:p w14:paraId="08D74B4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nil"/>
              <w:right w:val="nil"/>
            </w:tcBorders>
            <w:shd w:val="clear" w:color="auto" w:fill="auto"/>
            <w:vAlign w:val="center"/>
            <w:hideMark/>
          </w:tcPr>
          <w:p w14:paraId="466F085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3AB358BB" w14:textId="77777777" w:rsidTr="00DB6666">
        <w:trPr>
          <w:trHeight w:val="256"/>
        </w:trPr>
        <w:tc>
          <w:tcPr>
            <w:tcW w:w="1230" w:type="dxa"/>
            <w:tcBorders>
              <w:top w:val="nil"/>
              <w:left w:val="nil"/>
              <w:bottom w:val="nil"/>
              <w:right w:val="nil"/>
            </w:tcBorders>
            <w:shd w:val="clear" w:color="auto" w:fill="auto"/>
            <w:vAlign w:val="center"/>
            <w:hideMark/>
          </w:tcPr>
          <w:p w14:paraId="1EEA0D2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268.205</w:t>
            </w:r>
          </w:p>
        </w:tc>
        <w:tc>
          <w:tcPr>
            <w:tcW w:w="1229" w:type="dxa"/>
            <w:tcBorders>
              <w:top w:val="nil"/>
              <w:left w:val="nil"/>
              <w:bottom w:val="nil"/>
              <w:right w:val="nil"/>
            </w:tcBorders>
            <w:shd w:val="clear" w:color="auto" w:fill="auto"/>
            <w:vAlign w:val="center"/>
            <w:hideMark/>
          </w:tcPr>
          <w:p w14:paraId="1406B2E9"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268.205</w:t>
            </w:r>
          </w:p>
        </w:tc>
        <w:tc>
          <w:tcPr>
            <w:tcW w:w="3166" w:type="dxa"/>
            <w:tcBorders>
              <w:top w:val="nil"/>
              <w:left w:val="nil"/>
              <w:bottom w:val="nil"/>
              <w:right w:val="nil"/>
            </w:tcBorders>
            <w:shd w:val="clear" w:color="auto" w:fill="auto"/>
            <w:vAlign w:val="center"/>
            <w:hideMark/>
          </w:tcPr>
          <w:p w14:paraId="600A5B27"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Vereinigte Staaten von Amerika</w:t>
            </w:r>
          </w:p>
        </w:tc>
        <w:tc>
          <w:tcPr>
            <w:tcW w:w="984" w:type="dxa"/>
            <w:tcBorders>
              <w:top w:val="nil"/>
              <w:left w:val="nil"/>
              <w:bottom w:val="nil"/>
              <w:right w:val="nil"/>
            </w:tcBorders>
            <w:shd w:val="clear" w:color="auto" w:fill="auto"/>
            <w:vAlign w:val="center"/>
            <w:hideMark/>
          </w:tcPr>
          <w:p w14:paraId="0857BE17"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5.00</w:t>
            </w:r>
          </w:p>
        </w:tc>
        <w:tc>
          <w:tcPr>
            <w:tcW w:w="1586" w:type="dxa"/>
            <w:tcBorders>
              <w:top w:val="nil"/>
              <w:left w:val="nil"/>
              <w:bottom w:val="nil"/>
              <w:right w:val="nil"/>
            </w:tcBorders>
            <w:shd w:val="clear" w:color="auto" w:fill="auto"/>
            <w:vAlign w:val="center"/>
            <w:hideMark/>
          </w:tcPr>
          <w:p w14:paraId="29242072"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268.205</w:t>
            </w:r>
          </w:p>
        </w:tc>
        <w:tc>
          <w:tcPr>
            <w:tcW w:w="1586" w:type="dxa"/>
            <w:tcBorders>
              <w:top w:val="nil"/>
              <w:left w:val="nil"/>
              <w:bottom w:val="nil"/>
              <w:right w:val="nil"/>
            </w:tcBorders>
            <w:shd w:val="clear" w:color="auto" w:fill="auto"/>
            <w:vAlign w:val="center"/>
            <w:hideMark/>
          </w:tcPr>
          <w:p w14:paraId="69FD6FB5"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268.205</w:t>
            </w:r>
          </w:p>
        </w:tc>
      </w:tr>
      <w:tr w:rsidR="00CC0487" w:rsidRPr="003E7026" w14:paraId="2333D6E2" w14:textId="77777777" w:rsidTr="00DB6666">
        <w:trPr>
          <w:trHeight w:val="256"/>
        </w:trPr>
        <w:tc>
          <w:tcPr>
            <w:tcW w:w="1230" w:type="dxa"/>
            <w:tcBorders>
              <w:top w:val="nil"/>
              <w:left w:val="nil"/>
              <w:bottom w:val="nil"/>
              <w:right w:val="nil"/>
            </w:tcBorders>
            <w:shd w:val="clear" w:color="auto" w:fill="auto"/>
            <w:vAlign w:val="center"/>
            <w:hideMark/>
          </w:tcPr>
          <w:p w14:paraId="0D5FDFF1"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107.282</w:t>
            </w:r>
          </w:p>
        </w:tc>
        <w:tc>
          <w:tcPr>
            <w:tcW w:w="1229" w:type="dxa"/>
            <w:tcBorders>
              <w:top w:val="nil"/>
              <w:left w:val="nil"/>
              <w:bottom w:val="nil"/>
              <w:right w:val="nil"/>
            </w:tcBorders>
            <w:shd w:val="clear" w:color="auto" w:fill="auto"/>
            <w:vAlign w:val="center"/>
            <w:hideMark/>
          </w:tcPr>
          <w:p w14:paraId="321EEA82"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107.282</w:t>
            </w:r>
          </w:p>
        </w:tc>
        <w:tc>
          <w:tcPr>
            <w:tcW w:w="3166" w:type="dxa"/>
            <w:tcBorders>
              <w:top w:val="nil"/>
              <w:left w:val="nil"/>
              <w:bottom w:val="nil"/>
              <w:right w:val="nil"/>
            </w:tcBorders>
            <w:shd w:val="clear" w:color="auto" w:fill="auto"/>
            <w:vAlign w:val="center"/>
            <w:hideMark/>
          </w:tcPr>
          <w:p w14:paraId="67173B6A"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Vereinigtes Königreich</w:t>
            </w:r>
          </w:p>
        </w:tc>
        <w:tc>
          <w:tcPr>
            <w:tcW w:w="984" w:type="dxa"/>
            <w:tcBorders>
              <w:top w:val="nil"/>
              <w:left w:val="nil"/>
              <w:bottom w:val="nil"/>
              <w:right w:val="nil"/>
            </w:tcBorders>
            <w:shd w:val="clear" w:color="auto" w:fill="auto"/>
            <w:vAlign w:val="center"/>
            <w:hideMark/>
          </w:tcPr>
          <w:p w14:paraId="014F4893"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2.00</w:t>
            </w:r>
          </w:p>
        </w:tc>
        <w:tc>
          <w:tcPr>
            <w:tcW w:w="1586" w:type="dxa"/>
            <w:tcBorders>
              <w:top w:val="nil"/>
              <w:left w:val="nil"/>
              <w:bottom w:val="nil"/>
              <w:right w:val="nil"/>
            </w:tcBorders>
            <w:shd w:val="clear" w:color="auto" w:fill="auto"/>
            <w:vAlign w:val="center"/>
            <w:hideMark/>
          </w:tcPr>
          <w:p w14:paraId="599FD491"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107.282</w:t>
            </w:r>
          </w:p>
        </w:tc>
        <w:tc>
          <w:tcPr>
            <w:tcW w:w="1586" w:type="dxa"/>
            <w:tcBorders>
              <w:top w:val="nil"/>
              <w:left w:val="nil"/>
              <w:bottom w:val="nil"/>
              <w:right w:val="nil"/>
            </w:tcBorders>
            <w:shd w:val="clear" w:color="auto" w:fill="auto"/>
            <w:vAlign w:val="center"/>
            <w:hideMark/>
          </w:tcPr>
          <w:p w14:paraId="63AA9C1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107.282</w:t>
            </w:r>
          </w:p>
        </w:tc>
      </w:tr>
      <w:tr w:rsidR="00CC0487" w:rsidRPr="003E7026" w14:paraId="7CB17EF8" w14:textId="77777777" w:rsidTr="00DB6666">
        <w:trPr>
          <w:trHeight w:val="256"/>
        </w:trPr>
        <w:tc>
          <w:tcPr>
            <w:tcW w:w="1230" w:type="dxa"/>
            <w:tcBorders>
              <w:top w:val="nil"/>
              <w:left w:val="nil"/>
              <w:bottom w:val="single" w:sz="8" w:space="0" w:color="BFBFBF"/>
              <w:right w:val="nil"/>
            </w:tcBorders>
            <w:shd w:val="clear" w:color="auto" w:fill="auto"/>
            <w:vAlign w:val="center"/>
          </w:tcPr>
          <w:p w14:paraId="16C7677B"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229" w:type="dxa"/>
            <w:tcBorders>
              <w:top w:val="nil"/>
              <w:left w:val="nil"/>
              <w:bottom w:val="single" w:sz="8" w:space="0" w:color="BFBFBF"/>
              <w:right w:val="nil"/>
            </w:tcBorders>
            <w:shd w:val="clear" w:color="auto" w:fill="auto"/>
            <w:vAlign w:val="center"/>
          </w:tcPr>
          <w:p w14:paraId="7AD9A92E"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3166" w:type="dxa"/>
            <w:tcBorders>
              <w:top w:val="nil"/>
              <w:left w:val="nil"/>
              <w:bottom w:val="single" w:sz="8" w:space="0" w:color="BFBFBF"/>
              <w:right w:val="nil"/>
            </w:tcBorders>
            <w:shd w:val="clear" w:color="auto" w:fill="auto"/>
            <w:vAlign w:val="center"/>
          </w:tcPr>
          <w:p w14:paraId="0B3C3F34" w14:textId="77777777" w:rsidR="00CC0487" w:rsidRPr="003E7026" w:rsidRDefault="00CC0487" w:rsidP="00DB6666">
            <w:pPr>
              <w:jc w:val="left"/>
              <w:rPr>
                <w:rFonts w:ascii="Arial Narrow" w:hAnsi="Arial Narrow" w:cs="Arial"/>
                <w:color w:val="000000"/>
                <w:sz w:val="18"/>
                <w:szCs w:val="18"/>
              </w:rPr>
            </w:pPr>
            <w:r w:rsidRPr="003E7026">
              <w:rPr>
                <w:rFonts w:ascii="Arial Narrow" w:hAnsi="Arial Narrow" w:cs="Arial"/>
                <w:color w:val="000000"/>
                <w:sz w:val="18"/>
                <w:szCs w:val="18"/>
              </w:rPr>
              <w:t>Vietnam</w:t>
            </w:r>
          </w:p>
        </w:tc>
        <w:tc>
          <w:tcPr>
            <w:tcW w:w="984" w:type="dxa"/>
            <w:tcBorders>
              <w:top w:val="nil"/>
              <w:left w:val="nil"/>
              <w:bottom w:val="single" w:sz="8" w:space="0" w:color="BFBFBF"/>
              <w:right w:val="nil"/>
            </w:tcBorders>
            <w:shd w:val="clear" w:color="auto" w:fill="auto"/>
            <w:vAlign w:val="center"/>
          </w:tcPr>
          <w:p w14:paraId="21515A2D"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0.20</w:t>
            </w:r>
          </w:p>
        </w:tc>
        <w:tc>
          <w:tcPr>
            <w:tcW w:w="1586" w:type="dxa"/>
            <w:tcBorders>
              <w:top w:val="nil"/>
              <w:left w:val="nil"/>
              <w:bottom w:val="single" w:sz="8" w:space="0" w:color="BFBFBF"/>
              <w:right w:val="nil"/>
            </w:tcBorders>
            <w:shd w:val="clear" w:color="auto" w:fill="auto"/>
            <w:vAlign w:val="center"/>
          </w:tcPr>
          <w:p w14:paraId="48FD313C"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c>
          <w:tcPr>
            <w:tcW w:w="1586" w:type="dxa"/>
            <w:tcBorders>
              <w:top w:val="nil"/>
              <w:left w:val="nil"/>
              <w:bottom w:val="single" w:sz="8" w:space="0" w:color="BFBFBF"/>
              <w:right w:val="nil"/>
            </w:tcBorders>
            <w:shd w:val="clear" w:color="auto" w:fill="auto"/>
            <w:vAlign w:val="center"/>
          </w:tcPr>
          <w:p w14:paraId="3456B02D" w14:textId="77777777" w:rsidR="00CC0487" w:rsidRPr="003E7026" w:rsidRDefault="00CC0487" w:rsidP="00DB6666">
            <w:pPr>
              <w:jc w:val="right"/>
              <w:rPr>
                <w:rFonts w:ascii="Arial Narrow" w:hAnsi="Arial Narrow" w:cs="Arial"/>
                <w:color w:val="000000"/>
                <w:sz w:val="18"/>
                <w:szCs w:val="18"/>
              </w:rPr>
            </w:pPr>
            <w:r w:rsidRPr="003E7026">
              <w:rPr>
                <w:rFonts w:ascii="Arial Narrow" w:hAnsi="Arial Narrow" w:cs="Arial"/>
                <w:color w:val="000000"/>
                <w:sz w:val="18"/>
                <w:szCs w:val="18"/>
              </w:rPr>
              <w:t>10.728</w:t>
            </w:r>
          </w:p>
        </w:tc>
      </w:tr>
      <w:tr w:rsidR="00CC0487" w:rsidRPr="003E7026" w14:paraId="5D6556B5" w14:textId="77777777" w:rsidTr="00DB6666">
        <w:trPr>
          <w:trHeight w:val="275"/>
        </w:trPr>
        <w:tc>
          <w:tcPr>
            <w:tcW w:w="1230" w:type="dxa"/>
            <w:tcBorders>
              <w:top w:val="nil"/>
              <w:left w:val="nil"/>
              <w:bottom w:val="nil"/>
              <w:right w:val="nil"/>
            </w:tcBorders>
            <w:shd w:val="clear" w:color="auto" w:fill="auto"/>
            <w:vAlign w:val="center"/>
            <w:hideMark/>
          </w:tcPr>
          <w:p w14:paraId="4060DB04" w14:textId="77777777" w:rsidR="00CC0487" w:rsidRPr="003E7026" w:rsidRDefault="00CC0487" w:rsidP="00DB6666">
            <w:pPr>
              <w:jc w:val="right"/>
              <w:rPr>
                <w:rFonts w:ascii="Arial Narrow" w:hAnsi="Arial Narrow" w:cs="Arial"/>
                <w:b/>
                <w:bCs/>
                <w:color w:val="000000"/>
                <w:sz w:val="18"/>
                <w:szCs w:val="18"/>
              </w:rPr>
            </w:pPr>
            <w:r w:rsidRPr="003E7026">
              <w:rPr>
                <w:rFonts w:ascii="Arial Narrow" w:hAnsi="Arial Narrow" w:cs="Arial"/>
                <w:b/>
                <w:bCs/>
                <w:color w:val="000000"/>
                <w:sz w:val="18"/>
                <w:szCs w:val="18"/>
              </w:rPr>
              <w:t>3.569.798</w:t>
            </w:r>
          </w:p>
        </w:tc>
        <w:tc>
          <w:tcPr>
            <w:tcW w:w="1229" w:type="dxa"/>
            <w:tcBorders>
              <w:top w:val="nil"/>
              <w:left w:val="nil"/>
              <w:bottom w:val="nil"/>
              <w:right w:val="nil"/>
            </w:tcBorders>
            <w:shd w:val="clear" w:color="auto" w:fill="auto"/>
            <w:vAlign w:val="center"/>
            <w:hideMark/>
          </w:tcPr>
          <w:p w14:paraId="5EBF0A15" w14:textId="77777777" w:rsidR="00CC0487" w:rsidRPr="003E7026" w:rsidRDefault="00CC0487" w:rsidP="00DB6666">
            <w:pPr>
              <w:jc w:val="right"/>
              <w:rPr>
                <w:rFonts w:ascii="Arial Narrow" w:hAnsi="Arial Narrow" w:cs="Arial"/>
                <w:b/>
                <w:bCs/>
                <w:color w:val="000000"/>
                <w:sz w:val="18"/>
                <w:szCs w:val="18"/>
              </w:rPr>
            </w:pPr>
            <w:r w:rsidRPr="003E7026">
              <w:rPr>
                <w:rFonts w:ascii="Arial Narrow" w:hAnsi="Arial Narrow" w:cs="Arial"/>
                <w:b/>
                <w:bCs/>
                <w:color w:val="000000"/>
                <w:sz w:val="18"/>
                <w:szCs w:val="18"/>
              </w:rPr>
              <w:t>3.569.798</w:t>
            </w:r>
          </w:p>
        </w:tc>
        <w:tc>
          <w:tcPr>
            <w:tcW w:w="3166" w:type="dxa"/>
            <w:tcBorders>
              <w:top w:val="nil"/>
              <w:left w:val="nil"/>
              <w:bottom w:val="nil"/>
              <w:right w:val="nil"/>
            </w:tcBorders>
            <w:shd w:val="clear" w:color="auto" w:fill="auto"/>
            <w:vAlign w:val="center"/>
            <w:hideMark/>
          </w:tcPr>
          <w:p w14:paraId="61F2BB77" w14:textId="77777777" w:rsidR="00CC0487" w:rsidRPr="003E7026" w:rsidRDefault="00CC0487" w:rsidP="00DB6666">
            <w:pPr>
              <w:jc w:val="right"/>
              <w:rPr>
                <w:rFonts w:ascii="Arial Narrow" w:hAnsi="Arial Narrow" w:cs="Arial"/>
                <w:b/>
                <w:bCs/>
                <w:color w:val="000000"/>
                <w:sz w:val="18"/>
                <w:szCs w:val="18"/>
              </w:rPr>
            </w:pPr>
            <w:r w:rsidRPr="003E7026">
              <w:rPr>
                <w:rFonts w:ascii="Arial Narrow" w:hAnsi="Arial Narrow" w:cs="Arial"/>
                <w:b/>
                <w:bCs/>
                <w:color w:val="000000"/>
                <w:sz w:val="18"/>
                <w:szCs w:val="18"/>
                <w:vertAlign w:val="superscript"/>
              </w:rPr>
              <w:t> </w:t>
            </w:r>
          </w:p>
        </w:tc>
        <w:tc>
          <w:tcPr>
            <w:tcW w:w="984" w:type="dxa"/>
            <w:tcBorders>
              <w:top w:val="nil"/>
              <w:left w:val="nil"/>
              <w:bottom w:val="nil"/>
              <w:right w:val="nil"/>
            </w:tcBorders>
            <w:shd w:val="clear" w:color="auto" w:fill="auto"/>
            <w:vAlign w:val="center"/>
            <w:hideMark/>
          </w:tcPr>
          <w:p w14:paraId="380EBD64" w14:textId="77777777" w:rsidR="00CC0487" w:rsidRPr="003E7026" w:rsidRDefault="00CC0487" w:rsidP="00DB6666">
            <w:pPr>
              <w:jc w:val="right"/>
              <w:rPr>
                <w:rFonts w:ascii="Arial Narrow" w:hAnsi="Arial Narrow" w:cs="Arial"/>
                <w:b/>
                <w:bCs/>
                <w:color w:val="000000"/>
                <w:sz w:val="18"/>
                <w:szCs w:val="18"/>
              </w:rPr>
            </w:pPr>
            <w:r w:rsidRPr="003E7026">
              <w:rPr>
                <w:rFonts w:ascii="Arial Narrow" w:hAnsi="Arial Narrow" w:cs="Arial"/>
                <w:b/>
                <w:bCs/>
                <w:color w:val="000000"/>
                <w:sz w:val="18"/>
                <w:szCs w:val="18"/>
              </w:rPr>
              <w:t>66.55</w:t>
            </w:r>
          </w:p>
        </w:tc>
        <w:tc>
          <w:tcPr>
            <w:tcW w:w="1586" w:type="dxa"/>
            <w:tcBorders>
              <w:top w:val="nil"/>
              <w:left w:val="nil"/>
              <w:bottom w:val="nil"/>
              <w:right w:val="nil"/>
            </w:tcBorders>
            <w:shd w:val="clear" w:color="auto" w:fill="auto"/>
            <w:vAlign w:val="center"/>
            <w:hideMark/>
          </w:tcPr>
          <w:p w14:paraId="28847428" w14:textId="77777777" w:rsidR="00CC0487" w:rsidRPr="003E7026" w:rsidRDefault="00CC0487" w:rsidP="00DB6666">
            <w:pPr>
              <w:jc w:val="right"/>
              <w:rPr>
                <w:rFonts w:ascii="Arial Narrow" w:hAnsi="Arial Narrow" w:cs="Arial"/>
                <w:b/>
                <w:bCs/>
                <w:color w:val="000000"/>
                <w:sz w:val="18"/>
                <w:szCs w:val="18"/>
              </w:rPr>
            </w:pPr>
            <w:r w:rsidRPr="003E7026">
              <w:rPr>
                <w:rFonts w:ascii="Arial Narrow" w:hAnsi="Arial Narrow" w:cs="Arial"/>
                <w:b/>
                <w:bCs/>
                <w:color w:val="000000"/>
                <w:sz w:val="18"/>
                <w:szCs w:val="18"/>
              </w:rPr>
              <w:t>3.569.798</w:t>
            </w:r>
          </w:p>
        </w:tc>
        <w:tc>
          <w:tcPr>
            <w:tcW w:w="1586" w:type="dxa"/>
            <w:tcBorders>
              <w:top w:val="nil"/>
              <w:left w:val="nil"/>
              <w:bottom w:val="nil"/>
              <w:right w:val="nil"/>
            </w:tcBorders>
            <w:shd w:val="clear" w:color="auto" w:fill="auto"/>
            <w:vAlign w:val="center"/>
            <w:hideMark/>
          </w:tcPr>
          <w:p w14:paraId="7C68D94D" w14:textId="77777777" w:rsidR="00CC0487" w:rsidRPr="003E7026" w:rsidRDefault="00CC0487" w:rsidP="00DB6666">
            <w:pPr>
              <w:jc w:val="right"/>
              <w:rPr>
                <w:rFonts w:ascii="Arial Narrow" w:hAnsi="Arial Narrow" w:cs="Arial"/>
                <w:b/>
                <w:bCs/>
                <w:color w:val="000000"/>
                <w:sz w:val="18"/>
                <w:szCs w:val="18"/>
              </w:rPr>
            </w:pPr>
            <w:r w:rsidRPr="003E7026">
              <w:rPr>
                <w:rFonts w:ascii="Arial Narrow" w:hAnsi="Arial Narrow" w:cs="Arial"/>
                <w:b/>
                <w:bCs/>
                <w:color w:val="000000"/>
                <w:sz w:val="18"/>
                <w:szCs w:val="18"/>
              </w:rPr>
              <w:t>3.569.798</w:t>
            </w:r>
          </w:p>
        </w:tc>
      </w:tr>
    </w:tbl>
    <w:p w14:paraId="13BC41C9" w14:textId="77777777" w:rsidR="00CC0487" w:rsidRPr="003E7026" w:rsidRDefault="00CC0487" w:rsidP="00CC0487"/>
    <w:p w14:paraId="3834824E" w14:textId="77777777" w:rsidR="00CC0487" w:rsidRPr="003E7026" w:rsidRDefault="00CC0487" w:rsidP="00CC0487"/>
    <w:p w14:paraId="5177AC59" w14:textId="77777777" w:rsidR="00CC0487" w:rsidRPr="003E7026" w:rsidRDefault="00CC0487" w:rsidP="00CC0487"/>
    <w:p w14:paraId="771BAD24" w14:textId="77777777" w:rsidR="00CC0487" w:rsidRPr="003E7026" w:rsidRDefault="00CC0487" w:rsidP="00CC0487">
      <w:pPr>
        <w:pStyle w:val="Endofdocument"/>
        <w:tabs>
          <w:tab w:val="decimal" w:pos="9071"/>
        </w:tabs>
        <w:ind w:right="-1"/>
        <w:jc w:val="right"/>
      </w:pPr>
      <w:r w:rsidRPr="003E7026">
        <w:rPr>
          <w:rFonts w:ascii="Arial" w:hAnsi="Arial" w:cs="Arial"/>
          <w:snapToGrid w:val="0"/>
          <w:sz w:val="20"/>
        </w:rPr>
        <w:t>[Anhang III folgt]</w:t>
      </w:r>
    </w:p>
    <w:p w14:paraId="7BCE43F9" w14:textId="77777777" w:rsidR="00CC0487" w:rsidRPr="003E7026" w:rsidRDefault="00CC0487" w:rsidP="00CC0487">
      <w:pPr>
        <w:rPr>
          <w:rFonts w:cs="Arial"/>
          <w:b/>
          <w:color w:val="0000FF"/>
        </w:rPr>
        <w:sectPr w:rsidR="00CC0487" w:rsidRPr="003E7026" w:rsidSect="00277D28">
          <w:headerReference w:type="even" r:id="rId36"/>
          <w:headerReference w:type="default" r:id="rId37"/>
          <w:footerReference w:type="even" r:id="rId38"/>
          <w:footerReference w:type="default" r:id="rId39"/>
          <w:headerReference w:type="first" r:id="rId40"/>
          <w:footerReference w:type="first" r:id="rId41"/>
          <w:pgSz w:w="11907" w:h="16840" w:code="9"/>
          <w:pgMar w:top="510" w:right="1134" w:bottom="1134" w:left="1134" w:header="510" w:footer="624" w:gutter="0"/>
          <w:cols w:space="720"/>
          <w:docGrid w:linePitch="272"/>
        </w:sectPr>
      </w:pPr>
      <w:r w:rsidRPr="003E7026">
        <w:rPr>
          <w:rFonts w:cs="Arial"/>
          <w:b/>
          <w:color w:val="0000FF"/>
        </w:rPr>
        <w:t xml:space="preserve"> </w:t>
      </w:r>
    </w:p>
    <w:p w14:paraId="33129813" w14:textId="77777777" w:rsidR="00CC0487" w:rsidRPr="003E7026" w:rsidRDefault="00CC0487" w:rsidP="00CC0487">
      <w:pPr>
        <w:pStyle w:val="Heading9"/>
        <w:rPr>
          <w:lang w:val="de-DE"/>
        </w:rPr>
      </w:pPr>
      <w:bookmarkStart w:id="489" w:name="_Toc128060741"/>
      <w:r w:rsidRPr="003E7026">
        <w:rPr>
          <w:lang w:val="de-DE"/>
        </w:rPr>
        <w:lastRenderedPageBreak/>
        <w:t>ANHANG III</w:t>
      </w:r>
      <w:r w:rsidRPr="003E7026">
        <w:rPr>
          <w:lang w:val="de-DE"/>
        </w:rPr>
        <w:tab/>
        <w:t>Definition von Einnahmequellen und Kostenkategorien</w:t>
      </w:r>
      <w:bookmarkEnd w:id="489"/>
    </w:p>
    <w:p w14:paraId="6B60EB0A" w14:textId="77777777" w:rsidR="00CC0487" w:rsidRPr="003E7026" w:rsidRDefault="00CC0487" w:rsidP="00CC0487"/>
    <w:p w14:paraId="0025CC2F" w14:textId="77777777" w:rsidR="00CC0487" w:rsidRPr="003E7026" w:rsidRDefault="00CC0487" w:rsidP="00CC0487"/>
    <w:p w14:paraId="4516C9C4" w14:textId="77777777" w:rsidR="00CC0487" w:rsidRPr="003E7026" w:rsidRDefault="00CC0487" w:rsidP="00CC0487">
      <w:pPr>
        <w:rPr>
          <w:color w:val="26724C" w:themeColor="accent1" w:themeShade="BF"/>
          <w:sz w:val="28"/>
        </w:rPr>
      </w:pPr>
      <w:r w:rsidRPr="003E7026">
        <w:rPr>
          <w:color w:val="26724C" w:themeColor="accent1" w:themeShade="BF"/>
          <w:sz w:val="28"/>
          <w:szCs w:val="24"/>
        </w:rPr>
        <w:t>Einnahmequellen</w:t>
      </w:r>
    </w:p>
    <w:p w14:paraId="164741DE" w14:textId="77777777" w:rsidR="00CC0487" w:rsidRPr="003E7026" w:rsidRDefault="00CC0487" w:rsidP="00CC0487"/>
    <w:p w14:paraId="46B6A575" w14:textId="77777777" w:rsidR="00CC0487" w:rsidRPr="003E7026" w:rsidRDefault="00CC0487" w:rsidP="00CC0487">
      <w:r w:rsidRPr="003E7026">
        <w:t>Beiträge: Beiträge der Verbandsmitglieder nach dem UPOV-Übereinkommen (Artikel 29 der Akte von 1991 und Artikel 26 der Akte von 1978).</w:t>
      </w:r>
    </w:p>
    <w:p w14:paraId="67F6621A" w14:textId="77777777" w:rsidR="00CC0487" w:rsidRPr="003E7026" w:rsidRDefault="00CC0487" w:rsidP="00CC0487"/>
    <w:p w14:paraId="721E6F29" w14:textId="77777777" w:rsidR="00CC0487" w:rsidRPr="003E7026" w:rsidRDefault="00CC0487" w:rsidP="00CC0487">
      <w:r w:rsidRPr="003E7026">
        <w:t>Gebühren aus IT-Instrumenten und Dienstleistungen der UPOV: Gebühren für Datenbanken, IT-Instrumente und Dienstleistungen der UPOV.</w:t>
      </w:r>
    </w:p>
    <w:p w14:paraId="149B716E" w14:textId="77777777" w:rsidR="00CC0487" w:rsidRPr="003E7026" w:rsidRDefault="00CC0487" w:rsidP="00CC0487"/>
    <w:p w14:paraId="2A5B546A" w14:textId="77777777" w:rsidR="00CC0487" w:rsidRPr="003E7026" w:rsidRDefault="00CC0487" w:rsidP="00CC0487">
      <w:r w:rsidRPr="003E7026">
        <w:t>Sonstige Einnahmen: Buchhaltungsberichtigungen (Gutschriften) aus früheren Jahren, Währungsanpassungen, Unterstützungsgebühren bezüglich außeretatmäßiger Tätigkeiten, die von der UPOV durchgeführt und aus Treuhandgeldern finanziert werden, und Gebühren aus Fernlehrgangsprogrammen.</w:t>
      </w:r>
    </w:p>
    <w:p w14:paraId="0CC23CFA" w14:textId="77777777" w:rsidR="00CC0487" w:rsidRPr="003E7026" w:rsidRDefault="00CC0487" w:rsidP="00CC0487"/>
    <w:p w14:paraId="12AA0DD4" w14:textId="77777777" w:rsidR="00CC0487" w:rsidRPr="003E7026" w:rsidRDefault="00CC0487" w:rsidP="00CC0487"/>
    <w:p w14:paraId="20E12AAD" w14:textId="77777777" w:rsidR="00CC0487" w:rsidRPr="003E7026" w:rsidRDefault="00CC0487" w:rsidP="00CC0487">
      <w:pPr>
        <w:rPr>
          <w:color w:val="26724C" w:themeColor="accent1" w:themeShade="BF"/>
          <w:sz w:val="28"/>
        </w:rPr>
      </w:pPr>
      <w:r w:rsidRPr="003E7026">
        <w:rPr>
          <w:color w:val="26724C" w:themeColor="accent1" w:themeShade="BF"/>
          <w:sz w:val="28"/>
          <w:szCs w:val="24"/>
        </w:rPr>
        <w:t>Kostenkategorien</w:t>
      </w:r>
    </w:p>
    <w:p w14:paraId="792EEC36" w14:textId="77777777" w:rsidR="00CC0487" w:rsidRPr="003E7026" w:rsidRDefault="00CC0487" w:rsidP="00CC0487"/>
    <w:p w14:paraId="1828CAC2" w14:textId="77777777" w:rsidR="00CC0487" w:rsidRPr="003E7026" w:rsidRDefault="00CC0487" w:rsidP="00CC0487">
      <w:pPr>
        <w:rPr>
          <w:b/>
          <w:color w:val="26724C" w:themeColor="accent1" w:themeShade="BF"/>
        </w:rPr>
      </w:pPr>
      <w:r w:rsidRPr="003E7026">
        <w:rPr>
          <w:b/>
          <w:color w:val="26724C" w:themeColor="accent1" w:themeShade="BF"/>
        </w:rPr>
        <w:t>Personalkosten</w:t>
      </w:r>
    </w:p>
    <w:p w14:paraId="6FF720C2" w14:textId="77777777" w:rsidR="00CC0487" w:rsidRPr="003E7026" w:rsidRDefault="00CC0487" w:rsidP="00CC0487"/>
    <w:p w14:paraId="76B099BA" w14:textId="77777777" w:rsidR="00CC0487" w:rsidRPr="003E7026" w:rsidRDefault="00CC0487" w:rsidP="00CC0487">
      <w:r w:rsidRPr="003E7026">
        <w:rPr>
          <w:b/>
        </w:rPr>
        <w:t>Posten:</w:t>
      </w:r>
      <w:r w:rsidRPr="003E7026">
        <w:t xml:space="preserve"> Bezüge des Personals, insbesondere Gehälter, Ortszuschläge, Kinderbeihilfen, Sprachenzulagen und Überstunden, Nichtansässigkeitszuschläge, Postenzuschläge und Repräsentationszuschläge.</w:t>
      </w:r>
    </w:p>
    <w:p w14:paraId="70065A18" w14:textId="77777777" w:rsidR="00CC0487" w:rsidRPr="003E7026" w:rsidRDefault="00CC0487" w:rsidP="00CC0487"/>
    <w:p w14:paraId="3EBB4FB8" w14:textId="77777777" w:rsidR="00CC0487" w:rsidRPr="003E7026" w:rsidRDefault="00CC0487" w:rsidP="00CC0487">
      <w:r w:rsidRPr="003E7026">
        <w:rPr>
          <w:b/>
        </w:rPr>
        <w:t>Bedienstete auf Zeit</w:t>
      </w:r>
      <w:r w:rsidRPr="003E7026">
        <w:t>: Bezüge und Zulagen für den gehobenen Dienst und den allgemeinen Dienst mit Zeitverträgen.</w:t>
      </w:r>
    </w:p>
    <w:p w14:paraId="32EE0935" w14:textId="77777777" w:rsidR="00CC0487" w:rsidRPr="003E7026" w:rsidRDefault="00CC0487" w:rsidP="00CC0487"/>
    <w:p w14:paraId="70E3F50B" w14:textId="77777777" w:rsidR="00CC0487" w:rsidRPr="003E7026" w:rsidRDefault="00CC0487" w:rsidP="00CC0487">
      <w:pPr>
        <w:rPr>
          <w:b/>
          <w:color w:val="26724C" w:themeColor="accent1" w:themeShade="BF"/>
        </w:rPr>
      </w:pPr>
      <w:r w:rsidRPr="003E7026">
        <w:rPr>
          <w:b/>
          <w:color w:val="26724C" w:themeColor="accent1" w:themeShade="BF"/>
        </w:rPr>
        <w:t>Nichtpersonalkosten</w:t>
      </w:r>
    </w:p>
    <w:p w14:paraId="743C8913" w14:textId="77777777" w:rsidR="00CC0487" w:rsidRPr="003E7026" w:rsidRDefault="00CC0487" w:rsidP="00CC0487">
      <w:pPr>
        <w:rPr>
          <w:b/>
        </w:rPr>
      </w:pPr>
    </w:p>
    <w:p w14:paraId="51639543" w14:textId="77777777" w:rsidR="00CC0487" w:rsidRPr="003E7026" w:rsidRDefault="00CC0487" w:rsidP="00CC0487">
      <w:pPr>
        <w:rPr>
          <w:bCs/>
          <w:i/>
          <w:color w:val="26724C" w:themeColor="accent1" w:themeShade="BF"/>
        </w:rPr>
      </w:pPr>
      <w:r w:rsidRPr="003E7026">
        <w:rPr>
          <w:bCs/>
          <w:i/>
          <w:color w:val="26724C" w:themeColor="accent1" w:themeShade="BF"/>
        </w:rPr>
        <w:t>Praktika und Stipendien</w:t>
      </w:r>
    </w:p>
    <w:p w14:paraId="746212D0" w14:textId="77777777" w:rsidR="00CC0487" w:rsidRPr="003E7026" w:rsidRDefault="00CC0487" w:rsidP="00CC0487"/>
    <w:p w14:paraId="7178AFD8" w14:textId="77777777" w:rsidR="00CC0487" w:rsidRPr="003E7026" w:rsidRDefault="00CC0487" w:rsidP="00CC0487">
      <w:r w:rsidRPr="003E7026">
        <w:rPr>
          <w:b/>
          <w:bCs/>
          <w:iCs/>
        </w:rPr>
        <w:t>Praktika</w:t>
      </w:r>
      <w:r w:rsidRPr="003E7026">
        <w:t xml:space="preserve">: Bezüge und Zulagen für Praktikanten. </w:t>
      </w:r>
    </w:p>
    <w:p w14:paraId="3DFEDC18" w14:textId="77777777" w:rsidR="00CC0487" w:rsidRPr="003E7026" w:rsidRDefault="00CC0487" w:rsidP="00CC0487"/>
    <w:p w14:paraId="754E4A79" w14:textId="77777777" w:rsidR="00CC0487" w:rsidRPr="003E7026" w:rsidRDefault="00CC0487" w:rsidP="00CC0487">
      <w:r w:rsidRPr="003E7026">
        <w:rPr>
          <w:b/>
          <w:bCs/>
          <w:iCs/>
        </w:rPr>
        <w:t>Stipendien</w:t>
      </w:r>
      <w:r w:rsidRPr="003E7026">
        <w:rPr>
          <w:bCs/>
          <w:i/>
          <w:iCs/>
        </w:rPr>
        <w:t xml:space="preserve">: </w:t>
      </w:r>
      <w:r w:rsidRPr="003E7026">
        <w:rPr>
          <w:bCs/>
          <w:iCs/>
        </w:rPr>
        <w:t>Ausgaben in Verbindung mit einer Schulungsveranstaltung, die qualifizierten Personen einen geldlichen Zuschuss zum Erreichen spezieller Lernziele zur Verfügung stellt</w:t>
      </w:r>
      <w:r w:rsidRPr="003E7026">
        <w:t xml:space="preserve">. </w:t>
      </w:r>
    </w:p>
    <w:p w14:paraId="578C0847" w14:textId="77777777" w:rsidR="00CC0487" w:rsidRPr="003E7026" w:rsidRDefault="00CC0487" w:rsidP="00CC0487">
      <w:pPr>
        <w:rPr>
          <w:u w:val="single"/>
        </w:rPr>
      </w:pPr>
    </w:p>
    <w:p w14:paraId="3226839B" w14:textId="77777777" w:rsidR="00CC0487" w:rsidRPr="003E7026" w:rsidRDefault="00CC0487" w:rsidP="00CC0487">
      <w:pPr>
        <w:rPr>
          <w:bCs/>
          <w:i/>
          <w:color w:val="26724C" w:themeColor="accent1" w:themeShade="BF"/>
        </w:rPr>
      </w:pPr>
      <w:r w:rsidRPr="003E7026">
        <w:rPr>
          <w:bCs/>
          <w:i/>
          <w:color w:val="26724C" w:themeColor="accent1" w:themeShade="BF"/>
        </w:rPr>
        <w:t xml:space="preserve">Reisen, Ausbildung und Zuschüsse </w:t>
      </w:r>
    </w:p>
    <w:p w14:paraId="0A9395CC" w14:textId="77777777" w:rsidR="00CC0487" w:rsidRPr="003E7026" w:rsidRDefault="00CC0487" w:rsidP="00CC0487">
      <w:pPr>
        <w:rPr>
          <w:u w:val="single"/>
        </w:rPr>
      </w:pPr>
    </w:p>
    <w:p w14:paraId="5AE66755" w14:textId="77777777" w:rsidR="00CC0487" w:rsidRPr="003E7026" w:rsidRDefault="00CC0487" w:rsidP="00CC0487">
      <w:r w:rsidRPr="003E7026">
        <w:rPr>
          <w:b/>
          <w:bCs/>
          <w:iCs/>
        </w:rPr>
        <w:t>Dienstreisen</w:t>
      </w:r>
      <w:r w:rsidRPr="003E7026">
        <w:rPr>
          <w:b/>
        </w:rPr>
        <w:t>:</w:t>
      </w:r>
      <w:r w:rsidRPr="003E7026">
        <w:t xml:space="preserve"> Reisekosten und Tagegelder für alle Mitarbeiter auf Dienstreisen.</w:t>
      </w:r>
    </w:p>
    <w:p w14:paraId="541718DF" w14:textId="77777777" w:rsidR="00CC0487" w:rsidRPr="003E7026" w:rsidRDefault="00CC0487" w:rsidP="00CC0487"/>
    <w:p w14:paraId="1521F98F" w14:textId="77777777" w:rsidR="00CC0487" w:rsidRPr="003E7026" w:rsidRDefault="00CC0487" w:rsidP="00CC0487">
      <w:r w:rsidRPr="003E7026">
        <w:rPr>
          <w:b/>
          <w:bCs/>
          <w:iCs/>
        </w:rPr>
        <w:t>Reisen Dritter</w:t>
      </w:r>
      <w:r w:rsidRPr="003E7026">
        <w:rPr>
          <w:b/>
        </w:rPr>
        <w:t>:</w:t>
      </w:r>
      <w:r w:rsidRPr="003E7026">
        <w:t xml:space="preserve"> Reisekosten und Tagegelder für alle Dritten, einschließlich Reisekosten von Regierungsbeamten, Teilnehmern und Referenten, die an von der UPOV finanzierten Tagungen teilnehmen.</w:t>
      </w:r>
    </w:p>
    <w:p w14:paraId="536F8E8E" w14:textId="77777777" w:rsidR="00CC0487" w:rsidRPr="003E7026" w:rsidRDefault="00CC0487" w:rsidP="00CC0487"/>
    <w:p w14:paraId="79BCD2D8" w14:textId="77777777" w:rsidR="00CC0487" w:rsidRPr="003E7026" w:rsidRDefault="00CC0487" w:rsidP="00CC0487">
      <w:r w:rsidRPr="003E7026">
        <w:rPr>
          <w:b/>
          <w:bCs/>
          <w:iCs/>
        </w:rPr>
        <w:t>Ausbildung und damit verbundene Reisezuschüsse</w:t>
      </w:r>
      <w:r w:rsidRPr="003E7026">
        <w:rPr>
          <w:b/>
        </w:rPr>
        <w:t>:</w:t>
      </w:r>
      <w:r w:rsidRPr="003E7026">
        <w:t xml:space="preserve"> Reisekosten, Tagegelder sowie Ausbildungs- und sonstige Gebühren im Zusammenhang mit der Teilnahme von Auszubildenden an Lehrgängen und Seminaren, Stipendien. </w:t>
      </w:r>
    </w:p>
    <w:p w14:paraId="5BF1B2EF" w14:textId="77777777" w:rsidR="00CC0487" w:rsidRPr="003E7026" w:rsidRDefault="00CC0487" w:rsidP="00CC0487"/>
    <w:p w14:paraId="626A6E70" w14:textId="77777777" w:rsidR="00CC0487" w:rsidRPr="003E7026" w:rsidRDefault="00CC0487" w:rsidP="00CC0487">
      <w:pPr>
        <w:rPr>
          <w:bCs/>
          <w:i/>
          <w:color w:val="26724C" w:themeColor="accent1" w:themeShade="BF"/>
        </w:rPr>
      </w:pPr>
      <w:r w:rsidRPr="003E7026">
        <w:rPr>
          <w:bCs/>
          <w:i/>
          <w:color w:val="26724C" w:themeColor="accent1" w:themeShade="BF"/>
        </w:rPr>
        <w:t>Vertraglich vereinbarte Dienstleistungen</w:t>
      </w:r>
    </w:p>
    <w:p w14:paraId="281BA2F1" w14:textId="77777777" w:rsidR="00CC0487" w:rsidRPr="003E7026" w:rsidRDefault="00CC0487" w:rsidP="00CC0487">
      <w:pPr>
        <w:rPr>
          <w:u w:val="single"/>
        </w:rPr>
      </w:pPr>
    </w:p>
    <w:p w14:paraId="4746D2BD" w14:textId="77777777" w:rsidR="00CC0487" w:rsidRPr="003E7026" w:rsidRDefault="00CC0487" w:rsidP="00CC0487">
      <w:r w:rsidRPr="003E7026">
        <w:rPr>
          <w:b/>
          <w:bCs/>
          <w:iCs/>
        </w:rPr>
        <w:t>Konferenzen</w:t>
      </w:r>
      <w:r w:rsidRPr="003E7026">
        <w:t>: Honorare, Reisekosten und Tagegelder für Dolmetscher, Anmietung von Konferenzräumen und Simultanübersetzungsanlagen und -plattformen, Erfrischungen und Empfänge.</w:t>
      </w:r>
    </w:p>
    <w:p w14:paraId="030F78AD" w14:textId="77777777" w:rsidR="00CC0487" w:rsidRPr="003E7026" w:rsidRDefault="00CC0487" w:rsidP="00CC0487"/>
    <w:p w14:paraId="03953A6D" w14:textId="77777777" w:rsidR="00CC0487" w:rsidRPr="003E7026" w:rsidRDefault="00CC0487" w:rsidP="00CC0487">
      <w:r w:rsidRPr="003E7026">
        <w:rPr>
          <w:b/>
          <w:bCs/>
          <w:iCs/>
        </w:rPr>
        <w:t>Veröffentlichungen</w:t>
      </w:r>
      <w:r w:rsidRPr="003E7026">
        <w:rPr>
          <w:b/>
        </w:rPr>
        <w:t>:</w:t>
      </w:r>
      <w:r w:rsidRPr="003E7026">
        <w:t xml:space="preserve"> Druck und Binden extern: Fachzeitschriften: Papier und Druck, sonstige Druckarbeiten: Abdruck von in den Fachzeitschriften erschienenen Artikeln, Broschüren, Verträge, Sammlungen von Gesetzestexten, Handbücher, Arbeitsformulare und sonstiges gedrucktes Material, Videos und sonstige Formen der elektronischen Veröffentlichung.</w:t>
      </w:r>
    </w:p>
    <w:p w14:paraId="0EEF1635" w14:textId="77777777" w:rsidR="00CC0487" w:rsidRPr="003E7026" w:rsidRDefault="00CC0487" w:rsidP="00CC0487"/>
    <w:p w14:paraId="0533B8FA" w14:textId="77777777" w:rsidR="00CC0487" w:rsidRPr="003E7026" w:rsidRDefault="00CC0487" w:rsidP="00CC0487">
      <w:r w:rsidRPr="003E7026">
        <w:rPr>
          <w:b/>
          <w:bCs/>
          <w:iCs/>
        </w:rPr>
        <w:t>Einzeln vertraglich vereinbarte Dienstleistungen</w:t>
      </w:r>
      <w:r w:rsidRPr="003E7026">
        <w:t>: Honorare gemäß den einzeln vertraglich vereinbarten Dienstleistungen.</w:t>
      </w:r>
    </w:p>
    <w:p w14:paraId="2C4C0F39" w14:textId="77777777" w:rsidR="00CC0487" w:rsidRPr="003E7026" w:rsidRDefault="00CC0487" w:rsidP="00CC0487"/>
    <w:p w14:paraId="7CF0C8F8" w14:textId="77777777" w:rsidR="00CC0487" w:rsidRPr="003E7026" w:rsidRDefault="00CC0487" w:rsidP="00CC0487">
      <w:r w:rsidRPr="003E7026">
        <w:rPr>
          <w:b/>
          <w:bCs/>
          <w:iCs/>
        </w:rPr>
        <w:t>Andere vertraglich vereinbarte Dienstleistungen:</w:t>
      </w:r>
      <w:r w:rsidRPr="003E7026">
        <w:rPr>
          <w:bCs/>
          <w:iCs/>
        </w:rPr>
        <w:t xml:space="preserve"> </w:t>
      </w:r>
      <w:r w:rsidRPr="003E7026">
        <w:t xml:space="preserve">umfassen alle anderen vertraglich vereinbarten Dienstleistungen sowohl mit kommerziellen als auch mit nicht kommerziellen Anbietern. </w:t>
      </w:r>
    </w:p>
    <w:p w14:paraId="3C5AD0B0" w14:textId="77777777" w:rsidR="00CC0487" w:rsidRPr="003E7026" w:rsidRDefault="00CC0487" w:rsidP="00CC0487"/>
    <w:p w14:paraId="0304B21A" w14:textId="77777777" w:rsidR="00CC0487" w:rsidRPr="003E7026" w:rsidRDefault="00CC0487" w:rsidP="00CC0487">
      <w:pPr>
        <w:rPr>
          <w:bCs/>
          <w:i/>
          <w:iCs/>
          <w:color w:val="26724C" w:themeColor="accent1" w:themeShade="BF"/>
        </w:rPr>
      </w:pPr>
      <w:r w:rsidRPr="003E7026">
        <w:rPr>
          <w:bCs/>
          <w:i/>
          <w:iCs/>
          <w:color w:val="26724C" w:themeColor="accent1" w:themeShade="BF"/>
        </w:rPr>
        <w:t>Betriebsaufwand</w:t>
      </w:r>
    </w:p>
    <w:p w14:paraId="663151D4" w14:textId="77777777" w:rsidR="00CC0487" w:rsidRPr="003E7026" w:rsidRDefault="00CC0487" w:rsidP="00CC0487">
      <w:pPr>
        <w:rPr>
          <w:b/>
          <w:u w:val="single"/>
        </w:rPr>
      </w:pPr>
    </w:p>
    <w:p w14:paraId="0D1D2FAD" w14:textId="77777777" w:rsidR="00CC0487" w:rsidRPr="003E7026" w:rsidRDefault="00CC0487" w:rsidP="00CC0487">
      <w:pPr>
        <w:rPr>
          <w:b/>
        </w:rPr>
      </w:pPr>
      <w:r w:rsidRPr="003E7026">
        <w:t>Alle Ausgaben im Zusammenhang mit dem Erwerb, der Anmietung, Verbesserung und Instandhaltung von Büroräumen und der Anmietung oder Wartung von Betriebsausstattung und Mobiliar. Kosten für Nachrichtenverbindungen wie Fernsprechdienst, Internet, Faksimile und Postgebühren, sonstige Kosten wie medizinische Versorgung, Unterbringungsdienst, Verwaltungsgericht, Personalverband, Bewirtung, Bankgebühren, Zinsen für Bank- und andere Kredite (mit Ausnahme von Baukrediten), Währungsangleichungen (Lastschriften), Buchprüfungsgebühren, unvorhergesehene Ausgaben und Buchhaltungsberichtigungen (Lastschriften) für frühere Jahre, Beiträge an gemeinsame administrative Tätigkeiten im System der Vereinten Nationen sowie alle gemeinsamen Ausgaben, die entweder mit den gemeinsamen Tätigkeiten mit der WIPO oder den von der WIPO tatsächlich erbrachten Dienstleistungen verbunden sind.</w:t>
      </w:r>
    </w:p>
    <w:p w14:paraId="33BABB6B" w14:textId="77777777" w:rsidR="00CC0487" w:rsidRPr="003E7026" w:rsidRDefault="00CC0487" w:rsidP="00CC0487">
      <w:pPr>
        <w:rPr>
          <w:b/>
        </w:rPr>
      </w:pPr>
    </w:p>
    <w:p w14:paraId="1DB4BADC" w14:textId="77777777" w:rsidR="00CC0487" w:rsidRPr="003E7026" w:rsidRDefault="00CC0487" w:rsidP="00CC0487">
      <w:pPr>
        <w:rPr>
          <w:bCs/>
          <w:i/>
          <w:iCs/>
          <w:color w:val="26724C" w:themeColor="accent1" w:themeShade="BF"/>
        </w:rPr>
      </w:pPr>
      <w:r w:rsidRPr="003E7026">
        <w:rPr>
          <w:bCs/>
          <w:i/>
          <w:iCs/>
          <w:color w:val="26724C" w:themeColor="accent1" w:themeShade="BF"/>
        </w:rPr>
        <w:t>Betriebsausstattung und Bürobedarf</w:t>
      </w:r>
    </w:p>
    <w:p w14:paraId="39714C3C" w14:textId="77777777" w:rsidR="00CC0487" w:rsidRPr="003E7026" w:rsidRDefault="00CC0487" w:rsidP="00CC0487"/>
    <w:p w14:paraId="4A866A1F" w14:textId="77777777" w:rsidR="00CC0487" w:rsidRPr="003E7026" w:rsidRDefault="00CC0487" w:rsidP="00CC0487">
      <w:r w:rsidRPr="003E7026">
        <w:rPr>
          <w:b/>
          <w:i/>
        </w:rPr>
        <w:t>Mobiliar und Betriebsausstattung:</w:t>
      </w:r>
      <w:r w:rsidRPr="003E7026">
        <w:t xml:space="preserve"> Ankauf von Büromöbeln und Bürogeräten, Computerausstattung (Desktop-Computer, Laptops, Drucker, Server usw.), Konferenzanlagen, Vervielfältigungsgeräte, Transportmittel.</w:t>
      </w:r>
    </w:p>
    <w:p w14:paraId="21A1F650" w14:textId="77777777" w:rsidR="00CC0487" w:rsidRPr="003E7026" w:rsidRDefault="00CC0487" w:rsidP="00CC0487"/>
    <w:p w14:paraId="5D7326BD" w14:textId="77777777" w:rsidR="00CC0487" w:rsidRPr="003E7026" w:rsidRDefault="00CC0487" w:rsidP="00CC0487">
      <w:r w:rsidRPr="003E7026">
        <w:rPr>
          <w:b/>
          <w:i/>
        </w:rPr>
        <w:t>Bürobedarf und Materialien:</w:t>
      </w:r>
      <w:r w:rsidRPr="003E7026">
        <w:t xml:space="preserve"> Schreibpapier und Büromaterial, Material für die Vervielfältigung im Hause (Offset, Mikrofilme usw.), Bücher für die Bücherei und Bezug von Fachzeitschriften und regelmäßig erscheinenden Veröffentlichungen, Uniformen, Material für die Datenverarbeitung, Computersoftware und Lizenzen.</w:t>
      </w:r>
    </w:p>
    <w:p w14:paraId="25A20C09" w14:textId="77777777" w:rsidR="00CC0487" w:rsidRPr="00BF4ADE" w:rsidRDefault="00CC0487" w:rsidP="00CC0487">
      <w:pPr>
        <w:pStyle w:val="endofdoc"/>
        <w:rPr>
          <w:rFonts w:cs="Arial"/>
          <w:lang w:val="de-DE"/>
        </w:rPr>
      </w:pPr>
      <w:r w:rsidRPr="003E7026">
        <w:rPr>
          <w:lang w:val="de-DE"/>
        </w:rPr>
        <w:t>[Ende des Anhangs III und des Dokuments]</w:t>
      </w:r>
    </w:p>
    <w:p w14:paraId="54B473E9" w14:textId="77777777" w:rsidR="00CC0487" w:rsidRPr="00BF4ADE" w:rsidRDefault="00CC0487" w:rsidP="00CC0487">
      <w:pPr>
        <w:jc w:val="left"/>
        <w:rPr>
          <w:snapToGrid w:val="0"/>
        </w:rPr>
      </w:pPr>
    </w:p>
    <w:p w14:paraId="29CF85CA" w14:textId="77777777" w:rsidR="00CC0487" w:rsidRPr="00BF4ADE" w:rsidRDefault="00CC0487" w:rsidP="00CC0487">
      <w:pPr>
        <w:jc w:val="left"/>
      </w:pPr>
    </w:p>
    <w:p w14:paraId="194C6F8D" w14:textId="77777777" w:rsidR="00CC0487" w:rsidRPr="00BF4ADE" w:rsidRDefault="00CC0487" w:rsidP="00CC0487">
      <w:pPr>
        <w:jc w:val="left"/>
      </w:pPr>
    </w:p>
    <w:p w14:paraId="24602D8B" w14:textId="77777777" w:rsidR="00CC0487" w:rsidRPr="00C5280D" w:rsidRDefault="00CC0487" w:rsidP="009B440E">
      <w:pPr>
        <w:jc w:val="left"/>
      </w:pPr>
    </w:p>
    <w:sectPr w:rsidR="00CC0487" w:rsidRPr="00C5280D" w:rsidSect="00F1091C">
      <w:headerReference w:type="even" r:id="rId42"/>
      <w:headerReference w:type="default" r:id="rId43"/>
      <w:footerReference w:type="even" r:id="rId44"/>
      <w:footerReference w:type="default" r:id="rId45"/>
      <w:headerReference w:type="first" r:id="rId46"/>
      <w:footerReference w:type="first" r:id="rId47"/>
      <w:pgSz w:w="11907" w:h="16840" w:code="9"/>
      <w:pgMar w:top="510" w:right="1134" w:bottom="993"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11F17" w14:textId="77777777" w:rsidR="00EB21B7" w:rsidRDefault="00EB21B7" w:rsidP="006655D3">
      <w:r>
        <w:separator/>
      </w:r>
    </w:p>
    <w:p w14:paraId="7BA282AE" w14:textId="77777777" w:rsidR="00EB21B7" w:rsidRDefault="00EB21B7" w:rsidP="006655D3"/>
    <w:p w14:paraId="247C386F" w14:textId="77777777" w:rsidR="00EB21B7" w:rsidRDefault="00EB21B7" w:rsidP="006655D3"/>
  </w:endnote>
  <w:endnote w:type="continuationSeparator" w:id="0">
    <w:p w14:paraId="77A9A595" w14:textId="77777777" w:rsidR="00EB21B7" w:rsidRDefault="00EB21B7" w:rsidP="006655D3">
      <w:r>
        <w:separator/>
      </w:r>
    </w:p>
    <w:p w14:paraId="42423FC9" w14:textId="77777777" w:rsidR="00EB21B7" w:rsidRPr="00294751" w:rsidRDefault="00EB21B7">
      <w:pPr>
        <w:pStyle w:val="Footer"/>
        <w:spacing w:after="60"/>
        <w:rPr>
          <w:sz w:val="18"/>
          <w:lang w:val="fr-FR"/>
        </w:rPr>
      </w:pPr>
      <w:r w:rsidRPr="00294751">
        <w:rPr>
          <w:sz w:val="18"/>
          <w:lang w:val="fr-FR"/>
        </w:rPr>
        <w:t>[Suite de la note de la page précédente]</w:t>
      </w:r>
    </w:p>
    <w:p w14:paraId="0295E933" w14:textId="77777777" w:rsidR="00EB21B7" w:rsidRPr="00294751" w:rsidRDefault="00EB21B7" w:rsidP="006655D3">
      <w:pPr>
        <w:rPr>
          <w:lang w:val="fr-FR"/>
        </w:rPr>
      </w:pPr>
    </w:p>
    <w:p w14:paraId="4C200193" w14:textId="77777777" w:rsidR="00EB21B7" w:rsidRPr="00294751" w:rsidRDefault="00EB21B7" w:rsidP="006655D3">
      <w:pPr>
        <w:rPr>
          <w:lang w:val="fr-FR"/>
        </w:rPr>
      </w:pPr>
    </w:p>
  </w:endnote>
  <w:endnote w:type="continuationNotice" w:id="1">
    <w:p w14:paraId="484241FE" w14:textId="77777777" w:rsidR="00EB21B7" w:rsidRPr="00294751" w:rsidRDefault="00EB21B7" w:rsidP="006655D3">
      <w:pPr>
        <w:rPr>
          <w:lang w:val="fr-FR"/>
        </w:rPr>
      </w:pPr>
      <w:r w:rsidRPr="00294751">
        <w:rPr>
          <w:lang w:val="fr-FR"/>
        </w:rPr>
        <w:t>[Suite de la note page suivante]</w:t>
      </w:r>
    </w:p>
    <w:p w14:paraId="30EA894A" w14:textId="77777777" w:rsidR="00EB21B7" w:rsidRPr="00294751" w:rsidRDefault="00EB21B7" w:rsidP="006655D3">
      <w:pPr>
        <w:rPr>
          <w:lang w:val="fr-FR"/>
        </w:rPr>
      </w:pPr>
    </w:p>
    <w:p w14:paraId="30A1A876" w14:textId="77777777" w:rsidR="00EB21B7" w:rsidRPr="00294751" w:rsidRDefault="00EB21B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D781" w14:textId="77777777" w:rsidR="00CC0487" w:rsidRDefault="00CC0487" w:rsidP="008224B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67E8" w14:textId="77777777" w:rsidR="00CC0487" w:rsidRDefault="00CC0487" w:rsidP="008224B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248A" w14:textId="77777777" w:rsidR="00CC0487" w:rsidRDefault="00CC048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6BC6" w14:textId="77777777" w:rsidR="00CC0487" w:rsidRDefault="00CC048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96F9" w14:textId="77777777" w:rsidR="00CC0487" w:rsidRDefault="00CC0487" w:rsidP="0077481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0D76" w14:textId="77777777" w:rsidR="00CC0487" w:rsidRDefault="00CC0487" w:rsidP="0077481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C100" w14:textId="77777777" w:rsidR="00CC0487" w:rsidRDefault="00CC0487" w:rsidP="0077481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1028" w14:textId="77777777" w:rsidR="00A75D1C" w:rsidRDefault="00C34358" w:rsidP="008224B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577B" w14:textId="77777777" w:rsidR="00A75D1C" w:rsidRDefault="00C3435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B611" w14:textId="77777777" w:rsidR="00A75D1C" w:rsidRDefault="00C34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63D4" w14:textId="77777777" w:rsidR="00CC0487" w:rsidRDefault="00CC04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1C51" w14:textId="77777777" w:rsidR="00CC0487" w:rsidRDefault="00CC04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FA62" w14:textId="77777777" w:rsidR="00CC0487" w:rsidRDefault="00CC0487" w:rsidP="008224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AA50" w14:textId="77777777" w:rsidR="00CC0487" w:rsidRDefault="00CC04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6B7E" w14:textId="77777777" w:rsidR="00CC0487" w:rsidRDefault="00CC048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4A05" w14:textId="77777777" w:rsidR="00CC0487" w:rsidRDefault="00CC0487" w:rsidP="008224B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CFE7" w14:textId="77777777" w:rsidR="00CC0487" w:rsidRDefault="00CC048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858C" w14:textId="77777777" w:rsidR="00CC0487" w:rsidRDefault="00CC0487" w:rsidP="0082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FEFF9" w14:textId="77777777" w:rsidR="00EB21B7" w:rsidRDefault="00EB21B7" w:rsidP="006655D3">
      <w:r>
        <w:separator/>
      </w:r>
    </w:p>
  </w:footnote>
  <w:footnote w:type="continuationSeparator" w:id="0">
    <w:p w14:paraId="01722147" w14:textId="77777777" w:rsidR="00EB21B7" w:rsidRDefault="00EB21B7" w:rsidP="006655D3">
      <w:r>
        <w:separator/>
      </w:r>
    </w:p>
  </w:footnote>
  <w:footnote w:type="continuationNotice" w:id="1">
    <w:p w14:paraId="6B58450D" w14:textId="77777777" w:rsidR="00EB21B7" w:rsidRPr="00AB530F" w:rsidRDefault="00EB21B7" w:rsidP="00AB530F">
      <w:pPr>
        <w:pStyle w:val="Footer"/>
      </w:pPr>
    </w:p>
  </w:footnote>
  <w:footnote w:id="2">
    <w:p w14:paraId="096D7048" w14:textId="77777777" w:rsidR="00CC0487" w:rsidRPr="00A67112" w:rsidRDefault="00CC0487" w:rsidP="00CC0487">
      <w:pPr>
        <w:pStyle w:val="FootnoteText"/>
        <w:rPr>
          <w:lang w:val="de-DE"/>
        </w:rPr>
      </w:pPr>
      <w:r w:rsidRPr="00A67112">
        <w:rPr>
          <w:rStyle w:val="FootnoteReference"/>
          <w:lang w:val="de-DE"/>
        </w:rPr>
        <w:footnoteRef/>
      </w:r>
      <w:r w:rsidRPr="00A67112">
        <w:rPr>
          <w:lang w:val="de-DE"/>
        </w:rPr>
        <w:tab/>
      </w:r>
      <w:r w:rsidRPr="003E7026">
        <w:rPr>
          <w:lang w:val="de-DE"/>
        </w:rPr>
        <w:t>Die Z</w:t>
      </w:r>
      <w:r w:rsidRPr="00A67112">
        <w:rPr>
          <w:lang w:val="de-DE"/>
        </w:rPr>
        <w:t xml:space="preserve">ahlen in den Tabellen 1 bis </w:t>
      </w:r>
      <w:r>
        <w:rPr>
          <w:lang w:val="de-DE"/>
        </w:rPr>
        <w:t>7</w:t>
      </w:r>
      <w:r w:rsidRPr="00A67112">
        <w:rPr>
          <w:lang w:val="de-DE"/>
        </w:rPr>
        <w:t xml:space="preserve"> gehen aufgrund von Rundungen möglicherweise nicht ganz auf.</w:t>
      </w:r>
    </w:p>
  </w:footnote>
  <w:footnote w:id="3">
    <w:p w14:paraId="46792EC1" w14:textId="77777777" w:rsidR="00CC0487" w:rsidRPr="00A67112" w:rsidRDefault="00CC0487" w:rsidP="00CC0487">
      <w:pPr>
        <w:pStyle w:val="FootnoteText"/>
        <w:rPr>
          <w:lang w:val="de-DE"/>
        </w:rPr>
      </w:pPr>
      <w:r w:rsidRPr="00A67112">
        <w:rPr>
          <w:rStyle w:val="FootnoteReference"/>
          <w:lang w:val="de-DE"/>
        </w:rPr>
        <w:footnoteRef/>
      </w:r>
      <w:r w:rsidRPr="00A67112">
        <w:rPr>
          <w:lang w:val="de-DE"/>
        </w:rPr>
        <w:tab/>
      </w:r>
      <w:r w:rsidRPr="00C72597">
        <w:rPr>
          <w:rFonts w:cs="Arial"/>
          <w:lang w:val="de-DE"/>
        </w:rPr>
        <w:t>UPOV/INF/8</w:t>
      </w:r>
      <w:r w:rsidRPr="00BC455F">
        <w:rPr>
          <w:rFonts w:cs="Arial"/>
          <w:lang w:val="de-DE"/>
        </w:rPr>
        <w:t xml:space="preserve"> „Vereinbarung</w:t>
      </w:r>
      <w:r w:rsidRPr="00A67112">
        <w:rPr>
          <w:rFonts w:cs="Arial"/>
          <w:lang w:val="de-DE"/>
        </w:rPr>
        <w:t xml:space="preserve"> zwischen der Weltorganisation für geistiges Eigentum und dem Internationalen Verband zum Schutz von Pflanzenzüchtungen</w:t>
      </w:r>
      <w:r>
        <w:rPr>
          <w:rFonts w:cs="Arial"/>
          <w:lang w:val="de-DE"/>
        </w:rPr>
        <w:t>“</w:t>
      </w:r>
      <w:r w:rsidRPr="00A67112">
        <w:rPr>
          <w:rFonts w:cs="Arial"/>
          <w:lang w:val="de-DE"/>
        </w:rPr>
        <w:t>, Artikel 6</w:t>
      </w:r>
      <w:r>
        <w:rPr>
          <w:rFonts w:cs="Arial"/>
          <w:lang w:val="de-DE"/>
        </w:rPr>
        <w:t>.(1</w:t>
      </w:r>
      <w:r w:rsidRPr="00A67112">
        <w:rPr>
          <w:rFonts w:cs="Arial"/>
          <w:lang w:val="de-DE"/>
        </w:rPr>
        <w:t xml:space="preserve">) </w:t>
      </w:r>
      <w:r w:rsidRPr="00A67112">
        <w:rPr>
          <w:lang w:val="de-DE"/>
        </w:rPr>
        <w:t xml:space="preserve">besagt: </w:t>
      </w:r>
      <w:r>
        <w:rPr>
          <w:lang w:val="de-DE"/>
        </w:rPr>
        <w:t>„(</w:t>
      </w:r>
      <w:r w:rsidRPr="00E913EC">
        <w:rPr>
          <w:lang w:val="de-DE"/>
        </w:rPr>
        <w:t xml:space="preserve">1) Für die Zwecke </w:t>
      </w:r>
      <w:r>
        <w:rPr>
          <w:lang w:val="de-DE"/>
        </w:rPr>
        <w:t>dieser Vereinbarung bezeichnet ‚</w:t>
      </w:r>
      <w:r w:rsidRPr="00E913EC">
        <w:rPr>
          <w:lang w:val="de-DE"/>
        </w:rPr>
        <w:t>Personal des Büros der UPOV</w:t>
      </w:r>
      <w:r>
        <w:rPr>
          <w:lang w:val="de-DE"/>
        </w:rPr>
        <w:t>‘</w:t>
      </w:r>
      <w:r w:rsidRPr="00E913EC">
        <w:rPr>
          <w:lang w:val="de-DE"/>
        </w:rPr>
        <w:t xml:space="preserve"> den Stellvertretenden Generalsekretär der UPOV sowie jede andere Person, die ausschließlich für die UPOV arbeitet, während </w:t>
      </w:r>
      <w:r>
        <w:rPr>
          <w:lang w:val="de-DE"/>
        </w:rPr>
        <w:t>‚</w:t>
      </w:r>
      <w:r w:rsidRPr="00E913EC">
        <w:rPr>
          <w:lang w:val="de-DE"/>
        </w:rPr>
        <w:t>Büro der UPOV</w:t>
      </w:r>
      <w:r>
        <w:rPr>
          <w:lang w:val="de-DE"/>
        </w:rPr>
        <w:t>‘</w:t>
      </w:r>
      <w:r w:rsidRPr="00E913EC">
        <w:rPr>
          <w:lang w:val="de-DE"/>
        </w:rPr>
        <w:t xml:space="preserve"> sowohl den Generalsekretär der UPOV als auch das Personal des Büros der UPOV umfasst</w:t>
      </w:r>
      <w:r>
        <w:rPr>
          <w:lang w:val="de-DE"/>
        </w:rPr>
        <w:t>.“</w:t>
      </w:r>
      <w:r w:rsidRPr="00E913EC">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997B" w14:textId="08E88D35" w:rsidR="00182B99" w:rsidRPr="00202E38" w:rsidRDefault="00F91270" w:rsidP="00EB048E">
    <w:pPr>
      <w:pStyle w:val="Header"/>
      <w:rPr>
        <w:rStyle w:val="PageNumber"/>
      </w:rPr>
    </w:pPr>
    <w:r>
      <w:rPr>
        <w:rStyle w:val="PageNumber"/>
      </w:rPr>
      <w:t>C/57/4 Rev.</w:t>
    </w:r>
  </w:p>
  <w:p w14:paraId="4B05DC53" w14:textId="77777777"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EC4208">
      <w:rPr>
        <w:rStyle w:val="PageNumber"/>
        <w:noProof/>
      </w:rPr>
      <w:t>2</w:t>
    </w:r>
    <w:r w:rsidR="00182B99" w:rsidRPr="00202E38">
      <w:rPr>
        <w:rStyle w:val="PageNumber"/>
      </w:rPr>
      <w:fldChar w:fldCharType="end"/>
    </w:r>
  </w:p>
  <w:p w14:paraId="3AE2316C" w14:textId="77777777" w:rsidR="00182B99" w:rsidRPr="00202E38" w:rsidRDefault="00182B99"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4230" w14:textId="77777777" w:rsidR="00CC0487" w:rsidRPr="0060641E" w:rsidRDefault="00CC0487">
    <w:pPr>
      <w:pStyle w:val="Header"/>
      <w:rPr>
        <w:rStyle w:val="PageNumber"/>
        <w:lang w:val="de-DE"/>
      </w:rPr>
    </w:pPr>
    <w:r w:rsidRPr="0060641E">
      <w:rPr>
        <w:lang w:val="de-DE"/>
      </w:rPr>
      <w:t xml:space="preserve">vorläufiger Entwurf des Programms und Haushaltsplans für die Rechnungsperiode </w:t>
    </w:r>
    <w:r w:rsidRPr="0060641E">
      <w:rPr>
        <w:lang w:val="de-DE"/>
      </w:rPr>
      <w:noBreakHyphen/>
      <w:t>2024-2025</w:t>
    </w:r>
  </w:p>
  <w:p w14:paraId="2E770308" w14:textId="77777777" w:rsidR="00CC0487" w:rsidRDefault="00CC0487">
    <w:pPr>
      <w:pStyle w:val="Header"/>
    </w:pPr>
    <w:r w:rsidRPr="00FE0119">
      <w:t xml:space="preserve">Anhang </w:t>
    </w:r>
    <w:r>
      <w:t>II</w:t>
    </w:r>
    <w:r w:rsidRPr="00FE0119">
      <w:t xml:space="preserve">, Seite </w:t>
    </w:r>
    <w:sdt>
      <w:sdtPr>
        <w:id w:val="1341588206"/>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rPr>
            <w:noProof/>
          </w:rPr>
          <w:t>39</w:t>
        </w:r>
        <w:r w:rsidRPr="00FE0119">
          <w:rPr>
            <w:noProof/>
          </w:rPr>
          <w:fldChar w:fldCharType="end"/>
        </w:r>
      </w:sdtContent>
    </w:sdt>
  </w:p>
  <w:p w14:paraId="26BC0A59" w14:textId="77777777" w:rsidR="00CC0487" w:rsidRPr="00FE0119" w:rsidRDefault="00CC0487" w:rsidP="008224B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418A" w14:textId="77777777" w:rsidR="00CC0487" w:rsidRPr="0060641E" w:rsidRDefault="00CC0487">
    <w:pPr>
      <w:pStyle w:val="Header"/>
      <w:rPr>
        <w:rStyle w:val="PageNumber"/>
        <w:lang w:val="de-DE"/>
      </w:rPr>
    </w:pPr>
    <w:r w:rsidRPr="0060641E">
      <w:rPr>
        <w:lang w:val="de-DE"/>
      </w:rPr>
      <w:t xml:space="preserve">vorläufiger Entwurf des Programms und Haushaltsplans für die Rechnungsperiode </w:t>
    </w:r>
    <w:r w:rsidRPr="0060641E">
      <w:rPr>
        <w:lang w:val="de-DE"/>
      </w:rPr>
      <w:noBreakHyphen/>
      <w:t>2024-2025</w:t>
    </w:r>
  </w:p>
  <w:p w14:paraId="27251025" w14:textId="77777777" w:rsidR="00CC0487" w:rsidRPr="0060641E" w:rsidRDefault="00CC0487" w:rsidP="001A7881">
    <w:pPr>
      <w:pStyle w:val="Header"/>
      <w:rPr>
        <w:lang w:val="de-D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CC67" w14:textId="77777777" w:rsidR="00CC0487" w:rsidRPr="0060641E" w:rsidRDefault="00CC0487">
    <w:pPr>
      <w:pStyle w:val="Header"/>
      <w:jc w:val="right"/>
      <w:rPr>
        <w:b/>
        <w:color w:val="26724C" w:themeColor="accent1" w:themeShade="BF"/>
        <w:lang w:val="de-DE"/>
      </w:rPr>
    </w:pPr>
    <w:r w:rsidRPr="0060641E">
      <w:rPr>
        <w:b/>
        <w:color w:val="26724C" w:themeColor="accent1" w:themeShade="BF"/>
        <w:lang w:val="de-DE"/>
      </w:rPr>
      <w:t>UPOV</w:t>
    </w:r>
  </w:p>
  <w:p w14:paraId="1D176389" w14:textId="77777777" w:rsidR="00CC0487" w:rsidRPr="0060641E" w:rsidRDefault="00CC0487">
    <w:pPr>
      <w:pStyle w:val="Header"/>
      <w:jc w:val="right"/>
      <w:rPr>
        <w:color w:val="26724C" w:themeColor="accent1" w:themeShade="BF"/>
        <w:lang w:val="de-DE"/>
      </w:rPr>
    </w:pPr>
    <w:r w:rsidRPr="0060641E">
      <w:rPr>
        <w:color w:val="26724C" w:themeColor="accent1" w:themeShade="BF"/>
        <w:lang w:val="de-DE"/>
      </w:rPr>
      <w:t xml:space="preserve">vorläufiger Entwurf des Programms und Haushaltsplans </w:t>
    </w:r>
    <w:r w:rsidRPr="0060641E">
      <w:rPr>
        <w:color w:val="26724C" w:themeColor="accent1" w:themeShade="BF"/>
        <w:lang w:val="de-DE"/>
      </w:rPr>
      <w:noBreakHyphen/>
      <w:t>2024-2025</w:t>
    </w:r>
  </w:p>
  <w:p w14:paraId="255249A0" w14:textId="77777777" w:rsidR="00CC0487" w:rsidRDefault="00CC0487">
    <w:pPr>
      <w:pStyle w:val="Header"/>
      <w:pBdr>
        <w:bottom w:val="single" w:sz="4" w:space="1" w:color="auto"/>
      </w:pBdr>
      <w:jc w:val="right"/>
      <w:rPr>
        <w:color w:val="26724C" w:themeColor="accent1" w:themeShade="BF"/>
        <w:lang w:val="fr-CH"/>
      </w:rPr>
    </w:pPr>
    <w:proofErr w:type="spellStart"/>
    <w:r w:rsidRPr="008B40C0">
      <w:rPr>
        <w:color w:val="26724C" w:themeColor="accent1" w:themeShade="BF"/>
        <w:lang w:val="fr-CH"/>
      </w:rPr>
      <w:t>Anhang</w:t>
    </w:r>
    <w:proofErr w:type="spellEnd"/>
    <w:r w:rsidRPr="008B40C0">
      <w:rPr>
        <w:color w:val="26724C" w:themeColor="accent1" w:themeShade="BF"/>
        <w:lang w:val="fr-CH"/>
      </w:rPr>
      <w:t xml:space="preserve"> II</w:t>
    </w:r>
    <w:r>
      <w:rPr>
        <w:color w:val="26724C" w:themeColor="accent1" w:themeShade="BF"/>
        <w:lang w:val="fr-CH"/>
      </w:rPr>
      <w:t xml:space="preserve">, </w:t>
    </w:r>
    <w:r w:rsidRPr="008B40C0">
      <w:rPr>
        <w:color w:val="26724C" w:themeColor="accent1" w:themeShade="BF"/>
        <w:lang w:val="fr-CH"/>
      </w:rPr>
      <w:t xml:space="preserve">Seite </w:t>
    </w:r>
    <w:r w:rsidRPr="008B40C0">
      <w:rPr>
        <w:color w:val="26724C" w:themeColor="accent1" w:themeShade="BF"/>
      </w:rPr>
      <w:fldChar w:fldCharType="begin"/>
    </w:r>
    <w:r w:rsidRPr="008B40C0">
      <w:rPr>
        <w:color w:val="26724C" w:themeColor="accent1" w:themeShade="BF"/>
        <w:lang w:val="fr-CH"/>
      </w:rPr>
      <w:instrText xml:space="preserve"> PAGE   \* MERGEFORMAT </w:instrText>
    </w:r>
    <w:r w:rsidRPr="008B40C0">
      <w:rPr>
        <w:color w:val="26724C" w:themeColor="accent1" w:themeShade="BF"/>
      </w:rPr>
      <w:fldChar w:fldCharType="separate"/>
    </w:r>
    <w:r>
      <w:rPr>
        <w:noProof/>
        <w:color w:val="26724C" w:themeColor="accent1" w:themeShade="BF"/>
        <w:lang w:val="fr-CH"/>
      </w:rPr>
      <w:t>38</w:t>
    </w:r>
    <w:r w:rsidRPr="008B40C0">
      <w:rPr>
        <w:color w:val="26724C" w:themeColor="accent1" w:themeShade="BF"/>
      </w:rPr>
      <w:fldChar w:fldCharType="end"/>
    </w:r>
  </w:p>
  <w:p w14:paraId="60DF4435" w14:textId="77777777" w:rsidR="00CC0487" w:rsidRPr="00D4705E" w:rsidRDefault="00CC0487" w:rsidP="00495E48">
    <w:pPr>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2E18" w14:textId="77777777" w:rsidR="00CC0487" w:rsidRPr="008E4A19" w:rsidRDefault="00CC0487">
    <w:pPr>
      <w:pStyle w:val="Header"/>
      <w:jc w:val="right"/>
      <w:rPr>
        <w:b/>
        <w:color w:val="26724C" w:themeColor="accent1" w:themeShade="BF"/>
        <w:lang w:val="de-DE"/>
      </w:rPr>
    </w:pPr>
    <w:r w:rsidRPr="008E4A19">
      <w:rPr>
        <w:b/>
        <w:color w:val="26724C" w:themeColor="accent1" w:themeShade="BF"/>
        <w:lang w:val="de-DE"/>
      </w:rPr>
      <w:t>UPOV</w:t>
    </w:r>
  </w:p>
  <w:p w14:paraId="0E0D2843" w14:textId="099520F3" w:rsidR="00CC0487" w:rsidRPr="008E4A19" w:rsidRDefault="00EF07CE">
    <w:pPr>
      <w:pStyle w:val="Header"/>
      <w:jc w:val="right"/>
      <w:rPr>
        <w:color w:val="26724C" w:themeColor="accent1" w:themeShade="BF"/>
        <w:lang w:val="de-DE"/>
      </w:rPr>
    </w:pPr>
    <w:r>
      <w:rPr>
        <w:color w:val="26724C" w:themeColor="accent1" w:themeShade="BF"/>
        <w:lang w:val="de-DE"/>
      </w:rPr>
      <w:t xml:space="preserve">Programm und Haushaltsplan </w:t>
    </w:r>
    <w:r w:rsidR="00CC0487" w:rsidRPr="008E4A19">
      <w:rPr>
        <w:color w:val="26724C" w:themeColor="accent1" w:themeShade="BF"/>
        <w:lang w:val="de-DE"/>
      </w:rPr>
      <w:t>2024-2025</w:t>
    </w:r>
  </w:p>
  <w:p w14:paraId="29CE4824" w14:textId="77777777" w:rsidR="00CC0487" w:rsidRPr="008E4A19" w:rsidRDefault="00CC0487">
    <w:pPr>
      <w:pStyle w:val="Header"/>
      <w:pBdr>
        <w:bottom w:val="single" w:sz="4" w:space="1" w:color="auto"/>
      </w:pBdr>
      <w:jc w:val="right"/>
      <w:rPr>
        <w:color w:val="26724C" w:themeColor="accent1" w:themeShade="BF"/>
        <w:lang w:val="de-DE"/>
      </w:rPr>
    </w:pPr>
    <w:r w:rsidRPr="008E4A19">
      <w:rPr>
        <w:color w:val="26724C" w:themeColor="accent1" w:themeShade="BF"/>
        <w:lang w:val="de-DE"/>
      </w:rPr>
      <w:t xml:space="preserve">Anhang II, Seite </w:t>
    </w:r>
    <w:sdt>
      <w:sdtPr>
        <w:rPr>
          <w:color w:val="26724C" w:themeColor="accent1" w:themeShade="BF"/>
          <w:lang w:val="de-DE"/>
        </w:rPr>
        <w:id w:val="-1212725565"/>
        <w:docPartObj>
          <w:docPartGallery w:val="Page Numbers (Top of Page)"/>
          <w:docPartUnique/>
        </w:docPartObj>
      </w:sdtPr>
      <w:sdtEndPr/>
      <w:sdtContent>
        <w:r w:rsidRPr="008E4A19">
          <w:rPr>
            <w:color w:val="26724C" w:themeColor="accent1" w:themeShade="BF"/>
            <w:lang w:val="de-DE"/>
          </w:rPr>
          <w:fldChar w:fldCharType="begin"/>
        </w:r>
        <w:r w:rsidRPr="008E4A19">
          <w:rPr>
            <w:color w:val="26724C" w:themeColor="accent1" w:themeShade="BF"/>
            <w:lang w:val="de-DE"/>
          </w:rPr>
          <w:instrText xml:space="preserve"> PAGE   \* MERGEFORMAT </w:instrText>
        </w:r>
        <w:r w:rsidRPr="008E4A19">
          <w:rPr>
            <w:color w:val="26724C" w:themeColor="accent1" w:themeShade="BF"/>
            <w:lang w:val="de-DE"/>
          </w:rPr>
          <w:fldChar w:fldCharType="separate"/>
        </w:r>
        <w:r w:rsidR="0004787D" w:rsidRPr="0004787D">
          <w:rPr>
            <w:noProof/>
            <w:color w:val="26724C" w:themeColor="accent1" w:themeShade="BF"/>
          </w:rPr>
          <w:t>21</w:t>
        </w:r>
        <w:r w:rsidRPr="008E4A19">
          <w:rPr>
            <w:color w:val="26724C" w:themeColor="accent1" w:themeShade="BF"/>
            <w:lang w:val="de-DE"/>
          </w:rPr>
          <w:fldChar w:fldCharType="end"/>
        </w:r>
      </w:sdtContent>
    </w:sdt>
  </w:p>
  <w:p w14:paraId="69B25096" w14:textId="77777777" w:rsidR="00CC0487" w:rsidRPr="008E4A19" w:rsidRDefault="00CC0487" w:rsidP="00277D28">
    <w:pPr>
      <w:pStyle w:val="Header"/>
      <w:jc w:val="right"/>
      <w:rPr>
        <w:color w:val="26724C" w:themeColor="accent1" w:themeShade="BF"/>
        <w:lang w:val="de-DE"/>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A75E" w14:textId="77777777" w:rsidR="00CC0487" w:rsidRPr="0060641E" w:rsidRDefault="00CC0487">
    <w:pPr>
      <w:pStyle w:val="Header"/>
      <w:jc w:val="right"/>
      <w:rPr>
        <w:b/>
        <w:color w:val="26724C" w:themeColor="accent1" w:themeShade="BF"/>
        <w:lang w:val="de-DE"/>
      </w:rPr>
    </w:pPr>
    <w:r w:rsidRPr="0060641E">
      <w:rPr>
        <w:b/>
        <w:color w:val="26724C" w:themeColor="accent1" w:themeShade="BF"/>
        <w:lang w:val="de-DE"/>
      </w:rPr>
      <w:t>UPOV</w:t>
    </w:r>
  </w:p>
  <w:p w14:paraId="5236AFF8" w14:textId="77777777" w:rsidR="00CC0487" w:rsidRPr="0060641E" w:rsidRDefault="00CC0487">
    <w:pPr>
      <w:pStyle w:val="Header"/>
      <w:jc w:val="right"/>
      <w:rPr>
        <w:color w:val="26724C" w:themeColor="accent1" w:themeShade="BF"/>
        <w:lang w:val="de-DE"/>
      </w:rPr>
    </w:pPr>
    <w:r w:rsidRPr="0060641E">
      <w:rPr>
        <w:color w:val="26724C" w:themeColor="accent1" w:themeShade="BF"/>
        <w:lang w:val="de-DE"/>
      </w:rPr>
      <w:t xml:space="preserve">vorläufiger Entwurf des Programms und Haushaltsplans </w:t>
    </w:r>
    <w:r w:rsidRPr="0060641E">
      <w:rPr>
        <w:color w:val="26724C" w:themeColor="accent1" w:themeShade="BF"/>
        <w:lang w:val="de-DE"/>
      </w:rPr>
      <w:noBreakHyphen/>
      <w:t>2024-2025</w:t>
    </w:r>
  </w:p>
  <w:p w14:paraId="170994FD" w14:textId="77777777" w:rsidR="00CC0487" w:rsidRDefault="00CC0487">
    <w:pPr>
      <w:pStyle w:val="Header"/>
      <w:pBdr>
        <w:bottom w:val="single" w:sz="4" w:space="1" w:color="auto"/>
      </w:pBdr>
      <w:jc w:val="right"/>
      <w:rPr>
        <w:color w:val="26724C" w:themeColor="accent1" w:themeShade="BF"/>
      </w:rPr>
    </w:pPr>
    <w:r w:rsidRPr="00696FB8">
      <w:rPr>
        <w:color w:val="26724C" w:themeColor="accent1" w:themeShade="BF"/>
      </w:rPr>
      <w:t xml:space="preserve">Anhang </w:t>
    </w:r>
    <w:r>
      <w:rPr>
        <w:color w:val="26724C" w:themeColor="accent1" w:themeShade="BF"/>
      </w:rPr>
      <w:t xml:space="preserve">II, </w:t>
    </w:r>
    <w:r w:rsidRPr="008B40C0">
      <w:rPr>
        <w:color w:val="26724C" w:themeColor="accent1" w:themeShade="BF"/>
      </w:rPr>
      <w:t xml:space="preserve">Seite </w:t>
    </w:r>
    <w:sdt>
      <w:sdtPr>
        <w:rPr>
          <w:color w:val="26724C" w:themeColor="accent1" w:themeShade="BF"/>
        </w:rPr>
        <w:id w:val="-990558987"/>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37</w:t>
        </w:r>
        <w:r w:rsidRPr="008B40C0">
          <w:rPr>
            <w:noProof/>
            <w:color w:val="26724C" w:themeColor="accent1" w:themeShade="BF"/>
          </w:rPr>
          <w:fldChar w:fldCharType="end"/>
        </w:r>
      </w:sdtContent>
    </w:sdt>
  </w:p>
  <w:p w14:paraId="65A563DB" w14:textId="77777777" w:rsidR="00CC0487" w:rsidRPr="001522BD" w:rsidRDefault="00CC0487" w:rsidP="008B40C0">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68B3" w14:textId="77777777" w:rsidR="00A75D1C" w:rsidRPr="0060641E" w:rsidRDefault="005A641D">
    <w:pPr>
      <w:pStyle w:val="Header"/>
      <w:jc w:val="right"/>
      <w:rPr>
        <w:b/>
        <w:color w:val="26724C" w:themeColor="accent1" w:themeShade="BF"/>
        <w:lang w:val="de-DE"/>
      </w:rPr>
    </w:pPr>
    <w:r w:rsidRPr="0060641E">
      <w:rPr>
        <w:b/>
        <w:color w:val="26724C" w:themeColor="accent1" w:themeShade="BF"/>
        <w:lang w:val="de-DE"/>
      </w:rPr>
      <w:t>UPOV</w:t>
    </w:r>
  </w:p>
  <w:p w14:paraId="14747193" w14:textId="77777777" w:rsidR="00A75D1C" w:rsidRPr="0060641E" w:rsidRDefault="005A641D">
    <w:pPr>
      <w:pStyle w:val="Header"/>
      <w:jc w:val="right"/>
      <w:rPr>
        <w:color w:val="26724C" w:themeColor="accent1" w:themeShade="BF"/>
        <w:lang w:val="de-DE"/>
      </w:rPr>
    </w:pPr>
    <w:r w:rsidRPr="0060641E">
      <w:rPr>
        <w:color w:val="26724C" w:themeColor="accent1" w:themeShade="BF"/>
        <w:lang w:val="de-DE"/>
      </w:rPr>
      <w:t xml:space="preserve">vorläufiger Entwurf des Programms und Haushaltsplans </w:t>
    </w:r>
    <w:r w:rsidRPr="0060641E">
      <w:rPr>
        <w:color w:val="26724C" w:themeColor="accent1" w:themeShade="BF"/>
        <w:lang w:val="de-DE"/>
      </w:rPr>
      <w:noBreakHyphen/>
      <w:t>2024-2025</w:t>
    </w:r>
  </w:p>
  <w:p w14:paraId="5235C003" w14:textId="77777777" w:rsidR="00A75D1C" w:rsidRDefault="005A641D">
    <w:pPr>
      <w:pStyle w:val="Header"/>
      <w:pBdr>
        <w:bottom w:val="single" w:sz="4" w:space="1" w:color="auto"/>
      </w:pBdr>
      <w:jc w:val="right"/>
      <w:rPr>
        <w:color w:val="26724C" w:themeColor="accent1" w:themeShade="BF"/>
        <w:lang w:val="fr-CH"/>
      </w:rPr>
    </w:pPr>
    <w:proofErr w:type="spellStart"/>
    <w:r w:rsidRPr="00E43F04">
      <w:rPr>
        <w:color w:val="26724C" w:themeColor="accent1" w:themeShade="BF"/>
      </w:rPr>
      <w:t>Anhang</w:t>
    </w:r>
    <w:proofErr w:type="spellEnd"/>
    <w:r w:rsidRPr="00E43F04">
      <w:rPr>
        <w:color w:val="26724C" w:themeColor="accent1" w:themeShade="BF"/>
      </w:rPr>
      <w:t xml:space="preserve"> </w:t>
    </w:r>
    <w:r>
      <w:rPr>
        <w:color w:val="26724C" w:themeColor="accent1" w:themeShade="BF"/>
      </w:rPr>
      <w:t>III</w:t>
    </w:r>
    <w:r w:rsidRPr="00E43F04">
      <w:rPr>
        <w:color w:val="26724C" w:themeColor="accent1" w:themeShade="BF"/>
      </w:rPr>
      <w:t xml:space="preserve">, </w:t>
    </w:r>
    <w:r w:rsidRPr="008B40C0">
      <w:rPr>
        <w:color w:val="26724C" w:themeColor="accent1" w:themeShade="BF"/>
        <w:lang w:val="fr-CH"/>
      </w:rPr>
      <w:t xml:space="preserve">Seite </w:t>
    </w:r>
    <w:r w:rsidRPr="008B40C0">
      <w:rPr>
        <w:color w:val="26724C" w:themeColor="accent1" w:themeShade="BF"/>
      </w:rPr>
      <w:fldChar w:fldCharType="begin"/>
    </w:r>
    <w:r w:rsidRPr="008B40C0">
      <w:rPr>
        <w:color w:val="26724C" w:themeColor="accent1" w:themeShade="BF"/>
        <w:lang w:val="fr-CH"/>
      </w:rPr>
      <w:instrText xml:space="preserve"> PAGE   \* MERGEFORMAT </w:instrText>
    </w:r>
    <w:r w:rsidRPr="008B40C0">
      <w:rPr>
        <w:color w:val="26724C" w:themeColor="accent1" w:themeShade="BF"/>
      </w:rPr>
      <w:fldChar w:fldCharType="separate"/>
    </w:r>
    <w:r>
      <w:rPr>
        <w:noProof/>
        <w:color w:val="26724C" w:themeColor="accent1" w:themeShade="BF"/>
        <w:lang w:val="fr-CH"/>
      </w:rPr>
      <w:t>40</w:t>
    </w:r>
    <w:r w:rsidRPr="008B40C0">
      <w:rPr>
        <w:color w:val="26724C" w:themeColor="accent1" w:themeShade="BF"/>
      </w:rPr>
      <w:fldChar w:fldCharType="end"/>
    </w:r>
  </w:p>
  <w:p w14:paraId="731401FD" w14:textId="77777777" w:rsidR="00A75D1C" w:rsidRPr="00D4705E" w:rsidRDefault="00C34358" w:rsidP="008224BD">
    <w:pPr>
      <w:rPr>
        <w:lang w:val="fr-CH"/>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05B4" w14:textId="77777777" w:rsidR="00A75D1C" w:rsidRPr="00EB2135" w:rsidRDefault="005A641D">
    <w:pPr>
      <w:pStyle w:val="Header"/>
      <w:jc w:val="right"/>
      <w:rPr>
        <w:b/>
        <w:color w:val="26724C" w:themeColor="accent1" w:themeShade="BF"/>
        <w:lang w:val="de-DE"/>
      </w:rPr>
    </w:pPr>
    <w:r w:rsidRPr="00EB2135">
      <w:rPr>
        <w:b/>
        <w:color w:val="26724C" w:themeColor="accent1" w:themeShade="BF"/>
        <w:lang w:val="de-DE"/>
      </w:rPr>
      <w:t>UPOV</w:t>
    </w:r>
  </w:p>
  <w:p w14:paraId="2E4FAEA5" w14:textId="443C2FD7" w:rsidR="00A75D1C" w:rsidRPr="00EB2135" w:rsidRDefault="00EF07CE">
    <w:pPr>
      <w:pStyle w:val="Header"/>
      <w:jc w:val="right"/>
      <w:rPr>
        <w:color w:val="26724C" w:themeColor="accent1" w:themeShade="BF"/>
        <w:lang w:val="de-DE"/>
      </w:rPr>
    </w:pPr>
    <w:r>
      <w:rPr>
        <w:color w:val="26724C" w:themeColor="accent1" w:themeShade="BF"/>
        <w:lang w:val="de-DE"/>
      </w:rPr>
      <w:t xml:space="preserve">Programm und Haushaltsplan </w:t>
    </w:r>
    <w:r w:rsidR="005A641D" w:rsidRPr="00EB2135">
      <w:rPr>
        <w:color w:val="26724C" w:themeColor="accent1" w:themeShade="BF"/>
        <w:lang w:val="de-DE"/>
      </w:rPr>
      <w:t>2024-2025</w:t>
    </w:r>
  </w:p>
  <w:p w14:paraId="41EBCB21" w14:textId="77777777" w:rsidR="00A75D1C" w:rsidRPr="00EB2135" w:rsidRDefault="005A641D">
    <w:pPr>
      <w:pStyle w:val="Header"/>
      <w:pBdr>
        <w:bottom w:val="single" w:sz="4" w:space="1" w:color="auto"/>
      </w:pBdr>
      <w:jc w:val="right"/>
      <w:rPr>
        <w:color w:val="26724C" w:themeColor="accent1" w:themeShade="BF"/>
        <w:lang w:val="de-DE"/>
      </w:rPr>
    </w:pPr>
    <w:r w:rsidRPr="00EB2135">
      <w:rPr>
        <w:color w:val="26724C" w:themeColor="accent1" w:themeShade="BF"/>
        <w:lang w:val="de-DE"/>
      </w:rPr>
      <w:t xml:space="preserve">Anhang III, Seite </w:t>
    </w:r>
    <w:sdt>
      <w:sdtPr>
        <w:rPr>
          <w:color w:val="26724C" w:themeColor="accent1" w:themeShade="BF"/>
          <w:lang w:val="de-DE"/>
        </w:rPr>
        <w:id w:val="-781261850"/>
        <w:docPartObj>
          <w:docPartGallery w:val="Page Numbers (Top of Page)"/>
          <w:docPartUnique/>
        </w:docPartObj>
      </w:sdtPr>
      <w:sdtEndPr/>
      <w:sdtContent>
        <w:r w:rsidRPr="00EB2135">
          <w:rPr>
            <w:color w:val="26724C" w:themeColor="accent1" w:themeShade="BF"/>
            <w:lang w:val="de-DE"/>
          </w:rPr>
          <w:fldChar w:fldCharType="begin"/>
        </w:r>
        <w:r w:rsidRPr="00EB2135">
          <w:rPr>
            <w:color w:val="26724C" w:themeColor="accent1" w:themeShade="BF"/>
            <w:lang w:val="de-DE"/>
          </w:rPr>
          <w:instrText xml:space="preserve"> PAGE   \* MERGEFORMAT </w:instrText>
        </w:r>
        <w:r w:rsidRPr="00EB2135">
          <w:rPr>
            <w:color w:val="26724C" w:themeColor="accent1" w:themeShade="BF"/>
            <w:lang w:val="de-DE"/>
          </w:rPr>
          <w:fldChar w:fldCharType="separate"/>
        </w:r>
        <w:r w:rsidR="0004787D" w:rsidRPr="0004787D">
          <w:rPr>
            <w:noProof/>
            <w:color w:val="26724C" w:themeColor="accent1" w:themeShade="BF"/>
          </w:rPr>
          <w:t>22</w:t>
        </w:r>
        <w:r w:rsidRPr="00EB2135">
          <w:rPr>
            <w:color w:val="26724C" w:themeColor="accent1" w:themeShade="BF"/>
            <w:lang w:val="de-DE"/>
          </w:rPr>
          <w:fldChar w:fldCharType="end"/>
        </w:r>
      </w:sdtContent>
    </w:sdt>
  </w:p>
  <w:p w14:paraId="0DDC8D01" w14:textId="77777777" w:rsidR="00A75D1C" w:rsidRPr="00EB2135" w:rsidRDefault="00C34358" w:rsidP="00277D28">
    <w:pPr>
      <w:pStyle w:val="Header"/>
      <w:jc w:val="right"/>
      <w:rPr>
        <w:lang w:val="de-DE"/>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9B6E" w14:textId="77777777" w:rsidR="00A75D1C" w:rsidRPr="0060641E" w:rsidRDefault="005A641D">
    <w:pPr>
      <w:pStyle w:val="Header"/>
      <w:jc w:val="right"/>
      <w:rPr>
        <w:b/>
        <w:color w:val="26724C" w:themeColor="accent1" w:themeShade="BF"/>
        <w:lang w:val="de-DE"/>
      </w:rPr>
    </w:pPr>
    <w:r w:rsidRPr="0060641E">
      <w:rPr>
        <w:b/>
        <w:color w:val="26724C" w:themeColor="accent1" w:themeShade="BF"/>
        <w:lang w:val="de-DE"/>
      </w:rPr>
      <w:t>UPOV</w:t>
    </w:r>
  </w:p>
  <w:p w14:paraId="6AA59390" w14:textId="77777777" w:rsidR="00A75D1C" w:rsidRPr="0060641E" w:rsidRDefault="005A641D">
    <w:pPr>
      <w:pStyle w:val="Header"/>
      <w:jc w:val="right"/>
      <w:rPr>
        <w:color w:val="26724C" w:themeColor="accent1" w:themeShade="BF"/>
        <w:lang w:val="de-DE"/>
      </w:rPr>
    </w:pPr>
    <w:r w:rsidRPr="0060641E">
      <w:rPr>
        <w:color w:val="26724C" w:themeColor="accent1" w:themeShade="BF"/>
        <w:lang w:val="de-DE"/>
      </w:rPr>
      <w:t xml:space="preserve">vorläufiger Entwurf des Programms und Haushaltsplans </w:t>
    </w:r>
    <w:r w:rsidRPr="0060641E">
      <w:rPr>
        <w:color w:val="26724C" w:themeColor="accent1" w:themeShade="BF"/>
        <w:lang w:val="de-DE"/>
      </w:rPr>
      <w:noBreakHyphen/>
      <w:t>2024-2025</w:t>
    </w:r>
  </w:p>
  <w:p w14:paraId="6D1AFBE3" w14:textId="77777777" w:rsidR="00A75D1C" w:rsidRDefault="005A641D">
    <w:pPr>
      <w:pStyle w:val="Header"/>
      <w:pBdr>
        <w:bottom w:val="single" w:sz="4" w:space="1" w:color="auto"/>
      </w:pBdr>
      <w:jc w:val="right"/>
      <w:rPr>
        <w:color w:val="26724C" w:themeColor="accent1" w:themeShade="BF"/>
      </w:rPr>
    </w:pPr>
    <w:r w:rsidRPr="00696FB8">
      <w:rPr>
        <w:color w:val="26724C" w:themeColor="accent1" w:themeShade="BF"/>
      </w:rPr>
      <w:t xml:space="preserve">Anhang </w:t>
    </w:r>
    <w:r>
      <w:rPr>
        <w:color w:val="26724C" w:themeColor="accent1" w:themeShade="BF"/>
      </w:rPr>
      <w:t xml:space="preserve">III, </w:t>
    </w:r>
    <w:r w:rsidRPr="008B40C0">
      <w:rPr>
        <w:color w:val="26724C" w:themeColor="accent1" w:themeShade="BF"/>
      </w:rPr>
      <w:t xml:space="preserve">Seite </w:t>
    </w:r>
    <w:sdt>
      <w:sdtPr>
        <w:rPr>
          <w:color w:val="26724C" w:themeColor="accent1" w:themeShade="BF"/>
        </w:rPr>
        <w:id w:val="-1759521486"/>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39</w:t>
        </w:r>
        <w:r w:rsidRPr="008B40C0">
          <w:rPr>
            <w:noProof/>
            <w:color w:val="26724C" w:themeColor="accent1" w:themeShade="BF"/>
          </w:rPr>
          <w:fldChar w:fldCharType="end"/>
        </w:r>
      </w:sdtContent>
    </w:sdt>
  </w:p>
  <w:p w14:paraId="3F3E27FB" w14:textId="77777777" w:rsidR="00A75D1C" w:rsidRPr="001522BD" w:rsidRDefault="00C34358" w:rsidP="0005150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3BFA" w14:textId="77777777" w:rsidR="00CC0487" w:rsidRPr="0060641E" w:rsidRDefault="00CC0487">
    <w:pPr>
      <w:pStyle w:val="Header"/>
      <w:jc w:val="right"/>
      <w:rPr>
        <w:b/>
        <w:color w:val="26724C" w:themeColor="accent1" w:themeShade="BF"/>
        <w:lang w:val="de-DE"/>
      </w:rPr>
    </w:pPr>
    <w:r w:rsidRPr="0060641E">
      <w:rPr>
        <w:b/>
        <w:color w:val="26724C" w:themeColor="accent1" w:themeShade="BF"/>
        <w:lang w:val="de-DE"/>
      </w:rPr>
      <w:t>UPOV</w:t>
    </w:r>
  </w:p>
  <w:p w14:paraId="55F19D31" w14:textId="453F8C87" w:rsidR="00CC0487" w:rsidRPr="0060641E" w:rsidRDefault="00C34358">
    <w:pPr>
      <w:pStyle w:val="Header"/>
      <w:jc w:val="right"/>
      <w:rPr>
        <w:color w:val="26724C" w:themeColor="accent1" w:themeShade="BF"/>
        <w:lang w:val="de-DE"/>
      </w:rPr>
    </w:pPr>
    <w:r>
      <w:rPr>
        <w:color w:val="26724C" w:themeColor="accent1" w:themeShade="BF"/>
        <w:lang w:val="de-DE"/>
      </w:rPr>
      <w:t>P</w:t>
    </w:r>
    <w:r w:rsidR="00CC0487" w:rsidRPr="0060641E">
      <w:rPr>
        <w:color w:val="26724C" w:themeColor="accent1" w:themeShade="BF"/>
        <w:lang w:val="de-DE"/>
      </w:rPr>
      <w:t xml:space="preserve">rogramm und Haushaltsplan 2024-2025 </w:t>
    </w:r>
  </w:p>
  <w:p w14:paraId="3128438F" w14:textId="77777777" w:rsidR="00CC0487" w:rsidRDefault="00CC0487">
    <w:pPr>
      <w:pStyle w:val="Header"/>
      <w:pBdr>
        <w:bottom w:val="single" w:sz="4" w:space="1" w:color="auto"/>
      </w:pBdr>
      <w:jc w:val="right"/>
      <w:rPr>
        <w:color w:val="26724C" w:themeColor="accent1" w:themeShade="BF"/>
      </w:rPr>
    </w:pPr>
    <w:r w:rsidRPr="008B40C0">
      <w:rPr>
        <w:color w:val="26724C" w:themeColor="accent1" w:themeShade="BF"/>
      </w:rPr>
      <w:t xml:space="preserve">Seite </w:t>
    </w:r>
    <w:sdt>
      <w:sdtPr>
        <w:rPr>
          <w:color w:val="26724C" w:themeColor="accent1" w:themeShade="BF"/>
        </w:rPr>
        <w:id w:val="-621460889"/>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18</w:t>
        </w:r>
        <w:r w:rsidRPr="008B40C0">
          <w:rPr>
            <w:noProof/>
            <w:color w:val="26724C" w:themeColor="accent1" w:themeShade="BF"/>
          </w:rPr>
          <w:fldChar w:fldCharType="end"/>
        </w:r>
      </w:sdtContent>
    </w:sdt>
  </w:p>
  <w:p w14:paraId="70B487DC" w14:textId="77777777" w:rsidR="00CC0487" w:rsidRPr="00FE0119" w:rsidRDefault="00CC0487" w:rsidP="00822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C8EF" w14:textId="77777777" w:rsidR="00CC0487" w:rsidRPr="000B17CC" w:rsidRDefault="00CC0487">
    <w:pPr>
      <w:pStyle w:val="Header"/>
      <w:jc w:val="right"/>
      <w:rPr>
        <w:b/>
        <w:color w:val="26724C" w:themeColor="accent1" w:themeShade="BF"/>
        <w:lang w:val="de-DE"/>
      </w:rPr>
    </w:pPr>
    <w:r w:rsidRPr="000B17CC">
      <w:rPr>
        <w:b/>
        <w:color w:val="26724C" w:themeColor="accent1" w:themeShade="BF"/>
        <w:lang w:val="de-DE"/>
      </w:rPr>
      <w:t>UPOV</w:t>
    </w:r>
  </w:p>
  <w:p w14:paraId="0D084781" w14:textId="1B656BCC" w:rsidR="00CC0487" w:rsidRPr="000B17CC" w:rsidRDefault="00EF07CE">
    <w:pPr>
      <w:pStyle w:val="Header"/>
      <w:jc w:val="right"/>
      <w:rPr>
        <w:color w:val="26724C" w:themeColor="accent1" w:themeShade="BF"/>
        <w:lang w:val="de-DE"/>
      </w:rPr>
    </w:pPr>
    <w:r>
      <w:rPr>
        <w:color w:val="26724C" w:themeColor="accent1" w:themeShade="BF"/>
        <w:lang w:val="de-DE"/>
      </w:rPr>
      <w:t xml:space="preserve">Programm und Haushaltsplan </w:t>
    </w:r>
    <w:r w:rsidR="00CC0487" w:rsidRPr="000B17CC">
      <w:rPr>
        <w:color w:val="26724C" w:themeColor="accent1" w:themeShade="BF"/>
        <w:lang w:val="de-DE"/>
      </w:rPr>
      <w:t>2024</w:t>
    </w:r>
    <w:r w:rsidR="00CC0487">
      <w:rPr>
        <w:color w:val="26724C" w:themeColor="accent1" w:themeShade="BF"/>
        <w:lang w:val="de-DE"/>
      </w:rPr>
      <w:t>-</w:t>
    </w:r>
    <w:r w:rsidR="00CC0487" w:rsidRPr="000B17CC">
      <w:rPr>
        <w:color w:val="26724C" w:themeColor="accent1" w:themeShade="BF"/>
        <w:lang w:val="de-DE"/>
      </w:rPr>
      <w:t>2025</w:t>
    </w:r>
  </w:p>
  <w:p w14:paraId="11ABC8B4" w14:textId="77777777" w:rsidR="00CC0487" w:rsidRPr="000B17CC" w:rsidRDefault="00CC0487">
    <w:pPr>
      <w:pStyle w:val="Header"/>
      <w:pBdr>
        <w:bottom w:val="single" w:sz="4" w:space="1" w:color="auto"/>
      </w:pBdr>
      <w:jc w:val="right"/>
      <w:rPr>
        <w:color w:val="26724C" w:themeColor="accent1" w:themeShade="BF"/>
        <w:lang w:val="de-DE"/>
      </w:rPr>
    </w:pPr>
    <w:r w:rsidRPr="000B17CC">
      <w:rPr>
        <w:color w:val="26724C" w:themeColor="accent1" w:themeShade="BF"/>
        <w:lang w:val="de-DE"/>
      </w:rPr>
      <w:t xml:space="preserve">Seite </w:t>
    </w:r>
    <w:sdt>
      <w:sdtPr>
        <w:rPr>
          <w:color w:val="26724C" w:themeColor="accent1" w:themeShade="BF"/>
          <w:lang w:val="de-DE"/>
        </w:rPr>
        <w:id w:val="1569839975"/>
        <w:docPartObj>
          <w:docPartGallery w:val="Page Numbers (Top of Page)"/>
          <w:docPartUnique/>
        </w:docPartObj>
      </w:sdtPr>
      <w:sdtEndPr/>
      <w:sdtContent>
        <w:r w:rsidRPr="000B17CC">
          <w:rPr>
            <w:color w:val="26724C" w:themeColor="accent1" w:themeShade="BF"/>
            <w:lang w:val="de-DE"/>
          </w:rPr>
          <w:fldChar w:fldCharType="begin"/>
        </w:r>
        <w:r w:rsidRPr="000B17CC">
          <w:rPr>
            <w:color w:val="26724C" w:themeColor="accent1" w:themeShade="BF"/>
            <w:lang w:val="de-DE"/>
          </w:rPr>
          <w:instrText xml:space="preserve"> PAGE   \* MERGEFORMAT </w:instrText>
        </w:r>
        <w:r w:rsidRPr="000B17CC">
          <w:rPr>
            <w:color w:val="26724C" w:themeColor="accent1" w:themeShade="BF"/>
            <w:lang w:val="de-DE"/>
          </w:rPr>
          <w:fldChar w:fldCharType="separate"/>
        </w:r>
        <w:r w:rsidR="0004787D" w:rsidRPr="0004787D">
          <w:rPr>
            <w:noProof/>
            <w:color w:val="26724C" w:themeColor="accent1" w:themeShade="BF"/>
          </w:rPr>
          <w:t>18</w:t>
        </w:r>
        <w:r w:rsidRPr="000B17CC">
          <w:rPr>
            <w:color w:val="26724C" w:themeColor="accent1" w:themeShade="BF"/>
            <w:lang w:val="de-DE"/>
          </w:rPr>
          <w:fldChar w:fldCharType="end"/>
        </w:r>
      </w:sdtContent>
    </w:sdt>
  </w:p>
  <w:p w14:paraId="063F54A5" w14:textId="77777777" w:rsidR="00CC0487" w:rsidRPr="000B17CC" w:rsidRDefault="00CC0487" w:rsidP="00051507">
    <w:pPr>
      <w:pStyle w:val="Header"/>
      <w:rPr>
        <w:color w:val="194C33" w:themeColor="accent1" w:themeShade="80"/>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7189" w14:textId="632BE68D" w:rsidR="00CC0487" w:rsidRDefault="00F91270" w:rsidP="00CC0487">
    <w:pPr>
      <w:pStyle w:val="Header"/>
    </w:pPr>
    <w:r>
      <w:t>C/57/4 Rev.</w:t>
    </w:r>
  </w:p>
  <w:p w14:paraId="04267EB9" w14:textId="77777777" w:rsidR="00CC0487" w:rsidRDefault="00CC0487" w:rsidP="00CC0487">
    <w:pPr>
      <w:pStyle w:val="Header"/>
    </w:pPr>
  </w:p>
  <w:p w14:paraId="53D82C8A" w14:textId="77777777" w:rsidR="00CC0487" w:rsidRDefault="00CC0487" w:rsidP="00CC0487">
    <w:pPr>
      <w:pStyle w:val="Header"/>
    </w:pPr>
    <w:r>
      <w:t>ANLAGE</w:t>
    </w:r>
  </w:p>
  <w:p w14:paraId="27317FDA" w14:textId="77777777" w:rsidR="00CC0487" w:rsidRDefault="00CC0487" w:rsidP="00CC0487">
    <w:pPr>
      <w:pStyle w:val="Header"/>
    </w:pPr>
  </w:p>
  <w:p w14:paraId="3102A03E" w14:textId="77777777" w:rsidR="00CC0487" w:rsidRPr="00CC0487" w:rsidRDefault="00CC0487" w:rsidP="00CC04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9EAB" w14:textId="77777777" w:rsidR="00CC0487" w:rsidRPr="0060641E" w:rsidRDefault="00CC0487">
    <w:pPr>
      <w:pStyle w:val="Header"/>
      <w:rPr>
        <w:rStyle w:val="PageNumber"/>
        <w:lang w:val="de-DE"/>
      </w:rPr>
    </w:pPr>
    <w:r w:rsidRPr="0060641E">
      <w:rPr>
        <w:lang w:val="de-DE"/>
      </w:rPr>
      <w:t xml:space="preserve">vorläufiger Entwurf des Programms und Haushaltsplans für die Rechnungsperiode </w:t>
    </w:r>
    <w:r w:rsidRPr="0060641E">
      <w:rPr>
        <w:lang w:val="de-DE"/>
      </w:rPr>
      <w:noBreakHyphen/>
      <w:t>2024-2025</w:t>
    </w:r>
  </w:p>
  <w:p w14:paraId="45CAF324" w14:textId="77777777" w:rsidR="00CC0487" w:rsidRDefault="00CC0487">
    <w:pPr>
      <w:pStyle w:val="Header"/>
    </w:pPr>
    <w:r w:rsidRPr="00FE0119">
      <w:t xml:space="preserve">Anhang </w:t>
    </w:r>
    <w:r>
      <w:t>II</w:t>
    </w:r>
    <w:r w:rsidRPr="00FE0119">
      <w:t xml:space="preserve">, Seite </w:t>
    </w:r>
    <w:sdt>
      <w:sdtPr>
        <w:id w:val="1872650395"/>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rPr>
            <w:noProof/>
          </w:rPr>
          <w:t>39</w:t>
        </w:r>
        <w:r w:rsidRPr="00FE0119">
          <w:rPr>
            <w:noProof/>
          </w:rPr>
          <w:fldChar w:fldCharType="end"/>
        </w:r>
      </w:sdtContent>
    </w:sdt>
  </w:p>
  <w:p w14:paraId="15DE90EF" w14:textId="77777777" w:rsidR="00CC0487" w:rsidRPr="00FE0119" w:rsidRDefault="00CC0487" w:rsidP="008224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FF51" w14:textId="77777777" w:rsidR="00CC0487" w:rsidRPr="009E01E4" w:rsidRDefault="00CC0487">
    <w:pPr>
      <w:pStyle w:val="Header"/>
      <w:jc w:val="right"/>
      <w:rPr>
        <w:b/>
        <w:color w:val="26724C" w:themeColor="accent1" w:themeShade="BF"/>
        <w:lang w:val="de-DE"/>
      </w:rPr>
    </w:pPr>
    <w:r w:rsidRPr="009E01E4">
      <w:rPr>
        <w:b/>
        <w:color w:val="26724C" w:themeColor="accent1" w:themeShade="BF"/>
        <w:lang w:val="de-DE"/>
      </w:rPr>
      <w:t>UPOV</w:t>
    </w:r>
  </w:p>
  <w:p w14:paraId="65A87EFF" w14:textId="1F688CC4" w:rsidR="00CC0487" w:rsidRPr="009E01E4" w:rsidRDefault="00EF07CE">
    <w:pPr>
      <w:pStyle w:val="Header"/>
      <w:jc w:val="right"/>
      <w:rPr>
        <w:color w:val="26724C" w:themeColor="accent1" w:themeShade="BF"/>
        <w:lang w:val="de-DE"/>
      </w:rPr>
    </w:pPr>
    <w:r>
      <w:rPr>
        <w:color w:val="26724C" w:themeColor="accent1" w:themeShade="BF"/>
        <w:lang w:val="de-DE"/>
      </w:rPr>
      <w:t xml:space="preserve">Programm und Haushaltsplan </w:t>
    </w:r>
    <w:r w:rsidR="00CC0487">
      <w:rPr>
        <w:color w:val="26724C" w:themeColor="accent1" w:themeShade="BF"/>
        <w:lang w:val="de-DE"/>
      </w:rPr>
      <w:t>2024-2025</w:t>
    </w:r>
  </w:p>
  <w:p w14:paraId="0C1CDBCD" w14:textId="77777777" w:rsidR="00CC0487" w:rsidRPr="009E01E4" w:rsidRDefault="00CC0487">
    <w:pPr>
      <w:pStyle w:val="Header"/>
      <w:pBdr>
        <w:bottom w:val="single" w:sz="4" w:space="1" w:color="auto"/>
      </w:pBdr>
      <w:jc w:val="right"/>
      <w:rPr>
        <w:color w:val="26724C" w:themeColor="accent1" w:themeShade="BF"/>
        <w:lang w:val="de-DE"/>
      </w:rPr>
    </w:pPr>
    <w:r w:rsidRPr="009E01E4">
      <w:rPr>
        <w:color w:val="26724C" w:themeColor="accent1" w:themeShade="BF"/>
        <w:lang w:val="de-DE"/>
      </w:rPr>
      <w:t xml:space="preserve">Anhang I, Seite </w:t>
    </w:r>
    <w:sdt>
      <w:sdtPr>
        <w:rPr>
          <w:color w:val="26724C" w:themeColor="accent1" w:themeShade="BF"/>
          <w:lang w:val="de-DE"/>
        </w:rPr>
        <w:id w:val="1225410642"/>
        <w:docPartObj>
          <w:docPartGallery w:val="Page Numbers (Top of Page)"/>
          <w:docPartUnique/>
        </w:docPartObj>
      </w:sdtPr>
      <w:sdtEndPr/>
      <w:sdtContent>
        <w:r w:rsidRPr="009E01E4">
          <w:rPr>
            <w:color w:val="26724C" w:themeColor="accent1" w:themeShade="BF"/>
            <w:lang w:val="de-DE"/>
          </w:rPr>
          <w:fldChar w:fldCharType="begin"/>
        </w:r>
        <w:r w:rsidRPr="009E01E4">
          <w:rPr>
            <w:color w:val="26724C" w:themeColor="accent1" w:themeShade="BF"/>
            <w:lang w:val="de-DE"/>
          </w:rPr>
          <w:instrText xml:space="preserve"> PAGE   \* MERGEFORMAT </w:instrText>
        </w:r>
        <w:r w:rsidRPr="009E01E4">
          <w:rPr>
            <w:color w:val="26724C" w:themeColor="accent1" w:themeShade="BF"/>
            <w:lang w:val="de-DE"/>
          </w:rPr>
          <w:fldChar w:fldCharType="separate"/>
        </w:r>
        <w:r w:rsidR="0004787D" w:rsidRPr="0004787D">
          <w:rPr>
            <w:noProof/>
            <w:color w:val="26724C" w:themeColor="accent1" w:themeShade="BF"/>
          </w:rPr>
          <w:t>19</w:t>
        </w:r>
        <w:r w:rsidRPr="009E01E4">
          <w:rPr>
            <w:color w:val="26724C" w:themeColor="accent1" w:themeShade="BF"/>
            <w:lang w:val="de-DE"/>
          </w:rPr>
          <w:fldChar w:fldCharType="end"/>
        </w:r>
      </w:sdtContent>
    </w:sdt>
  </w:p>
  <w:p w14:paraId="4A28EECF" w14:textId="77777777" w:rsidR="00CC0487" w:rsidRPr="009E01E4" w:rsidRDefault="00CC0487" w:rsidP="00277D28">
    <w:pPr>
      <w:pStyle w:val="Header"/>
      <w:jc w:val="right"/>
      <w:rPr>
        <w:color w:val="26724C" w:themeColor="accent1" w:themeShade="BF"/>
        <w:lang w:val="de-D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D940" w14:textId="77777777" w:rsidR="00CC0487" w:rsidRPr="0060641E" w:rsidRDefault="00CC0487">
    <w:pPr>
      <w:pStyle w:val="Header"/>
      <w:jc w:val="right"/>
      <w:rPr>
        <w:b/>
        <w:color w:val="26724C" w:themeColor="accent1" w:themeShade="BF"/>
        <w:lang w:val="de-DE"/>
      </w:rPr>
    </w:pPr>
    <w:r w:rsidRPr="0060641E">
      <w:rPr>
        <w:b/>
        <w:color w:val="26724C" w:themeColor="accent1" w:themeShade="BF"/>
        <w:lang w:val="de-DE"/>
      </w:rPr>
      <w:t>UPOV</w:t>
    </w:r>
  </w:p>
  <w:p w14:paraId="37C34F3B" w14:textId="77777777" w:rsidR="00CC0487" w:rsidRPr="0060641E" w:rsidRDefault="00CC0487">
    <w:pPr>
      <w:pStyle w:val="Header"/>
      <w:jc w:val="right"/>
      <w:rPr>
        <w:color w:val="26724C" w:themeColor="accent1" w:themeShade="BF"/>
        <w:lang w:val="de-DE"/>
      </w:rPr>
    </w:pPr>
    <w:r w:rsidRPr="0060641E">
      <w:rPr>
        <w:color w:val="26724C" w:themeColor="accent1" w:themeShade="BF"/>
        <w:lang w:val="de-DE"/>
      </w:rPr>
      <w:t xml:space="preserve">vorläufiger Entwurf des Programms und Haushaltsplans </w:t>
    </w:r>
    <w:r w:rsidRPr="0060641E">
      <w:rPr>
        <w:color w:val="26724C" w:themeColor="accent1" w:themeShade="BF"/>
        <w:lang w:val="de-DE"/>
      </w:rPr>
      <w:noBreakHyphen/>
      <w:t>2024-2025</w:t>
    </w:r>
  </w:p>
  <w:p w14:paraId="5AC36240" w14:textId="77777777" w:rsidR="00CC0487" w:rsidRDefault="00CC0487">
    <w:pPr>
      <w:pStyle w:val="Header"/>
      <w:pBdr>
        <w:bottom w:val="single" w:sz="4" w:space="1" w:color="auto"/>
      </w:pBdr>
      <w:jc w:val="right"/>
      <w:rPr>
        <w:color w:val="26724C" w:themeColor="accent1" w:themeShade="BF"/>
      </w:rPr>
    </w:pPr>
    <w:r w:rsidRPr="008B40C0">
      <w:rPr>
        <w:color w:val="26724C" w:themeColor="accent1" w:themeShade="BF"/>
      </w:rPr>
      <w:t>Anhang I</w:t>
    </w:r>
    <w:r>
      <w:rPr>
        <w:color w:val="26724C" w:themeColor="accent1" w:themeShade="BF"/>
      </w:rPr>
      <w:t xml:space="preserve">, </w:t>
    </w:r>
    <w:r w:rsidRPr="008B40C0">
      <w:rPr>
        <w:color w:val="26724C" w:themeColor="accent1" w:themeShade="BF"/>
      </w:rPr>
      <w:t xml:space="preserve">Seite </w:t>
    </w:r>
    <w:sdt>
      <w:sdtPr>
        <w:rPr>
          <w:color w:val="26724C" w:themeColor="accent1" w:themeShade="BF"/>
        </w:rPr>
        <w:id w:val="1728342427"/>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38</w:t>
        </w:r>
        <w:r w:rsidRPr="008B40C0">
          <w:rPr>
            <w:noProof/>
            <w:color w:val="26724C" w:themeColor="accent1" w:themeShade="BF"/>
          </w:rPr>
          <w:fldChar w:fldCharType="end"/>
        </w:r>
      </w:sdtContent>
    </w:sdt>
  </w:p>
  <w:p w14:paraId="149D0699" w14:textId="77777777" w:rsidR="00CC0487" w:rsidRPr="008B40C0" w:rsidRDefault="00CC0487" w:rsidP="008B40C0">
    <w:pPr>
      <w:pStyle w:val="Header"/>
      <w:jc w:val="right"/>
      <w:rPr>
        <w:color w:val="26724C" w:themeColor="accent1" w:themeShade="BF"/>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2356" w14:textId="77777777" w:rsidR="00CC0487" w:rsidRPr="0060641E" w:rsidRDefault="00CC0487">
    <w:pPr>
      <w:pStyle w:val="Header"/>
      <w:rPr>
        <w:rStyle w:val="PageNumber"/>
        <w:lang w:val="de-DE"/>
      </w:rPr>
    </w:pPr>
    <w:r w:rsidRPr="0060641E">
      <w:rPr>
        <w:lang w:val="de-DE"/>
      </w:rPr>
      <w:t xml:space="preserve">vorläufiger Entwurf des Programms und Haushaltsplans für die Rechnungsperiode </w:t>
    </w:r>
    <w:r w:rsidRPr="0060641E">
      <w:rPr>
        <w:lang w:val="de-DE"/>
      </w:rPr>
      <w:noBreakHyphen/>
      <w:t>2024-2025</w:t>
    </w:r>
  </w:p>
  <w:p w14:paraId="2F8E6EEA" w14:textId="77777777" w:rsidR="00CC0487" w:rsidRDefault="00CC0487">
    <w:pPr>
      <w:pStyle w:val="Header"/>
    </w:pPr>
    <w:r w:rsidRPr="00FE0119">
      <w:t xml:space="preserve">Anhang </w:t>
    </w:r>
    <w:r>
      <w:t>II</w:t>
    </w:r>
    <w:r w:rsidRPr="00FE0119">
      <w:t xml:space="preserve">, Seite </w:t>
    </w:r>
    <w:sdt>
      <w:sdtPr>
        <w:id w:val="-1138723346"/>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rPr>
            <w:noProof/>
          </w:rPr>
          <w:t>39</w:t>
        </w:r>
        <w:r w:rsidRPr="00FE0119">
          <w:rPr>
            <w:noProof/>
          </w:rPr>
          <w:fldChar w:fldCharType="end"/>
        </w:r>
      </w:sdtContent>
    </w:sdt>
  </w:p>
  <w:p w14:paraId="0641C43A" w14:textId="77777777" w:rsidR="00CC0487" w:rsidRPr="00FE0119" w:rsidRDefault="00CC0487" w:rsidP="008224B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A0D2" w14:textId="77777777" w:rsidR="00CC0487" w:rsidRPr="0060641E" w:rsidRDefault="00CC0487">
    <w:pPr>
      <w:pStyle w:val="Header"/>
      <w:rPr>
        <w:rStyle w:val="PageNumber"/>
        <w:lang w:val="de-DE"/>
      </w:rPr>
    </w:pPr>
    <w:r w:rsidRPr="0060641E">
      <w:rPr>
        <w:lang w:val="de-DE"/>
      </w:rPr>
      <w:t xml:space="preserve">vorläufiger Entwurf des Programms und Haushaltsplans für die Rechnungsperiode </w:t>
    </w:r>
    <w:r w:rsidRPr="0060641E">
      <w:rPr>
        <w:lang w:val="de-DE"/>
      </w:rPr>
      <w:noBreakHyphen/>
      <w:t>2024-2025</w:t>
    </w:r>
  </w:p>
  <w:p w14:paraId="5FFE74D3" w14:textId="77777777" w:rsidR="00CC0487" w:rsidRDefault="00CC0487">
    <w:pPr>
      <w:pStyle w:val="Header"/>
    </w:pPr>
    <w:r w:rsidRPr="00FE0119">
      <w:t xml:space="preserve">Anhang </w:t>
    </w:r>
    <w:r>
      <w:t>II</w:t>
    </w:r>
    <w:r w:rsidRPr="00FE0119">
      <w:t xml:space="preserve">, Seite </w:t>
    </w:r>
    <w:sdt>
      <w:sdtPr>
        <w:id w:val="-2036489505"/>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rPr>
            <w:noProof/>
          </w:rPr>
          <w:t>39</w:t>
        </w:r>
        <w:r w:rsidRPr="00FE0119">
          <w:rPr>
            <w:noProof/>
          </w:rPr>
          <w:fldChar w:fldCharType="end"/>
        </w:r>
      </w:sdtContent>
    </w:sdt>
  </w:p>
  <w:p w14:paraId="3FD4A901" w14:textId="77777777" w:rsidR="00CC0487" w:rsidRPr="00FE0119" w:rsidRDefault="00CC0487" w:rsidP="00822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553"/>
    <w:multiLevelType w:val="hybridMultilevel"/>
    <w:tmpl w:val="5226D9B2"/>
    <w:lvl w:ilvl="0" w:tplc="31920AC6">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E338E"/>
    <w:multiLevelType w:val="multilevel"/>
    <w:tmpl w:val="09E04FBC"/>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91644D"/>
    <w:multiLevelType w:val="hybridMultilevel"/>
    <w:tmpl w:val="66B2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7910711">
    <w:abstractNumId w:val="0"/>
  </w:num>
  <w:num w:numId="2" w16cid:durableId="234514111">
    <w:abstractNumId w:val="3"/>
  </w:num>
  <w:num w:numId="3" w16cid:durableId="2063014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1928339">
    <w:abstractNumId w:val="2"/>
  </w:num>
  <w:num w:numId="5" w16cid:durableId="200871026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1B7"/>
    <w:rsid w:val="0000241A"/>
    <w:rsid w:val="00010CF3"/>
    <w:rsid w:val="00011E27"/>
    <w:rsid w:val="000148BC"/>
    <w:rsid w:val="00024AB8"/>
    <w:rsid w:val="00030854"/>
    <w:rsid w:val="00036028"/>
    <w:rsid w:val="00044642"/>
    <w:rsid w:val="000446B9"/>
    <w:rsid w:val="0004787D"/>
    <w:rsid w:val="00047E21"/>
    <w:rsid w:val="00050E16"/>
    <w:rsid w:val="00083093"/>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202E38"/>
    <w:rsid w:val="0021332C"/>
    <w:rsid w:val="00213982"/>
    <w:rsid w:val="0024416D"/>
    <w:rsid w:val="002464A3"/>
    <w:rsid w:val="00271911"/>
    <w:rsid w:val="002800A0"/>
    <w:rsid w:val="002801B3"/>
    <w:rsid w:val="00281060"/>
    <w:rsid w:val="002940E8"/>
    <w:rsid w:val="00294751"/>
    <w:rsid w:val="002A072D"/>
    <w:rsid w:val="002A6E50"/>
    <w:rsid w:val="002B4298"/>
    <w:rsid w:val="002C256A"/>
    <w:rsid w:val="002C31A1"/>
    <w:rsid w:val="00305A7F"/>
    <w:rsid w:val="003152FE"/>
    <w:rsid w:val="00327436"/>
    <w:rsid w:val="00344BD6"/>
    <w:rsid w:val="0035528D"/>
    <w:rsid w:val="00361821"/>
    <w:rsid w:val="00361E9E"/>
    <w:rsid w:val="00376C5F"/>
    <w:rsid w:val="003902A9"/>
    <w:rsid w:val="003B031A"/>
    <w:rsid w:val="003C7FBE"/>
    <w:rsid w:val="003D227C"/>
    <w:rsid w:val="003D2B4D"/>
    <w:rsid w:val="0040557F"/>
    <w:rsid w:val="00444A88"/>
    <w:rsid w:val="00462A53"/>
    <w:rsid w:val="00474DA4"/>
    <w:rsid w:val="00476B4D"/>
    <w:rsid w:val="004805FA"/>
    <w:rsid w:val="004935D2"/>
    <w:rsid w:val="00497750"/>
    <w:rsid w:val="004B1215"/>
    <w:rsid w:val="004D047D"/>
    <w:rsid w:val="004F1E9E"/>
    <w:rsid w:val="004F305A"/>
    <w:rsid w:val="00512164"/>
    <w:rsid w:val="00520297"/>
    <w:rsid w:val="005338F9"/>
    <w:rsid w:val="0054281C"/>
    <w:rsid w:val="00544581"/>
    <w:rsid w:val="00545E42"/>
    <w:rsid w:val="0055268D"/>
    <w:rsid w:val="00576BE4"/>
    <w:rsid w:val="005A400A"/>
    <w:rsid w:val="005A641D"/>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4836"/>
    <w:rsid w:val="0079023E"/>
    <w:rsid w:val="007A2854"/>
    <w:rsid w:val="007C1A30"/>
    <w:rsid w:val="007C1D92"/>
    <w:rsid w:val="007C4CB9"/>
    <w:rsid w:val="007C595A"/>
    <w:rsid w:val="007D0B9D"/>
    <w:rsid w:val="007D19B0"/>
    <w:rsid w:val="007D612E"/>
    <w:rsid w:val="007F498F"/>
    <w:rsid w:val="0080679D"/>
    <w:rsid w:val="008108B0"/>
    <w:rsid w:val="00811B20"/>
    <w:rsid w:val="008211B5"/>
    <w:rsid w:val="0082296E"/>
    <w:rsid w:val="00824099"/>
    <w:rsid w:val="00825BFE"/>
    <w:rsid w:val="00833054"/>
    <w:rsid w:val="00846D7C"/>
    <w:rsid w:val="00864C55"/>
    <w:rsid w:val="00867AC1"/>
    <w:rsid w:val="00890DF8"/>
    <w:rsid w:val="008A743F"/>
    <w:rsid w:val="008C0970"/>
    <w:rsid w:val="008D0BC5"/>
    <w:rsid w:val="008D2CF7"/>
    <w:rsid w:val="00900C26"/>
    <w:rsid w:val="0090197F"/>
    <w:rsid w:val="00906DDC"/>
    <w:rsid w:val="00907043"/>
    <w:rsid w:val="00923A6F"/>
    <w:rsid w:val="00934E09"/>
    <w:rsid w:val="00936253"/>
    <w:rsid w:val="00940D46"/>
    <w:rsid w:val="00952DD4"/>
    <w:rsid w:val="00965AE7"/>
    <w:rsid w:val="00970FED"/>
    <w:rsid w:val="00986945"/>
    <w:rsid w:val="00992D82"/>
    <w:rsid w:val="00997029"/>
    <w:rsid w:val="009A7339"/>
    <w:rsid w:val="009B440E"/>
    <w:rsid w:val="009D690D"/>
    <w:rsid w:val="009E1BDC"/>
    <w:rsid w:val="009E65B6"/>
    <w:rsid w:val="00A136B3"/>
    <w:rsid w:val="00A24C10"/>
    <w:rsid w:val="00A42AC3"/>
    <w:rsid w:val="00A430CF"/>
    <w:rsid w:val="00A54309"/>
    <w:rsid w:val="00A706D3"/>
    <w:rsid w:val="00A7227F"/>
    <w:rsid w:val="00A8448C"/>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A6E5D"/>
    <w:rsid w:val="00BC0BD4"/>
    <w:rsid w:val="00BC127D"/>
    <w:rsid w:val="00BC1FE6"/>
    <w:rsid w:val="00BE3CF2"/>
    <w:rsid w:val="00C061B6"/>
    <w:rsid w:val="00C2446C"/>
    <w:rsid w:val="00C34358"/>
    <w:rsid w:val="00C36AE5"/>
    <w:rsid w:val="00C41F17"/>
    <w:rsid w:val="00C527FA"/>
    <w:rsid w:val="00C5280D"/>
    <w:rsid w:val="00C53EB3"/>
    <w:rsid w:val="00C5791C"/>
    <w:rsid w:val="00C66290"/>
    <w:rsid w:val="00C72B7A"/>
    <w:rsid w:val="00C973F2"/>
    <w:rsid w:val="00CA304C"/>
    <w:rsid w:val="00CA774A"/>
    <w:rsid w:val="00CC0487"/>
    <w:rsid w:val="00CC11B0"/>
    <w:rsid w:val="00CC2841"/>
    <w:rsid w:val="00CC6951"/>
    <w:rsid w:val="00CF1330"/>
    <w:rsid w:val="00CF7E36"/>
    <w:rsid w:val="00D3708D"/>
    <w:rsid w:val="00D40426"/>
    <w:rsid w:val="00D57C96"/>
    <w:rsid w:val="00D57D18"/>
    <w:rsid w:val="00D91203"/>
    <w:rsid w:val="00D95174"/>
    <w:rsid w:val="00DA3C12"/>
    <w:rsid w:val="00DA4973"/>
    <w:rsid w:val="00DA6F36"/>
    <w:rsid w:val="00DB012A"/>
    <w:rsid w:val="00DB596E"/>
    <w:rsid w:val="00DB7773"/>
    <w:rsid w:val="00DC00EA"/>
    <w:rsid w:val="00DC3802"/>
    <w:rsid w:val="00DE5973"/>
    <w:rsid w:val="00E07D87"/>
    <w:rsid w:val="00E11811"/>
    <w:rsid w:val="00E32F7E"/>
    <w:rsid w:val="00E50FB5"/>
    <w:rsid w:val="00E5267B"/>
    <w:rsid w:val="00E57BEF"/>
    <w:rsid w:val="00E63C0E"/>
    <w:rsid w:val="00E72D49"/>
    <w:rsid w:val="00E7593C"/>
    <w:rsid w:val="00E7678A"/>
    <w:rsid w:val="00E935F1"/>
    <w:rsid w:val="00E94A81"/>
    <w:rsid w:val="00EA1FFB"/>
    <w:rsid w:val="00EB048E"/>
    <w:rsid w:val="00EB21B7"/>
    <w:rsid w:val="00EB4E9C"/>
    <w:rsid w:val="00EB67B0"/>
    <w:rsid w:val="00EC00B2"/>
    <w:rsid w:val="00EC4208"/>
    <w:rsid w:val="00EE34DF"/>
    <w:rsid w:val="00EF07CE"/>
    <w:rsid w:val="00EF2F89"/>
    <w:rsid w:val="00F03E98"/>
    <w:rsid w:val="00F1237A"/>
    <w:rsid w:val="00F22CBD"/>
    <w:rsid w:val="00F272F1"/>
    <w:rsid w:val="00F31845"/>
    <w:rsid w:val="00F45372"/>
    <w:rsid w:val="00F560F7"/>
    <w:rsid w:val="00F6334D"/>
    <w:rsid w:val="00F91270"/>
    <w:rsid w:val="00FA49AB"/>
    <w:rsid w:val="00FD3F87"/>
    <w:rsid w:val="00FE39C7"/>
    <w:rsid w:val="00FF262A"/>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3062CE"/>
  <w15:docId w15:val="{4A15C073-65B2-4183-8501-EB048096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487"/>
    <w:pPr>
      <w:jc w:val="both"/>
    </w:pPr>
    <w:rPr>
      <w:rFonts w:ascii="Arial" w:hAnsi="Arial"/>
      <w:lang w:val="de-DE"/>
    </w:rPr>
  </w:style>
  <w:style w:type="paragraph" w:styleId="Heading1">
    <w:name w:val="heading 1"/>
    <w:next w:val="Normal"/>
    <w:qFormat/>
    <w:rsid w:val="00CC0487"/>
    <w:pPr>
      <w:keepNext/>
      <w:numPr>
        <w:numId w:val="5"/>
      </w:numPr>
      <w:outlineLvl w:val="0"/>
    </w:pPr>
    <w:rPr>
      <w:rFonts w:ascii="Arial" w:hAnsi="Arial"/>
      <w:caps/>
      <w:color w:val="26724C" w:themeColor="accent1" w:themeShade="BF"/>
      <w:sz w:val="32"/>
      <w:szCs w:val="24"/>
    </w:rPr>
  </w:style>
  <w:style w:type="paragraph" w:styleId="Heading2">
    <w:name w:val="heading 2"/>
    <w:next w:val="Normal"/>
    <w:qFormat/>
    <w:rsid w:val="00CC0487"/>
    <w:pPr>
      <w:keepNext/>
      <w:ind w:left="2694" w:hanging="2694"/>
      <w:jc w:val="both"/>
      <w:outlineLvl w:val="1"/>
    </w:pPr>
    <w:rPr>
      <w:rFonts w:ascii="Arial" w:hAnsi="Arial"/>
      <w:color w:val="26724C" w:themeColor="accent1" w:themeShade="BF"/>
      <w:sz w:val="28"/>
    </w:rPr>
  </w:style>
  <w:style w:type="paragraph" w:styleId="Heading3">
    <w:name w:val="heading 3"/>
    <w:next w:val="Normal"/>
    <w:link w:val="Heading3Char"/>
    <w:autoRedefine/>
    <w:qFormat/>
    <w:rsid w:val="00CC0487"/>
    <w:pPr>
      <w:keepNext/>
      <w:jc w:val="both"/>
      <w:outlineLvl w:val="2"/>
    </w:pPr>
    <w:rPr>
      <w:rFonts w:ascii="Arial" w:hAnsi="Arial"/>
      <w:b/>
      <w:color w:val="26724C" w:themeColor="accent1" w:themeShade="BF"/>
      <w:sz w:val="22"/>
    </w:rPr>
  </w:style>
  <w:style w:type="paragraph" w:styleId="Heading4">
    <w:name w:val="heading 4"/>
    <w:next w:val="Normal"/>
    <w:autoRedefine/>
    <w:qFormat/>
    <w:rsid w:val="00CC0487"/>
    <w:pPr>
      <w:keepNext/>
      <w:tabs>
        <w:tab w:val="left" w:pos="1418"/>
      </w:tabs>
      <w:ind w:left="567"/>
      <w:jc w:val="both"/>
      <w:outlineLvl w:val="3"/>
    </w:pPr>
    <w:rPr>
      <w:rFonts w:ascii="Arial" w:hAnsi="Arial"/>
      <w:u w:val="single"/>
    </w:rPr>
  </w:style>
  <w:style w:type="paragraph" w:styleId="Heading5">
    <w:name w:val="heading 5"/>
    <w:next w:val="Normal"/>
    <w:autoRedefine/>
    <w:qFormat/>
    <w:rsid w:val="00CC0487"/>
    <w:pPr>
      <w:keepNext/>
      <w:ind w:left="567" w:hanging="567"/>
      <w:jc w:val="both"/>
      <w:outlineLvl w:val="4"/>
    </w:pPr>
    <w:rPr>
      <w:rFonts w:ascii="Arial" w:hAnsi="Arial"/>
      <w:i/>
      <w:color w:val="26724C" w:themeColor="accent1" w:themeShade="BF"/>
    </w:rPr>
  </w:style>
  <w:style w:type="paragraph" w:styleId="Heading6">
    <w:name w:val="heading 6"/>
    <w:basedOn w:val="Normal"/>
    <w:next w:val="Normal"/>
    <w:link w:val="Heading6Char"/>
    <w:semiHidden/>
    <w:unhideWhenUsed/>
    <w:qFormat/>
    <w:rsid w:val="00CC0487"/>
    <w:pPr>
      <w:keepNext/>
      <w:keepLines/>
      <w:spacing w:before="40"/>
      <w:outlineLvl w:val="5"/>
    </w:pPr>
    <w:rPr>
      <w:rFonts w:asciiTheme="majorHAnsi" w:eastAsiaTheme="majorEastAsia" w:hAnsiTheme="majorHAnsi" w:cstheme="majorBidi"/>
      <w:color w:val="194C32" w:themeColor="accent1" w:themeShade="7F"/>
    </w:rPr>
  </w:style>
  <w:style w:type="paragraph" w:styleId="Heading9">
    <w:name w:val="heading 9"/>
    <w:basedOn w:val="Heading2"/>
    <w:next w:val="Normal"/>
    <w:qFormat/>
    <w:rsid w:val="00CC0487"/>
    <w:pPr>
      <w:ind w:left="2127" w:hanging="2127"/>
      <w:outlineLvl w:val="8"/>
    </w:pPr>
    <w:rP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CC0487"/>
    <w:pPr>
      <w:jc w:val="center"/>
    </w:pPr>
    <w:rPr>
      <w:rFonts w:ascii="Arial" w:hAnsi="Arial"/>
    </w:rPr>
  </w:style>
  <w:style w:type="paragraph" w:styleId="Footer">
    <w:name w:val="footer"/>
    <w:aliases w:val="doc_path_name"/>
    <w:autoRedefine/>
    <w:rsid w:val="00CC0487"/>
    <w:pPr>
      <w:jc w:val="both"/>
    </w:pPr>
    <w:rPr>
      <w:rFonts w:ascii="Arial" w:hAnsi="Arial"/>
      <w:sz w:val="14"/>
    </w:rPr>
  </w:style>
  <w:style w:type="character" w:styleId="PageNumber">
    <w:name w:val="page number"/>
    <w:basedOn w:val="DefaultParagraphFont"/>
    <w:rsid w:val="00CC0487"/>
    <w:rPr>
      <w:rFonts w:ascii="Arial" w:hAnsi="Arial"/>
      <w:sz w:val="20"/>
    </w:rPr>
  </w:style>
  <w:style w:type="paragraph" w:styleId="Title">
    <w:name w:val="Title"/>
    <w:basedOn w:val="Normal"/>
    <w:qFormat/>
    <w:rsid w:val="00CC0487"/>
    <w:pPr>
      <w:spacing w:after="300"/>
      <w:jc w:val="center"/>
    </w:pPr>
    <w:rPr>
      <w:b/>
      <w:caps/>
      <w:kern w:val="28"/>
      <w:sz w:val="30"/>
    </w:rPr>
  </w:style>
  <w:style w:type="paragraph" w:customStyle="1" w:styleId="preparedby">
    <w:name w:val="preparedby"/>
    <w:basedOn w:val="Normal"/>
    <w:next w:val="Normal"/>
    <w:semiHidden/>
    <w:rsid w:val="00CC0487"/>
    <w:pPr>
      <w:spacing w:after="600"/>
      <w:jc w:val="center"/>
    </w:pPr>
    <w:rPr>
      <w:i/>
    </w:rPr>
  </w:style>
  <w:style w:type="paragraph" w:customStyle="1" w:styleId="Docoriginal">
    <w:name w:val="Doc_original"/>
    <w:basedOn w:val="Code"/>
    <w:link w:val="DocoriginalChar"/>
    <w:rsid w:val="00CC0487"/>
    <w:pPr>
      <w:spacing w:before="240" w:line="240" w:lineRule="exact"/>
      <w:ind w:left="0"/>
      <w:contextualSpacing/>
      <w:jc w:val="left"/>
    </w:pPr>
    <w:rPr>
      <w:sz w:val="18"/>
    </w:rPr>
  </w:style>
  <w:style w:type="paragraph" w:customStyle="1" w:styleId="DecisionParagraphs">
    <w:name w:val="DecisionParagraphs"/>
    <w:basedOn w:val="Normal"/>
    <w:rsid w:val="00CC0487"/>
    <w:pPr>
      <w:tabs>
        <w:tab w:val="left" w:pos="5387"/>
        <w:tab w:val="left" w:pos="5954"/>
      </w:tabs>
      <w:ind w:left="4820"/>
    </w:pPr>
    <w:rPr>
      <w:i/>
    </w:rPr>
  </w:style>
  <w:style w:type="paragraph" w:styleId="FootnoteText">
    <w:name w:val="footnote text"/>
    <w:link w:val="FootnoteTextChar"/>
    <w:autoRedefine/>
    <w:rsid w:val="00CC0487"/>
    <w:pPr>
      <w:spacing w:before="60"/>
      <w:ind w:left="284" w:hanging="284"/>
      <w:jc w:val="both"/>
    </w:pPr>
    <w:rPr>
      <w:rFonts w:ascii="Arial" w:hAnsi="Arial"/>
      <w:sz w:val="16"/>
    </w:rPr>
  </w:style>
  <w:style w:type="character" w:styleId="FootnoteReference">
    <w:name w:val="footnote reference"/>
    <w:basedOn w:val="DefaultParagraphFont"/>
    <w:rsid w:val="00CC0487"/>
    <w:rPr>
      <w:vertAlign w:val="superscript"/>
    </w:rPr>
  </w:style>
  <w:style w:type="paragraph" w:styleId="Closing">
    <w:name w:val="Closing"/>
    <w:basedOn w:val="Normal"/>
    <w:rsid w:val="00CC0487"/>
    <w:pPr>
      <w:ind w:left="4536"/>
      <w:jc w:val="center"/>
    </w:pPr>
  </w:style>
  <w:style w:type="paragraph" w:styleId="Index1">
    <w:name w:val="index 1"/>
    <w:basedOn w:val="Normal"/>
    <w:next w:val="Normal"/>
    <w:semiHidden/>
    <w:rsid w:val="00CC0487"/>
    <w:pPr>
      <w:tabs>
        <w:tab w:val="right" w:leader="dot" w:pos="9071"/>
      </w:tabs>
      <w:ind w:left="284" w:hanging="284"/>
    </w:pPr>
    <w:rPr>
      <w:sz w:val="24"/>
    </w:rPr>
  </w:style>
  <w:style w:type="paragraph" w:styleId="Index2">
    <w:name w:val="index 2"/>
    <w:basedOn w:val="Normal"/>
    <w:next w:val="Normal"/>
    <w:semiHidden/>
    <w:rsid w:val="00CC0487"/>
    <w:pPr>
      <w:tabs>
        <w:tab w:val="right" w:leader="dot" w:pos="9071"/>
      </w:tabs>
      <w:ind w:left="568" w:hanging="284"/>
    </w:pPr>
    <w:rPr>
      <w:sz w:val="24"/>
    </w:rPr>
  </w:style>
  <w:style w:type="paragraph" w:styleId="Index3">
    <w:name w:val="index 3"/>
    <w:basedOn w:val="Normal"/>
    <w:next w:val="Normal"/>
    <w:semiHidden/>
    <w:rsid w:val="00CC0487"/>
    <w:pPr>
      <w:tabs>
        <w:tab w:val="right" w:leader="dot" w:pos="9071"/>
      </w:tabs>
      <w:ind w:left="851" w:hanging="284"/>
    </w:pPr>
    <w:rPr>
      <w:sz w:val="24"/>
    </w:rPr>
  </w:style>
  <w:style w:type="paragraph" w:styleId="MacroText">
    <w:name w:val="macro"/>
    <w:semiHidden/>
    <w:rsid w:val="00CC048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C0487"/>
    <w:pPr>
      <w:ind w:left="4536"/>
      <w:jc w:val="center"/>
    </w:pPr>
  </w:style>
  <w:style w:type="character" w:customStyle="1" w:styleId="Doclang">
    <w:name w:val="Doc_lang"/>
    <w:basedOn w:val="DefaultParagraphFont"/>
    <w:rsid w:val="00CC0487"/>
    <w:rPr>
      <w:rFonts w:ascii="Arial" w:hAnsi="Arial"/>
      <w:sz w:val="20"/>
      <w:lang w:val="en-US"/>
    </w:rPr>
  </w:style>
  <w:style w:type="paragraph" w:customStyle="1" w:styleId="Session">
    <w:name w:val="Session"/>
    <w:basedOn w:val="Normal"/>
    <w:semiHidden/>
    <w:rsid w:val="00CC0487"/>
    <w:pPr>
      <w:spacing w:before="60"/>
      <w:jc w:val="center"/>
    </w:pPr>
    <w:rPr>
      <w:b/>
    </w:rPr>
  </w:style>
  <w:style w:type="paragraph" w:customStyle="1" w:styleId="Organizer">
    <w:name w:val="Organizer"/>
    <w:basedOn w:val="Normal"/>
    <w:semiHidden/>
    <w:rsid w:val="00CC0487"/>
    <w:pPr>
      <w:spacing w:after="600"/>
      <w:ind w:left="-993" w:right="-994"/>
      <w:jc w:val="center"/>
    </w:pPr>
    <w:rPr>
      <w:b/>
      <w:caps/>
      <w:kern w:val="26"/>
      <w:sz w:val="26"/>
    </w:rPr>
  </w:style>
  <w:style w:type="paragraph" w:styleId="BodyText">
    <w:name w:val="Body Text"/>
    <w:basedOn w:val="Normal"/>
    <w:link w:val="BodyTextChar"/>
    <w:rsid w:val="00CC0487"/>
  </w:style>
  <w:style w:type="paragraph" w:customStyle="1" w:styleId="Disclaimer">
    <w:name w:val="Disclaimer"/>
    <w:next w:val="Normal"/>
    <w:qFormat/>
    <w:rsid w:val="00CC0487"/>
    <w:pPr>
      <w:spacing w:after="600"/>
    </w:pPr>
    <w:rPr>
      <w:rFonts w:ascii="Arial" w:hAnsi="Arial"/>
      <w:i/>
      <w:iCs/>
      <w:color w:val="A6A6A6" w:themeColor="background1" w:themeShade="A6"/>
    </w:rPr>
  </w:style>
  <w:style w:type="paragraph" w:customStyle="1" w:styleId="upove">
    <w:name w:val="upov_e"/>
    <w:basedOn w:val="Normal"/>
    <w:rsid w:val="00CC0487"/>
    <w:pPr>
      <w:spacing w:before="120"/>
    </w:pPr>
    <w:rPr>
      <w:sz w:val="16"/>
    </w:rPr>
  </w:style>
  <w:style w:type="paragraph" w:customStyle="1" w:styleId="TitleofDoc">
    <w:name w:val="Title of Doc"/>
    <w:basedOn w:val="Normal"/>
    <w:semiHidden/>
    <w:rsid w:val="00CC0487"/>
    <w:pPr>
      <w:spacing w:before="1200"/>
      <w:jc w:val="center"/>
    </w:pPr>
    <w:rPr>
      <w:caps/>
    </w:rPr>
  </w:style>
  <w:style w:type="paragraph" w:customStyle="1" w:styleId="preparedby0">
    <w:name w:val="prepared by"/>
    <w:basedOn w:val="Normal"/>
    <w:semiHidden/>
    <w:rsid w:val="00CC0487"/>
    <w:pPr>
      <w:spacing w:before="600" w:after="600"/>
      <w:jc w:val="center"/>
    </w:pPr>
    <w:rPr>
      <w:i/>
    </w:rPr>
  </w:style>
  <w:style w:type="paragraph" w:customStyle="1" w:styleId="PlaceAndDate">
    <w:name w:val="PlaceAndDate"/>
    <w:basedOn w:val="Session"/>
    <w:semiHidden/>
    <w:rsid w:val="00CC0487"/>
  </w:style>
  <w:style w:type="paragraph" w:styleId="EndnoteText">
    <w:name w:val="endnote text"/>
    <w:basedOn w:val="Normal"/>
    <w:semiHidden/>
    <w:rsid w:val="00CC0487"/>
  </w:style>
  <w:style w:type="character" w:styleId="EndnoteReference">
    <w:name w:val="endnote reference"/>
    <w:basedOn w:val="DefaultParagraphFont"/>
    <w:semiHidden/>
    <w:rsid w:val="00CC0487"/>
    <w:rPr>
      <w:vertAlign w:val="superscript"/>
    </w:rPr>
  </w:style>
  <w:style w:type="paragraph" w:customStyle="1" w:styleId="SessionMeetingPlace">
    <w:name w:val="Session_MeetingPlace"/>
    <w:basedOn w:val="Normal"/>
    <w:semiHidden/>
    <w:rsid w:val="00CC0487"/>
    <w:pPr>
      <w:spacing w:before="480"/>
      <w:jc w:val="center"/>
    </w:pPr>
    <w:rPr>
      <w:b/>
      <w:bCs/>
      <w:kern w:val="28"/>
      <w:sz w:val="24"/>
    </w:rPr>
  </w:style>
  <w:style w:type="paragraph" w:customStyle="1" w:styleId="Original">
    <w:name w:val="Original"/>
    <w:basedOn w:val="Normal"/>
    <w:semiHidden/>
    <w:rsid w:val="00CC0487"/>
    <w:pPr>
      <w:spacing w:before="60"/>
      <w:ind w:left="1276"/>
    </w:pPr>
    <w:rPr>
      <w:b/>
      <w:sz w:val="22"/>
    </w:rPr>
  </w:style>
  <w:style w:type="paragraph" w:styleId="Date">
    <w:name w:val="Date"/>
    <w:basedOn w:val="Normal"/>
    <w:semiHidden/>
    <w:rsid w:val="00CC0487"/>
    <w:pPr>
      <w:spacing w:line="340" w:lineRule="exact"/>
      <w:ind w:left="1276"/>
    </w:pPr>
    <w:rPr>
      <w:b/>
      <w:sz w:val="22"/>
    </w:rPr>
  </w:style>
  <w:style w:type="paragraph" w:customStyle="1" w:styleId="Code">
    <w:name w:val="Code"/>
    <w:basedOn w:val="Normal"/>
    <w:link w:val="CodeChar"/>
    <w:semiHidden/>
    <w:rsid w:val="00CC0487"/>
    <w:pPr>
      <w:spacing w:line="340" w:lineRule="atLeast"/>
      <w:ind w:left="1276"/>
    </w:pPr>
    <w:rPr>
      <w:b/>
      <w:bCs/>
      <w:spacing w:val="10"/>
    </w:rPr>
  </w:style>
  <w:style w:type="paragraph" w:customStyle="1" w:styleId="Country">
    <w:name w:val="Country"/>
    <w:basedOn w:val="Normal"/>
    <w:semiHidden/>
    <w:rsid w:val="00CC0487"/>
    <w:pPr>
      <w:spacing w:before="60" w:after="480"/>
      <w:jc w:val="center"/>
    </w:pPr>
  </w:style>
  <w:style w:type="paragraph" w:customStyle="1" w:styleId="Lettrine">
    <w:name w:val="Lettrine"/>
    <w:basedOn w:val="Normal"/>
    <w:rsid w:val="00CC0487"/>
    <w:pPr>
      <w:spacing w:line="340" w:lineRule="atLeast"/>
      <w:jc w:val="right"/>
    </w:pPr>
    <w:rPr>
      <w:b/>
      <w:bCs/>
      <w:sz w:val="36"/>
    </w:rPr>
  </w:style>
  <w:style w:type="paragraph" w:customStyle="1" w:styleId="LogoUPOV">
    <w:name w:val="LogoUPOV"/>
    <w:basedOn w:val="Normal"/>
    <w:rsid w:val="00CC0487"/>
    <w:pPr>
      <w:spacing w:before="600" w:after="80"/>
      <w:jc w:val="center"/>
    </w:pPr>
    <w:rPr>
      <w:snapToGrid w:val="0"/>
    </w:rPr>
  </w:style>
  <w:style w:type="paragraph" w:customStyle="1" w:styleId="Sessiontc">
    <w:name w:val="Session_tc"/>
    <w:basedOn w:val="StyleSessionAllcaps"/>
    <w:rsid w:val="00CC0487"/>
    <w:pPr>
      <w:spacing w:before="0" w:line="280" w:lineRule="exact"/>
      <w:jc w:val="left"/>
    </w:pPr>
    <w:rPr>
      <w:caps w:val="0"/>
      <w:sz w:val="20"/>
    </w:rPr>
  </w:style>
  <w:style w:type="paragraph" w:customStyle="1" w:styleId="TitreUpov">
    <w:name w:val="TitreUpov"/>
    <w:basedOn w:val="Normal"/>
    <w:semiHidden/>
    <w:rsid w:val="00CC0487"/>
    <w:pPr>
      <w:spacing w:before="60"/>
      <w:jc w:val="center"/>
    </w:pPr>
    <w:rPr>
      <w:b/>
      <w:sz w:val="24"/>
    </w:rPr>
  </w:style>
  <w:style w:type="paragraph" w:customStyle="1" w:styleId="StyleSessionAllcaps">
    <w:name w:val="Style Session + All caps"/>
    <w:basedOn w:val="Session"/>
    <w:semiHidden/>
    <w:rsid w:val="00CC0487"/>
    <w:pPr>
      <w:spacing w:before="480"/>
    </w:pPr>
    <w:rPr>
      <w:bCs/>
      <w:caps/>
      <w:kern w:val="28"/>
      <w:sz w:val="24"/>
    </w:rPr>
  </w:style>
  <w:style w:type="paragraph" w:customStyle="1" w:styleId="plcountry">
    <w:name w:val="plcountry"/>
    <w:basedOn w:val="Normal"/>
    <w:rsid w:val="00CC0487"/>
    <w:pPr>
      <w:keepNext/>
      <w:keepLines/>
      <w:spacing w:before="180" w:after="120"/>
      <w:jc w:val="left"/>
    </w:pPr>
    <w:rPr>
      <w:caps/>
      <w:noProof/>
      <w:snapToGrid w:val="0"/>
      <w:u w:val="single"/>
    </w:rPr>
  </w:style>
  <w:style w:type="paragraph" w:customStyle="1" w:styleId="pldetails">
    <w:name w:val="pldetails"/>
    <w:basedOn w:val="Normal"/>
    <w:rsid w:val="00CC0487"/>
    <w:pPr>
      <w:keepLines/>
      <w:spacing w:before="60" w:after="60"/>
      <w:jc w:val="left"/>
    </w:pPr>
    <w:rPr>
      <w:noProof/>
      <w:snapToGrid w:val="0"/>
    </w:rPr>
  </w:style>
  <w:style w:type="paragraph" w:customStyle="1" w:styleId="plheading">
    <w:name w:val="plheading"/>
    <w:basedOn w:val="Normal"/>
    <w:rsid w:val="00CC0487"/>
    <w:pPr>
      <w:keepNext/>
      <w:spacing w:before="480" w:after="120"/>
      <w:jc w:val="center"/>
    </w:pPr>
    <w:rPr>
      <w:caps/>
      <w:snapToGrid w:val="0"/>
      <w:u w:val="single"/>
    </w:rPr>
  </w:style>
  <w:style w:type="paragraph" w:customStyle="1" w:styleId="Sessiontcplacedate">
    <w:name w:val="Session_tc_place_date"/>
    <w:basedOn w:val="SessionMeetingPlace"/>
    <w:rsid w:val="00CC0487"/>
    <w:pPr>
      <w:spacing w:before="240"/>
      <w:contextualSpacing/>
      <w:jc w:val="left"/>
    </w:pPr>
    <w:rPr>
      <w:sz w:val="20"/>
    </w:rPr>
  </w:style>
  <w:style w:type="paragraph" w:customStyle="1" w:styleId="Titleofdoc0">
    <w:name w:val="Title_of_doc"/>
    <w:basedOn w:val="TitleofDoc"/>
    <w:rsid w:val="00CC0487"/>
    <w:pPr>
      <w:spacing w:before="600" w:after="240"/>
      <w:jc w:val="left"/>
    </w:pPr>
    <w:rPr>
      <w:b/>
    </w:rPr>
  </w:style>
  <w:style w:type="paragraph" w:customStyle="1" w:styleId="preparedby1">
    <w:name w:val="prepared_by"/>
    <w:basedOn w:val="preparedby0"/>
    <w:rsid w:val="00CC0487"/>
    <w:pPr>
      <w:spacing w:before="0" w:after="240"/>
    </w:pPr>
    <w:rPr>
      <w:iCs/>
    </w:rPr>
  </w:style>
  <w:style w:type="character" w:customStyle="1" w:styleId="CodeChar">
    <w:name w:val="Code Char"/>
    <w:basedOn w:val="DefaultParagraphFont"/>
    <w:link w:val="Code"/>
    <w:semiHidden/>
    <w:rsid w:val="00CC0487"/>
    <w:rPr>
      <w:rFonts w:ascii="Arial" w:hAnsi="Arial"/>
      <w:b/>
      <w:bCs/>
      <w:spacing w:val="10"/>
      <w:lang w:val="de-DE"/>
    </w:rPr>
  </w:style>
  <w:style w:type="paragraph" w:customStyle="1" w:styleId="endofdoc">
    <w:name w:val="end_of_doc"/>
    <w:next w:val="Header"/>
    <w:autoRedefine/>
    <w:rsid w:val="00CC0487"/>
    <w:pPr>
      <w:spacing w:before="480"/>
      <w:ind w:left="567" w:hanging="567"/>
      <w:jc w:val="right"/>
    </w:pPr>
    <w:rPr>
      <w:rFonts w:ascii="Arial" w:hAnsi="Arial"/>
    </w:rPr>
  </w:style>
  <w:style w:type="character" w:customStyle="1" w:styleId="DocoriginalChar">
    <w:name w:val="Doc_original Char"/>
    <w:basedOn w:val="CodeChar"/>
    <w:link w:val="Docoriginal"/>
    <w:rsid w:val="00CC0487"/>
    <w:rPr>
      <w:rFonts w:ascii="Arial" w:hAnsi="Arial"/>
      <w:b/>
      <w:bCs/>
      <w:spacing w:val="10"/>
      <w:sz w:val="18"/>
      <w:lang w:val="de-DE"/>
    </w:rPr>
  </w:style>
  <w:style w:type="paragraph" w:styleId="TOC2">
    <w:name w:val="toc 2"/>
    <w:next w:val="Normal"/>
    <w:autoRedefine/>
    <w:uiPriority w:val="39"/>
    <w:rsid w:val="00CC0487"/>
    <w:pPr>
      <w:tabs>
        <w:tab w:val="right" w:pos="9629"/>
      </w:tabs>
      <w:spacing w:before="40"/>
      <w:ind w:left="567" w:right="567"/>
    </w:pPr>
    <w:rPr>
      <w:rFonts w:ascii="Arial" w:hAnsi="Arial" w:cstheme="minorHAnsi"/>
      <w:iCs/>
      <w:noProof/>
    </w:rPr>
  </w:style>
  <w:style w:type="paragraph" w:styleId="TOC3">
    <w:name w:val="toc 3"/>
    <w:next w:val="Normal"/>
    <w:autoRedefine/>
    <w:uiPriority w:val="39"/>
    <w:rsid w:val="00CC0487"/>
    <w:pPr>
      <w:tabs>
        <w:tab w:val="right" w:pos="9629"/>
      </w:tabs>
      <w:spacing w:before="80" w:after="120"/>
      <w:ind w:left="1134" w:right="284"/>
      <w:contextualSpacing/>
    </w:pPr>
    <w:rPr>
      <w:rFonts w:ascii="Arial" w:hAnsi="Arial" w:cstheme="minorHAnsi"/>
      <w:i/>
      <w:noProof/>
    </w:rPr>
  </w:style>
  <w:style w:type="character" w:styleId="Hyperlink">
    <w:name w:val="Hyperlink"/>
    <w:basedOn w:val="DefaultParagraphFont"/>
    <w:uiPriority w:val="99"/>
    <w:rsid w:val="00CC0487"/>
    <w:rPr>
      <w:rFonts w:ascii="Arial" w:hAnsi="Arial"/>
      <w:color w:val="0000FF"/>
      <w:u w:val="single"/>
    </w:rPr>
  </w:style>
  <w:style w:type="paragraph" w:styleId="TOC4">
    <w:name w:val="toc 4"/>
    <w:next w:val="Normal"/>
    <w:autoRedefine/>
    <w:uiPriority w:val="39"/>
    <w:rsid w:val="00CC0487"/>
    <w:pPr>
      <w:tabs>
        <w:tab w:val="left" w:pos="1985"/>
        <w:tab w:val="right" w:pos="9629"/>
      </w:tabs>
      <w:spacing w:before="120"/>
      <w:ind w:left="1984" w:right="567" w:hanging="1383"/>
    </w:pPr>
    <w:rPr>
      <w:rFonts w:asciiTheme="minorHAnsi" w:hAnsiTheme="minorHAnsi" w:cstheme="minorHAnsi"/>
    </w:rPr>
  </w:style>
  <w:style w:type="paragraph" w:styleId="TOC1">
    <w:name w:val="toc 1"/>
    <w:next w:val="Normal"/>
    <w:autoRedefine/>
    <w:uiPriority w:val="39"/>
    <w:rsid w:val="00CC0487"/>
    <w:pPr>
      <w:tabs>
        <w:tab w:val="left" w:pos="400"/>
        <w:tab w:val="right" w:pos="9629"/>
      </w:tabs>
      <w:spacing w:before="200" w:after="120"/>
      <w:ind w:right="284"/>
    </w:pPr>
    <w:rPr>
      <w:rFonts w:ascii="Arial" w:hAnsi="Arial" w:cstheme="minorHAnsi"/>
      <w:bCs/>
      <w:caps/>
      <w:noProof/>
    </w:rPr>
  </w:style>
  <w:style w:type="paragraph" w:styleId="TOC5">
    <w:name w:val="toc 5"/>
    <w:next w:val="Normal"/>
    <w:autoRedefine/>
    <w:uiPriority w:val="39"/>
    <w:rsid w:val="00CC0487"/>
    <w:pPr>
      <w:ind w:left="800"/>
    </w:pPr>
    <w:rPr>
      <w:rFonts w:asciiTheme="minorHAnsi" w:hAnsiTheme="minorHAnsi" w:cstheme="minorHAnsi"/>
    </w:rPr>
  </w:style>
  <w:style w:type="paragraph" w:styleId="BalloonText">
    <w:name w:val="Balloon Text"/>
    <w:basedOn w:val="Normal"/>
    <w:link w:val="BalloonTextChar"/>
    <w:rsid w:val="00CC0487"/>
    <w:rPr>
      <w:rFonts w:ascii="Tahoma" w:hAnsi="Tahoma" w:cs="Tahoma"/>
      <w:sz w:val="16"/>
      <w:szCs w:val="16"/>
    </w:rPr>
  </w:style>
  <w:style w:type="character" w:customStyle="1" w:styleId="BalloonTextChar">
    <w:name w:val="Balloon Text Char"/>
    <w:basedOn w:val="DefaultParagraphFont"/>
    <w:link w:val="BalloonText"/>
    <w:rsid w:val="00CC0487"/>
    <w:rPr>
      <w:rFonts w:ascii="Tahoma" w:hAnsi="Tahoma" w:cs="Tahoma"/>
      <w:sz w:val="16"/>
      <w:szCs w:val="16"/>
      <w:lang w:val="de-DE"/>
    </w:rPr>
  </w:style>
  <w:style w:type="paragraph" w:customStyle="1" w:styleId="Doccode">
    <w:name w:val="Doc_code"/>
    <w:qFormat/>
    <w:rsid w:val="00CC0487"/>
    <w:rPr>
      <w:rFonts w:ascii="Arial" w:hAnsi="Arial"/>
      <w:b/>
      <w:bCs/>
      <w:spacing w:val="10"/>
      <w:sz w:val="18"/>
    </w:rPr>
  </w:style>
  <w:style w:type="character" w:customStyle="1" w:styleId="Heading6Char">
    <w:name w:val="Heading 6 Char"/>
    <w:basedOn w:val="DefaultParagraphFont"/>
    <w:link w:val="Heading6"/>
    <w:semiHidden/>
    <w:rsid w:val="00CC0487"/>
    <w:rPr>
      <w:rFonts w:asciiTheme="majorHAnsi" w:eastAsiaTheme="majorEastAsia" w:hAnsiTheme="majorHAnsi" w:cstheme="majorBidi"/>
      <w:color w:val="194C32" w:themeColor="accent1" w:themeShade="7F"/>
      <w:lang w:val="de-DE"/>
    </w:rPr>
  </w:style>
  <w:style w:type="table" w:styleId="TableGrid">
    <w:name w:val="Table Grid"/>
    <w:basedOn w:val="TableNormal"/>
    <w:rsid w:val="00CC048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CC0487"/>
    <w:pPr>
      <w:spacing w:before="120"/>
      <w:ind w:left="567" w:right="707"/>
    </w:pPr>
    <w:rPr>
      <w:rFonts w:cs="Arial"/>
    </w:rPr>
  </w:style>
  <w:style w:type="paragraph" w:customStyle="1" w:styleId="Inf4Heading4">
    <w:name w:val="Inf_4_Heading_4"/>
    <w:basedOn w:val="Heading4"/>
    <w:next w:val="Normal"/>
    <w:rsid w:val="00CC0487"/>
    <w:pPr>
      <w:spacing w:before="120"/>
      <w:ind w:left="0"/>
    </w:pPr>
    <w:rPr>
      <w:rFonts w:ascii="Times New Roman" w:hAnsi="Times New Roman"/>
      <w:b/>
      <w:bCs/>
      <w:sz w:val="22"/>
      <w:u w:val="none"/>
    </w:rPr>
  </w:style>
  <w:style w:type="paragraph" w:customStyle="1" w:styleId="Inf4Heading6">
    <w:name w:val="Inf_4_Heading_6"/>
    <w:basedOn w:val="Normal"/>
    <w:rsid w:val="00CC0487"/>
    <w:pPr>
      <w:keepNext/>
      <w:spacing w:before="108"/>
      <w:ind w:left="567"/>
      <w:outlineLvl w:val="5"/>
    </w:pPr>
    <w:rPr>
      <w:b/>
      <w:bCs/>
      <w:szCs w:val="24"/>
    </w:rPr>
  </w:style>
  <w:style w:type="paragraph" w:customStyle="1" w:styleId="Inf4Heading3">
    <w:name w:val="Inf_4_Heading_3"/>
    <w:basedOn w:val="Heading3"/>
    <w:rsid w:val="00CC0487"/>
    <w:pPr>
      <w:keepNext w:val="0"/>
      <w:spacing w:before="240"/>
      <w:jc w:val="center"/>
    </w:pPr>
    <w:rPr>
      <w:rFonts w:cs="Arial"/>
      <w:b w:val="0"/>
      <w:bCs/>
      <w:i/>
    </w:rPr>
  </w:style>
  <w:style w:type="character" w:customStyle="1" w:styleId="Heading3Char">
    <w:name w:val="Heading 3 Char"/>
    <w:basedOn w:val="DefaultParagraphFont"/>
    <w:link w:val="Heading3"/>
    <w:rsid w:val="00CC0487"/>
    <w:rPr>
      <w:rFonts w:ascii="Arial" w:hAnsi="Arial"/>
      <w:b/>
      <w:color w:val="26724C" w:themeColor="accent1" w:themeShade="BF"/>
      <w:sz w:val="22"/>
    </w:rPr>
  </w:style>
  <w:style w:type="paragraph" w:customStyle="1" w:styleId="StyleDocoriginalNotBold">
    <w:name w:val="Style Doc_original + Not Bold"/>
    <w:basedOn w:val="Docoriginal"/>
    <w:link w:val="StyleDocoriginalNotBoldChar"/>
    <w:autoRedefine/>
    <w:rsid w:val="00CC0487"/>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CC0487"/>
    <w:rPr>
      <w:rFonts w:ascii="Arial" w:hAnsi="Arial"/>
      <w:b/>
      <w:bCs/>
      <w:spacing w:val="10"/>
      <w:sz w:val="18"/>
      <w:lang w:val="fr-FR"/>
    </w:rPr>
  </w:style>
  <w:style w:type="paragraph" w:customStyle="1" w:styleId="StyleDocnumber">
    <w:name w:val="Style Doc_number"/>
    <w:basedOn w:val="Docoriginal"/>
    <w:rsid w:val="00CC0487"/>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CC0487"/>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CC048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CC048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CC0487"/>
    <w:rPr>
      <w:rFonts w:ascii="Arial" w:hAnsi="Arial"/>
      <w:b w:val="0"/>
      <w:bCs w:val="0"/>
      <w:spacing w:val="10"/>
      <w:sz w:val="18"/>
      <w:lang w:val="fr-FR"/>
    </w:rPr>
  </w:style>
  <w:style w:type="character" w:customStyle="1" w:styleId="StyleDocoriginalNotBold1">
    <w:name w:val="Style Doc_original + Not Bold1"/>
    <w:basedOn w:val="DefaultParagraphFont"/>
    <w:rsid w:val="00CC0487"/>
    <w:rPr>
      <w:rFonts w:ascii="Arial" w:hAnsi="Arial"/>
      <w:b/>
      <w:bCs/>
      <w:spacing w:val="10"/>
      <w:lang w:val="en-US" w:eastAsia="en-US" w:bidi="ar-SA"/>
    </w:rPr>
  </w:style>
  <w:style w:type="character" w:customStyle="1" w:styleId="StyleDoclangBold">
    <w:name w:val="Style Doc_lang + Bold"/>
    <w:basedOn w:val="Doclang"/>
    <w:rsid w:val="00CC0487"/>
    <w:rPr>
      <w:rFonts w:ascii="Arial" w:hAnsi="Arial"/>
      <w:b/>
      <w:bCs/>
      <w:sz w:val="20"/>
      <w:lang w:val="en-US"/>
    </w:rPr>
  </w:style>
  <w:style w:type="paragraph" w:styleId="ListParagraph">
    <w:name w:val="List Paragraph"/>
    <w:basedOn w:val="Normal"/>
    <w:uiPriority w:val="34"/>
    <w:qFormat/>
    <w:rsid w:val="00CC0487"/>
    <w:pPr>
      <w:ind w:left="720"/>
      <w:contextualSpacing/>
    </w:pPr>
  </w:style>
  <w:style w:type="paragraph" w:customStyle="1" w:styleId="ZchnZchn1">
    <w:name w:val="Zchn Zchn1"/>
    <w:basedOn w:val="Normal"/>
    <w:rsid w:val="00CC0487"/>
    <w:pPr>
      <w:spacing w:after="160" w:line="240" w:lineRule="exact"/>
      <w:jc w:val="left"/>
    </w:pPr>
    <w:rPr>
      <w:rFonts w:ascii="Verdana" w:eastAsia="PMingLiU" w:hAnsi="Verdana"/>
    </w:rPr>
  </w:style>
  <w:style w:type="paragraph" w:styleId="Subtitle">
    <w:name w:val="Subtitle"/>
    <w:basedOn w:val="Normal"/>
    <w:link w:val="SubtitleChar"/>
    <w:qFormat/>
    <w:rsid w:val="00CC0487"/>
    <w:pPr>
      <w:jc w:val="center"/>
    </w:pPr>
    <w:rPr>
      <w:rFonts w:ascii="Times New Roman" w:hAnsi="Times New Roman"/>
      <w:b/>
      <w:caps/>
      <w:color w:val="0000FF"/>
      <w:sz w:val="28"/>
    </w:rPr>
  </w:style>
  <w:style w:type="character" w:customStyle="1" w:styleId="SubtitleChar">
    <w:name w:val="Subtitle Char"/>
    <w:basedOn w:val="DefaultParagraphFont"/>
    <w:link w:val="Subtitle"/>
    <w:rsid w:val="00CC0487"/>
    <w:rPr>
      <w:b/>
      <w:caps/>
      <w:color w:val="0000FF"/>
      <w:sz w:val="28"/>
      <w:lang w:val="de-DE"/>
    </w:rPr>
  </w:style>
  <w:style w:type="paragraph" w:customStyle="1" w:styleId="Endofdocument">
    <w:name w:val="End of document"/>
    <w:basedOn w:val="Normal"/>
    <w:rsid w:val="00CC0487"/>
    <w:pPr>
      <w:ind w:left="4536"/>
      <w:jc w:val="center"/>
    </w:pPr>
    <w:rPr>
      <w:rFonts w:ascii="Times New Roman" w:hAnsi="Times New Roman"/>
      <w:sz w:val="24"/>
    </w:rPr>
  </w:style>
  <w:style w:type="paragraph" w:customStyle="1" w:styleId="BodyTextKeep">
    <w:name w:val="Body Text Keep"/>
    <w:basedOn w:val="BodyText"/>
    <w:rsid w:val="00CC0487"/>
    <w:pPr>
      <w:keepNext/>
      <w:spacing w:after="160"/>
      <w:jc w:val="left"/>
    </w:pPr>
    <w:rPr>
      <w:rFonts w:ascii="Times New Roman" w:hAnsi="Times New Roman"/>
    </w:rPr>
  </w:style>
  <w:style w:type="character" w:styleId="Emphasis">
    <w:name w:val="Emphasis"/>
    <w:basedOn w:val="DefaultParagraphFont"/>
    <w:qFormat/>
    <w:rsid w:val="00CC0487"/>
    <w:rPr>
      <w:i/>
      <w:iCs/>
    </w:rPr>
  </w:style>
  <w:style w:type="character" w:customStyle="1" w:styleId="HeaderChar">
    <w:name w:val="Header Char"/>
    <w:basedOn w:val="DefaultParagraphFont"/>
    <w:link w:val="Header"/>
    <w:uiPriority w:val="99"/>
    <w:rsid w:val="00CC0487"/>
    <w:rPr>
      <w:rFonts w:ascii="Arial" w:hAnsi="Arial"/>
    </w:rPr>
  </w:style>
  <w:style w:type="character" w:styleId="CommentReference">
    <w:name w:val="annotation reference"/>
    <w:basedOn w:val="DefaultParagraphFont"/>
    <w:rsid w:val="00CC0487"/>
    <w:rPr>
      <w:sz w:val="16"/>
      <w:szCs w:val="16"/>
    </w:rPr>
  </w:style>
  <w:style w:type="paragraph" w:styleId="CommentText">
    <w:name w:val="annotation text"/>
    <w:basedOn w:val="Normal"/>
    <w:link w:val="CommentTextChar"/>
    <w:rsid w:val="00CC0487"/>
  </w:style>
  <w:style w:type="character" w:customStyle="1" w:styleId="CommentTextChar">
    <w:name w:val="Comment Text Char"/>
    <w:basedOn w:val="DefaultParagraphFont"/>
    <w:link w:val="CommentText"/>
    <w:rsid w:val="00CC0487"/>
    <w:rPr>
      <w:rFonts w:ascii="Arial" w:hAnsi="Arial"/>
      <w:lang w:val="de-DE"/>
    </w:rPr>
  </w:style>
  <w:style w:type="paragraph" w:styleId="CommentSubject">
    <w:name w:val="annotation subject"/>
    <w:basedOn w:val="CommentText"/>
    <w:next w:val="CommentText"/>
    <w:link w:val="CommentSubjectChar"/>
    <w:rsid w:val="00CC0487"/>
    <w:rPr>
      <w:b/>
      <w:bCs/>
    </w:rPr>
  </w:style>
  <w:style w:type="character" w:customStyle="1" w:styleId="CommentSubjectChar">
    <w:name w:val="Comment Subject Char"/>
    <w:basedOn w:val="CommentTextChar"/>
    <w:link w:val="CommentSubject"/>
    <w:rsid w:val="00CC0487"/>
    <w:rPr>
      <w:rFonts w:ascii="Arial" w:hAnsi="Arial"/>
      <w:b/>
      <w:bCs/>
      <w:lang w:val="de-DE"/>
    </w:rPr>
  </w:style>
  <w:style w:type="paragraph" w:styleId="NormalWeb">
    <w:name w:val="Normal (Web)"/>
    <w:basedOn w:val="Normal"/>
    <w:uiPriority w:val="99"/>
    <w:unhideWhenUsed/>
    <w:rsid w:val="00CC0487"/>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CC0487"/>
    <w:pPr>
      <w:keepLines/>
      <w:spacing w:before="480" w:line="276" w:lineRule="auto"/>
      <w:ind w:left="567" w:hanging="567"/>
      <w:outlineLvl w:val="9"/>
    </w:pPr>
    <w:rPr>
      <w:rFonts w:asciiTheme="majorHAnsi" w:eastAsiaTheme="majorEastAsia" w:hAnsiTheme="majorHAnsi" w:cstheme="majorBidi"/>
      <w:b/>
      <w:bCs/>
      <w:caps w:val="0"/>
      <w:sz w:val="28"/>
      <w:szCs w:val="28"/>
      <w:lang w:eastAsia="ja-JP"/>
    </w:rPr>
  </w:style>
  <w:style w:type="paragraph" w:customStyle="1" w:styleId="figures">
    <w:name w:val="figures"/>
    <w:basedOn w:val="Normal"/>
    <w:next w:val="Normal"/>
    <w:qFormat/>
    <w:rsid w:val="00CC0487"/>
    <w:pPr>
      <w:keepNext/>
      <w:spacing w:after="60"/>
      <w:jc w:val="center"/>
    </w:pPr>
    <w:rPr>
      <w:rFonts w:eastAsia="MS Mincho"/>
      <w:i/>
      <w:sz w:val="18"/>
      <w:lang w:eastAsia="ja-JP"/>
    </w:rPr>
  </w:style>
  <w:style w:type="character" w:customStyle="1" w:styleId="BodyTextChar">
    <w:name w:val="Body Text Char"/>
    <w:basedOn w:val="DefaultParagraphFont"/>
    <w:link w:val="BodyText"/>
    <w:locked/>
    <w:rsid w:val="00CC0487"/>
    <w:rPr>
      <w:rFonts w:ascii="Arial" w:hAnsi="Arial"/>
      <w:lang w:val="de-DE"/>
    </w:rPr>
  </w:style>
  <w:style w:type="paragraph" w:styleId="Caption">
    <w:name w:val="caption"/>
    <w:basedOn w:val="Heading9"/>
    <w:next w:val="Normal"/>
    <w:unhideWhenUsed/>
    <w:qFormat/>
    <w:rsid w:val="00CC0487"/>
    <w:pPr>
      <w:spacing w:after="120"/>
      <w:jc w:val="center"/>
    </w:pPr>
    <w:rPr>
      <w:rFonts w:eastAsiaTheme="minorEastAsia"/>
      <w:bCs/>
      <w:szCs w:val="18"/>
    </w:rPr>
  </w:style>
  <w:style w:type="paragraph" w:styleId="BodyText3">
    <w:name w:val="Body Text 3"/>
    <w:basedOn w:val="Normal"/>
    <w:link w:val="BodyText3Char"/>
    <w:rsid w:val="00CC0487"/>
    <w:pPr>
      <w:spacing w:after="120"/>
      <w:jc w:val="left"/>
    </w:pPr>
    <w:rPr>
      <w:rFonts w:ascii="Times New Roman" w:hAnsi="Times New Roman"/>
      <w:sz w:val="16"/>
      <w:szCs w:val="16"/>
    </w:rPr>
  </w:style>
  <w:style w:type="character" w:customStyle="1" w:styleId="BodyText3Char">
    <w:name w:val="Body Text 3 Char"/>
    <w:basedOn w:val="DefaultParagraphFont"/>
    <w:link w:val="BodyText3"/>
    <w:rsid w:val="00CC0487"/>
    <w:rPr>
      <w:sz w:val="16"/>
      <w:szCs w:val="16"/>
      <w:lang w:val="de-DE"/>
    </w:rPr>
  </w:style>
  <w:style w:type="paragraph" w:customStyle="1" w:styleId="annexiparanumbered">
    <w:name w:val="annex_i_para_numbered"/>
    <w:basedOn w:val="ListParagraph"/>
    <w:qFormat/>
    <w:rsid w:val="00CC0487"/>
    <w:pPr>
      <w:numPr>
        <w:numId w:val="4"/>
      </w:numPr>
    </w:pPr>
  </w:style>
  <w:style w:type="character" w:styleId="FollowedHyperlink">
    <w:name w:val="FollowedHyperlink"/>
    <w:basedOn w:val="DefaultParagraphFont"/>
    <w:semiHidden/>
    <w:unhideWhenUsed/>
    <w:rsid w:val="00CC0487"/>
    <w:rPr>
      <w:color w:val="FFCCCC" w:themeColor="followedHyperlink"/>
      <w:u w:val="single"/>
    </w:rPr>
  </w:style>
  <w:style w:type="paragraph" w:customStyle="1" w:styleId="Default">
    <w:name w:val="Default"/>
    <w:rsid w:val="00CC0487"/>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CC0487"/>
    <w:rPr>
      <w:rFonts w:ascii="Arial" w:hAnsi="Arial"/>
      <w:sz w:val="16"/>
    </w:rPr>
  </w:style>
  <w:style w:type="paragraph" w:styleId="TOC6">
    <w:name w:val="toc 6"/>
    <w:basedOn w:val="Normal"/>
    <w:next w:val="Normal"/>
    <w:autoRedefine/>
    <w:unhideWhenUsed/>
    <w:rsid w:val="00CC0487"/>
    <w:pPr>
      <w:ind w:left="1000"/>
      <w:jc w:val="left"/>
    </w:pPr>
    <w:rPr>
      <w:rFonts w:asciiTheme="minorHAnsi" w:hAnsiTheme="minorHAnsi" w:cstheme="minorHAnsi"/>
    </w:rPr>
  </w:style>
  <w:style w:type="paragraph" w:styleId="TOC7">
    <w:name w:val="toc 7"/>
    <w:basedOn w:val="Normal"/>
    <w:next w:val="Normal"/>
    <w:autoRedefine/>
    <w:unhideWhenUsed/>
    <w:rsid w:val="00CC0487"/>
    <w:pPr>
      <w:ind w:left="1200"/>
      <w:jc w:val="left"/>
    </w:pPr>
    <w:rPr>
      <w:rFonts w:asciiTheme="minorHAnsi" w:hAnsiTheme="minorHAnsi" w:cstheme="minorHAnsi"/>
    </w:rPr>
  </w:style>
  <w:style w:type="paragraph" w:styleId="TOC8">
    <w:name w:val="toc 8"/>
    <w:basedOn w:val="Normal"/>
    <w:next w:val="Normal"/>
    <w:autoRedefine/>
    <w:unhideWhenUsed/>
    <w:rsid w:val="00CC0487"/>
    <w:pPr>
      <w:ind w:left="1400"/>
      <w:jc w:val="left"/>
    </w:pPr>
    <w:rPr>
      <w:rFonts w:asciiTheme="minorHAnsi" w:hAnsiTheme="minorHAnsi" w:cstheme="minorHAnsi"/>
    </w:rPr>
  </w:style>
  <w:style w:type="paragraph" w:styleId="TOC9">
    <w:name w:val="toc 9"/>
    <w:basedOn w:val="Normal"/>
    <w:next w:val="Normal"/>
    <w:autoRedefine/>
    <w:unhideWhenUsed/>
    <w:rsid w:val="00CC0487"/>
    <w:pPr>
      <w:ind w:left="1600"/>
      <w:jc w:val="left"/>
    </w:pPr>
    <w:rPr>
      <w:rFonts w:asciiTheme="minorHAnsi" w:hAnsiTheme="minorHAnsi" w:cstheme="minorHAnsi"/>
    </w:rPr>
  </w:style>
  <w:style w:type="paragraph" w:styleId="Revision">
    <w:name w:val="Revision"/>
    <w:hidden/>
    <w:uiPriority w:val="99"/>
    <w:semiHidden/>
    <w:rsid w:val="00CC0487"/>
    <w:rPr>
      <w:rFonts w:ascii="Arial" w:hAnsi="Arial"/>
    </w:rPr>
  </w:style>
  <w:style w:type="character" w:customStyle="1" w:styleId="NichtaufgelsteErwhnung1">
    <w:name w:val="Nicht aufgelöste Erwähnung1"/>
    <w:basedOn w:val="DefaultParagraphFont"/>
    <w:uiPriority w:val="99"/>
    <w:semiHidden/>
    <w:unhideWhenUsed/>
    <w:rsid w:val="00CC0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4.xm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footer" Target="footer18.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header" Target="header9.xml"/><Relationship Id="rId11" Type="http://schemas.openxmlformats.org/officeDocument/2006/relationships/image" Target="media/image3.emf"/><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eader" Target="header12.xml"/><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3.xml"/><Relationship Id="rId31" Type="http://schemas.openxmlformats.org/officeDocument/2006/relationships/header" Target="header10.xml"/><Relationship Id="rId44"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hyperlink" Target="https://www.upov.int/about/de/faq.html"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header" Target="header16.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7.xml"/><Relationship Id="rId20" Type="http://schemas.openxmlformats.org/officeDocument/2006/relationships/header" Target="header5.xml"/><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7%20(2023)\templates\c_57_DE.dotx" TargetMode="External"/></Relationships>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c_57_DE.dotx</Template>
  <TotalTime>5</TotalTime>
  <Pages>24</Pages>
  <Words>7556</Words>
  <Characters>54481</Characters>
  <Application>Microsoft Office Word</Application>
  <DocSecurity>0</DocSecurity>
  <Lines>454</Lines>
  <Paragraphs>123</Paragraphs>
  <ScaleCrop>false</ScaleCrop>
  <HeadingPairs>
    <vt:vector size="2" baseType="variant">
      <vt:variant>
        <vt:lpstr>Title</vt:lpstr>
      </vt:variant>
      <vt:variant>
        <vt:i4>1</vt:i4>
      </vt:variant>
    </vt:vector>
  </HeadingPairs>
  <TitlesOfParts>
    <vt:vector size="1" baseType="lpstr">
      <vt:lpstr>C/57/4</vt:lpstr>
    </vt:vector>
  </TitlesOfParts>
  <Company>UPOV</Company>
  <LinksUpToDate>false</LinksUpToDate>
  <CharactersWithSpaces>61914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C/57/4 Rev.</dc:title>
  <dc:creator>SANCHEZ VIZCAINO GOMEZ Rosa Maria</dc:creator>
  <cp:lastModifiedBy>SANCHEZ VIZCAINO GOMEZ Rosa Maria</cp:lastModifiedBy>
  <cp:revision>7</cp:revision>
  <cp:lastPrinted>2016-11-22T15:41:00Z</cp:lastPrinted>
  <dcterms:created xsi:type="dcterms:W3CDTF">2023-11-13T10:49:00Z</dcterms:created>
  <dcterms:modified xsi:type="dcterms:W3CDTF">2023-11-13T10:54:00Z</dcterms:modified>
</cp:coreProperties>
</file>