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94832" w:rsidRPr="00743A61" w14:paraId="09B70F38" w14:textId="77777777" w:rsidTr="00211579">
        <w:tc>
          <w:tcPr>
            <w:tcW w:w="6522" w:type="dxa"/>
          </w:tcPr>
          <w:p w14:paraId="30540838" w14:textId="77777777" w:rsidR="00994832" w:rsidRPr="00743A61" w:rsidRDefault="00994832" w:rsidP="00211579">
            <w:pPr>
              <w:rPr>
                <w:lang w:val="de-DE"/>
              </w:rPr>
            </w:pPr>
            <w:r w:rsidRPr="00743A61">
              <w:rPr>
                <w:noProof/>
                <w:lang w:val="de-DE"/>
              </w:rPr>
              <w:drawing>
                <wp:inline distT="0" distB="0" distL="0" distR="0" wp14:anchorId="039A8B8A" wp14:editId="5AE7EC5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2CC110E" w14:textId="77777777" w:rsidR="00994832" w:rsidRPr="00743A61" w:rsidRDefault="00994832" w:rsidP="00211579">
            <w:pPr>
              <w:pStyle w:val="Lettrine"/>
              <w:rPr>
                <w:lang w:val="de-DE"/>
              </w:rPr>
            </w:pPr>
            <w:r w:rsidRPr="00743A61">
              <w:rPr>
                <w:lang w:val="de-DE"/>
              </w:rPr>
              <w:t>G</w:t>
            </w:r>
          </w:p>
        </w:tc>
      </w:tr>
      <w:tr w:rsidR="00994832" w:rsidRPr="00692C28" w14:paraId="248F2604" w14:textId="77777777" w:rsidTr="00211579">
        <w:trPr>
          <w:trHeight w:val="219"/>
        </w:trPr>
        <w:tc>
          <w:tcPr>
            <w:tcW w:w="6522" w:type="dxa"/>
          </w:tcPr>
          <w:p w14:paraId="4ECF959C" w14:textId="77777777" w:rsidR="00994832" w:rsidRPr="00743A61" w:rsidRDefault="00994832" w:rsidP="00211579">
            <w:pPr>
              <w:pStyle w:val="upove"/>
              <w:rPr>
                <w:lang w:val="de-DE"/>
              </w:rPr>
            </w:pPr>
            <w:r w:rsidRPr="00743A61">
              <w:rPr>
                <w:lang w:val="de-DE"/>
              </w:rPr>
              <w:t>Internationaler Verband zum Schutz von Pflanzenzüchtungen</w:t>
            </w:r>
          </w:p>
        </w:tc>
        <w:tc>
          <w:tcPr>
            <w:tcW w:w="3117" w:type="dxa"/>
          </w:tcPr>
          <w:p w14:paraId="0CAB5957" w14:textId="77777777" w:rsidR="00994832" w:rsidRPr="00743A61" w:rsidRDefault="00994832" w:rsidP="00211579">
            <w:pPr>
              <w:rPr>
                <w:lang w:val="de-DE"/>
              </w:rPr>
            </w:pPr>
          </w:p>
        </w:tc>
      </w:tr>
    </w:tbl>
    <w:p w14:paraId="22B21EE7" w14:textId="77777777" w:rsidR="00994832" w:rsidRPr="00743A61" w:rsidRDefault="00994832" w:rsidP="00994832">
      <w:pPr>
        <w:rPr>
          <w:lang w:val="de-DE"/>
        </w:rPr>
      </w:pPr>
    </w:p>
    <w:p w14:paraId="26584748" w14:textId="77777777" w:rsidR="00994832" w:rsidRPr="00743A61" w:rsidRDefault="00994832" w:rsidP="0099483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94832" w:rsidRPr="00692C28" w14:paraId="40C022DA" w14:textId="77777777" w:rsidTr="00211579">
        <w:tc>
          <w:tcPr>
            <w:tcW w:w="6512" w:type="dxa"/>
          </w:tcPr>
          <w:p w14:paraId="23B353F3" w14:textId="77777777" w:rsidR="00994832" w:rsidRPr="00743A61" w:rsidRDefault="00994832" w:rsidP="00211579">
            <w:pPr>
              <w:pStyle w:val="Sessiontc"/>
              <w:spacing w:line="240" w:lineRule="auto"/>
              <w:rPr>
                <w:lang w:val="de-DE"/>
              </w:rPr>
            </w:pPr>
            <w:r w:rsidRPr="00743A61">
              <w:rPr>
                <w:lang w:val="de-DE"/>
              </w:rPr>
              <w:t>Der Rat</w:t>
            </w:r>
          </w:p>
          <w:p w14:paraId="31A84CFF" w14:textId="77777777" w:rsidR="00994832" w:rsidRPr="00743A61" w:rsidRDefault="00994832" w:rsidP="00211579">
            <w:pPr>
              <w:pStyle w:val="Sessiontcplacedate"/>
              <w:rPr>
                <w:lang w:val="de-DE"/>
              </w:rPr>
            </w:pPr>
            <w:r w:rsidRPr="00743A61">
              <w:rPr>
                <w:lang w:val="de-DE"/>
              </w:rPr>
              <w:t>Siebenundfünfzigste ordentliche Tagung</w:t>
            </w:r>
          </w:p>
          <w:p w14:paraId="209EA390" w14:textId="77777777" w:rsidR="00994832" w:rsidRPr="00743A61" w:rsidRDefault="00994832" w:rsidP="00211579">
            <w:pPr>
              <w:pStyle w:val="Sessiontcplacedate"/>
              <w:rPr>
                <w:sz w:val="22"/>
                <w:lang w:val="de-DE"/>
              </w:rPr>
            </w:pPr>
            <w:r w:rsidRPr="00743A61">
              <w:rPr>
                <w:lang w:val="de-DE"/>
              </w:rPr>
              <w:t>Genf, 27. Oktober 2023</w:t>
            </w:r>
          </w:p>
        </w:tc>
        <w:tc>
          <w:tcPr>
            <w:tcW w:w="3127" w:type="dxa"/>
          </w:tcPr>
          <w:p w14:paraId="00F58563" w14:textId="77777777" w:rsidR="00994832" w:rsidRPr="00743A61" w:rsidRDefault="00994832" w:rsidP="00211579">
            <w:pPr>
              <w:pStyle w:val="Doccode"/>
              <w:rPr>
                <w:lang w:val="de-DE"/>
              </w:rPr>
            </w:pPr>
            <w:r w:rsidRPr="00743A61">
              <w:rPr>
                <w:lang w:val="de-DE"/>
              </w:rPr>
              <w:t>C/57/14</w:t>
            </w:r>
          </w:p>
          <w:p w14:paraId="660AD1AC" w14:textId="43638CA2" w:rsidR="00994832" w:rsidRPr="00743A61" w:rsidRDefault="00994832" w:rsidP="00211579">
            <w:pPr>
              <w:pStyle w:val="Docoriginal"/>
              <w:rPr>
                <w:lang w:val="de-DE"/>
              </w:rPr>
            </w:pPr>
            <w:r w:rsidRPr="00743A61">
              <w:rPr>
                <w:lang w:val="de-DE"/>
              </w:rPr>
              <w:t>Original:</w:t>
            </w:r>
            <w:r w:rsidRPr="00743A61">
              <w:rPr>
                <w:b w:val="0"/>
                <w:spacing w:val="0"/>
                <w:lang w:val="de-DE"/>
              </w:rPr>
              <w:t xml:space="preserve"> Englisch</w:t>
            </w:r>
          </w:p>
          <w:p w14:paraId="481AA1DB" w14:textId="5D16E84F" w:rsidR="00994832" w:rsidRPr="00743A61" w:rsidRDefault="00994832" w:rsidP="00211579">
            <w:pPr>
              <w:pStyle w:val="Docoriginal"/>
              <w:rPr>
                <w:lang w:val="de-DE"/>
              </w:rPr>
            </w:pPr>
            <w:r w:rsidRPr="00743A61">
              <w:rPr>
                <w:lang w:val="de-DE"/>
              </w:rPr>
              <w:t xml:space="preserve">Datum: </w:t>
            </w:r>
            <w:r w:rsidRPr="00743A61">
              <w:rPr>
                <w:b w:val="0"/>
                <w:spacing w:val="0"/>
                <w:lang w:val="de-DE"/>
              </w:rPr>
              <w:t>20. Oktober 2023</w:t>
            </w:r>
          </w:p>
        </w:tc>
      </w:tr>
    </w:tbl>
    <w:p w14:paraId="2605EC4C" w14:textId="77777777" w:rsidR="00994832" w:rsidRPr="00743A61" w:rsidRDefault="00994832" w:rsidP="00994832">
      <w:pPr>
        <w:pStyle w:val="Titleofdoc"/>
        <w:rPr>
          <w:lang w:val="de-DE"/>
        </w:rPr>
      </w:pPr>
      <w:r w:rsidRPr="00743A61">
        <w:rPr>
          <w:lang w:val="de-DE"/>
        </w:rPr>
        <w:t>ERNENNUNG DES EXTERNEN REVISORS</w:t>
      </w:r>
    </w:p>
    <w:p w14:paraId="4C46F70D" w14:textId="77777777" w:rsidR="00994832" w:rsidRPr="00743A61" w:rsidRDefault="00994832" w:rsidP="00994832">
      <w:pPr>
        <w:pStyle w:val="preparedby"/>
        <w:jc w:val="left"/>
        <w:rPr>
          <w:lang w:val="de-DE"/>
        </w:rPr>
      </w:pPr>
      <w:r w:rsidRPr="00743A61">
        <w:rPr>
          <w:lang w:val="de-DE"/>
        </w:rPr>
        <w:t>Vom Verbandsbüro erstelltes Dokument</w:t>
      </w:r>
    </w:p>
    <w:p w14:paraId="59808696" w14:textId="77777777" w:rsidR="00994832" w:rsidRPr="00743A61" w:rsidRDefault="00994832" w:rsidP="00994832">
      <w:pPr>
        <w:pStyle w:val="Disclaimer"/>
        <w:rPr>
          <w:lang w:val="de-DE"/>
        </w:rPr>
      </w:pPr>
      <w:r w:rsidRPr="00743A61">
        <w:rPr>
          <w:rFonts w:cs="Arial"/>
          <w:lang w:val="de-DE"/>
        </w:rPr>
        <w:t>Haftungsausschluss: dieses Dokument gibt nicht die Grundsätze oder eine Anleitung der UPOV wieder</w:t>
      </w:r>
    </w:p>
    <w:p w14:paraId="32B812AB" w14:textId="77777777" w:rsidR="00994832" w:rsidRPr="00743A61" w:rsidRDefault="00994832" w:rsidP="00994832">
      <w:pPr>
        <w:rPr>
          <w:lang w:val="de-DE"/>
        </w:rPr>
      </w:pPr>
      <w:r w:rsidRPr="00743A61">
        <w:rPr>
          <w:lang w:val="de-DE"/>
        </w:rPr>
        <w:t>ZUSAMMENFASSUNG</w:t>
      </w:r>
    </w:p>
    <w:p w14:paraId="5AB0EC5B" w14:textId="77777777" w:rsidR="00994832" w:rsidRPr="00743A61" w:rsidRDefault="00994832" w:rsidP="00994832">
      <w:pPr>
        <w:rPr>
          <w:lang w:val="de-DE"/>
        </w:rPr>
      </w:pPr>
    </w:p>
    <w:p w14:paraId="50684EC7" w14:textId="77777777" w:rsidR="00994832" w:rsidRPr="00743A61" w:rsidRDefault="00994832" w:rsidP="00994832">
      <w:pPr>
        <w:rPr>
          <w:lang w:val="de-DE"/>
        </w:rPr>
      </w:pPr>
      <w:r w:rsidRPr="00743A61">
        <w:rPr>
          <w:lang w:val="de-DE"/>
        </w:rPr>
        <w:fldChar w:fldCharType="begin"/>
      </w:r>
      <w:r w:rsidRPr="00743A61">
        <w:rPr>
          <w:lang w:val="de-DE"/>
        </w:rPr>
        <w:instrText xml:space="preserve"> AUTONUM  </w:instrText>
      </w:r>
      <w:r w:rsidRPr="00743A61">
        <w:rPr>
          <w:lang w:val="de-DE"/>
        </w:rPr>
        <w:fldChar w:fldCharType="end"/>
      </w:r>
      <w:r w:rsidRPr="00743A61">
        <w:rPr>
          <w:lang w:val="de-DE"/>
        </w:rPr>
        <w:tab/>
        <w:t xml:space="preserve">Zweck dieses Dokuments ist es, über die Entscheidung der Generalversammlung der Weltorganisation für geistiges Eigentum (WIPO) über die Ernennung des Externen Revisors der WIPO und über die Entwicklungen in Bezug auf die Konsultationen über das Verfahren für die Ernennung des Externen Revisors der UPOV für eine Amtszeit von sechs Jahren, von Januar 2024 bis Dezember 2029, zu berichten. </w:t>
      </w:r>
      <w:bookmarkStart w:id="0" w:name="_Hlk148560781"/>
    </w:p>
    <w:p w14:paraId="4CA2FB77" w14:textId="77777777" w:rsidR="00994832" w:rsidRPr="00743A61" w:rsidRDefault="00994832" w:rsidP="00994832">
      <w:pPr>
        <w:rPr>
          <w:lang w:val="de-DE"/>
        </w:rPr>
      </w:pPr>
    </w:p>
    <w:bookmarkEnd w:id="0"/>
    <w:p w14:paraId="2395CF89" w14:textId="77777777" w:rsidR="00994832" w:rsidRPr="00743A61" w:rsidRDefault="00994832" w:rsidP="00994832">
      <w:pPr>
        <w:rPr>
          <w:lang w:val="de-DE"/>
        </w:rPr>
      </w:pPr>
      <w:r w:rsidRPr="00743A61">
        <w:rPr>
          <w:lang w:val="de-DE"/>
        </w:rPr>
        <w:fldChar w:fldCharType="begin"/>
      </w:r>
      <w:r w:rsidRPr="00743A61">
        <w:rPr>
          <w:lang w:val="de-DE"/>
        </w:rPr>
        <w:instrText xml:space="preserve"> AUTONUM  </w:instrText>
      </w:r>
      <w:r w:rsidRPr="00743A61">
        <w:rPr>
          <w:lang w:val="de-DE"/>
        </w:rPr>
        <w:fldChar w:fldCharType="end"/>
      </w:r>
      <w:r w:rsidRPr="00743A61">
        <w:rPr>
          <w:lang w:val="de-DE"/>
        </w:rPr>
        <w:tab/>
        <w:t>Der Rat wird ersucht:</w:t>
      </w:r>
    </w:p>
    <w:p w14:paraId="4547834D" w14:textId="77777777" w:rsidR="00994832" w:rsidRPr="00743A61" w:rsidRDefault="00994832" w:rsidP="00994832">
      <w:pPr>
        <w:rPr>
          <w:lang w:val="de-DE"/>
        </w:rPr>
      </w:pPr>
    </w:p>
    <w:p w14:paraId="6384F437" w14:textId="42FA36DB" w:rsidR="00994832" w:rsidRPr="00743A61" w:rsidRDefault="00994832" w:rsidP="00994832">
      <w:pPr>
        <w:rPr>
          <w:lang w:val="de-DE"/>
        </w:rPr>
      </w:pPr>
      <w:r w:rsidRPr="00743A61">
        <w:rPr>
          <w:lang w:val="de-DE"/>
        </w:rPr>
        <w:tab/>
        <w:t>a)</w:t>
      </w:r>
      <w:r w:rsidRPr="00743A61">
        <w:rPr>
          <w:lang w:val="de-DE"/>
        </w:rPr>
        <w:tab/>
        <w:t>die Entscheidung der WIPO-Generalversammlung auf ihrer vierundsechzigsten (64.</w:t>
      </w:r>
      <w:r w:rsidR="007122AE">
        <w:rPr>
          <w:lang w:val="de-DE"/>
        </w:rPr>
        <w:t> </w:t>
      </w:r>
      <w:r w:rsidRPr="00743A61">
        <w:rPr>
          <w:lang w:val="de-DE"/>
        </w:rPr>
        <w:t>ordentlichen) Tagung vom 6. bis 14. Juli 2023 in Genf über die Ernennung des Rechnungshofs von Indonesien zum Externen Revisor der WIPO für einen Zeitraum von sechs Jahren, beginnend am 1.</w:t>
      </w:r>
      <w:r w:rsidR="007122AE">
        <w:rPr>
          <w:lang w:val="de-DE"/>
        </w:rPr>
        <w:t> </w:t>
      </w:r>
      <w:r w:rsidRPr="00743A61">
        <w:rPr>
          <w:lang w:val="de-DE"/>
        </w:rPr>
        <w:t>Januar</w:t>
      </w:r>
      <w:r w:rsidR="007122AE">
        <w:rPr>
          <w:lang w:val="de-DE"/>
        </w:rPr>
        <w:t> </w:t>
      </w:r>
      <w:r w:rsidRPr="00743A61">
        <w:rPr>
          <w:lang w:val="de-DE"/>
        </w:rPr>
        <w:t xml:space="preserve">2024, zur Kenntnis nehmen; und </w:t>
      </w:r>
    </w:p>
    <w:p w14:paraId="7E99DA9D" w14:textId="77777777" w:rsidR="00994832" w:rsidRPr="00743A61" w:rsidRDefault="00994832" w:rsidP="00994832">
      <w:pPr>
        <w:rPr>
          <w:lang w:val="de-DE"/>
        </w:rPr>
      </w:pPr>
      <w:bookmarkStart w:id="1" w:name="_Hlk148562744"/>
    </w:p>
    <w:p w14:paraId="6F64A3CE" w14:textId="59E4083C" w:rsidR="00994832" w:rsidRPr="00743A61" w:rsidRDefault="00994832" w:rsidP="00994832">
      <w:pPr>
        <w:rPr>
          <w:lang w:val="de-DE"/>
        </w:rPr>
      </w:pPr>
      <w:r w:rsidRPr="00743A61">
        <w:rPr>
          <w:lang w:val="de-DE"/>
        </w:rPr>
        <w:tab/>
        <w:t>b)</w:t>
      </w:r>
      <w:r w:rsidR="007122AE">
        <w:rPr>
          <w:lang w:val="de-DE"/>
        </w:rPr>
        <w:tab/>
      </w:r>
      <w:r w:rsidRPr="00743A61">
        <w:rPr>
          <w:lang w:val="de-DE"/>
        </w:rPr>
        <w:t>die Informationen über die Konsultationen betreffend die Ernennung des Externen Revisors der UPOV für eine Amtszeit von sechs Jahren, von Januar 2024 bis Dezember 2029, zu prüfen.</w:t>
      </w:r>
    </w:p>
    <w:bookmarkEnd w:id="1"/>
    <w:p w14:paraId="02ED0FE6" w14:textId="77777777" w:rsidR="00994832" w:rsidRPr="00743A61" w:rsidRDefault="00994832" w:rsidP="00994832">
      <w:pPr>
        <w:rPr>
          <w:lang w:val="de-DE"/>
        </w:rPr>
      </w:pPr>
    </w:p>
    <w:p w14:paraId="5B8799FC" w14:textId="77777777" w:rsidR="00994832" w:rsidRPr="00743A61" w:rsidRDefault="00994832" w:rsidP="00994832">
      <w:pPr>
        <w:rPr>
          <w:lang w:val="de-DE"/>
        </w:rPr>
      </w:pPr>
    </w:p>
    <w:p w14:paraId="7C2B3190" w14:textId="77777777" w:rsidR="00994832" w:rsidRPr="00743A61" w:rsidRDefault="00994832" w:rsidP="00994832">
      <w:pPr>
        <w:rPr>
          <w:lang w:val="de-DE"/>
        </w:rPr>
      </w:pPr>
    </w:p>
    <w:p w14:paraId="20194A11" w14:textId="77777777" w:rsidR="00994832" w:rsidRPr="00743A61" w:rsidRDefault="00994832" w:rsidP="00994832">
      <w:pPr>
        <w:pStyle w:val="Heading1"/>
        <w:rPr>
          <w:lang w:val="de-DE"/>
        </w:rPr>
      </w:pPr>
      <w:r w:rsidRPr="00743A61">
        <w:rPr>
          <w:lang w:val="de-DE"/>
        </w:rPr>
        <w:t>HINTERGRUND</w:t>
      </w:r>
    </w:p>
    <w:p w14:paraId="053B1F42" w14:textId="77777777" w:rsidR="00994832" w:rsidRPr="00743A61" w:rsidRDefault="00994832" w:rsidP="00994832">
      <w:pPr>
        <w:rPr>
          <w:lang w:val="de-DE"/>
        </w:rPr>
      </w:pPr>
    </w:p>
    <w:p w14:paraId="482AD97A" w14:textId="77777777" w:rsidR="00994832" w:rsidRPr="00743A61" w:rsidRDefault="00994832" w:rsidP="00994832">
      <w:pPr>
        <w:rPr>
          <w:lang w:val="de-DE"/>
        </w:rPr>
      </w:pPr>
      <w:r w:rsidRPr="00743A61">
        <w:rPr>
          <w:lang w:val="de-DE"/>
        </w:rPr>
        <w:fldChar w:fldCharType="begin"/>
      </w:r>
      <w:r w:rsidRPr="00743A61">
        <w:rPr>
          <w:lang w:val="de-DE"/>
        </w:rPr>
        <w:instrText xml:space="preserve"> AUTONUM  </w:instrText>
      </w:r>
      <w:r w:rsidRPr="00743A61">
        <w:rPr>
          <w:lang w:val="de-DE"/>
        </w:rPr>
        <w:fldChar w:fldCharType="end"/>
      </w:r>
      <w:r w:rsidRPr="00743A61">
        <w:rPr>
          <w:lang w:val="de-DE"/>
        </w:rPr>
        <w:tab/>
      </w:r>
      <w:r w:rsidRPr="00743A61">
        <w:rPr>
          <w:szCs w:val="24"/>
          <w:lang w:val="de-DE"/>
        </w:rPr>
        <w:t>Artikel 29 Absatz 6 der Akte von 1991 und Artikel 25 der Akte von 1978 des UPOV-Übereinkommens sehen vor, dass die Rechnungsprüfung der UPOV gemäß den Bestimmungen der Verwaltungs- und Finanzordnung von einem Mitgliedstaat der UPOV durchgeführt wird, und dass dieser Staat mit seiner Zustimmung vom Rat bestimmt wird</w:t>
      </w:r>
      <w:r w:rsidRPr="00743A61">
        <w:rPr>
          <w:lang w:val="de-DE"/>
        </w:rPr>
        <w:t>.</w:t>
      </w:r>
    </w:p>
    <w:p w14:paraId="2EE6077F" w14:textId="77777777" w:rsidR="00994832" w:rsidRPr="00743A61" w:rsidRDefault="00994832" w:rsidP="00994832">
      <w:pPr>
        <w:rPr>
          <w:lang w:val="de-DE"/>
        </w:rPr>
      </w:pPr>
    </w:p>
    <w:p w14:paraId="49BA5560" w14:textId="77777777" w:rsidR="00994832" w:rsidRPr="00743A61" w:rsidRDefault="00994832" w:rsidP="00994832">
      <w:pPr>
        <w:rPr>
          <w:lang w:val="de-DE"/>
        </w:rPr>
      </w:pPr>
      <w:r w:rsidRPr="00743A61">
        <w:rPr>
          <w:lang w:val="de-DE"/>
        </w:rPr>
        <w:fldChar w:fldCharType="begin"/>
      </w:r>
      <w:r w:rsidRPr="00743A61">
        <w:rPr>
          <w:lang w:val="de-DE"/>
        </w:rPr>
        <w:instrText xml:space="preserve"> AUTONUM  </w:instrText>
      </w:r>
      <w:r w:rsidRPr="00743A61">
        <w:rPr>
          <w:lang w:val="de-DE"/>
        </w:rPr>
        <w:fldChar w:fldCharType="end"/>
      </w:r>
      <w:r w:rsidRPr="00743A61">
        <w:rPr>
          <w:lang w:val="de-DE"/>
        </w:rPr>
        <w:tab/>
      </w:r>
      <w:bookmarkStart w:id="2" w:name="_Toc280628279"/>
      <w:bookmarkStart w:id="3" w:name="_Toc173748759"/>
      <w:bookmarkStart w:id="4" w:name="_Toc173661778"/>
      <w:r w:rsidRPr="00743A61">
        <w:rPr>
          <w:lang w:val="de-DE"/>
        </w:rPr>
        <w:t xml:space="preserve">Die Regeln 8.1 und 8.2 der „Finanzordnung und ihre Durchführungsbestimmungen der UPOV“ (Dokument </w:t>
      </w:r>
      <w:hyperlink r:id="rId8" w:history="1">
        <w:r w:rsidRPr="00743A61">
          <w:rPr>
            <w:rStyle w:val="Hyperlink"/>
            <w:lang w:val="de-DE"/>
          </w:rPr>
          <w:t>UPOV/INF/4/6</w:t>
        </w:r>
      </w:hyperlink>
      <w:r w:rsidRPr="00743A61">
        <w:rPr>
          <w:lang w:val="de-DE"/>
        </w:rPr>
        <w:t>) lauten wie folgt (Abweichungen in Bezug auf die Finanzordnung und ihre Durchführungsbestimmungen der WIPO sind hervorgehoben):</w:t>
      </w:r>
    </w:p>
    <w:p w14:paraId="0C6A0D3C" w14:textId="77777777" w:rsidR="00994832" w:rsidRPr="00743A61" w:rsidRDefault="00994832" w:rsidP="00994832">
      <w:pPr>
        <w:rPr>
          <w:lang w:val="de-DE"/>
        </w:rPr>
      </w:pPr>
    </w:p>
    <w:p w14:paraId="5B8A639A" w14:textId="77777777" w:rsidR="00994832" w:rsidRPr="00743A61" w:rsidRDefault="00994832" w:rsidP="00994832">
      <w:pPr>
        <w:pStyle w:val="Inf4Heading3"/>
        <w:spacing w:before="0"/>
        <w:ind w:left="567" w:right="567"/>
        <w:rPr>
          <w:sz w:val="18"/>
          <w:lang w:val="de-DE"/>
        </w:rPr>
      </w:pPr>
      <w:bookmarkStart w:id="5" w:name="_Toc416709284"/>
      <w:bookmarkEnd w:id="2"/>
      <w:bookmarkEnd w:id="3"/>
      <w:bookmarkEnd w:id="4"/>
      <w:r w:rsidRPr="00743A61">
        <w:rPr>
          <w:sz w:val="18"/>
          <w:lang w:val="de-DE"/>
        </w:rPr>
        <w:t>„Ernennung des externen Revisors</w:t>
      </w:r>
      <w:bookmarkEnd w:id="5"/>
    </w:p>
    <w:p w14:paraId="671BFC9C" w14:textId="77777777" w:rsidR="00994832" w:rsidRPr="00743A61" w:rsidRDefault="00994832" w:rsidP="00994832">
      <w:pPr>
        <w:pStyle w:val="Inf4Heading4"/>
        <w:ind w:left="567" w:right="567"/>
        <w:rPr>
          <w:sz w:val="18"/>
          <w:lang w:val="de-DE"/>
        </w:rPr>
      </w:pPr>
      <w:bookmarkStart w:id="6" w:name="_Toc416709285"/>
      <w:r w:rsidRPr="00743A61">
        <w:rPr>
          <w:sz w:val="18"/>
          <w:lang w:val="de-DE"/>
        </w:rPr>
        <w:t>„Regel 8.1</w:t>
      </w:r>
      <w:bookmarkEnd w:id="6"/>
    </w:p>
    <w:p w14:paraId="37B6DB91" w14:textId="7D7F79D7" w:rsidR="00994832" w:rsidRPr="00743A61" w:rsidRDefault="00B961C8" w:rsidP="00994832">
      <w:pPr>
        <w:pStyle w:val="Inf4Normal"/>
        <w:ind w:left="567" w:right="567"/>
        <w:rPr>
          <w:sz w:val="18"/>
          <w:szCs w:val="18"/>
          <w:lang w:val="de-DE"/>
        </w:rPr>
      </w:pPr>
      <w:r w:rsidRPr="003D6483">
        <w:rPr>
          <w:sz w:val="18"/>
          <w:szCs w:val="18"/>
          <w:lang w:val="de-DE"/>
        </w:rPr>
        <w:t xml:space="preserve">Der Externe Revisor </w:t>
      </w:r>
      <w:r w:rsidRPr="003D6483">
        <w:rPr>
          <w:sz w:val="18"/>
          <w:szCs w:val="18"/>
          <w:highlight w:val="lightGray"/>
          <w:lang w:val="de-DE"/>
        </w:rPr>
        <w:t>der WIPO</w:t>
      </w:r>
      <w:r w:rsidRPr="003D6483">
        <w:rPr>
          <w:sz w:val="18"/>
          <w:szCs w:val="18"/>
          <w:lang w:val="de-DE"/>
        </w:rPr>
        <w:t xml:space="preserve">, der Rechnungshofpräsident (beziehungsweise ein Bediensteter in vergleichbarer Stellung) eines Mitgliedsstaates </w:t>
      </w:r>
      <w:r w:rsidRPr="003D6483">
        <w:rPr>
          <w:sz w:val="18"/>
          <w:szCs w:val="18"/>
          <w:highlight w:val="lightGray"/>
          <w:lang w:val="de-DE"/>
        </w:rPr>
        <w:t>der WIPO</w:t>
      </w:r>
      <w:r w:rsidRPr="003D6483">
        <w:rPr>
          <w:sz w:val="18"/>
          <w:szCs w:val="18"/>
          <w:lang w:val="de-DE"/>
        </w:rPr>
        <w:t xml:space="preserve"> ist, wird von der Generalversammlung </w:t>
      </w:r>
      <w:r w:rsidRPr="003D6483">
        <w:rPr>
          <w:sz w:val="18"/>
          <w:szCs w:val="18"/>
          <w:highlight w:val="lightGray"/>
          <w:lang w:val="de-DE"/>
        </w:rPr>
        <w:t>der WIPO</w:t>
      </w:r>
      <w:r w:rsidRPr="003D6483">
        <w:rPr>
          <w:sz w:val="18"/>
          <w:szCs w:val="18"/>
          <w:lang w:val="de-DE"/>
        </w:rPr>
        <w:t xml:space="preserve"> in einem von der Versammlung </w:t>
      </w:r>
      <w:r w:rsidRPr="003D6483">
        <w:rPr>
          <w:sz w:val="18"/>
          <w:szCs w:val="18"/>
          <w:highlight w:val="lightGray"/>
          <w:lang w:val="de-DE"/>
        </w:rPr>
        <w:t>der WIPO</w:t>
      </w:r>
      <w:r w:rsidRPr="003D6483">
        <w:rPr>
          <w:sz w:val="18"/>
          <w:szCs w:val="18"/>
          <w:lang w:val="de-DE"/>
        </w:rPr>
        <w:t xml:space="preserve"> beschlossenen Verfahren ernannt. </w:t>
      </w:r>
      <w:r w:rsidRPr="003D6483">
        <w:rPr>
          <w:sz w:val="18"/>
          <w:szCs w:val="18"/>
          <w:highlight w:val="lightGray"/>
          <w:lang w:val="de-DE"/>
        </w:rPr>
        <w:t>Ist der Externe Revisor der WIPO der Rechnungshofpräsident (beziehungsweise ein Bediensteter in vergleichbarer Stellung) eines Mitgliedsstaates der UPOV, so benennt der Rat den Externen Revisor der WIPO nach Einholung der Zustimmung als den Externen Revisor. Ist der Externe Revisor der WIPO der Rechnungshofpräsident (beziehungsweise ein Bediensteter in vergleichbarer Stellung) eines Mitgliedsstaates der WIPO, der kein Mitgliedsstaat der UPOV ist, so benennt der Rat nach Einholung der Zustimmung den Rechnungshofpräsidenten (beziehungsweise einen Bediensteten in vergleichbarer Stellung) eines UPOV</w:t>
      </w:r>
      <w:r w:rsidRPr="003D6483">
        <w:rPr>
          <w:sz w:val="18"/>
          <w:szCs w:val="18"/>
          <w:highlight w:val="lightGray"/>
          <w:lang w:val="de-DE"/>
        </w:rPr>
        <w:noBreakHyphen/>
        <w:t>Mitgliedsstaates zum Externen Revisor</w:t>
      </w:r>
      <w:r w:rsidR="00994832" w:rsidRPr="00743A61">
        <w:rPr>
          <w:sz w:val="18"/>
          <w:szCs w:val="18"/>
          <w:lang w:val="de-DE"/>
        </w:rPr>
        <w:t>.</w:t>
      </w:r>
    </w:p>
    <w:p w14:paraId="7D121CEB" w14:textId="77777777" w:rsidR="00994832" w:rsidRPr="00743A61" w:rsidRDefault="00994832" w:rsidP="00994832">
      <w:pPr>
        <w:pStyle w:val="Inf4Heading3"/>
        <w:ind w:left="567" w:right="567"/>
        <w:rPr>
          <w:sz w:val="18"/>
          <w:lang w:val="de-DE"/>
        </w:rPr>
      </w:pPr>
      <w:bookmarkStart w:id="7" w:name="_Toc416709286"/>
      <w:r w:rsidRPr="00743A61">
        <w:rPr>
          <w:sz w:val="18"/>
          <w:lang w:val="de-DE"/>
        </w:rPr>
        <w:lastRenderedPageBreak/>
        <w:t>„Amtszeit des Externen Revisors</w:t>
      </w:r>
      <w:bookmarkEnd w:id="7"/>
    </w:p>
    <w:p w14:paraId="3AEC5C02" w14:textId="77777777" w:rsidR="00994832" w:rsidRPr="00743A61" w:rsidRDefault="00994832" w:rsidP="00994832">
      <w:pPr>
        <w:pStyle w:val="Inf4Heading4"/>
        <w:ind w:left="567" w:right="567"/>
        <w:rPr>
          <w:sz w:val="18"/>
          <w:lang w:val="de-DE"/>
        </w:rPr>
      </w:pPr>
      <w:bookmarkStart w:id="8" w:name="_Toc416709287"/>
      <w:r w:rsidRPr="00743A61">
        <w:rPr>
          <w:sz w:val="18"/>
          <w:lang w:val="de-DE"/>
        </w:rPr>
        <w:t>„Regel 8.2</w:t>
      </w:r>
      <w:bookmarkEnd w:id="8"/>
    </w:p>
    <w:p w14:paraId="18927D4A" w14:textId="77777777" w:rsidR="00994832" w:rsidRPr="00743A61" w:rsidRDefault="00994832" w:rsidP="00994832">
      <w:pPr>
        <w:pStyle w:val="Inf4Normal"/>
        <w:ind w:left="567" w:right="567"/>
        <w:rPr>
          <w:sz w:val="18"/>
          <w:lang w:val="de-DE"/>
        </w:rPr>
      </w:pPr>
      <w:r w:rsidRPr="00743A61">
        <w:rPr>
          <w:sz w:val="18"/>
          <w:lang w:val="de-DE"/>
        </w:rPr>
        <w:t>„Der Externe Revisor wird für eine Amtszeit von sechs Jahren ernannt, die nicht hintereinander verlängert werden kann."</w:t>
      </w:r>
    </w:p>
    <w:p w14:paraId="46DD3B13" w14:textId="621C2383" w:rsidR="00994832" w:rsidRDefault="00994832" w:rsidP="00994832">
      <w:pPr>
        <w:rPr>
          <w:szCs w:val="24"/>
          <w:lang w:val="de-DE"/>
        </w:rPr>
      </w:pPr>
    </w:p>
    <w:p w14:paraId="6C8B3CEB" w14:textId="77777777" w:rsidR="007122AE" w:rsidRPr="00743A61" w:rsidRDefault="007122AE" w:rsidP="00994832">
      <w:pPr>
        <w:rPr>
          <w:szCs w:val="24"/>
          <w:lang w:val="de-DE"/>
        </w:rPr>
      </w:pPr>
    </w:p>
    <w:p w14:paraId="303034C6" w14:textId="77777777" w:rsidR="00994832" w:rsidRPr="00743A61" w:rsidRDefault="00994832" w:rsidP="00994832">
      <w:pPr>
        <w:pStyle w:val="Heading1"/>
        <w:rPr>
          <w:lang w:val="de-DE"/>
        </w:rPr>
      </w:pPr>
      <w:r w:rsidRPr="00743A61">
        <w:rPr>
          <w:lang w:val="de-DE"/>
        </w:rPr>
        <w:t>VERFAHREN FÜR DIE ERNENNUNG DES EXTERNEN REVISORS DER UPOV</w:t>
      </w:r>
    </w:p>
    <w:p w14:paraId="446566D9" w14:textId="77777777" w:rsidR="00994832" w:rsidRPr="00743A61" w:rsidRDefault="00994832" w:rsidP="00994832">
      <w:pPr>
        <w:keepNext/>
        <w:rPr>
          <w:szCs w:val="24"/>
          <w:lang w:val="de-DE"/>
        </w:rPr>
      </w:pPr>
    </w:p>
    <w:p w14:paraId="01276149" w14:textId="77777777" w:rsidR="00994832" w:rsidRPr="00743A61" w:rsidRDefault="00994832" w:rsidP="007122AE">
      <w:pPr>
        <w:rPr>
          <w:lang w:val="de-DE"/>
        </w:rPr>
      </w:pPr>
      <w:r w:rsidRPr="00743A61">
        <w:rPr>
          <w:lang w:val="de-DE"/>
        </w:rPr>
        <w:fldChar w:fldCharType="begin"/>
      </w:r>
      <w:r w:rsidRPr="00743A61">
        <w:rPr>
          <w:lang w:val="de-DE"/>
        </w:rPr>
        <w:instrText xml:space="preserve"> AUTONUM  </w:instrText>
      </w:r>
      <w:r w:rsidRPr="00743A61">
        <w:rPr>
          <w:lang w:val="de-DE"/>
        </w:rPr>
        <w:fldChar w:fldCharType="end"/>
      </w:r>
      <w:r w:rsidRPr="00743A61">
        <w:rPr>
          <w:lang w:val="de-DE"/>
        </w:rPr>
        <w:tab/>
        <w:t xml:space="preserve">Der Rat nahm auf seiner sechsundfünfzigsten ordentlichen Tagung vom 28. Oktober 2022 in Genf die in Dokument C/56/12 dargelegten Entwicklungen </w:t>
      </w:r>
      <w:bookmarkStart w:id="9" w:name="_Hlk148562279"/>
      <w:r w:rsidRPr="00743A61">
        <w:rPr>
          <w:lang w:val="de-DE"/>
        </w:rPr>
        <w:t>in Bezug auf das Verfahren für die Ernennung des Externen Revisors</w:t>
      </w:r>
      <w:bookmarkEnd w:id="9"/>
      <w:r w:rsidRPr="00743A61">
        <w:rPr>
          <w:lang w:val="de-DE"/>
        </w:rPr>
        <w:t xml:space="preserve"> der WIPO zur Kenntnis. Gemäß der Empfehlung des Beratenden Ausschusses billigte der Rat auf seiner neunundneunzigsten Tagung vom 27. Oktober 2022 in Genf das folgende Verfahren für die Ernennung des Externen Revisors der UPOV für eine Amtszeit von sechs Jahren, von Januar 2024 bis Dezember 2029, wie in Absatz 8 des Dokuments C/56/12 dargelegt:</w:t>
      </w:r>
    </w:p>
    <w:p w14:paraId="5ECBE7D0" w14:textId="77777777" w:rsidR="00994832" w:rsidRPr="00743A61" w:rsidRDefault="00994832" w:rsidP="00994832">
      <w:pPr>
        <w:rPr>
          <w:lang w:val="de-DE"/>
        </w:rPr>
      </w:pPr>
    </w:p>
    <w:p w14:paraId="4F88FC8A" w14:textId="77777777" w:rsidR="00994832" w:rsidRPr="00743A61" w:rsidRDefault="00994832" w:rsidP="00994832">
      <w:pPr>
        <w:pStyle w:val="ListParagraph"/>
        <w:ind w:left="780"/>
        <w:rPr>
          <w:lang w:val="de-DE"/>
        </w:rPr>
      </w:pPr>
      <w:r w:rsidRPr="00743A61">
        <w:rPr>
          <w:lang w:val="de-DE"/>
        </w:rPr>
        <w:t xml:space="preserve">In Anbetracht der Tatsache, dass zwei der fünf von WIPO-Verbandsstaaten eingegangenen Nominierungen nicht von UPOV-Mitgliedern stammen, werden die folgenden Schritte gebilligt: </w:t>
      </w:r>
    </w:p>
    <w:p w14:paraId="554D279A" w14:textId="77777777" w:rsidR="00994832" w:rsidRPr="00743A61" w:rsidRDefault="00994832" w:rsidP="00994832">
      <w:pPr>
        <w:pStyle w:val="ListParagraph"/>
        <w:rPr>
          <w:lang w:val="de-DE"/>
        </w:rPr>
      </w:pPr>
    </w:p>
    <w:p w14:paraId="0BF52740" w14:textId="77777777" w:rsidR="00994832" w:rsidRPr="00743A61" w:rsidRDefault="00994832" w:rsidP="00994832">
      <w:pPr>
        <w:pStyle w:val="ListParagraph"/>
        <w:numPr>
          <w:ilvl w:val="1"/>
          <w:numId w:val="1"/>
        </w:numPr>
        <w:ind w:left="1701" w:hanging="567"/>
        <w:rPr>
          <w:lang w:val="de-DE"/>
        </w:rPr>
      </w:pPr>
      <w:r w:rsidRPr="00743A61">
        <w:rPr>
          <w:lang w:val="de-DE"/>
        </w:rPr>
        <w:t>Das Verbandsbüro soll Konsultationen mit UPOV-Mitgliedern aufnehmen, die in der Vergangenheit den Rechnungsabschluss der UPOV geprüft haben oder Mitglieder des Ausschusses des Rechnungshofes der Vereinten Nationen sind;</w:t>
      </w:r>
    </w:p>
    <w:p w14:paraId="56EF6FBB" w14:textId="77777777" w:rsidR="00994832" w:rsidRPr="00743A61" w:rsidRDefault="00994832" w:rsidP="00994832">
      <w:pPr>
        <w:pStyle w:val="ListParagraph"/>
        <w:ind w:left="1140"/>
        <w:rPr>
          <w:lang w:val="de-DE"/>
        </w:rPr>
      </w:pPr>
    </w:p>
    <w:p w14:paraId="3A9E3C97" w14:textId="77777777" w:rsidR="00994832" w:rsidRPr="00743A61" w:rsidRDefault="00994832" w:rsidP="00994832">
      <w:pPr>
        <w:pStyle w:val="ListParagraph"/>
        <w:numPr>
          <w:ilvl w:val="1"/>
          <w:numId w:val="1"/>
        </w:numPr>
        <w:ind w:left="1701" w:hanging="567"/>
        <w:rPr>
          <w:lang w:val="de-DE"/>
        </w:rPr>
      </w:pPr>
      <w:r w:rsidRPr="00743A61">
        <w:rPr>
          <w:lang w:val="de-DE"/>
        </w:rPr>
        <w:t xml:space="preserve">Sollte die WIPO-Generalversammlung im Jahr 2023 den Rechnungshofpräsidenten eines WIPO-Mitgliedstaats ernennen, der </w:t>
      </w:r>
    </w:p>
    <w:p w14:paraId="638736A8" w14:textId="77777777" w:rsidR="00994832" w:rsidRPr="00743A61" w:rsidRDefault="00994832" w:rsidP="00994832">
      <w:pPr>
        <w:pStyle w:val="ListParagraph"/>
        <w:ind w:left="1701"/>
        <w:rPr>
          <w:lang w:val="de-DE"/>
        </w:rPr>
      </w:pPr>
    </w:p>
    <w:p w14:paraId="5548C803" w14:textId="77777777" w:rsidR="00994832" w:rsidRPr="00743A61" w:rsidRDefault="00994832" w:rsidP="00994832">
      <w:pPr>
        <w:pStyle w:val="ListParagraph"/>
        <w:numPr>
          <w:ilvl w:val="2"/>
          <w:numId w:val="1"/>
        </w:numPr>
        <w:ind w:left="2268" w:right="567" w:hanging="283"/>
        <w:rPr>
          <w:lang w:val="de-DE"/>
        </w:rPr>
      </w:pPr>
      <w:r w:rsidRPr="00743A61">
        <w:rPr>
          <w:lang w:val="de-DE"/>
        </w:rPr>
        <w:t>auch Mitglied der UPOV ist, so bestimmt der Rat mit seiner Zustimmung den Externen Revisor der WIPO als Externen Revisor;</w:t>
      </w:r>
    </w:p>
    <w:p w14:paraId="642DF407" w14:textId="77777777" w:rsidR="00994832" w:rsidRPr="00743A61" w:rsidRDefault="00994832" w:rsidP="00994832">
      <w:pPr>
        <w:ind w:left="780"/>
        <w:rPr>
          <w:lang w:val="de-DE"/>
        </w:rPr>
      </w:pPr>
    </w:p>
    <w:p w14:paraId="51F7A1AF" w14:textId="77777777" w:rsidR="00994832" w:rsidRPr="00743A61" w:rsidRDefault="00994832" w:rsidP="00994832">
      <w:pPr>
        <w:pStyle w:val="ListParagraph"/>
        <w:numPr>
          <w:ilvl w:val="2"/>
          <w:numId w:val="1"/>
        </w:numPr>
        <w:ind w:left="2268" w:right="567" w:hanging="284"/>
        <w:rPr>
          <w:lang w:val="de-DE"/>
        </w:rPr>
      </w:pPr>
      <w:r w:rsidRPr="00743A61">
        <w:rPr>
          <w:lang w:val="de-DE"/>
        </w:rPr>
        <w:t>kein UPOV-Mitglied ist, so schlägt das Verbandsbüro dem Rat vor, mit dessen Zustimmung ein UPOV-Mitglied zu ernennen, das in der Vergangenheit den Rechnungsabschluss der UPOV geprüft hat oder Mitglied des Ausschusses des Rechnungshofes der Vereinten Nationen ist.</w:t>
      </w:r>
    </w:p>
    <w:p w14:paraId="24029B0E" w14:textId="77777777" w:rsidR="00994832" w:rsidRPr="00743A61" w:rsidRDefault="00994832" w:rsidP="00994832">
      <w:pPr>
        <w:ind w:left="1701" w:firstLine="567"/>
        <w:rPr>
          <w:lang w:val="de-DE"/>
        </w:rPr>
      </w:pPr>
      <w:r w:rsidRPr="00743A61">
        <w:rPr>
          <w:lang w:val="de-DE"/>
        </w:rPr>
        <w:t>(vergleiche Dokument C/57/15 „Bericht“, Absätze 51 und 52).</w:t>
      </w:r>
    </w:p>
    <w:p w14:paraId="130331D2" w14:textId="77777777" w:rsidR="00994832" w:rsidRPr="00743A61" w:rsidRDefault="00994832" w:rsidP="00994832">
      <w:pPr>
        <w:rPr>
          <w:sz w:val="16"/>
          <w:szCs w:val="16"/>
          <w:lang w:val="de-DE"/>
        </w:rPr>
      </w:pPr>
    </w:p>
    <w:p w14:paraId="7C9AEE92" w14:textId="77777777" w:rsidR="00994832" w:rsidRPr="00743A61" w:rsidRDefault="00994832" w:rsidP="00994832">
      <w:pPr>
        <w:rPr>
          <w:sz w:val="16"/>
          <w:szCs w:val="16"/>
          <w:lang w:val="de-DE"/>
        </w:rPr>
      </w:pPr>
    </w:p>
    <w:p w14:paraId="5EBF5A76" w14:textId="77777777" w:rsidR="00994832" w:rsidRPr="00743A61" w:rsidRDefault="00994832" w:rsidP="00994832">
      <w:pPr>
        <w:pStyle w:val="Heading1"/>
        <w:rPr>
          <w:lang w:val="de-DE"/>
        </w:rPr>
      </w:pPr>
      <w:r w:rsidRPr="00743A61">
        <w:rPr>
          <w:lang w:val="de-DE"/>
        </w:rPr>
        <w:t>Ernennung des externen Revisors der WIPO</w:t>
      </w:r>
    </w:p>
    <w:p w14:paraId="6DFE51C8" w14:textId="77777777" w:rsidR="00994832" w:rsidRPr="00743A61" w:rsidRDefault="00994832" w:rsidP="00994832">
      <w:pPr>
        <w:keepNext/>
        <w:rPr>
          <w:szCs w:val="24"/>
          <w:lang w:val="de-DE"/>
        </w:rPr>
      </w:pPr>
    </w:p>
    <w:p w14:paraId="50945B98" w14:textId="468F789E" w:rsidR="00994832" w:rsidRPr="00743A61" w:rsidRDefault="00994832" w:rsidP="00994832">
      <w:pPr>
        <w:rPr>
          <w:szCs w:val="24"/>
          <w:lang w:val="de-DE"/>
        </w:rPr>
      </w:pPr>
      <w:r w:rsidRPr="00743A61">
        <w:rPr>
          <w:szCs w:val="24"/>
          <w:lang w:val="de-DE"/>
        </w:rPr>
        <w:fldChar w:fldCharType="begin"/>
      </w:r>
      <w:r w:rsidRPr="00743A61">
        <w:rPr>
          <w:szCs w:val="24"/>
          <w:lang w:val="de-DE"/>
        </w:rPr>
        <w:instrText xml:space="preserve"> AUTONUM  </w:instrText>
      </w:r>
      <w:r w:rsidRPr="00743A61">
        <w:rPr>
          <w:szCs w:val="24"/>
          <w:lang w:val="de-DE"/>
        </w:rPr>
        <w:fldChar w:fldCharType="end"/>
      </w:r>
      <w:r w:rsidRPr="00743A61">
        <w:rPr>
          <w:szCs w:val="24"/>
          <w:lang w:val="de-DE"/>
        </w:rPr>
        <w:tab/>
        <w:t xml:space="preserve">Die Generalversammlung der WIPO hielt ihre vierundsechzigste </w:t>
      </w:r>
      <w:r w:rsidRPr="00743A61">
        <w:rPr>
          <w:rFonts w:cs="Arial"/>
          <w:szCs w:val="24"/>
          <w:lang w:val="de-DE"/>
        </w:rPr>
        <w:t xml:space="preserve">(64. ordentliche) Tagung </w:t>
      </w:r>
      <w:r w:rsidRPr="00743A61">
        <w:rPr>
          <w:szCs w:val="24"/>
          <w:lang w:val="de-DE"/>
        </w:rPr>
        <w:t xml:space="preserve">vom </w:t>
      </w:r>
      <w:r w:rsidR="009436B7">
        <w:rPr>
          <w:szCs w:val="24"/>
          <w:lang w:val="de-DE"/>
        </w:rPr>
        <w:br/>
      </w:r>
      <w:r w:rsidRPr="00743A61">
        <w:rPr>
          <w:szCs w:val="24"/>
          <w:lang w:val="de-DE"/>
        </w:rPr>
        <w:t>6. bis 14. Juli 2023 in Genf ab und „</w:t>
      </w:r>
      <w:r w:rsidRPr="00743A61">
        <w:rPr>
          <w:lang w:val="de-DE"/>
        </w:rPr>
        <w:t xml:space="preserve">ernannte den Rechnungshof von Indonesien zum Externen Revisor der WIPO für einen Zeitraum von sechs Jahren, beginnend am 1. Januar 2024“ </w:t>
      </w:r>
      <w:r w:rsidRPr="00743A61">
        <w:rPr>
          <w:szCs w:val="24"/>
          <w:lang w:val="de-DE"/>
        </w:rPr>
        <w:t xml:space="preserve">(vergleiche Dokumente </w:t>
      </w:r>
      <w:hyperlink r:id="rId9" w:history="1">
        <w:r w:rsidRPr="00743A61">
          <w:rPr>
            <w:rStyle w:val="Hyperlink"/>
            <w:szCs w:val="24"/>
            <w:lang w:val="de-DE"/>
          </w:rPr>
          <w:t>A/64/13</w:t>
        </w:r>
      </w:hyperlink>
      <w:r w:rsidRPr="00743A61">
        <w:rPr>
          <w:szCs w:val="24"/>
          <w:lang w:val="de-DE"/>
        </w:rPr>
        <w:t xml:space="preserve"> „Summary Report“, Absatz 26, und </w:t>
      </w:r>
      <w:hyperlink r:id="rId10" w:history="1">
        <w:r w:rsidRPr="00743A61">
          <w:rPr>
            <w:rStyle w:val="Hyperlink"/>
            <w:szCs w:val="24"/>
            <w:lang w:val="de-DE"/>
          </w:rPr>
          <w:t>WO/GA/56/4</w:t>
        </w:r>
      </w:hyperlink>
      <w:r w:rsidRPr="00743A61">
        <w:rPr>
          <w:szCs w:val="24"/>
          <w:lang w:val="de-DE"/>
        </w:rPr>
        <w:t xml:space="preserve"> „Appointment of the External Auditor“, verfügbar unter </w:t>
      </w:r>
      <w:hyperlink r:id="rId11" w:history="1">
        <w:r w:rsidRPr="00743A61">
          <w:rPr>
            <w:rStyle w:val="Hyperlink"/>
            <w:szCs w:val="24"/>
            <w:lang w:val="de-DE"/>
          </w:rPr>
          <w:t>https://www.wipo.int/about-wipo/en/assemblies/2023/a-64/index.html</w:t>
        </w:r>
      </w:hyperlink>
      <w:r w:rsidRPr="00743A61">
        <w:rPr>
          <w:szCs w:val="24"/>
          <w:lang w:val="de-DE"/>
        </w:rPr>
        <w:t>).</w:t>
      </w:r>
    </w:p>
    <w:p w14:paraId="668AAC76" w14:textId="77777777" w:rsidR="00994832" w:rsidRPr="00743A61" w:rsidRDefault="00994832" w:rsidP="00994832">
      <w:pPr>
        <w:rPr>
          <w:sz w:val="16"/>
          <w:szCs w:val="16"/>
          <w:lang w:val="de-DE"/>
        </w:rPr>
      </w:pPr>
    </w:p>
    <w:p w14:paraId="71070753" w14:textId="77777777" w:rsidR="00994832" w:rsidRPr="00743A61" w:rsidRDefault="00994832" w:rsidP="00994832">
      <w:pPr>
        <w:rPr>
          <w:szCs w:val="24"/>
          <w:lang w:val="de-DE"/>
        </w:rPr>
      </w:pPr>
    </w:p>
    <w:p w14:paraId="35B100E6" w14:textId="77777777" w:rsidR="00994832" w:rsidRPr="00743A61" w:rsidRDefault="00994832" w:rsidP="00994832">
      <w:pPr>
        <w:rPr>
          <w:lang w:val="de-DE"/>
        </w:rPr>
      </w:pPr>
      <w:r w:rsidRPr="00743A61">
        <w:rPr>
          <w:lang w:val="de-DE"/>
        </w:rPr>
        <w:t>KONSULTATIONEN BETREFFEND DIE ERNENNUNG DES EXTERNEN REVISORS DER UPOV</w:t>
      </w:r>
    </w:p>
    <w:p w14:paraId="627C5A3C" w14:textId="77777777" w:rsidR="00994832" w:rsidRPr="00743A61" w:rsidRDefault="00994832" w:rsidP="00994832">
      <w:pPr>
        <w:rPr>
          <w:lang w:val="de-DE"/>
        </w:rPr>
      </w:pPr>
    </w:p>
    <w:p w14:paraId="579E921A" w14:textId="77777777" w:rsidR="00994832" w:rsidRPr="00743A61" w:rsidRDefault="00994832" w:rsidP="00994832">
      <w:pPr>
        <w:rPr>
          <w:lang w:val="de-DE"/>
        </w:rPr>
      </w:pPr>
      <w:r w:rsidRPr="00743A61">
        <w:rPr>
          <w:lang w:val="de-DE"/>
        </w:rPr>
        <w:fldChar w:fldCharType="begin"/>
      </w:r>
      <w:r w:rsidRPr="00743A61">
        <w:rPr>
          <w:lang w:val="de-DE"/>
        </w:rPr>
        <w:instrText xml:space="preserve"> AUTONUM  </w:instrText>
      </w:r>
      <w:r w:rsidRPr="00743A61">
        <w:rPr>
          <w:lang w:val="de-DE"/>
        </w:rPr>
        <w:fldChar w:fldCharType="end"/>
      </w:r>
      <w:r w:rsidRPr="00743A61">
        <w:rPr>
          <w:lang w:val="de-DE"/>
        </w:rPr>
        <w:tab/>
        <w:t xml:space="preserve">Da Indonesien kein UPOV-Mitglied ist, führte </w:t>
      </w:r>
      <w:r w:rsidRPr="00743A61">
        <w:rPr>
          <w:szCs w:val="24"/>
          <w:lang w:val="de-DE"/>
        </w:rPr>
        <w:t xml:space="preserve">das </w:t>
      </w:r>
      <w:r w:rsidRPr="00743A61">
        <w:rPr>
          <w:lang w:val="de-DE"/>
        </w:rPr>
        <w:t xml:space="preserve">Verbandsbüro gemäß der Entscheidung des Rates von 2022 eine Reihe von Konsultationen mit den UPOV-Mitgliedern durch, die in der Vergangenheit den Rechnungsabschluss der UPOV geprüft haben (d. h. das Vereinigte Königreich und die Schweiz). </w:t>
      </w:r>
    </w:p>
    <w:p w14:paraId="7957D545" w14:textId="77777777" w:rsidR="00994832" w:rsidRPr="00743A61" w:rsidRDefault="00994832" w:rsidP="00994832">
      <w:pPr>
        <w:rPr>
          <w:lang w:val="de-DE"/>
        </w:rPr>
      </w:pPr>
      <w:r w:rsidRPr="00743A61">
        <w:rPr>
          <w:lang w:val="de-DE"/>
        </w:rPr>
        <w:t xml:space="preserve"> </w:t>
      </w:r>
    </w:p>
    <w:p w14:paraId="399DB280" w14:textId="25459FBA" w:rsidR="00994832" w:rsidRPr="00743A61" w:rsidRDefault="00994832" w:rsidP="00994832">
      <w:pPr>
        <w:rPr>
          <w:lang w:val="de-DE"/>
        </w:rPr>
      </w:pPr>
      <w:r w:rsidRPr="00743A61">
        <w:rPr>
          <w:lang w:val="de-DE"/>
        </w:rPr>
        <w:fldChar w:fldCharType="begin"/>
      </w:r>
      <w:r w:rsidRPr="00743A61">
        <w:rPr>
          <w:lang w:val="de-DE"/>
        </w:rPr>
        <w:instrText xml:space="preserve"> AUTONUM  </w:instrText>
      </w:r>
      <w:r w:rsidRPr="00743A61">
        <w:rPr>
          <w:lang w:val="de-DE"/>
        </w:rPr>
        <w:fldChar w:fldCharType="end"/>
      </w:r>
      <w:r w:rsidRPr="00743A61">
        <w:rPr>
          <w:lang w:val="de-DE"/>
        </w:rPr>
        <w:tab/>
        <w:t>Zum Zeitpunkt der Veröffentlichung dieses Dokuments steht das Verbandsbüro in Kontakt mit der Schweiz als Gastland der UPOV, um deren Unterstützung betreffend diese Angelegenheit zu erhalten. Die Ständige Vertretung der Schweiz beim Büro der Vereinten Nationen und bei den anderen internationalen Organisationen in Genf hat das Ersuchen des Verbandsbüros an das Eidgenössische Department für auswärtige Angelegenheiten in Bern weitergeleitet. Das Verbandsbüro wird dem Beratenden Ausschuss und dem Rat über die Fortschritte bei den Konsultationen mit der Schweiz über ein mögliches Vorgehen betreffend die Ernennung des Externen Revisors der UPOV berichten.</w:t>
      </w:r>
    </w:p>
    <w:p w14:paraId="71D5AAD8" w14:textId="77777777" w:rsidR="00994832" w:rsidRPr="00743A61" w:rsidRDefault="00994832" w:rsidP="00994832">
      <w:pPr>
        <w:rPr>
          <w:sz w:val="16"/>
          <w:szCs w:val="16"/>
          <w:lang w:val="de-DE"/>
        </w:rPr>
      </w:pPr>
    </w:p>
    <w:p w14:paraId="3FD2BF9D" w14:textId="77777777" w:rsidR="009436B7" w:rsidRDefault="009436B7">
      <w:pPr>
        <w:spacing w:after="160" w:line="259" w:lineRule="auto"/>
        <w:jc w:val="left"/>
        <w:rPr>
          <w:i/>
          <w:lang w:val="de-DE"/>
        </w:rPr>
      </w:pPr>
      <w:r>
        <w:rPr>
          <w:lang w:val="de-DE"/>
        </w:rPr>
        <w:br w:type="page"/>
      </w:r>
    </w:p>
    <w:p w14:paraId="2D081236" w14:textId="09132DDA" w:rsidR="00994832" w:rsidRPr="00743A61" w:rsidRDefault="00994832" w:rsidP="00994832">
      <w:pPr>
        <w:pStyle w:val="DecisionParagraphs"/>
        <w:rPr>
          <w:lang w:val="de-DE"/>
        </w:rPr>
      </w:pPr>
      <w:r w:rsidRPr="00743A61">
        <w:rPr>
          <w:lang w:val="de-DE"/>
        </w:rPr>
        <w:lastRenderedPageBreak/>
        <w:fldChar w:fldCharType="begin"/>
      </w:r>
      <w:r w:rsidRPr="00743A61">
        <w:rPr>
          <w:lang w:val="de-DE"/>
        </w:rPr>
        <w:instrText xml:space="preserve"> AUTONUM  </w:instrText>
      </w:r>
      <w:r w:rsidRPr="00743A61">
        <w:rPr>
          <w:lang w:val="de-DE"/>
        </w:rPr>
        <w:fldChar w:fldCharType="end"/>
      </w:r>
      <w:r w:rsidRPr="00743A61">
        <w:rPr>
          <w:lang w:val="de-DE"/>
        </w:rPr>
        <w:tab/>
        <w:t xml:space="preserve">Der Rat wird ersucht: </w:t>
      </w:r>
    </w:p>
    <w:p w14:paraId="29AF7145" w14:textId="77777777" w:rsidR="00994832" w:rsidRPr="00743A61" w:rsidRDefault="00994832" w:rsidP="00994832">
      <w:pPr>
        <w:pStyle w:val="DecisionParagraphs"/>
        <w:rPr>
          <w:sz w:val="16"/>
          <w:lang w:val="de-DE"/>
        </w:rPr>
      </w:pPr>
    </w:p>
    <w:p w14:paraId="4A991AC4" w14:textId="0F96486B" w:rsidR="00994832" w:rsidRPr="00743A61" w:rsidRDefault="00994832" w:rsidP="00994832">
      <w:pPr>
        <w:pStyle w:val="DecisionParagraphs"/>
        <w:rPr>
          <w:lang w:val="de-DE"/>
        </w:rPr>
      </w:pPr>
      <w:r w:rsidRPr="00743A61">
        <w:rPr>
          <w:lang w:val="de-DE"/>
        </w:rPr>
        <w:tab/>
        <w:t>a)</w:t>
      </w:r>
      <w:r w:rsidRPr="00743A61">
        <w:rPr>
          <w:lang w:val="de-DE"/>
        </w:rPr>
        <w:tab/>
        <w:t>die Entscheidung der WIPO-Generalversammlung auf ihrer vierundsechzigsten (64.</w:t>
      </w:r>
      <w:r w:rsidR="009436B7">
        <w:rPr>
          <w:lang w:val="de-DE"/>
        </w:rPr>
        <w:t> </w:t>
      </w:r>
      <w:r w:rsidRPr="00743A61">
        <w:rPr>
          <w:lang w:val="de-DE"/>
        </w:rPr>
        <w:t xml:space="preserve">ordentlichen) Tagung vom 6. bis 14. Juli 2023 in Genf über die Ernennung des Rechnungshofs von Indonesien zum Externen Revisor der WIPO für </w:t>
      </w:r>
      <w:r w:rsidR="009436B7">
        <w:rPr>
          <w:lang w:val="de-DE"/>
        </w:rPr>
        <w:br/>
      </w:r>
      <w:r w:rsidRPr="00743A61">
        <w:rPr>
          <w:lang w:val="de-DE"/>
        </w:rPr>
        <w:t xml:space="preserve">einen Zeitraum von sechs Jahren, beginnend am </w:t>
      </w:r>
      <w:r w:rsidR="009436B7">
        <w:rPr>
          <w:lang w:val="de-DE"/>
        </w:rPr>
        <w:br/>
      </w:r>
      <w:r w:rsidRPr="00743A61">
        <w:rPr>
          <w:lang w:val="de-DE"/>
        </w:rPr>
        <w:t xml:space="preserve">1. Januar 2024, zur Kenntnis nehmen; und </w:t>
      </w:r>
    </w:p>
    <w:p w14:paraId="6EA49B9B" w14:textId="77777777" w:rsidR="00994832" w:rsidRPr="00743A61" w:rsidRDefault="00994832" w:rsidP="00994832">
      <w:pPr>
        <w:pStyle w:val="DecisionParagraphs"/>
        <w:ind w:left="0"/>
        <w:rPr>
          <w:lang w:val="de-DE"/>
        </w:rPr>
      </w:pPr>
    </w:p>
    <w:p w14:paraId="3BF2714F" w14:textId="21CC8E2B" w:rsidR="00994832" w:rsidRPr="00743A61" w:rsidRDefault="00994832" w:rsidP="00994832">
      <w:pPr>
        <w:pStyle w:val="DecisionParagraphs"/>
        <w:rPr>
          <w:lang w:val="de-DE"/>
        </w:rPr>
      </w:pPr>
      <w:r w:rsidRPr="00743A61">
        <w:rPr>
          <w:lang w:val="de-DE"/>
        </w:rPr>
        <w:tab/>
        <w:t xml:space="preserve">b) </w:t>
      </w:r>
      <w:r w:rsidRPr="00743A61">
        <w:rPr>
          <w:lang w:val="de-DE"/>
        </w:rPr>
        <w:tab/>
        <w:t>die Informationen über die Konsultationen betreffend die Ernennung des Externen Revisors der UPOV für eine Amtszeit von sechs Jahren, von Januar</w:t>
      </w:r>
      <w:r w:rsidR="009436B7">
        <w:rPr>
          <w:lang w:val="de-DE"/>
        </w:rPr>
        <w:t> </w:t>
      </w:r>
      <w:r w:rsidRPr="00743A61">
        <w:rPr>
          <w:lang w:val="de-DE"/>
        </w:rPr>
        <w:t>2024 bis Dezember 2029, zu prüfen.</w:t>
      </w:r>
    </w:p>
    <w:p w14:paraId="5EF1C208" w14:textId="77777777" w:rsidR="00994832" w:rsidRPr="00743A61" w:rsidRDefault="00994832" w:rsidP="00994832">
      <w:pPr>
        <w:pStyle w:val="DecisionParagraphs"/>
        <w:rPr>
          <w:lang w:val="de-DE"/>
        </w:rPr>
      </w:pPr>
    </w:p>
    <w:p w14:paraId="7BADA10B" w14:textId="77777777" w:rsidR="00994832" w:rsidRPr="00743A61" w:rsidRDefault="00994832" w:rsidP="00994832">
      <w:pPr>
        <w:pStyle w:val="DecisionParagraphs"/>
        <w:rPr>
          <w:lang w:val="de-DE"/>
        </w:rPr>
      </w:pPr>
    </w:p>
    <w:p w14:paraId="4F0811AA" w14:textId="77777777" w:rsidR="00994832" w:rsidRPr="00B6138D" w:rsidRDefault="00994832" w:rsidP="00994832">
      <w:pPr>
        <w:jc w:val="right"/>
        <w:rPr>
          <w:lang w:val="de-DE"/>
        </w:rPr>
      </w:pPr>
      <w:r w:rsidRPr="00743A61">
        <w:rPr>
          <w:lang w:val="de-DE"/>
        </w:rPr>
        <w:t>[Ende des Dokuments]</w:t>
      </w:r>
    </w:p>
    <w:p w14:paraId="60593B1D" w14:textId="77777777" w:rsidR="00994832" w:rsidRDefault="00994832"/>
    <w:sectPr w:rsidR="00994832" w:rsidSect="000C21FA">
      <w:headerReference w:type="default" r:id="rId12"/>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D6EB" w14:textId="77777777" w:rsidR="00A90FCB" w:rsidRDefault="00A90FCB">
      <w:r>
        <w:separator/>
      </w:r>
    </w:p>
  </w:endnote>
  <w:endnote w:type="continuationSeparator" w:id="0">
    <w:p w14:paraId="40275052" w14:textId="77777777" w:rsidR="00A90FCB" w:rsidRDefault="00A9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4CCD" w14:textId="77777777" w:rsidR="00A90FCB" w:rsidRDefault="00A90FCB">
      <w:r>
        <w:separator/>
      </w:r>
    </w:p>
  </w:footnote>
  <w:footnote w:type="continuationSeparator" w:id="0">
    <w:p w14:paraId="2F34B55D" w14:textId="77777777" w:rsidR="00A90FCB" w:rsidRDefault="00A9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DE0B" w14:textId="77777777" w:rsidR="00994832" w:rsidRDefault="00994832">
    <w:pPr>
      <w:pStyle w:val="Header"/>
      <w:rPr>
        <w:rStyle w:val="PageNumber"/>
        <w:lang w:val="en-US"/>
      </w:rPr>
    </w:pPr>
    <w:r>
      <w:rPr>
        <w:rStyle w:val="PageNumber"/>
        <w:lang w:val="en-US"/>
      </w:rPr>
      <w:t>C/57/14</w:t>
    </w:r>
  </w:p>
  <w:p w14:paraId="284A0432" w14:textId="77777777" w:rsidR="00994832" w:rsidRDefault="00994832">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3A8FAE7B" w14:textId="77777777" w:rsidR="00994832" w:rsidRPr="00C5280D" w:rsidRDefault="00994832"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F5ECE"/>
    <w:multiLevelType w:val="hybridMultilevel"/>
    <w:tmpl w:val="F4CAB548"/>
    <w:lvl w:ilvl="0" w:tplc="B248F2B4">
      <w:start w:val="1"/>
      <w:numFmt w:val="lowerLetter"/>
      <w:lvlText w:val="(%1)"/>
      <w:lvlJc w:val="left"/>
      <w:pPr>
        <w:ind w:left="780" w:hanging="360"/>
      </w:pPr>
    </w:lvl>
    <w:lvl w:ilvl="1" w:tplc="04070011">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16cid:durableId="1136724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32"/>
    <w:rsid w:val="000A15E8"/>
    <w:rsid w:val="00524FBA"/>
    <w:rsid w:val="00692C28"/>
    <w:rsid w:val="007122AE"/>
    <w:rsid w:val="009436B7"/>
    <w:rsid w:val="00994832"/>
    <w:rsid w:val="00A90FCB"/>
    <w:rsid w:val="00B96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37694"/>
  <w15:chartTrackingRefBased/>
  <w15:docId w15:val="{FFC7F00C-5384-4976-B3D4-2AA511E5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832"/>
    <w:pPr>
      <w:spacing w:after="0" w:line="240" w:lineRule="auto"/>
      <w:jc w:val="both"/>
    </w:pPr>
    <w:rPr>
      <w:rFonts w:ascii="Arial" w:eastAsia="Times New Roman" w:hAnsi="Arial" w:cs="Times New Roman"/>
      <w:kern w:val="0"/>
      <w:sz w:val="20"/>
      <w:szCs w:val="20"/>
      <w:lang w:val="en-US"/>
      <w14:ligatures w14:val="none"/>
    </w:rPr>
  </w:style>
  <w:style w:type="paragraph" w:styleId="Heading1">
    <w:name w:val="heading 1"/>
    <w:next w:val="Normal"/>
    <w:link w:val="Heading1Char"/>
    <w:autoRedefine/>
    <w:qFormat/>
    <w:rsid w:val="00994832"/>
    <w:pPr>
      <w:keepNext/>
      <w:spacing w:after="0" w:line="240" w:lineRule="auto"/>
      <w:jc w:val="both"/>
      <w:outlineLvl w:val="0"/>
    </w:pPr>
    <w:rPr>
      <w:rFonts w:ascii="Arial" w:eastAsia="Times New Roman" w:hAnsi="Arial" w:cs="Times New Roman"/>
      <w:caps/>
      <w:kern w:val="0"/>
      <w:sz w:val="20"/>
      <w:szCs w:val="20"/>
      <w:lang w:val="en-US"/>
      <w14:ligatures w14:val="none"/>
    </w:rPr>
  </w:style>
  <w:style w:type="paragraph" w:styleId="Heading3">
    <w:name w:val="heading 3"/>
    <w:basedOn w:val="Normal"/>
    <w:next w:val="Normal"/>
    <w:link w:val="Heading3Char"/>
    <w:uiPriority w:val="9"/>
    <w:semiHidden/>
    <w:unhideWhenUsed/>
    <w:qFormat/>
    <w:rsid w:val="0099483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948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832"/>
    <w:rPr>
      <w:rFonts w:ascii="Arial" w:eastAsia="Times New Roman" w:hAnsi="Arial" w:cs="Times New Roman"/>
      <w:caps/>
      <w:kern w:val="0"/>
      <w:sz w:val="20"/>
      <w:szCs w:val="20"/>
      <w:lang w:val="en-US"/>
      <w14:ligatures w14:val="none"/>
    </w:rPr>
  </w:style>
  <w:style w:type="paragraph" w:styleId="Header">
    <w:name w:val="header"/>
    <w:link w:val="HeaderChar"/>
    <w:rsid w:val="00994832"/>
    <w:pPr>
      <w:spacing w:after="0" w:line="240" w:lineRule="auto"/>
      <w:jc w:val="center"/>
    </w:pPr>
    <w:rPr>
      <w:rFonts w:ascii="Arial" w:eastAsia="Times New Roman" w:hAnsi="Arial" w:cs="Times New Roman"/>
      <w:kern w:val="0"/>
      <w:sz w:val="20"/>
      <w:szCs w:val="20"/>
      <w:lang w:val="fr-FR"/>
      <w14:ligatures w14:val="none"/>
    </w:rPr>
  </w:style>
  <w:style w:type="character" w:customStyle="1" w:styleId="HeaderChar">
    <w:name w:val="Header Char"/>
    <w:basedOn w:val="DefaultParagraphFont"/>
    <w:link w:val="Header"/>
    <w:rsid w:val="00994832"/>
    <w:rPr>
      <w:rFonts w:ascii="Arial" w:eastAsia="Times New Roman" w:hAnsi="Arial" w:cs="Times New Roman"/>
      <w:kern w:val="0"/>
      <w:sz w:val="20"/>
      <w:szCs w:val="20"/>
      <w:lang w:val="fr-FR"/>
      <w14:ligatures w14:val="none"/>
    </w:rPr>
  </w:style>
  <w:style w:type="character" w:styleId="PageNumber">
    <w:name w:val="page number"/>
    <w:basedOn w:val="DefaultParagraphFont"/>
    <w:rsid w:val="00994832"/>
    <w:rPr>
      <w:rFonts w:ascii="Arial" w:hAnsi="Arial"/>
      <w:sz w:val="20"/>
    </w:rPr>
  </w:style>
  <w:style w:type="paragraph" w:customStyle="1" w:styleId="Docoriginal">
    <w:name w:val="Doc_original"/>
    <w:basedOn w:val="Normal"/>
    <w:link w:val="DocoriginalChar"/>
    <w:rsid w:val="00994832"/>
    <w:pPr>
      <w:spacing w:before="240" w:line="240" w:lineRule="exact"/>
      <w:contextualSpacing/>
      <w:jc w:val="left"/>
    </w:pPr>
    <w:rPr>
      <w:b/>
      <w:bCs/>
      <w:spacing w:val="10"/>
      <w:sz w:val="18"/>
    </w:rPr>
  </w:style>
  <w:style w:type="paragraph" w:customStyle="1" w:styleId="DecisionParagraphs">
    <w:name w:val="DecisionParagraphs"/>
    <w:basedOn w:val="Normal"/>
    <w:rsid w:val="00994832"/>
    <w:pPr>
      <w:tabs>
        <w:tab w:val="left" w:pos="5387"/>
        <w:tab w:val="left" w:pos="5954"/>
      </w:tabs>
      <w:ind w:left="4820"/>
    </w:pPr>
    <w:rPr>
      <w:i/>
    </w:rPr>
  </w:style>
  <w:style w:type="paragraph" w:customStyle="1" w:styleId="Disclaimer">
    <w:name w:val="Disclaimer"/>
    <w:next w:val="Normal"/>
    <w:qFormat/>
    <w:rsid w:val="00994832"/>
    <w:pPr>
      <w:spacing w:after="600" w:line="240" w:lineRule="auto"/>
    </w:pPr>
    <w:rPr>
      <w:rFonts w:ascii="Arial" w:eastAsia="Times New Roman" w:hAnsi="Arial" w:cs="Times New Roman"/>
      <w:i/>
      <w:iCs/>
      <w:color w:val="A6A6A6" w:themeColor="background1" w:themeShade="A6"/>
      <w:kern w:val="0"/>
      <w:sz w:val="20"/>
      <w:szCs w:val="20"/>
      <w:lang w:val="en-US"/>
      <w14:ligatures w14:val="none"/>
    </w:rPr>
  </w:style>
  <w:style w:type="paragraph" w:customStyle="1" w:styleId="upove">
    <w:name w:val="upov_e"/>
    <w:basedOn w:val="Normal"/>
    <w:rsid w:val="00994832"/>
    <w:pPr>
      <w:spacing w:before="120"/>
    </w:pPr>
    <w:rPr>
      <w:sz w:val="16"/>
    </w:rPr>
  </w:style>
  <w:style w:type="paragraph" w:customStyle="1" w:styleId="Lettrine">
    <w:name w:val="Lettrine"/>
    <w:basedOn w:val="Normal"/>
    <w:rsid w:val="00994832"/>
    <w:pPr>
      <w:spacing w:line="340" w:lineRule="atLeast"/>
      <w:jc w:val="right"/>
    </w:pPr>
    <w:rPr>
      <w:b/>
      <w:bCs/>
      <w:sz w:val="36"/>
    </w:rPr>
  </w:style>
  <w:style w:type="paragraph" w:customStyle="1" w:styleId="Sessiontc">
    <w:name w:val="Session_tc"/>
    <w:basedOn w:val="Normal"/>
    <w:rsid w:val="00994832"/>
    <w:pPr>
      <w:spacing w:line="280" w:lineRule="exact"/>
      <w:jc w:val="left"/>
    </w:pPr>
    <w:rPr>
      <w:b/>
      <w:bCs/>
      <w:kern w:val="28"/>
    </w:rPr>
  </w:style>
  <w:style w:type="paragraph" w:customStyle="1" w:styleId="Sessiontcplacedate">
    <w:name w:val="Session_tc_place_date"/>
    <w:basedOn w:val="Normal"/>
    <w:rsid w:val="00994832"/>
    <w:pPr>
      <w:spacing w:before="240"/>
      <w:contextualSpacing/>
      <w:jc w:val="left"/>
    </w:pPr>
    <w:rPr>
      <w:b/>
      <w:bCs/>
      <w:kern w:val="28"/>
    </w:rPr>
  </w:style>
  <w:style w:type="paragraph" w:customStyle="1" w:styleId="Titleofdoc">
    <w:name w:val="Title_of_doc"/>
    <w:basedOn w:val="Normal"/>
    <w:rsid w:val="00994832"/>
    <w:pPr>
      <w:spacing w:before="600" w:after="240"/>
      <w:jc w:val="left"/>
    </w:pPr>
    <w:rPr>
      <w:b/>
      <w:caps/>
    </w:rPr>
  </w:style>
  <w:style w:type="paragraph" w:customStyle="1" w:styleId="preparedby">
    <w:name w:val="prepared_by"/>
    <w:basedOn w:val="Normal"/>
    <w:rsid w:val="00994832"/>
    <w:pPr>
      <w:spacing w:after="240"/>
      <w:jc w:val="center"/>
    </w:pPr>
    <w:rPr>
      <w:i/>
      <w:iCs/>
    </w:rPr>
  </w:style>
  <w:style w:type="character" w:customStyle="1" w:styleId="DocoriginalChar">
    <w:name w:val="Doc_original Char"/>
    <w:basedOn w:val="DefaultParagraphFont"/>
    <w:link w:val="Docoriginal"/>
    <w:rsid w:val="00994832"/>
    <w:rPr>
      <w:rFonts w:ascii="Arial" w:eastAsia="Times New Roman" w:hAnsi="Arial" w:cs="Times New Roman"/>
      <w:b/>
      <w:bCs/>
      <w:spacing w:val="10"/>
      <w:kern w:val="0"/>
      <w:sz w:val="18"/>
      <w:szCs w:val="20"/>
      <w:lang w:val="en-US"/>
      <w14:ligatures w14:val="none"/>
    </w:rPr>
  </w:style>
  <w:style w:type="character" w:styleId="Hyperlink">
    <w:name w:val="Hyperlink"/>
    <w:basedOn w:val="DefaultParagraphFont"/>
    <w:rsid w:val="00994832"/>
    <w:rPr>
      <w:rFonts w:ascii="Arial" w:hAnsi="Arial"/>
      <w:color w:val="0000FF"/>
      <w:u w:val="single"/>
    </w:rPr>
  </w:style>
  <w:style w:type="paragraph" w:customStyle="1" w:styleId="Doccode">
    <w:name w:val="Doc_code"/>
    <w:qFormat/>
    <w:rsid w:val="00994832"/>
    <w:pPr>
      <w:spacing w:after="0" w:line="240" w:lineRule="auto"/>
    </w:pPr>
    <w:rPr>
      <w:rFonts w:ascii="Arial" w:eastAsia="Times New Roman" w:hAnsi="Arial" w:cs="Times New Roman"/>
      <w:b/>
      <w:bCs/>
      <w:spacing w:val="10"/>
      <w:kern w:val="0"/>
      <w:sz w:val="18"/>
      <w:szCs w:val="20"/>
      <w:lang w:val="en-US"/>
      <w14:ligatures w14:val="none"/>
    </w:rPr>
  </w:style>
  <w:style w:type="paragraph" w:styleId="ListParagraph">
    <w:name w:val="List Paragraph"/>
    <w:aliases w:val="auto_list_(i),List Paragraph1"/>
    <w:basedOn w:val="Normal"/>
    <w:link w:val="ListParagraphChar"/>
    <w:uiPriority w:val="34"/>
    <w:qFormat/>
    <w:rsid w:val="00994832"/>
    <w:pPr>
      <w:ind w:left="720"/>
      <w:contextualSpacing/>
    </w:pPr>
  </w:style>
  <w:style w:type="paragraph" w:customStyle="1" w:styleId="Inf4Normal">
    <w:name w:val="Inf_4_Normal"/>
    <w:basedOn w:val="Normal"/>
    <w:rsid w:val="00994832"/>
    <w:pPr>
      <w:spacing w:before="108"/>
    </w:pPr>
  </w:style>
  <w:style w:type="paragraph" w:customStyle="1" w:styleId="Inf4Heading4">
    <w:name w:val="Inf_4_Heading_4"/>
    <w:basedOn w:val="Heading4"/>
    <w:next w:val="Normal"/>
    <w:rsid w:val="00994832"/>
    <w:pPr>
      <w:keepLines w:val="0"/>
      <w:spacing w:before="120"/>
    </w:pPr>
    <w:rPr>
      <w:rFonts w:ascii="Arial" w:eastAsia="Times New Roman" w:hAnsi="Arial" w:cs="Times New Roman"/>
      <w:b/>
      <w:bCs/>
      <w:i w:val="0"/>
      <w:iCs w:val="0"/>
      <w:color w:val="auto"/>
      <w:lang w:val="fr-FR"/>
    </w:rPr>
  </w:style>
  <w:style w:type="paragraph" w:customStyle="1" w:styleId="Inf4Heading3">
    <w:name w:val="Inf_4_Heading_3"/>
    <w:basedOn w:val="Heading3"/>
    <w:rsid w:val="00994832"/>
    <w:pPr>
      <w:keepLines w:val="0"/>
      <w:spacing w:before="240"/>
    </w:pPr>
    <w:rPr>
      <w:rFonts w:ascii="Arial" w:eastAsia="Times New Roman" w:hAnsi="Arial" w:cs="Times New Roman"/>
      <w:b/>
      <w:bCs/>
      <w:color w:val="auto"/>
      <w:sz w:val="20"/>
      <w:szCs w:val="20"/>
    </w:rPr>
  </w:style>
  <w:style w:type="character" w:customStyle="1" w:styleId="ListParagraphChar">
    <w:name w:val="List Paragraph Char"/>
    <w:aliases w:val="auto_list_(i) Char,List Paragraph1 Char"/>
    <w:basedOn w:val="DefaultParagraphFont"/>
    <w:link w:val="ListParagraph"/>
    <w:uiPriority w:val="34"/>
    <w:locked/>
    <w:rsid w:val="00994832"/>
    <w:rPr>
      <w:rFonts w:ascii="Arial" w:eastAsia="Times New Roman" w:hAnsi="Arial" w:cs="Times New Roman"/>
      <w:kern w:val="0"/>
      <w:sz w:val="20"/>
      <w:szCs w:val="20"/>
      <w:lang w:val="en-US"/>
      <w14:ligatures w14:val="none"/>
    </w:rPr>
  </w:style>
  <w:style w:type="character" w:customStyle="1" w:styleId="Heading4Char">
    <w:name w:val="Heading 4 Char"/>
    <w:basedOn w:val="DefaultParagraphFont"/>
    <w:link w:val="Heading4"/>
    <w:uiPriority w:val="9"/>
    <w:semiHidden/>
    <w:rsid w:val="00994832"/>
    <w:rPr>
      <w:rFonts w:asciiTheme="majorHAnsi" w:eastAsiaTheme="majorEastAsia" w:hAnsiTheme="majorHAnsi" w:cstheme="majorBidi"/>
      <w:i/>
      <w:iCs/>
      <w:color w:val="2F5496" w:themeColor="accent1" w:themeShade="BF"/>
      <w:kern w:val="0"/>
      <w:sz w:val="20"/>
      <w:szCs w:val="20"/>
      <w:lang w:val="en-US"/>
      <w14:ligatures w14:val="none"/>
    </w:rPr>
  </w:style>
  <w:style w:type="character" w:customStyle="1" w:styleId="Heading3Char">
    <w:name w:val="Heading 3 Char"/>
    <w:basedOn w:val="DefaultParagraphFont"/>
    <w:link w:val="Heading3"/>
    <w:uiPriority w:val="9"/>
    <w:semiHidden/>
    <w:rsid w:val="00994832"/>
    <w:rPr>
      <w:rFonts w:asciiTheme="majorHAnsi" w:eastAsiaTheme="majorEastAsia" w:hAnsiTheme="majorHAnsi" w:cstheme="majorBidi"/>
      <w:color w:val="1F3763" w:themeColor="accent1" w:themeShade="7F"/>
      <w:kern w:val="0"/>
      <w:sz w:val="24"/>
      <w:szCs w:val="24"/>
      <w:lang w:val="en-US"/>
      <w14:ligatures w14:val="none"/>
    </w:rPr>
  </w:style>
  <w:style w:type="character" w:styleId="FollowedHyperlink">
    <w:name w:val="FollowedHyperlink"/>
    <w:basedOn w:val="DefaultParagraphFont"/>
    <w:uiPriority w:val="99"/>
    <w:semiHidden/>
    <w:unhideWhenUsed/>
    <w:rsid w:val="00692C28"/>
    <w:rPr>
      <w:color w:val="954F72" w:themeColor="followedHyperlink"/>
      <w:u w:val="single"/>
    </w:rPr>
  </w:style>
  <w:style w:type="paragraph" w:styleId="Footer">
    <w:name w:val="footer"/>
    <w:basedOn w:val="Normal"/>
    <w:link w:val="FooterChar"/>
    <w:uiPriority w:val="99"/>
    <w:unhideWhenUsed/>
    <w:rsid w:val="00692C28"/>
    <w:pPr>
      <w:tabs>
        <w:tab w:val="center" w:pos="4680"/>
        <w:tab w:val="right" w:pos="9360"/>
      </w:tabs>
    </w:pPr>
  </w:style>
  <w:style w:type="character" w:customStyle="1" w:styleId="FooterChar">
    <w:name w:val="Footer Char"/>
    <w:basedOn w:val="DefaultParagraphFont"/>
    <w:link w:val="Footer"/>
    <w:uiPriority w:val="99"/>
    <w:rsid w:val="00692C28"/>
    <w:rPr>
      <w:rFonts w:ascii="Arial" w:eastAsia="Times New Roman" w:hAnsi="Arial"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infdocs/de/upov_inf_4.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about-wipo/en/assemblies/2023/a-64/index.html" TargetMode="External"/><Relationship Id="rId5" Type="http://schemas.openxmlformats.org/officeDocument/2006/relationships/footnotes" Target="footnotes.xml"/><Relationship Id="rId10" Type="http://schemas.openxmlformats.org/officeDocument/2006/relationships/hyperlink" Target="https://www.wipo.int/about-wipo/en/assemblies/2023/a-64/doc_details.jsp?doc_id=604682" TargetMode="External"/><Relationship Id="rId4" Type="http://schemas.openxmlformats.org/officeDocument/2006/relationships/webSettings" Target="webSettings.xml"/><Relationship Id="rId9" Type="http://schemas.openxmlformats.org/officeDocument/2006/relationships/hyperlink" Target="https://www.wipo.int/edocs/mdocs/govbody/en/a_64/a_64_13.pdf"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1086</Words>
  <Characters>5995</Characters>
  <Application>Microsoft Office Word</Application>
  <DocSecurity>0</DocSecurity>
  <Lines>149</Lines>
  <Paragraphs>59</Paragraphs>
  <ScaleCrop>false</ScaleCrop>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SANCHEZ VIZCAINO GOMEZ Rosa Maria</cp:lastModifiedBy>
  <cp:revision>4</cp:revision>
  <dcterms:created xsi:type="dcterms:W3CDTF">2023-10-25T11:47:00Z</dcterms:created>
  <dcterms:modified xsi:type="dcterms:W3CDTF">2023-10-25T12:45:00Z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2023-10-24T14:49:14Z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73ab91f0-fa06-4f11-a02b-541e32f9ee49</vt:lpwstr>
  </property>
  <property fmtid="{D5CDD505-2E9C-101B-9397-08002B2CF9AE}" pid="8" name="MSIP_Label_bfc084f7-b690-4c43-8ee6-d475b6d3461d_ContentBits">
    <vt:lpwstr>2</vt:lpwstr>
  </property>
</Properties>
</file>