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43EA1" w14:paraId="286A136D" w14:textId="77777777" w:rsidTr="00EB4E9C">
        <w:tc>
          <w:tcPr>
            <w:tcW w:w="6522" w:type="dxa"/>
          </w:tcPr>
          <w:p w14:paraId="48DE907F" w14:textId="77777777" w:rsidR="00DC3802" w:rsidRPr="00A43EA1" w:rsidRDefault="00DC3802" w:rsidP="00AC2883">
            <w:r w:rsidRPr="00A43EA1">
              <w:drawing>
                <wp:inline distT="0" distB="0" distL="0" distR="0" wp14:anchorId="39ED675C" wp14:editId="63A309C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D5A332D" w14:textId="77777777" w:rsidR="00DC3802" w:rsidRPr="00A43EA1" w:rsidRDefault="00BC0BD4" w:rsidP="00AC2883">
            <w:pPr>
              <w:pStyle w:val="Lettrine"/>
            </w:pPr>
            <w:r w:rsidRPr="00A43EA1">
              <w:t>G</w:t>
            </w:r>
          </w:p>
        </w:tc>
      </w:tr>
      <w:tr w:rsidR="00DC3802" w:rsidRPr="00A43EA1" w14:paraId="776027B3" w14:textId="77777777" w:rsidTr="00645CA8">
        <w:trPr>
          <w:trHeight w:val="219"/>
        </w:trPr>
        <w:tc>
          <w:tcPr>
            <w:tcW w:w="6522" w:type="dxa"/>
          </w:tcPr>
          <w:p w14:paraId="0877FA6B" w14:textId="77777777" w:rsidR="00DC3802" w:rsidRPr="00A43EA1" w:rsidRDefault="00BC0BD4" w:rsidP="00BC0BD4">
            <w:pPr>
              <w:pStyle w:val="upove"/>
            </w:pPr>
            <w:r w:rsidRPr="00A43EA1">
              <w:t>I</w:t>
            </w:r>
            <w:r w:rsidR="00A706D3" w:rsidRPr="00A43EA1">
              <w:t>nternationale</w:t>
            </w:r>
            <w:r w:rsidRPr="00A43EA1">
              <w:t>r</w:t>
            </w:r>
            <w:r w:rsidR="00A706D3" w:rsidRPr="00A43EA1">
              <w:t xml:space="preserve"> </w:t>
            </w:r>
            <w:r w:rsidRPr="00A43EA1">
              <w:t>Verband zum Schutz von Pflanzenzüchtungen</w:t>
            </w:r>
          </w:p>
        </w:tc>
        <w:tc>
          <w:tcPr>
            <w:tcW w:w="3117" w:type="dxa"/>
          </w:tcPr>
          <w:p w14:paraId="7DCE88B9" w14:textId="77777777" w:rsidR="00DC3802" w:rsidRPr="00A43EA1" w:rsidRDefault="00DC3802" w:rsidP="00DA4973"/>
        </w:tc>
      </w:tr>
    </w:tbl>
    <w:p w14:paraId="3EE00007" w14:textId="77777777" w:rsidR="00DC3802" w:rsidRPr="00A43EA1" w:rsidRDefault="00DC3802" w:rsidP="00DC3802"/>
    <w:p w14:paraId="326DEC14" w14:textId="77777777" w:rsidR="00DA4973" w:rsidRPr="00A43EA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43EA1" w14:paraId="12B3A79B" w14:textId="77777777" w:rsidTr="00EB4E9C">
        <w:tc>
          <w:tcPr>
            <w:tcW w:w="6512" w:type="dxa"/>
          </w:tcPr>
          <w:p w14:paraId="3E068572" w14:textId="77777777" w:rsidR="00EB4E9C" w:rsidRPr="00A43EA1" w:rsidRDefault="007C595A" w:rsidP="00AC2883">
            <w:pPr>
              <w:pStyle w:val="Sessiontc"/>
              <w:spacing w:line="240" w:lineRule="auto"/>
            </w:pPr>
            <w:r w:rsidRPr="00A43EA1">
              <w:t>Der Rat</w:t>
            </w:r>
          </w:p>
          <w:p w14:paraId="1B3A3983" w14:textId="77777777" w:rsidR="0000241A" w:rsidRPr="00A43EA1" w:rsidRDefault="00EC00B2" w:rsidP="00EC00B2">
            <w:pPr>
              <w:pStyle w:val="Sessiontcplacedate"/>
            </w:pPr>
            <w:r w:rsidRPr="00A43EA1">
              <w:t>S</w:t>
            </w:r>
            <w:r w:rsidR="00EC4208" w:rsidRPr="00A43EA1">
              <w:t>ieben</w:t>
            </w:r>
            <w:r w:rsidR="00BC0BD4" w:rsidRPr="00A43EA1">
              <w:t>und</w:t>
            </w:r>
            <w:r w:rsidR="007C595A" w:rsidRPr="00A43EA1">
              <w:t>fünf</w:t>
            </w:r>
            <w:r w:rsidR="00BC0BD4" w:rsidRPr="00A43EA1">
              <w:t xml:space="preserve">zigste </w:t>
            </w:r>
            <w:r w:rsidR="007C595A" w:rsidRPr="00A43EA1">
              <w:t xml:space="preserve">ordentliche </w:t>
            </w:r>
            <w:r w:rsidR="00BC0BD4" w:rsidRPr="00A43EA1">
              <w:t>Tagung</w:t>
            </w:r>
          </w:p>
          <w:p w14:paraId="23BD1AED" w14:textId="77777777" w:rsidR="00EB4E9C" w:rsidRPr="00A43EA1" w:rsidRDefault="00EB4E9C" w:rsidP="00EC4208">
            <w:pPr>
              <w:pStyle w:val="Sessiontcplacedate"/>
              <w:rPr>
                <w:sz w:val="22"/>
              </w:rPr>
            </w:pPr>
            <w:r w:rsidRPr="00A43EA1">
              <w:t>Gen</w:t>
            </w:r>
            <w:r w:rsidR="00BC0BD4" w:rsidRPr="00A43EA1">
              <w:t>f</w:t>
            </w:r>
            <w:r w:rsidRPr="00A43EA1">
              <w:t xml:space="preserve">, </w:t>
            </w:r>
            <w:r w:rsidR="00EC00B2" w:rsidRPr="00A43EA1">
              <w:t>2</w:t>
            </w:r>
            <w:r w:rsidR="00EC4208" w:rsidRPr="00A43EA1">
              <w:t>7</w:t>
            </w:r>
            <w:r w:rsidR="00FF262A" w:rsidRPr="00A43EA1">
              <w:t xml:space="preserve">. Oktober </w:t>
            </w:r>
            <w:r w:rsidR="00EC4208" w:rsidRPr="00A43EA1">
              <w:t>2023</w:t>
            </w:r>
          </w:p>
        </w:tc>
        <w:tc>
          <w:tcPr>
            <w:tcW w:w="3127" w:type="dxa"/>
          </w:tcPr>
          <w:p w14:paraId="28BEC2C0" w14:textId="1450E314" w:rsidR="00EB4E9C" w:rsidRPr="00A43EA1" w:rsidRDefault="003E57A0" w:rsidP="003C7FBE">
            <w:pPr>
              <w:pStyle w:val="Doccode"/>
              <w:rPr>
                <w:lang w:val="de-DE"/>
              </w:rPr>
            </w:pPr>
            <w:r w:rsidRPr="00A43EA1">
              <w:rPr>
                <w:lang w:val="de-DE"/>
              </w:rPr>
              <w:t>C/57/13</w:t>
            </w:r>
          </w:p>
          <w:p w14:paraId="3942129F" w14:textId="69071D8E" w:rsidR="00EB4E9C" w:rsidRPr="00A43EA1" w:rsidRDefault="00EB4E9C" w:rsidP="003C7FBE">
            <w:pPr>
              <w:pStyle w:val="Docoriginal"/>
            </w:pPr>
            <w:r w:rsidRPr="00A43EA1">
              <w:t>Original:</w:t>
            </w:r>
            <w:r w:rsidRPr="00A43EA1">
              <w:rPr>
                <w:b w:val="0"/>
                <w:spacing w:val="0"/>
              </w:rPr>
              <w:t xml:space="preserve">  </w:t>
            </w:r>
            <w:r w:rsidR="00BC0BD4" w:rsidRPr="00A43EA1">
              <w:rPr>
                <w:b w:val="0"/>
                <w:spacing w:val="0"/>
              </w:rPr>
              <w:t>englisch</w:t>
            </w:r>
            <w:r w:rsidR="003E57A0" w:rsidRPr="00A43EA1">
              <w:rPr>
                <w:b w:val="0"/>
                <w:spacing w:val="0"/>
              </w:rPr>
              <w:t>/deutsch/spanisch</w:t>
            </w:r>
          </w:p>
          <w:p w14:paraId="36D1338E" w14:textId="2FDD6C24" w:rsidR="00EB4E9C" w:rsidRPr="00A43EA1" w:rsidRDefault="00EB4E9C" w:rsidP="00EC00B2">
            <w:pPr>
              <w:pStyle w:val="Docoriginal"/>
            </w:pPr>
            <w:r w:rsidRPr="00A43EA1">
              <w:t>Dat</w:t>
            </w:r>
            <w:r w:rsidR="00BC0BD4" w:rsidRPr="00A43EA1">
              <w:t>um</w:t>
            </w:r>
            <w:r w:rsidRPr="00A43EA1">
              <w:t>:</w:t>
            </w:r>
            <w:r w:rsidRPr="00A43EA1">
              <w:rPr>
                <w:b w:val="0"/>
                <w:spacing w:val="0"/>
              </w:rPr>
              <w:t xml:space="preserve">  </w:t>
            </w:r>
            <w:r w:rsidR="003E57A0" w:rsidRPr="00A43EA1">
              <w:rPr>
                <w:b w:val="0"/>
                <w:spacing w:val="0"/>
              </w:rPr>
              <w:t>4. Oktober 2023</w:t>
            </w:r>
          </w:p>
        </w:tc>
      </w:tr>
    </w:tbl>
    <w:p w14:paraId="3A2A0F4D" w14:textId="77777777" w:rsidR="003E57A0" w:rsidRPr="00A43EA1" w:rsidRDefault="003E57A0" w:rsidP="003E57A0">
      <w:pPr>
        <w:pStyle w:val="Titleofdoc0"/>
      </w:pPr>
      <w:r w:rsidRPr="00A43EA1">
        <w:t>BERICHTE DER VERTRETER VON MITGLIEDERN UND BEOBACHTERN ÜBER DIE LAGE AUF DEN GEBIETEN DER GESETZGEBUNG, DER VERWALTUNG UND DER TECHNIK</w:t>
      </w:r>
    </w:p>
    <w:p w14:paraId="7A99E126" w14:textId="77777777" w:rsidR="003E57A0" w:rsidRPr="00A43EA1" w:rsidRDefault="003E57A0" w:rsidP="003E57A0">
      <w:pPr>
        <w:pStyle w:val="preparedby1"/>
        <w:jc w:val="left"/>
      </w:pPr>
      <w:r w:rsidRPr="00A43EA1">
        <w:t>vom Verbandsbüro erstelltes Dokument</w:t>
      </w:r>
    </w:p>
    <w:p w14:paraId="7C5F6962" w14:textId="77777777" w:rsidR="003E57A0" w:rsidRPr="00A43EA1" w:rsidRDefault="003E57A0" w:rsidP="003E57A0">
      <w:pPr>
        <w:pStyle w:val="Disclaimer"/>
      </w:pPr>
      <w:r w:rsidRPr="00A43EA1">
        <w:t>Haftungsausschluss: dieses Dokument gibt nicht die Grundsätze oder eine Anleitung der UPOV wieder</w:t>
      </w:r>
    </w:p>
    <w:p w14:paraId="735ADB18" w14:textId="77777777" w:rsidR="003E57A0" w:rsidRPr="00A43EA1" w:rsidRDefault="003E57A0" w:rsidP="003E57A0">
      <w:r w:rsidRPr="00A43EA1">
        <w:fldChar w:fldCharType="begin"/>
      </w:r>
      <w:r w:rsidRPr="00A43EA1">
        <w:instrText xml:space="preserve"> AUTONUM </w:instrText>
      </w:r>
      <w:r w:rsidRPr="00A43EA1">
        <w:fldChar w:fldCharType="separate"/>
      </w:r>
      <w:r w:rsidRPr="00A43EA1">
        <w:t>2.</w:t>
      </w:r>
      <w:r w:rsidRPr="00A43EA1">
        <w:fldChar w:fldCharType="end"/>
      </w:r>
      <w:r w:rsidRPr="00A43EA1">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14:paraId="7F9429B7" w14:textId="77777777" w:rsidR="003E57A0" w:rsidRPr="00A43EA1" w:rsidRDefault="003E57A0" w:rsidP="003E57A0"/>
    <w:p w14:paraId="72115760" w14:textId="77777777" w:rsidR="003E57A0" w:rsidRPr="00A43EA1" w:rsidRDefault="003E57A0" w:rsidP="003E57A0">
      <w:r w:rsidRPr="00A43EA1">
        <w:fldChar w:fldCharType="begin"/>
      </w:r>
      <w:r w:rsidRPr="00A43EA1">
        <w:instrText xml:space="preserve"> AUTONUM </w:instrText>
      </w:r>
      <w:r w:rsidRPr="00A43EA1">
        <w:fldChar w:fldCharType="separate"/>
      </w:r>
      <w:r w:rsidRPr="00A43EA1">
        <w:t>2.</w:t>
      </w:r>
      <w:r w:rsidRPr="00A43EA1">
        <w:fldChar w:fldCharType="end"/>
      </w:r>
      <w:r w:rsidRPr="00A43EA1">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14:paraId="1E51EE7F" w14:textId="77777777" w:rsidR="003E57A0" w:rsidRPr="00A43EA1" w:rsidRDefault="003E57A0" w:rsidP="003E57A0"/>
    <w:p w14:paraId="483731E9" w14:textId="02EFA8CF" w:rsidR="003E57A0" w:rsidRPr="00A43EA1" w:rsidRDefault="003E57A0" w:rsidP="003E57A0">
      <w:pPr>
        <w:ind w:left="567"/>
        <w:rPr>
          <w:szCs w:val="24"/>
        </w:rPr>
      </w:pPr>
      <w:r w:rsidRPr="00A43EA1">
        <w:rPr>
          <w:spacing w:val="-3"/>
          <w:u w:val="single"/>
        </w:rPr>
        <w:t>Mitglieder</w:t>
      </w:r>
      <w:r w:rsidRPr="00A43EA1">
        <w:rPr>
          <w:spacing w:val="-3"/>
        </w:rPr>
        <w:t>: Anlagen I bis X</w:t>
      </w:r>
      <w:r w:rsidR="00804248" w:rsidRPr="00A43EA1">
        <w:rPr>
          <w:spacing w:val="-3"/>
        </w:rPr>
        <w:t>VIII</w:t>
      </w:r>
      <w:r w:rsidRPr="00A43EA1">
        <w:rPr>
          <w:spacing w:val="-3"/>
        </w:rPr>
        <w:t xml:space="preserve">: </w:t>
      </w:r>
      <w:r w:rsidR="00804248" w:rsidRPr="00A43EA1">
        <w:rPr>
          <w:szCs w:val="24"/>
        </w:rPr>
        <w:t>Südafrika, Deutschland, Belarus, Bosnien-Herzegowina, Estland, Ungarn, Israel, Japan, Kenia, Litauen, Mexiko, Neuseeland, Polen, Republik Moldau, Vereinigtes Königreich, Serbien, Ukraine, Europäische Union</w:t>
      </w:r>
    </w:p>
    <w:p w14:paraId="3F2BAE18" w14:textId="09C29E99" w:rsidR="00804248" w:rsidRPr="00A43EA1" w:rsidRDefault="00804248" w:rsidP="003E57A0">
      <w:pPr>
        <w:ind w:left="567"/>
        <w:rPr>
          <w:szCs w:val="24"/>
        </w:rPr>
      </w:pPr>
    </w:p>
    <w:p w14:paraId="0A4B0FD4" w14:textId="17AE85F5" w:rsidR="00804248" w:rsidRPr="00A43EA1" w:rsidRDefault="00804248" w:rsidP="003E57A0">
      <w:pPr>
        <w:ind w:left="567"/>
        <w:rPr>
          <w:szCs w:val="24"/>
        </w:rPr>
      </w:pPr>
      <w:r w:rsidRPr="00A43EA1">
        <w:rPr>
          <w:szCs w:val="24"/>
          <w:u w:val="single"/>
        </w:rPr>
        <w:t>Beobachter</w:t>
      </w:r>
      <w:r w:rsidRPr="00A43EA1">
        <w:rPr>
          <w:szCs w:val="24"/>
        </w:rPr>
        <w:t xml:space="preserve">:  Anlagen XIX und XX: </w:t>
      </w:r>
      <w:r w:rsidR="00AA46ED" w:rsidRPr="00A43EA1">
        <w:rPr>
          <w:szCs w:val="24"/>
        </w:rPr>
        <w:t xml:space="preserve">Myanmar, </w:t>
      </w:r>
      <w:r w:rsidR="00AA46ED" w:rsidRPr="00A43EA1">
        <w:t>Simbabwe</w:t>
      </w:r>
    </w:p>
    <w:p w14:paraId="0882A532" w14:textId="77777777" w:rsidR="003E57A0" w:rsidRPr="00A43EA1" w:rsidRDefault="003E57A0" w:rsidP="003E57A0">
      <w:pPr>
        <w:tabs>
          <w:tab w:val="left" w:pos="2694"/>
        </w:tabs>
      </w:pPr>
    </w:p>
    <w:p w14:paraId="170811B5" w14:textId="3B26622D" w:rsidR="003E57A0" w:rsidRPr="00A43EA1" w:rsidRDefault="003E57A0" w:rsidP="003E57A0">
      <w:r w:rsidRPr="00A43EA1">
        <w:fldChar w:fldCharType="begin"/>
      </w:r>
      <w:r w:rsidRPr="00A43EA1">
        <w:instrText xml:space="preserve"> AUTONUM  </w:instrText>
      </w:r>
      <w:r w:rsidRPr="00A43EA1">
        <w:fldChar w:fldCharType="end"/>
      </w:r>
      <w:r w:rsidRPr="00A43EA1">
        <w:tab/>
        <w:t xml:space="preserve">Berichte, die nach dem </w:t>
      </w:r>
      <w:r w:rsidRPr="00A43EA1">
        <w:t>29</w:t>
      </w:r>
      <w:r w:rsidRPr="00A43EA1">
        <w:t>. September 202</w:t>
      </w:r>
      <w:r w:rsidRPr="00A43EA1">
        <w:t>3</w:t>
      </w:r>
      <w:r w:rsidRPr="00A43EA1">
        <w:t xml:space="preserve"> eingereicht wurden, werden später als Ergänzung zu diesem Dokument aufgenommen und nach der Ratssitzung veröffentlicht.</w:t>
      </w:r>
    </w:p>
    <w:p w14:paraId="2B9C1C7B" w14:textId="77777777" w:rsidR="003E57A0" w:rsidRPr="00A43EA1" w:rsidRDefault="003E57A0" w:rsidP="003E57A0"/>
    <w:p w14:paraId="1EFD585A" w14:textId="77777777" w:rsidR="003E57A0" w:rsidRPr="00A43EA1" w:rsidRDefault="003E57A0" w:rsidP="003E57A0">
      <w:pPr>
        <w:jc w:val="left"/>
      </w:pPr>
    </w:p>
    <w:p w14:paraId="78333AFA" w14:textId="77777777" w:rsidR="003E57A0" w:rsidRPr="00A43EA1" w:rsidRDefault="003E57A0" w:rsidP="003E57A0"/>
    <w:p w14:paraId="606A7132" w14:textId="77777777" w:rsidR="003E57A0" w:rsidRPr="00A43EA1" w:rsidRDefault="003E57A0" w:rsidP="003E57A0">
      <w:pPr>
        <w:jc w:val="right"/>
      </w:pPr>
      <w:r w:rsidRPr="00A43EA1">
        <w:t>[Anlagen folgen]</w:t>
      </w:r>
    </w:p>
    <w:p w14:paraId="5AB3137C" w14:textId="77777777" w:rsidR="00202E38" w:rsidRPr="00A43EA1" w:rsidRDefault="00202E38">
      <w:pPr>
        <w:jc w:val="left"/>
      </w:pPr>
    </w:p>
    <w:p w14:paraId="3450B9C9" w14:textId="77777777" w:rsidR="00424F87" w:rsidRPr="00A43EA1" w:rsidRDefault="00424F87" w:rsidP="009B440E">
      <w:pPr>
        <w:jc w:val="left"/>
        <w:sectPr w:rsidR="00424F87" w:rsidRPr="00A43EA1" w:rsidSect="00906DDC">
          <w:headerReference w:type="default" r:id="rId9"/>
          <w:pgSz w:w="11907" w:h="16840" w:code="9"/>
          <w:pgMar w:top="510" w:right="1134" w:bottom="1134" w:left="1134" w:header="510" w:footer="680" w:gutter="0"/>
          <w:cols w:space="720"/>
          <w:titlePg/>
        </w:sectPr>
      </w:pPr>
    </w:p>
    <w:p w14:paraId="3080EC54" w14:textId="77777777" w:rsidR="00424F87" w:rsidRPr="00A43EA1" w:rsidRDefault="00424F87" w:rsidP="00424F87">
      <w:pPr>
        <w:jc w:val="center"/>
      </w:pPr>
      <w:r w:rsidRPr="00A43EA1">
        <w:lastRenderedPageBreak/>
        <w:t>C/57/13</w:t>
      </w:r>
    </w:p>
    <w:p w14:paraId="5CF71700" w14:textId="77777777" w:rsidR="00424F87" w:rsidRPr="00A43EA1" w:rsidRDefault="00424F87" w:rsidP="00424F87">
      <w:pPr>
        <w:jc w:val="center"/>
      </w:pPr>
    </w:p>
    <w:p w14:paraId="0E3A3597" w14:textId="68B2638E" w:rsidR="00424F87" w:rsidRPr="00A43EA1" w:rsidRDefault="009E6E5A" w:rsidP="00424F87">
      <w:pPr>
        <w:jc w:val="center"/>
      </w:pPr>
      <w:r>
        <w:t>ANLAGE</w:t>
      </w:r>
      <w:r w:rsidR="00424F87" w:rsidRPr="00A43EA1">
        <w:t xml:space="preserve"> I</w:t>
      </w:r>
    </w:p>
    <w:p w14:paraId="6A26AC7B" w14:textId="77777777" w:rsidR="00424F87" w:rsidRPr="00A43EA1" w:rsidRDefault="00424F87" w:rsidP="00424F87">
      <w:pPr>
        <w:jc w:val="center"/>
      </w:pPr>
    </w:p>
    <w:p w14:paraId="68B3E796" w14:textId="77777777" w:rsidR="00424F87" w:rsidRPr="00A43EA1" w:rsidRDefault="00424F87" w:rsidP="00424F87">
      <w:pPr>
        <w:jc w:val="center"/>
      </w:pPr>
    </w:p>
    <w:p w14:paraId="58C85DD3" w14:textId="7B9CEF20" w:rsidR="00424F87" w:rsidRPr="00A43EA1" w:rsidRDefault="00424F87" w:rsidP="00424F87">
      <w:pPr>
        <w:jc w:val="center"/>
      </w:pPr>
      <w:r w:rsidRPr="00A43EA1">
        <w:t>SÜDAFRIKA</w:t>
      </w:r>
    </w:p>
    <w:p w14:paraId="4E8EA4AC" w14:textId="3ADF9CAD" w:rsidR="00424F87" w:rsidRPr="00A43EA1" w:rsidRDefault="00424F87" w:rsidP="00424F87">
      <w:pPr>
        <w:jc w:val="center"/>
      </w:pPr>
      <w:r w:rsidRPr="00A43EA1">
        <w:t>(Originalsprache: englisch)</w:t>
      </w:r>
    </w:p>
    <w:p w14:paraId="19C45CEB" w14:textId="4C0532E3" w:rsidR="00424F87" w:rsidRPr="00A43EA1" w:rsidRDefault="00424F87" w:rsidP="00424F87"/>
    <w:p w14:paraId="435F3207" w14:textId="2FF24063" w:rsidR="00424F87" w:rsidRPr="00A43EA1" w:rsidRDefault="00424F87" w:rsidP="000B254F">
      <w:pPr>
        <w:pStyle w:val="Disclaimer"/>
        <w:spacing w:after="360"/>
        <w:jc w:val="center"/>
        <w:rPr>
          <w:sz w:val="18"/>
          <w:szCs w:val="18"/>
        </w:rPr>
      </w:pPr>
      <w:r w:rsidRPr="00A43EA1">
        <w:rPr>
          <w:sz w:val="18"/>
          <w:szCs w:val="18"/>
        </w:rPr>
        <w:t xml:space="preserve">Diese </w:t>
      </w:r>
      <w:r w:rsidRPr="00A43EA1">
        <w:rPr>
          <w:sz w:val="18"/>
          <w:szCs w:val="18"/>
        </w:rPr>
        <w:t xml:space="preserve">Übersetzung </w:t>
      </w:r>
      <w:r w:rsidRPr="00A43EA1">
        <w:rPr>
          <w:sz w:val="18"/>
          <w:szCs w:val="18"/>
        </w:rPr>
        <w:t>wurde mit Hilfe einer maschinellen Übersetzung erstellt, und die Genauigkeit kann nicht garantiert werden. Daher ist der Text in der Originalsprache die einzige authentische Version.</w:t>
      </w:r>
    </w:p>
    <w:p w14:paraId="70F362C9" w14:textId="77777777" w:rsidR="00424F87" w:rsidRPr="00A43EA1" w:rsidRDefault="00424F87" w:rsidP="00424F87">
      <w:r w:rsidRPr="00A43EA1">
        <w:t xml:space="preserve">I. </w:t>
      </w:r>
      <w:r w:rsidRPr="00A43EA1">
        <w:tab/>
        <w:t>SORTENSCHUTZ</w:t>
      </w:r>
    </w:p>
    <w:p w14:paraId="44219D46" w14:textId="77777777" w:rsidR="00424F87" w:rsidRPr="00A43EA1" w:rsidRDefault="00424F87" w:rsidP="00424F87"/>
    <w:p w14:paraId="589B61C4" w14:textId="77777777" w:rsidR="00424F87" w:rsidRPr="00A43EA1" w:rsidRDefault="00424F87" w:rsidP="00424F87">
      <w:r w:rsidRPr="00A43EA1">
        <w:t xml:space="preserve">1. </w:t>
      </w:r>
      <w:r w:rsidRPr="00A43EA1">
        <w:tab/>
      </w:r>
      <w:r w:rsidRPr="00A43EA1">
        <w:rPr>
          <w:u w:val="single"/>
        </w:rPr>
        <w:t>Lage auf dem Gebiet der Gesetzgebung</w:t>
      </w:r>
    </w:p>
    <w:p w14:paraId="5C028626" w14:textId="77777777" w:rsidR="00424F87" w:rsidRPr="00A43EA1" w:rsidRDefault="00424F87" w:rsidP="00424F87"/>
    <w:p w14:paraId="67E159DC" w14:textId="26251CC6" w:rsidR="00424F87" w:rsidRPr="00A43EA1" w:rsidRDefault="00424F87" w:rsidP="00424F87">
      <w:r w:rsidRPr="00A43EA1">
        <w:t>1.1</w:t>
      </w:r>
      <w:r w:rsidR="006A3AAD">
        <w:tab/>
      </w:r>
      <w:r w:rsidRPr="00A43EA1">
        <w:t>Änderungen des Gesetzes und der Durchführungsverordnungen</w:t>
      </w:r>
    </w:p>
    <w:p w14:paraId="4B414901" w14:textId="77777777" w:rsidR="00424F87" w:rsidRPr="00A43EA1" w:rsidRDefault="00424F87" w:rsidP="00424F87">
      <w:pPr>
        <w:ind w:left="851" w:hanging="284"/>
      </w:pPr>
    </w:p>
    <w:p w14:paraId="229A7D69" w14:textId="78CD91D9" w:rsidR="00424F87" w:rsidRPr="00A43EA1" w:rsidRDefault="00424F87" w:rsidP="00424F87">
      <w:pPr>
        <w:ind w:left="851" w:hanging="284"/>
      </w:pPr>
      <w:r w:rsidRPr="00A43EA1">
        <w:t>-</w:t>
      </w:r>
      <w:r w:rsidR="006A3AAD">
        <w:tab/>
      </w:r>
      <w:r w:rsidRPr="00A43EA1">
        <w:t xml:space="preserve">Anpassung an die Akte von 1991 des Übereinkommens:  </w:t>
      </w:r>
    </w:p>
    <w:p w14:paraId="1BC9FB04" w14:textId="77777777" w:rsidR="00424F87" w:rsidRPr="00A43EA1" w:rsidRDefault="00424F87" w:rsidP="00424F87">
      <w:pPr>
        <w:ind w:left="851" w:hanging="284"/>
      </w:pPr>
    </w:p>
    <w:p w14:paraId="2EAF8213" w14:textId="77777777" w:rsidR="00424F87" w:rsidRPr="00A43EA1" w:rsidRDefault="00424F87" w:rsidP="00424F87">
      <w:pPr>
        <w:ind w:left="851" w:hanging="284"/>
        <w:rPr>
          <w:iCs/>
        </w:rPr>
      </w:pPr>
      <w:r w:rsidRPr="00A43EA1">
        <w:rPr>
          <w:iCs/>
        </w:rPr>
        <w:t>Es gibt nichts zu berichten.</w:t>
      </w:r>
    </w:p>
    <w:p w14:paraId="1E1DE088" w14:textId="77777777" w:rsidR="00424F87" w:rsidRPr="00A43EA1" w:rsidRDefault="00424F87" w:rsidP="00424F87">
      <w:pPr>
        <w:rPr>
          <w:i/>
          <w:iCs/>
        </w:rPr>
      </w:pPr>
    </w:p>
    <w:p w14:paraId="7B3B7BC6" w14:textId="01611B56" w:rsidR="00424F87" w:rsidRPr="00A43EA1" w:rsidRDefault="00424F87" w:rsidP="00424F87">
      <w:pPr>
        <w:ind w:left="851" w:hanging="284"/>
      </w:pPr>
      <w:r w:rsidRPr="00A43EA1">
        <w:t>-</w:t>
      </w:r>
      <w:r w:rsidR="006A3AAD">
        <w:tab/>
      </w:r>
      <w:r w:rsidRPr="00A43EA1">
        <w:t>sonstige Änderungen, auch in Bezug auf die Gebühren:</w:t>
      </w:r>
    </w:p>
    <w:p w14:paraId="340847E0" w14:textId="77777777" w:rsidR="00424F87" w:rsidRPr="00A43EA1" w:rsidRDefault="00424F87" w:rsidP="00424F87">
      <w:pPr>
        <w:ind w:left="851" w:hanging="284"/>
      </w:pPr>
    </w:p>
    <w:p w14:paraId="3CBA3A69" w14:textId="77777777" w:rsidR="00424F87" w:rsidRPr="00A43EA1" w:rsidRDefault="00424F87" w:rsidP="00424F87">
      <w:pPr>
        <w:ind w:left="567"/>
        <w:rPr>
          <w:iCs/>
        </w:rPr>
      </w:pPr>
      <w:r w:rsidRPr="00A43EA1">
        <w:rPr>
          <w:iCs/>
        </w:rPr>
        <w:t>Die Gebühren für Züchterrechte wurden im Amtsblatt der Republik Südafrika, Nr. 46242 vom 14. April 2022, für das Haushaltsjahr 2022/23, das am 31. März 2023 endet, veröffentlicht.</w:t>
      </w:r>
    </w:p>
    <w:p w14:paraId="4F5FA669" w14:textId="77777777" w:rsidR="00424F87" w:rsidRPr="00A43EA1" w:rsidRDefault="00424F87" w:rsidP="00424F87"/>
    <w:p w14:paraId="237FE2F0" w14:textId="0E425BD6" w:rsidR="00424F87" w:rsidRPr="00A43EA1" w:rsidRDefault="00424F87" w:rsidP="00424F87">
      <w:r w:rsidRPr="00A43EA1">
        <w:t>1.2</w:t>
      </w:r>
      <w:r w:rsidR="006A3AAD">
        <w:tab/>
      </w:r>
      <w:r w:rsidRPr="00A43EA1">
        <w:t>Ausdehnung des Schutzes auf weitere Gattungen und Arten (erfolgt oder geplant)</w:t>
      </w:r>
    </w:p>
    <w:p w14:paraId="7C31CE07" w14:textId="77777777" w:rsidR="00424F87" w:rsidRPr="00A43EA1" w:rsidRDefault="00424F87" w:rsidP="00424F87"/>
    <w:p w14:paraId="1DB9CF44" w14:textId="77777777" w:rsidR="00424F87" w:rsidRPr="00A43EA1" w:rsidRDefault="00424F87" w:rsidP="00424F87">
      <w:pPr>
        <w:rPr>
          <w:iCs/>
        </w:rPr>
      </w:pPr>
      <w:r w:rsidRPr="00A43EA1">
        <w:rPr>
          <w:iCs/>
        </w:rPr>
        <w:t>Es gibt nichts zu berichten.</w:t>
      </w:r>
    </w:p>
    <w:p w14:paraId="7C512CC1" w14:textId="77777777" w:rsidR="00424F87" w:rsidRPr="00A43EA1" w:rsidRDefault="00424F87" w:rsidP="00424F87"/>
    <w:p w14:paraId="512EEC23" w14:textId="77777777" w:rsidR="00424F87" w:rsidRPr="00A43EA1" w:rsidRDefault="00424F87" w:rsidP="00424F87"/>
    <w:p w14:paraId="1025D6A8" w14:textId="77777777" w:rsidR="00424F87" w:rsidRPr="00A43EA1" w:rsidRDefault="00424F87" w:rsidP="00424F87">
      <w:r w:rsidRPr="00A43EA1">
        <w:t>2.</w:t>
      </w:r>
      <w:r w:rsidRPr="00A43EA1">
        <w:tab/>
      </w:r>
      <w:r w:rsidRPr="00A43EA1">
        <w:rPr>
          <w:u w:val="single"/>
        </w:rPr>
        <w:t>Zusammenarbeit bei der Prüfung</w:t>
      </w:r>
    </w:p>
    <w:p w14:paraId="16A899A4" w14:textId="77777777" w:rsidR="00424F87" w:rsidRPr="00A43EA1" w:rsidRDefault="00424F87" w:rsidP="00424F87"/>
    <w:p w14:paraId="5D1ADB4E" w14:textId="77777777" w:rsidR="00424F87" w:rsidRPr="00A43EA1" w:rsidRDefault="00424F87" w:rsidP="00424F87">
      <w:pPr>
        <w:rPr>
          <w:iCs/>
        </w:rPr>
      </w:pPr>
      <w:r w:rsidRPr="00A43EA1">
        <w:rPr>
          <w:iCs/>
        </w:rPr>
        <w:t>Es gibt nichts zu berichten.</w:t>
      </w:r>
    </w:p>
    <w:p w14:paraId="6A5C180C" w14:textId="77777777" w:rsidR="00424F87" w:rsidRPr="00A43EA1" w:rsidRDefault="00424F87" w:rsidP="00424F87"/>
    <w:p w14:paraId="6A1386F5" w14:textId="77777777" w:rsidR="00424F87" w:rsidRPr="00A43EA1" w:rsidRDefault="00424F87" w:rsidP="00424F87"/>
    <w:p w14:paraId="0A2D55D9"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08432E71" w14:textId="77777777" w:rsidR="00424F87" w:rsidRPr="00A43EA1" w:rsidRDefault="00424F87" w:rsidP="00424F87"/>
    <w:p w14:paraId="145958E7" w14:textId="77777777" w:rsidR="00424F87" w:rsidRPr="00A43EA1" w:rsidRDefault="00424F87" w:rsidP="00424F87">
      <w:r w:rsidRPr="00A43EA1">
        <w:t>Keine Änderungen.</w:t>
      </w:r>
    </w:p>
    <w:p w14:paraId="42B46411" w14:textId="77777777" w:rsidR="00424F87" w:rsidRPr="00A43EA1" w:rsidRDefault="00424F87" w:rsidP="00424F87"/>
    <w:p w14:paraId="1D6FCB53" w14:textId="77777777" w:rsidR="00424F87" w:rsidRPr="00A43EA1" w:rsidRDefault="00424F87" w:rsidP="00424F87"/>
    <w:p w14:paraId="64D7FF40" w14:textId="77777777" w:rsidR="00424F87" w:rsidRPr="00A43EA1" w:rsidRDefault="00424F87" w:rsidP="00424F87">
      <w:r w:rsidRPr="00A43EA1">
        <w:t>4.</w:t>
      </w:r>
      <w:r w:rsidRPr="00A43EA1">
        <w:tab/>
      </w:r>
      <w:r w:rsidRPr="00A43EA1">
        <w:rPr>
          <w:u w:val="single"/>
        </w:rPr>
        <w:t>Lage auf dem Gebiet der Technik für den Zeitraum Januar bis Dezember 2021</w:t>
      </w:r>
    </w:p>
    <w:p w14:paraId="4D681AC2" w14:textId="77777777" w:rsidR="00424F87" w:rsidRPr="00A43EA1" w:rsidRDefault="00424F87" w:rsidP="00424F87"/>
    <w:p w14:paraId="2DD75C85" w14:textId="77777777" w:rsidR="00424F87" w:rsidRPr="00A43EA1" w:rsidRDefault="00424F87" w:rsidP="00424F87">
      <w:pPr>
        <w:numPr>
          <w:ilvl w:val="0"/>
          <w:numId w:val="1"/>
        </w:numPr>
        <w:autoSpaceDE w:val="0"/>
        <w:autoSpaceDN w:val="0"/>
        <w:adjustRightInd w:val="0"/>
        <w:spacing w:line="276" w:lineRule="auto"/>
        <w:ind w:left="426" w:hanging="426"/>
        <w:rPr>
          <w:rFonts w:cs="Arial"/>
        </w:rPr>
      </w:pPr>
      <w:r w:rsidRPr="00A43EA1">
        <w:rPr>
          <w:rFonts w:cs="Arial"/>
        </w:rPr>
        <w:t xml:space="preserve">Es gingen 277 Anträge auf Erteilung von Züchterrechten ein, von denen 39 % [106] auf landwirtschaftliche Arten, 10 % [29] auf Zierpflanzen, 39 % [109] auf Obstarten und 12 % [33] auf Gemüsearten entfielen. </w:t>
      </w:r>
    </w:p>
    <w:p w14:paraId="3A051E34" w14:textId="77777777" w:rsidR="00424F87" w:rsidRPr="00A43EA1" w:rsidRDefault="00424F87" w:rsidP="00424F87">
      <w:pPr>
        <w:rPr>
          <w:rFonts w:cs="Arial"/>
        </w:rPr>
      </w:pPr>
    </w:p>
    <w:p w14:paraId="71647A18" w14:textId="77777777" w:rsidR="00424F87" w:rsidRPr="00A43EA1" w:rsidRDefault="00424F87" w:rsidP="00424F87">
      <w:pPr>
        <w:ind w:firstLine="425"/>
        <w:rPr>
          <w:rFonts w:cs="Arial"/>
        </w:rPr>
      </w:pPr>
      <w:r w:rsidRPr="00A43EA1">
        <w:rPr>
          <w:rFonts w:cs="Arial"/>
        </w:rPr>
        <w:t>Die insgesamt 289 Züchterrechtserteilungen von Januar bis Dezember 2022 waren wie folgt:</w:t>
      </w:r>
    </w:p>
    <w:p w14:paraId="36ACD651" w14:textId="77777777" w:rsidR="00424F87" w:rsidRPr="00A43EA1" w:rsidRDefault="00424F87" w:rsidP="00424F87">
      <w:pPr>
        <w:rPr>
          <w:rFonts w:cs="Arial"/>
        </w:rPr>
      </w:pPr>
    </w:p>
    <w:p w14:paraId="1FA6B4F9" w14:textId="77777777" w:rsidR="00424F87" w:rsidRPr="00A43EA1" w:rsidRDefault="00424F87" w:rsidP="00424F87">
      <w:pPr>
        <w:ind w:firstLine="425"/>
        <w:rPr>
          <w:rFonts w:cs="Arial"/>
        </w:rPr>
      </w:pPr>
      <w:r w:rsidRPr="00A43EA1">
        <w:rPr>
          <w:rFonts w:cs="Arial"/>
        </w:rPr>
        <w:t>Landwirtschaftliche Nutzpflanzen</w:t>
      </w:r>
      <w:r w:rsidRPr="00A43EA1">
        <w:rPr>
          <w:rFonts w:cs="Arial"/>
        </w:rPr>
        <w:tab/>
      </w:r>
      <w:r w:rsidRPr="00A43EA1">
        <w:rPr>
          <w:rFonts w:cs="Arial"/>
        </w:rPr>
        <w:tab/>
        <w:t>126</w:t>
      </w:r>
    </w:p>
    <w:p w14:paraId="59797C3D" w14:textId="229F9E9E" w:rsidR="00424F87" w:rsidRPr="00A43EA1" w:rsidRDefault="00424F87" w:rsidP="00424F87">
      <w:pPr>
        <w:ind w:firstLine="425"/>
        <w:rPr>
          <w:rFonts w:cs="Arial"/>
        </w:rPr>
      </w:pPr>
      <w:r w:rsidRPr="00A43EA1">
        <w:rPr>
          <w:rFonts w:cs="Arial"/>
        </w:rPr>
        <w:t>Gemüsekulturen</w:t>
      </w:r>
      <w:r w:rsidRPr="00A43EA1">
        <w:rPr>
          <w:rFonts w:cs="Arial"/>
        </w:rPr>
        <w:tab/>
      </w:r>
      <w:r w:rsidR="00A43EA1">
        <w:rPr>
          <w:rFonts w:cs="Arial"/>
        </w:rPr>
        <w:tab/>
      </w:r>
      <w:r w:rsidR="00A43EA1">
        <w:rPr>
          <w:rFonts w:cs="Arial"/>
        </w:rPr>
        <w:tab/>
      </w:r>
      <w:r w:rsidRPr="00A43EA1">
        <w:rPr>
          <w:rFonts w:cs="Arial"/>
        </w:rPr>
        <w:tab/>
        <w:t xml:space="preserve">  36</w:t>
      </w:r>
    </w:p>
    <w:p w14:paraId="24A00A73" w14:textId="466A9360" w:rsidR="00424F87" w:rsidRPr="00A43EA1" w:rsidRDefault="00424F87" w:rsidP="00424F87">
      <w:pPr>
        <w:ind w:firstLine="425"/>
        <w:rPr>
          <w:rFonts w:cs="Arial"/>
        </w:rPr>
      </w:pPr>
      <w:r w:rsidRPr="00A43EA1">
        <w:rPr>
          <w:rFonts w:cs="Arial"/>
        </w:rPr>
        <w:t>Obstkulturen</w:t>
      </w:r>
      <w:r w:rsidRPr="00A43EA1">
        <w:rPr>
          <w:rFonts w:cs="Arial"/>
        </w:rPr>
        <w:tab/>
      </w:r>
      <w:r w:rsidRPr="00A43EA1">
        <w:rPr>
          <w:rFonts w:cs="Arial"/>
        </w:rPr>
        <w:tab/>
      </w:r>
      <w:r w:rsidR="00A43EA1">
        <w:rPr>
          <w:rFonts w:cs="Arial"/>
        </w:rPr>
        <w:tab/>
      </w:r>
      <w:r w:rsidR="00A43EA1">
        <w:rPr>
          <w:rFonts w:cs="Arial"/>
        </w:rPr>
        <w:tab/>
      </w:r>
      <w:r w:rsidRPr="00A43EA1">
        <w:rPr>
          <w:rFonts w:cs="Arial"/>
        </w:rPr>
        <w:tab/>
        <w:t xml:space="preserve">  78</w:t>
      </w:r>
    </w:p>
    <w:p w14:paraId="2ABDB2E6" w14:textId="23B67A54" w:rsidR="00424F87" w:rsidRPr="00A43EA1" w:rsidRDefault="00424F87" w:rsidP="00424F87">
      <w:pPr>
        <w:ind w:firstLine="425"/>
        <w:rPr>
          <w:rFonts w:cs="Arial"/>
        </w:rPr>
      </w:pPr>
      <w:r w:rsidRPr="00A43EA1">
        <w:rPr>
          <w:rFonts w:cs="Arial"/>
        </w:rPr>
        <w:t>Zierpflanzenanbau</w:t>
      </w:r>
      <w:r w:rsidRPr="00A43EA1">
        <w:rPr>
          <w:rFonts w:cs="Arial"/>
        </w:rPr>
        <w:tab/>
      </w:r>
      <w:r w:rsidR="00A43EA1">
        <w:rPr>
          <w:rFonts w:cs="Arial"/>
        </w:rPr>
        <w:tab/>
      </w:r>
      <w:r w:rsidR="00A43EA1">
        <w:rPr>
          <w:rFonts w:cs="Arial"/>
        </w:rPr>
        <w:tab/>
      </w:r>
      <w:r w:rsidRPr="00A43EA1">
        <w:rPr>
          <w:rFonts w:cs="Arial"/>
        </w:rPr>
        <w:tab/>
        <w:t xml:space="preserve">  49</w:t>
      </w:r>
    </w:p>
    <w:p w14:paraId="4A84E238" w14:textId="77777777" w:rsidR="00424F87" w:rsidRPr="00A43EA1" w:rsidRDefault="00424F87" w:rsidP="00424F87">
      <w:pPr>
        <w:rPr>
          <w:rFonts w:cs="Arial"/>
        </w:rPr>
      </w:pPr>
    </w:p>
    <w:p w14:paraId="66E74ED1" w14:textId="77777777" w:rsidR="00424F87" w:rsidRPr="00A43EA1" w:rsidRDefault="00424F87" w:rsidP="00424F87">
      <w:pPr>
        <w:numPr>
          <w:ilvl w:val="0"/>
          <w:numId w:val="1"/>
        </w:numPr>
        <w:autoSpaceDE w:val="0"/>
        <w:autoSpaceDN w:val="0"/>
        <w:adjustRightInd w:val="0"/>
        <w:spacing w:line="276" w:lineRule="auto"/>
        <w:ind w:left="426" w:hanging="426"/>
        <w:rPr>
          <w:rFonts w:cs="Arial"/>
        </w:rPr>
      </w:pPr>
      <w:r w:rsidRPr="00A43EA1">
        <w:rPr>
          <w:rFonts w:cs="Arial"/>
        </w:rPr>
        <w:t xml:space="preserve">Im Dezember 2022 besaßen in Südafrika insgesamt 3637 Sorten gültige Züchterrechte, davon 23% [830] für Zierpflanzen, 29% [1420] für landwirtschaftliche Pflanzen, 30% [1111] für Obstpflanzen und 8% [276] für Gemüsepflanzen. </w:t>
      </w:r>
    </w:p>
    <w:p w14:paraId="52C784E9" w14:textId="77777777" w:rsidR="00424F87" w:rsidRPr="00A43EA1" w:rsidRDefault="00424F87" w:rsidP="00424F87">
      <w:pPr>
        <w:rPr>
          <w:rFonts w:cs="Arial"/>
        </w:rPr>
      </w:pPr>
    </w:p>
    <w:p w14:paraId="4B42C871" w14:textId="77777777" w:rsidR="00424F87" w:rsidRPr="00A43EA1" w:rsidRDefault="00424F87" w:rsidP="00424F87">
      <w:pPr>
        <w:jc w:val="left"/>
      </w:pPr>
    </w:p>
    <w:p w14:paraId="5C10832C" w14:textId="77777777" w:rsidR="00424F87" w:rsidRPr="00A43EA1" w:rsidRDefault="00424F87" w:rsidP="00424F87">
      <w:pPr>
        <w:jc w:val="left"/>
      </w:pPr>
      <w:r w:rsidRPr="00A43EA1">
        <w:br w:type="page"/>
      </w:r>
    </w:p>
    <w:p w14:paraId="00850CF3" w14:textId="77777777" w:rsidR="00424F87" w:rsidRPr="00A43EA1" w:rsidRDefault="00424F87" w:rsidP="00424F87">
      <w:pPr>
        <w:rPr>
          <w:u w:val="single"/>
        </w:rPr>
      </w:pPr>
      <w:r w:rsidRPr="00A43EA1">
        <w:lastRenderedPageBreak/>
        <w:t>5.</w:t>
      </w:r>
      <w:r w:rsidRPr="00A43EA1">
        <w:tab/>
      </w:r>
      <w:r w:rsidRPr="00A43EA1">
        <w:rPr>
          <w:u w:val="single"/>
        </w:rPr>
        <w:t>Tätigkeiten zur Förderung des Sortenschutzes</w:t>
      </w:r>
    </w:p>
    <w:p w14:paraId="0B4E7137" w14:textId="77777777" w:rsidR="00424F87" w:rsidRPr="00A43EA1" w:rsidRDefault="00424F87" w:rsidP="00424F87"/>
    <w:tbl>
      <w:tblPr>
        <w:tblStyle w:val="TableGrid"/>
        <w:tblW w:w="9919" w:type="dxa"/>
        <w:tblLayout w:type="fixed"/>
        <w:tblCellMar>
          <w:top w:w="28" w:type="dxa"/>
          <w:left w:w="28" w:type="dxa"/>
          <w:bottom w:w="28" w:type="dxa"/>
          <w:right w:w="28" w:type="dxa"/>
        </w:tblCellMar>
        <w:tblLook w:val="01E0" w:firstRow="1" w:lastRow="1" w:firstColumn="1" w:lastColumn="1" w:noHBand="0" w:noVBand="0"/>
      </w:tblPr>
      <w:tblGrid>
        <w:gridCol w:w="2122"/>
        <w:gridCol w:w="993"/>
        <w:gridCol w:w="992"/>
        <w:gridCol w:w="1417"/>
        <w:gridCol w:w="2552"/>
        <w:gridCol w:w="1843"/>
      </w:tblGrid>
      <w:tr w:rsidR="00424F87" w:rsidRPr="00A43EA1" w14:paraId="481941E7" w14:textId="77777777" w:rsidTr="006A3AAD">
        <w:tc>
          <w:tcPr>
            <w:tcW w:w="2122" w:type="dxa"/>
          </w:tcPr>
          <w:p w14:paraId="5B5A0187" w14:textId="77777777" w:rsidR="00424F87" w:rsidRPr="00A43EA1" w:rsidRDefault="00424F87" w:rsidP="00C30F9D">
            <w:pPr>
              <w:jc w:val="left"/>
              <w:rPr>
                <w:sz w:val="16"/>
                <w:szCs w:val="16"/>
              </w:rPr>
            </w:pPr>
            <w:r w:rsidRPr="00A43EA1">
              <w:rPr>
                <w:sz w:val="16"/>
                <w:szCs w:val="16"/>
              </w:rPr>
              <w:t>Titel der Aktivität</w:t>
            </w:r>
          </w:p>
        </w:tc>
        <w:tc>
          <w:tcPr>
            <w:tcW w:w="993" w:type="dxa"/>
          </w:tcPr>
          <w:p w14:paraId="26F98660" w14:textId="77777777" w:rsidR="00424F87" w:rsidRPr="00A43EA1" w:rsidRDefault="00424F87" w:rsidP="00C30F9D">
            <w:pPr>
              <w:keepNext/>
              <w:jc w:val="left"/>
              <w:rPr>
                <w:sz w:val="16"/>
              </w:rPr>
            </w:pPr>
            <w:r w:rsidRPr="00A43EA1">
              <w:rPr>
                <w:sz w:val="16"/>
              </w:rPr>
              <w:t>Datum</w:t>
            </w:r>
          </w:p>
        </w:tc>
        <w:tc>
          <w:tcPr>
            <w:tcW w:w="992" w:type="dxa"/>
          </w:tcPr>
          <w:p w14:paraId="4DA4E971" w14:textId="77777777" w:rsidR="00424F87" w:rsidRPr="00A43EA1" w:rsidRDefault="00424F87" w:rsidP="00C30F9D">
            <w:pPr>
              <w:keepNext/>
              <w:jc w:val="left"/>
              <w:rPr>
                <w:sz w:val="16"/>
              </w:rPr>
            </w:pPr>
            <w:r w:rsidRPr="00A43EA1">
              <w:rPr>
                <w:sz w:val="16"/>
              </w:rPr>
              <w:t>Standort</w:t>
            </w:r>
          </w:p>
        </w:tc>
        <w:tc>
          <w:tcPr>
            <w:tcW w:w="1417" w:type="dxa"/>
          </w:tcPr>
          <w:p w14:paraId="4A9C625A" w14:textId="77777777" w:rsidR="00424F87" w:rsidRPr="00A43EA1" w:rsidRDefault="00424F87" w:rsidP="00C30F9D">
            <w:pPr>
              <w:keepNext/>
              <w:jc w:val="left"/>
              <w:rPr>
                <w:sz w:val="16"/>
              </w:rPr>
            </w:pPr>
            <w:r w:rsidRPr="00A43EA1">
              <w:rPr>
                <w:sz w:val="16"/>
              </w:rPr>
              <w:t>Organisator(en)</w:t>
            </w:r>
          </w:p>
        </w:tc>
        <w:tc>
          <w:tcPr>
            <w:tcW w:w="2552" w:type="dxa"/>
          </w:tcPr>
          <w:p w14:paraId="6C75E96A" w14:textId="77777777" w:rsidR="00424F87" w:rsidRPr="00A43EA1" w:rsidRDefault="00424F87" w:rsidP="00C30F9D">
            <w:pPr>
              <w:keepNext/>
              <w:jc w:val="left"/>
              <w:rPr>
                <w:sz w:val="16"/>
              </w:rPr>
            </w:pPr>
            <w:r w:rsidRPr="00A43EA1">
              <w:rPr>
                <w:sz w:val="16"/>
              </w:rPr>
              <w:t>Zweck der Tätigkeit</w:t>
            </w:r>
          </w:p>
        </w:tc>
        <w:tc>
          <w:tcPr>
            <w:tcW w:w="1843" w:type="dxa"/>
          </w:tcPr>
          <w:p w14:paraId="028875BB" w14:textId="77777777" w:rsidR="00424F87" w:rsidRPr="00A43EA1" w:rsidRDefault="00424F87" w:rsidP="00C30F9D">
            <w:pPr>
              <w:keepNext/>
              <w:jc w:val="left"/>
              <w:rPr>
                <w:sz w:val="16"/>
              </w:rPr>
            </w:pPr>
            <w:r w:rsidRPr="00A43EA1">
              <w:rPr>
                <w:sz w:val="16"/>
              </w:rPr>
              <w:t>Teilnehmende Länder/Organisationen (Anzahl der Teilnehmer aus jedem Land)</w:t>
            </w:r>
          </w:p>
        </w:tc>
      </w:tr>
      <w:tr w:rsidR="00424F87" w:rsidRPr="00A43EA1" w14:paraId="150970E2" w14:textId="77777777" w:rsidTr="006A3AAD">
        <w:tc>
          <w:tcPr>
            <w:tcW w:w="2122" w:type="dxa"/>
          </w:tcPr>
          <w:p w14:paraId="0C0212E4" w14:textId="77777777" w:rsidR="00424F87" w:rsidRPr="00A43EA1" w:rsidRDefault="00424F87" w:rsidP="00C30F9D">
            <w:pPr>
              <w:jc w:val="left"/>
              <w:rPr>
                <w:sz w:val="16"/>
                <w:szCs w:val="16"/>
              </w:rPr>
            </w:pPr>
            <w:r w:rsidRPr="00A43EA1">
              <w:rPr>
                <w:sz w:val="16"/>
                <w:szCs w:val="16"/>
              </w:rPr>
              <w:t>1. NUMPRO-Treffen</w:t>
            </w:r>
          </w:p>
          <w:p w14:paraId="469B6262" w14:textId="77777777" w:rsidR="00424F87" w:rsidRPr="00A43EA1" w:rsidRDefault="00424F87" w:rsidP="00C30F9D">
            <w:pPr>
              <w:jc w:val="left"/>
              <w:rPr>
                <w:sz w:val="16"/>
                <w:szCs w:val="16"/>
              </w:rPr>
            </w:pPr>
            <w:r w:rsidRPr="00A43EA1">
              <w:rPr>
                <w:sz w:val="16"/>
                <w:szCs w:val="16"/>
              </w:rPr>
              <w:t>[Hersteller von Kernmaterial]</w:t>
            </w:r>
          </w:p>
        </w:tc>
        <w:tc>
          <w:tcPr>
            <w:tcW w:w="993" w:type="dxa"/>
          </w:tcPr>
          <w:p w14:paraId="521A3439" w14:textId="77777777" w:rsidR="00424F87" w:rsidRPr="00A43EA1" w:rsidRDefault="00424F87" w:rsidP="00C30F9D">
            <w:pPr>
              <w:keepNext/>
              <w:jc w:val="left"/>
              <w:rPr>
                <w:sz w:val="16"/>
              </w:rPr>
            </w:pPr>
            <w:r w:rsidRPr="00A43EA1">
              <w:rPr>
                <w:sz w:val="16"/>
              </w:rPr>
              <w:t>17. Mai 2023</w:t>
            </w:r>
          </w:p>
        </w:tc>
        <w:tc>
          <w:tcPr>
            <w:tcW w:w="992" w:type="dxa"/>
          </w:tcPr>
          <w:p w14:paraId="52525AC1" w14:textId="77777777" w:rsidR="00424F87" w:rsidRPr="00A43EA1" w:rsidRDefault="00424F87" w:rsidP="00C30F9D">
            <w:pPr>
              <w:keepNext/>
              <w:jc w:val="left"/>
              <w:rPr>
                <w:sz w:val="16"/>
              </w:rPr>
            </w:pPr>
            <w:r w:rsidRPr="00A43EA1">
              <w:rPr>
                <w:sz w:val="16"/>
              </w:rPr>
              <w:t>Pretoria, Südafrika</w:t>
            </w:r>
          </w:p>
        </w:tc>
        <w:tc>
          <w:tcPr>
            <w:tcW w:w="1417" w:type="dxa"/>
          </w:tcPr>
          <w:p w14:paraId="3C70751B" w14:textId="77777777" w:rsidR="00424F87" w:rsidRPr="00A43EA1" w:rsidRDefault="00424F87" w:rsidP="00C30F9D">
            <w:pPr>
              <w:keepNext/>
              <w:jc w:val="left"/>
              <w:rPr>
                <w:sz w:val="16"/>
              </w:rPr>
            </w:pPr>
            <w:r w:rsidRPr="00A43EA1">
              <w:rPr>
                <w:sz w:val="16"/>
              </w:rPr>
              <w:t>Zertifizierungsdienst für Kartoffeln</w:t>
            </w:r>
          </w:p>
        </w:tc>
        <w:tc>
          <w:tcPr>
            <w:tcW w:w="2552" w:type="dxa"/>
          </w:tcPr>
          <w:p w14:paraId="4149623A" w14:textId="77777777" w:rsidR="00424F87" w:rsidRPr="00A43EA1" w:rsidRDefault="00424F87" w:rsidP="00C30F9D">
            <w:pPr>
              <w:keepNext/>
              <w:jc w:val="left"/>
              <w:rPr>
                <w:sz w:val="16"/>
              </w:rPr>
            </w:pPr>
            <w:r w:rsidRPr="00A43EA1">
              <w:rPr>
                <w:sz w:val="16"/>
              </w:rPr>
              <w:t>Bericht über die Züchterrechte von Kartoffelsorten</w:t>
            </w:r>
          </w:p>
        </w:tc>
        <w:tc>
          <w:tcPr>
            <w:tcW w:w="1843" w:type="dxa"/>
          </w:tcPr>
          <w:p w14:paraId="374A279C" w14:textId="77777777" w:rsidR="00424F87" w:rsidRPr="00A43EA1" w:rsidRDefault="00424F87" w:rsidP="00C30F9D">
            <w:pPr>
              <w:keepNext/>
              <w:jc w:val="left"/>
              <w:rPr>
                <w:sz w:val="16"/>
              </w:rPr>
            </w:pPr>
            <w:r w:rsidRPr="00A43EA1">
              <w:rPr>
                <w:sz w:val="16"/>
              </w:rPr>
              <w:t>Südafrikanische Kartoffelindustrie</w:t>
            </w:r>
          </w:p>
          <w:p w14:paraId="32DE4BA9" w14:textId="77777777" w:rsidR="00424F87" w:rsidRPr="00A43EA1" w:rsidRDefault="00424F87" w:rsidP="00C30F9D">
            <w:pPr>
              <w:keepNext/>
              <w:jc w:val="left"/>
              <w:rPr>
                <w:sz w:val="16"/>
              </w:rPr>
            </w:pPr>
            <w:r w:rsidRPr="00A43EA1">
              <w:rPr>
                <w:rFonts w:cs="Arial"/>
                <w:sz w:val="16"/>
              </w:rPr>
              <w:t xml:space="preserve">± </w:t>
            </w:r>
            <w:r w:rsidRPr="00A43EA1">
              <w:rPr>
                <w:sz w:val="16"/>
              </w:rPr>
              <w:t>60 Teilnehmer</w:t>
            </w:r>
          </w:p>
        </w:tc>
      </w:tr>
      <w:tr w:rsidR="00424F87" w:rsidRPr="00A43EA1" w14:paraId="5A7DCC69" w14:textId="77777777" w:rsidTr="006A3AAD">
        <w:tc>
          <w:tcPr>
            <w:tcW w:w="2122" w:type="dxa"/>
          </w:tcPr>
          <w:p w14:paraId="263C4374" w14:textId="77777777" w:rsidR="00424F87" w:rsidRPr="00A43EA1" w:rsidRDefault="00424F87" w:rsidP="00C30F9D">
            <w:pPr>
              <w:jc w:val="left"/>
              <w:rPr>
                <w:sz w:val="16"/>
                <w:szCs w:val="16"/>
              </w:rPr>
            </w:pPr>
            <w:r w:rsidRPr="00A43EA1">
              <w:rPr>
                <w:sz w:val="16"/>
                <w:szCs w:val="16"/>
              </w:rPr>
              <w:t xml:space="preserve">2. Besuch des südafrikanischen Züchterrechtsamtes durch Pflanzenzüchtungsstudenten der Universität von Limpopo </w:t>
            </w:r>
          </w:p>
        </w:tc>
        <w:tc>
          <w:tcPr>
            <w:tcW w:w="993" w:type="dxa"/>
          </w:tcPr>
          <w:p w14:paraId="70F47934" w14:textId="77777777" w:rsidR="00424F87" w:rsidRPr="00A43EA1" w:rsidRDefault="00424F87" w:rsidP="00C30F9D">
            <w:pPr>
              <w:keepNext/>
              <w:jc w:val="left"/>
              <w:rPr>
                <w:sz w:val="16"/>
              </w:rPr>
            </w:pPr>
            <w:r w:rsidRPr="00A43EA1">
              <w:rPr>
                <w:sz w:val="16"/>
              </w:rPr>
              <w:t>9. September 2022</w:t>
            </w:r>
          </w:p>
        </w:tc>
        <w:tc>
          <w:tcPr>
            <w:tcW w:w="992" w:type="dxa"/>
          </w:tcPr>
          <w:p w14:paraId="6DDAA557" w14:textId="77777777" w:rsidR="00424F87" w:rsidRPr="00A43EA1" w:rsidRDefault="00424F87" w:rsidP="00C30F9D">
            <w:pPr>
              <w:keepNext/>
              <w:jc w:val="left"/>
              <w:rPr>
                <w:sz w:val="16"/>
              </w:rPr>
            </w:pPr>
            <w:r w:rsidRPr="00A43EA1">
              <w:rPr>
                <w:sz w:val="16"/>
              </w:rPr>
              <w:t>Rat für landwirtschaftliche Forschung, Roodeplaat, Pretoria, Südafrika</w:t>
            </w:r>
          </w:p>
        </w:tc>
        <w:tc>
          <w:tcPr>
            <w:tcW w:w="1417" w:type="dxa"/>
          </w:tcPr>
          <w:p w14:paraId="7805F8B5" w14:textId="77777777" w:rsidR="00424F87" w:rsidRPr="00A43EA1" w:rsidRDefault="00424F87" w:rsidP="00C30F9D">
            <w:pPr>
              <w:keepNext/>
              <w:jc w:val="left"/>
              <w:rPr>
                <w:sz w:val="16"/>
              </w:rPr>
            </w:pPr>
            <w:r w:rsidRPr="00A43EA1">
              <w:rPr>
                <w:sz w:val="16"/>
              </w:rPr>
              <w:t>SA Züchterrechtsbüro</w:t>
            </w:r>
          </w:p>
        </w:tc>
        <w:tc>
          <w:tcPr>
            <w:tcW w:w="2552" w:type="dxa"/>
          </w:tcPr>
          <w:p w14:paraId="18232C92" w14:textId="77777777" w:rsidR="00424F87" w:rsidRPr="00A43EA1" w:rsidRDefault="00424F87" w:rsidP="00C30F9D">
            <w:pPr>
              <w:keepNext/>
              <w:jc w:val="left"/>
              <w:rPr>
                <w:sz w:val="16"/>
              </w:rPr>
            </w:pPr>
            <w:r w:rsidRPr="00A43EA1">
              <w:rPr>
                <w:sz w:val="16"/>
              </w:rPr>
              <w:t>Vorstellung von Züchterrechts- und DUS-Tätigkeiten und -Verfahren für Studenten der Pflanzenzüchtung</w:t>
            </w:r>
          </w:p>
        </w:tc>
        <w:tc>
          <w:tcPr>
            <w:tcW w:w="1843" w:type="dxa"/>
          </w:tcPr>
          <w:p w14:paraId="18719769" w14:textId="77777777" w:rsidR="00424F87" w:rsidRPr="00A43EA1" w:rsidRDefault="00424F87" w:rsidP="00C30F9D">
            <w:pPr>
              <w:keepNext/>
              <w:jc w:val="left"/>
              <w:rPr>
                <w:sz w:val="16"/>
              </w:rPr>
            </w:pPr>
            <w:r w:rsidRPr="00A43EA1">
              <w:rPr>
                <w:sz w:val="16"/>
              </w:rPr>
              <w:t>62 Studenten</w:t>
            </w:r>
          </w:p>
          <w:p w14:paraId="58CA5DBA" w14:textId="77777777" w:rsidR="00424F87" w:rsidRPr="00A43EA1" w:rsidRDefault="00424F87" w:rsidP="00C30F9D">
            <w:pPr>
              <w:keepNext/>
              <w:jc w:val="left"/>
              <w:rPr>
                <w:sz w:val="16"/>
              </w:rPr>
            </w:pPr>
            <w:r w:rsidRPr="00A43EA1">
              <w:rPr>
                <w:sz w:val="16"/>
              </w:rPr>
              <w:t>1 Dozentin</w:t>
            </w:r>
          </w:p>
          <w:p w14:paraId="667A8674" w14:textId="77777777" w:rsidR="00424F87" w:rsidRPr="00A43EA1" w:rsidRDefault="00424F87" w:rsidP="00C30F9D">
            <w:pPr>
              <w:keepNext/>
              <w:jc w:val="left"/>
              <w:rPr>
                <w:sz w:val="16"/>
              </w:rPr>
            </w:pPr>
            <w:r w:rsidRPr="00A43EA1">
              <w:rPr>
                <w:sz w:val="16"/>
              </w:rPr>
              <w:t>2 PBR-Beamte</w:t>
            </w:r>
          </w:p>
          <w:p w14:paraId="058500D6" w14:textId="77777777" w:rsidR="00424F87" w:rsidRPr="00A43EA1" w:rsidRDefault="00424F87" w:rsidP="00C30F9D">
            <w:pPr>
              <w:keepNext/>
              <w:jc w:val="left"/>
              <w:rPr>
                <w:sz w:val="16"/>
              </w:rPr>
            </w:pPr>
            <w:r w:rsidRPr="00A43EA1">
              <w:rPr>
                <w:sz w:val="16"/>
              </w:rPr>
              <w:t>3 DUS-Prüfer</w:t>
            </w:r>
          </w:p>
        </w:tc>
      </w:tr>
      <w:tr w:rsidR="00424F87" w:rsidRPr="00A43EA1" w14:paraId="42BC9F6C" w14:textId="77777777" w:rsidTr="006A3AAD">
        <w:tc>
          <w:tcPr>
            <w:tcW w:w="2122" w:type="dxa"/>
          </w:tcPr>
          <w:p w14:paraId="2717BA9A" w14:textId="77777777" w:rsidR="00424F87" w:rsidRPr="00A43EA1" w:rsidRDefault="00424F87" w:rsidP="00C30F9D">
            <w:pPr>
              <w:jc w:val="left"/>
              <w:rPr>
                <w:sz w:val="16"/>
                <w:szCs w:val="16"/>
              </w:rPr>
            </w:pPr>
            <w:r w:rsidRPr="00A43EA1">
              <w:rPr>
                <w:sz w:val="16"/>
                <w:szCs w:val="16"/>
              </w:rPr>
              <w:t>3. Arbeitstagung über Sortenschutz und Saatgutgesetze im südlichen und östlichen Afrika</w:t>
            </w:r>
          </w:p>
          <w:p w14:paraId="545E7358" w14:textId="77777777" w:rsidR="00424F87" w:rsidRPr="00A43EA1" w:rsidRDefault="00424F87" w:rsidP="00C30F9D">
            <w:pPr>
              <w:jc w:val="left"/>
              <w:rPr>
                <w:sz w:val="16"/>
                <w:szCs w:val="16"/>
              </w:rPr>
            </w:pPr>
          </w:p>
        </w:tc>
        <w:tc>
          <w:tcPr>
            <w:tcW w:w="993" w:type="dxa"/>
          </w:tcPr>
          <w:p w14:paraId="467BE929" w14:textId="77777777" w:rsidR="00424F87" w:rsidRPr="00A43EA1" w:rsidRDefault="00424F87" w:rsidP="00C30F9D">
            <w:pPr>
              <w:keepNext/>
              <w:jc w:val="left"/>
              <w:rPr>
                <w:sz w:val="16"/>
              </w:rPr>
            </w:pPr>
            <w:r w:rsidRPr="00A43EA1">
              <w:rPr>
                <w:sz w:val="16"/>
              </w:rPr>
              <w:t>6-7 Juni 2023</w:t>
            </w:r>
          </w:p>
        </w:tc>
        <w:tc>
          <w:tcPr>
            <w:tcW w:w="992" w:type="dxa"/>
          </w:tcPr>
          <w:p w14:paraId="1AAC9CD8" w14:textId="77777777" w:rsidR="00424F87" w:rsidRPr="00A43EA1" w:rsidRDefault="00424F87" w:rsidP="00C30F9D">
            <w:pPr>
              <w:keepNext/>
              <w:jc w:val="left"/>
              <w:rPr>
                <w:sz w:val="16"/>
              </w:rPr>
            </w:pPr>
            <w:r w:rsidRPr="00A43EA1">
              <w:rPr>
                <w:sz w:val="16"/>
              </w:rPr>
              <w:t>Kwazulu Natal, Salt Rock, Südafrika</w:t>
            </w:r>
          </w:p>
        </w:tc>
        <w:tc>
          <w:tcPr>
            <w:tcW w:w="1417" w:type="dxa"/>
          </w:tcPr>
          <w:p w14:paraId="6B09C0DD" w14:textId="77777777" w:rsidR="00424F87" w:rsidRPr="00A43EA1" w:rsidRDefault="00424F87" w:rsidP="00C30F9D">
            <w:pPr>
              <w:keepNext/>
              <w:jc w:val="left"/>
              <w:rPr>
                <w:sz w:val="16"/>
              </w:rPr>
            </w:pPr>
            <w:r w:rsidRPr="00A43EA1">
              <w:rPr>
                <w:sz w:val="16"/>
              </w:rPr>
              <w:t>Afrikanisches Zentrum für biologische Vielfalt [ACB] - SA</w:t>
            </w:r>
          </w:p>
          <w:p w14:paraId="7038D98A" w14:textId="77777777" w:rsidR="00424F87" w:rsidRPr="00A43EA1" w:rsidRDefault="00424F87" w:rsidP="00C30F9D">
            <w:pPr>
              <w:keepNext/>
              <w:jc w:val="left"/>
              <w:rPr>
                <w:sz w:val="16"/>
              </w:rPr>
            </w:pPr>
          </w:p>
          <w:p w14:paraId="4FFE7BB1" w14:textId="77777777" w:rsidR="00424F87" w:rsidRPr="00A43EA1" w:rsidRDefault="00424F87" w:rsidP="00C30F9D">
            <w:pPr>
              <w:keepNext/>
              <w:jc w:val="left"/>
              <w:rPr>
                <w:sz w:val="16"/>
              </w:rPr>
            </w:pPr>
            <w:r w:rsidRPr="00A43EA1">
              <w:rPr>
                <w:sz w:val="16"/>
              </w:rPr>
              <w:t>Association for Plant Breeding for the Benefit of Society [APBREBES] - Schweiz</w:t>
            </w:r>
          </w:p>
          <w:p w14:paraId="70DC192D" w14:textId="77777777" w:rsidR="00424F87" w:rsidRPr="00A43EA1" w:rsidRDefault="00424F87" w:rsidP="00C30F9D">
            <w:pPr>
              <w:keepNext/>
              <w:jc w:val="left"/>
              <w:rPr>
                <w:sz w:val="16"/>
              </w:rPr>
            </w:pPr>
          </w:p>
          <w:p w14:paraId="46BED86C" w14:textId="77777777" w:rsidR="00424F87" w:rsidRPr="00A43EA1" w:rsidRDefault="00424F87" w:rsidP="00C30F9D">
            <w:pPr>
              <w:keepNext/>
              <w:jc w:val="left"/>
              <w:rPr>
                <w:sz w:val="16"/>
              </w:rPr>
            </w:pPr>
            <w:r w:rsidRPr="00A43EA1">
              <w:rPr>
                <w:sz w:val="16"/>
              </w:rPr>
              <w:t>Community Technology Development Organization [CTDO] - Simbabwe</w:t>
            </w:r>
          </w:p>
          <w:p w14:paraId="2281717E" w14:textId="77777777" w:rsidR="00424F87" w:rsidRPr="00A43EA1" w:rsidRDefault="00424F87" w:rsidP="00C30F9D">
            <w:pPr>
              <w:keepNext/>
              <w:jc w:val="left"/>
              <w:rPr>
                <w:sz w:val="16"/>
              </w:rPr>
            </w:pPr>
          </w:p>
        </w:tc>
        <w:tc>
          <w:tcPr>
            <w:tcW w:w="2552" w:type="dxa"/>
          </w:tcPr>
          <w:p w14:paraId="5AEBA279" w14:textId="77777777" w:rsidR="00424F87" w:rsidRPr="00A43EA1" w:rsidRDefault="00424F87" w:rsidP="00C30F9D">
            <w:pPr>
              <w:keepNext/>
              <w:jc w:val="left"/>
              <w:rPr>
                <w:sz w:val="16"/>
              </w:rPr>
            </w:pPr>
            <w:r w:rsidRPr="00A43EA1">
              <w:rPr>
                <w:sz w:val="16"/>
              </w:rPr>
              <w:t>Vorträge und Diskussionen über die Sicherung der Ernährungssouveränität, die Rechte der Landwirte und von Landwirten verwaltete Saatgutsysteme im südlichen und östlichen Afrika</w:t>
            </w:r>
          </w:p>
        </w:tc>
        <w:tc>
          <w:tcPr>
            <w:tcW w:w="1843" w:type="dxa"/>
          </w:tcPr>
          <w:p w14:paraId="1CC4E289" w14:textId="77777777" w:rsidR="00424F87" w:rsidRPr="00A43EA1" w:rsidRDefault="00424F87" w:rsidP="00C30F9D">
            <w:pPr>
              <w:keepNext/>
              <w:jc w:val="left"/>
              <w:rPr>
                <w:sz w:val="16"/>
              </w:rPr>
            </w:pPr>
            <w:r w:rsidRPr="00A43EA1">
              <w:rPr>
                <w:sz w:val="16"/>
              </w:rPr>
              <w:t>Kanada - 1</w:t>
            </w:r>
          </w:p>
          <w:p w14:paraId="48336ECC" w14:textId="77777777" w:rsidR="00424F87" w:rsidRPr="00A43EA1" w:rsidRDefault="00424F87" w:rsidP="00C30F9D">
            <w:pPr>
              <w:keepNext/>
              <w:jc w:val="left"/>
              <w:rPr>
                <w:sz w:val="16"/>
              </w:rPr>
            </w:pPr>
            <w:r w:rsidRPr="00A43EA1">
              <w:rPr>
                <w:sz w:val="16"/>
              </w:rPr>
              <w:t>Kenia - 3</w:t>
            </w:r>
          </w:p>
          <w:p w14:paraId="782E5775" w14:textId="77777777" w:rsidR="00424F87" w:rsidRPr="00A43EA1" w:rsidRDefault="00424F87" w:rsidP="00C30F9D">
            <w:pPr>
              <w:keepNext/>
              <w:jc w:val="left"/>
              <w:rPr>
                <w:sz w:val="16"/>
              </w:rPr>
            </w:pPr>
            <w:r w:rsidRPr="00A43EA1">
              <w:rPr>
                <w:sz w:val="16"/>
              </w:rPr>
              <w:t>Malawi - 4</w:t>
            </w:r>
          </w:p>
          <w:p w14:paraId="24DE0B0F" w14:textId="77777777" w:rsidR="00424F87" w:rsidRPr="00A43EA1" w:rsidRDefault="00424F87" w:rsidP="00C30F9D">
            <w:pPr>
              <w:keepNext/>
              <w:jc w:val="left"/>
              <w:rPr>
                <w:sz w:val="16"/>
              </w:rPr>
            </w:pPr>
            <w:r w:rsidRPr="00A43EA1">
              <w:rPr>
                <w:sz w:val="16"/>
              </w:rPr>
              <w:t>Mosambik - 3</w:t>
            </w:r>
          </w:p>
          <w:p w14:paraId="755AF31F" w14:textId="77777777" w:rsidR="00424F87" w:rsidRPr="00A43EA1" w:rsidRDefault="00424F87" w:rsidP="00C30F9D">
            <w:pPr>
              <w:keepNext/>
              <w:jc w:val="left"/>
              <w:rPr>
                <w:sz w:val="16"/>
              </w:rPr>
            </w:pPr>
            <w:r w:rsidRPr="00A43EA1">
              <w:rPr>
                <w:sz w:val="16"/>
              </w:rPr>
              <w:t>Namibia - 3</w:t>
            </w:r>
          </w:p>
          <w:p w14:paraId="3D2DE0B3" w14:textId="77777777" w:rsidR="00424F87" w:rsidRPr="00A43EA1" w:rsidRDefault="00424F87" w:rsidP="00C30F9D">
            <w:pPr>
              <w:keepNext/>
              <w:jc w:val="left"/>
              <w:rPr>
                <w:sz w:val="16"/>
              </w:rPr>
            </w:pPr>
            <w:r w:rsidRPr="00A43EA1">
              <w:rPr>
                <w:sz w:val="16"/>
              </w:rPr>
              <w:t>Senegal - 1</w:t>
            </w:r>
          </w:p>
          <w:p w14:paraId="2412175C" w14:textId="77777777" w:rsidR="00424F87" w:rsidRPr="00A43EA1" w:rsidRDefault="00424F87" w:rsidP="00C30F9D">
            <w:pPr>
              <w:keepNext/>
              <w:jc w:val="left"/>
              <w:rPr>
                <w:sz w:val="16"/>
              </w:rPr>
            </w:pPr>
            <w:r w:rsidRPr="00A43EA1">
              <w:rPr>
                <w:sz w:val="16"/>
              </w:rPr>
              <w:t>Südafrika - 5</w:t>
            </w:r>
          </w:p>
          <w:p w14:paraId="6516E036" w14:textId="77777777" w:rsidR="00424F87" w:rsidRPr="00A43EA1" w:rsidRDefault="00424F87" w:rsidP="00C30F9D">
            <w:pPr>
              <w:keepNext/>
              <w:jc w:val="left"/>
              <w:rPr>
                <w:sz w:val="16"/>
              </w:rPr>
            </w:pPr>
            <w:r w:rsidRPr="00A43EA1">
              <w:rPr>
                <w:sz w:val="16"/>
              </w:rPr>
              <w:t>Uganda - 3</w:t>
            </w:r>
          </w:p>
          <w:p w14:paraId="39A475DF" w14:textId="77777777" w:rsidR="00424F87" w:rsidRPr="00A43EA1" w:rsidRDefault="00424F87" w:rsidP="00C30F9D">
            <w:pPr>
              <w:keepNext/>
              <w:jc w:val="left"/>
              <w:rPr>
                <w:sz w:val="16"/>
              </w:rPr>
            </w:pPr>
            <w:r w:rsidRPr="00A43EA1">
              <w:rPr>
                <w:sz w:val="16"/>
              </w:rPr>
              <w:t>Vereinigtes Königreich - 2</w:t>
            </w:r>
          </w:p>
          <w:p w14:paraId="754AC852" w14:textId="77777777" w:rsidR="00424F87" w:rsidRPr="00A43EA1" w:rsidRDefault="00424F87" w:rsidP="00C30F9D">
            <w:pPr>
              <w:keepNext/>
              <w:jc w:val="left"/>
              <w:rPr>
                <w:sz w:val="16"/>
              </w:rPr>
            </w:pPr>
            <w:r w:rsidRPr="00A43EA1">
              <w:rPr>
                <w:sz w:val="16"/>
              </w:rPr>
              <w:t>Vereinigte Republik Tansania - 3</w:t>
            </w:r>
          </w:p>
          <w:p w14:paraId="50F3E999" w14:textId="77777777" w:rsidR="00424F87" w:rsidRPr="00A43EA1" w:rsidRDefault="00424F87" w:rsidP="00C30F9D">
            <w:pPr>
              <w:keepNext/>
              <w:jc w:val="left"/>
              <w:rPr>
                <w:sz w:val="16"/>
              </w:rPr>
            </w:pPr>
            <w:r w:rsidRPr="00A43EA1">
              <w:rPr>
                <w:sz w:val="16"/>
              </w:rPr>
              <w:t>Sambia - 3</w:t>
            </w:r>
          </w:p>
          <w:p w14:paraId="38557D81" w14:textId="77777777" w:rsidR="00424F87" w:rsidRPr="00A43EA1" w:rsidRDefault="00424F87" w:rsidP="00C30F9D">
            <w:pPr>
              <w:keepNext/>
              <w:jc w:val="left"/>
              <w:rPr>
                <w:sz w:val="16"/>
              </w:rPr>
            </w:pPr>
            <w:r w:rsidRPr="00A43EA1">
              <w:rPr>
                <w:sz w:val="16"/>
              </w:rPr>
              <w:t>Simbabwe - 5</w:t>
            </w:r>
          </w:p>
        </w:tc>
      </w:tr>
      <w:tr w:rsidR="00424F87" w:rsidRPr="00A43EA1" w14:paraId="44862F4C" w14:textId="77777777" w:rsidTr="006A3AAD">
        <w:tc>
          <w:tcPr>
            <w:tcW w:w="2122" w:type="dxa"/>
          </w:tcPr>
          <w:p w14:paraId="593CB8BE" w14:textId="77777777" w:rsidR="00424F87" w:rsidRPr="00A43EA1" w:rsidRDefault="00424F87" w:rsidP="00C30F9D">
            <w:pPr>
              <w:jc w:val="left"/>
              <w:rPr>
                <w:sz w:val="16"/>
                <w:szCs w:val="16"/>
              </w:rPr>
            </w:pPr>
            <w:r w:rsidRPr="00A43EA1">
              <w:rPr>
                <w:sz w:val="16"/>
                <w:szCs w:val="16"/>
              </w:rPr>
              <w:t>4. Kongress des Internationalen Saatgutverbandes</w:t>
            </w:r>
          </w:p>
        </w:tc>
        <w:tc>
          <w:tcPr>
            <w:tcW w:w="993" w:type="dxa"/>
          </w:tcPr>
          <w:p w14:paraId="098827F2" w14:textId="77777777" w:rsidR="00424F87" w:rsidRPr="00A43EA1" w:rsidRDefault="00424F87" w:rsidP="00C30F9D">
            <w:pPr>
              <w:keepNext/>
              <w:jc w:val="left"/>
              <w:rPr>
                <w:sz w:val="16"/>
              </w:rPr>
            </w:pPr>
            <w:r w:rsidRPr="00A43EA1">
              <w:rPr>
                <w:sz w:val="16"/>
              </w:rPr>
              <w:t>5-8 Juni 2023</w:t>
            </w:r>
          </w:p>
        </w:tc>
        <w:tc>
          <w:tcPr>
            <w:tcW w:w="992" w:type="dxa"/>
          </w:tcPr>
          <w:p w14:paraId="47711700" w14:textId="77777777" w:rsidR="00424F87" w:rsidRPr="00A43EA1" w:rsidRDefault="00424F87" w:rsidP="00C30F9D">
            <w:pPr>
              <w:keepNext/>
              <w:jc w:val="left"/>
              <w:rPr>
                <w:sz w:val="16"/>
              </w:rPr>
            </w:pPr>
            <w:r w:rsidRPr="00A43EA1">
              <w:rPr>
                <w:sz w:val="16"/>
              </w:rPr>
              <w:t>Kapstadt, Südafrika</w:t>
            </w:r>
          </w:p>
        </w:tc>
        <w:tc>
          <w:tcPr>
            <w:tcW w:w="1417" w:type="dxa"/>
          </w:tcPr>
          <w:p w14:paraId="588C3BA8" w14:textId="77777777" w:rsidR="00424F87" w:rsidRPr="00A43EA1" w:rsidRDefault="00424F87" w:rsidP="00C30F9D">
            <w:pPr>
              <w:keepNext/>
              <w:jc w:val="left"/>
              <w:rPr>
                <w:sz w:val="16"/>
              </w:rPr>
            </w:pPr>
            <w:r w:rsidRPr="00A43EA1">
              <w:rPr>
                <w:sz w:val="16"/>
              </w:rPr>
              <w:t xml:space="preserve">Internationaler Saatgutverband &amp; </w:t>
            </w:r>
          </w:p>
          <w:p w14:paraId="16D98203" w14:textId="77777777" w:rsidR="00424F87" w:rsidRPr="00A43EA1" w:rsidRDefault="00424F87" w:rsidP="00C30F9D">
            <w:pPr>
              <w:keepNext/>
              <w:jc w:val="left"/>
              <w:rPr>
                <w:sz w:val="16"/>
              </w:rPr>
            </w:pPr>
            <w:r w:rsidRPr="00A43EA1">
              <w:rPr>
                <w:sz w:val="16"/>
              </w:rPr>
              <w:t>SANSOR</w:t>
            </w:r>
          </w:p>
        </w:tc>
        <w:tc>
          <w:tcPr>
            <w:tcW w:w="2552" w:type="dxa"/>
          </w:tcPr>
          <w:p w14:paraId="315D68BC" w14:textId="77777777" w:rsidR="00424F87" w:rsidRPr="00A43EA1" w:rsidRDefault="00424F87" w:rsidP="00C30F9D">
            <w:pPr>
              <w:keepNext/>
              <w:jc w:val="left"/>
              <w:rPr>
                <w:sz w:val="16"/>
              </w:rPr>
            </w:pPr>
            <w:r w:rsidRPr="00A43EA1">
              <w:rPr>
                <w:sz w:val="16"/>
              </w:rPr>
              <w:t>Bilaterale Vereinbarung mit der japanischen Sortenschutzbehörde über das SA-Sortenschutzsystem</w:t>
            </w:r>
          </w:p>
        </w:tc>
        <w:tc>
          <w:tcPr>
            <w:tcW w:w="1843" w:type="dxa"/>
          </w:tcPr>
          <w:p w14:paraId="6787BE40" w14:textId="77777777" w:rsidR="00424F87" w:rsidRPr="00A43EA1" w:rsidRDefault="00424F87" w:rsidP="00C30F9D">
            <w:pPr>
              <w:keepNext/>
              <w:jc w:val="left"/>
              <w:rPr>
                <w:sz w:val="16"/>
              </w:rPr>
            </w:pPr>
            <w:r w:rsidRPr="00A43EA1">
              <w:rPr>
                <w:sz w:val="16"/>
              </w:rPr>
              <w:t>Japan - 1</w:t>
            </w:r>
          </w:p>
          <w:p w14:paraId="5D9A81CD" w14:textId="77777777" w:rsidR="00424F87" w:rsidRPr="00A43EA1" w:rsidRDefault="00424F87" w:rsidP="00C30F9D">
            <w:pPr>
              <w:keepNext/>
              <w:jc w:val="left"/>
              <w:rPr>
                <w:sz w:val="16"/>
              </w:rPr>
            </w:pPr>
            <w:r w:rsidRPr="00A43EA1">
              <w:rPr>
                <w:sz w:val="16"/>
              </w:rPr>
              <w:t>Südafrikanische Sortenschutzbehörde - 6</w:t>
            </w:r>
          </w:p>
          <w:p w14:paraId="0B728C8A" w14:textId="77777777" w:rsidR="00424F87" w:rsidRPr="00A43EA1" w:rsidRDefault="00424F87" w:rsidP="00C30F9D">
            <w:pPr>
              <w:keepNext/>
              <w:jc w:val="left"/>
              <w:rPr>
                <w:sz w:val="16"/>
              </w:rPr>
            </w:pPr>
            <w:r w:rsidRPr="00A43EA1">
              <w:rPr>
                <w:sz w:val="16"/>
              </w:rPr>
              <w:t>DALRRD Referat Internationale Beziehungen - 2</w:t>
            </w:r>
          </w:p>
        </w:tc>
      </w:tr>
    </w:tbl>
    <w:p w14:paraId="6AD1540B" w14:textId="77777777" w:rsidR="00424F87" w:rsidRPr="00A43EA1" w:rsidRDefault="00424F87" w:rsidP="00424F87"/>
    <w:p w14:paraId="7B92173D" w14:textId="77777777" w:rsidR="00424F87" w:rsidRPr="00A43EA1" w:rsidRDefault="00424F87" w:rsidP="00424F87"/>
    <w:p w14:paraId="2E927912" w14:textId="77777777" w:rsidR="00424F87" w:rsidRPr="00A43EA1" w:rsidRDefault="00424F87" w:rsidP="00424F87">
      <w:r w:rsidRPr="00A43EA1">
        <w:t>II.</w:t>
      </w:r>
      <w:r w:rsidRPr="00A43EA1">
        <w:tab/>
        <w:t>ANDERE ENTWICKLUNGEN, DIE FÜR DIE UPOV RELEVANT SIND</w:t>
      </w:r>
    </w:p>
    <w:p w14:paraId="443B6F65" w14:textId="77777777" w:rsidR="00424F87" w:rsidRPr="00A43EA1" w:rsidRDefault="00424F87" w:rsidP="00424F87"/>
    <w:p w14:paraId="372D56F3" w14:textId="77777777" w:rsidR="00424F87" w:rsidRPr="00A43EA1" w:rsidRDefault="00424F87" w:rsidP="00424F87">
      <w:r w:rsidRPr="00A43EA1">
        <w:t>Es gibt nichts zu berichten.</w:t>
      </w:r>
    </w:p>
    <w:p w14:paraId="616D7946" w14:textId="77777777" w:rsidR="00424F87" w:rsidRPr="00A43EA1" w:rsidRDefault="00424F87" w:rsidP="00424F87">
      <w:pPr>
        <w:rPr>
          <w:iCs/>
        </w:rPr>
      </w:pPr>
    </w:p>
    <w:p w14:paraId="3FD259D5" w14:textId="77777777" w:rsidR="00424F87" w:rsidRPr="00A43EA1" w:rsidRDefault="00424F87" w:rsidP="00424F87">
      <w:pPr>
        <w:rPr>
          <w:iCs/>
        </w:rPr>
      </w:pPr>
    </w:p>
    <w:p w14:paraId="03CD0D56" w14:textId="77777777" w:rsidR="00424F87" w:rsidRPr="00A43EA1" w:rsidRDefault="00424F87" w:rsidP="00424F87">
      <w:pPr>
        <w:rPr>
          <w:iCs/>
        </w:rPr>
      </w:pPr>
    </w:p>
    <w:p w14:paraId="6C853E42" w14:textId="4D5EAA73" w:rsidR="00424F87" w:rsidRPr="00A43EA1" w:rsidRDefault="00424F87" w:rsidP="00424F87">
      <w:pPr>
        <w:jc w:val="right"/>
      </w:pPr>
      <w:r w:rsidRPr="00A43EA1">
        <w:t>[</w:t>
      </w:r>
      <w:r w:rsidR="009E6E5A">
        <w:t>Anlage</w:t>
      </w:r>
      <w:r w:rsidRPr="00A43EA1">
        <w:t xml:space="preserve"> II folgt]</w:t>
      </w:r>
    </w:p>
    <w:p w14:paraId="4EB255A6" w14:textId="77777777" w:rsidR="00424F87" w:rsidRPr="00A43EA1" w:rsidRDefault="00424F87" w:rsidP="00424F87">
      <w:pPr>
        <w:sectPr w:rsidR="00424F87" w:rsidRPr="00A43EA1" w:rsidSect="000B2CE0">
          <w:headerReference w:type="default" r:id="rId10"/>
          <w:pgSz w:w="11907" w:h="16840" w:code="9"/>
          <w:pgMar w:top="510" w:right="1134" w:bottom="568" w:left="1134" w:header="510" w:footer="680" w:gutter="0"/>
          <w:pgNumType w:start="1"/>
          <w:cols w:space="720"/>
          <w:titlePg/>
        </w:sectPr>
      </w:pPr>
    </w:p>
    <w:p w14:paraId="2A8C9BE5" w14:textId="77777777" w:rsidR="00424F87" w:rsidRPr="00A43EA1" w:rsidRDefault="00424F87" w:rsidP="00424F87">
      <w:pPr>
        <w:jc w:val="center"/>
      </w:pPr>
      <w:r w:rsidRPr="00A43EA1">
        <w:lastRenderedPageBreak/>
        <w:t>C/57/13</w:t>
      </w:r>
    </w:p>
    <w:p w14:paraId="6F456AD1" w14:textId="77777777" w:rsidR="00424F87" w:rsidRPr="00A43EA1" w:rsidRDefault="00424F87" w:rsidP="00424F87">
      <w:pPr>
        <w:jc w:val="center"/>
      </w:pPr>
    </w:p>
    <w:p w14:paraId="551FD0D5" w14:textId="5E8D0BD4" w:rsidR="00424F87" w:rsidRPr="00A43EA1" w:rsidRDefault="009E6E5A" w:rsidP="00424F87">
      <w:pPr>
        <w:jc w:val="center"/>
      </w:pPr>
      <w:r>
        <w:t>ANLAGE</w:t>
      </w:r>
      <w:r w:rsidR="00424F87" w:rsidRPr="00A43EA1">
        <w:t xml:space="preserve"> II</w:t>
      </w:r>
    </w:p>
    <w:p w14:paraId="409B4D6D" w14:textId="77777777" w:rsidR="00424F87" w:rsidRPr="00A43EA1" w:rsidRDefault="00424F87" w:rsidP="00424F87">
      <w:pPr>
        <w:jc w:val="center"/>
      </w:pPr>
    </w:p>
    <w:p w14:paraId="20F62478" w14:textId="77777777" w:rsidR="00424F87" w:rsidRPr="00A43EA1" w:rsidRDefault="00424F87" w:rsidP="00424F87">
      <w:pPr>
        <w:jc w:val="center"/>
      </w:pPr>
    </w:p>
    <w:p w14:paraId="1DE1C937" w14:textId="77777777" w:rsidR="00424F87" w:rsidRPr="00A43EA1" w:rsidRDefault="00424F87" w:rsidP="00424F87">
      <w:pPr>
        <w:jc w:val="center"/>
      </w:pPr>
      <w:r w:rsidRPr="00A43EA1">
        <w:t>DEUTSCHLAND</w:t>
      </w:r>
    </w:p>
    <w:p w14:paraId="25AF519D" w14:textId="65A2C730" w:rsidR="00424F87" w:rsidRDefault="00424F87" w:rsidP="00424F87"/>
    <w:p w14:paraId="30C05FDE" w14:textId="5F2AA2E9" w:rsidR="006A3AAD" w:rsidRDefault="006A3AAD" w:rsidP="00424F87"/>
    <w:p w14:paraId="61CF63EB" w14:textId="77777777" w:rsidR="006A3AAD" w:rsidRPr="00B304E0" w:rsidRDefault="006A3AAD" w:rsidP="006A3AAD">
      <w:pPr>
        <w:rPr>
          <w:u w:val="single"/>
        </w:rPr>
      </w:pPr>
      <w:r w:rsidRPr="00B304E0">
        <w:rPr>
          <w:u w:val="single"/>
        </w:rPr>
        <w:t>Tätigkeiten zur Förderung des Sortenschutzes</w:t>
      </w:r>
    </w:p>
    <w:p w14:paraId="6C390C41" w14:textId="77777777" w:rsidR="006A3AAD" w:rsidRPr="00B304E0" w:rsidRDefault="006A3AAD" w:rsidP="006A3AAD"/>
    <w:tbl>
      <w:tblPr>
        <w:tblStyle w:val="TableNormal1"/>
        <w:tblW w:w="14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407"/>
        <w:gridCol w:w="724"/>
        <w:gridCol w:w="1119"/>
        <w:gridCol w:w="1843"/>
        <w:gridCol w:w="3685"/>
        <w:gridCol w:w="2840"/>
        <w:gridCol w:w="2263"/>
      </w:tblGrid>
      <w:tr w:rsidR="006A3AAD" w:rsidRPr="005173E1" w14:paraId="3E5E26CF" w14:textId="77777777" w:rsidTr="00C30F9D">
        <w:trPr>
          <w:cantSplit/>
          <w:tblHeader/>
        </w:trPr>
        <w:tc>
          <w:tcPr>
            <w:tcW w:w="2407" w:type="dxa"/>
          </w:tcPr>
          <w:p w14:paraId="63980A4E" w14:textId="77777777" w:rsidR="006A3AAD" w:rsidRPr="005933F6" w:rsidRDefault="006A3AAD" w:rsidP="00C30F9D">
            <w:pPr>
              <w:jc w:val="left"/>
              <w:rPr>
                <w:rFonts w:cs="Arial"/>
                <w:sz w:val="16"/>
                <w:szCs w:val="16"/>
              </w:rPr>
            </w:pPr>
            <w:r w:rsidRPr="005933F6">
              <w:rPr>
                <w:rFonts w:cs="Arial"/>
                <w:sz w:val="16"/>
                <w:szCs w:val="16"/>
              </w:rPr>
              <w:t>Art der Tätigkeit</w:t>
            </w:r>
          </w:p>
        </w:tc>
        <w:tc>
          <w:tcPr>
            <w:tcW w:w="724" w:type="dxa"/>
          </w:tcPr>
          <w:p w14:paraId="5AD0335E" w14:textId="77777777" w:rsidR="006A3AAD" w:rsidRPr="005933F6" w:rsidRDefault="006A3AAD" w:rsidP="00C30F9D">
            <w:pPr>
              <w:jc w:val="left"/>
              <w:rPr>
                <w:rFonts w:cs="Arial"/>
                <w:sz w:val="16"/>
                <w:szCs w:val="16"/>
              </w:rPr>
            </w:pPr>
            <w:r w:rsidRPr="005933F6">
              <w:rPr>
                <w:rFonts w:cs="Arial"/>
                <w:sz w:val="16"/>
                <w:szCs w:val="16"/>
              </w:rPr>
              <w:t>Datum</w:t>
            </w:r>
          </w:p>
        </w:tc>
        <w:tc>
          <w:tcPr>
            <w:tcW w:w="1119" w:type="dxa"/>
          </w:tcPr>
          <w:p w14:paraId="004F7F9C" w14:textId="77777777" w:rsidR="006A3AAD" w:rsidRPr="005933F6" w:rsidRDefault="006A3AAD" w:rsidP="00C30F9D">
            <w:pPr>
              <w:jc w:val="left"/>
              <w:rPr>
                <w:rFonts w:cs="Arial"/>
                <w:sz w:val="16"/>
                <w:szCs w:val="16"/>
              </w:rPr>
            </w:pPr>
            <w:r w:rsidRPr="005933F6">
              <w:rPr>
                <w:rFonts w:cs="Arial"/>
                <w:sz w:val="16"/>
                <w:szCs w:val="16"/>
              </w:rPr>
              <w:t>Ort</w:t>
            </w:r>
          </w:p>
        </w:tc>
        <w:tc>
          <w:tcPr>
            <w:tcW w:w="1843" w:type="dxa"/>
          </w:tcPr>
          <w:p w14:paraId="04DF2AB7" w14:textId="77777777" w:rsidR="006A3AAD" w:rsidRPr="005933F6" w:rsidRDefault="006A3AAD" w:rsidP="00C30F9D">
            <w:pPr>
              <w:jc w:val="left"/>
              <w:rPr>
                <w:rFonts w:cs="Arial"/>
                <w:sz w:val="16"/>
                <w:szCs w:val="16"/>
              </w:rPr>
            </w:pPr>
            <w:r w:rsidRPr="005933F6">
              <w:rPr>
                <w:rFonts w:cs="Arial"/>
                <w:sz w:val="16"/>
                <w:szCs w:val="16"/>
              </w:rPr>
              <w:t>Organisator(en)</w:t>
            </w:r>
          </w:p>
        </w:tc>
        <w:tc>
          <w:tcPr>
            <w:tcW w:w="3685" w:type="dxa"/>
          </w:tcPr>
          <w:p w14:paraId="007653F3" w14:textId="77777777" w:rsidR="006A3AAD" w:rsidRPr="005933F6" w:rsidRDefault="006A3AAD" w:rsidP="00C30F9D">
            <w:pPr>
              <w:jc w:val="left"/>
              <w:rPr>
                <w:rFonts w:cs="Arial"/>
                <w:sz w:val="16"/>
                <w:szCs w:val="16"/>
              </w:rPr>
            </w:pPr>
            <w:r w:rsidRPr="005933F6">
              <w:rPr>
                <w:rFonts w:cs="Arial"/>
                <w:sz w:val="16"/>
                <w:szCs w:val="16"/>
              </w:rPr>
              <w:t>Zweck der Tätigkeit</w:t>
            </w:r>
          </w:p>
        </w:tc>
        <w:tc>
          <w:tcPr>
            <w:tcW w:w="2840" w:type="dxa"/>
          </w:tcPr>
          <w:p w14:paraId="567F4C3B" w14:textId="77777777" w:rsidR="006A3AAD" w:rsidRPr="005933F6" w:rsidRDefault="006A3AAD" w:rsidP="00C30F9D">
            <w:pPr>
              <w:jc w:val="left"/>
              <w:rPr>
                <w:rFonts w:cs="Arial"/>
                <w:sz w:val="16"/>
                <w:szCs w:val="16"/>
              </w:rPr>
            </w:pPr>
            <w:r w:rsidRPr="005933F6">
              <w:rPr>
                <w:rFonts w:cs="Arial"/>
                <w:sz w:val="16"/>
                <w:szCs w:val="16"/>
              </w:rPr>
              <w:t>Teilnehmende Staaten/Organisationen</w:t>
            </w:r>
          </w:p>
          <w:p w14:paraId="6C9C5AE0" w14:textId="77777777" w:rsidR="006A3AAD" w:rsidRPr="005933F6" w:rsidRDefault="006A3AAD" w:rsidP="00C30F9D">
            <w:pPr>
              <w:jc w:val="left"/>
              <w:rPr>
                <w:rFonts w:cs="Arial"/>
                <w:sz w:val="16"/>
                <w:szCs w:val="16"/>
              </w:rPr>
            </w:pPr>
            <w:r w:rsidRPr="005933F6">
              <w:rPr>
                <w:rFonts w:cs="Arial"/>
                <w:sz w:val="16"/>
                <w:szCs w:val="16"/>
              </w:rPr>
              <w:t xml:space="preserve">(Zahl der Teilnehmer pro </w:t>
            </w:r>
            <w:r>
              <w:rPr>
                <w:rFonts w:cs="Arial"/>
                <w:sz w:val="16"/>
                <w:szCs w:val="16"/>
              </w:rPr>
              <w:br/>
            </w:r>
            <w:r w:rsidRPr="005933F6">
              <w:rPr>
                <w:rFonts w:cs="Arial"/>
                <w:sz w:val="16"/>
                <w:szCs w:val="16"/>
              </w:rPr>
              <w:t>Staat/Organisation)</w:t>
            </w:r>
          </w:p>
        </w:tc>
        <w:tc>
          <w:tcPr>
            <w:tcW w:w="2263" w:type="dxa"/>
          </w:tcPr>
          <w:p w14:paraId="45573A23" w14:textId="77777777" w:rsidR="006A3AAD" w:rsidRPr="005933F6" w:rsidRDefault="006A3AAD" w:rsidP="00C30F9D">
            <w:pPr>
              <w:jc w:val="left"/>
              <w:rPr>
                <w:rFonts w:cs="Arial"/>
                <w:sz w:val="16"/>
                <w:szCs w:val="16"/>
              </w:rPr>
            </w:pPr>
            <w:r w:rsidRPr="005933F6">
              <w:rPr>
                <w:rFonts w:cs="Arial"/>
                <w:sz w:val="16"/>
                <w:szCs w:val="16"/>
              </w:rPr>
              <w:t>Kommentare</w:t>
            </w:r>
          </w:p>
        </w:tc>
      </w:tr>
      <w:tr w:rsidR="006A3AAD" w:rsidRPr="007B51C1" w14:paraId="60BF06D9" w14:textId="77777777" w:rsidTr="00C30F9D">
        <w:trPr>
          <w:cantSplit/>
        </w:trPr>
        <w:tc>
          <w:tcPr>
            <w:tcW w:w="2407" w:type="dxa"/>
          </w:tcPr>
          <w:p w14:paraId="3D03A1B9" w14:textId="77777777" w:rsidR="006A3AAD" w:rsidRPr="005933F6" w:rsidRDefault="006A3AAD" w:rsidP="00C30F9D">
            <w:pPr>
              <w:jc w:val="left"/>
              <w:rPr>
                <w:rFonts w:cs="Arial"/>
                <w:sz w:val="16"/>
                <w:szCs w:val="16"/>
              </w:rPr>
            </w:pPr>
            <w:r w:rsidRPr="005933F6">
              <w:rPr>
                <w:rFonts w:cs="Arial"/>
                <w:sz w:val="16"/>
                <w:szCs w:val="16"/>
              </w:rPr>
              <w:t>Seminar zur Durchführung von Sortenversuchen (DUS) bei Apfel und Birne</w:t>
            </w:r>
          </w:p>
        </w:tc>
        <w:tc>
          <w:tcPr>
            <w:tcW w:w="724" w:type="dxa"/>
          </w:tcPr>
          <w:p w14:paraId="4F601DD5" w14:textId="77777777" w:rsidR="006A3AAD" w:rsidRPr="005933F6" w:rsidRDefault="006A3AAD" w:rsidP="00C30F9D">
            <w:pPr>
              <w:jc w:val="left"/>
              <w:rPr>
                <w:rFonts w:cs="Arial"/>
                <w:sz w:val="16"/>
                <w:szCs w:val="16"/>
              </w:rPr>
            </w:pPr>
            <w:r w:rsidRPr="005933F6">
              <w:rPr>
                <w:rFonts w:cs="Arial"/>
                <w:sz w:val="16"/>
                <w:szCs w:val="16"/>
              </w:rPr>
              <w:t>09/2022</w:t>
            </w:r>
          </w:p>
        </w:tc>
        <w:tc>
          <w:tcPr>
            <w:tcW w:w="1119" w:type="dxa"/>
          </w:tcPr>
          <w:p w14:paraId="3565563C" w14:textId="77777777" w:rsidR="006A3AAD" w:rsidRPr="005933F6" w:rsidRDefault="006A3AAD" w:rsidP="00C30F9D">
            <w:pPr>
              <w:jc w:val="left"/>
              <w:rPr>
                <w:rFonts w:cs="Arial"/>
                <w:sz w:val="16"/>
                <w:szCs w:val="16"/>
              </w:rPr>
            </w:pPr>
            <w:r w:rsidRPr="005933F6">
              <w:rPr>
                <w:rFonts w:cs="Arial"/>
                <w:sz w:val="16"/>
                <w:szCs w:val="16"/>
              </w:rPr>
              <w:t>Online</w:t>
            </w:r>
          </w:p>
        </w:tc>
        <w:tc>
          <w:tcPr>
            <w:tcW w:w="1843" w:type="dxa"/>
            <w:vMerge w:val="restart"/>
          </w:tcPr>
          <w:p w14:paraId="0BAA1E2E" w14:textId="77777777" w:rsidR="006A3AAD" w:rsidRPr="005933F6" w:rsidRDefault="006A3AAD" w:rsidP="00C30F9D">
            <w:pPr>
              <w:jc w:val="left"/>
              <w:rPr>
                <w:rFonts w:cs="Arial"/>
                <w:sz w:val="16"/>
                <w:szCs w:val="16"/>
              </w:rPr>
            </w:pPr>
            <w:r w:rsidRPr="005933F6">
              <w:rPr>
                <w:rFonts w:cs="Arial"/>
                <w:sz w:val="16"/>
                <w:szCs w:val="16"/>
              </w:rPr>
              <w:t>Bundesministerium für Ernährung und Landwirtschaft (BMEL)</w:t>
            </w:r>
          </w:p>
          <w:p w14:paraId="18549125" w14:textId="77777777" w:rsidR="006A3AAD" w:rsidRPr="005933F6" w:rsidRDefault="006A3AAD" w:rsidP="00C30F9D">
            <w:pPr>
              <w:jc w:val="left"/>
              <w:rPr>
                <w:rFonts w:cs="Arial"/>
                <w:sz w:val="16"/>
                <w:szCs w:val="16"/>
              </w:rPr>
            </w:pPr>
          </w:p>
          <w:p w14:paraId="7F510863" w14:textId="77777777" w:rsidR="006A3AAD" w:rsidRPr="005933F6" w:rsidRDefault="006A3AAD" w:rsidP="00C30F9D">
            <w:pPr>
              <w:jc w:val="left"/>
              <w:rPr>
                <w:rFonts w:cs="Arial"/>
                <w:sz w:val="16"/>
                <w:szCs w:val="16"/>
              </w:rPr>
            </w:pPr>
            <w:r w:rsidRPr="005933F6">
              <w:rPr>
                <w:rFonts w:cs="Arial"/>
                <w:sz w:val="16"/>
                <w:szCs w:val="16"/>
              </w:rPr>
              <w:t>ADT Consulting</w:t>
            </w:r>
          </w:p>
          <w:p w14:paraId="62BBB6E6" w14:textId="77777777" w:rsidR="006A3AAD" w:rsidRPr="005933F6" w:rsidRDefault="006A3AAD" w:rsidP="00C30F9D">
            <w:pPr>
              <w:jc w:val="left"/>
              <w:rPr>
                <w:rFonts w:cs="Arial"/>
                <w:sz w:val="16"/>
                <w:szCs w:val="16"/>
              </w:rPr>
            </w:pPr>
          </w:p>
          <w:p w14:paraId="566475FD" w14:textId="77777777" w:rsidR="006A3AAD" w:rsidRPr="005933F6" w:rsidRDefault="006A3AAD" w:rsidP="00C30F9D">
            <w:pPr>
              <w:jc w:val="left"/>
              <w:rPr>
                <w:rFonts w:cs="Arial"/>
                <w:sz w:val="16"/>
                <w:szCs w:val="16"/>
              </w:rPr>
            </w:pPr>
            <w:r w:rsidRPr="005933F6">
              <w:rPr>
                <w:rFonts w:cs="Arial"/>
                <w:sz w:val="16"/>
                <w:szCs w:val="16"/>
              </w:rPr>
              <w:t>Bundessortenamt (BSA)</w:t>
            </w:r>
          </w:p>
          <w:p w14:paraId="670F3BFB" w14:textId="77777777" w:rsidR="006A3AAD" w:rsidRPr="005933F6" w:rsidRDefault="006A3AAD" w:rsidP="00C30F9D">
            <w:pPr>
              <w:jc w:val="left"/>
              <w:rPr>
                <w:rFonts w:cs="Arial"/>
                <w:sz w:val="16"/>
                <w:szCs w:val="16"/>
              </w:rPr>
            </w:pPr>
          </w:p>
        </w:tc>
        <w:tc>
          <w:tcPr>
            <w:tcW w:w="3685" w:type="dxa"/>
            <w:vMerge w:val="restart"/>
          </w:tcPr>
          <w:p w14:paraId="4E7CFA8D" w14:textId="77777777" w:rsidR="006A3AAD" w:rsidRPr="005933F6" w:rsidRDefault="006A3AAD" w:rsidP="00C30F9D">
            <w:pPr>
              <w:jc w:val="left"/>
              <w:rPr>
                <w:rFonts w:cs="Arial"/>
                <w:sz w:val="16"/>
                <w:szCs w:val="16"/>
              </w:rPr>
            </w:pPr>
            <w:r w:rsidRPr="005933F6">
              <w:rPr>
                <w:rFonts w:cs="Arial"/>
                <w:sz w:val="16"/>
                <w:szCs w:val="16"/>
              </w:rPr>
              <w:t>Schulung zur Durchführung von Sortenversuchen, Anwendung der Prüfrichtlinien und der Versuchsauswertung</w:t>
            </w:r>
          </w:p>
        </w:tc>
        <w:tc>
          <w:tcPr>
            <w:tcW w:w="2840" w:type="dxa"/>
          </w:tcPr>
          <w:p w14:paraId="2BA4E26B" w14:textId="77777777" w:rsidR="006A3AAD" w:rsidRPr="005933F6" w:rsidRDefault="006A3AAD" w:rsidP="00C30F9D">
            <w:pPr>
              <w:jc w:val="left"/>
              <w:rPr>
                <w:rFonts w:cs="Arial"/>
                <w:sz w:val="16"/>
                <w:szCs w:val="16"/>
              </w:rPr>
            </w:pPr>
            <w:r w:rsidRPr="005933F6">
              <w:rPr>
                <w:rFonts w:cs="Arial"/>
                <w:sz w:val="16"/>
                <w:szCs w:val="16"/>
              </w:rPr>
              <w:t>Indien (~ 100 Teilnehmer)</w:t>
            </w:r>
          </w:p>
        </w:tc>
        <w:tc>
          <w:tcPr>
            <w:tcW w:w="2263" w:type="dxa"/>
            <w:vMerge w:val="restart"/>
          </w:tcPr>
          <w:p w14:paraId="6F8EEBA0" w14:textId="77777777" w:rsidR="006A3AAD" w:rsidRPr="005933F6" w:rsidRDefault="006A3AAD" w:rsidP="00C30F9D">
            <w:pPr>
              <w:jc w:val="left"/>
              <w:rPr>
                <w:rFonts w:cs="Arial"/>
                <w:sz w:val="16"/>
                <w:szCs w:val="16"/>
              </w:rPr>
            </w:pPr>
            <w:r w:rsidRPr="005933F6">
              <w:rPr>
                <w:rFonts w:cs="Arial"/>
                <w:sz w:val="16"/>
                <w:szCs w:val="16"/>
              </w:rPr>
              <w:t>Deutsch-indisches Kooperationsprojekt</w:t>
            </w:r>
          </w:p>
          <w:p w14:paraId="58F24146" w14:textId="77777777" w:rsidR="006A3AAD" w:rsidRPr="005933F6" w:rsidRDefault="006A3AAD" w:rsidP="00C30F9D">
            <w:pPr>
              <w:jc w:val="left"/>
              <w:rPr>
                <w:rFonts w:cs="Arial"/>
                <w:sz w:val="16"/>
                <w:szCs w:val="16"/>
              </w:rPr>
            </w:pPr>
            <w:r w:rsidRPr="005933F6">
              <w:rPr>
                <w:rFonts w:cs="Arial"/>
                <w:sz w:val="16"/>
                <w:szCs w:val="16"/>
              </w:rPr>
              <w:t>(07/2019 bis 12/2023 (verlängert))</w:t>
            </w:r>
          </w:p>
        </w:tc>
      </w:tr>
      <w:tr w:rsidR="006A3AAD" w:rsidRPr="005173E1" w14:paraId="21C50D77" w14:textId="77777777" w:rsidTr="00C30F9D">
        <w:trPr>
          <w:cantSplit/>
        </w:trPr>
        <w:tc>
          <w:tcPr>
            <w:tcW w:w="2407" w:type="dxa"/>
          </w:tcPr>
          <w:p w14:paraId="1B76ACAB" w14:textId="77777777" w:rsidR="006A3AAD" w:rsidRPr="005933F6" w:rsidRDefault="006A3AAD" w:rsidP="00C30F9D">
            <w:pPr>
              <w:jc w:val="left"/>
              <w:rPr>
                <w:rFonts w:cs="Arial"/>
                <w:sz w:val="16"/>
                <w:szCs w:val="16"/>
              </w:rPr>
            </w:pPr>
            <w:r w:rsidRPr="005933F6">
              <w:rPr>
                <w:rFonts w:cs="Arial"/>
                <w:sz w:val="16"/>
                <w:szCs w:val="16"/>
              </w:rPr>
              <w:t>Seminar zur Durchführung von Sortenversuchen (DUS) bei Apfel und Birne</w:t>
            </w:r>
          </w:p>
        </w:tc>
        <w:tc>
          <w:tcPr>
            <w:tcW w:w="724" w:type="dxa"/>
          </w:tcPr>
          <w:p w14:paraId="32CADCEF" w14:textId="77777777" w:rsidR="006A3AAD" w:rsidRPr="005933F6" w:rsidRDefault="006A3AAD" w:rsidP="00C30F9D">
            <w:pPr>
              <w:jc w:val="left"/>
              <w:rPr>
                <w:rFonts w:cs="Arial"/>
                <w:sz w:val="16"/>
                <w:szCs w:val="16"/>
              </w:rPr>
            </w:pPr>
            <w:r w:rsidRPr="005933F6">
              <w:rPr>
                <w:rFonts w:cs="Arial"/>
                <w:sz w:val="16"/>
                <w:szCs w:val="16"/>
              </w:rPr>
              <w:t>09/2022</w:t>
            </w:r>
          </w:p>
        </w:tc>
        <w:tc>
          <w:tcPr>
            <w:tcW w:w="1119" w:type="dxa"/>
          </w:tcPr>
          <w:p w14:paraId="2B8A9B3C"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vMerge/>
          </w:tcPr>
          <w:p w14:paraId="7F72218A" w14:textId="77777777" w:rsidR="006A3AAD" w:rsidRPr="005933F6" w:rsidRDefault="006A3AAD" w:rsidP="00C30F9D">
            <w:pPr>
              <w:jc w:val="left"/>
              <w:rPr>
                <w:rFonts w:cs="Arial"/>
                <w:sz w:val="16"/>
                <w:szCs w:val="16"/>
              </w:rPr>
            </w:pPr>
          </w:p>
        </w:tc>
        <w:tc>
          <w:tcPr>
            <w:tcW w:w="3685" w:type="dxa"/>
            <w:vMerge/>
          </w:tcPr>
          <w:p w14:paraId="587D95AE" w14:textId="77777777" w:rsidR="006A3AAD" w:rsidRPr="005933F6" w:rsidRDefault="006A3AAD" w:rsidP="00C30F9D">
            <w:pPr>
              <w:jc w:val="left"/>
              <w:rPr>
                <w:rFonts w:cs="Arial"/>
                <w:sz w:val="16"/>
                <w:szCs w:val="16"/>
              </w:rPr>
            </w:pPr>
          </w:p>
        </w:tc>
        <w:tc>
          <w:tcPr>
            <w:tcW w:w="2840" w:type="dxa"/>
          </w:tcPr>
          <w:p w14:paraId="64E41970" w14:textId="77777777" w:rsidR="006A3AAD" w:rsidRPr="005933F6" w:rsidRDefault="006A3AAD" w:rsidP="00C30F9D">
            <w:pPr>
              <w:jc w:val="left"/>
              <w:rPr>
                <w:rFonts w:cs="Arial"/>
                <w:sz w:val="16"/>
                <w:szCs w:val="16"/>
              </w:rPr>
            </w:pPr>
            <w:r w:rsidRPr="005933F6">
              <w:rPr>
                <w:rFonts w:cs="Arial"/>
                <w:sz w:val="16"/>
                <w:szCs w:val="16"/>
              </w:rPr>
              <w:t>Indien (3 Teilnehmer)</w:t>
            </w:r>
          </w:p>
        </w:tc>
        <w:tc>
          <w:tcPr>
            <w:tcW w:w="2263" w:type="dxa"/>
            <w:vMerge/>
          </w:tcPr>
          <w:p w14:paraId="1DB0C6BD" w14:textId="77777777" w:rsidR="006A3AAD" w:rsidRPr="005933F6" w:rsidRDefault="006A3AAD" w:rsidP="00C30F9D">
            <w:pPr>
              <w:jc w:val="left"/>
              <w:rPr>
                <w:rFonts w:cs="Arial"/>
                <w:sz w:val="16"/>
                <w:szCs w:val="16"/>
              </w:rPr>
            </w:pPr>
          </w:p>
        </w:tc>
      </w:tr>
      <w:tr w:rsidR="006A3AAD" w:rsidRPr="008E03B7" w14:paraId="20B83E1B" w14:textId="77777777" w:rsidTr="00C30F9D">
        <w:trPr>
          <w:cantSplit/>
        </w:trPr>
        <w:tc>
          <w:tcPr>
            <w:tcW w:w="2407" w:type="dxa"/>
          </w:tcPr>
          <w:p w14:paraId="1FA248AD" w14:textId="77777777" w:rsidR="006A3AAD" w:rsidRPr="005933F6" w:rsidRDefault="006A3AAD" w:rsidP="00C30F9D">
            <w:pPr>
              <w:jc w:val="left"/>
              <w:rPr>
                <w:rFonts w:cs="Arial"/>
                <w:sz w:val="16"/>
                <w:szCs w:val="16"/>
              </w:rPr>
            </w:pPr>
            <w:r w:rsidRPr="005933F6">
              <w:rPr>
                <w:rFonts w:cs="Arial"/>
                <w:sz w:val="16"/>
                <w:szCs w:val="16"/>
              </w:rPr>
              <w:t>Abschlussseminar</w:t>
            </w:r>
          </w:p>
        </w:tc>
        <w:tc>
          <w:tcPr>
            <w:tcW w:w="724" w:type="dxa"/>
          </w:tcPr>
          <w:p w14:paraId="2FCAE266" w14:textId="77777777" w:rsidR="006A3AAD" w:rsidRPr="005933F6" w:rsidRDefault="006A3AAD" w:rsidP="00C30F9D">
            <w:pPr>
              <w:jc w:val="left"/>
              <w:rPr>
                <w:rFonts w:cs="Arial"/>
                <w:sz w:val="16"/>
                <w:szCs w:val="16"/>
              </w:rPr>
            </w:pPr>
            <w:r w:rsidRPr="005933F6">
              <w:rPr>
                <w:rFonts w:cs="Arial"/>
                <w:sz w:val="16"/>
                <w:szCs w:val="16"/>
              </w:rPr>
              <w:t>11/2022</w:t>
            </w:r>
          </w:p>
        </w:tc>
        <w:tc>
          <w:tcPr>
            <w:tcW w:w="1119" w:type="dxa"/>
          </w:tcPr>
          <w:p w14:paraId="155C3CD2" w14:textId="77777777" w:rsidR="006A3AAD" w:rsidRPr="005933F6" w:rsidRDefault="006A3AAD" w:rsidP="00C30F9D">
            <w:pPr>
              <w:jc w:val="left"/>
              <w:rPr>
                <w:rFonts w:cs="Arial"/>
                <w:sz w:val="16"/>
                <w:szCs w:val="16"/>
              </w:rPr>
            </w:pPr>
            <w:r w:rsidRPr="005933F6">
              <w:rPr>
                <w:rFonts w:cs="Arial"/>
                <w:sz w:val="16"/>
                <w:szCs w:val="16"/>
              </w:rPr>
              <w:t>Online</w:t>
            </w:r>
          </w:p>
        </w:tc>
        <w:tc>
          <w:tcPr>
            <w:tcW w:w="1843" w:type="dxa"/>
            <w:vMerge/>
          </w:tcPr>
          <w:p w14:paraId="0E960EFF" w14:textId="77777777" w:rsidR="006A3AAD" w:rsidRPr="005933F6" w:rsidRDefault="006A3AAD" w:rsidP="00C30F9D">
            <w:pPr>
              <w:jc w:val="left"/>
              <w:rPr>
                <w:rFonts w:cs="Arial"/>
                <w:sz w:val="16"/>
                <w:szCs w:val="16"/>
              </w:rPr>
            </w:pPr>
          </w:p>
        </w:tc>
        <w:tc>
          <w:tcPr>
            <w:tcW w:w="3685" w:type="dxa"/>
          </w:tcPr>
          <w:p w14:paraId="2DCA03C9" w14:textId="77777777" w:rsidR="006A3AAD" w:rsidRPr="005933F6" w:rsidRDefault="006A3AAD" w:rsidP="00C30F9D">
            <w:pPr>
              <w:jc w:val="left"/>
              <w:rPr>
                <w:rFonts w:cs="Arial"/>
                <w:sz w:val="16"/>
                <w:szCs w:val="16"/>
              </w:rPr>
            </w:pPr>
            <w:r w:rsidRPr="005933F6">
              <w:rPr>
                <w:rFonts w:cs="Arial"/>
                <w:sz w:val="16"/>
                <w:szCs w:val="16"/>
              </w:rPr>
              <w:t xml:space="preserve">Rückblick auf die Errungenschaften innerhalb des Projektzeitraums, Klärung offener Fragen </w:t>
            </w:r>
          </w:p>
        </w:tc>
        <w:tc>
          <w:tcPr>
            <w:tcW w:w="2840" w:type="dxa"/>
          </w:tcPr>
          <w:p w14:paraId="3A0003DF" w14:textId="77777777" w:rsidR="006A3AAD" w:rsidRPr="005933F6" w:rsidRDefault="006A3AAD" w:rsidP="00C30F9D">
            <w:pPr>
              <w:jc w:val="left"/>
              <w:rPr>
                <w:rFonts w:cs="Arial"/>
                <w:sz w:val="16"/>
                <w:szCs w:val="16"/>
              </w:rPr>
            </w:pPr>
          </w:p>
        </w:tc>
        <w:tc>
          <w:tcPr>
            <w:tcW w:w="2263" w:type="dxa"/>
            <w:vMerge/>
          </w:tcPr>
          <w:p w14:paraId="2DA1514A" w14:textId="77777777" w:rsidR="006A3AAD" w:rsidRPr="005933F6" w:rsidRDefault="006A3AAD" w:rsidP="00C30F9D">
            <w:pPr>
              <w:jc w:val="left"/>
              <w:rPr>
                <w:rFonts w:cs="Arial"/>
                <w:sz w:val="16"/>
                <w:szCs w:val="16"/>
              </w:rPr>
            </w:pPr>
          </w:p>
        </w:tc>
      </w:tr>
      <w:tr w:rsidR="006A3AAD" w:rsidRPr="005173E1" w14:paraId="6AFEC796" w14:textId="77777777" w:rsidTr="00C30F9D">
        <w:trPr>
          <w:cantSplit/>
        </w:trPr>
        <w:tc>
          <w:tcPr>
            <w:tcW w:w="2407" w:type="dxa"/>
          </w:tcPr>
          <w:p w14:paraId="57334A74" w14:textId="77777777" w:rsidR="006A3AAD" w:rsidRPr="005933F6" w:rsidRDefault="006A3AAD" w:rsidP="00C30F9D">
            <w:pPr>
              <w:jc w:val="left"/>
              <w:rPr>
                <w:rFonts w:cs="Arial"/>
                <w:sz w:val="16"/>
                <w:szCs w:val="16"/>
              </w:rPr>
            </w:pPr>
            <w:r w:rsidRPr="005933F6">
              <w:rPr>
                <w:rFonts w:cs="Arial"/>
                <w:sz w:val="16"/>
                <w:szCs w:val="16"/>
              </w:rPr>
              <w:t xml:space="preserve">Seminar zur Elektronischen Verarbeitung und Verwaltung von DUS-Prüfungsdaten bei der Sortenprüfung - am Beispiel von Raps/Senf </w:t>
            </w:r>
          </w:p>
        </w:tc>
        <w:tc>
          <w:tcPr>
            <w:tcW w:w="724" w:type="dxa"/>
          </w:tcPr>
          <w:p w14:paraId="65BC2A44" w14:textId="77777777" w:rsidR="006A3AAD" w:rsidRPr="005933F6" w:rsidRDefault="006A3AAD" w:rsidP="00C30F9D">
            <w:pPr>
              <w:jc w:val="left"/>
              <w:rPr>
                <w:rFonts w:cs="Arial"/>
                <w:sz w:val="16"/>
                <w:szCs w:val="16"/>
              </w:rPr>
            </w:pPr>
            <w:r w:rsidRPr="005933F6">
              <w:rPr>
                <w:rFonts w:cs="Arial"/>
                <w:sz w:val="16"/>
                <w:szCs w:val="16"/>
              </w:rPr>
              <w:t>05/2023</w:t>
            </w:r>
          </w:p>
        </w:tc>
        <w:tc>
          <w:tcPr>
            <w:tcW w:w="1119" w:type="dxa"/>
          </w:tcPr>
          <w:p w14:paraId="7EAE62A4" w14:textId="77777777" w:rsidR="006A3AAD" w:rsidRPr="005933F6" w:rsidRDefault="006A3AAD" w:rsidP="00C30F9D">
            <w:pPr>
              <w:jc w:val="left"/>
              <w:rPr>
                <w:rFonts w:cs="Arial"/>
                <w:sz w:val="16"/>
                <w:szCs w:val="16"/>
              </w:rPr>
            </w:pPr>
            <w:r w:rsidRPr="005933F6">
              <w:rPr>
                <w:rFonts w:cs="Arial"/>
                <w:sz w:val="16"/>
                <w:szCs w:val="16"/>
              </w:rPr>
              <w:t>Online</w:t>
            </w:r>
          </w:p>
        </w:tc>
        <w:tc>
          <w:tcPr>
            <w:tcW w:w="1843" w:type="dxa"/>
            <w:vMerge/>
          </w:tcPr>
          <w:p w14:paraId="030B3C05" w14:textId="77777777" w:rsidR="006A3AAD" w:rsidRPr="005933F6" w:rsidRDefault="006A3AAD" w:rsidP="00C30F9D">
            <w:pPr>
              <w:jc w:val="left"/>
              <w:rPr>
                <w:rFonts w:cs="Arial"/>
                <w:sz w:val="16"/>
                <w:szCs w:val="16"/>
              </w:rPr>
            </w:pPr>
          </w:p>
        </w:tc>
        <w:tc>
          <w:tcPr>
            <w:tcW w:w="3685" w:type="dxa"/>
          </w:tcPr>
          <w:p w14:paraId="610A4AD4" w14:textId="77777777" w:rsidR="006A3AAD" w:rsidRPr="005933F6" w:rsidRDefault="006A3AAD" w:rsidP="00C30F9D">
            <w:pPr>
              <w:jc w:val="left"/>
              <w:rPr>
                <w:rFonts w:cs="Arial"/>
                <w:sz w:val="16"/>
                <w:szCs w:val="16"/>
              </w:rPr>
            </w:pPr>
            <w:r w:rsidRPr="005933F6">
              <w:rPr>
                <w:rFonts w:cs="Arial"/>
                <w:sz w:val="16"/>
                <w:szCs w:val="16"/>
              </w:rPr>
              <w:t>Fachlicher Austausch zur Elektronischen Verarbeitung und Verwaltung von DUS-Prüfungsdaten</w:t>
            </w:r>
          </w:p>
        </w:tc>
        <w:tc>
          <w:tcPr>
            <w:tcW w:w="2840" w:type="dxa"/>
          </w:tcPr>
          <w:p w14:paraId="62E59E01" w14:textId="77777777" w:rsidR="006A3AAD" w:rsidRPr="005933F6" w:rsidRDefault="006A3AAD" w:rsidP="00C30F9D">
            <w:pPr>
              <w:jc w:val="left"/>
              <w:rPr>
                <w:rFonts w:cs="Arial"/>
                <w:sz w:val="16"/>
                <w:szCs w:val="16"/>
              </w:rPr>
            </w:pPr>
            <w:r w:rsidRPr="005933F6">
              <w:rPr>
                <w:rFonts w:cs="Arial"/>
                <w:sz w:val="16"/>
                <w:szCs w:val="16"/>
              </w:rPr>
              <w:t>Indien (~ 100Teilnehmer)</w:t>
            </w:r>
          </w:p>
        </w:tc>
        <w:tc>
          <w:tcPr>
            <w:tcW w:w="2263" w:type="dxa"/>
            <w:vMerge/>
          </w:tcPr>
          <w:p w14:paraId="1DEB67EE" w14:textId="77777777" w:rsidR="006A3AAD" w:rsidRPr="005933F6" w:rsidRDefault="006A3AAD" w:rsidP="00C30F9D">
            <w:pPr>
              <w:jc w:val="left"/>
              <w:rPr>
                <w:rFonts w:cs="Arial"/>
                <w:sz w:val="16"/>
                <w:szCs w:val="16"/>
              </w:rPr>
            </w:pPr>
          </w:p>
        </w:tc>
      </w:tr>
      <w:tr w:rsidR="006A3AAD" w:rsidRPr="005173E1" w14:paraId="66BC5ADF" w14:textId="77777777" w:rsidTr="00C30F9D">
        <w:trPr>
          <w:cantSplit/>
        </w:trPr>
        <w:tc>
          <w:tcPr>
            <w:tcW w:w="2407" w:type="dxa"/>
          </w:tcPr>
          <w:p w14:paraId="4B3BB330" w14:textId="77777777" w:rsidR="006A3AAD" w:rsidRPr="005933F6" w:rsidRDefault="006A3AAD" w:rsidP="00C30F9D">
            <w:pPr>
              <w:jc w:val="left"/>
              <w:rPr>
                <w:rFonts w:cs="Arial"/>
                <w:sz w:val="16"/>
                <w:szCs w:val="16"/>
              </w:rPr>
            </w:pPr>
            <w:r w:rsidRPr="005933F6">
              <w:rPr>
                <w:rFonts w:cs="Arial"/>
                <w:sz w:val="16"/>
                <w:szCs w:val="16"/>
              </w:rPr>
              <w:t>Seminar</w:t>
            </w:r>
          </w:p>
        </w:tc>
        <w:tc>
          <w:tcPr>
            <w:tcW w:w="724" w:type="dxa"/>
          </w:tcPr>
          <w:p w14:paraId="4C560F47" w14:textId="77777777" w:rsidR="006A3AAD" w:rsidRPr="005933F6" w:rsidRDefault="006A3AAD" w:rsidP="00C30F9D">
            <w:pPr>
              <w:jc w:val="left"/>
              <w:rPr>
                <w:rFonts w:cs="Arial"/>
                <w:sz w:val="16"/>
                <w:szCs w:val="16"/>
              </w:rPr>
            </w:pPr>
            <w:r w:rsidRPr="005933F6">
              <w:rPr>
                <w:rFonts w:cs="Arial"/>
                <w:sz w:val="16"/>
                <w:szCs w:val="16"/>
              </w:rPr>
              <w:t>09/2022</w:t>
            </w:r>
          </w:p>
        </w:tc>
        <w:tc>
          <w:tcPr>
            <w:tcW w:w="1119" w:type="dxa"/>
          </w:tcPr>
          <w:p w14:paraId="1C9504A4" w14:textId="77777777" w:rsidR="006A3AAD" w:rsidRPr="005933F6" w:rsidRDefault="006A3AAD" w:rsidP="00C30F9D">
            <w:pPr>
              <w:jc w:val="left"/>
              <w:rPr>
                <w:rFonts w:cs="Arial"/>
                <w:sz w:val="16"/>
                <w:szCs w:val="16"/>
              </w:rPr>
            </w:pPr>
            <w:r w:rsidRPr="005933F6">
              <w:rPr>
                <w:rFonts w:cs="Arial"/>
                <w:sz w:val="16"/>
                <w:szCs w:val="16"/>
              </w:rPr>
              <w:t>Polen</w:t>
            </w:r>
          </w:p>
        </w:tc>
        <w:tc>
          <w:tcPr>
            <w:tcW w:w="1843" w:type="dxa"/>
          </w:tcPr>
          <w:p w14:paraId="1BDFC5FF" w14:textId="77777777" w:rsidR="006A3AAD" w:rsidRPr="005933F6" w:rsidRDefault="006A3AAD" w:rsidP="00C30F9D">
            <w:pPr>
              <w:jc w:val="left"/>
              <w:rPr>
                <w:rFonts w:cs="Arial"/>
                <w:sz w:val="16"/>
                <w:szCs w:val="16"/>
              </w:rPr>
            </w:pPr>
            <w:r w:rsidRPr="005933F6">
              <w:rPr>
                <w:rFonts w:cs="Arial"/>
                <w:sz w:val="16"/>
                <w:szCs w:val="16"/>
              </w:rPr>
              <w:t>CPVO (EU Mitgliedstaaten), BSA</w:t>
            </w:r>
          </w:p>
        </w:tc>
        <w:tc>
          <w:tcPr>
            <w:tcW w:w="3685" w:type="dxa"/>
          </w:tcPr>
          <w:p w14:paraId="72BB86E0" w14:textId="77777777" w:rsidR="006A3AAD" w:rsidRPr="005933F6" w:rsidRDefault="006A3AAD" w:rsidP="00C30F9D">
            <w:pPr>
              <w:jc w:val="left"/>
              <w:rPr>
                <w:rFonts w:cs="Arial"/>
                <w:sz w:val="16"/>
                <w:szCs w:val="16"/>
              </w:rPr>
            </w:pPr>
            <w:r w:rsidRPr="005933F6">
              <w:rPr>
                <w:rFonts w:cs="Arial"/>
                <w:sz w:val="16"/>
                <w:szCs w:val="16"/>
              </w:rPr>
              <w:t>CPVO Maize Workshop</w:t>
            </w:r>
          </w:p>
        </w:tc>
        <w:tc>
          <w:tcPr>
            <w:tcW w:w="2840" w:type="dxa"/>
          </w:tcPr>
          <w:p w14:paraId="1F3224E8" w14:textId="77777777" w:rsidR="006A3AAD" w:rsidRPr="005933F6" w:rsidRDefault="006A3AAD" w:rsidP="00C30F9D">
            <w:pPr>
              <w:jc w:val="left"/>
              <w:rPr>
                <w:rFonts w:cs="Arial"/>
                <w:sz w:val="16"/>
                <w:szCs w:val="16"/>
              </w:rPr>
            </w:pPr>
            <w:r w:rsidRPr="005933F6">
              <w:rPr>
                <w:rFonts w:cs="Arial"/>
                <w:sz w:val="16"/>
                <w:szCs w:val="16"/>
              </w:rPr>
              <w:t>Polen</w:t>
            </w:r>
          </w:p>
        </w:tc>
        <w:tc>
          <w:tcPr>
            <w:tcW w:w="2263" w:type="dxa"/>
          </w:tcPr>
          <w:p w14:paraId="61BE908D" w14:textId="77777777" w:rsidR="006A3AAD" w:rsidRPr="005933F6" w:rsidRDefault="006A3AAD" w:rsidP="00C30F9D">
            <w:pPr>
              <w:jc w:val="left"/>
              <w:rPr>
                <w:rFonts w:cs="Arial"/>
                <w:sz w:val="16"/>
                <w:szCs w:val="16"/>
              </w:rPr>
            </w:pPr>
          </w:p>
        </w:tc>
      </w:tr>
      <w:tr w:rsidR="006A3AAD" w:rsidRPr="005173E1" w14:paraId="06ECF7D6" w14:textId="77777777" w:rsidTr="00C30F9D">
        <w:trPr>
          <w:cantSplit/>
        </w:trPr>
        <w:tc>
          <w:tcPr>
            <w:tcW w:w="2407" w:type="dxa"/>
          </w:tcPr>
          <w:p w14:paraId="62F6FB32" w14:textId="77777777" w:rsidR="006A3AAD" w:rsidRPr="005933F6" w:rsidRDefault="006A3AAD" w:rsidP="00C30F9D">
            <w:pPr>
              <w:jc w:val="left"/>
              <w:rPr>
                <w:rFonts w:cs="Arial"/>
                <w:sz w:val="16"/>
                <w:szCs w:val="16"/>
              </w:rPr>
            </w:pPr>
            <w:r w:rsidRPr="005933F6">
              <w:rPr>
                <w:rFonts w:cs="Arial"/>
                <w:sz w:val="16"/>
                <w:szCs w:val="16"/>
              </w:rPr>
              <w:t>Fachlicher Austausch</w:t>
            </w:r>
          </w:p>
        </w:tc>
        <w:tc>
          <w:tcPr>
            <w:tcW w:w="724" w:type="dxa"/>
          </w:tcPr>
          <w:p w14:paraId="380F935E" w14:textId="77777777" w:rsidR="006A3AAD" w:rsidRPr="005933F6" w:rsidRDefault="006A3AAD" w:rsidP="00C30F9D">
            <w:pPr>
              <w:jc w:val="left"/>
              <w:rPr>
                <w:rFonts w:cs="Arial"/>
                <w:sz w:val="16"/>
                <w:szCs w:val="16"/>
              </w:rPr>
            </w:pPr>
            <w:r w:rsidRPr="005933F6">
              <w:rPr>
                <w:rFonts w:cs="Arial"/>
                <w:sz w:val="16"/>
                <w:szCs w:val="16"/>
              </w:rPr>
              <w:t>10/2022</w:t>
            </w:r>
          </w:p>
        </w:tc>
        <w:tc>
          <w:tcPr>
            <w:tcW w:w="1119" w:type="dxa"/>
          </w:tcPr>
          <w:p w14:paraId="48954DB2"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22D2899F" w14:textId="77777777" w:rsidR="006A3AAD" w:rsidRPr="005933F6" w:rsidRDefault="006A3AAD" w:rsidP="00C30F9D">
            <w:pPr>
              <w:jc w:val="left"/>
              <w:rPr>
                <w:rFonts w:cs="Arial"/>
                <w:sz w:val="16"/>
                <w:szCs w:val="16"/>
              </w:rPr>
            </w:pPr>
            <w:r w:rsidRPr="005933F6">
              <w:rPr>
                <w:rFonts w:cs="Arial"/>
                <w:sz w:val="16"/>
                <w:szCs w:val="16"/>
              </w:rPr>
              <w:t>GIZ, BSA</w:t>
            </w:r>
          </w:p>
        </w:tc>
        <w:tc>
          <w:tcPr>
            <w:tcW w:w="3685" w:type="dxa"/>
          </w:tcPr>
          <w:p w14:paraId="01F65815" w14:textId="77777777" w:rsidR="006A3AAD" w:rsidRPr="005933F6" w:rsidRDefault="006A3AAD" w:rsidP="00C30F9D">
            <w:pPr>
              <w:jc w:val="left"/>
              <w:rPr>
                <w:rFonts w:cs="Arial"/>
                <w:sz w:val="16"/>
                <w:szCs w:val="16"/>
              </w:rPr>
            </w:pPr>
            <w:r w:rsidRPr="005933F6">
              <w:rPr>
                <w:rFonts w:cs="Arial"/>
                <w:sz w:val="16"/>
                <w:szCs w:val="16"/>
              </w:rPr>
              <w:t>Fachlicher Austausch zum Sorten- und Saatgutwesen in DE und ETH</w:t>
            </w:r>
          </w:p>
        </w:tc>
        <w:tc>
          <w:tcPr>
            <w:tcW w:w="2840" w:type="dxa"/>
          </w:tcPr>
          <w:p w14:paraId="629DBD66" w14:textId="77777777" w:rsidR="006A3AAD" w:rsidRPr="005933F6" w:rsidRDefault="006A3AAD" w:rsidP="00C30F9D">
            <w:pPr>
              <w:jc w:val="left"/>
              <w:rPr>
                <w:rFonts w:cs="Arial"/>
                <w:sz w:val="16"/>
                <w:szCs w:val="16"/>
              </w:rPr>
            </w:pPr>
            <w:r w:rsidRPr="005933F6">
              <w:rPr>
                <w:rFonts w:cs="Arial"/>
                <w:sz w:val="16"/>
                <w:szCs w:val="16"/>
              </w:rPr>
              <w:t>Äthiopien</w:t>
            </w:r>
          </w:p>
        </w:tc>
        <w:tc>
          <w:tcPr>
            <w:tcW w:w="2263" w:type="dxa"/>
          </w:tcPr>
          <w:p w14:paraId="5877CC7F" w14:textId="77777777" w:rsidR="006A3AAD" w:rsidRPr="005933F6" w:rsidRDefault="006A3AAD" w:rsidP="00C30F9D">
            <w:pPr>
              <w:jc w:val="left"/>
              <w:rPr>
                <w:rFonts w:cs="Arial"/>
                <w:sz w:val="16"/>
                <w:szCs w:val="16"/>
              </w:rPr>
            </w:pPr>
          </w:p>
        </w:tc>
      </w:tr>
      <w:tr w:rsidR="006A3AAD" w:rsidRPr="005173E1" w14:paraId="0389D33C" w14:textId="77777777" w:rsidTr="00C30F9D">
        <w:trPr>
          <w:cantSplit/>
        </w:trPr>
        <w:tc>
          <w:tcPr>
            <w:tcW w:w="2407" w:type="dxa"/>
          </w:tcPr>
          <w:p w14:paraId="4BEC7C19" w14:textId="77777777" w:rsidR="006A3AAD" w:rsidRPr="005933F6" w:rsidRDefault="006A3AAD" w:rsidP="00C30F9D">
            <w:pPr>
              <w:jc w:val="left"/>
              <w:rPr>
                <w:rFonts w:cs="Arial"/>
                <w:sz w:val="16"/>
                <w:szCs w:val="16"/>
              </w:rPr>
            </w:pPr>
            <w:r w:rsidRPr="005933F6">
              <w:rPr>
                <w:rFonts w:cs="Arial"/>
                <w:sz w:val="16"/>
                <w:szCs w:val="16"/>
              </w:rPr>
              <w:t>Vortrag</w:t>
            </w:r>
          </w:p>
        </w:tc>
        <w:tc>
          <w:tcPr>
            <w:tcW w:w="724" w:type="dxa"/>
          </w:tcPr>
          <w:p w14:paraId="4A619D21" w14:textId="77777777" w:rsidR="006A3AAD" w:rsidRPr="005933F6" w:rsidRDefault="006A3AAD" w:rsidP="00C30F9D">
            <w:pPr>
              <w:jc w:val="left"/>
              <w:rPr>
                <w:rFonts w:cs="Arial"/>
                <w:sz w:val="16"/>
                <w:szCs w:val="16"/>
              </w:rPr>
            </w:pPr>
            <w:r w:rsidRPr="005933F6">
              <w:rPr>
                <w:rFonts w:cs="Arial"/>
                <w:sz w:val="16"/>
                <w:szCs w:val="16"/>
              </w:rPr>
              <w:t>11/2022</w:t>
            </w:r>
          </w:p>
        </w:tc>
        <w:tc>
          <w:tcPr>
            <w:tcW w:w="1119" w:type="dxa"/>
          </w:tcPr>
          <w:p w14:paraId="1DD5D0DC"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2EBA418B" w14:textId="77777777" w:rsidR="006A3AAD" w:rsidRPr="005933F6" w:rsidRDefault="006A3AAD" w:rsidP="00C30F9D">
            <w:pPr>
              <w:jc w:val="left"/>
              <w:rPr>
                <w:rFonts w:cs="Arial"/>
                <w:sz w:val="16"/>
                <w:szCs w:val="16"/>
              </w:rPr>
            </w:pPr>
            <w:r w:rsidRPr="005933F6">
              <w:rPr>
                <w:rFonts w:cs="Arial"/>
                <w:sz w:val="16"/>
                <w:szCs w:val="16"/>
              </w:rPr>
              <w:t>GIZ, BSA</w:t>
            </w:r>
          </w:p>
        </w:tc>
        <w:tc>
          <w:tcPr>
            <w:tcW w:w="3685" w:type="dxa"/>
          </w:tcPr>
          <w:p w14:paraId="3A713F1F" w14:textId="77777777" w:rsidR="006A3AAD" w:rsidRPr="005933F6" w:rsidRDefault="006A3AAD" w:rsidP="00C30F9D">
            <w:pPr>
              <w:jc w:val="left"/>
              <w:rPr>
                <w:rFonts w:cs="Arial"/>
                <w:sz w:val="16"/>
                <w:szCs w:val="16"/>
              </w:rPr>
            </w:pPr>
            <w:r w:rsidRPr="005933F6">
              <w:rPr>
                <w:rFonts w:cs="Arial"/>
                <w:sz w:val="16"/>
                <w:szCs w:val="16"/>
              </w:rPr>
              <w:t>Fachlicher Austausch zum Sorten- und Saatgutwesen in DE mit besonderem Fokus auf Rebe</w:t>
            </w:r>
          </w:p>
        </w:tc>
        <w:tc>
          <w:tcPr>
            <w:tcW w:w="2840" w:type="dxa"/>
          </w:tcPr>
          <w:p w14:paraId="258F68FF" w14:textId="77777777" w:rsidR="006A3AAD" w:rsidRPr="005933F6" w:rsidRDefault="006A3AAD" w:rsidP="00C30F9D">
            <w:pPr>
              <w:jc w:val="left"/>
              <w:rPr>
                <w:rFonts w:cs="Arial"/>
                <w:sz w:val="16"/>
                <w:szCs w:val="16"/>
              </w:rPr>
            </w:pPr>
            <w:r w:rsidRPr="005933F6">
              <w:rPr>
                <w:rFonts w:cs="Arial"/>
                <w:sz w:val="16"/>
                <w:szCs w:val="16"/>
              </w:rPr>
              <w:t>Armenien</w:t>
            </w:r>
          </w:p>
        </w:tc>
        <w:tc>
          <w:tcPr>
            <w:tcW w:w="2263" w:type="dxa"/>
          </w:tcPr>
          <w:p w14:paraId="09BBC539" w14:textId="77777777" w:rsidR="006A3AAD" w:rsidRPr="005933F6" w:rsidRDefault="006A3AAD" w:rsidP="00C30F9D">
            <w:pPr>
              <w:jc w:val="left"/>
              <w:rPr>
                <w:rFonts w:cs="Arial"/>
                <w:sz w:val="16"/>
                <w:szCs w:val="16"/>
              </w:rPr>
            </w:pPr>
          </w:p>
        </w:tc>
      </w:tr>
      <w:tr w:rsidR="006A3AAD" w:rsidRPr="005173E1" w14:paraId="0D0E884D" w14:textId="77777777" w:rsidTr="00C30F9D">
        <w:trPr>
          <w:cantSplit/>
        </w:trPr>
        <w:tc>
          <w:tcPr>
            <w:tcW w:w="2407" w:type="dxa"/>
          </w:tcPr>
          <w:p w14:paraId="597948C3" w14:textId="77777777" w:rsidR="006A3AAD" w:rsidRPr="005933F6" w:rsidRDefault="006A3AAD" w:rsidP="00C30F9D">
            <w:pPr>
              <w:jc w:val="left"/>
              <w:rPr>
                <w:rFonts w:cs="Arial"/>
                <w:sz w:val="16"/>
                <w:szCs w:val="16"/>
              </w:rPr>
            </w:pPr>
            <w:r w:rsidRPr="005933F6">
              <w:rPr>
                <w:rFonts w:cs="Arial"/>
                <w:sz w:val="16"/>
                <w:szCs w:val="16"/>
              </w:rPr>
              <w:t xml:space="preserve">Vortrag </w:t>
            </w:r>
          </w:p>
        </w:tc>
        <w:tc>
          <w:tcPr>
            <w:tcW w:w="724" w:type="dxa"/>
          </w:tcPr>
          <w:p w14:paraId="1CE941E0" w14:textId="77777777" w:rsidR="006A3AAD" w:rsidRPr="005933F6" w:rsidRDefault="006A3AAD" w:rsidP="00C30F9D">
            <w:pPr>
              <w:jc w:val="left"/>
              <w:rPr>
                <w:rFonts w:cs="Arial"/>
                <w:sz w:val="16"/>
                <w:szCs w:val="16"/>
              </w:rPr>
            </w:pPr>
            <w:r w:rsidRPr="005933F6">
              <w:rPr>
                <w:rFonts w:cs="Arial"/>
                <w:sz w:val="16"/>
                <w:szCs w:val="16"/>
              </w:rPr>
              <w:t>12/2022</w:t>
            </w:r>
          </w:p>
        </w:tc>
        <w:tc>
          <w:tcPr>
            <w:tcW w:w="1119" w:type="dxa"/>
          </w:tcPr>
          <w:p w14:paraId="3B90EA78"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417FCAFF" w14:textId="77777777" w:rsidR="006A3AAD" w:rsidRPr="005933F6" w:rsidRDefault="006A3AAD" w:rsidP="00C30F9D">
            <w:pPr>
              <w:jc w:val="left"/>
              <w:rPr>
                <w:rFonts w:cs="Arial"/>
                <w:sz w:val="16"/>
                <w:szCs w:val="16"/>
              </w:rPr>
            </w:pPr>
            <w:r w:rsidRPr="005933F6">
              <w:rPr>
                <w:rFonts w:cs="Arial"/>
                <w:sz w:val="16"/>
                <w:szCs w:val="16"/>
              </w:rPr>
              <w:t>GIZ, BSA</w:t>
            </w:r>
          </w:p>
        </w:tc>
        <w:tc>
          <w:tcPr>
            <w:tcW w:w="3685" w:type="dxa"/>
          </w:tcPr>
          <w:p w14:paraId="5E9B6476" w14:textId="77777777" w:rsidR="006A3AAD" w:rsidRPr="005933F6" w:rsidRDefault="006A3AAD" w:rsidP="00C30F9D">
            <w:pPr>
              <w:jc w:val="left"/>
              <w:rPr>
                <w:rFonts w:cs="Arial"/>
                <w:sz w:val="16"/>
                <w:szCs w:val="16"/>
              </w:rPr>
            </w:pPr>
            <w:r w:rsidRPr="005933F6">
              <w:rPr>
                <w:rFonts w:cs="Arial"/>
                <w:sz w:val="16"/>
                <w:szCs w:val="16"/>
              </w:rPr>
              <w:t>Fachlicher Austausch zum Sorten- und Saatgutwesen in DE</w:t>
            </w:r>
          </w:p>
        </w:tc>
        <w:tc>
          <w:tcPr>
            <w:tcW w:w="2840" w:type="dxa"/>
          </w:tcPr>
          <w:p w14:paraId="0A69FC2E" w14:textId="77777777" w:rsidR="006A3AAD" w:rsidRPr="005933F6" w:rsidRDefault="006A3AAD" w:rsidP="00C30F9D">
            <w:pPr>
              <w:jc w:val="left"/>
              <w:rPr>
                <w:rFonts w:cs="Arial"/>
                <w:sz w:val="16"/>
                <w:szCs w:val="16"/>
              </w:rPr>
            </w:pPr>
            <w:r w:rsidRPr="005933F6">
              <w:rPr>
                <w:rFonts w:cs="Arial"/>
                <w:sz w:val="16"/>
                <w:szCs w:val="16"/>
              </w:rPr>
              <w:t>Kasachstan</w:t>
            </w:r>
          </w:p>
          <w:p w14:paraId="1EFC271C" w14:textId="77777777" w:rsidR="006A3AAD" w:rsidRPr="005933F6" w:rsidRDefault="006A3AAD" w:rsidP="00C30F9D">
            <w:pPr>
              <w:jc w:val="left"/>
              <w:rPr>
                <w:rFonts w:cs="Arial"/>
                <w:sz w:val="16"/>
                <w:szCs w:val="16"/>
              </w:rPr>
            </w:pPr>
            <w:r w:rsidRPr="005933F6">
              <w:rPr>
                <w:rFonts w:cs="Arial"/>
                <w:sz w:val="16"/>
                <w:szCs w:val="16"/>
              </w:rPr>
              <w:t>(15 Teilnehmer)</w:t>
            </w:r>
          </w:p>
        </w:tc>
        <w:tc>
          <w:tcPr>
            <w:tcW w:w="2263" w:type="dxa"/>
          </w:tcPr>
          <w:p w14:paraId="4A753211" w14:textId="77777777" w:rsidR="006A3AAD" w:rsidRPr="005933F6" w:rsidRDefault="006A3AAD" w:rsidP="00C30F9D">
            <w:pPr>
              <w:jc w:val="left"/>
              <w:rPr>
                <w:rFonts w:cs="Arial"/>
                <w:sz w:val="16"/>
                <w:szCs w:val="16"/>
              </w:rPr>
            </w:pPr>
          </w:p>
        </w:tc>
      </w:tr>
      <w:tr w:rsidR="006A3AAD" w:rsidRPr="005173E1" w14:paraId="21AAAE0E" w14:textId="77777777" w:rsidTr="00C30F9D">
        <w:trPr>
          <w:cantSplit/>
        </w:trPr>
        <w:tc>
          <w:tcPr>
            <w:tcW w:w="2407" w:type="dxa"/>
          </w:tcPr>
          <w:p w14:paraId="018FA873" w14:textId="77777777" w:rsidR="006A3AAD" w:rsidRPr="005933F6" w:rsidRDefault="006A3AAD" w:rsidP="00C30F9D">
            <w:pPr>
              <w:jc w:val="left"/>
              <w:rPr>
                <w:rFonts w:cs="Arial"/>
                <w:sz w:val="16"/>
                <w:szCs w:val="16"/>
              </w:rPr>
            </w:pPr>
            <w:r w:rsidRPr="005933F6">
              <w:rPr>
                <w:rFonts w:cs="Arial"/>
                <w:sz w:val="16"/>
                <w:szCs w:val="16"/>
              </w:rPr>
              <w:t xml:space="preserve">Vortrag </w:t>
            </w:r>
          </w:p>
        </w:tc>
        <w:tc>
          <w:tcPr>
            <w:tcW w:w="724" w:type="dxa"/>
          </w:tcPr>
          <w:p w14:paraId="7F3DF946" w14:textId="77777777" w:rsidR="006A3AAD" w:rsidRPr="005933F6" w:rsidRDefault="006A3AAD" w:rsidP="00C30F9D">
            <w:pPr>
              <w:jc w:val="left"/>
              <w:rPr>
                <w:rFonts w:cs="Arial"/>
                <w:sz w:val="16"/>
                <w:szCs w:val="16"/>
              </w:rPr>
            </w:pPr>
            <w:r w:rsidRPr="005933F6">
              <w:rPr>
                <w:rFonts w:cs="Arial"/>
                <w:sz w:val="16"/>
                <w:szCs w:val="16"/>
              </w:rPr>
              <w:t>12/2022</w:t>
            </w:r>
          </w:p>
        </w:tc>
        <w:tc>
          <w:tcPr>
            <w:tcW w:w="1119" w:type="dxa"/>
          </w:tcPr>
          <w:p w14:paraId="0790E6CC" w14:textId="77777777" w:rsidR="006A3AAD" w:rsidRPr="005933F6" w:rsidRDefault="006A3AAD" w:rsidP="00C30F9D">
            <w:pPr>
              <w:jc w:val="left"/>
              <w:rPr>
                <w:rFonts w:cs="Arial"/>
                <w:sz w:val="16"/>
                <w:szCs w:val="16"/>
              </w:rPr>
            </w:pPr>
            <w:r w:rsidRPr="005933F6">
              <w:rPr>
                <w:rFonts w:cs="Arial"/>
                <w:sz w:val="16"/>
                <w:szCs w:val="16"/>
              </w:rPr>
              <w:t>online</w:t>
            </w:r>
          </w:p>
        </w:tc>
        <w:tc>
          <w:tcPr>
            <w:tcW w:w="1843" w:type="dxa"/>
          </w:tcPr>
          <w:p w14:paraId="5CF2E292" w14:textId="77777777" w:rsidR="006A3AAD" w:rsidRPr="005933F6" w:rsidRDefault="006A3AAD" w:rsidP="00C30F9D">
            <w:pPr>
              <w:jc w:val="left"/>
              <w:rPr>
                <w:rFonts w:cs="Arial"/>
                <w:sz w:val="16"/>
                <w:szCs w:val="16"/>
              </w:rPr>
            </w:pPr>
            <w:r w:rsidRPr="005933F6">
              <w:rPr>
                <w:rFonts w:cs="Arial"/>
                <w:sz w:val="16"/>
                <w:szCs w:val="16"/>
              </w:rPr>
              <w:t>GIZ, BSA</w:t>
            </w:r>
          </w:p>
        </w:tc>
        <w:tc>
          <w:tcPr>
            <w:tcW w:w="3685" w:type="dxa"/>
          </w:tcPr>
          <w:p w14:paraId="6CEAD94C" w14:textId="77777777" w:rsidR="006A3AAD" w:rsidRPr="005933F6" w:rsidRDefault="006A3AAD" w:rsidP="00C30F9D">
            <w:pPr>
              <w:jc w:val="left"/>
              <w:rPr>
                <w:rFonts w:cs="Arial"/>
                <w:sz w:val="16"/>
                <w:szCs w:val="16"/>
              </w:rPr>
            </w:pPr>
            <w:r w:rsidRPr="005933F6">
              <w:rPr>
                <w:rFonts w:cs="Arial"/>
                <w:sz w:val="16"/>
                <w:szCs w:val="16"/>
              </w:rPr>
              <w:t>Fachlicher Austausch zum Sorten- und Saatgutwesen in DE</w:t>
            </w:r>
          </w:p>
        </w:tc>
        <w:tc>
          <w:tcPr>
            <w:tcW w:w="2840" w:type="dxa"/>
          </w:tcPr>
          <w:p w14:paraId="089F25C9" w14:textId="77777777" w:rsidR="006A3AAD" w:rsidRPr="005933F6" w:rsidRDefault="006A3AAD" w:rsidP="00C30F9D">
            <w:pPr>
              <w:jc w:val="left"/>
              <w:rPr>
                <w:rFonts w:cs="Arial"/>
                <w:sz w:val="16"/>
                <w:szCs w:val="16"/>
              </w:rPr>
            </w:pPr>
            <w:r w:rsidRPr="005933F6">
              <w:rPr>
                <w:rFonts w:cs="Arial"/>
                <w:sz w:val="16"/>
                <w:szCs w:val="16"/>
              </w:rPr>
              <w:t>Kasachstan</w:t>
            </w:r>
          </w:p>
          <w:p w14:paraId="5C793628" w14:textId="77777777" w:rsidR="006A3AAD" w:rsidRPr="005933F6" w:rsidRDefault="006A3AAD" w:rsidP="00C30F9D">
            <w:pPr>
              <w:jc w:val="left"/>
              <w:rPr>
                <w:rFonts w:cs="Arial"/>
                <w:sz w:val="16"/>
                <w:szCs w:val="16"/>
              </w:rPr>
            </w:pPr>
            <w:r w:rsidRPr="005933F6">
              <w:rPr>
                <w:rFonts w:cs="Arial"/>
                <w:sz w:val="16"/>
                <w:szCs w:val="16"/>
              </w:rPr>
              <w:t>(30 Teilnehmer)</w:t>
            </w:r>
          </w:p>
        </w:tc>
        <w:tc>
          <w:tcPr>
            <w:tcW w:w="2263" w:type="dxa"/>
          </w:tcPr>
          <w:p w14:paraId="311F87D4" w14:textId="77777777" w:rsidR="006A3AAD" w:rsidRPr="005933F6" w:rsidRDefault="006A3AAD" w:rsidP="00C30F9D">
            <w:pPr>
              <w:jc w:val="left"/>
              <w:rPr>
                <w:rFonts w:cs="Arial"/>
                <w:sz w:val="16"/>
                <w:szCs w:val="16"/>
              </w:rPr>
            </w:pPr>
          </w:p>
        </w:tc>
      </w:tr>
      <w:tr w:rsidR="006A3AAD" w:rsidRPr="005173E1" w14:paraId="45A3A7A3" w14:textId="77777777" w:rsidTr="00C30F9D">
        <w:trPr>
          <w:cantSplit/>
        </w:trPr>
        <w:tc>
          <w:tcPr>
            <w:tcW w:w="2407" w:type="dxa"/>
          </w:tcPr>
          <w:p w14:paraId="2BE400FD" w14:textId="77777777" w:rsidR="006A3AAD" w:rsidRPr="005933F6" w:rsidRDefault="006A3AAD" w:rsidP="00C30F9D">
            <w:pPr>
              <w:jc w:val="left"/>
              <w:rPr>
                <w:rFonts w:cs="Arial"/>
                <w:sz w:val="16"/>
                <w:szCs w:val="16"/>
              </w:rPr>
            </w:pPr>
            <w:r w:rsidRPr="005933F6">
              <w:rPr>
                <w:rFonts w:cs="Arial"/>
                <w:sz w:val="16"/>
                <w:szCs w:val="16"/>
              </w:rPr>
              <w:t>Fachlicher Austausch</w:t>
            </w:r>
          </w:p>
        </w:tc>
        <w:tc>
          <w:tcPr>
            <w:tcW w:w="724" w:type="dxa"/>
          </w:tcPr>
          <w:p w14:paraId="6506C2B3" w14:textId="77777777" w:rsidR="006A3AAD" w:rsidRPr="005933F6" w:rsidRDefault="006A3AAD" w:rsidP="00C30F9D">
            <w:pPr>
              <w:jc w:val="left"/>
              <w:rPr>
                <w:rFonts w:cs="Arial"/>
                <w:sz w:val="16"/>
                <w:szCs w:val="16"/>
              </w:rPr>
            </w:pPr>
            <w:r w:rsidRPr="005933F6">
              <w:rPr>
                <w:rFonts w:cs="Arial"/>
                <w:sz w:val="16"/>
                <w:szCs w:val="16"/>
              </w:rPr>
              <w:t>01/2023</w:t>
            </w:r>
          </w:p>
        </w:tc>
        <w:tc>
          <w:tcPr>
            <w:tcW w:w="1119" w:type="dxa"/>
          </w:tcPr>
          <w:p w14:paraId="4F68303B"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6B0F3427" w14:textId="77777777" w:rsidR="006A3AAD" w:rsidRPr="005933F6" w:rsidRDefault="006A3AAD" w:rsidP="00C30F9D">
            <w:pPr>
              <w:jc w:val="left"/>
              <w:rPr>
                <w:rFonts w:cs="Arial"/>
                <w:sz w:val="16"/>
                <w:szCs w:val="16"/>
              </w:rPr>
            </w:pPr>
            <w:r w:rsidRPr="005933F6">
              <w:rPr>
                <w:rFonts w:cs="Arial"/>
                <w:sz w:val="16"/>
                <w:szCs w:val="16"/>
              </w:rPr>
              <w:t>BMEL, GFA Consulting,</w:t>
            </w:r>
          </w:p>
          <w:p w14:paraId="4150AB83" w14:textId="77777777" w:rsidR="006A3AAD" w:rsidRPr="005933F6" w:rsidRDefault="006A3AAD" w:rsidP="00C30F9D">
            <w:pPr>
              <w:jc w:val="left"/>
              <w:rPr>
                <w:rFonts w:cs="Arial"/>
                <w:sz w:val="16"/>
                <w:szCs w:val="16"/>
              </w:rPr>
            </w:pPr>
            <w:r w:rsidRPr="005933F6">
              <w:rPr>
                <w:rFonts w:cs="Arial"/>
                <w:sz w:val="16"/>
                <w:szCs w:val="16"/>
              </w:rPr>
              <w:t>BSA</w:t>
            </w:r>
          </w:p>
        </w:tc>
        <w:tc>
          <w:tcPr>
            <w:tcW w:w="3685" w:type="dxa"/>
          </w:tcPr>
          <w:p w14:paraId="4ED0976E" w14:textId="77777777" w:rsidR="006A3AAD" w:rsidRPr="005933F6" w:rsidRDefault="006A3AAD" w:rsidP="00C30F9D">
            <w:pPr>
              <w:jc w:val="left"/>
              <w:rPr>
                <w:rFonts w:cs="Arial"/>
                <w:sz w:val="16"/>
                <w:szCs w:val="16"/>
              </w:rPr>
            </w:pPr>
            <w:r w:rsidRPr="005933F6">
              <w:rPr>
                <w:rFonts w:cs="Arial"/>
                <w:sz w:val="16"/>
                <w:szCs w:val="16"/>
              </w:rPr>
              <w:t>Fachlicher Austausch über internationale Projekte</w:t>
            </w:r>
          </w:p>
        </w:tc>
        <w:tc>
          <w:tcPr>
            <w:tcW w:w="2840" w:type="dxa"/>
          </w:tcPr>
          <w:p w14:paraId="334E44CF" w14:textId="77777777" w:rsidR="006A3AAD" w:rsidRPr="005933F6" w:rsidRDefault="006A3AAD" w:rsidP="00C30F9D">
            <w:pPr>
              <w:jc w:val="left"/>
              <w:rPr>
                <w:rFonts w:cs="Arial"/>
                <w:sz w:val="16"/>
                <w:szCs w:val="16"/>
              </w:rPr>
            </w:pPr>
            <w:r w:rsidRPr="005933F6">
              <w:rPr>
                <w:rFonts w:cs="Arial"/>
                <w:sz w:val="16"/>
                <w:szCs w:val="16"/>
              </w:rPr>
              <w:t>Kasachstan + Usbekistan</w:t>
            </w:r>
          </w:p>
        </w:tc>
        <w:tc>
          <w:tcPr>
            <w:tcW w:w="2263" w:type="dxa"/>
          </w:tcPr>
          <w:p w14:paraId="5CB2779D" w14:textId="77777777" w:rsidR="006A3AAD" w:rsidRPr="005933F6" w:rsidRDefault="006A3AAD" w:rsidP="00C30F9D">
            <w:pPr>
              <w:jc w:val="left"/>
              <w:rPr>
                <w:rFonts w:cs="Arial"/>
                <w:sz w:val="16"/>
                <w:szCs w:val="16"/>
              </w:rPr>
            </w:pPr>
            <w:r w:rsidRPr="005933F6">
              <w:rPr>
                <w:rFonts w:cs="Arial"/>
                <w:sz w:val="16"/>
                <w:szCs w:val="16"/>
              </w:rPr>
              <w:t>GFFA (Messe) &amp; Internationale Grüne Woche (Messe)</w:t>
            </w:r>
          </w:p>
        </w:tc>
      </w:tr>
      <w:tr w:rsidR="006A3AAD" w:rsidRPr="005173E1" w14:paraId="074DBA90" w14:textId="77777777" w:rsidTr="00C30F9D">
        <w:tblPrEx>
          <w:tblLook w:val="04A0" w:firstRow="1" w:lastRow="0" w:firstColumn="1" w:lastColumn="0" w:noHBand="0" w:noVBand="1"/>
        </w:tblPrEx>
        <w:trPr>
          <w:cantSplit/>
        </w:trPr>
        <w:tc>
          <w:tcPr>
            <w:tcW w:w="2407" w:type="dxa"/>
          </w:tcPr>
          <w:p w14:paraId="3262FDBE" w14:textId="77777777" w:rsidR="006A3AAD" w:rsidRPr="005933F6" w:rsidRDefault="006A3AAD" w:rsidP="00C30F9D">
            <w:pPr>
              <w:jc w:val="left"/>
              <w:rPr>
                <w:rFonts w:cs="Arial"/>
                <w:sz w:val="16"/>
                <w:szCs w:val="16"/>
              </w:rPr>
            </w:pPr>
            <w:r w:rsidRPr="005933F6">
              <w:rPr>
                <w:rFonts w:cs="Arial"/>
                <w:sz w:val="16"/>
                <w:szCs w:val="16"/>
              </w:rPr>
              <w:t>Fachlicher Austausch</w:t>
            </w:r>
          </w:p>
        </w:tc>
        <w:tc>
          <w:tcPr>
            <w:tcW w:w="724" w:type="dxa"/>
          </w:tcPr>
          <w:p w14:paraId="1AAD4096" w14:textId="77777777" w:rsidR="006A3AAD" w:rsidRPr="005933F6" w:rsidRDefault="006A3AAD" w:rsidP="00C30F9D">
            <w:pPr>
              <w:jc w:val="left"/>
              <w:rPr>
                <w:rFonts w:cs="Arial"/>
                <w:sz w:val="16"/>
                <w:szCs w:val="16"/>
              </w:rPr>
            </w:pPr>
            <w:r w:rsidRPr="005933F6">
              <w:rPr>
                <w:rFonts w:cs="Arial"/>
                <w:sz w:val="16"/>
                <w:szCs w:val="16"/>
              </w:rPr>
              <w:t>01/2023</w:t>
            </w:r>
          </w:p>
        </w:tc>
        <w:tc>
          <w:tcPr>
            <w:tcW w:w="1119" w:type="dxa"/>
          </w:tcPr>
          <w:p w14:paraId="039376D0"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4B41C581" w14:textId="77777777" w:rsidR="006A3AAD" w:rsidRPr="005933F6" w:rsidRDefault="006A3AAD" w:rsidP="00C30F9D">
            <w:pPr>
              <w:jc w:val="left"/>
              <w:rPr>
                <w:rFonts w:cs="Arial"/>
                <w:sz w:val="16"/>
                <w:szCs w:val="16"/>
              </w:rPr>
            </w:pPr>
            <w:r w:rsidRPr="005933F6">
              <w:rPr>
                <w:rFonts w:cs="Arial"/>
                <w:sz w:val="16"/>
                <w:szCs w:val="16"/>
              </w:rPr>
              <w:t>BMEL, BSA</w:t>
            </w:r>
          </w:p>
        </w:tc>
        <w:tc>
          <w:tcPr>
            <w:tcW w:w="3685" w:type="dxa"/>
          </w:tcPr>
          <w:p w14:paraId="3542CBB1" w14:textId="77777777" w:rsidR="006A3AAD" w:rsidRPr="005933F6" w:rsidRDefault="006A3AAD" w:rsidP="00C30F9D">
            <w:pPr>
              <w:jc w:val="left"/>
              <w:rPr>
                <w:rFonts w:cs="Arial"/>
                <w:sz w:val="16"/>
                <w:szCs w:val="16"/>
              </w:rPr>
            </w:pPr>
            <w:r w:rsidRPr="005933F6">
              <w:rPr>
                <w:rFonts w:cs="Arial"/>
                <w:sz w:val="16"/>
                <w:szCs w:val="16"/>
              </w:rPr>
              <w:t>Fachlicher Austausch über internationale Projekte</w:t>
            </w:r>
          </w:p>
        </w:tc>
        <w:tc>
          <w:tcPr>
            <w:tcW w:w="2840" w:type="dxa"/>
          </w:tcPr>
          <w:p w14:paraId="5E8D195E" w14:textId="77777777" w:rsidR="006A3AAD" w:rsidRPr="005933F6" w:rsidRDefault="006A3AAD" w:rsidP="00C30F9D">
            <w:pPr>
              <w:jc w:val="left"/>
              <w:rPr>
                <w:rFonts w:cs="Arial"/>
                <w:sz w:val="16"/>
                <w:szCs w:val="16"/>
              </w:rPr>
            </w:pPr>
            <w:r w:rsidRPr="005933F6">
              <w:rPr>
                <w:rFonts w:cs="Arial"/>
                <w:sz w:val="16"/>
                <w:szCs w:val="16"/>
              </w:rPr>
              <w:t>Verschiedene</w:t>
            </w:r>
          </w:p>
        </w:tc>
        <w:tc>
          <w:tcPr>
            <w:tcW w:w="2263" w:type="dxa"/>
          </w:tcPr>
          <w:p w14:paraId="661323B5" w14:textId="77777777" w:rsidR="006A3AAD" w:rsidRPr="005933F6" w:rsidRDefault="006A3AAD" w:rsidP="00C30F9D">
            <w:pPr>
              <w:jc w:val="left"/>
              <w:rPr>
                <w:rFonts w:cs="Arial"/>
                <w:sz w:val="16"/>
                <w:szCs w:val="16"/>
              </w:rPr>
            </w:pPr>
            <w:r w:rsidRPr="005933F6">
              <w:rPr>
                <w:rFonts w:cs="Arial"/>
                <w:sz w:val="16"/>
                <w:szCs w:val="16"/>
              </w:rPr>
              <w:t>IPM (Messe)</w:t>
            </w:r>
          </w:p>
        </w:tc>
      </w:tr>
      <w:tr w:rsidR="006A3AAD" w:rsidRPr="005173E1" w14:paraId="2A074D08" w14:textId="77777777" w:rsidTr="00C30F9D">
        <w:trPr>
          <w:cantSplit/>
        </w:trPr>
        <w:tc>
          <w:tcPr>
            <w:tcW w:w="2407" w:type="dxa"/>
          </w:tcPr>
          <w:p w14:paraId="4BFAD7B1" w14:textId="77777777" w:rsidR="006A3AAD" w:rsidRPr="005933F6" w:rsidRDefault="006A3AAD" w:rsidP="00C30F9D">
            <w:pPr>
              <w:jc w:val="left"/>
              <w:rPr>
                <w:rFonts w:cs="Arial"/>
                <w:sz w:val="16"/>
                <w:szCs w:val="16"/>
              </w:rPr>
            </w:pPr>
            <w:r w:rsidRPr="005933F6">
              <w:rPr>
                <w:rFonts w:cs="Arial"/>
                <w:sz w:val="16"/>
                <w:szCs w:val="16"/>
              </w:rPr>
              <w:t>Schulung/Vortrag/Besichtigung</w:t>
            </w:r>
          </w:p>
        </w:tc>
        <w:tc>
          <w:tcPr>
            <w:tcW w:w="724" w:type="dxa"/>
          </w:tcPr>
          <w:p w14:paraId="71316FAC" w14:textId="77777777" w:rsidR="006A3AAD" w:rsidRPr="005933F6" w:rsidRDefault="006A3AAD" w:rsidP="00C30F9D">
            <w:pPr>
              <w:jc w:val="left"/>
              <w:rPr>
                <w:rFonts w:cs="Arial"/>
                <w:sz w:val="16"/>
                <w:szCs w:val="16"/>
              </w:rPr>
            </w:pPr>
            <w:r w:rsidRPr="005933F6">
              <w:rPr>
                <w:rFonts w:cs="Arial"/>
                <w:sz w:val="16"/>
                <w:szCs w:val="16"/>
              </w:rPr>
              <w:t>06/2023</w:t>
            </w:r>
          </w:p>
        </w:tc>
        <w:tc>
          <w:tcPr>
            <w:tcW w:w="1119" w:type="dxa"/>
          </w:tcPr>
          <w:p w14:paraId="1096198A"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695E86F1" w14:textId="77777777" w:rsidR="006A3AAD" w:rsidRPr="005933F6" w:rsidRDefault="006A3AAD" w:rsidP="00C30F9D">
            <w:pPr>
              <w:jc w:val="left"/>
              <w:rPr>
                <w:rFonts w:cs="Arial"/>
                <w:sz w:val="16"/>
                <w:szCs w:val="16"/>
              </w:rPr>
            </w:pPr>
            <w:r w:rsidRPr="005933F6">
              <w:rPr>
                <w:rFonts w:cs="Arial"/>
                <w:sz w:val="16"/>
                <w:szCs w:val="16"/>
              </w:rPr>
              <w:t>BSA</w:t>
            </w:r>
          </w:p>
        </w:tc>
        <w:tc>
          <w:tcPr>
            <w:tcW w:w="3685" w:type="dxa"/>
          </w:tcPr>
          <w:p w14:paraId="6A6BB426" w14:textId="77777777" w:rsidR="006A3AAD" w:rsidRPr="005933F6" w:rsidRDefault="006A3AAD" w:rsidP="00C30F9D">
            <w:pPr>
              <w:jc w:val="left"/>
              <w:rPr>
                <w:rFonts w:cs="Arial"/>
                <w:sz w:val="16"/>
                <w:szCs w:val="16"/>
              </w:rPr>
            </w:pPr>
            <w:r w:rsidRPr="005933F6">
              <w:rPr>
                <w:rFonts w:cs="Arial"/>
                <w:sz w:val="16"/>
                <w:szCs w:val="16"/>
              </w:rPr>
              <w:t>Grundlagen Sortenschutz in der Prüfungspraxis</w:t>
            </w:r>
          </w:p>
        </w:tc>
        <w:tc>
          <w:tcPr>
            <w:tcW w:w="2840" w:type="dxa"/>
          </w:tcPr>
          <w:p w14:paraId="40EB0586" w14:textId="77777777" w:rsidR="006A3AAD" w:rsidRPr="005933F6" w:rsidRDefault="006A3AAD" w:rsidP="00C30F9D">
            <w:pPr>
              <w:jc w:val="left"/>
              <w:rPr>
                <w:rFonts w:cs="Arial"/>
                <w:sz w:val="16"/>
                <w:szCs w:val="16"/>
              </w:rPr>
            </w:pPr>
            <w:r w:rsidRPr="005933F6">
              <w:rPr>
                <w:rFonts w:cs="Arial"/>
                <w:sz w:val="16"/>
                <w:szCs w:val="16"/>
              </w:rPr>
              <w:t>Patentanwaltsfachangestellte</w:t>
            </w:r>
          </w:p>
          <w:p w14:paraId="133FB8DA" w14:textId="77777777" w:rsidR="006A3AAD" w:rsidRPr="005933F6" w:rsidRDefault="006A3AAD" w:rsidP="00C30F9D">
            <w:pPr>
              <w:jc w:val="left"/>
              <w:rPr>
                <w:rFonts w:cs="Arial"/>
                <w:sz w:val="16"/>
                <w:szCs w:val="16"/>
              </w:rPr>
            </w:pPr>
            <w:r w:rsidRPr="005933F6">
              <w:rPr>
                <w:rFonts w:cs="Arial"/>
                <w:sz w:val="16"/>
                <w:szCs w:val="16"/>
              </w:rPr>
              <w:t>(10 Teilnehmer)</w:t>
            </w:r>
          </w:p>
        </w:tc>
        <w:tc>
          <w:tcPr>
            <w:tcW w:w="2263" w:type="dxa"/>
          </w:tcPr>
          <w:p w14:paraId="0EA34E80" w14:textId="77777777" w:rsidR="006A3AAD" w:rsidRPr="005933F6" w:rsidRDefault="006A3AAD" w:rsidP="00C30F9D">
            <w:pPr>
              <w:jc w:val="left"/>
              <w:rPr>
                <w:rFonts w:cs="Arial"/>
                <w:sz w:val="16"/>
                <w:szCs w:val="16"/>
              </w:rPr>
            </w:pPr>
            <w:r w:rsidRPr="005933F6">
              <w:rPr>
                <w:rFonts w:cs="Arial"/>
                <w:sz w:val="16"/>
                <w:szCs w:val="16"/>
              </w:rPr>
              <w:t>Regelmäßige Schulung</w:t>
            </w:r>
          </w:p>
        </w:tc>
      </w:tr>
      <w:tr w:rsidR="006A3AAD" w:rsidRPr="005173E1" w14:paraId="7E7EABA6" w14:textId="77777777" w:rsidTr="00C30F9D">
        <w:trPr>
          <w:cantSplit/>
        </w:trPr>
        <w:tc>
          <w:tcPr>
            <w:tcW w:w="2407" w:type="dxa"/>
          </w:tcPr>
          <w:p w14:paraId="7522FF26" w14:textId="77777777" w:rsidR="006A3AAD" w:rsidRPr="005933F6" w:rsidRDefault="006A3AAD" w:rsidP="00C30F9D">
            <w:pPr>
              <w:jc w:val="left"/>
              <w:rPr>
                <w:rFonts w:cs="Arial"/>
                <w:sz w:val="16"/>
                <w:szCs w:val="16"/>
              </w:rPr>
            </w:pPr>
            <w:r w:rsidRPr="005933F6">
              <w:rPr>
                <w:rFonts w:cs="Arial"/>
                <w:sz w:val="16"/>
                <w:szCs w:val="16"/>
              </w:rPr>
              <w:t>Schulung/Vortrag/Besichtigung</w:t>
            </w:r>
          </w:p>
        </w:tc>
        <w:tc>
          <w:tcPr>
            <w:tcW w:w="724" w:type="dxa"/>
          </w:tcPr>
          <w:p w14:paraId="5AA34D70" w14:textId="77777777" w:rsidR="006A3AAD" w:rsidRPr="005933F6" w:rsidRDefault="006A3AAD" w:rsidP="00C30F9D">
            <w:pPr>
              <w:jc w:val="left"/>
              <w:rPr>
                <w:rFonts w:cs="Arial"/>
                <w:sz w:val="16"/>
                <w:szCs w:val="16"/>
              </w:rPr>
            </w:pPr>
            <w:r w:rsidRPr="005933F6">
              <w:rPr>
                <w:rFonts w:cs="Arial"/>
                <w:sz w:val="16"/>
                <w:szCs w:val="16"/>
              </w:rPr>
              <w:t>06/2023</w:t>
            </w:r>
          </w:p>
        </w:tc>
        <w:tc>
          <w:tcPr>
            <w:tcW w:w="1119" w:type="dxa"/>
          </w:tcPr>
          <w:p w14:paraId="45DEAC9C" w14:textId="77777777" w:rsidR="006A3AAD" w:rsidRPr="005933F6" w:rsidRDefault="006A3AAD" w:rsidP="00C30F9D">
            <w:pPr>
              <w:jc w:val="left"/>
              <w:rPr>
                <w:rFonts w:cs="Arial"/>
                <w:sz w:val="16"/>
                <w:szCs w:val="16"/>
              </w:rPr>
            </w:pPr>
            <w:r w:rsidRPr="005933F6">
              <w:rPr>
                <w:rFonts w:cs="Arial"/>
                <w:sz w:val="16"/>
                <w:szCs w:val="16"/>
              </w:rPr>
              <w:t>Deutschland</w:t>
            </w:r>
          </w:p>
        </w:tc>
        <w:tc>
          <w:tcPr>
            <w:tcW w:w="1843" w:type="dxa"/>
          </w:tcPr>
          <w:p w14:paraId="0A90BE3B" w14:textId="77777777" w:rsidR="006A3AAD" w:rsidRPr="005933F6" w:rsidRDefault="006A3AAD" w:rsidP="00C30F9D">
            <w:pPr>
              <w:jc w:val="left"/>
              <w:rPr>
                <w:rFonts w:cs="Arial"/>
                <w:sz w:val="16"/>
                <w:szCs w:val="16"/>
              </w:rPr>
            </w:pPr>
            <w:r w:rsidRPr="005933F6">
              <w:rPr>
                <w:rFonts w:cs="Arial"/>
                <w:sz w:val="16"/>
                <w:szCs w:val="16"/>
              </w:rPr>
              <w:t>BMBF, BSA</w:t>
            </w:r>
          </w:p>
        </w:tc>
        <w:tc>
          <w:tcPr>
            <w:tcW w:w="3685" w:type="dxa"/>
          </w:tcPr>
          <w:p w14:paraId="6DDEA3F0" w14:textId="77777777" w:rsidR="006A3AAD" w:rsidRPr="005933F6" w:rsidRDefault="006A3AAD" w:rsidP="00C30F9D">
            <w:pPr>
              <w:jc w:val="left"/>
              <w:rPr>
                <w:rFonts w:cs="Arial"/>
                <w:sz w:val="16"/>
                <w:szCs w:val="16"/>
              </w:rPr>
            </w:pPr>
            <w:r w:rsidRPr="005933F6">
              <w:rPr>
                <w:rFonts w:cs="Arial"/>
                <w:sz w:val="16"/>
                <w:szCs w:val="16"/>
              </w:rPr>
              <w:t>BMBF Nachwuchsförderung Pflanzenzüchtungsforschung</w:t>
            </w:r>
          </w:p>
        </w:tc>
        <w:tc>
          <w:tcPr>
            <w:tcW w:w="2840" w:type="dxa"/>
          </w:tcPr>
          <w:p w14:paraId="11442B79" w14:textId="77777777" w:rsidR="006A3AAD" w:rsidRPr="005933F6" w:rsidRDefault="006A3AAD" w:rsidP="00C30F9D">
            <w:pPr>
              <w:jc w:val="left"/>
              <w:rPr>
                <w:rFonts w:cs="Arial"/>
                <w:sz w:val="16"/>
                <w:szCs w:val="16"/>
              </w:rPr>
            </w:pPr>
            <w:r w:rsidRPr="005933F6">
              <w:rPr>
                <w:rFonts w:cs="Arial"/>
                <w:sz w:val="16"/>
                <w:szCs w:val="16"/>
              </w:rPr>
              <w:t>Deutschland (30 Teilnehmer)</w:t>
            </w:r>
          </w:p>
        </w:tc>
        <w:tc>
          <w:tcPr>
            <w:tcW w:w="2263" w:type="dxa"/>
          </w:tcPr>
          <w:p w14:paraId="7F44690A" w14:textId="77777777" w:rsidR="006A3AAD" w:rsidRPr="005933F6" w:rsidRDefault="006A3AAD" w:rsidP="00C30F9D">
            <w:pPr>
              <w:jc w:val="left"/>
              <w:rPr>
                <w:rFonts w:cs="Arial"/>
                <w:sz w:val="16"/>
                <w:szCs w:val="16"/>
              </w:rPr>
            </w:pPr>
            <w:r w:rsidRPr="005933F6">
              <w:rPr>
                <w:rFonts w:cs="Arial"/>
                <w:sz w:val="16"/>
                <w:szCs w:val="16"/>
              </w:rPr>
              <w:t>BMBF Nachwuchsförderung Pflanzenzüchtungsforschung</w:t>
            </w:r>
          </w:p>
        </w:tc>
      </w:tr>
    </w:tbl>
    <w:p w14:paraId="5C8C0BCB" w14:textId="77777777" w:rsidR="006A3AAD" w:rsidRDefault="006A3AAD" w:rsidP="006A3AAD">
      <w:pPr>
        <w:jc w:val="left"/>
      </w:pPr>
    </w:p>
    <w:p w14:paraId="01B8A7A1" w14:textId="77777777" w:rsidR="006A3AAD" w:rsidRPr="00A43EA1" w:rsidRDefault="006A3AAD" w:rsidP="00424F87"/>
    <w:p w14:paraId="05651876" w14:textId="63424E5F" w:rsidR="00424F87" w:rsidRPr="00A43EA1" w:rsidRDefault="00424F87" w:rsidP="006A3AAD">
      <w:pPr>
        <w:jc w:val="right"/>
      </w:pPr>
      <w:r w:rsidRPr="00A43EA1">
        <w:t>[</w:t>
      </w:r>
      <w:r w:rsidR="009E6E5A">
        <w:t>Anlage</w:t>
      </w:r>
      <w:r w:rsidRPr="00A43EA1">
        <w:t xml:space="preserve"> III folgt]</w:t>
      </w:r>
    </w:p>
    <w:p w14:paraId="12682D14" w14:textId="77777777" w:rsidR="00424F87" w:rsidRPr="00A43EA1" w:rsidRDefault="00424F87" w:rsidP="00424F87">
      <w:pPr>
        <w:jc w:val="center"/>
        <w:sectPr w:rsidR="00424F87" w:rsidRPr="00A43EA1" w:rsidSect="006A3AAD">
          <w:headerReference w:type="default" r:id="rId11"/>
          <w:pgSz w:w="16840" w:h="11907" w:orient="landscape" w:code="9"/>
          <w:pgMar w:top="510" w:right="851" w:bottom="851" w:left="851" w:header="510" w:footer="680" w:gutter="0"/>
          <w:pgNumType w:start="1"/>
          <w:cols w:space="720"/>
          <w:titlePg/>
          <w:docGrid w:linePitch="272"/>
        </w:sectPr>
      </w:pPr>
    </w:p>
    <w:p w14:paraId="4196134F" w14:textId="77777777" w:rsidR="00424F87" w:rsidRPr="00A43EA1" w:rsidRDefault="00424F87" w:rsidP="00424F87">
      <w:pPr>
        <w:jc w:val="center"/>
      </w:pPr>
      <w:r w:rsidRPr="00A43EA1">
        <w:lastRenderedPageBreak/>
        <w:t>C/57/13</w:t>
      </w:r>
    </w:p>
    <w:p w14:paraId="356F9CA2" w14:textId="77777777" w:rsidR="00424F87" w:rsidRPr="00A43EA1" w:rsidRDefault="00424F87" w:rsidP="00424F87">
      <w:pPr>
        <w:jc w:val="center"/>
      </w:pPr>
    </w:p>
    <w:p w14:paraId="15D8D203" w14:textId="2DB94077" w:rsidR="00424F87" w:rsidRPr="00A43EA1" w:rsidRDefault="009E6E5A" w:rsidP="00424F87">
      <w:pPr>
        <w:jc w:val="center"/>
      </w:pPr>
      <w:r>
        <w:t>ANLAGE</w:t>
      </w:r>
      <w:r w:rsidR="00424F87" w:rsidRPr="00A43EA1">
        <w:t xml:space="preserve"> III</w:t>
      </w:r>
    </w:p>
    <w:p w14:paraId="39FD8ACB" w14:textId="77777777" w:rsidR="00424F87" w:rsidRPr="00A43EA1" w:rsidRDefault="00424F87" w:rsidP="00424F87">
      <w:pPr>
        <w:jc w:val="center"/>
      </w:pPr>
    </w:p>
    <w:p w14:paraId="4EC24F15" w14:textId="77777777" w:rsidR="00424F87" w:rsidRPr="00A43EA1" w:rsidRDefault="00424F87" w:rsidP="00424F87">
      <w:pPr>
        <w:jc w:val="center"/>
      </w:pPr>
    </w:p>
    <w:p w14:paraId="0F60C175" w14:textId="77777777" w:rsidR="00424F87" w:rsidRPr="00A43EA1" w:rsidRDefault="00424F87" w:rsidP="00424F87">
      <w:pPr>
        <w:jc w:val="center"/>
      </w:pPr>
      <w:r w:rsidRPr="00A43EA1">
        <w:t>BELARUS</w:t>
      </w:r>
    </w:p>
    <w:p w14:paraId="5791FB9A" w14:textId="77777777" w:rsidR="00424F87" w:rsidRPr="00A43EA1" w:rsidRDefault="00424F87" w:rsidP="00424F87">
      <w:pPr>
        <w:jc w:val="center"/>
      </w:pPr>
      <w:r w:rsidRPr="00A43EA1">
        <w:t>(Originalsprache: englisch)</w:t>
      </w:r>
    </w:p>
    <w:p w14:paraId="166E2268" w14:textId="77777777" w:rsidR="00424F87" w:rsidRPr="00A43EA1" w:rsidRDefault="00424F87" w:rsidP="00424F87"/>
    <w:p w14:paraId="1A2AB2FF"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7B05207E" w14:textId="77777777" w:rsidR="00424F87" w:rsidRPr="00A43EA1" w:rsidRDefault="00424F87" w:rsidP="00424F87">
      <w:r w:rsidRPr="00A43EA1">
        <w:t xml:space="preserve">I. </w:t>
      </w:r>
      <w:r w:rsidRPr="00A43EA1">
        <w:tab/>
        <w:t>SORTENSCHUTZ</w:t>
      </w:r>
    </w:p>
    <w:p w14:paraId="0EBC8C78" w14:textId="77777777" w:rsidR="00424F87" w:rsidRPr="00A43EA1" w:rsidRDefault="00424F87" w:rsidP="00424F87"/>
    <w:p w14:paraId="72659375" w14:textId="77777777" w:rsidR="00424F87" w:rsidRPr="00A43EA1" w:rsidRDefault="00424F87" w:rsidP="00424F87">
      <w:r w:rsidRPr="00A43EA1">
        <w:t xml:space="preserve">1. </w:t>
      </w:r>
      <w:r w:rsidRPr="00A43EA1">
        <w:tab/>
        <w:t>Lage auf dem Gebiet der Gesetzgebung</w:t>
      </w:r>
    </w:p>
    <w:p w14:paraId="3DD6F4BA" w14:textId="77777777" w:rsidR="00424F87" w:rsidRPr="00A43EA1" w:rsidRDefault="00424F87" w:rsidP="00424F87"/>
    <w:p w14:paraId="7A775BE8" w14:textId="77777777" w:rsidR="00424F87" w:rsidRPr="00A43EA1" w:rsidRDefault="00424F87" w:rsidP="00424F87">
      <w:pPr>
        <w:rPr>
          <w:i/>
          <w:iCs/>
        </w:rPr>
      </w:pPr>
      <w:r w:rsidRPr="00A43EA1">
        <w:rPr>
          <w:i/>
          <w:iCs/>
        </w:rPr>
        <w:t>Änderungen im Gesetz der Republik Belarus</w:t>
      </w:r>
    </w:p>
    <w:p w14:paraId="500DD967" w14:textId="77777777" w:rsidR="00424F87" w:rsidRPr="00A43EA1" w:rsidRDefault="00424F87" w:rsidP="00424F87"/>
    <w:p w14:paraId="3E5A23A7" w14:textId="77777777" w:rsidR="00424F87" w:rsidRPr="00A43EA1" w:rsidRDefault="00424F87" w:rsidP="00424F87">
      <w:pPr>
        <w:spacing w:after="120"/>
      </w:pPr>
      <w:r w:rsidRPr="00A43EA1">
        <w:t>"Züchtung und Saatgutvermehrung von Nutzpflanzen"</w:t>
      </w:r>
    </w:p>
    <w:p w14:paraId="23169257" w14:textId="77777777" w:rsidR="00424F87" w:rsidRPr="00A43EA1" w:rsidRDefault="00424F87" w:rsidP="00424F87">
      <w:pPr>
        <w:spacing w:after="120"/>
      </w:pPr>
      <w:r w:rsidRPr="00A43EA1">
        <w:t>in Artikel 22:</w:t>
      </w:r>
    </w:p>
    <w:p w14:paraId="33F8D0D3" w14:textId="77777777" w:rsidR="00424F87" w:rsidRPr="00A43EA1" w:rsidRDefault="00424F87" w:rsidP="00424F87">
      <w:r w:rsidRPr="00A43EA1">
        <w:t>"Die Zulassung von Saatgutvermehrungsflächen landwirtschaftlicher Pflanzen, die zu den im Staatlichen Register der geschützten Pflanzensorten der Republik Belarus eingetragenen Sorten gehören und deren Saatgut für den Verkauf bestimmt ist, erfolgt, wenn die interessierte Person die Sorte der landwirtschaftlichen Pflanze gemäß den Rechtsvorschriften über Patente für Pflanzensorten nutzen darf."</w:t>
      </w:r>
    </w:p>
    <w:p w14:paraId="6B6FF17C" w14:textId="77777777" w:rsidR="00424F87" w:rsidRPr="00A43EA1" w:rsidRDefault="00424F87" w:rsidP="00424F87"/>
    <w:p w14:paraId="40902326" w14:textId="14C3F290" w:rsidR="00424F87" w:rsidRPr="00A43EA1" w:rsidRDefault="00424F87" w:rsidP="00424F87">
      <w:r w:rsidRPr="00A43EA1">
        <w:t>1.1</w:t>
      </w:r>
      <w:r w:rsidR="00FD2A4D">
        <w:tab/>
      </w:r>
      <w:r w:rsidRPr="00A43EA1">
        <w:t xml:space="preserve">Änderungen des Gesetzes und der Durchführungsverordnungen:  Keine Änderungen </w:t>
      </w:r>
    </w:p>
    <w:p w14:paraId="74A14171" w14:textId="77777777" w:rsidR="00424F87" w:rsidRPr="00A43EA1" w:rsidRDefault="00424F87" w:rsidP="00424F87"/>
    <w:p w14:paraId="695887AE" w14:textId="3C3D4C63" w:rsidR="00424F87" w:rsidRPr="00A43EA1" w:rsidRDefault="00424F87" w:rsidP="00424F87">
      <w:pPr>
        <w:ind w:left="567" w:hanging="567"/>
      </w:pPr>
      <w:r w:rsidRPr="00A43EA1">
        <w:t>1.2</w:t>
      </w:r>
      <w:r w:rsidR="00FD2A4D">
        <w:tab/>
      </w:r>
      <w:r w:rsidRPr="00A43EA1">
        <w:t>Ausdehnung des Schutzes auf weitere Gattungen und Arten:  In Belarus sind alle Gattungen und Arten geschützt.</w:t>
      </w:r>
    </w:p>
    <w:p w14:paraId="045A1354" w14:textId="77777777" w:rsidR="00424F87" w:rsidRPr="00A43EA1" w:rsidRDefault="00424F87" w:rsidP="00424F87"/>
    <w:p w14:paraId="0EA42D53" w14:textId="16A85626" w:rsidR="00424F87" w:rsidRPr="00A43EA1" w:rsidRDefault="00424F87" w:rsidP="00424F87">
      <w:r w:rsidRPr="00A43EA1">
        <w:t>1.3</w:t>
      </w:r>
      <w:r w:rsidR="00FD2A4D">
        <w:tab/>
      </w:r>
      <w:r w:rsidRPr="00A43EA1">
        <w:t>Rechtsprechung - Keine Änderungen</w:t>
      </w:r>
    </w:p>
    <w:p w14:paraId="4B6B7848" w14:textId="77777777" w:rsidR="00424F87" w:rsidRPr="00A43EA1" w:rsidRDefault="00424F87" w:rsidP="00424F87"/>
    <w:p w14:paraId="74F245A8" w14:textId="77777777" w:rsidR="00424F87" w:rsidRPr="00A43EA1" w:rsidRDefault="00424F87" w:rsidP="00424F87"/>
    <w:p w14:paraId="0D6746A1" w14:textId="77777777" w:rsidR="00424F87" w:rsidRPr="00A43EA1" w:rsidRDefault="00424F87" w:rsidP="00424F87">
      <w:r w:rsidRPr="00A43EA1">
        <w:t>2.</w:t>
      </w:r>
      <w:r w:rsidRPr="00A43EA1">
        <w:tab/>
      </w:r>
      <w:r w:rsidRPr="00A43EA1">
        <w:rPr>
          <w:u w:val="single"/>
        </w:rPr>
        <w:t>Zusammenarbeit bei der Prüfung</w:t>
      </w:r>
    </w:p>
    <w:p w14:paraId="4E0D470F" w14:textId="77777777" w:rsidR="00424F87" w:rsidRPr="00A43EA1" w:rsidRDefault="00424F87" w:rsidP="00424F87">
      <w:pPr>
        <w:tabs>
          <w:tab w:val="left" w:pos="426"/>
          <w:tab w:val="left" w:pos="851"/>
        </w:tabs>
      </w:pPr>
    </w:p>
    <w:p w14:paraId="6E6BE99B" w14:textId="52FD9DA9" w:rsidR="00424F87" w:rsidRPr="00A43EA1" w:rsidRDefault="00424F87" w:rsidP="00424F87">
      <w:pPr>
        <w:tabs>
          <w:tab w:val="left" w:pos="426"/>
          <w:tab w:val="left" w:pos="851"/>
        </w:tabs>
      </w:pPr>
      <w:r w:rsidRPr="00A43EA1">
        <w:t>-</w:t>
      </w:r>
      <w:r w:rsidR="00FD2A4D">
        <w:tab/>
      </w:r>
      <w:r w:rsidRPr="00A43EA1">
        <w:t xml:space="preserve">Abschluss neuer Vereinbarungen (abgeschlossen, in Arbeit oder geplant) </w:t>
      </w:r>
    </w:p>
    <w:p w14:paraId="3CEDD35F" w14:textId="77777777" w:rsidR="00424F87" w:rsidRPr="00A43EA1" w:rsidRDefault="00424F87" w:rsidP="00424F87">
      <w:pPr>
        <w:tabs>
          <w:tab w:val="left" w:pos="426"/>
          <w:tab w:val="left" w:pos="851"/>
        </w:tabs>
      </w:pPr>
    </w:p>
    <w:p w14:paraId="0AD2CB4A" w14:textId="77777777" w:rsidR="00424F87" w:rsidRPr="00A43EA1" w:rsidRDefault="00424F87" w:rsidP="00424F87">
      <w:pPr>
        <w:tabs>
          <w:tab w:val="left" w:pos="426"/>
          <w:tab w:val="left" w:pos="851"/>
        </w:tabs>
      </w:pPr>
      <w:r w:rsidRPr="00A43EA1">
        <w:t>Im Jahr 2023 setzte Belarus die Zusammenarbeit im Rahmen eines bilateralen Abkommens mit Kasachstan und Usbekistan auf dem Gebiet der Wertstoffprüfung und der DUS-Prüfung fort; Belarus setzte die Zusammenarbeit mit der Russischen Föderation, Armenien, Kasachstan und Kirgisistan im Rahmen der Eurasischen Union fort.</w:t>
      </w:r>
    </w:p>
    <w:p w14:paraId="53CD9F50" w14:textId="77777777" w:rsidR="00424F87" w:rsidRPr="00A43EA1" w:rsidRDefault="00424F87" w:rsidP="00424F87">
      <w:pPr>
        <w:tabs>
          <w:tab w:val="left" w:pos="426"/>
          <w:tab w:val="left" w:pos="851"/>
        </w:tabs>
      </w:pPr>
    </w:p>
    <w:p w14:paraId="12659A34" w14:textId="66963C87" w:rsidR="00424F87" w:rsidRPr="00A43EA1" w:rsidRDefault="00424F87" w:rsidP="00424F87">
      <w:pPr>
        <w:tabs>
          <w:tab w:val="left" w:pos="426"/>
          <w:tab w:val="left" w:pos="851"/>
        </w:tabs>
      </w:pPr>
      <w:r w:rsidRPr="00A43EA1">
        <w:t>-</w:t>
      </w:r>
      <w:r w:rsidR="00FD2A4D">
        <w:tab/>
      </w:r>
      <w:r w:rsidRPr="00A43EA1">
        <w:t>Änderung bestehender Vereinbarungen (abgeschlossen, in Arbeit oder geplant) - Nein</w:t>
      </w:r>
    </w:p>
    <w:p w14:paraId="5ED98412" w14:textId="77777777" w:rsidR="00424F87" w:rsidRPr="00A43EA1" w:rsidRDefault="00424F87" w:rsidP="00424F87">
      <w:pPr>
        <w:tabs>
          <w:tab w:val="left" w:pos="426"/>
          <w:tab w:val="left" w:pos="851"/>
        </w:tabs>
      </w:pPr>
    </w:p>
    <w:p w14:paraId="59AC95CE" w14:textId="77777777" w:rsidR="00424F87" w:rsidRPr="00A43EA1" w:rsidRDefault="00424F87" w:rsidP="00424F87">
      <w:pPr>
        <w:tabs>
          <w:tab w:val="left" w:pos="426"/>
          <w:tab w:val="left" w:pos="851"/>
        </w:tabs>
      </w:pPr>
    </w:p>
    <w:p w14:paraId="4CFBF5EC" w14:textId="77777777" w:rsidR="00424F87" w:rsidRPr="00A43EA1" w:rsidRDefault="00424F87" w:rsidP="00424F87">
      <w:pPr>
        <w:rPr>
          <w:u w:val="single"/>
        </w:rPr>
      </w:pPr>
      <w:r w:rsidRPr="00A43EA1">
        <w:t>3.</w:t>
      </w:r>
      <w:r w:rsidRPr="00A43EA1">
        <w:tab/>
      </w:r>
      <w:r w:rsidRPr="00A43EA1">
        <w:rPr>
          <w:u w:val="single"/>
        </w:rPr>
        <w:t>Lage auf dem Gebiet der Verwaltung</w:t>
      </w:r>
      <w:r w:rsidRPr="00A43EA1">
        <w:t>:  Keine Änderungen</w:t>
      </w:r>
    </w:p>
    <w:p w14:paraId="791642C3" w14:textId="77777777" w:rsidR="00424F87" w:rsidRPr="00A43EA1" w:rsidRDefault="00424F87" w:rsidP="00424F87"/>
    <w:p w14:paraId="660C1F7C" w14:textId="77777777" w:rsidR="00424F87" w:rsidRPr="00A43EA1" w:rsidRDefault="00424F87" w:rsidP="00424F87"/>
    <w:p w14:paraId="7A20C092" w14:textId="77777777" w:rsidR="00424F87" w:rsidRPr="00A43EA1" w:rsidRDefault="00424F87" w:rsidP="00424F87">
      <w:r w:rsidRPr="00A43EA1">
        <w:t>4.</w:t>
      </w:r>
      <w:r w:rsidRPr="00A43EA1">
        <w:tab/>
      </w:r>
      <w:r w:rsidRPr="00A43EA1">
        <w:rPr>
          <w:u w:val="single"/>
        </w:rPr>
        <w:t>Lage auf dem Gebiet der Technik</w:t>
      </w:r>
    </w:p>
    <w:p w14:paraId="558889CA" w14:textId="77777777" w:rsidR="00424F87" w:rsidRPr="00A43EA1" w:rsidRDefault="00424F87" w:rsidP="00424F87"/>
    <w:p w14:paraId="721AE1D2" w14:textId="77777777" w:rsidR="00424F87" w:rsidRPr="00A43EA1" w:rsidRDefault="00424F87" w:rsidP="00424F87">
      <w:r w:rsidRPr="00A43EA1">
        <w:t>Teilweise überarbeitete 10 Prüfungsrichtlinien, Gesamtzahl der bestehenden Prüfungsrichtlinien:  293.</w:t>
      </w:r>
    </w:p>
    <w:p w14:paraId="0C563485" w14:textId="77777777" w:rsidR="00424F87" w:rsidRPr="00A43EA1" w:rsidRDefault="00424F87" w:rsidP="00424F87"/>
    <w:p w14:paraId="62299646" w14:textId="77777777" w:rsidR="00424F87" w:rsidRPr="00A43EA1" w:rsidRDefault="00424F87" w:rsidP="00424F87">
      <w:r w:rsidRPr="00A43EA1">
        <w:t>Es wurde ein Fotokatalog der wesentlichen morphologischen Merkmale der Erdbeere (Fragaria L.) erstellt.</w:t>
      </w:r>
    </w:p>
    <w:p w14:paraId="7076F1F7" w14:textId="77777777" w:rsidR="00424F87" w:rsidRPr="00A43EA1" w:rsidRDefault="00424F87" w:rsidP="00424F87"/>
    <w:p w14:paraId="1E2D7835" w14:textId="77777777" w:rsidR="00424F87" w:rsidRPr="00A43EA1" w:rsidRDefault="00424F87" w:rsidP="00424F87">
      <w:r w:rsidRPr="00A43EA1">
        <w:t>Im Jahre 2023 wurde ein Ausbildungsseminar für alle DUS-Sachverständigen auf der Grundlage der Landwirtschaftlichen Universität Grodno abgehalten.</w:t>
      </w:r>
    </w:p>
    <w:p w14:paraId="51695D3F" w14:textId="77777777" w:rsidR="00424F87" w:rsidRPr="00A43EA1" w:rsidRDefault="00424F87" w:rsidP="00424F87"/>
    <w:p w14:paraId="522B2B7A" w14:textId="77777777" w:rsidR="00424F87" w:rsidRPr="00A43EA1" w:rsidRDefault="00424F87" w:rsidP="00424F87"/>
    <w:p w14:paraId="5D2FCF3F" w14:textId="77777777" w:rsidR="00424F87" w:rsidRPr="00A43EA1" w:rsidRDefault="00424F87" w:rsidP="00424F87">
      <w:pPr>
        <w:jc w:val="left"/>
      </w:pPr>
      <w:r w:rsidRPr="00A43EA1">
        <w:br w:type="page"/>
      </w:r>
    </w:p>
    <w:p w14:paraId="0E2E7B42" w14:textId="77777777" w:rsidR="00424F87" w:rsidRPr="00A43EA1" w:rsidRDefault="00424F87" w:rsidP="00424F87">
      <w:pPr>
        <w:rPr>
          <w:u w:val="single"/>
        </w:rPr>
      </w:pPr>
      <w:r w:rsidRPr="00A43EA1">
        <w:lastRenderedPageBreak/>
        <w:t>5.</w:t>
      </w:r>
      <w:r w:rsidRPr="00A43EA1">
        <w:tab/>
      </w:r>
      <w:r w:rsidRPr="00A43EA1">
        <w:rPr>
          <w:u w:val="single"/>
        </w:rPr>
        <w:t>Tätigkeiten zur Förderung des Sortenschutzes</w:t>
      </w:r>
    </w:p>
    <w:p w14:paraId="283B3E83" w14:textId="77777777" w:rsidR="00424F87" w:rsidRPr="00A43EA1" w:rsidRDefault="00424F87" w:rsidP="00424F87"/>
    <w:tbl>
      <w:tblPr>
        <w:tblStyle w:val="TableGrid"/>
        <w:tblW w:w="9923" w:type="dxa"/>
        <w:tblInd w:w="-147" w:type="dxa"/>
        <w:tblLayout w:type="fixed"/>
        <w:tblCellMar>
          <w:top w:w="28" w:type="dxa"/>
          <w:left w:w="28" w:type="dxa"/>
          <w:bottom w:w="28" w:type="dxa"/>
          <w:right w:w="28" w:type="dxa"/>
        </w:tblCellMar>
        <w:tblLook w:val="01E0" w:firstRow="1" w:lastRow="1" w:firstColumn="1" w:lastColumn="1" w:noHBand="0" w:noVBand="0"/>
      </w:tblPr>
      <w:tblGrid>
        <w:gridCol w:w="1106"/>
        <w:gridCol w:w="821"/>
        <w:gridCol w:w="1022"/>
        <w:gridCol w:w="1588"/>
        <w:gridCol w:w="1842"/>
        <w:gridCol w:w="1985"/>
        <w:gridCol w:w="1559"/>
      </w:tblGrid>
      <w:tr w:rsidR="00424F87" w:rsidRPr="00A43EA1" w14:paraId="32A0D846" w14:textId="77777777" w:rsidTr="00FD2A4D">
        <w:tc>
          <w:tcPr>
            <w:tcW w:w="1106" w:type="dxa"/>
          </w:tcPr>
          <w:p w14:paraId="03D9EF86" w14:textId="77777777" w:rsidR="00424F87" w:rsidRPr="00A43EA1" w:rsidRDefault="00424F87" w:rsidP="00C30F9D">
            <w:pPr>
              <w:keepNext/>
              <w:jc w:val="left"/>
              <w:rPr>
                <w:sz w:val="16"/>
              </w:rPr>
            </w:pPr>
            <w:r w:rsidRPr="00A43EA1">
              <w:rPr>
                <w:sz w:val="16"/>
              </w:rPr>
              <w:t>Titel der Aktivität</w:t>
            </w:r>
          </w:p>
        </w:tc>
        <w:tc>
          <w:tcPr>
            <w:tcW w:w="821" w:type="dxa"/>
          </w:tcPr>
          <w:p w14:paraId="5AC6A98A" w14:textId="77777777" w:rsidR="00424F87" w:rsidRPr="00A43EA1" w:rsidRDefault="00424F87" w:rsidP="00C30F9D">
            <w:pPr>
              <w:keepNext/>
              <w:jc w:val="left"/>
              <w:rPr>
                <w:sz w:val="16"/>
              </w:rPr>
            </w:pPr>
            <w:r w:rsidRPr="00A43EA1">
              <w:rPr>
                <w:sz w:val="16"/>
              </w:rPr>
              <w:t>Datum</w:t>
            </w:r>
          </w:p>
        </w:tc>
        <w:tc>
          <w:tcPr>
            <w:tcW w:w="1022" w:type="dxa"/>
          </w:tcPr>
          <w:p w14:paraId="12630660" w14:textId="77777777" w:rsidR="00424F87" w:rsidRPr="00A43EA1" w:rsidRDefault="00424F87" w:rsidP="00C30F9D">
            <w:pPr>
              <w:keepNext/>
              <w:jc w:val="left"/>
              <w:rPr>
                <w:sz w:val="16"/>
              </w:rPr>
            </w:pPr>
            <w:r w:rsidRPr="00A43EA1">
              <w:rPr>
                <w:sz w:val="16"/>
              </w:rPr>
              <w:t>Standort</w:t>
            </w:r>
          </w:p>
        </w:tc>
        <w:tc>
          <w:tcPr>
            <w:tcW w:w="1588" w:type="dxa"/>
          </w:tcPr>
          <w:p w14:paraId="7BF85249" w14:textId="77777777" w:rsidR="00424F87" w:rsidRPr="00A43EA1" w:rsidRDefault="00424F87" w:rsidP="00C30F9D">
            <w:pPr>
              <w:keepNext/>
              <w:jc w:val="left"/>
              <w:rPr>
                <w:sz w:val="16"/>
              </w:rPr>
            </w:pPr>
            <w:r w:rsidRPr="00A43EA1">
              <w:rPr>
                <w:sz w:val="16"/>
              </w:rPr>
              <w:t>Organisator(en)</w:t>
            </w:r>
          </w:p>
        </w:tc>
        <w:tc>
          <w:tcPr>
            <w:tcW w:w="1842" w:type="dxa"/>
          </w:tcPr>
          <w:p w14:paraId="0079AA51" w14:textId="77777777" w:rsidR="00424F87" w:rsidRPr="00A43EA1" w:rsidRDefault="00424F87" w:rsidP="00C30F9D">
            <w:pPr>
              <w:keepNext/>
              <w:jc w:val="left"/>
              <w:rPr>
                <w:sz w:val="16"/>
              </w:rPr>
            </w:pPr>
            <w:r w:rsidRPr="00A43EA1">
              <w:rPr>
                <w:sz w:val="16"/>
              </w:rPr>
              <w:t>Zweck der Tätigkeit</w:t>
            </w:r>
          </w:p>
        </w:tc>
        <w:tc>
          <w:tcPr>
            <w:tcW w:w="1985" w:type="dxa"/>
          </w:tcPr>
          <w:p w14:paraId="56879933" w14:textId="77777777" w:rsidR="00424F87" w:rsidRPr="00A43EA1" w:rsidRDefault="00424F87" w:rsidP="00C30F9D">
            <w:pPr>
              <w:keepNext/>
              <w:jc w:val="left"/>
              <w:rPr>
                <w:sz w:val="16"/>
              </w:rPr>
            </w:pPr>
            <w:r w:rsidRPr="00A43EA1">
              <w:rPr>
                <w:sz w:val="16"/>
              </w:rPr>
              <w:t>Teilnehmende Länder/Organisationen (Anzahl der Teilnehmer aus jedem Land)</w:t>
            </w:r>
          </w:p>
        </w:tc>
        <w:tc>
          <w:tcPr>
            <w:tcW w:w="1559" w:type="dxa"/>
          </w:tcPr>
          <w:p w14:paraId="2B0D2713" w14:textId="77777777" w:rsidR="00424F87" w:rsidRPr="00A43EA1" w:rsidRDefault="00424F87" w:rsidP="00C30F9D">
            <w:pPr>
              <w:keepNext/>
              <w:jc w:val="left"/>
              <w:rPr>
                <w:sz w:val="16"/>
              </w:rPr>
            </w:pPr>
            <w:r w:rsidRPr="00A43EA1">
              <w:rPr>
                <w:sz w:val="16"/>
              </w:rPr>
              <w:t>Kommentare</w:t>
            </w:r>
          </w:p>
        </w:tc>
      </w:tr>
      <w:tr w:rsidR="00424F87" w:rsidRPr="00A43EA1" w14:paraId="54501BBE" w14:textId="77777777" w:rsidTr="00FD2A4D">
        <w:tc>
          <w:tcPr>
            <w:tcW w:w="1106" w:type="dxa"/>
          </w:tcPr>
          <w:p w14:paraId="5F95BD22" w14:textId="2C9CE29B" w:rsidR="00424F87" w:rsidRPr="00A43EA1" w:rsidRDefault="00424F87" w:rsidP="00C30F9D">
            <w:pPr>
              <w:keepNext/>
              <w:jc w:val="left"/>
              <w:rPr>
                <w:sz w:val="16"/>
              </w:rPr>
            </w:pPr>
            <w:r w:rsidRPr="00A43EA1">
              <w:rPr>
                <w:sz w:val="16"/>
              </w:rPr>
              <w:t>1. Erfahrungs</w:t>
            </w:r>
            <w:r w:rsidR="00FD2A4D">
              <w:rPr>
                <w:sz w:val="16"/>
              </w:rPr>
              <w:t>-</w:t>
            </w:r>
            <w:r w:rsidRPr="00A43EA1">
              <w:rPr>
                <w:sz w:val="16"/>
              </w:rPr>
              <w:t>austausch</w:t>
            </w:r>
          </w:p>
        </w:tc>
        <w:tc>
          <w:tcPr>
            <w:tcW w:w="821" w:type="dxa"/>
          </w:tcPr>
          <w:p w14:paraId="0E85BB0A" w14:textId="77777777" w:rsidR="00424F87" w:rsidRPr="00A43EA1" w:rsidRDefault="00424F87" w:rsidP="00C30F9D">
            <w:pPr>
              <w:keepNext/>
              <w:jc w:val="left"/>
              <w:rPr>
                <w:sz w:val="16"/>
              </w:rPr>
            </w:pPr>
            <w:r w:rsidRPr="00A43EA1">
              <w:rPr>
                <w:sz w:val="16"/>
              </w:rPr>
              <w:t>14-19 Mai, 2023</w:t>
            </w:r>
          </w:p>
        </w:tc>
        <w:tc>
          <w:tcPr>
            <w:tcW w:w="1022" w:type="dxa"/>
          </w:tcPr>
          <w:p w14:paraId="3B652182" w14:textId="77777777" w:rsidR="00424F87" w:rsidRPr="00A43EA1" w:rsidRDefault="00424F87" w:rsidP="00C30F9D">
            <w:pPr>
              <w:keepNext/>
              <w:jc w:val="left"/>
              <w:rPr>
                <w:sz w:val="16"/>
              </w:rPr>
            </w:pPr>
            <w:r w:rsidRPr="00A43EA1">
              <w:rPr>
                <w:sz w:val="16"/>
              </w:rPr>
              <w:t>Deutschland</w:t>
            </w:r>
          </w:p>
        </w:tc>
        <w:tc>
          <w:tcPr>
            <w:tcW w:w="1588" w:type="dxa"/>
          </w:tcPr>
          <w:p w14:paraId="31C35EE1" w14:textId="77777777" w:rsidR="00424F87" w:rsidRPr="00A43EA1" w:rsidRDefault="00424F87" w:rsidP="00C30F9D">
            <w:pPr>
              <w:keepNext/>
              <w:jc w:val="left"/>
              <w:rPr>
                <w:sz w:val="16"/>
              </w:rPr>
            </w:pPr>
            <w:r w:rsidRPr="00A43EA1">
              <w:rPr>
                <w:sz w:val="16"/>
              </w:rPr>
              <w:t>Unternehmen DSV</w:t>
            </w:r>
          </w:p>
        </w:tc>
        <w:tc>
          <w:tcPr>
            <w:tcW w:w="1842" w:type="dxa"/>
          </w:tcPr>
          <w:p w14:paraId="2F1BB1BC" w14:textId="77777777" w:rsidR="00424F87" w:rsidRPr="00A43EA1" w:rsidRDefault="00424F87" w:rsidP="00C30F9D">
            <w:pPr>
              <w:keepNext/>
              <w:jc w:val="left"/>
              <w:rPr>
                <w:sz w:val="16"/>
              </w:rPr>
            </w:pPr>
            <w:r w:rsidRPr="00A43EA1">
              <w:rPr>
                <w:sz w:val="16"/>
              </w:rPr>
              <w:t>Erfahrungsaustausch von Experten bei der VCU- und DUS-Prüfung von Rasengräsern</w:t>
            </w:r>
          </w:p>
        </w:tc>
        <w:tc>
          <w:tcPr>
            <w:tcW w:w="1985" w:type="dxa"/>
          </w:tcPr>
          <w:p w14:paraId="547E4486" w14:textId="42350D30" w:rsidR="00424F87" w:rsidRPr="00A43EA1" w:rsidRDefault="00FD2A4D" w:rsidP="00C30F9D">
            <w:pPr>
              <w:keepNext/>
              <w:jc w:val="left"/>
              <w:rPr>
                <w:sz w:val="16"/>
              </w:rPr>
            </w:pPr>
            <w:r>
              <w:rPr>
                <w:sz w:val="16"/>
              </w:rPr>
              <w:t>Belarus</w:t>
            </w:r>
          </w:p>
          <w:p w14:paraId="0B17B09C" w14:textId="77777777" w:rsidR="00424F87" w:rsidRPr="00A43EA1" w:rsidRDefault="00424F87" w:rsidP="00C30F9D">
            <w:pPr>
              <w:keepNext/>
              <w:jc w:val="left"/>
              <w:rPr>
                <w:sz w:val="16"/>
              </w:rPr>
            </w:pPr>
            <w:r w:rsidRPr="00A43EA1">
              <w:rPr>
                <w:sz w:val="16"/>
              </w:rPr>
              <w:t>Deutschland</w:t>
            </w:r>
          </w:p>
        </w:tc>
        <w:tc>
          <w:tcPr>
            <w:tcW w:w="1559" w:type="dxa"/>
          </w:tcPr>
          <w:p w14:paraId="26DF01AD" w14:textId="77777777" w:rsidR="00424F87" w:rsidRPr="00A43EA1" w:rsidRDefault="00424F87" w:rsidP="00C30F9D">
            <w:pPr>
              <w:keepNext/>
              <w:jc w:val="left"/>
              <w:rPr>
                <w:sz w:val="16"/>
              </w:rPr>
            </w:pPr>
            <w:r w:rsidRPr="00A43EA1">
              <w:rPr>
                <w:sz w:val="16"/>
              </w:rPr>
              <w:t>Fruchtbare Zusammenarbeit</w:t>
            </w:r>
          </w:p>
        </w:tc>
      </w:tr>
      <w:tr w:rsidR="00424F87" w:rsidRPr="00A43EA1" w14:paraId="11FD974C" w14:textId="77777777" w:rsidTr="00FD2A4D">
        <w:tc>
          <w:tcPr>
            <w:tcW w:w="1106" w:type="dxa"/>
          </w:tcPr>
          <w:p w14:paraId="20453652" w14:textId="19AE2CCD" w:rsidR="00424F87" w:rsidRPr="00A43EA1" w:rsidRDefault="00424F87" w:rsidP="00C30F9D">
            <w:pPr>
              <w:keepNext/>
              <w:jc w:val="left"/>
              <w:rPr>
                <w:sz w:val="16"/>
              </w:rPr>
            </w:pPr>
            <w:r w:rsidRPr="00A43EA1">
              <w:rPr>
                <w:sz w:val="16"/>
              </w:rPr>
              <w:t>2. DUS-Ausbildungs</w:t>
            </w:r>
            <w:r w:rsidR="00FD2A4D">
              <w:rPr>
                <w:sz w:val="16"/>
              </w:rPr>
              <w:t>-</w:t>
            </w:r>
            <w:r w:rsidRPr="00A43EA1">
              <w:rPr>
                <w:sz w:val="16"/>
              </w:rPr>
              <w:t>lehrgang</w:t>
            </w:r>
          </w:p>
        </w:tc>
        <w:tc>
          <w:tcPr>
            <w:tcW w:w="821" w:type="dxa"/>
          </w:tcPr>
          <w:p w14:paraId="1A41A9A7" w14:textId="77777777" w:rsidR="00424F87" w:rsidRPr="00A43EA1" w:rsidRDefault="00424F87" w:rsidP="00C30F9D">
            <w:pPr>
              <w:keepNext/>
              <w:jc w:val="left"/>
              <w:rPr>
                <w:sz w:val="16"/>
              </w:rPr>
            </w:pPr>
            <w:r w:rsidRPr="00A43EA1">
              <w:rPr>
                <w:sz w:val="16"/>
              </w:rPr>
              <w:t>24-29 Juli, 2023</w:t>
            </w:r>
          </w:p>
        </w:tc>
        <w:tc>
          <w:tcPr>
            <w:tcW w:w="1022" w:type="dxa"/>
          </w:tcPr>
          <w:p w14:paraId="6416388B" w14:textId="77777777" w:rsidR="00424F87" w:rsidRPr="00A43EA1" w:rsidRDefault="00424F87" w:rsidP="00C30F9D">
            <w:pPr>
              <w:keepNext/>
              <w:jc w:val="left"/>
              <w:rPr>
                <w:sz w:val="16"/>
                <w:szCs w:val="16"/>
              </w:rPr>
            </w:pPr>
            <w:r w:rsidRPr="00A43EA1">
              <w:rPr>
                <w:sz w:val="16"/>
                <w:szCs w:val="16"/>
              </w:rPr>
              <w:t>Kasachstan, Altaj</w:t>
            </w:r>
          </w:p>
        </w:tc>
        <w:tc>
          <w:tcPr>
            <w:tcW w:w="1588" w:type="dxa"/>
          </w:tcPr>
          <w:p w14:paraId="43841446" w14:textId="77777777" w:rsidR="00424F87" w:rsidRPr="00A43EA1" w:rsidRDefault="00424F87" w:rsidP="00C30F9D">
            <w:pPr>
              <w:keepNext/>
              <w:jc w:val="left"/>
              <w:rPr>
                <w:sz w:val="16"/>
              </w:rPr>
            </w:pPr>
            <w:r w:rsidRPr="00A43EA1">
              <w:rPr>
                <w:sz w:val="16"/>
              </w:rPr>
              <w:t>Staatliche Kommission für die Sortenprüfung landwirtschaftlicher Kulturpflanzen von Kasachstan</w:t>
            </w:r>
          </w:p>
        </w:tc>
        <w:tc>
          <w:tcPr>
            <w:tcW w:w="1842" w:type="dxa"/>
          </w:tcPr>
          <w:p w14:paraId="3D0A8ADC" w14:textId="77777777" w:rsidR="00424F87" w:rsidRPr="00A43EA1" w:rsidRDefault="00424F87" w:rsidP="00C30F9D">
            <w:pPr>
              <w:keepNext/>
              <w:jc w:val="left"/>
              <w:rPr>
                <w:sz w:val="16"/>
              </w:rPr>
            </w:pPr>
            <w:r w:rsidRPr="00A43EA1">
              <w:rPr>
                <w:sz w:val="16"/>
              </w:rPr>
              <w:t>DUS-Ausbildungslehrgang</w:t>
            </w:r>
          </w:p>
        </w:tc>
        <w:tc>
          <w:tcPr>
            <w:tcW w:w="1985" w:type="dxa"/>
          </w:tcPr>
          <w:p w14:paraId="587DF40F" w14:textId="46BFCCC1" w:rsidR="00424F87" w:rsidRPr="00A43EA1" w:rsidRDefault="00FD2A4D" w:rsidP="00C30F9D">
            <w:pPr>
              <w:keepNext/>
              <w:jc w:val="left"/>
              <w:rPr>
                <w:sz w:val="16"/>
              </w:rPr>
            </w:pPr>
            <w:r>
              <w:rPr>
                <w:sz w:val="16"/>
              </w:rPr>
              <w:t>Belarus</w:t>
            </w:r>
          </w:p>
          <w:p w14:paraId="7308D0FE" w14:textId="77777777" w:rsidR="00424F87" w:rsidRPr="00A43EA1" w:rsidRDefault="00424F87" w:rsidP="00C30F9D">
            <w:pPr>
              <w:keepNext/>
              <w:jc w:val="left"/>
              <w:rPr>
                <w:sz w:val="16"/>
              </w:rPr>
            </w:pPr>
            <w:r w:rsidRPr="00A43EA1">
              <w:rPr>
                <w:sz w:val="16"/>
              </w:rPr>
              <w:t>Kasachstan</w:t>
            </w:r>
          </w:p>
        </w:tc>
        <w:tc>
          <w:tcPr>
            <w:tcW w:w="1559" w:type="dxa"/>
          </w:tcPr>
          <w:p w14:paraId="34468F8B" w14:textId="77777777" w:rsidR="00424F87" w:rsidRPr="00A43EA1" w:rsidRDefault="00424F87" w:rsidP="00C30F9D">
            <w:pPr>
              <w:keepNext/>
              <w:jc w:val="left"/>
              <w:rPr>
                <w:sz w:val="16"/>
              </w:rPr>
            </w:pPr>
            <w:r w:rsidRPr="00A43EA1">
              <w:rPr>
                <w:sz w:val="16"/>
              </w:rPr>
              <w:t>Nützliche Zusammenarbeit, insbesondere praktische Ausbildung auf DUS-Flächen</w:t>
            </w:r>
          </w:p>
        </w:tc>
      </w:tr>
      <w:tr w:rsidR="00424F87" w:rsidRPr="00A43EA1" w14:paraId="1A8B5639" w14:textId="77777777" w:rsidTr="00FD2A4D">
        <w:tc>
          <w:tcPr>
            <w:tcW w:w="1106" w:type="dxa"/>
          </w:tcPr>
          <w:p w14:paraId="48A2033E" w14:textId="49F97BCE" w:rsidR="00424F87" w:rsidRPr="00A43EA1" w:rsidRDefault="00424F87" w:rsidP="00C30F9D">
            <w:pPr>
              <w:keepNext/>
              <w:jc w:val="left"/>
              <w:rPr>
                <w:sz w:val="16"/>
              </w:rPr>
            </w:pPr>
            <w:r w:rsidRPr="00A43EA1">
              <w:rPr>
                <w:sz w:val="16"/>
              </w:rPr>
              <w:t>3. DUS-Ausbildungs</w:t>
            </w:r>
            <w:r w:rsidR="00FD2A4D">
              <w:rPr>
                <w:sz w:val="16"/>
              </w:rPr>
              <w:t>-</w:t>
            </w:r>
            <w:r w:rsidRPr="00A43EA1">
              <w:rPr>
                <w:sz w:val="16"/>
              </w:rPr>
              <w:t>lehrgang</w:t>
            </w:r>
          </w:p>
        </w:tc>
        <w:tc>
          <w:tcPr>
            <w:tcW w:w="821" w:type="dxa"/>
          </w:tcPr>
          <w:p w14:paraId="0A634A0D" w14:textId="77777777" w:rsidR="00424F87" w:rsidRPr="00A43EA1" w:rsidRDefault="00424F87" w:rsidP="00C30F9D">
            <w:pPr>
              <w:keepNext/>
              <w:jc w:val="left"/>
              <w:rPr>
                <w:sz w:val="16"/>
              </w:rPr>
            </w:pPr>
            <w:r w:rsidRPr="00A43EA1">
              <w:rPr>
                <w:sz w:val="16"/>
              </w:rPr>
              <w:t>10-13 August, 2023</w:t>
            </w:r>
          </w:p>
        </w:tc>
        <w:tc>
          <w:tcPr>
            <w:tcW w:w="1022" w:type="dxa"/>
          </w:tcPr>
          <w:p w14:paraId="1E1C971D" w14:textId="079E1601" w:rsidR="00424F87" w:rsidRPr="00A43EA1" w:rsidRDefault="00FD2A4D" w:rsidP="00C30F9D">
            <w:pPr>
              <w:keepNext/>
              <w:jc w:val="left"/>
              <w:rPr>
                <w:sz w:val="16"/>
              </w:rPr>
            </w:pPr>
            <w:r>
              <w:rPr>
                <w:sz w:val="16"/>
              </w:rPr>
              <w:t>Belarus</w:t>
            </w:r>
            <w:r w:rsidR="00424F87" w:rsidRPr="00A43EA1">
              <w:rPr>
                <w:sz w:val="16"/>
              </w:rPr>
              <w:t>, Minsk.</w:t>
            </w:r>
          </w:p>
          <w:p w14:paraId="49DDE477" w14:textId="77777777" w:rsidR="00424F87" w:rsidRPr="00A43EA1" w:rsidRDefault="00424F87" w:rsidP="00C30F9D">
            <w:pPr>
              <w:keepNext/>
              <w:jc w:val="left"/>
              <w:rPr>
                <w:sz w:val="16"/>
              </w:rPr>
            </w:pPr>
            <w:r w:rsidRPr="00A43EA1">
              <w:rPr>
                <w:sz w:val="16"/>
              </w:rPr>
              <w:t>Nesvizh.</w:t>
            </w:r>
          </w:p>
        </w:tc>
        <w:tc>
          <w:tcPr>
            <w:tcW w:w="1588" w:type="dxa"/>
          </w:tcPr>
          <w:p w14:paraId="60927428" w14:textId="77777777" w:rsidR="00424F87" w:rsidRPr="00A43EA1" w:rsidRDefault="00424F87" w:rsidP="00C30F9D">
            <w:pPr>
              <w:keepNext/>
              <w:jc w:val="left"/>
              <w:rPr>
                <w:sz w:val="16"/>
              </w:rPr>
            </w:pPr>
            <w:r w:rsidRPr="00A43EA1">
              <w:rPr>
                <w:sz w:val="16"/>
              </w:rPr>
              <w:t>SE "Staatliche Inspektion für die Prüfung und den Schutz von Pflanzenzüchtungen"</w:t>
            </w:r>
          </w:p>
        </w:tc>
        <w:tc>
          <w:tcPr>
            <w:tcW w:w="1842" w:type="dxa"/>
          </w:tcPr>
          <w:p w14:paraId="6D7F14F2" w14:textId="77777777" w:rsidR="00424F87" w:rsidRPr="00A43EA1" w:rsidRDefault="00424F87" w:rsidP="00C30F9D">
            <w:pPr>
              <w:keepNext/>
              <w:jc w:val="left"/>
              <w:rPr>
                <w:sz w:val="16"/>
              </w:rPr>
            </w:pPr>
            <w:r w:rsidRPr="00A43EA1">
              <w:rPr>
                <w:sz w:val="16"/>
              </w:rPr>
              <w:t>DUS-Ausbildungslehrgang</w:t>
            </w:r>
          </w:p>
        </w:tc>
        <w:tc>
          <w:tcPr>
            <w:tcW w:w="1985" w:type="dxa"/>
          </w:tcPr>
          <w:p w14:paraId="3F536FC4" w14:textId="73E0D3F6" w:rsidR="00424F87" w:rsidRPr="00A43EA1" w:rsidRDefault="00FD2A4D" w:rsidP="00C30F9D">
            <w:pPr>
              <w:keepNext/>
              <w:jc w:val="left"/>
              <w:rPr>
                <w:sz w:val="16"/>
              </w:rPr>
            </w:pPr>
            <w:r>
              <w:rPr>
                <w:sz w:val="16"/>
              </w:rPr>
              <w:t>Belarus</w:t>
            </w:r>
          </w:p>
          <w:p w14:paraId="7EF382BF" w14:textId="77777777" w:rsidR="00424F87" w:rsidRPr="00A43EA1" w:rsidRDefault="00424F87" w:rsidP="00C30F9D">
            <w:pPr>
              <w:keepNext/>
              <w:jc w:val="left"/>
              <w:rPr>
                <w:sz w:val="16"/>
              </w:rPr>
            </w:pPr>
            <w:r w:rsidRPr="00A43EA1">
              <w:rPr>
                <w:sz w:val="16"/>
              </w:rPr>
              <w:t>Usbekistan</w:t>
            </w:r>
          </w:p>
        </w:tc>
        <w:tc>
          <w:tcPr>
            <w:tcW w:w="1559" w:type="dxa"/>
          </w:tcPr>
          <w:p w14:paraId="5EEBE3B4" w14:textId="77777777" w:rsidR="00424F87" w:rsidRPr="00A43EA1" w:rsidRDefault="00424F87" w:rsidP="00C30F9D">
            <w:pPr>
              <w:keepNext/>
              <w:jc w:val="left"/>
              <w:rPr>
                <w:sz w:val="16"/>
              </w:rPr>
            </w:pPr>
            <w:r w:rsidRPr="00A43EA1">
              <w:rPr>
                <w:sz w:val="16"/>
              </w:rPr>
              <w:t>Nützliche Zusammenarbeit, insbesondere praktische Ausbildung auf DUS-Flächen</w:t>
            </w:r>
          </w:p>
        </w:tc>
      </w:tr>
    </w:tbl>
    <w:p w14:paraId="6E777669" w14:textId="77777777" w:rsidR="00424F87" w:rsidRPr="00A43EA1" w:rsidRDefault="00424F87" w:rsidP="00424F87"/>
    <w:p w14:paraId="780692B3" w14:textId="77777777" w:rsidR="00424F87" w:rsidRPr="00A43EA1" w:rsidRDefault="00424F87" w:rsidP="00424F87"/>
    <w:p w14:paraId="2F36E745" w14:textId="77777777" w:rsidR="00424F87" w:rsidRPr="00A43EA1" w:rsidRDefault="00424F87" w:rsidP="00424F87"/>
    <w:p w14:paraId="685320D9" w14:textId="12C2B1DB" w:rsidR="00424F87" w:rsidRPr="00A43EA1" w:rsidRDefault="00424F87" w:rsidP="00424F87">
      <w:pPr>
        <w:jc w:val="right"/>
      </w:pPr>
      <w:r w:rsidRPr="00A43EA1">
        <w:t>[</w:t>
      </w:r>
      <w:r w:rsidR="009E6E5A">
        <w:t>Anlage</w:t>
      </w:r>
      <w:r w:rsidRPr="00A43EA1">
        <w:t xml:space="preserve"> IV folgt]</w:t>
      </w:r>
    </w:p>
    <w:p w14:paraId="58201C6B" w14:textId="77777777" w:rsidR="00424F87" w:rsidRPr="00A43EA1" w:rsidRDefault="00424F87" w:rsidP="00424F87"/>
    <w:p w14:paraId="62EF0AD0" w14:textId="77777777" w:rsidR="00424F87" w:rsidRPr="00A43EA1" w:rsidRDefault="00424F87" w:rsidP="00424F87"/>
    <w:p w14:paraId="077EB485" w14:textId="77777777" w:rsidR="00424F87" w:rsidRPr="00A43EA1" w:rsidRDefault="00424F87" w:rsidP="00424F87">
      <w:pPr>
        <w:jc w:val="center"/>
        <w:sectPr w:rsidR="00424F87" w:rsidRPr="00A43EA1" w:rsidSect="000B2CE0">
          <w:headerReference w:type="default" r:id="rId12"/>
          <w:pgSz w:w="11907" w:h="16840" w:code="9"/>
          <w:pgMar w:top="510" w:right="1134" w:bottom="568" w:left="1134" w:header="510" w:footer="680" w:gutter="0"/>
          <w:pgNumType w:start="1"/>
          <w:cols w:space="720"/>
          <w:titlePg/>
        </w:sectPr>
      </w:pPr>
    </w:p>
    <w:p w14:paraId="22DFF576" w14:textId="77777777" w:rsidR="00424F87" w:rsidRPr="00A43EA1" w:rsidRDefault="00424F87" w:rsidP="00424F87">
      <w:pPr>
        <w:jc w:val="center"/>
      </w:pPr>
      <w:r w:rsidRPr="00A43EA1">
        <w:lastRenderedPageBreak/>
        <w:t>C/57/13</w:t>
      </w:r>
    </w:p>
    <w:p w14:paraId="04D86A9D" w14:textId="77777777" w:rsidR="00424F87" w:rsidRPr="00A43EA1" w:rsidRDefault="00424F87" w:rsidP="00424F87">
      <w:pPr>
        <w:jc w:val="center"/>
      </w:pPr>
    </w:p>
    <w:p w14:paraId="7D7ECC18" w14:textId="695BEB54" w:rsidR="00424F87" w:rsidRPr="00A43EA1" w:rsidRDefault="009E6E5A" w:rsidP="00424F87">
      <w:pPr>
        <w:jc w:val="center"/>
      </w:pPr>
      <w:r>
        <w:t>ANLAGE</w:t>
      </w:r>
      <w:r w:rsidR="00424F87" w:rsidRPr="00A43EA1">
        <w:t xml:space="preserve"> IV</w:t>
      </w:r>
    </w:p>
    <w:p w14:paraId="0468A45E" w14:textId="77777777" w:rsidR="00424F87" w:rsidRPr="00A43EA1" w:rsidRDefault="00424F87" w:rsidP="00424F87">
      <w:pPr>
        <w:jc w:val="center"/>
      </w:pPr>
    </w:p>
    <w:p w14:paraId="3D765023" w14:textId="77777777" w:rsidR="00424F87" w:rsidRPr="00A43EA1" w:rsidRDefault="00424F87" w:rsidP="00424F87">
      <w:pPr>
        <w:jc w:val="center"/>
      </w:pPr>
    </w:p>
    <w:p w14:paraId="7EED2C12" w14:textId="77777777" w:rsidR="00424F87" w:rsidRPr="00A43EA1" w:rsidRDefault="00424F87" w:rsidP="00424F87">
      <w:pPr>
        <w:jc w:val="center"/>
      </w:pPr>
      <w:r w:rsidRPr="00A43EA1">
        <w:t>BOSNIEN UND HERZEGOWINA</w:t>
      </w:r>
    </w:p>
    <w:p w14:paraId="7321917D" w14:textId="77777777" w:rsidR="00424F87" w:rsidRPr="00A43EA1" w:rsidRDefault="00424F87" w:rsidP="00424F87">
      <w:pPr>
        <w:jc w:val="center"/>
      </w:pPr>
      <w:r w:rsidRPr="00A43EA1">
        <w:t>(Originalsprache: englisch)</w:t>
      </w:r>
    </w:p>
    <w:p w14:paraId="69D752BB" w14:textId="77777777" w:rsidR="00424F87" w:rsidRPr="00A43EA1" w:rsidRDefault="00424F87" w:rsidP="00424F87"/>
    <w:p w14:paraId="048DC68D"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488D8FD9" w14:textId="77777777" w:rsidR="00424F87" w:rsidRPr="00A43EA1" w:rsidRDefault="00424F87" w:rsidP="00424F87">
      <w:pPr>
        <w:rPr>
          <w:u w:val="single"/>
        </w:rPr>
      </w:pPr>
      <w:r w:rsidRPr="00A43EA1">
        <w:rPr>
          <w:u w:val="single"/>
        </w:rPr>
        <w:t>Tätigkeiten zur Förderung des Sortenschutzes</w:t>
      </w:r>
    </w:p>
    <w:p w14:paraId="79D460BA" w14:textId="77777777" w:rsidR="00424F87" w:rsidRPr="00A43EA1" w:rsidRDefault="00424F87" w:rsidP="00424F87"/>
    <w:tbl>
      <w:tblPr>
        <w:tblStyle w:val="TableGrid"/>
        <w:tblW w:w="9634" w:type="dxa"/>
        <w:tblLayout w:type="fixed"/>
        <w:tblCellMar>
          <w:top w:w="28" w:type="dxa"/>
          <w:left w:w="57" w:type="dxa"/>
          <w:bottom w:w="28" w:type="dxa"/>
          <w:right w:w="57" w:type="dxa"/>
        </w:tblCellMar>
        <w:tblLook w:val="01E0" w:firstRow="1" w:lastRow="1" w:firstColumn="1" w:lastColumn="1" w:noHBand="0" w:noVBand="0"/>
      </w:tblPr>
      <w:tblGrid>
        <w:gridCol w:w="1413"/>
        <w:gridCol w:w="826"/>
        <w:gridCol w:w="850"/>
        <w:gridCol w:w="1442"/>
        <w:gridCol w:w="2552"/>
        <w:gridCol w:w="2551"/>
      </w:tblGrid>
      <w:tr w:rsidR="00424F87" w:rsidRPr="00A43EA1" w14:paraId="7743FCF6" w14:textId="77777777" w:rsidTr="00094FE1">
        <w:tc>
          <w:tcPr>
            <w:tcW w:w="1413" w:type="dxa"/>
          </w:tcPr>
          <w:p w14:paraId="638FCB29" w14:textId="77777777" w:rsidR="00424F87" w:rsidRPr="00A43EA1" w:rsidRDefault="00424F87" w:rsidP="00C30F9D">
            <w:pPr>
              <w:keepNext/>
              <w:jc w:val="left"/>
              <w:rPr>
                <w:sz w:val="16"/>
              </w:rPr>
            </w:pPr>
            <w:r w:rsidRPr="00A43EA1">
              <w:rPr>
                <w:sz w:val="16"/>
              </w:rPr>
              <w:t>Titel der Aktivität</w:t>
            </w:r>
          </w:p>
        </w:tc>
        <w:tc>
          <w:tcPr>
            <w:tcW w:w="826" w:type="dxa"/>
          </w:tcPr>
          <w:p w14:paraId="1E71CD05" w14:textId="77777777" w:rsidR="00424F87" w:rsidRPr="00A43EA1" w:rsidRDefault="00424F87" w:rsidP="00C30F9D">
            <w:pPr>
              <w:keepNext/>
              <w:jc w:val="left"/>
              <w:rPr>
                <w:sz w:val="16"/>
              </w:rPr>
            </w:pPr>
            <w:r w:rsidRPr="00A43EA1">
              <w:rPr>
                <w:sz w:val="16"/>
              </w:rPr>
              <w:t>Datum</w:t>
            </w:r>
          </w:p>
        </w:tc>
        <w:tc>
          <w:tcPr>
            <w:tcW w:w="850" w:type="dxa"/>
          </w:tcPr>
          <w:p w14:paraId="0ED30C97" w14:textId="77777777" w:rsidR="00424F87" w:rsidRPr="00A43EA1" w:rsidRDefault="00424F87" w:rsidP="00C30F9D">
            <w:pPr>
              <w:keepNext/>
              <w:jc w:val="left"/>
              <w:rPr>
                <w:sz w:val="16"/>
              </w:rPr>
            </w:pPr>
            <w:r w:rsidRPr="00A43EA1">
              <w:rPr>
                <w:sz w:val="16"/>
              </w:rPr>
              <w:t>Standort</w:t>
            </w:r>
          </w:p>
        </w:tc>
        <w:tc>
          <w:tcPr>
            <w:tcW w:w="1442" w:type="dxa"/>
          </w:tcPr>
          <w:p w14:paraId="5196B32E" w14:textId="77777777" w:rsidR="00424F87" w:rsidRPr="00A43EA1" w:rsidRDefault="00424F87" w:rsidP="00C30F9D">
            <w:pPr>
              <w:keepNext/>
              <w:jc w:val="left"/>
              <w:rPr>
                <w:sz w:val="16"/>
              </w:rPr>
            </w:pPr>
            <w:r w:rsidRPr="00A43EA1">
              <w:rPr>
                <w:sz w:val="16"/>
              </w:rPr>
              <w:t>Organisator(en)</w:t>
            </w:r>
          </w:p>
        </w:tc>
        <w:tc>
          <w:tcPr>
            <w:tcW w:w="2552" w:type="dxa"/>
          </w:tcPr>
          <w:p w14:paraId="1D64B9A4" w14:textId="77777777" w:rsidR="00424F87" w:rsidRPr="00A43EA1" w:rsidRDefault="00424F87" w:rsidP="00C30F9D">
            <w:pPr>
              <w:keepNext/>
              <w:jc w:val="left"/>
              <w:rPr>
                <w:sz w:val="16"/>
              </w:rPr>
            </w:pPr>
            <w:r w:rsidRPr="00A43EA1">
              <w:rPr>
                <w:sz w:val="16"/>
              </w:rPr>
              <w:t>Zweck der Tätigkeit</w:t>
            </w:r>
          </w:p>
        </w:tc>
        <w:tc>
          <w:tcPr>
            <w:tcW w:w="2551" w:type="dxa"/>
          </w:tcPr>
          <w:p w14:paraId="3C327875" w14:textId="77777777" w:rsidR="00424F87" w:rsidRPr="00A43EA1" w:rsidRDefault="00424F87" w:rsidP="00C30F9D">
            <w:pPr>
              <w:keepNext/>
              <w:jc w:val="left"/>
              <w:rPr>
                <w:sz w:val="16"/>
              </w:rPr>
            </w:pPr>
            <w:r w:rsidRPr="00A43EA1">
              <w:rPr>
                <w:sz w:val="16"/>
              </w:rPr>
              <w:t>Teilnehmende Länder/Organisationen (Anzahl der Teilnehmer aus jedem Land)</w:t>
            </w:r>
          </w:p>
        </w:tc>
      </w:tr>
      <w:tr w:rsidR="00424F87" w:rsidRPr="00A43EA1" w14:paraId="39CA4E80" w14:textId="77777777" w:rsidTr="00094FE1">
        <w:tc>
          <w:tcPr>
            <w:tcW w:w="1413" w:type="dxa"/>
          </w:tcPr>
          <w:p w14:paraId="064C6F1E" w14:textId="77777777" w:rsidR="00424F87" w:rsidRPr="00A43EA1" w:rsidRDefault="00424F87" w:rsidP="00C30F9D">
            <w:pPr>
              <w:jc w:val="left"/>
              <w:rPr>
                <w:sz w:val="16"/>
              </w:rPr>
            </w:pPr>
            <w:r w:rsidRPr="00A43EA1">
              <w:rPr>
                <w:sz w:val="16"/>
              </w:rPr>
              <w:t>TAIEX-Arbeitstagung über die Ausbildung für die Erteilung von Züchterrechten und die Anmeldung nach dem CPVO</w:t>
            </w:r>
          </w:p>
          <w:p w14:paraId="3D4F8E37" w14:textId="77777777" w:rsidR="00424F87" w:rsidRPr="00A43EA1" w:rsidRDefault="00424F87" w:rsidP="00C30F9D">
            <w:pPr>
              <w:keepNext/>
              <w:jc w:val="left"/>
              <w:rPr>
                <w:sz w:val="16"/>
              </w:rPr>
            </w:pPr>
          </w:p>
        </w:tc>
        <w:tc>
          <w:tcPr>
            <w:tcW w:w="826" w:type="dxa"/>
          </w:tcPr>
          <w:p w14:paraId="300FB64A" w14:textId="77777777" w:rsidR="00424F87" w:rsidRPr="00A43EA1" w:rsidRDefault="00424F87" w:rsidP="00C30F9D">
            <w:pPr>
              <w:keepNext/>
              <w:jc w:val="left"/>
              <w:rPr>
                <w:sz w:val="16"/>
              </w:rPr>
            </w:pPr>
            <w:r w:rsidRPr="00A43EA1">
              <w:rPr>
                <w:sz w:val="16"/>
              </w:rPr>
              <w:t>19/09/23</w:t>
            </w:r>
          </w:p>
        </w:tc>
        <w:tc>
          <w:tcPr>
            <w:tcW w:w="850" w:type="dxa"/>
          </w:tcPr>
          <w:p w14:paraId="65D0F458" w14:textId="77777777" w:rsidR="00424F87" w:rsidRPr="00A43EA1" w:rsidRDefault="00424F87" w:rsidP="00C30F9D">
            <w:pPr>
              <w:keepNext/>
              <w:jc w:val="left"/>
              <w:rPr>
                <w:sz w:val="16"/>
              </w:rPr>
            </w:pPr>
            <w:r w:rsidRPr="00A43EA1">
              <w:rPr>
                <w:sz w:val="16"/>
              </w:rPr>
              <w:t>Sarajevo</w:t>
            </w:r>
          </w:p>
        </w:tc>
        <w:tc>
          <w:tcPr>
            <w:tcW w:w="1442" w:type="dxa"/>
          </w:tcPr>
          <w:p w14:paraId="1C3ACE67" w14:textId="77777777" w:rsidR="00424F87" w:rsidRPr="00A43EA1" w:rsidRDefault="00424F87" w:rsidP="00C30F9D">
            <w:pPr>
              <w:keepNext/>
              <w:jc w:val="left"/>
              <w:rPr>
                <w:sz w:val="16"/>
              </w:rPr>
            </w:pPr>
            <w:r w:rsidRPr="00A43EA1">
              <w:rPr>
                <w:sz w:val="16"/>
              </w:rPr>
              <w:t>TAIEX</w:t>
            </w:r>
          </w:p>
          <w:p w14:paraId="170D179E" w14:textId="77777777" w:rsidR="00424F87" w:rsidRPr="00A43EA1" w:rsidRDefault="00424F87" w:rsidP="00C30F9D">
            <w:pPr>
              <w:jc w:val="left"/>
              <w:rPr>
                <w:sz w:val="16"/>
              </w:rPr>
            </w:pPr>
            <w:r w:rsidRPr="00A43EA1">
              <w:rPr>
                <w:sz w:val="16"/>
              </w:rPr>
              <w:t>in Zusammenarbeit mit der Verwaltung von Bosnien und Herzegowina für Pflanzenschutz</w:t>
            </w:r>
          </w:p>
        </w:tc>
        <w:tc>
          <w:tcPr>
            <w:tcW w:w="2552" w:type="dxa"/>
          </w:tcPr>
          <w:p w14:paraId="6C4FC5D6" w14:textId="77777777" w:rsidR="00424F87" w:rsidRPr="00A43EA1" w:rsidRDefault="00424F87" w:rsidP="00C30F9D">
            <w:pPr>
              <w:keepNext/>
              <w:jc w:val="left"/>
              <w:rPr>
                <w:sz w:val="16"/>
              </w:rPr>
            </w:pPr>
            <w:r w:rsidRPr="00A43EA1">
              <w:rPr>
                <w:sz w:val="16"/>
              </w:rPr>
              <w:t>Internationaler Rechtsrahmen (CPVO, UPOV, EU)</w:t>
            </w:r>
          </w:p>
          <w:p w14:paraId="4B65A0D9" w14:textId="77777777" w:rsidR="00424F87" w:rsidRPr="00A43EA1" w:rsidRDefault="00424F87" w:rsidP="00C30F9D">
            <w:pPr>
              <w:keepNext/>
              <w:jc w:val="left"/>
              <w:rPr>
                <w:sz w:val="16"/>
              </w:rPr>
            </w:pPr>
            <w:r w:rsidRPr="00A43EA1">
              <w:rPr>
                <w:sz w:val="16"/>
              </w:rPr>
              <w:t>Rechtsrahmen von BiH,</w:t>
            </w:r>
          </w:p>
          <w:p w14:paraId="14D87349" w14:textId="77777777" w:rsidR="00424F87" w:rsidRPr="00A43EA1" w:rsidRDefault="00424F87" w:rsidP="00C30F9D">
            <w:pPr>
              <w:keepNext/>
              <w:jc w:val="left"/>
              <w:rPr>
                <w:sz w:val="16"/>
              </w:rPr>
            </w:pPr>
            <w:r w:rsidRPr="00A43EA1">
              <w:rPr>
                <w:sz w:val="16"/>
              </w:rPr>
              <w:t>Werkzeuge für ein IT-gestütztes System für PVR,</w:t>
            </w:r>
          </w:p>
          <w:p w14:paraId="4ECB71D0" w14:textId="77777777" w:rsidR="00424F87" w:rsidRPr="00A43EA1" w:rsidRDefault="00424F87" w:rsidP="00C30F9D">
            <w:pPr>
              <w:keepNext/>
              <w:jc w:val="left"/>
              <w:rPr>
                <w:sz w:val="16"/>
              </w:rPr>
            </w:pPr>
            <w:r w:rsidRPr="00A43EA1">
              <w:rPr>
                <w:sz w:val="16"/>
              </w:rPr>
              <w:t>Die agrarökonomischen Auswirkungen auf den Sortenschutz in der Praxis, die unterschiedlichen Ansichten der Beteiligten,</w:t>
            </w:r>
          </w:p>
          <w:p w14:paraId="6DDA1E8A" w14:textId="77777777" w:rsidR="00424F87" w:rsidRPr="00A43EA1" w:rsidRDefault="00424F87" w:rsidP="00C30F9D">
            <w:pPr>
              <w:keepNext/>
              <w:jc w:val="left"/>
              <w:rPr>
                <w:sz w:val="16"/>
              </w:rPr>
            </w:pPr>
            <w:r w:rsidRPr="00A43EA1">
              <w:rPr>
                <w:sz w:val="16"/>
              </w:rPr>
              <w:t>Technischer Hintergrund und Verfahren zum PVR</w:t>
            </w:r>
          </w:p>
          <w:p w14:paraId="63D27623" w14:textId="77777777" w:rsidR="00424F87" w:rsidRPr="00A43EA1" w:rsidRDefault="00424F87" w:rsidP="00C30F9D">
            <w:pPr>
              <w:keepNext/>
              <w:jc w:val="left"/>
              <w:rPr>
                <w:sz w:val="16"/>
              </w:rPr>
            </w:pPr>
            <w:r w:rsidRPr="00A43EA1">
              <w:rPr>
                <w:sz w:val="16"/>
              </w:rPr>
              <w:t>(CPVO-Ansatz; Datenbank des CPVO/UPOV, Technische Richtlinien, Prüfungsverfahren usw.)</w:t>
            </w:r>
          </w:p>
          <w:p w14:paraId="1C0B0D09" w14:textId="77777777" w:rsidR="00424F87" w:rsidRPr="00A43EA1" w:rsidRDefault="00424F87" w:rsidP="00C30F9D">
            <w:pPr>
              <w:jc w:val="left"/>
              <w:rPr>
                <w:sz w:val="16"/>
              </w:rPr>
            </w:pPr>
          </w:p>
          <w:p w14:paraId="6EFFD075" w14:textId="77777777" w:rsidR="00424F87" w:rsidRPr="00A43EA1" w:rsidRDefault="00424F87" w:rsidP="00C30F9D">
            <w:pPr>
              <w:jc w:val="left"/>
              <w:rPr>
                <w:sz w:val="16"/>
              </w:rPr>
            </w:pPr>
            <w:r w:rsidRPr="00A43EA1">
              <w:rPr>
                <w:sz w:val="16"/>
              </w:rPr>
              <w:t>Information der Teilnehmer/Züchter in Bosnien und Herzegowina über die Bedeutung der Schaffung neuer Sorten und die Möglichkeit des Sortenschutzes auf Ebene der Europäischen Union.</w:t>
            </w:r>
          </w:p>
          <w:p w14:paraId="66ED0F90" w14:textId="77777777" w:rsidR="00424F87" w:rsidRPr="00A43EA1" w:rsidRDefault="00424F87" w:rsidP="00C30F9D">
            <w:pPr>
              <w:jc w:val="left"/>
              <w:rPr>
                <w:sz w:val="16"/>
              </w:rPr>
            </w:pPr>
            <w:r w:rsidRPr="00A43EA1">
              <w:rPr>
                <w:sz w:val="16"/>
              </w:rPr>
              <w:t>Da es sich um ein neues Kapitel im Zusammenhang mit dem Schutz neuer Sorten handelt, ist es notwendig, die Teilnehmer mit dem Antragsverfahren, dem Verfahren zur Erlangung des Sortenschutzes, dem Umfang des Sortenschutzes und dessen Umsetzung in der Europäischen Union vertraut zu machen.</w:t>
            </w:r>
          </w:p>
          <w:p w14:paraId="2F7AF948" w14:textId="77777777" w:rsidR="00424F87" w:rsidRPr="00A43EA1" w:rsidRDefault="00424F87" w:rsidP="00C30F9D">
            <w:pPr>
              <w:jc w:val="left"/>
              <w:rPr>
                <w:sz w:val="16"/>
              </w:rPr>
            </w:pPr>
          </w:p>
        </w:tc>
        <w:tc>
          <w:tcPr>
            <w:tcW w:w="2551" w:type="dxa"/>
          </w:tcPr>
          <w:p w14:paraId="1BB9FD33" w14:textId="77777777" w:rsidR="00424F87" w:rsidRPr="00A43EA1" w:rsidRDefault="00424F87" w:rsidP="00C30F9D">
            <w:pPr>
              <w:keepNext/>
              <w:jc w:val="left"/>
              <w:rPr>
                <w:sz w:val="16"/>
              </w:rPr>
            </w:pPr>
            <w:r w:rsidRPr="00A43EA1">
              <w:rPr>
                <w:sz w:val="16"/>
              </w:rPr>
              <w:t>Teilnehmer aus Bosnien und Herzegowina</w:t>
            </w:r>
          </w:p>
          <w:p w14:paraId="4933504A" w14:textId="77777777" w:rsidR="00424F87" w:rsidRPr="00A43EA1" w:rsidRDefault="00424F87" w:rsidP="00C30F9D">
            <w:pPr>
              <w:keepNext/>
              <w:jc w:val="left"/>
              <w:rPr>
                <w:sz w:val="16"/>
              </w:rPr>
            </w:pPr>
          </w:p>
          <w:p w14:paraId="509BFAA7" w14:textId="77777777" w:rsidR="00424F87" w:rsidRPr="00A43EA1" w:rsidRDefault="00424F87" w:rsidP="00C30F9D">
            <w:pPr>
              <w:keepNext/>
              <w:jc w:val="left"/>
              <w:rPr>
                <w:sz w:val="16"/>
              </w:rPr>
            </w:pPr>
            <w:r w:rsidRPr="00A43EA1">
              <w:rPr>
                <w:sz w:val="16"/>
              </w:rPr>
              <w:t>18 Teilnehmer aus:</w:t>
            </w:r>
          </w:p>
          <w:p w14:paraId="0AEBB55C" w14:textId="77777777" w:rsidR="00424F87" w:rsidRPr="00A43EA1" w:rsidRDefault="00424F87" w:rsidP="00C30F9D">
            <w:pPr>
              <w:jc w:val="left"/>
              <w:rPr>
                <w:sz w:val="16"/>
              </w:rPr>
            </w:pPr>
          </w:p>
          <w:p w14:paraId="0F9931FD"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Ministerium für Landwirtschaft, Forstwirtschaft und Wasserwirtschaft der Republik Srpska, Banja Luka</w:t>
            </w:r>
          </w:p>
          <w:p w14:paraId="031F66CB"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Föderale Verwaltung für Inspektionsarbeiten, Sarajewo</w:t>
            </w:r>
          </w:p>
          <w:p w14:paraId="66B72FD8"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Universität von Banja Luka</w:t>
            </w:r>
          </w:p>
          <w:p w14:paraId="1CB350DB"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 xml:space="preserve">Bürgermeisteramt, Inspektorat, Brčko </w:t>
            </w:r>
          </w:p>
          <w:p w14:paraId="2631B4CE"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Fakultät für Agrar- und Ernährungswissenschaften - Universität Sarajevo</w:t>
            </w:r>
          </w:p>
          <w:p w14:paraId="5BF2151B"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Stiftung ALICA</w:t>
            </w:r>
          </w:p>
          <w:p w14:paraId="71209794"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Bundesanstalt für Landwirtschaft, Sarajewo</w:t>
            </w:r>
          </w:p>
          <w:p w14:paraId="0A6402C1" w14:textId="77777777" w:rsidR="00424F87" w:rsidRPr="00A43EA1" w:rsidRDefault="00424F87" w:rsidP="00C30F9D">
            <w:pPr>
              <w:pStyle w:val="ListParagraph"/>
              <w:numPr>
                <w:ilvl w:val="0"/>
                <w:numId w:val="17"/>
              </w:numPr>
              <w:ind w:left="106" w:hanging="106"/>
              <w:jc w:val="left"/>
              <w:rPr>
                <w:sz w:val="16"/>
                <w:lang w:val="de-DE"/>
              </w:rPr>
            </w:pPr>
            <w:r w:rsidRPr="00A43EA1">
              <w:rPr>
                <w:sz w:val="16"/>
                <w:lang w:val="de-DE"/>
              </w:rPr>
              <w:t>Verwaltung von Bosnien und Herzegowina für Pflanzenschutz</w:t>
            </w:r>
          </w:p>
        </w:tc>
      </w:tr>
    </w:tbl>
    <w:p w14:paraId="21325AAB" w14:textId="77777777" w:rsidR="00424F87" w:rsidRPr="00A43EA1" w:rsidRDefault="00424F87" w:rsidP="00424F87"/>
    <w:p w14:paraId="23CD279E" w14:textId="77777777" w:rsidR="00424F87" w:rsidRPr="00A43EA1" w:rsidRDefault="00424F87" w:rsidP="00424F87"/>
    <w:p w14:paraId="1075958B" w14:textId="77777777" w:rsidR="00424F87" w:rsidRPr="00A43EA1" w:rsidRDefault="00424F87" w:rsidP="00424F87">
      <w:pPr>
        <w:rPr>
          <w:bCs/>
          <w:u w:val="single"/>
        </w:rPr>
      </w:pPr>
      <w:r w:rsidRPr="00A43EA1">
        <w:rPr>
          <w:bCs/>
          <w:u w:val="single"/>
        </w:rPr>
        <w:t>Andere Entwicklungen von Bedeutung für die UPOV</w:t>
      </w:r>
    </w:p>
    <w:p w14:paraId="09F6B15E" w14:textId="77777777" w:rsidR="00424F87" w:rsidRPr="00A43EA1" w:rsidRDefault="00424F87" w:rsidP="00424F87"/>
    <w:p w14:paraId="57FF1BA5" w14:textId="77777777" w:rsidR="00424F87" w:rsidRPr="00A43EA1" w:rsidRDefault="00424F87" w:rsidP="00424F87">
      <w:r w:rsidRPr="00A43EA1">
        <w:t>Der Experte führte eine Lückenanalyse durch und erörterte sie mit den bosnischen Kollegen; außerdem überprüfte und diskutierte er den Entwurf des Regelwerks für Kleinbauern.</w:t>
      </w:r>
    </w:p>
    <w:p w14:paraId="70D46121" w14:textId="77777777" w:rsidR="00424F87" w:rsidRPr="00A43EA1" w:rsidRDefault="00424F87" w:rsidP="00424F87"/>
    <w:p w14:paraId="1E9F272D" w14:textId="77777777" w:rsidR="00424F87" w:rsidRPr="00A43EA1" w:rsidRDefault="00424F87" w:rsidP="00424F87">
      <w:r w:rsidRPr="00A43EA1">
        <w:t>Bei der Lückenanalyse wurde besonderes Augenmerk auf folgende Punkte gelegt</w:t>
      </w:r>
    </w:p>
    <w:p w14:paraId="5AAEAA4F" w14:textId="77777777" w:rsidR="00424F87" w:rsidRPr="00A43EA1" w:rsidRDefault="00424F87" w:rsidP="00424F87"/>
    <w:p w14:paraId="79C8850B" w14:textId="77777777" w:rsidR="00424F87" w:rsidRPr="00A43EA1" w:rsidRDefault="00424F87" w:rsidP="00424F87">
      <w:r w:rsidRPr="00A43EA1">
        <w:t>Die Durchführungsmaßnahmen zu den Gebühren für die Erteilung und Aufrechterhaltung von Züchterrechten sind auszuarbeiten</w:t>
      </w:r>
      <w:r w:rsidRPr="00A43EA1">
        <w:rPr>
          <w:rFonts w:ascii="Segoe UI Symbol" w:hAnsi="Segoe UI Symbol" w:cs="Segoe UI Symbol"/>
        </w:rPr>
        <w:t>.</w:t>
      </w:r>
    </w:p>
    <w:p w14:paraId="1CA4E9DD" w14:textId="77777777" w:rsidR="00424F87" w:rsidRPr="00A43EA1" w:rsidRDefault="00424F87" w:rsidP="00424F87">
      <w:r w:rsidRPr="00A43EA1">
        <w:rPr>
          <w:rFonts w:ascii="Segoe UI Symbol" w:hAnsi="Segoe UI Symbol" w:cs="Segoe UI Symbol"/>
        </w:rPr>
        <w:t xml:space="preserve">➢ </w:t>
      </w:r>
      <w:r w:rsidRPr="00A43EA1">
        <w:t>Kommission für den Schutz von Pflanzenzüchtungen wird eingesetzt</w:t>
      </w:r>
    </w:p>
    <w:p w14:paraId="7DAC884A" w14:textId="77777777" w:rsidR="00424F87" w:rsidRPr="00A43EA1" w:rsidRDefault="00424F87" w:rsidP="00424F87">
      <w:r w:rsidRPr="00AC4A06">
        <w:rPr>
          <w:rFonts w:ascii="Segoe UI Symbol" w:hAnsi="Segoe UI Symbol" w:cs="Segoe UI Symbol"/>
        </w:rPr>
        <w:t>➢</w:t>
      </w:r>
      <w:r w:rsidRPr="00AC4A06">
        <w:t xml:space="preserve"> Einsetzung eines</w:t>
      </w:r>
      <w:r w:rsidRPr="00A43EA1">
        <w:rPr>
          <w:rFonts w:ascii="Segoe UI Symbol" w:hAnsi="Segoe UI Symbol" w:cs="Segoe UI Symbol"/>
        </w:rPr>
        <w:t xml:space="preserve"> </w:t>
      </w:r>
      <w:r w:rsidRPr="00A43EA1">
        <w:t>Beschwerdeausschusses</w:t>
      </w:r>
    </w:p>
    <w:p w14:paraId="5EF58A3F" w14:textId="77777777" w:rsidR="00424F87" w:rsidRPr="00A43EA1" w:rsidRDefault="00424F87" w:rsidP="00424F87">
      <w:r w:rsidRPr="00A43EA1">
        <w:rPr>
          <w:rFonts w:ascii="Segoe UI Symbol" w:hAnsi="Segoe UI Symbol" w:cs="Segoe UI Symbol"/>
        </w:rPr>
        <w:t xml:space="preserve">➢ </w:t>
      </w:r>
      <w:r w:rsidRPr="00A43EA1">
        <w:t>Entwurf eines Regelwerks für das Register der Züchterrechte</w:t>
      </w:r>
    </w:p>
    <w:p w14:paraId="0CC58D66" w14:textId="77777777" w:rsidR="00424F87" w:rsidRPr="00A43EA1" w:rsidRDefault="00424F87" w:rsidP="00424F87">
      <w:r w:rsidRPr="00A43EA1">
        <w:rPr>
          <w:rFonts w:ascii="Segoe UI Symbol" w:hAnsi="Segoe UI Symbol" w:cs="Segoe UI Symbol"/>
        </w:rPr>
        <w:t xml:space="preserve">➢ </w:t>
      </w:r>
      <w:r w:rsidRPr="00A43EA1">
        <w:t>Entwurf eines Regelwerks zur Definition des Begriffs "Kleinlandwirt</w:t>
      </w:r>
    </w:p>
    <w:p w14:paraId="11CE34DC" w14:textId="77777777" w:rsidR="00424F87" w:rsidRPr="00A43EA1" w:rsidRDefault="00424F87" w:rsidP="00424F87"/>
    <w:p w14:paraId="2ECE953E" w14:textId="77777777" w:rsidR="00424F87" w:rsidRPr="00A43EA1" w:rsidRDefault="00424F87" w:rsidP="00424F87">
      <w:r w:rsidRPr="00A43EA1">
        <w:t>Was das Regelwerk für Kleinbauern betrifft, so bezog sich der wichtigste Kommentar auf die Kriterien, auf deren Grundlage die Grenze von 3 Hektar festgelegt wurde. Dies ist die Grenze der Betriebsgröße, unterhalb derer die Landwirte gemäß der fakultativen Ausnahmeregelung des UPOV-Übereinkommens von der Zahlung von Lizenzgebühren für geschützte Sorten befreit wären.</w:t>
      </w:r>
    </w:p>
    <w:p w14:paraId="464043A4" w14:textId="77777777" w:rsidR="00424F87" w:rsidRPr="00A43EA1" w:rsidRDefault="00424F87" w:rsidP="00424F87"/>
    <w:p w14:paraId="2A6FB56F" w14:textId="77777777" w:rsidR="00424F87" w:rsidRPr="00A43EA1" w:rsidRDefault="00424F87" w:rsidP="004701E6">
      <w:pPr>
        <w:keepLines/>
      </w:pPr>
      <w:r w:rsidRPr="00A43EA1">
        <w:lastRenderedPageBreak/>
        <w:t>Bei der Festlegung dieser Obergrenze sollten die allgemeinen Merkmale der Landwirtschaft in Bosnien und Herzegowina, die durchschnittliche Größe der Betriebe und die wichtigsten Kulturen berücksichtigt werden, um ein angemessenes Gleichgewicht zwischen den berechtigten Interessen des Züchters und der Kosten-Nutzen-Analyse für die Erhebung von Lizenzgebühren bei bestimmten Kleinbauern zu finden.</w:t>
      </w:r>
    </w:p>
    <w:p w14:paraId="1A902869" w14:textId="77777777" w:rsidR="00424F87" w:rsidRPr="00A43EA1" w:rsidRDefault="00424F87" w:rsidP="00424F87"/>
    <w:p w14:paraId="276B09C1" w14:textId="77777777" w:rsidR="00424F87" w:rsidRPr="00A43EA1" w:rsidRDefault="00424F87" w:rsidP="00424F87">
      <w:r w:rsidRPr="00A43EA1">
        <w:t>In den Vorträgen wurden Beispiele für die Situation in Polen, der Tschechischen Republik, den Niederlanden, Italien und allgemein im EU-Kontext genannt.</w:t>
      </w:r>
    </w:p>
    <w:p w14:paraId="50620123" w14:textId="77777777" w:rsidR="00424F87" w:rsidRPr="00A43EA1" w:rsidRDefault="00424F87" w:rsidP="00424F87"/>
    <w:p w14:paraId="5AD27541" w14:textId="77777777" w:rsidR="00424F87" w:rsidRPr="00A43EA1" w:rsidRDefault="00424F87" w:rsidP="00424F87">
      <w:r w:rsidRPr="00A43EA1">
        <w:t>Gemäß der EG-Verordnung 1768/95 (zur Durchführung von Artikel 14 der Grundverordnung 2100/94 über Züchterrechte) gilt ein Landwirt, der weniger als 92 Tonnen Getreide und/oder 185 Tonnen Kartoffeln erzeugt, als "Kleinlandwirt" und ist als solcher nicht verpflichtet, Lizenzgebühren an den Züchter zu zahlen.</w:t>
      </w:r>
    </w:p>
    <w:p w14:paraId="56E91AC6" w14:textId="77777777" w:rsidR="00424F87" w:rsidRPr="00A43EA1" w:rsidRDefault="00424F87" w:rsidP="00424F87"/>
    <w:p w14:paraId="47B507CE" w14:textId="77777777" w:rsidR="00424F87" w:rsidRPr="00A43EA1" w:rsidRDefault="00424F87" w:rsidP="00424F87">
      <w:r w:rsidRPr="00A43EA1">
        <w:t>Außerdem wurde festgestellt, dass die englische Fassung des Entwurfs des Regelwerks geringfügig redaktionell und sprachlich überarbeitet werden muss.</w:t>
      </w:r>
    </w:p>
    <w:p w14:paraId="06F93691" w14:textId="77777777" w:rsidR="00424F87" w:rsidRPr="00A43EA1" w:rsidRDefault="00424F87" w:rsidP="00424F87"/>
    <w:p w14:paraId="21AF0C27" w14:textId="77777777" w:rsidR="00424F87" w:rsidRPr="00A43EA1" w:rsidRDefault="00424F87" w:rsidP="00424F87">
      <w:r w:rsidRPr="00A43EA1">
        <w:t>Die Mission wurde durch die Zusammenarbeit mit den Kollegen der PHPA erheblich erleichtert. In Anbetracht der Bedingungen für die Arbeit per Videokonferenz sind keine Schwierigkeiten aufgetreten.</w:t>
      </w:r>
    </w:p>
    <w:p w14:paraId="537205D7" w14:textId="77777777" w:rsidR="00424F87" w:rsidRPr="00A43EA1" w:rsidRDefault="00424F87" w:rsidP="00424F87"/>
    <w:p w14:paraId="5856E27E" w14:textId="77777777" w:rsidR="00424F87" w:rsidRPr="00A43EA1" w:rsidRDefault="00424F87" w:rsidP="00424F87">
      <w:r w:rsidRPr="00A43EA1">
        <w:t>Es wird empfohlen, dies zu tun:</w:t>
      </w:r>
    </w:p>
    <w:p w14:paraId="183BF05D" w14:textId="77777777" w:rsidR="00424F87" w:rsidRPr="00A43EA1" w:rsidRDefault="00424F87" w:rsidP="00424F87"/>
    <w:p w14:paraId="4E80EB89" w14:textId="5809DFFE" w:rsidR="00424F87" w:rsidRPr="00A43EA1" w:rsidRDefault="00AC4A06" w:rsidP="00424F87">
      <w:r w:rsidRPr="00A43EA1">
        <w:rPr>
          <w:rFonts w:ascii="Segoe UI Symbol" w:hAnsi="Segoe UI Symbol" w:cs="Segoe UI Symbol"/>
        </w:rPr>
        <w:t xml:space="preserve">➢ </w:t>
      </w:r>
      <w:r w:rsidR="00424F87" w:rsidRPr="00A43EA1">
        <w:t>Einleitung des Verfahrens zur Annahme der Änderung von Artikel 19 des Gesetzes.</w:t>
      </w:r>
    </w:p>
    <w:p w14:paraId="42D8D91C" w14:textId="0DE2FE20" w:rsidR="00424F87" w:rsidRPr="00A43EA1" w:rsidRDefault="00AC4A06" w:rsidP="00424F87">
      <w:r w:rsidRPr="00A43EA1">
        <w:rPr>
          <w:rFonts w:ascii="Segoe UI Symbol" w:hAnsi="Segoe UI Symbol" w:cs="Segoe UI Symbol"/>
        </w:rPr>
        <w:t xml:space="preserve">➢ </w:t>
      </w:r>
      <w:r w:rsidR="00424F87" w:rsidRPr="00A43EA1">
        <w:t xml:space="preserve">Einleitung des Verfahrens zur Annahme des Beschlusses über die Einsetzung einer gemeinsamen Kommission für die Erteilung </w:t>
      </w:r>
      <w:r w:rsidR="00424F87" w:rsidRPr="00A43EA1">
        <w:rPr>
          <w:rFonts w:cs="Arial"/>
        </w:rPr>
        <w:t>der</w:t>
      </w:r>
      <w:r w:rsidR="00424F87" w:rsidRPr="00A43EA1">
        <w:t xml:space="preserve"> Züchterrechte und des Züchterschutzes, einschließlich der Benennung des Vertreters der zuständigen Organe.</w:t>
      </w:r>
    </w:p>
    <w:p w14:paraId="140DE80F" w14:textId="77777777" w:rsidR="00424F87" w:rsidRPr="00A43EA1" w:rsidRDefault="00424F87" w:rsidP="00424F87">
      <w:r w:rsidRPr="00A43EA1">
        <w:rPr>
          <w:rFonts w:ascii="Segoe UI Symbol" w:hAnsi="Segoe UI Symbol" w:cs="Segoe UI Symbol"/>
        </w:rPr>
        <w:t xml:space="preserve">➢ </w:t>
      </w:r>
      <w:r w:rsidRPr="00A43EA1">
        <w:t>Überprüfung der Übereinstimmung zwischen den Artikeln und den Anhängen des Regelwerks für Register und Einleitung des Genehmigungsverfahrens, einschließlich des Entwurfs der Bescheinigung.</w:t>
      </w:r>
    </w:p>
    <w:p w14:paraId="748C359A" w14:textId="77777777" w:rsidR="00424F87" w:rsidRPr="00A43EA1" w:rsidRDefault="00424F87" w:rsidP="00424F87">
      <w:r w:rsidRPr="00A43EA1">
        <w:t>➢ Einleitung des Verfahrens zur Genehmigung des Regelwerks für Kleinbauern.</w:t>
      </w:r>
    </w:p>
    <w:p w14:paraId="41F150F4" w14:textId="77777777" w:rsidR="00424F87" w:rsidRPr="00A43EA1" w:rsidRDefault="00424F87" w:rsidP="00424F87">
      <w:r w:rsidRPr="00A43EA1">
        <w:t>Überlegungen zu den erforderlichen Änderungen der Regelwerke der Kommission und zu den Gebühren für die Auflistung, die auch für die Zwecke der Züchterrechte verwendet werden sollen.</w:t>
      </w:r>
    </w:p>
    <w:p w14:paraId="61BB6BCB" w14:textId="77777777" w:rsidR="00424F87" w:rsidRPr="00A43EA1" w:rsidRDefault="00424F87" w:rsidP="00424F87"/>
    <w:p w14:paraId="6E232BB3" w14:textId="77777777" w:rsidR="00424F87" w:rsidRPr="00A43EA1" w:rsidRDefault="00424F87" w:rsidP="00424F87">
      <w:r w:rsidRPr="00A43EA1">
        <w:t>ERGEBNISSE</w:t>
      </w:r>
    </w:p>
    <w:p w14:paraId="565073E1" w14:textId="77777777" w:rsidR="00424F87" w:rsidRPr="00A43EA1" w:rsidRDefault="00424F87" w:rsidP="00424F87"/>
    <w:p w14:paraId="677A5055" w14:textId="77777777" w:rsidR="00424F87" w:rsidRPr="00A43EA1" w:rsidRDefault="00424F87" w:rsidP="00424F87">
      <w:r w:rsidRPr="00A43EA1">
        <w:t>a. Änderung des Wortlauts von Artikel 19 des Gesetzes</w:t>
      </w:r>
    </w:p>
    <w:p w14:paraId="5A68C5A9" w14:textId="77777777" w:rsidR="00424F87" w:rsidRPr="00A43EA1" w:rsidRDefault="00424F87" w:rsidP="00424F87">
      <w:r w:rsidRPr="00A43EA1">
        <w:t>b. Endgültige Fassung des Beschlusses über die Gemischte Kommission für die Erteilung der Züchterrechte und des Züchterschutzes</w:t>
      </w:r>
    </w:p>
    <w:p w14:paraId="0073DD1C" w14:textId="77777777" w:rsidR="00424F87" w:rsidRPr="00A43EA1" w:rsidRDefault="00424F87" w:rsidP="00424F87">
      <w:r w:rsidRPr="00A43EA1">
        <w:t>c. Bescheinigung über die Erteilung des Züchterrechts</w:t>
      </w:r>
    </w:p>
    <w:p w14:paraId="77F6202F" w14:textId="77777777" w:rsidR="00424F87" w:rsidRPr="00A43EA1" w:rsidRDefault="00424F87" w:rsidP="00424F87">
      <w:r w:rsidRPr="00A43EA1">
        <w:t>d. Endgültiger Text des Regelwerks für Register</w:t>
      </w:r>
    </w:p>
    <w:p w14:paraId="383DA0F0" w14:textId="77777777" w:rsidR="00424F87" w:rsidRPr="00A43EA1" w:rsidRDefault="00424F87" w:rsidP="00424F87">
      <w:r w:rsidRPr="00A43EA1">
        <w:t>e. Endgültiger Text des Regelwerks für Kleinbauern</w:t>
      </w:r>
    </w:p>
    <w:p w14:paraId="2F53F1ED" w14:textId="77777777" w:rsidR="00424F87" w:rsidRPr="00A43EA1" w:rsidRDefault="00424F87" w:rsidP="00424F87"/>
    <w:p w14:paraId="4274E9AA" w14:textId="77777777" w:rsidR="00424F87" w:rsidRPr="00A43EA1" w:rsidRDefault="00424F87" w:rsidP="00424F87"/>
    <w:p w14:paraId="1A34ED0F" w14:textId="77777777" w:rsidR="00424F87" w:rsidRPr="00A43EA1" w:rsidRDefault="00424F87" w:rsidP="00424F87"/>
    <w:p w14:paraId="7B772B2B" w14:textId="4321A8F8" w:rsidR="00424F87" w:rsidRPr="00A43EA1" w:rsidRDefault="00424F87" w:rsidP="00424F87">
      <w:pPr>
        <w:jc w:val="right"/>
      </w:pPr>
      <w:r w:rsidRPr="00A43EA1">
        <w:t>[</w:t>
      </w:r>
      <w:r w:rsidR="009E6E5A">
        <w:t>Anlage</w:t>
      </w:r>
      <w:r w:rsidRPr="00A43EA1">
        <w:t xml:space="preserve"> V folgt]</w:t>
      </w:r>
    </w:p>
    <w:p w14:paraId="25BFFED8" w14:textId="77777777" w:rsidR="00424F87" w:rsidRPr="00A43EA1" w:rsidRDefault="00424F87" w:rsidP="00424F87"/>
    <w:p w14:paraId="51A05F70" w14:textId="77777777" w:rsidR="00424F87" w:rsidRPr="00A43EA1" w:rsidRDefault="00424F87" w:rsidP="00424F87"/>
    <w:p w14:paraId="107A23A8" w14:textId="77777777" w:rsidR="00424F87" w:rsidRPr="00A43EA1" w:rsidRDefault="00424F87" w:rsidP="00424F87">
      <w:pPr>
        <w:jc w:val="center"/>
        <w:sectPr w:rsidR="00424F87" w:rsidRPr="00A43EA1" w:rsidSect="000B2CE0">
          <w:headerReference w:type="default" r:id="rId13"/>
          <w:pgSz w:w="11907" w:h="16840" w:code="9"/>
          <w:pgMar w:top="510" w:right="1134" w:bottom="568" w:left="1134" w:header="510" w:footer="680" w:gutter="0"/>
          <w:pgNumType w:start="1"/>
          <w:cols w:space="720"/>
          <w:titlePg/>
        </w:sectPr>
      </w:pPr>
    </w:p>
    <w:p w14:paraId="38B6A0F3" w14:textId="77777777" w:rsidR="00424F87" w:rsidRPr="00A43EA1" w:rsidRDefault="00424F87" w:rsidP="00424F87">
      <w:pPr>
        <w:jc w:val="center"/>
      </w:pPr>
      <w:bookmarkStart w:id="0" w:name="_Hlk146894687"/>
      <w:r w:rsidRPr="00A43EA1">
        <w:lastRenderedPageBreak/>
        <w:t>C/57/13</w:t>
      </w:r>
    </w:p>
    <w:p w14:paraId="5149579A" w14:textId="77777777" w:rsidR="00424F87" w:rsidRPr="00A43EA1" w:rsidRDefault="00424F87" w:rsidP="00424F87">
      <w:pPr>
        <w:jc w:val="center"/>
      </w:pPr>
    </w:p>
    <w:p w14:paraId="05B29A2C" w14:textId="263DB53D" w:rsidR="00424F87" w:rsidRPr="00A43EA1" w:rsidRDefault="009E6E5A" w:rsidP="00424F87">
      <w:pPr>
        <w:jc w:val="center"/>
      </w:pPr>
      <w:r>
        <w:t>ANLAGE</w:t>
      </w:r>
      <w:r w:rsidR="00424F87" w:rsidRPr="00A43EA1">
        <w:t xml:space="preserve"> V</w:t>
      </w:r>
    </w:p>
    <w:p w14:paraId="2FD13AB0" w14:textId="77777777" w:rsidR="00424F87" w:rsidRPr="00A43EA1" w:rsidRDefault="00424F87" w:rsidP="00424F87">
      <w:pPr>
        <w:jc w:val="center"/>
      </w:pPr>
    </w:p>
    <w:p w14:paraId="08C54E54" w14:textId="77777777" w:rsidR="00424F87" w:rsidRPr="00A43EA1" w:rsidRDefault="00424F87" w:rsidP="00424F87">
      <w:pPr>
        <w:jc w:val="center"/>
      </w:pPr>
    </w:p>
    <w:p w14:paraId="145A9E92" w14:textId="77777777" w:rsidR="00424F87" w:rsidRPr="00A43EA1" w:rsidRDefault="00424F87" w:rsidP="00424F87">
      <w:pPr>
        <w:jc w:val="center"/>
      </w:pPr>
      <w:r w:rsidRPr="00A43EA1">
        <w:t>ESTLAND</w:t>
      </w:r>
    </w:p>
    <w:p w14:paraId="4E06B0F1" w14:textId="77777777" w:rsidR="00424F87" w:rsidRPr="00A43EA1" w:rsidRDefault="00424F87" w:rsidP="00424F87">
      <w:pPr>
        <w:jc w:val="center"/>
      </w:pPr>
      <w:r w:rsidRPr="00A43EA1">
        <w:t>(Originalsprache: englisch)</w:t>
      </w:r>
    </w:p>
    <w:p w14:paraId="71BEDD59" w14:textId="77777777" w:rsidR="00424F87" w:rsidRPr="00A43EA1" w:rsidRDefault="00424F87" w:rsidP="00424F87"/>
    <w:p w14:paraId="423E8A54"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10A0D7DD" w14:textId="77777777" w:rsidR="00424F87" w:rsidRPr="00A43EA1" w:rsidRDefault="00424F87" w:rsidP="00424F87">
      <w:r w:rsidRPr="00A43EA1">
        <w:t xml:space="preserve">I. </w:t>
      </w:r>
      <w:r w:rsidRPr="00A43EA1">
        <w:tab/>
        <w:t>SORTENSCHUTZ</w:t>
      </w:r>
    </w:p>
    <w:p w14:paraId="0585E2CD" w14:textId="77777777" w:rsidR="00424F87" w:rsidRPr="00A43EA1" w:rsidRDefault="00424F87" w:rsidP="00424F87"/>
    <w:p w14:paraId="7C5A77B5" w14:textId="77777777" w:rsidR="00424F87" w:rsidRPr="00A43EA1" w:rsidRDefault="00424F87" w:rsidP="00424F87">
      <w:r w:rsidRPr="00A43EA1">
        <w:t xml:space="preserve">1. </w:t>
      </w:r>
      <w:r w:rsidRPr="00A43EA1">
        <w:tab/>
      </w:r>
      <w:r w:rsidRPr="00A43EA1">
        <w:rPr>
          <w:u w:val="single"/>
        </w:rPr>
        <w:t>Lage auf dem Gebiet der Gesetzgebung</w:t>
      </w:r>
    </w:p>
    <w:p w14:paraId="35AF6586" w14:textId="77777777" w:rsidR="00424F87" w:rsidRPr="00A43EA1" w:rsidRDefault="00424F87" w:rsidP="00424F87"/>
    <w:p w14:paraId="24D68871" w14:textId="0E16D013" w:rsidR="00424F87" w:rsidRPr="00A43EA1" w:rsidRDefault="00424F87" w:rsidP="00424F87">
      <w:r w:rsidRPr="00A43EA1">
        <w:t>1.1</w:t>
      </w:r>
      <w:r w:rsidR="00810759">
        <w:tab/>
      </w:r>
      <w:r w:rsidRPr="00A43EA1">
        <w:t xml:space="preserve">Änderungen des Gesetzes und der Durchführungsverordnungen </w:t>
      </w:r>
    </w:p>
    <w:p w14:paraId="553D2AD2" w14:textId="77777777" w:rsidR="00424F87" w:rsidRPr="00A43EA1" w:rsidRDefault="00424F87" w:rsidP="00424F87"/>
    <w:p w14:paraId="26A096FA" w14:textId="77777777" w:rsidR="00424F87" w:rsidRPr="00A43EA1" w:rsidRDefault="00424F87" w:rsidP="00424F87">
      <w:pPr>
        <w:ind w:left="567"/>
      </w:pPr>
      <w:r w:rsidRPr="00A43EA1">
        <w:t>Gesetz über Pflanzenvermehrung und Sortenschutz in Kraft ab 01.01.2022.</w:t>
      </w:r>
    </w:p>
    <w:p w14:paraId="79CCC2BE" w14:textId="77777777" w:rsidR="00424F87" w:rsidRPr="00A43EA1" w:rsidRDefault="00424F87" w:rsidP="00424F87">
      <w:pPr>
        <w:ind w:left="567"/>
      </w:pPr>
      <w:hyperlink r:id="rId14" w:history="1">
        <w:r w:rsidRPr="00A43EA1">
          <w:rPr>
            <w:rStyle w:val="Hyperlink"/>
          </w:rPr>
          <w:t>https://www.riigiteataja.ee/en/eli/530122021003/consolide</w:t>
        </w:r>
      </w:hyperlink>
    </w:p>
    <w:p w14:paraId="3F57EFA1" w14:textId="77777777" w:rsidR="00424F87" w:rsidRPr="00A43EA1" w:rsidRDefault="00424F87" w:rsidP="00424F87"/>
    <w:p w14:paraId="2B90D007" w14:textId="1C391FD4" w:rsidR="00424F87" w:rsidRPr="00A43EA1" w:rsidRDefault="00424F87" w:rsidP="00424F87">
      <w:pPr>
        <w:pStyle w:val="BodyTextIndent2"/>
        <w:ind w:left="0" w:firstLine="0"/>
        <w:rPr>
          <w:sz w:val="20"/>
          <w:szCs w:val="20"/>
        </w:rPr>
      </w:pPr>
      <w:r w:rsidRPr="00A43EA1">
        <w:rPr>
          <w:sz w:val="20"/>
          <w:szCs w:val="20"/>
        </w:rPr>
        <w:t>1.2</w:t>
      </w:r>
      <w:r w:rsidR="00810759">
        <w:rPr>
          <w:sz w:val="20"/>
          <w:szCs w:val="20"/>
        </w:rPr>
        <w:tab/>
      </w:r>
      <w:r w:rsidRPr="00A43EA1">
        <w:rPr>
          <w:sz w:val="20"/>
          <w:szCs w:val="20"/>
        </w:rPr>
        <w:t xml:space="preserve">Ausdehnung des Schutzes auf weitere Gattungen und Arten (erfolgt oder geplant) </w:t>
      </w:r>
    </w:p>
    <w:p w14:paraId="6D895C87" w14:textId="77777777" w:rsidR="00424F87" w:rsidRPr="00A43EA1" w:rsidRDefault="00424F87" w:rsidP="00424F87">
      <w:pPr>
        <w:pStyle w:val="BodyTextIndent2"/>
        <w:ind w:left="0" w:firstLine="0"/>
        <w:rPr>
          <w:i/>
          <w:sz w:val="20"/>
          <w:szCs w:val="20"/>
        </w:rPr>
      </w:pPr>
    </w:p>
    <w:p w14:paraId="49AFABE4" w14:textId="77777777" w:rsidR="00424F87" w:rsidRPr="00A43EA1" w:rsidRDefault="00424F87" w:rsidP="00424F87">
      <w:pPr>
        <w:ind w:left="567"/>
      </w:pPr>
      <w:r w:rsidRPr="00A43EA1">
        <w:t>Keine Änderungen.</w:t>
      </w:r>
    </w:p>
    <w:p w14:paraId="7362259D" w14:textId="77777777" w:rsidR="00424F87" w:rsidRPr="00A43EA1" w:rsidRDefault="00424F87" w:rsidP="00424F87">
      <w:pPr>
        <w:pStyle w:val="BodyTextIndent2"/>
        <w:ind w:left="0" w:firstLine="0"/>
        <w:rPr>
          <w:sz w:val="20"/>
          <w:szCs w:val="20"/>
        </w:rPr>
      </w:pPr>
    </w:p>
    <w:p w14:paraId="1749E56F" w14:textId="5686C0F6" w:rsidR="00424F87" w:rsidRPr="00A43EA1" w:rsidRDefault="00424F87" w:rsidP="00424F87">
      <w:pPr>
        <w:pStyle w:val="BodyTextIndent2"/>
        <w:ind w:left="0" w:firstLine="0"/>
        <w:rPr>
          <w:sz w:val="20"/>
          <w:szCs w:val="20"/>
        </w:rPr>
      </w:pPr>
      <w:r w:rsidRPr="00A43EA1">
        <w:rPr>
          <w:sz w:val="20"/>
          <w:szCs w:val="20"/>
        </w:rPr>
        <w:t>1.3</w:t>
      </w:r>
      <w:r w:rsidR="00810759">
        <w:rPr>
          <w:sz w:val="20"/>
          <w:szCs w:val="20"/>
        </w:rPr>
        <w:tab/>
      </w:r>
      <w:r w:rsidRPr="00A43EA1">
        <w:rPr>
          <w:sz w:val="20"/>
          <w:szCs w:val="20"/>
        </w:rPr>
        <w:t>Rechtsprechung</w:t>
      </w:r>
    </w:p>
    <w:p w14:paraId="08F38E4C" w14:textId="77777777" w:rsidR="00424F87" w:rsidRPr="00A43EA1" w:rsidRDefault="00424F87" w:rsidP="00424F87"/>
    <w:p w14:paraId="02A6AB37" w14:textId="77777777" w:rsidR="00424F87" w:rsidRPr="00A43EA1" w:rsidRDefault="00424F87" w:rsidP="00424F87">
      <w:pPr>
        <w:ind w:left="567"/>
      </w:pPr>
      <w:r w:rsidRPr="00A43EA1">
        <w:t>Es gibt keine Rechtsprechung.</w:t>
      </w:r>
    </w:p>
    <w:p w14:paraId="4F0319E6" w14:textId="77777777" w:rsidR="00424F87" w:rsidRPr="00A43EA1" w:rsidRDefault="00424F87" w:rsidP="00424F87"/>
    <w:p w14:paraId="450559E2" w14:textId="77777777" w:rsidR="00424F87" w:rsidRPr="00A43EA1" w:rsidRDefault="00424F87" w:rsidP="00424F87"/>
    <w:p w14:paraId="79560EF6" w14:textId="77777777" w:rsidR="00424F87" w:rsidRPr="00A43EA1" w:rsidRDefault="00424F87" w:rsidP="00424F87">
      <w:r w:rsidRPr="00A43EA1">
        <w:t>2.</w:t>
      </w:r>
      <w:r w:rsidRPr="00A43EA1">
        <w:tab/>
      </w:r>
      <w:r w:rsidRPr="00A43EA1">
        <w:rPr>
          <w:u w:val="single"/>
        </w:rPr>
        <w:t>Zusammenarbeit bei der Prüfung</w:t>
      </w:r>
    </w:p>
    <w:p w14:paraId="7588E7BA" w14:textId="77777777" w:rsidR="00424F87" w:rsidRPr="00A43EA1" w:rsidRDefault="00424F87" w:rsidP="00424F87"/>
    <w:p w14:paraId="202ECE39" w14:textId="77777777" w:rsidR="00424F87" w:rsidRPr="00A43EA1" w:rsidRDefault="00424F87" w:rsidP="00424F87">
      <w:pPr>
        <w:ind w:left="567"/>
      </w:pPr>
      <w:r w:rsidRPr="00A43EA1">
        <w:t>Die Aktualisierung der bestehenden Vereinbarung mit dem COBORU ist in Arbeit.</w:t>
      </w:r>
    </w:p>
    <w:p w14:paraId="3EAA19BA" w14:textId="77777777" w:rsidR="00424F87" w:rsidRPr="00A43EA1" w:rsidRDefault="00424F87" w:rsidP="00424F87"/>
    <w:p w14:paraId="1EA9D72E" w14:textId="77777777" w:rsidR="00424F87" w:rsidRPr="00A43EA1" w:rsidRDefault="00424F87" w:rsidP="00424F87"/>
    <w:p w14:paraId="74B0B4AF"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3A108786" w14:textId="77777777" w:rsidR="00424F87" w:rsidRPr="00A43EA1" w:rsidRDefault="00424F87" w:rsidP="00424F87"/>
    <w:p w14:paraId="272BF387" w14:textId="0AA57902" w:rsidR="00424F87" w:rsidRPr="00A43EA1" w:rsidRDefault="00424F87" w:rsidP="00424F87">
      <w:r w:rsidRPr="00A43EA1">
        <w:t>-</w:t>
      </w:r>
      <w:r w:rsidR="00810759">
        <w:tab/>
      </w:r>
      <w:r w:rsidRPr="00A43EA1">
        <w:t xml:space="preserve">Änderungen in der Verwaltungsstruktur </w:t>
      </w:r>
    </w:p>
    <w:p w14:paraId="5C2A3F55" w14:textId="77777777" w:rsidR="00424F87" w:rsidRPr="00A43EA1" w:rsidRDefault="00424F87" w:rsidP="00424F87"/>
    <w:p w14:paraId="5BCC900C" w14:textId="77777777" w:rsidR="00424F87" w:rsidRPr="00A43EA1" w:rsidRDefault="00424F87" w:rsidP="00424F87">
      <w:pPr>
        <w:ind w:left="567"/>
      </w:pPr>
      <w:r w:rsidRPr="00A43EA1">
        <w:t>Der Bereich Pflanzensorten ist in eine andere Abteilung umgezogen: Abteilung Pflanzenschutz und Vermehrungsmaterial.</w:t>
      </w:r>
    </w:p>
    <w:p w14:paraId="51BEF2FA" w14:textId="77777777" w:rsidR="00424F87" w:rsidRPr="00A43EA1" w:rsidRDefault="00424F87" w:rsidP="00424F87"/>
    <w:p w14:paraId="257C39C3" w14:textId="091FFAD3" w:rsidR="00424F87" w:rsidRPr="00A43EA1" w:rsidRDefault="00424F87" w:rsidP="00424F87">
      <w:r w:rsidRPr="00A43EA1">
        <w:t>-</w:t>
      </w:r>
      <w:r w:rsidR="00810759">
        <w:tab/>
      </w:r>
      <w:r w:rsidRPr="00A43EA1">
        <w:t>Änderungen der Büroverfahren und -systeme-</w:t>
      </w:r>
    </w:p>
    <w:p w14:paraId="29C0B89F" w14:textId="77777777" w:rsidR="00424F87" w:rsidRPr="00A43EA1" w:rsidRDefault="00424F87" w:rsidP="00424F87"/>
    <w:p w14:paraId="617769E0" w14:textId="77777777" w:rsidR="00424F87" w:rsidRPr="00A43EA1" w:rsidRDefault="00424F87" w:rsidP="00424F87">
      <w:pPr>
        <w:ind w:left="567"/>
      </w:pPr>
      <w:r w:rsidRPr="00A43EA1">
        <w:t>Keine Änderungen.</w:t>
      </w:r>
    </w:p>
    <w:p w14:paraId="3D25A678" w14:textId="77777777" w:rsidR="00424F87" w:rsidRPr="00A43EA1" w:rsidRDefault="00424F87" w:rsidP="00424F87"/>
    <w:p w14:paraId="6870193E" w14:textId="77777777" w:rsidR="00424F87" w:rsidRPr="00A43EA1" w:rsidRDefault="00424F87" w:rsidP="00424F87"/>
    <w:p w14:paraId="2F853C96" w14:textId="77777777" w:rsidR="00424F87" w:rsidRPr="00A43EA1" w:rsidRDefault="00424F87" w:rsidP="00424F87">
      <w:r w:rsidRPr="00A43EA1">
        <w:t>4.</w:t>
      </w:r>
      <w:r w:rsidRPr="00A43EA1">
        <w:tab/>
      </w:r>
      <w:r w:rsidRPr="00A43EA1">
        <w:rPr>
          <w:u w:val="single"/>
        </w:rPr>
        <w:t>Lage auf dem Gebiet der Technik</w:t>
      </w:r>
    </w:p>
    <w:p w14:paraId="257210E6" w14:textId="77777777" w:rsidR="00424F87" w:rsidRPr="00A43EA1" w:rsidRDefault="00424F87" w:rsidP="00424F87"/>
    <w:p w14:paraId="23FF0932" w14:textId="77777777" w:rsidR="00424F87" w:rsidRPr="00A43EA1" w:rsidRDefault="00424F87" w:rsidP="00424F87">
      <w:pPr>
        <w:ind w:left="567"/>
      </w:pPr>
      <w:r w:rsidRPr="00A43EA1">
        <w:t>Keine Änderungen.</w:t>
      </w:r>
    </w:p>
    <w:p w14:paraId="0A107B24" w14:textId="77777777" w:rsidR="00424F87" w:rsidRPr="00A43EA1" w:rsidRDefault="00424F87" w:rsidP="00424F87"/>
    <w:p w14:paraId="3550BB7E" w14:textId="77777777" w:rsidR="00424F87" w:rsidRPr="00A43EA1" w:rsidRDefault="00424F87" w:rsidP="00424F87"/>
    <w:p w14:paraId="75359914" w14:textId="77777777" w:rsidR="00424F87" w:rsidRPr="00A43EA1" w:rsidRDefault="00424F87" w:rsidP="00424F87">
      <w:pPr>
        <w:keepNext/>
        <w:rPr>
          <w:bCs/>
        </w:rPr>
      </w:pPr>
      <w:r w:rsidRPr="00A43EA1">
        <w:rPr>
          <w:bCs/>
        </w:rPr>
        <w:lastRenderedPageBreak/>
        <w:t>II.</w:t>
      </w:r>
      <w:r w:rsidRPr="00A43EA1">
        <w:rPr>
          <w:bCs/>
        </w:rPr>
        <w:tab/>
        <w:t>ANDERE ENTWICKLUNGEN, DIE FÜR DIE UPOV RELEVANT SIND</w:t>
      </w:r>
    </w:p>
    <w:p w14:paraId="243E78F9" w14:textId="77777777" w:rsidR="00424F87" w:rsidRPr="00A43EA1" w:rsidRDefault="00424F87" w:rsidP="00424F87">
      <w:pPr>
        <w:keepNext/>
      </w:pPr>
    </w:p>
    <w:p w14:paraId="0BB3A0BB" w14:textId="77777777" w:rsidR="00424F87" w:rsidRPr="00A43EA1" w:rsidRDefault="00424F87" w:rsidP="00424F87">
      <w:pPr>
        <w:keepNext/>
      </w:pPr>
      <w:r w:rsidRPr="00A43EA1">
        <w:t>Poster über den Sortenschutz zur nationalen Verwendung.</w:t>
      </w:r>
    </w:p>
    <w:p w14:paraId="0529E939" w14:textId="77777777" w:rsidR="00424F87" w:rsidRPr="00A43EA1" w:rsidRDefault="00424F87" w:rsidP="00424F87">
      <w:pPr>
        <w:keepNext/>
      </w:pPr>
    </w:p>
    <w:tbl>
      <w:tblPr>
        <w:tblStyle w:val="TableGrid"/>
        <w:tblW w:w="0" w:type="auto"/>
        <w:tblLook w:val="04A0" w:firstRow="1" w:lastRow="0" w:firstColumn="1" w:lastColumn="0" w:noHBand="0" w:noVBand="1"/>
      </w:tblPr>
      <w:tblGrid>
        <w:gridCol w:w="4814"/>
        <w:gridCol w:w="4815"/>
      </w:tblGrid>
      <w:tr w:rsidR="00424F87" w:rsidRPr="00A43EA1" w14:paraId="77499D6E" w14:textId="77777777" w:rsidTr="00C30F9D">
        <w:tc>
          <w:tcPr>
            <w:tcW w:w="4814" w:type="dxa"/>
          </w:tcPr>
          <w:p w14:paraId="33E4E788" w14:textId="77777777" w:rsidR="00424F87" w:rsidRPr="00A43EA1" w:rsidRDefault="00424F87" w:rsidP="00C30F9D">
            <w:r w:rsidRPr="00A43EA1">
              <w:drawing>
                <wp:inline distT="0" distB="0" distL="0" distR="0" wp14:anchorId="0A223452" wp14:editId="5D3DD294">
                  <wp:extent cx="2831497" cy="4376057"/>
                  <wp:effectExtent l="0" t="0" r="6985" b="5715"/>
                  <wp:docPr id="2" name="Picture 2"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a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5682" cy="4397980"/>
                          </a:xfrm>
                          <a:prstGeom prst="rect">
                            <a:avLst/>
                          </a:prstGeom>
                        </pic:spPr>
                      </pic:pic>
                    </a:graphicData>
                  </a:graphic>
                </wp:inline>
              </w:drawing>
            </w:r>
          </w:p>
        </w:tc>
        <w:tc>
          <w:tcPr>
            <w:tcW w:w="4815" w:type="dxa"/>
          </w:tcPr>
          <w:p w14:paraId="6F930C3E" w14:textId="77777777" w:rsidR="00424F87" w:rsidRPr="00A43EA1" w:rsidRDefault="00424F87" w:rsidP="00C30F9D">
            <w:r w:rsidRPr="00A43EA1">
              <w:drawing>
                <wp:inline distT="0" distB="0" distL="0" distR="0" wp14:anchorId="27C458BA" wp14:editId="328C8CB2">
                  <wp:extent cx="2830110" cy="4375785"/>
                  <wp:effectExtent l="0" t="0" r="8890" b="5715"/>
                  <wp:docPr id="4"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0728" cy="4376741"/>
                          </a:xfrm>
                          <a:prstGeom prst="rect">
                            <a:avLst/>
                          </a:prstGeom>
                        </pic:spPr>
                      </pic:pic>
                    </a:graphicData>
                  </a:graphic>
                </wp:inline>
              </w:drawing>
            </w:r>
          </w:p>
        </w:tc>
      </w:tr>
    </w:tbl>
    <w:p w14:paraId="5E298F5A" w14:textId="77777777" w:rsidR="00424F87" w:rsidRPr="00A43EA1" w:rsidRDefault="00424F87" w:rsidP="00424F87"/>
    <w:p w14:paraId="7B6D5C6A" w14:textId="77777777" w:rsidR="00424F87" w:rsidRPr="00A43EA1" w:rsidRDefault="00424F87" w:rsidP="00424F87"/>
    <w:p w14:paraId="2D7F3DDA" w14:textId="77777777" w:rsidR="00424F87" w:rsidRPr="00A43EA1" w:rsidRDefault="00424F87" w:rsidP="00424F87">
      <w:pPr>
        <w:jc w:val="left"/>
      </w:pPr>
    </w:p>
    <w:p w14:paraId="0574AB0B" w14:textId="50E08EDF" w:rsidR="00424F87" w:rsidRPr="00A43EA1" w:rsidRDefault="00424F87" w:rsidP="00424F87">
      <w:pPr>
        <w:jc w:val="right"/>
      </w:pPr>
      <w:r w:rsidRPr="00A43EA1">
        <w:t>[</w:t>
      </w:r>
      <w:r w:rsidR="009E6E5A">
        <w:t>Anlage</w:t>
      </w:r>
      <w:r w:rsidRPr="00A43EA1">
        <w:t xml:space="preserve"> VI folgt]</w:t>
      </w:r>
    </w:p>
    <w:bookmarkEnd w:id="0"/>
    <w:p w14:paraId="67D2661D" w14:textId="77777777" w:rsidR="00424F87" w:rsidRPr="00A43EA1" w:rsidRDefault="00424F87" w:rsidP="00424F87">
      <w:pPr>
        <w:jc w:val="center"/>
      </w:pPr>
    </w:p>
    <w:p w14:paraId="0DA44B51" w14:textId="77777777" w:rsidR="00424F87" w:rsidRPr="00A43EA1" w:rsidRDefault="00424F87" w:rsidP="00424F87">
      <w:pPr>
        <w:jc w:val="center"/>
        <w:sectPr w:rsidR="00424F87" w:rsidRPr="00A43EA1" w:rsidSect="000B2CE0">
          <w:headerReference w:type="default" r:id="rId17"/>
          <w:pgSz w:w="11907" w:h="16840" w:code="9"/>
          <w:pgMar w:top="510" w:right="1134" w:bottom="568" w:left="1134" w:header="510" w:footer="680" w:gutter="0"/>
          <w:pgNumType w:start="1"/>
          <w:cols w:space="720"/>
          <w:titlePg/>
        </w:sectPr>
      </w:pPr>
    </w:p>
    <w:p w14:paraId="72EA21AA" w14:textId="77777777" w:rsidR="00424F87" w:rsidRPr="00A43EA1" w:rsidRDefault="00424F87" w:rsidP="00424F87">
      <w:pPr>
        <w:jc w:val="center"/>
      </w:pPr>
      <w:r w:rsidRPr="00A43EA1">
        <w:lastRenderedPageBreak/>
        <w:t>C/57/13</w:t>
      </w:r>
    </w:p>
    <w:p w14:paraId="1B1A5C4A" w14:textId="77777777" w:rsidR="00424F87" w:rsidRPr="00A43EA1" w:rsidRDefault="00424F87" w:rsidP="00424F87">
      <w:pPr>
        <w:jc w:val="center"/>
      </w:pPr>
    </w:p>
    <w:p w14:paraId="5D533B27" w14:textId="22868E39" w:rsidR="00424F87" w:rsidRPr="00A43EA1" w:rsidRDefault="009E6E5A" w:rsidP="00424F87">
      <w:pPr>
        <w:jc w:val="center"/>
      </w:pPr>
      <w:r>
        <w:t>ANLAGE</w:t>
      </w:r>
      <w:r w:rsidR="00424F87" w:rsidRPr="00A43EA1">
        <w:t xml:space="preserve"> VI</w:t>
      </w:r>
    </w:p>
    <w:p w14:paraId="5D1130D1" w14:textId="77777777" w:rsidR="00424F87" w:rsidRPr="00A43EA1" w:rsidRDefault="00424F87" w:rsidP="00424F87">
      <w:pPr>
        <w:jc w:val="center"/>
      </w:pPr>
    </w:p>
    <w:p w14:paraId="778AA01C" w14:textId="77777777" w:rsidR="00424F87" w:rsidRPr="00A43EA1" w:rsidRDefault="00424F87" w:rsidP="00424F87">
      <w:pPr>
        <w:jc w:val="center"/>
      </w:pPr>
    </w:p>
    <w:p w14:paraId="1C2D3860" w14:textId="77777777" w:rsidR="00424F87" w:rsidRPr="00A43EA1" w:rsidRDefault="00424F87" w:rsidP="00424F87">
      <w:pPr>
        <w:jc w:val="center"/>
      </w:pPr>
      <w:r w:rsidRPr="00A43EA1">
        <w:t>UNGARN</w:t>
      </w:r>
    </w:p>
    <w:p w14:paraId="744DA10A" w14:textId="77777777" w:rsidR="00424F87" w:rsidRPr="00A43EA1" w:rsidRDefault="00424F87" w:rsidP="00424F87">
      <w:pPr>
        <w:jc w:val="center"/>
      </w:pPr>
      <w:r w:rsidRPr="00A43EA1">
        <w:t>(Originalsprache: englisch)</w:t>
      </w:r>
    </w:p>
    <w:p w14:paraId="6127E562" w14:textId="77777777" w:rsidR="00424F87" w:rsidRPr="00A43EA1" w:rsidRDefault="00424F87" w:rsidP="00424F87"/>
    <w:p w14:paraId="5297B80B"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381A211E" w14:textId="77777777" w:rsidR="00424F87" w:rsidRPr="00A43EA1" w:rsidRDefault="00424F87" w:rsidP="00424F87">
      <w:r w:rsidRPr="00A43EA1">
        <w:t xml:space="preserve">I. </w:t>
      </w:r>
      <w:r w:rsidRPr="00A43EA1">
        <w:tab/>
        <w:t>SORTENSCHUTZ</w:t>
      </w:r>
    </w:p>
    <w:p w14:paraId="5D754208" w14:textId="77777777" w:rsidR="00424F87" w:rsidRPr="00A43EA1" w:rsidRDefault="00424F87" w:rsidP="00424F87"/>
    <w:p w14:paraId="76730757" w14:textId="77777777" w:rsidR="00424F87" w:rsidRPr="00A43EA1" w:rsidRDefault="00424F87" w:rsidP="00424F87">
      <w:r w:rsidRPr="00A43EA1">
        <w:t xml:space="preserve">1. </w:t>
      </w:r>
      <w:r w:rsidRPr="00A43EA1">
        <w:tab/>
      </w:r>
      <w:r w:rsidRPr="00A43EA1">
        <w:rPr>
          <w:u w:val="single"/>
        </w:rPr>
        <w:t>Lage auf dem Gebiet der Gesetzgebung</w:t>
      </w:r>
    </w:p>
    <w:p w14:paraId="35ED9E06" w14:textId="77777777" w:rsidR="00424F87" w:rsidRPr="00A43EA1" w:rsidRDefault="00424F87" w:rsidP="00424F87"/>
    <w:p w14:paraId="77D42B1C" w14:textId="5B51C047" w:rsidR="00424F87" w:rsidRPr="00A43EA1" w:rsidRDefault="00424F87" w:rsidP="00424F87">
      <w:r w:rsidRPr="00A43EA1">
        <w:t>1.1</w:t>
      </w:r>
      <w:r w:rsidR="009400B2">
        <w:tab/>
      </w:r>
      <w:r w:rsidRPr="00A43EA1">
        <w:t>Änderungen des Gesetzes und der Durchführungsverordnungen</w:t>
      </w:r>
    </w:p>
    <w:p w14:paraId="2186D6B2" w14:textId="77777777" w:rsidR="00424F87" w:rsidRPr="00A43EA1" w:rsidRDefault="00424F87" w:rsidP="00424F87"/>
    <w:p w14:paraId="4CE73884" w14:textId="77777777" w:rsidR="00424F87" w:rsidRPr="00A43EA1" w:rsidRDefault="00424F87" w:rsidP="00424F87">
      <w:pPr>
        <w:ind w:left="567"/>
      </w:pPr>
      <w:r w:rsidRPr="00A43EA1">
        <w:t>Keine Änderungen.</w:t>
      </w:r>
    </w:p>
    <w:p w14:paraId="5D6FEF3A" w14:textId="77777777" w:rsidR="00424F87" w:rsidRPr="00A43EA1" w:rsidRDefault="00424F87" w:rsidP="00424F87">
      <w:pPr>
        <w:pStyle w:val="BodyTextIndent2"/>
        <w:ind w:left="425"/>
        <w:rPr>
          <w:sz w:val="20"/>
          <w:szCs w:val="20"/>
        </w:rPr>
      </w:pPr>
    </w:p>
    <w:p w14:paraId="2A3964A8" w14:textId="6A4A45A6" w:rsidR="00424F87" w:rsidRPr="00A43EA1" w:rsidRDefault="00424F87" w:rsidP="00424F87">
      <w:pPr>
        <w:pStyle w:val="BodyTextIndent2"/>
        <w:ind w:left="567" w:hanging="567"/>
        <w:rPr>
          <w:sz w:val="20"/>
          <w:szCs w:val="20"/>
        </w:rPr>
      </w:pPr>
      <w:r w:rsidRPr="00A43EA1">
        <w:rPr>
          <w:sz w:val="20"/>
          <w:szCs w:val="20"/>
        </w:rPr>
        <w:t>1.2</w:t>
      </w:r>
      <w:r w:rsidR="009400B2">
        <w:rPr>
          <w:sz w:val="20"/>
          <w:szCs w:val="20"/>
        </w:rPr>
        <w:tab/>
      </w:r>
      <w:r w:rsidRPr="00A43EA1">
        <w:rPr>
          <w:sz w:val="20"/>
          <w:szCs w:val="20"/>
        </w:rPr>
        <w:t>Ausdehnung des Schutzes auf weitere Gattungen und Arten (erfolgt oder geplant)</w:t>
      </w:r>
    </w:p>
    <w:p w14:paraId="76D739AD" w14:textId="77777777" w:rsidR="00424F87" w:rsidRPr="00A43EA1" w:rsidRDefault="00424F87" w:rsidP="00424F87">
      <w:pPr>
        <w:pStyle w:val="BodyTextIndent2"/>
        <w:ind w:left="425"/>
        <w:rPr>
          <w:sz w:val="20"/>
          <w:szCs w:val="20"/>
        </w:rPr>
      </w:pPr>
    </w:p>
    <w:p w14:paraId="39CC87FA" w14:textId="77777777" w:rsidR="00424F87" w:rsidRPr="00A43EA1" w:rsidRDefault="00424F87" w:rsidP="00424F87">
      <w:pPr>
        <w:ind w:left="567"/>
      </w:pPr>
      <w:r w:rsidRPr="00A43EA1">
        <w:t>Keine Änderungen.  Nach den geltenden Vorschriften erstreckt sich der Sortenschutz auf alle Pflanzengattungen und -arten.</w:t>
      </w:r>
    </w:p>
    <w:p w14:paraId="76894B79" w14:textId="77777777" w:rsidR="00424F87" w:rsidRPr="00A43EA1" w:rsidRDefault="00424F87" w:rsidP="00424F87">
      <w:pPr>
        <w:pStyle w:val="BodyTextIndent2"/>
        <w:ind w:left="425"/>
        <w:rPr>
          <w:sz w:val="20"/>
          <w:szCs w:val="20"/>
        </w:rPr>
      </w:pPr>
    </w:p>
    <w:p w14:paraId="0C215001" w14:textId="3E5EDF26" w:rsidR="00424F87" w:rsidRPr="00A43EA1" w:rsidRDefault="00424F87" w:rsidP="00424F87">
      <w:pPr>
        <w:pStyle w:val="BodyTextIndent2"/>
        <w:ind w:left="567" w:hanging="567"/>
        <w:rPr>
          <w:sz w:val="20"/>
          <w:szCs w:val="20"/>
        </w:rPr>
      </w:pPr>
      <w:r w:rsidRPr="00A43EA1">
        <w:rPr>
          <w:sz w:val="20"/>
          <w:szCs w:val="20"/>
        </w:rPr>
        <w:t>1.3</w:t>
      </w:r>
      <w:r w:rsidR="009400B2">
        <w:rPr>
          <w:sz w:val="20"/>
          <w:szCs w:val="20"/>
        </w:rPr>
        <w:tab/>
      </w:r>
      <w:r w:rsidRPr="00A43EA1">
        <w:rPr>
          <w:sz w:val="20"/>
          <w:szCs w:val="20"/>
        </w:rPr>
        <w:t>Rechtsprechung</w:t>
      </w:r>
    </w:p>
    <w:p w14:paraId="7506F154" w14:textId="77777777" w:rsidR="00424F87" w:rsidRPr="00A43EA1" w:rsidRDefault="00424F87" w:rsidP="00424F87"/>
    <w:p w14:paraId="266521D9" w14:textId="77777777" w:rsidR="00424F87" w:rsidRPr="00A43EA1" w:rsidRDefault="00424F87" w:rsidP="00424F87">
      <w:pPr>
        <w:ind w:left="567"/>
      </w:pPr>
      <w:r w:rsidRPr="00A43EA1">
        <w:t>Keine Daten.</w:t>
      </w:r>
    </w:p>
    <w:p w14:paraId="10D03EE7" w14:textId="77777777" w:rsidR="00424F87" w:rsidRPr="00A43EA1" w:rsidRDefault="00424F87" w:rsidP="00424F87"/>
    <w:p w14:paraId="2009D8D2" w14:textId="77777777" w:rsidR="00424F87" w:rsidRPr="00A43EA1" w:rsidRDefault="00424F87" w:rsidP="00424F87"/>
    <w:p w14:paraId="34CFACE8" w14:textId="77777777" w:rsidR="00424F87" w:rsidRPr="00A43EA1" w:rsidRDefault="00424F87" w:rsidP="00424F87">
      <w:r w:rsidRPr="00A43EA1">
        <w:t>2.</w:t>
      </w:r>
      <w:r w:rsidRPr="00A43EA1">
        <w:tab/>
      </w:r>
      <w:r w:rsidRPr="00A43EA1">
        <w:rPr>
          <w:u w:val="single"/>
        </w:rPr>
        <w:t>Zusammenarbeit bei der Prüfung</w:t>
      </w:r>
    </w:p>
    <w:p w14:paraId="1E291819" w14:textId="77777777" w:rsidR="00424F87" w:rsidRPr="00A43EA1" w:rsidRDefault="00424F87" w:rsidP="00424F87"/>
    <w:p w14:paraId="298E4C6D" w14:textId="77777777" w:rsidR="00424F87" w:rsidRPr="00A43EA1" w:rsidRDefault="00424F87" w:rsidP="00424F87">
      <w:pPr>
        <w:tabs>
          <w:tab w:val="left" w:pos="426"/>
          <w:tab w:val="left" w:pos="851"/>
        </w:tabs>
      </w:pPr>
      <w:r w:rsidRPr="00A43EA1">
        <w:t>Keine Änderungen.  Gemäß Artikel 114/R Absätze 3 und 4 des Patentgesetzes können die Ergebnisse der von einer zuständigen ausländischen Behörde durchgeführten experimentellen Prüfung (DUS-Prüfungsbericht) mit Zustimmung dieser Behörde berücksichtigt werden.  Die Kosten der experimentellen Prüfung sind vom Anmelder zu tragen.  Daher unternahm das Ungarische Amt für geistiges Eigentum (HIPO) Schritte zum Abschluß von Vereinbarungen mit nationalen und regionalen Ämtern über die Übersendung von Berichten über die technische DUS-Prüfung vom entsprechenden Amt an das HIPO.</w:t>
      </w:r>
    </w:p>
    <w:p w14:paraId="5316C72A" w14:textId="77777777" w:rsidR="00424F87" w:rsidRPr="00A43EA1" w:rsidRDefault="00424F87" w:rsidP="00424F87">
      <w:pPr>
        <w:tabs>
          <w:tab w:val="left" w:pos="426"/>
          <w:tab w:val="left" w:pos="851"/>
        </w:tabs>
      </w:pPr>
    </w:p>
    <w:p w14:paraId="2BE380BC" w14:textId="77777777" w:rsidR="00424F87" w:rsidRPr="00A43EA1" w:rsidRDefault="00424F87" w:rsidP="00424F87">
      <w:pPr>
        <w:tabs>
          <w:tab w:val="left" w:pos="426"/>
          <w:tab w:val="left" w:pos="851"/>
        </w:tabs>
      </w:pPr>
      <w:r w:rsidRPr="00A43EA1">
        <w:t>Das ungarische Amt für geistiges Eigentum schloß Vereinbarungen über die Übermittlung von Berichten über die technische DUS-Prüfung mit dem Gemeinschaftlichen Sortenamt (CPVO), mit dem Bundessortenamt (Deutschland) sowie mit dem Ausschuss für Züchterrechte des Ministeriums für Landwirtschaft, Natur und Lebensmittelqualität (Niederlande).</w:t>
      </w:r>
    </w:p>
    <w:p w14:paraId="51CE640B" w14:textId="77777777" w:rsidR="00424F87" w:rsidRPr="00A43EA1" w:rsidRDefault="00424F87" w:rsidP="00424F87"/>
    <w:p w14:paraId="75E0D93A" w14:textId="77777777" w:rsidR="00424F87" w:rsidRPr="00A43EA1" w:rsidRDefault="00424F87" w:rsidP="00424F87"/>
    <w:p w14:paraId="4DFA811A"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1E37A62D" w14:textId="77777777" w:rsidR="00424F87" w:rsidRPr="00A43EA1" w:rsidRDefault="00424F87" w:rsidP="00424F87"/>
    <w:p w14:paraId="57EEDD1F" w14:textId="77777777" w:rsidR="00424F87" w:rsidRPr="00A43EA1" w:rsidRDefault="00424F87" w:rsidP="00424F87">
      <w:r w:rsidRPr="00A43EA1">
        <w:t>Keine Änderungen.  Das HIPO ist befugt, den Schutz für Pflanzensorten zu erteilen.  Im nationalen System ist das HIPO für die Prüfung der Neuheit, der Bezeichnung und der Einheitlichkeit sowie für die Registrierung von Pflanzensorten zuständig.  Das Nationale Amt für die Sicherheit der Lebensmittelkette ist für die biologische Prüfung (DUS-Prüfung) zuständig.</w:t>
      </w:r>
    </w:p>
    <w:p w14:paraId="01A5C0C3" w14:textId="77777777" w:rsidR="00424F87" w:rsidRPr="00A43EA1" w:rsidRDefault="00424F87" w:rsidP="00424F87"/>
    <w:p w14:paraId="4EE0ABCA" w14:textId="77777777" w:rsidR="00424F87" w:rsidRPr="00A43EA1" w:rsidRDefault="00424F87" w:rsidP="00424F87"/>
    <w:p w14:paraId="1C2B5202" w14:textId="77777777" w:rsidR="00424F87" w:rsidRPr="00A43EA1" w:rsidRDefault="00424F87" w:rsidP="00424F87">
      <w:r w:rsidRPr="00A43EA1">
        <w:t>4.</w:t>
      </w:r>
      <w:r w:rsidRPr="00A43EA1">
        <w:tab/>
      </w:r>
      <w:r w:rsidRPr="00A43EA1">
        <w:rPr>
          <w:u w:val="single"/>
        </w:rPr>
        <w:t>Lage auf dem Gebiet der Technik für den Zeitraum Januar bis Dezember 2021</w:t>
      </w:r>
    </w:p>
    <w:p w14:paraId="44F5CBB3" w14:textId="77777777" w:rsidR="00424F87" w:rsidRPr="00A43EA1" w:rsidRDefault="00424F87" w:rsidP="00424F87"/>
    <w:p w14:paraId="24947BFA" w14:textId="77777777" w:rsidR="00424F87" w:rsidRPr="00A43EA1" w:rsidRDefault="00424F87" w:rsidP="00424F87">
      <w:r w:rsidRPr="00A43EA1">
        <w:t>Die technische Prüfung wird vom Nationalen Amt für die Sicherheit der Lebensmittelkette durchgeführt.</w:t>
      </w:r>
    </w:p>
    <w:p w14:paraId="6F64F983" w14:textId="77777777" w:rsidR="00424F87" w:rsidRPr="00A43EA1" w:rsidRDefault="00424F87" w:rsidP="00424F87">
      <w:pPr>
        <w:rPr>
          <w:rFonts w:cs="Arial"/>
        </w:rPr>
      </w:pPr>
    </w:p>
    <w:p w14:paraId="0FC512AD" w14:textId="77777777" w:rsidR="00424F87" w:rsidRPr="00A43EA1" w:rsidRDefault="00424F87" w:rsidP="00424F87"/>
    <w:p w14:paraId="166A2289" w14:textId="77777777" w:rsidR="00424F87" w:rsidRPr="00A43EA1" w:rsidRDefault="00424F87" w:rsidP="00424F87"/>
    <w:p w14:paraId="00BB9147" w14:textId="1249B3C1" w:rsidR="00424F87" w:rsidRPr="00A43EA1" w:rsidRDefault="00424F87" w:rsidP="00424F87">
      <w:pPr>
        <w:jc w:val="right"/>
      </w:pPr>
      <w:r w:rsidRPr="00A43EA1">
        <w:t>[</w:t>
      </w:r>
      <w:r w:rsidR="009E6E5A">
        <w:t>Anlage</w:t>
      </w:r>
      <w:r w:rsidRPr="00A43EA1">
        <w:t xml:space="preserve"> VII folgt]</w:t>
      </w:r>
    </w:p>
    <w:p w14:paraId="36C10A6A" w14:textId="77777777" w:rsidR="00424F87" w:rsidRPr="00A43EA1" w:rsidRDefault="00424F87" w:rsidP="00424F87"/>
    <w:p w14:paraId="26B95223" w14:textId="77777777" w:rsidR="00424F87" w:rsidRPr="00A43EA1" w:rsidRDefault="00424F87" w:rsidP="00424F87"/>
    <w:p w14:paraId="2E90CE8D" w14:textId="77777777" w:rsidR="00424F87" w:rsidRPr="00A43EA1" w:rsidRDefault="00424F87" w:rsidP="00424F87">
      <w:pPr>
        <w:jc w:val="center"/>
        <w:sectPr w:rsidR="00424F87" w:rsidRPr="00A43EA1" w:rsidSect="000B2CE0">
          <w:pgSz w:w="11907" w:h="16840" w:code="9"/>
          <w:pgMar w:top="510" w:right="1134" w:bottom="568" w:left="1134" w:header="510" w:footer="680" w:gutter="0"/>
          <w:pgNumType w:start="1"/>
          <w:cols w:space="720"/>
          <w:titlePg/>
        </w:sectPr>
      </w:pPr>
    </w:p>
    <w:p w14:paraId="0450B5CB" w14:textId="77777777" w:rsidR="00424F87" w:rsidRPr="00A43EA1" w:rsidRDefault="00424F87" w:rsidP="00424F87">
      <w:pPr>
        <w:jc w:val="center"/>
      </w:pPr>
      <w:r w:rsidRPr="00A43EA1">
        <w:lastRenderedPageBreak/>
        <w:t>C/57/13</w:t>
      </w:r>
    </w:p>
    <w:p w14:paraId="275AD390" w14:textId="77777777" w:rsidR="00424F87" w:rsidRPr="00A43EA1" w:rsidRDefault="00424F87" w:rsidP="00424F87">
      <w:pPr>
        <w:jc w:val="center"/>
      </w:pPr>
    </w:p>
    <w:p w14:paraId="6272F23C" w14:textId="7EC851BE" w:rsidR="00424F87" w:rsidRPr="00A43EA1" w:rsidRDefault="009E6E5A" w:rsidP="00424F87">
      <w:pPr>
        <w:jc w:val="center"/>
      </w:pPr>
      <w:r>
        <w:t>ANLAGE</w:t>
      </w:r>
      <w:r w:rsidR="00424F87" w:rsidRPr="00A43EA1">
        <w:t xml:space="preserve"> VII</w:t>
      </w:r>
    </w:p>
    <w:p w14:paraId="6EC3C71A" w14:textId="77777777" w:rsidR="00424F87" w:rsidRPr="00A43EA1" w:rsidRDefault="00424F87" w:rsidP="00424F87">
      <w:pPr>
        <w:jc w:val="center"/>
      </w:pPr>
    </w:p>
    <w:p w14:paraId="67BA3272" w14:textId="77777777" w:rsidR="00424F87" w:rsidRPr="00A43EA1" w:rsidRDefault="00424F87" w:rsidP="00424F87">
      <w:pPr>
        <w:jc w:val="center"/>
      </w:pPr>
    </w:p>
    <w:p w14:paraId="6D2E1EF2" w14:textId="77777777" w:rsidR="00424F87" w:rsidRPr="00A43EA1" w:rsidRDefault="00424F87" w:rsidP="00424F87">
      <w:pPr>
        <w:jc w:val="center"/>
      </w:pPr>
      <w:r w:rsidRPr="00A43EA1">
        <w:t>ISRAEL</w:t>
      </w:r>
    </w:p>
    <w:p w14:paraId="217C56DD" w14:textId="77777777" w:rsidR="00424F87" w:rsidRPr="00A43EA1" w:rsidRDefault="00424F87" w:rsidP="00424F87">
      <w:pPr>
        <w:jc w:val="center"/>
      </w:pPr>
      <w:r w:rsidRPr="00A43EA1">
        <w:t>(Originalsprache: englisch)</w:t>
      </w:r>
    </w:p>
    <w:p w14:paraId="3A1D2019" w14:textId="77777777" w:rsidR="00424F87" w:rsidRPr="00A43EA1" w:rsidRDefault="00424F87" w:rsidP="00424F87"/>
    <w:p w14:paraId="0A652152"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530F1105" w14:textId="77777777" w:rsidR="00424F87" w:rsidRPr="00A43EA1" w:rsidRDefault="00424F87" w:rsidP="00424F87">
      <w:r w:rsidRPr="00A43EA1">
        <w:t xml:space="preserve">I. </w:t>
      </w:r>
      <w:r w:rsidRPr="00A43EA1">
        <w:tab/>
        <w:t>SORTENSCHUTZ</w:t>
      </w:r>
    </w:p>
    <w:p w14:paraId="040CD7BE" w14:textId="77777777" w:rsidR="00424F87" w:rsidRPr="00A43EA1" w:rsidRDefault="00424F87" w:rsidP="00424F87"/>
    <w:p w14:paraId="7BBD4F37" w14:textId="77777777" w:rsidR="00424F87" w:rsidRPr="00A43EA1" w:rsidRDefault="00424F87" w:rsidP="00424F87">
      <w:r w:rsidRPr="00A43EA1">
        <w:t xml:space="preserve">1. </w:t>
      </w:r>
      <w:r w:rsidRPr="00A43EA1">
        <w:tab/>
      </w:r>
      <w:r w:rsidRPr="00A43EA1">
        <w:rPr>
          <w:u w:val="single"/>
        </w:rPr>
        <w:t>Lage auf dem Gebiet der Gesetzgebung</w:t>
      </w:r>
    </w:p>
    <w:p w14:paraId="2894DDDA" w14:textId="77777777" w:rsidR="00424F87" w:rsidRPr="00A43EA1" w:rsidRDefault="00424F87" w:rsidP="00424F87"/>
    <w:p w14:paraId="720FCB2F" w14:textId="58A39995" w:rsidR="00424F87" w:rsidRPr="00A43EA1" w:rsidRDefault="00424F87" w:rsidP="00424F87">
      <w:r w:rsidRPr="00A43EA1">
        <w:t>1.1</w:t>
      </w:r>
      <w:r w:rsidR="009400B2">
        <w:tab/>
      </w:r>
      <w:r w:rsidRPr="00A43EA1">
        <w:t>Änderungen des Gesetzes und der Durchführungsverordnungen - Geplant</w:t>
      </w:r>
    </w:p>
    <w:p w14:paraId="62F2C5DB" w14:textId="77777777" w:rsidR="00424F87" w:rsidRPr="00A43EA1" w:rsidRDefault="00424F87" w:rsidP="00424F87">
      <w:pPr>
        <w:pStyle w:val="BodyTextIndent2"/>
        <w:ind w:left="425"/>
        <w:rPr>
          <w:sz w:val="20"/>
          <w:szCs w:val="20"/>
        </w:rPr>
      </w:pPr>
    </w:p>
    <w:p w14:paraId="169D3F19" w14:textId="1747CEBC" w:rsidR="00424F87" w:rsidRPr="00A43EA1" w:rsidRDefault="00424F87" w:rsidP="00424F87">
      <w:r w:rsidRPr="00A43EA1">
        <w:t>1.2</w:t>
      </w:r>
      <w:r w:rsidR="009400B2">
        <w:tab/>
      </w:r>
      <w:r w:rsidRPr="00A43EA1">
        <w:t>Ausdehnung des Schutzes auf weitere Gattungen und Arten - Keine</w:t>
      </w:r>
    </w:p>
    <w:p w14:paraId="298A6213" w14:textId="77777777" w:rsidR="00424F87" w:rsidRPr="00A43EA1" w:rsidRDefault="00424F87" w:rsidP="00424F87">
      <w:pPr>
        <w:pStyle w:val="BodyTextIndent2"/>
        <w:ind w:left="425"/>
        <w:rPr>
          <w:sz w:val="20"/>
          <w:szCs w:val="20"/>
        </w:rPr>
      </w:pPr>
    </w:p>
    <w:p w14:paraId="3CE12B06" w14:textId="38D2C176" w:rsidR="00424F87" w:rsidRPr="00A43EA1" w:rsidRDefault="00424F87" w:rsidP="00424F87">
      <w:r w:rsidRPr="00A43EA1">
        <w:t>1.3</w:t>
      </w:r>
      <w:r w:rsidR="009400B2">
        <w:tab/>
      </w:r>
      <w:r w:rsidRPr="00A43EA1">
        <w:t>Fallrecht - In der Angelegenheit des Antrags auf Nichtigerklärung der Züchtereintragung für eine Papayasorte mit dem Namen "Aurora", Fall Nr. 66103-09-19, Bezirksgericht Jerusalem, 2. Dezember 2021, wies das Gericht den Rat für Pflanzenzüchtung (nachstehend "Rat") an, den Antrag des Rechtsmittelführers auf Nichtigerklärung erneut zu prüfen. Daraufhin leitete der Rat das Überprüfungsverfahren ein. Während der Rat die erneute Prüfung durchführte, erhob der Inhaber der "Aurora"-Eintragung Klage gegen den Rat wegen Missachtung des Gerichts, weil er der Anordnung des Gerichts zur erneuten Prüfung nicht nachgekommen war. Die Klage wegen Missachtung des Gerichts wurde abgewiesen, und der Inhaber der Eintragung "Aurora" wurde angewiesen, dem Rat Stecklinge zu liefern. Der Rat prüft nun, ob er das Züchterrecht wegen der Nichtlieferung der angeforderten Stecklinge widerrufen soll.</w:t>
      </w:r>
    </w:p>
    <w:p w14:paraId="253C60E5" w14:textId="77777777" w:rsidR="00424F87" w:rsidRPr="00A43EA1" w:rsidRDefault="00424F87" w:rsidP="00424F87"/>
    <w:p w14:paraId="185DF142" w14:textId="77777777" w:rsidR="00424F87" w:rsidRPr="00A43EA1" w:rsidRDefault="00424F87" w:rsidP="00424F87">
      <w:r w:rsidRPr="00A43EA1">
        <w:t>2.</w:t>
      </w:r>
      <w:r w:rsidRPr="00A43EA1">
        <w:tab/>
      </w:r>
      <w:r w:rsidRPr="00A43EA1">
        <w:rPr>
          <w:u w:val="single"/>
        </w:rPr>
        <w:t>Zusammenarbeit bei der Prüfung</w:t>
      </w:r>
    </w:p>
    <w:p w14:paraId="66FD3010" w14:textId="77777777" w:rsidR="00424F87" w:rsidRPr="00A43EA1" w:rsidRDefault="00424F87" w:rsidP="00424F87">
      <w:pPr>
        <w:tabs>
          <w:tab w:val="left" w:pos="426"/>
          <w:tab w:val="left" w:pos="851"/>
        </w:tabs>
      </w:pPr>
    </w:p>
    <w:p w14:paraId="1A29D3C5" w14:textId="77777777" w:rsidR="00424F87" w:rsidRPr="00A43EA1" w:rsidRDefault="00424F87" w:rsidP="00424F87">
      <w:pPr>
        <w:tabs>
          <w:tab w:val="left" w:pos="426"/>
          <w:tab w:val="left" w:pos="851"/>
        </w:tabs>
      </w:pPr>
      <w:r w:rsidRPr="00A43EA1">
        <w:t>Keine Änderungen.</w:t>
      </w:r>
    </w:p>
    <w:p w14:paraId="51ADED01" w14:textId="77777777" w:rsidR="00424F87" w:rsidRPr="00A43EA1" w:rsidRDefault="00424F87" w:rsidP="00424F87"/>
    <w:p w14:paraId="186A214C"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3A8C2399" w14:textId="77777777" w:rsidR="00424F87" w:rsidRPr="00A43EA1" w:rsidRDefault="00424F87" w:rsidP="00424F87"/>
    <w:p w14:paraId="2D3E66E5" w14:textId="331AFA48" w:rsidR="00424F87" w:rsidRPr="00A43EA1" w:rsidRDefault="00424F87" w:rsidP="009400B2">
      <w:r w:rsidRPr="00A43EA1">
        <w:t>Frau Rasaby ging am 31. Dezember 2022 in den Ruhestand. Unsere neue Züchterrechtsbeauftragte ist Frau</w:t>
      </w:r>
      <w:r w:rsidR="009400B2">
        <w:t> </w:t>
      </w:r>
      <w:r w:rsidRPr="00A43EA1">
        <w:t>Inbal Moshe.</w:t>
      </w:r>
    </w:p>
    <w:p w14:paraId="4DFE2F84" w14:textId="77777777" w:rsidR="00424F87" w:rsidRPr="00A43EA1" w:rsidRDefault="00424F87" w:rsidP="00424F87">
      <w:pPr>
        <w:ind w:left="425" w:hanging="425"/>
      </w:pPr>
    </w:p>
    <w:p w14:paraId="2B71AA01" w14:textId="77777777" w:rsidR="00424F87" w:rsidRPr="00A43EA1" w:rsidRDefault="00424F87" w:rsidP="00424F87">
      <w:pPr>
        <w:spacing w:line="360" w:lineRule="auto"/>
      </w:pPr>
      <w:r w:rsidRPr="00A43EA1">
        <w:t>4.</w:t>
      </w:r>
      <w:r w:rsidRPr="00A43EA1">
        <w:tab/>
      </w:r>
      <w:r w:rsidRPr="00A43EA1">
        <w:rPr>
          <w:u w:val="single"/>
        </w:rPr>
        <w:t>Lage auf dem Gebiet der Technik</w:t>
      </w:r>
    </w:p>
    <w:p w14:paraId="4293B40B" w14:textId="77777777" w:rsidR="00424F87" w:rsidRPr="00A43EA1" w:rsidRDefault="00424F87" w:rsidP="00424F87">
      <w:r w:rsidRPr="00A43EA1">
        <w:t>Keine Änderungen.</w:t>
      </w:r>
    </w:p>
    <w:p w14:paraId="376ECF02" w14:textId="77777777" w:rsidR="00424F87" w:rsidRPr="00A43EA1" w:rsidRDefault="00424F87" w:rsidP="00424F87"/>
    <w:p w14:paraId="31083E5E"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244D704C" w14:textId="77777777" w:rsidR="00424F87" w:rsidRPr="00A43EA1" w:rsidRDefault="00424F87" w:rsidP="00424F87"/>
    <w:tbl>
      <w:tblPr>
        <w:tblStyle w:val="TableGrid"/>
        <w:tblpPr w:leftFromText="180" w:rightFromText="180" w:vertAnchor="text" w:tblpY="1"/>
        <w:tblOverlap w:val="never"/>
        <w:tblW w:w="10201" w:type="dxa"/>
        <w:tblLayout w:type="fixed"/>
        <w:tblCellMar>
          <w:top w:w="28" w:type="dxa"/>
          <w:left w:w="28" w:type="dxa"/>
          <w:bottom w:w="28" w:type="dxa"/>
          <w:right w:w="28" w:type="dxa"/>
        </w:tblCellMar>
        <w:tblLook w:val="01E0" w:firstRow="1" w:lastRow="1" w:firstColumn="1" w:lastColumn="1" w:noHBand="0" w:noVBand="0"/>
      </w:tblPr>
      <w:tblGrid>
        <w:gridCol w:w="1696"/>
        <w:gridCol w:w="969"/>
        <w:gridCol w:w="1016"/>
        <w:gridCol w:w="1276"/>
        <w:gridCol w:w="2126"/>
        <w:gridCol w:w="1955"/>
        <w:gridCol w:w="1163"/>
      </w:tblGrid>
      <w:tr w:rsidR="00424F87" w:rsidRPr="00A43EA1" w14:paraId="673D0BAF" w14:textId="77777777" w:rsidTr="009400B2">
        <w:trPr>
          <w:tblHeader/>
        </w:trPr>
        <w:tc>
          <w:tcPr>
            <w:tcW w:w="1696" w:type="dxa"/>
          </w:tcPr>
          <w:p w14:paraId="49D9C669" w14:textId="77777777" w:rsidR="00424F87" w:rsidRPr="00A43EA1" w:rsidRDefault="00424F87" w:rsidP="00C30F9D">
            <w:pPr>
              <w:keepNext/>
              <w:jc w:val="left"/>
              <w:rPr>
                <w:sz w:val="16"/>
              </w:rPr>
            </w:pPr>
            <w:r w:rsidRPr="00A43EA1">
              <w:rPr>
                <w:sz w:val="16"/>
              </w:rPr>
              <w:t>Titel der Aktivität</w:t>
            </w:r>
          </w:p>
        </w:tc>
        <w:tc>
          <w:tcPr>
            <w:tcW w:w="969" w:type="dxa"/>
          </w:tcPr>
          <w:p w14:paraId="429D89D4" w14:textId="77777777" w:rsidR="00424F87" w:rsidRPr="00A43EA1" w:rsidRDefault="00424F87" w:rsidP="00C30F9D">
            <w:pPr>
              <w:keepNext/>
              <w:jc w:val="left"/>
              <w:rPr>
                <w:sz w:val="16"/>
              </w:rPr>
            </w:pPr>
            <w:r w:rsidRPr="00A43EA1">
              <w:rPr>
                <w:sz w:val="16"/>
              </w:rPr>
              <w:t>Datum</w:t>
            </w:r>
          </w:p>
        </w:tc>
        <w:tc>
          <w:tcPr>
            <w:tcW w:w="1016" w:type="dxa"/>
          </w:tcPr>
          <w:p w14:paraId="30BD6222" w14:textId="77777777" w:rsidR="00424F87" w:rsidRPr="00A43EA1" w:rsidRDefault="00424F87" w:rsidP="00C30F9D">
            <w:pPr>
              <w:keepNext/>
              <w:jc w:val="left"/>
              <w:rPr>
                <w:sz w:val="16"/>
              </w:rPr>
            </w:pPr>
            <w:r w:rsidRPr="00A43EA1">
              <w:rPr>
                <w:sz w:val="16"/>
              </w:rPr>
              <w:t>Standort</w:t>
            </w:r>
          </w:p>
        </w:tc>
        <w:tc>
          <w:tcPr>
            <w:tcW w:w="1276" w:type="dxa"/>
          </w:tcPr>
          <w:p w14:paraId="6C6A7D34" w14:textId="77777777" w:rsidR="00424F87" w:rsidRPr="00A43EA1" w:rsidRDefault="00424F87" w:rsidP="00C30F9D">
            <w:pPr>
              <w:keepNext/>
              <w:jc w:val="left"/>
              <w:rPr>
                <w:sz w:val="16"/>
              </w:rPr>
            </w:pPr>
            <w:r w:rsidRPr="00A43EA1">
              <w:rPr>
                <w:sz w:val="16"/>
              </w:rPr>
              <w:t>Organisator(en)</w:t>
            </w:r>
          </w:p>
        </w:tc>
        <w:tc>
          <w:tcPr>
            <w:tcW w:w="2126" w:type="dxa"/>
          </w:tcPr>
          <w:p w14:paraId="4C521F56" w14:textId="77777777" w:rsidR="00424F87" w:rsidRPr="00A43EA1" w:rsidRDefault="00424F87" w:rsidP="00C30F9D">
            <w:pPr>
              <w:keepNext/>
              <w:jc w:val="left"/>
              <w:rPr>
                <w:sz w:val="16"/>
              </w:rPr>
            </w:pPr>
            <w:r w:rsidRPr="00A43EA1">
              <w:rPr>
                <w:sz w:val="16"/>
              </w:rPr>
              <w:t>Zweck der Tätigkeit</w:t>
            </w:r>
          </w:p>
        </w:tc>
        <w:tc>
          <w:tcPr>
            <w:tcW w:w="1955" w:type="dxa"/>
          </w:tcPr>
          <w:p w14:paraId="0589125E" w14:textId="77777777" w:rsidR="00424F87" w:rsidRPr="00A43EA1" w:rsidRDefault="00424F87" w:rsidP="00C30F9D">
            <w:pPr>
              <w:keepNext/>
              <w:jc w:val="left"/>
              <w:rPr>
                <w:sz w:val="16"/>
              </w:rPr>
            </w:pPr>
            <w:r w:rsidRPr="00A43EA1">
              <w:rPr>
                <w:sz w:val="16"/>
              </w:rPr>
              <w:t>Teilnehmende Länder/Organisationen (Anzahl der Teilnehmer aus jedem Land)</w:t>
            </w:r>
          </w:p>
        </w:tc>
        <w:tc>
          <w:tcPr>
            <w:tcW w:w="1163" w:type="dxa"/>
          </w:tcPr>
          <w:p w14:paraId="769257BE" w14:textId="77777777" w:rsidR="00424F87" w:rsidRPr="00A43EA1" w:rsidRDefault="00424F87" w:rsidP="00C30F9D">
            <w:pPr>
              <w:keepNext/>
              <w:jc w:val="left"/>
              <w:rPr>
                <w:sz w:val="16"/>
              </w:rPr>
            </w:pPr>
            <w:r w:rsidRPr="00A43EA1">
              <w:rPr>
                <w:sz w:val="16"/>
              </w:rPr>
              <w:t>Kommentare</w:t>
            </w:r>
          </w:p>
        </w:tc>
      </w:tr>
      <w:tr w:rsidR="00424F87" w:rsidRPr="00A43EA1" w14:paraId="6AF96546" w14:textId="77777777" w:rsidTr="00C30F9D">
        <w:tc>
          <w:tcPr>
            <w:tcW w:w="1696" w:type="dxa"/>
          </w:tcPr>
          <w:p w14:paraId="2BF61590" w14:textId="77777777" w:rsidR="00424F87" w:rsidRPr="00A43EA1" w:rsidRDefault="00424F87" w:rsidP="00C30F9D">
            <w:pPr>
              <w:keepNext/>
              <w:jc w:val="left"/>
              <w:rPr>
                <w:sz w:val="16"/>
              </w:rPr>
            </w:pPr>
            <w:r w:rsidRPr="00A43EA1">
              <w:rPr>
                <w:sz w:val="16"/>
              </w:rPr>
              <w:t>1. "Wer steckt hinter der Maske?"</w:t>
            </w:r>
          </w:p>
        </w:tc>
        <w:tc>
          <w:tcPr>
            <w:tcW w:w="969" w:type="dxa"/>
          </w:tcPr>
          <w:p w14:paraId="1AA5F8C0" w14:textId="77777777" w:rsidR="00424F87" w:rsidRPr="00A43EA1" w:rsidRDefault="00424F87" w:rsidP="00C30F9D">
            <w:pPr>
              <w:keepNext/>
              <w:jc w:val="left"/>
              <w:rPr>
                <w:sz w:val="16"/>
              </w:rPr>
            </w:pPr>
            <w:r w:rsidRPr="00A43EA1">
              <w:rPr>
                <w:sz w:val="16"/>
              </w:rPr>
              <w:t>3.2023</w:t>
            </w:r>
          </w:p>
        </w:tc>
        <w:tc>
          <w:tcPr>
            <w:tcW w:w="1016" w:type="dxa"/>
          </w:tcPr>
          <w:p w14:paraId="6C44A382" w14:textId="77777777" w:rsidR="00424F87" w:rsidRPr="00A43EA1" w:rsidRDefault="00424F87" w:rsidP="00C30F9D">
            <w:pPr>
              <w:keepNext/>
              <w:jc w:val="left"/>
              <w:rPr>
                <w:sz w:val="16"/>
              </w:rPr>
            </w:pPr>
            <w:r w:rsidRPr="00A43EA1">
              <w:rPr>
                <w:sz w:val="16"/>
              </w:rPr>
              <w:t>Instagram des Ministeriums</w:t>
            </w:r>
          </w:p>
        </w:tc>
        <w:tc>
          <w:tcPr>
            <w:tcW w:w="1276" w:type="dxa"/>
          </w:tcPr>
          <w:p w14:paraId="20419030" w14:textId="77777777" w:rsidR="00424F87" w:rsidRPr="00A43EA1" w:rsidRDefault="00424F87" w:rsidP="00C30F9D">
            <w:pPr>
              <w:keepNext/>
              <w:jc w:val="left"/>
              <w:rPr>
                <w:sz w:val="16"/>
                <w:szCs w:val="16"/>
              </w:rPr>
            </w:pPr>
            <w:r w:rsidRPr="00A43EA1">
              <w:rPr>
                <w:sz w:val="16"/>
                <w:szCs w:val="16"/>
              </w:rPr>
              <w:t>Die Abteilung Kommunikation, Medien und Öffentlichkeitsarbeit des Ministeriums</w:t>
            </w:r>
          </w:p>
        </w:tc>
        <w:tc>
          <w:tcPr>
            <w:tcW w:w="2126" w:type="dxa"/>
          </w:tcPr>
          <w:p w14:paraId="0E4552E3" w14:textId="77777777" w:rsidR="00424F87" w:rsidRPr="00A43EA1" w:rsidRDefault="00424F87" w:rsidP="00C30F9D">
            <w:pPr>
              <w:keepNext/>
              <w:jc w:val="left"/>
              <w:rPr>
                <w:sz w:val="16"/>
              </w:rPr>
            </w:pPr>
            <w:r w:rsidRPr="00A43EA1">
              <w:rPr>
                <w:sz w:val="16"/>
              </w:rPr>
              <w:t>Vorstellung und Werbung für die Einheiten des Ministeriums während der Karnevalszeit</w:t>
            </w:r>
          </w:p>
        </w:tc>
        <w:tc>
          <w:tcPr>
            <w:tcW w:w="1955" w:type="dxa"/>
          </w:tcPr>
          <w:p w14:paraId="148992F4" w14:textId="77777777" w:rsidR="00424F87" w:rsidRPr="00A43EA1" w:rsidRDefault="00424F87" w:rsidP="00C30F9D">
            <w:pPr>
              <w:keepNext/>
              <w:jc w:val="left"/>
              <w:rPr>
                <w:sz w:val="16"/>
              </w:rPr>
            </w:pPr>
            <w:r w:rsidRPr="00A43EA1">
              <w:rPr>
                <w:sz w:val="16"/>
              </w:rPr>
              <w:t>Israelische Öffentlichkeit</w:t>
            </w:r>
          </w:p>
        </w:tc>
        <w:tc>
          <w:tcPr>
            <w:tcW w:w="1163" w:type="dxa"/>
          </w:tcPr>
          <w:p w14:paraId="7CD74EDD" w14:textId="77777777" w:rsidR="00424F87" w:rsidRPr="00A43EA1" w:rsidRDefault="00424F87" w:rsidP="00C30F9D">
            <w:pPr>
              <w:keepNext/>
              <w:jc w:val="left"/>
              <w:rPr>
                <w:sz w:val="16"/>
              </w:rPr>
            </w:pPr>
          </w:p>
        </w:tc>
      </w:tr>
      <w:tr w:rsidR="00424F87" w:rsidRPr="00A43EA1" w14:paraId="437C4924" w14:textId="77777777" w:rsidTr="00C30F9D">
        <w:tc>
          <w:tcPr>
            <w:tcW w:w="1696" w:type="dxa"/>
          </w:tcPr>
          <w:p w14:paraId="7CAF2B55" w14:textId="77777777" w:rsidR="00424F87" w:rsidRPr="00A43EA1" w:rsidRDefault="00424F87" w:rsidP="00C30F9D">
            <w:pPr>
              <w:keepNext/>
              <w:jc w:val="left"/>
              <w:rPr>
                <w:sz w:val="16"/>
              </w:rPr>
            </w:pPr>
            <w:r w:rsidRPr="00A43EA1">
              <w:rPr>
                <w:sz w:val="16"/>
              </w:rPr>
              <w:t>2. Welt-IP-Tag</w:t>
            </w:r>
          </w:p>
        </w:tc>
        <w:tc>
          <w:tcPr>
            <w:tcW w:w="969" w:type="dxa"/>
          </w:tcPr>
          <w:p w14:paraId="671E5449" w14:textId="77777777" w:rsidR="00424F87" w:rsidRPr="00A43EA1" w:rsidRDefault="00424F87" w:rsidP="00C30F9D">
            <w:pPr>
              <w:keepNext/>
              <w:jc w:val="left"/>
              <w:rPr>
                <w:sz w:val="16"/>
              </w:rPr>
            </w:pPr>
            <w:r w:rsidRPr="00A43EA1">
              <w:rPr>
                <w:sz w:val="16"/>
              </w:rPr>
              <w:t>27.4.2023</w:t>
            </w:r>
          </w:p>
        </w:tc>
        <w:tc>
          <w:tcPr>
            <w:tcW w:w="1016" w:type="dxa"/>
          </w:tcPr>
          <w:p w14:paraId="119470D4" w14:textId="77777777" w:rsidR="00424F87" w:rsidRPr="00A43EA1" w:rsidRDefault="00424F87" w:rsidP="00C30F9D">
            <w:pPr>
              <w:keepNext/>
              <w:jc w:val="left"/>
              <w:rPr>
                <w:sz w:val="16"/>
              </w:rPr>
            </w:pPr>
            <w:r w:rsidRPr="00A43EA1">
              <w:rPr>
                <w:sz w:val="16"/>
              </w:rPr>
              <w:t>Verteilerliste des Ministeriums</w:t>
            </w:r>
          </w:p>
        </w:tc>
        <w:tc>
          <w:tcPr>
            <w:tcW w:w="1276" w:type="dxa"/>
          </w:tcPr>
          <w:p w14:paraId="06B9359C" w14:textId="77777777" w:rsidR="00424F87" w:rsidRPr="00A43EA1" w:rsidRDefault="00424F87" w:rsidP="00C30F9D">
            <w:pPr>
              <w:keepNext/>
              <w:jc w:val="left"/>
              <w:rPr>
                <w:sz w:val="16"/>
                <w:szCs w:val="16"/>
              </w:rPr>
            </w:pPr>
            <w:r w:rsidRPr="00A43EA1">
              <w:rPr>
                <w:sz w:val="16"/>
                <w:szCs w:val="16"/>
              </w:rPr>
              <w:t>PBR-Büro</w:t>
            </w:r>
          </w:p>
        </w:tc>
        <w:tc>
          <w:tcPr>
            <w:tcW w:w="2126" w:type="dxa"/>
          </w:tcPr>
          <w:p w14:paraId="0A4A44D1" w14:textId="77777777" w:rsidR="00424F87" w:rsidRPr="00A43EA1" w:rsidRDefault="00424F87" w:rsidP="00C30F9D">
            <w:pPr>
              <w:keepNext/>
              <w:jc w:val="left"/>
              <w:rPr>
                <w:sz w:val="16"/>
              </w:rPr>
            </w:pPr>
            <w:r w:rsidRPr="00A43EA1">
              <w:rPr>
                <w:sz w:val="16"/>
                <w:szCs w:val="16"/>
              </w:rPr>
              <w:t>PBR-Förderung</w:t>
            </w:r>
          </w:p>
        </w:tc>
        <w:tc>
          <w:tcPr>
            <w:tcW w:w="1955" w:type="dxa"/>
          </w:tcPr>
          <w:p w14:paraId="5E3EC0AB" w14:textId="77777777" w:rsidR="00424F87" w:rsidRPr="00A43EA1" w:rsidRDefault="00424F87" w:rsidP="00C30F9D">
            <w:pPr>
              <w:keepNext/>
              <w:jc w:val="left"/>
              <w:rPr>
                <w:sz w:val="16"/>
              </w:rPr>
            </w:pPr>
          </w:p>
        </w:tc>
        <w:tc>
          <w:tcPr>
            <w:tcW w:w="1163" w:type="dxa"/>
          </w:tcPr>
          <w:p w14:paraId="2872498C" w14:textId="77777777" w:rsidR="00424F87" w:rsidRPr="00A43EA1" w:rsidRDefault="00424F87" w:rsidP="00C30F9D">
            <w:pPr>
              <w:keepNext/>
              <w:jc w:val="left"/>
              <w:rPr>
                <w:sz w:val="16"/>
              </w:rPr>
            </w:pPr>
          </w:p>
        </w:tc>
      </w:tr>
      <w:tr w:rsidR="00424F87" w:rsidRPr="00A43EA1" w14:paraId="1EF6D4AE" w14:textId="77777777" w:rsidTr="00C30F9D">
        <w:tc>
          <w:tcPr>
            <w:tcW w:w="1696" w:type="dxa"/>
          </w:tcPr>
          <w:p w14:paraId="120EB649" w14:textId="77777777" w:rsidR="00424F87" w:rsidRPr="00A43EA1" w:rsidRDefault="00424F87" w:rsidP="00C30F9D">
            <w:pPr>
              <w:keepNext/>
              <w:jc w:val="left"/>
              <w:rPr>
                <w:sz w:val="16"/>
                <w:szCs w:val="16"/>
              </w:rPr>
            </w:pPr>
            <w:r w:rsidRPr="00A43EA1">
              <w:rPr>
                <w:sz w:val="16"/>
                <w:szCs w:val="16"/>
              </w:rPr>
              <w:t>3. Ausstellung Agro Mashov</w:t>
            </w:r>
          </w:p>
        </w:tc>
        <w:tc>
          <w:tcPr>
            <w:tcW w:w="969" w:type="dxa"/>
          </w:tcPr>
          <w:p w14:paraId="5973B794" w14:textId="77777777" w:rsidR="00424F87" w:rsidRPr="00A43EA1" w:rsidRDefault="00424F87" w:rsidP="00C30F9D">
            <w:pPr>
              <w:keepNext/>
              <w:jc w:val="left"/>
              <w:rPr>
                <w:sz w:val="16"/>
                <w:szCs w:val="16"/>
              </w:rPr>
            </w:pPr>
            <w:r w:rsidRPr="00A43EA1">
              <w:rPr>
                <w:sz w:val="16"/>
                <w:szCs w:val="16"/>
              </w:rPr>
              <w:t>5-6.9.2023</w:t>
            </w:r>
          </w:p>
        </w:tc>
        <w:tc>
          <w:tcPr>
            <w:tcW w:w="1016" w:type="dxa"/>
          </w:tcPr>
          <w:p w14:paraId="47569749" w14:textId="77777777" w:rsidR="00424F87" w:rsidRPr="00A43EA1" w:rsidRDefault="00424F87" w:rsidP="00C30F9D">
            <w:pPr>
              <w:keepNext/>
              <w:jc w:val="left"/>
              <w:rPr>
                <w:sz w:val="16"/>
                <w:szCs w:val="16"/>
              </w:rPr>
            </w:pPr>
            <w:r w:rsidRPr="00A43EA1">
              <w:rPr>
                <w:sz w:val="16"/>
                <w:szCs w:val="16"/>
              </w:rPr>
              <w:t>TLV EXPO, Tel Aviv, Israel</w:t>
            </w:r>
          </w:p>
        </w:tc>
        <w:tc>
          <w:tcPr>
            <w:tcW w:w="1276" w:type="dxa"/>
          </w:tcPr>
          <w:p w14:paraId="5FF6A249" w14:textId="77777777" w:rsidR="00424F87" w:rsidRPr="00A43EA1" w:rsidRDefault="00424F87" w:rsidP="00C30F9D">
            <w:pPr>
              <w:keepNext/>
              <w:jc w:val="left"/>
              <w:rPr>
                <w:sz w:val="16"/>
                <w:szCs w:val="16"/>
              </w:rPr>
            </w:pPr>
            <w:r w:rsidRPr="00A43EA1">
              <w:rPr>
                <w:sz w:val="16"/>
                <w:szCs w:val="16"/>
              </w:rPr>
              <w:t>Maschow-Gruppe</w:t>
            </w:r>
          </w:p>
        </w:tc>
        <w:tc>
          <w:tcPr>
            <w:tcW w:w="2126" w:type="dxa"/>
          </w:tcPr>
          <w:p w14:paraId="13BCB166" w14:textId="77777777" w:rsidR="00424F87" w:rsidRPr="00A43EA1" w:rsidRDefault="00424F87" w:rsidP="00C30F9D">
            <w:pPr>
              <w:keepNext/>
              <w:jc w:val="left"/>
              <w:rPr>
                <w:sz w:val="16"/>
                <w:szCs w:val="16"/>
              </w:rPr>
            </w:pPr>
            <w:r w:rsidRPr="00A43EA1">
              <w:rPr>
                <w:sz w:val="16"/>
                <w:szCs w:val="16"/>
              </w:rPr>
              <w:t>Züchterrecht Förderung und Beteiligung</w:t>
            </w:r>
          </w:p>
        </w:tc>
        <w:tc>
          <w:tcPr>
            <w:tcW w:w="1955" w:type="dxa"/>
          </w:tcPr>
          <w:p w14:paraId="48EE5897" w14:textId="77777777" w:rsidR="00424F87" w:rsidRPr="00A43EA1" w:rsidRDefault="00424F87" w:rsidP="00C30F9D">
            <w:pPr>
              <w:keepNext/>
              <w:jc w:val="left"/>
              <w:rPr>
                <w:sz w:val="16"/>
                <w:szCs w:val="16"/>
              </w:rPr>
            </w:pPr>
            <w:r w:rsidRPr="00A43EA1">
              <w:rPr>
                <w:sz w:val="16"/>
                <w:szCs w:val="16"/>
              </w:rPr>
              <w:t>Lokale landwirtschaftliche Unternehmen, Erzeuger usw.</w:t>
            </w:r>
          </w:p>
        </w:tc>
        <w:tc>
          <w:tcPr>
            <w:tcW w:w="1163" w:type="dxa"/>
          </w:tcPr>
          <w:p w14:paraId="7AC97E15" w14:textId="77777777" w:rsidR="00424F87" w:rsidRPr="00A43EA1" w:rsidRDefault="00424F87" w:rsidP="00C30F9D">
            <w:pPr>
              <w:keepNext/>
              <w:jc w:val="left"/>
              <w:rPr>
                <w:sz w:val="16"/>
                <w:szCs w:val="16"/>
              </w:rPr>
            </w:pPr>
            <w:r w:rsidRPr="00A43EA1">
              <w:rPr>
                <w:sz w:val="16"/>
                <w:szCs w:val="16"/>
              </w:rPr>
              <w:t>Stand und Vertretung im Pavillon des Ministeriums</w:t>
            </w:r>
          </w:p>
        </w:tc>
      </w:tr>
      <w:tr w:rsidR="00424F87" w:rsidRPr="00A43EA1" w14:paraId="7E98B396" w14:textId="77777777" w:rsidTr="00C30F9D">
        <w:tc>
          <w:tcPr>
            <w:tcW w:w="1696" w:type="dxa"/>
          </w:tcPr>
          <w:p w14:paraId="7E49E429" w14:textId="77777777" w:rsidR="00424F87" w:rsidRPr="00A43EA1" w:rsidRDefault="00424F87" w:rsidP="00C30F9D">
            <w:pPr>
              <w:keepNext/>
              <w:jc w:val="left"/>
              <w:rPr>
                <w:sz w:val="16"/>
              </w:rPr>
            </w:pPr>
            <w:r w:rsidRPr="00A43EA1">
              <w:rPr>
                <w:sz w:val="16"/>
              </w:rPr>
              <w:t>4. IPAA-Sitzung</w:t>
            </w:r>
          </w:p>
          <w:p w14:paraId="73C2E7A3" w14:textId="77777777" w:rsidR="00424F87" w:rsidRPr="00A43EA1" w:rsidRDefault="00424F87" w:rsidP="00C30F9D">
            <w:pPr>
              <w:keepNext/>
              <w:jc w:val="left"/>
              <w:rPr>
                <w:sz w:val="16"/>
              </w:rPr>
            </w:pPr>
          </w:p>
        </w:tc>
        <w:tc>
          <w:tcPr>
            <w:tcW w:w="969" w:type="dxa"/>
          </w:tcPr>
          <w:p w14:paraId="173D440A" w14:textId="77777777" w:rsidR="00424F87" w:rsidRPr="00A43EA1" w:rsidRDefault="00424F87" w:rsidP="00C30F9D">
            <w:pPr>
              <w:keepNext/>
              <w:jc w:val="left"/>
              <w:rPr>
                <w:sz w:val="16"/>
              </w:rPr>
            </w:pPr>
            <w:r w:rsidRPr="00A43EA1">
              <w:rPr>
                <w:sz w:val="16"/>
              </w:rPr>
              <w:t>12.9.2023</w:t>
            </w:r>
          </w:p>
        </w:tc>
        <w:tc>
          <w:tcPr>
            <w:tcW w:w="1016" w:type="dxa"/>
          </w:tcPr>
          <w:p w14:paraId="2467F5CC" w14:textId="77777777" w:rsidR="00424F87" w:rsidRPr="00A43EA1" w:rsidRDefault="00424F87" w:rsidP="00C30F9D">
            <w:pPr>
              <w:keepNext/>
              <w:jc w:val="left"/>
              <w:rPr>
                <w:sz w:val="16"/>
              </w:rPr>
            </w:pPr>
            <w:r w:rsidRPr="00A43EA1">
              <w:rPr>
                <w:sz w:val="16"/>
              </w:rPr>
              <w:t>Webinar</w:t>
            </w:r>
          </w:p>
        </w:tc>
        <w:tc>
          <w:tcPr>
            <w:tcW w:w="1276" w:type="dxa"/>
          </w:tcPr>
          <w:p w14:paraId="434D557F" w14:textId="77777777" w:rsidR="00424F87" w:rsidRPr="00A43EA1" w:rsidRDefault="00424F87" w:rsidP="00C30F9D">
            <w:pPr>
              <w:keepNext/>
              <w:jc w:val="left"/>
              <w:rPr>
                <w:rFonts w:ascii="Helvetica" w:hAnsi="Helvetica"/>
                <w:sz w:val="22"/>
              </w:rPr>
            </w:pPr>
            <w:r w:rsidRPr="00A43EA1">
              <w:rPr>
                <w:sz w:val="16"/>
              </w:rPr>
              <w:t>Israelischer Verband der Patentanwälte (IPAA)</w:t>
            </w:r>
          </w:p>
        </w:tc>
        <w:tc>
          <w:tcPr>
            <w:tcW w:w="2126" w:type="dxa"/>
          </w:tcPr>
          <w:p w14:paraId="6D0F851F" w14:textId="77777777" w:rsidR="00424F87" w:rsidRDefault="00424F87" w:rsidP="00C30F9D">
            <w:pPr>
              <w:keepNext/>
              <w:jc w:val="left"/>
              <w:rPr>
                <w:sz w:val="16"/>
                <w:szCs w:val="16"/>
              </w:rPr>
            </w:pPr>
            <w:r w:rsidRPr="00A43EA1">
              <w:rPr>
                <w:rFonts w:cs="Arial"/>
                <w:color w:val="3E3E3E"/>
                <w:sz w:val="16"/>
                <w:szCs w:val="16"/>
                <w:lang w:bidi="he-IL"/>
              </w:rPr>
              <w:t xml:space="preserve">Präsentation des Züchterrechtsrates, </w:t>
            </w:r>
            <w:r w:rsidRPr="00A43EA1">
              <w:rPr>
                <w:sz w:val="16"/>
                <w:szCs w:val="16"/>
              </w:rPr>
              <w:t>Zusammenarbeit und Verständnis für die Schwierigkeiten bei der Durchsetzung der Züchterrechte</w:t>
            </w:r>
          </w:p>
          <w:p w14:paraId="08D5C06F" w14:textId="772F4FA6" w:rsidR="004701E6" w:rsidRPr="00A43EA1" w:rsidRDefault="004701E6" w:rsidP="00C30F9D">
            <w:pPr>
              <w:keepNext/>
              <w:jc w:val="left"/>
              <w:rPr>
                <w:sz w:val="16"/>
                <w:szCs w:val="16"/>
              </w:rPr>
            </w:pPr>
          </w:p>
        </w:tc>
        <w:tc>
          <w:tcPr>
            <w:tcW w:w="1955" w:type="dxa"/>
          </w:tcPr>
          <w:p w14:paraId="0B4406E5" w14:textId="77777777" w:rsidR="00424F87" w:rsidRPr="00A43EA1" w:rsidRDefault="00424F87" w:rsidP="00C30F9D">
            <w:pPr>
              <w:keepNext/>
              <w:jc w:val="left"/>
              <w:rPr>
                <w:sz w:val="16"/>
              </w:rPr>
            </w:pPr>
            <w:r w:rsidRPr="00A43EA1">
              <w:rPr>
                <w:sz w:val="16"/>
              </w:rPr>
              <w:t>Lokale Patentanwälte</w:t>
            </w:r>
          </w:p>
        </w:tc>
        <w:tc>
          <w:tcPr>
            <w:tcW w:w="1163" w:type="dxa"/>
          </w:tcPr>
          <w:p w14:paraId="4BC924E1" w14:textId="77777777" w:rsidR="00424F87" w:rsidRPr="00A43EA1" w:rsidRDefault="00424F87" w:rsidP="00C30F9D">
            <w:pPr>
              <w:keepNext/>
              <w:jc w:val="left"/>
              <w:rPr>
                <w:sz w:val="16"/>
              </w:rPr>
            </w:pPr>
          </w:p>
        </w:tc>
      </w:tr>
      <w:tr w:rsidR="00424F87" w:rsidRPr="00A43EA1" w14:paraId="1B2462DA" w14:textId="77777777" w:rsidTr="00C30F9D">
        <w:tc>
          <w:tcPr>
            <w:tcW w:w="1696" w:type="dxa"/>
          </w:tcPr>
          <w:p w14:paraId="432E7841" w14:textId="77777777" w:rsidR="00424F87" w:rsidRPr="00A43EA1" w:rsidRDefault="00424F87" w:rsidP="00C30F9D">
            <w:pPr>
              <w:keepNext/>
              <w:jc w:val="left"/>
              <w:rPr>
                <w:sz w:val="16"/>
                <w:szCs w:val="16"/>
              </w:rPr>
            </w:pPr>
            <w:r w:rsidRPr="00A43EA1">
              <w:rPr>
                <w:sz w:val="16"/>
                <w:szCs w:val="16"/>
              </w:rPr>
              <w:lastRenderedPageBreak/>
              <w:t>5. Treffen mit Züchtern und Pflanzenzüchtern</w:t>
            </w:r>
          </w:p>
        </w:tc>
        <w:tc>
          <w:tcPr>
            <w:tcW w:w="969" w:type="dxa"/>
          </w:tcPr>
          <w:p w14:paraId="68C82BB4" w14:textId="77777777" w:rsidR="00424F87" w:rsidRPr="00A43EA1" w:rsidRDefault="00424F87" w:rsidP="00C30F9D">
            <w:pPr>
              <w:keepNext/>
              <w:jc w:val="left"/>
              <w:rPr>
                <w:rFonts w:cs="Arial Unicode MS"/>
                <w:sz w:val="16"/>
                <w:szCs w:val="16"/>
                <w:cs/>
              </w:rPr>
            </w:pPr>
            <w:r w:rsidRPr="00A43EA1">
              <w:rPr>
                <w:rFonts w:cs="Arial Unicode MS"/>
                <w:sz w:val="16"/>
                <w:szCs w:val="16"/>
              </w:rPr>
              <w:t>2023</w:t>
            </w:r>
          </w:p>
        </w:tc>
        <w:tc>
          <w:tcPr>
            <w:tcW w:w="1016" w:type="dxa"/>
          </w:tcPr>
          <w:p w14:paraId="62418D47" w14:textId="77777777" w:rsidR="00424F87" w:rsidRPr="00A43EA1" w:rsidRDefault="00424F87" w:rsidP="00C30F9D">
            <w:pPr>
              <w:keepNext/>
              <w:jc w:val="left"/>
              <w:rPr>
                <w:sz w:val="16"/>
                <w:szCs w:val="16"/>
              </w:rPr>
            </w:pPr>
            <w:r w:rsidRPr="00A43EA1">
              <w:rPr>
                <w:sz w:val="16"/>
                <w:szCs w:val="16"/>
              </w:rPr>
              <w:t>Überall in Israel</w:t>
            </w:r>
          </w:p>
        </w:tc>
        <w:tc>
          <w:tcPr>
            <w:tcW w:w="1276" w:type="dxa"/>
          </w:tcPr>
          <w:p w14:paraId="07D5C46C" w14:textId="77777777" w:rsidR="00424F87" w:rsidRPr="00A43EA1" w:rsidRDefault="00424F87" w:rsidP="00C30F9D">
            <w:pPr>
              <w:keepNext/>
              <w:jc w:val="left"/>
              <w:rPr>
                <w:sz w:val="16"/>
                <w:szCs w:val="16"/>
              </w:rPr>
            </w:pPr>
            <w:r w:rsidRPr="00A43EA1">
              <w:rPr>
                <w:sz w:val="16"/>
                <w:szCs w:val="16"/>
              </w:rPr>
              <w:t>PBR-Büro</w:t>
            </w:r>
          </w:p>
        </w:tc>
        <w:tc>
          <w:tcPr>
            <w:tcW w:w="2126" w:type="dxa"/>
          </w:tcPr>
          <w:p w14:paraId="2EDD1EBB" w14:textId="77777777" w:rsidR="00424F87" w:rsidRPr="00A43EA1" w:rsidRDefault="00424F87" w:rsidP="00C30F9D">
            <w:pPr>
              <w:keepNext/>
              <w:jc w:val="left"/>
              <w:rPr>
                <w:rFonts w:cstheme="minorBidi"/>
                <w:sz w:val="16"/>
                <w:szCs w:val="16"/>
                <w:lang w:bidi="he-IL"/>
              </w:rPr>
            </w:pPr>
            <w:r w:rsidRPr="00A43EA1">
              <w:rPr>
                <w:sz w:val="16"/>
                <w:szCs w:val="16"/>
              </w:rPr>
              <w:t xml:space="preserve">Verbesserung der Zusammenarbeit zwischen Züchtern, Züchterrechtsinhabern und Züchtern und Verständnis für die Schwierigkeiten bei der </w:t>
            </w:r>
            <w:r w:rsidRPr="00A43EA1">
              <w:rPr>
                <w:rFonts w:cstheme="minorBidi"/>
                <w:sz w:val="16"/>
                <w:szCs w:val="16"/>
                <w:lang w:bidi="he-IL"/>
              </w:rPr>
              <w:t xml:space="preserve">Durchsetzung der </w:t>
            </w:r>
            <w:r w:rsidRPr="00A43EA1">
              <w:rPr>
                <w:sz w:val="16"/>
                <w:szCs w:val="16"/>
              </w:rPr>
              <w:t>Züchterrechte</w:t>
            </w:r>
          </w:p>
        </w:tc>
        <w:tc>
          <w:tcPr>
            <w:tcW w:w="1955" w:type="dxa"/>
          </w:tcPr>
          <w:p w14:paraId="73F0A7F3" w14:textId="77777777" w:rsidR="00424F87" w:rsidRPr="00A43EA1" w:rsidRDefault="00424F87" w:rsidP="00C30F9D">
            <w:pPr>
              <w:keepNext/>
              <w:jc w:val="left"/>
              <w:rPr>
                <w:sz w:val="16"/>
                <w:szCs w:val="16"/>
              </w:rPr>
            </w:pPr>
            <w:r w:rsidRPr="00A43EA1">
              <w:rPr>
                <w:sz w:val="16"/>
                <w:szCs w:val="16"/>
              </w:rPr>
              <w:t>Züchter und Erzeuger von privaten und öffentlichen Unternehmen in Israel</w:t>
            </w:r>
          </w:p>
        </w:tc>
        <w:tc>
          <w:tcPr>
            <w:tcW w:w="1163" w:type="dxa"/>
          </w:tcPr>
          <w:p w14:paraId="72680212" w14:textId="77777777" w:rsidR="00424F87" w:rsidRPr="00A43EA1" w:rsidRDefault="00424F87" w:rsidP="00C30F9D">
            <w:pPr>
              <w:keepNext/>
              <w:jc w:val="left"/>
              <w:rPr>
                <w:sz w:val="16"/>
                <w:szCs w:val="16"/>
              </w:rPr>
            </w:pPr>
          </w:p>
        </w:tc>
      </w:tr>
    </w:tbl>
    <w:p w14:paraId="5DF117D7" w14:textId="77777777" w:rsidR="00424F87" w:rsidRPr="00A43EA1" w:rsidRDefault="00424F87" w:rsidP="00424F87"/>
    <w:p w14:paraId="052C7A5C" w14:textId="77777777" w:rsidR="00424F87" w:rsidRPr="00A43EA1" w:rsidRDefault="00424F87" w:rsidP="00424F87"/>
    <w:p w14:paraId="165EDA70" w14:textId="77777777" w:rsidR="00424F87" w:rsidRPr="00A43EA1" w:rsidRDefault="00424F87" w:rsidP="00424F87">
      <w:pPr>
        <w:rPr>
          <w:bCs/>
        </w:rPr>
      </w:pPr>
      <w:r w:rsidRPr="00A43EA1">
        <w:rPr>
          <w:bCs/>
        </w:rPr>
        <w:t>II.</w:t>
      </w:r>
      <w:r w:rsidRPr="00A43EA1">
        <w:rPr>
          <w:bCs/>
        </w:rPr>
        <w:tab/>
        <w:t>ANDERE ENTWICKLUNGEN, DIE FÜR DIE UPOV RELEVANT SIND</w:t>
      </w:r>
    </w:p>
    <w:p w14:paraId="4FEECB4F" w14:textId="77777777" w:rsidR="00424F87" w:rsidRPr="00A43EA1" w:rsidRDefault="00424F87" w:rsidP="00424F87">
      <w:pPr>
        <w:rPr>
          <w:bCs/>
        </w:rPr>
      </w:pPr>
    </w:p>
    <w:p w14:paraId="16FA80A0" w14:textId="77777777" w:rsidR="00424F87" w:rsidRPr="00A43EA1" w:rsidRDefault="00424F87" w:rsidP="00424F87">
      <w:pPr>
        <w:rPr>
          <w:bCs/>
        </w:rPr>
      </w:pPr>
      <w:r w:rsidRPr="00A43EA1">
        <w:rPr>
          <w:bCs/>
        </w:rPr>
        <w:t>Keine.</w:t>
      </w:r>
    </w:p>
    <w:p w14:paraId="23253552" w14:textId="77777777" w:rsidR="00424F87" w:rsidRPr="00A43EA1" w:rsidRDefault="00424F87" w:rsidP="00424F87"/>
    <w:p w14:paraId="657B514B" w14:textId="7A6D6EAD" w:rsidR="00424F87" w:rsidRPr="00A43EA1" w:rsidRDefault="00424F87" w:rsidP="00424F87">
      <w:pPr>
        <w:jc w:val="right"/>
      </w:pPr>
      <w:r w:rsidRPr="00A43EA1">
        <w:t>[</w:t>
      </w:r>
      <w:r w:rsidR="009E6E5A">
        <w:t>Anlage</w:t>
      </w:r>
      <w:r w:rsidRPr="00A43EA1">
        <w:t xml:space="preserve"> VIII folgt]</w:t>
      </w:r>
    </w:p>
    <w:p w14:paraId="46EAA787" w14:textId="77777777" w:rsidR="00424F87" w:rsidRPr="00A43EA1" w:rsidRDefault="00424F87" w:rsidP="00424F87">
      <w:pPr>
        <w:jc w:val="center"/>
        <w:sectPr w:rsidR="00424F87" w:rsidRPr="00A43EA1" w:rsidSect="00934879">
          <w:headerReference w:type="default" r:id="rId18"/>
          <w:pgSz w:w="11907" w:h="16840" w:code="9"/>
          <w:pgMar w:top="510" w:right="1134" w:bottom="709" w:left="1134" w:header="510" w:footer="680" w:gutter="0"/>
          <w:pgNumType w:start="1"/>
          <w:cols w:space="720"/>
          <w:titlePg/>
        </w:sectPr>
      </w:pPr>
    </w:p>
    <w:p w14:paraId="3329B47E" w14:textId="77777777" w:rsidR="00424F87" w:rsidRPr="00A43EA1" w:rsidRDefault="00424F87" w:rsidP="00424F87">
      <w:pPr>
        <w:jc w:val="center"/>
      </w:pPr>
      <w:r w:rsidRPr="00A43EA1">
        <w:lastRenderedPageBreak/>
        <w:t>C/57/13</w:t>
      </w:r>
    </w:p>
    <w:p w14:paraId="61FE266E" w14:textId="77777777" w:rsidR="00424F87" w:rsidRPr="00A43EA1" w:rsidRDefault="00424F87" w:rsidP="00424F87">
      <w:pPr>
        <w:jc w:val="center"/>
      </w:pPr>
    </w:p>
    <w:p w14:paraId="6E152FF0" w14:textId="7C79701C" w:rsidR="00424F87" w:rsidRPr="00A43EA1" w:rsidRDefault="009E6E5A" w:rsidP="00424F87">
      <w:pPr>
        <w:jc w:val="center"/>
      </w:pPr>
      <w:r>
        <w:t>ANLAGE</w:t>
      </w:r>
      <w:r w:rsidR="00424F87" w:rsidRPr="00A43EA1">
        <w:t xml:space="preserve"> VIII</w:t>
      </w:r>
    </w:p>
    <w:p w14:paraId="3DDCEC32" w14:textId="77777777" w:rsidR="00424F87" w:rsidRPr="00A43EA1" w:rsidRDefault="00424F87" w:rsidP="00424F87">
      <w:pPr>
        <w:jc w:val="center"/>
      </w:pPr>
    </w:p>
    <w:p w14:paraId="5F5E041E" w14:textId="77777777" w:rsidR="00424F87" w:rsidRPr="00A43EA1" w:rsidRDefault="00424F87" w:rsidP="00424F87">
      <w:pPr>
        <w:jc w:val="center"/>
      </w:pPr>
    </w:p>
    <w:p w14:paraId="34D0D774" w14:textId="77777777" w:rsidR="00424F87" w:rsidRPr="00A43EA1" w:rsidRDefault="00424F87" w:rsidP="00424F87">
      <w:pPr>
        <w:jc w:val="center"/>
      </w:pPr>
      <w:r w:rsidRPr="00A43EA1">
        <w:t>JAPAN</w:t>
      </w:r>
    </w:p>
    <w:p w14:paraId="64BC1024" w14:textId="77777777" w:rsidR="00424F87" w:rsidRPr="00A43EA1" w:rsidRDefault="00424F87" w:rsidP="00424F87">
      <w:pPr>
        <w:jc w:val="center"/>
      </w:pPr>
      <w:r w:rsidRPr="00A43EA1">
        <w:t>(Originalsprache: englisch)</w:t>
      </w:r>
    </w:p>
    <w:p w14:paraId="1DC42E9D" w14:textId="77777777" w:rsidR="00424F87" w:rsidRPr="00A43EA1" w:rsidRDefault="00424F87" w:rsidP="00424F87"/>
    <w:p w14:paraId="0A3D0857"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719CB049" w14:textId="77777777" w:rsidR="00424F87" w:rsidRPr="00A43EA1" w:rsidRDefault="00424F87" w:rsidP="00424F87">
      <w:pPr>
        <w:rPr>
          <w:rFonts w:cs="Arial"/>
        </w:rPr>
      </w:pPr>
      <w:r w:rsidRPr="00A43EA1">
        <w:rPr>
          <w:rFonts w:cs="Arial"/>
        </w:rPr>
        <w:t xml:space="preserve">I. </w:t>
      </w:r>
      <w:r w:rsidRPr="00A43EA1">
        <w:rPr>
          <w:rFonts w:cs="Arial"/>
        </w:rPr>
        <w:tab/>
        <w:t>SORTENSCHUTZ</w:t>
      </w:r>
    </w:p>
    <w:p w14:paraId="2323CDC5" w14:textId="77777777" w:rsidR="00424F87" w:rsidRPr="00A43EA1" w:rsidRDefault="00424F87" w:rsidP="00424F87">
      <w:pPr>
        <w:rPr>
          <w:rFonts w:cs="Arial"/>
        </w:rPr>
      </w:pPr>
    </w:p>
    <w:p w14:paraId="2F99B9FC" w14:textId="77777777" w:rsidR="00424F87" w:rsidRPr="00A43EA1" w:rsidRDefault="00424F87" w:rsidP="00424F87">
      <w:pPr>
        <w:tabs>
          <w:tab w:val="left" w:pos="426"/>
          <w:tab w:val="left" w:pos="1276"/>
        </w:tabs>
        <w:rPr>
          <w:rFonts w:cs="Arial"/>
        </w:rPr>
      </w:pPr>
      <w:r w:rsidRPr="00A43EA1">
        <w:rPr>
          <w:rFonts w:cs="Arial"/>
        </w:rPr>
        <w:t xml:space="preserve">1. </w:t>
      </w:r>
      <w:r w:rsidRPr="00A43EA1">
        <w:rPr>
          <w:rFonts w:cs="Arial"/>
        </w:rPr>
        <w:tab/>
      </w:r>
      <w:r w:rsidRPr="00A43EA1">
        <w:rPr>
          <w:rFonts w:cs="Arial"/>
          <w:u w:val="single"/>
        </w:rPr>
        <w:t>Lage auf dem Gebiet der Gesetzgebung</w:t>
      </w:r>
    </w:p>
    <w:p w14:paraId="3780D3F6" w14:textId="77777777" w:rsidR="00424F87" w:rsidRPr="00A43EA1" w:rsidRDefault="00424F87" w:rsidP="00424F87">
      <w:pPr>
        <w:rPr>
          <w:rFonts w:cs="Arial"/>
        </w:rPr>
      </w:pPr>
    </w:p>
    <w:p w14:paraId="64504EEB" w14:textId="77777777" w:rsidR="00424F87" w:rsidRPr="00A43EA1" w:rsidRDefault="00424F87" w:rsidP="00424F87">
      <w:pPr>
        <w:pStyle w:val="BodyTextIndent2"/>
        <w:ind w:left="425"/>
        <w:rPr>
          <w:rFonts w:cs="Arial"/>
          <w:sz w:val="20"/>
          <w:szCs w:val="20"/>
        </w:rPr>
      </w:pPr>
      <w:r w:rsidRPr="00A43EA1">
        <w:rPr>
          <w:rFonts w:cs="Arial"/>
          <w:sz w:val="20"/>
          <w:szCs w:val="20"/>
        </w:rPr>
        <w:tab/>
        <w:t>Keine Bemerkungen.</w:t>
      </w:r>
    </w:p>
    <w:p w14:paraId="77F0834E" w14:textId="77777777" w:rsidR="00424F87" w:rsidRPr="00A43EA1" w:rsidRDefault="00424F87" w:rsidP="00424F87">
      <w:pPr>
        <w:rPr>
          <w:rFonts w:cs="Arial"/>
        </w:rPr>
      </w:pPr>
    </w:p>
    <w:p w14:paraId="60EA43CA" w14:textId="77777777" w:rsidR="00424F87" w:rsidRPr="00A43EA1" w:rsidRDefault="00424F87" w:rsidP="00424F87">
      <w:pPr>
        <w:rPr>
          <w:rFonts w:cs="Arial"/>
        </w:rPr>
      </w:pPr>
    </w:p>
    <w:p w14:paraId="16379159" w14:textId="77777777" w:rsidR="00424F87" w:rsidRPr="00A43EA1" w:rsidRDefault="00424F87" w:rsidP="00424F87">
      <w:pPr>
        <w:rPr>
          <w:rFonts w:cs="Arial"/>
        </w:rPr>
      </w:pPr>
      <w:r w:rsidRPr="00A43EA1">
        <w:rPr>
          <w:rFonts w:cs="Arial"/>
        </w:rPr>
        <w:t>2.</w:t>
      </w:r>
      <w:r w:rsidRPr="00A43EA1">
        <w:rPr>
          <w:rFonts w:cs="Arial"/>
        </w:rPr>
        <w:tab/>
      </w:r>
      <w:r w:rsidRPr="00A43EA1">
        <w:rPr>
          <w:rFonts w:cs="Arial"/>
          <w:u w:val="single"/>
        </w:rPr>
        <w:t>Zusammenarbeit bei der Prüfung</w:t>
      </w:r>
    </w:p>
    <w:p w14:paraId="6CCFCB8F" w14:textId="77777777" w:rsidR="00424F87" w:rsidRPr="00A43EA1" w:rsidRDefault="00424F87" w:rsidP="00424F87">
      <w:pPr>
        <w:tabs>
          <w:tab w:val="left" w:pos="426"/>
          <w:tab w:val="left" w:pos="851"/>
        </w:tabs>
        <w:rPr>
          <w:rFonts w:cs="Arial"/>
        </w:rPr>
      </w:pPr>
    </w:p>
    <w:p w14:paraId="7AC1310B" w14:textId="2D00581A" w:rsidR="00424F87" w:rsidRPr="00A43EA1" w:rsidRDefault="00424F87" w:rsidP="00424F87">
      <w:pPr>
        <w:rPr>
          <w:rFonts w:cs="Arial"/>
        </w:rPr>
      </w:pPr>
      <w:r w:rsidRPr="00A43EA1">
        <w:rPr>
          <w:rFonts w:cs="Arial"/>
        </w:rPr>
        <w:t>-</w:t>
      </w:r>
      <w:r w:rsidR="009400B2">
        <w:rPr>
          <w:rFonts w:cs="Arial"/>
        </w:rPr>
        <w:tab/>
      </w:r>
      <w:r w:rsidRPr="00A43EA1">
        <w:rPr>
          <w:rFonts w:cs="Arial"/>
        </w:rPr>
        <w:t>Abschluss von neuen Vereinbarungen (geplant)</w:t>
      </w:r>
    </w:p>
    <w:p w14:paraId="60837C30" w14:textId="77777777" w:rsidR="00424F87" w:rsidRPr="00A43EA1" w:rsidRDefault="00424F87" w:rsidP="00424F87">
      <w:pPr>
        <w:tabs>
          <w:tab w:val="left" w:pos="426"/>
          <w:tab w:val="left" w:pos="851"/>
        </w:tabs>
        <w:rPr>
          <w:rFonts w:cs="Arial"/>
        </w:rPr>
      </w:pPr>
      <w:bookmarkStart w:id="1" w:name="_Hlk144387720"/>
    </w:p>
    <w:p w14:paraId="2F402DC2" w14:textId="77777777" w:rsidR="00424F87" w:rsidRPr="00A43EA1" w:rsidRDefault="00424F87" w:rsidP="00424F87">
      <w:pPr>
        <w:tabs>
          <w:tab w:val="left" w:pos="851"/>
        </w:tabs>
      </w:pPr>
      <w:r w:rsidRPr="00A43EA1">
        <w:t xml:space="preserve">Das japanische Ministerium für Landwirtschaft, Forstwirtschaft und Fischerei (MAFF) und das US-amerikanische PVPO </w:t>
      </w:r>
      <w:r w:rsidRPr="00A43EA1">
        <w:rPr>
          <w:lang w:eastAsia="ja-JP"/>
        </w:rPr>
        <w:t xml:space="preserve">planen für </w:t>
      </w:r>
      <w:r w:rsidRPr="00A43EA1">
        <w:t>2023 den Abschluss eines allgemeinen Abkommens über die Zusammenarbeit bei Prüfungen.</w:t>
      </w:r>
    </w:p>
    <w:p w14:paraId="4C2829AB" w14:textId="77777777" w:rsidR="00424F87" w:rsidRPr="00A43EA1" w:rsidRDefault="00424F87" w:rsidP="00424F87">
      <w:pPr>
        <w:tabs>
          <w:tab w:val="left" w:pos="851"/>
        </w:tabs>
      </w:pPr>
    </w:p>
    <w:p w14:paraId="3BD355D2" w14:textId="77777777" w:rsidR="00424F87" w:rsidRPr="00A43EA1" w:rsidRDefault="00424F87" w:rsidP="00424F87">
      <w:pPr>
        <w:rPr>
          <w:rFonts w:cs="Arial"/>
        </w:rPr>
      </w:pPr>
      <w:r w:rsidRPr="00A43EA1">
        <w:rPr>
          <w:rFonts w:cs="Arial"/>
        </w:rPr>
        <w:t xml:space="preserve">Das MAFF Japans, die Nationale Organisation für Landwirtschafts- und Lebensmittelforschung (NARO) Japans und das Gemeinschaftliche Sortenamt (CPVO) haben Konsultationen aufgenommen, um eine Vereinbarung über die technische Prüfung abzuschließen, die vorsieht, daß das Sortenamt Japans die DUS-Prüfung für </w:t>
      </w:r>
      <w:r w:rsidRPr="00A43EA1">
        <w:rPr>
          <w:rFonts w:cs="Arial"/>
          <w:i/>
          <w:iCs/>
        </w:rPr>
        <w:t xml:space="preserve">Camellia sinensis </w:t>
      </w:r>
      <w:r w:rsidRPr="00A43EA1">
        <w:rPr>
          <w:rFonts w:cs="Arial"/>
        </w:rPr>
        <w:t>(L.) Kuntze im Namen des CPVO durchführt.</w:t>
      </w:r>
    </w:p>
    <w:p w14:paraId="359024D1" w14:textId="77777777" w:rsidR="00424F87" w:rsidRPr="00A43EA1" w:rsidRDefault="00424F87" w:rsidP="00424F87"/>
    <w:p w14:paraId="75E1435C" w14:textId="77777777" w:rsidR="00424F87" w:rsidRPr="00A43EA1" w:rsidRDefault="00424F87" w:rsidP="00424F87">
      <w:pPr>
        <w:rPr>
          <w:rFonts w:cs="Arial"/>
        </w:rPr>
      </w:pPr>
      <w:r w:rsidRPr="00A43EA1">
        <w:rPr>
          <w:rFonts w:cs="Arial"/>
        </w:rPr>
        <w:t xml:space="preserve">Das MAFF und das CPVO haben auch Beratungen zur Übernahme des bestehenden DUS-Berichts für </w:t>
      </w:r>
      <w:r w:rsidRPr="00A43EA1">
        <w:rPr>
          <w:rFonts w:cs="Arial"/>
          <w:i/>
          <w:iCs/>
        </w:rPr>
        <w:t xml:space="preserve">Camellia sinensis </w:t>
      </w:r>
      <w:r w:rsidRPr="00A43EA1">
        <w:rPr>
          <w:rFonts w:cs="Arial"/>
        </w:rPr>
        <w:t xml:space="preserve">(L.) Kuntze, </w:t>
      </w:r>
      <w:r w:rsidRPr="00A43EA1">
        <w:rPr>
          <w:rFonts w:cs="Arial"/>
          <w:i/>
          <w:iCs/>
        </w:rPr>
        <w:t xml:space="preserve">Podocarpus macrophyllus </w:t>
      </w:r>
      <w:r w:rsidRPr="00A43EA1">
        <w:rPr>
          <w:rFonts w:cs="Arial"/>
        </w:rPr>
        <w:t>(Thunb.) D. Don und sechs (6) Pilzarten an das CPVO aufgenommen.</w:t>
      </w:r>
    </w:p>
    <w:bookmarkEnd w:id="1"/>
    <w:p w14:paraId="5DE20DAA" w14:textId="77777777" w:rsidR="00424F87" w:rsidRPr="00A43EA1" w:rsidRDefault="00424F87" w:rsidP="00424F87">
      <w:pPr>
        <w:rPr>
          <w:rFonts w:cs="Arial"/>
        </w:rPr>
      </w:pPr>
    </w:p>
    <w:p w14:paraId="44332CAB" w14:textId="77777777" w:rsidR="00424F87" w:rsidRPr="00A43EA1" w:rsidRDefault="00424F87" w:rsidP="00424F87">
      <w:pPr>
        <w:rPr>
          <w:rFonts w:cs="Arial"/>
        </w:rPr>
      </w:pPr>
    </w:p>
    <w:p w14:paraId="7A4563E6" w14:textId="77777777" w:rsidR="00424F87" w:rsidRPr="00A43EA1" w:rsidRDefault="00424F87" w:rsidP="00424F87">
      <w:pPr>
        <w:rPr>
          <w:rFonts w:cs="Arial"/>
          <w:u w:val="single"/>
        </w:rPr>
      </w:pPr>
      <w:r w:rsidRPr="00A43EA1">
        <w:rPr>
          <w:rFonts w:cs="Arial"/>
        </w:rPr>
        <w:t>3.</w:t>
      </w:r>
      <w:r w:rsidRPr="00A43EA1">
        <w:rPr>
          <w:rFonts w:cs="Arial"/>
        </w:rPr>
        <w:tab/>
      </w:r>
      <w:r w:rsidRPr="00A43EA1">
        <w:rPr>
          <w:rFonts w:cs="Arial"/>
          <w:u w:val="single"/>
        </w:rPr>
        <w:t>Lage auf dem Gebiet der Verwaltung</w:t>
      </w:r>
    </w:p>
    <w:p w14:paraId="53166F35" w14:textId="77777777" w:rsidR="00424F87" w:rsidRPr="00A43EA1" w:rsidRDefault="00424F87" w:rsidP="00424F87">
      <w:pPr>
        <w:rPr>
          <w:rFonts w:cs="Arial"/>
        </w:rPr>
      </w:pPr>
    </w:p>
    <w:p w14:paraId="1EB51973" w14:textId="77777777" w:rsidR="00424F87" w:rsidRPr="00A43EA1" w:rsidRDefault="00424F87" w:rsidP="00424F87">
      <w:pPr>
        <w:rPr>
          <w:rFonts w:eastAsia="Yu Mincho" w:cs="Arial"/>
          <w:bCs/>
          <w:lang w:eastAsia="ja-JP"/>
        </w:rPr>
      </w:pPr>
      <w:r w:rsidRPr="00A43EA1">
        <w:rPr>
          <w:rFonts w:cs="Arial"/>
        </w:rPr>
        <w:t>-</w:t>
      </w:r>
      <w:r w:rsidRPr="00A43EA1">
        <w:rPr>
          <w:rFonts w:cs="Arial"/>
        </w:rPr>
        <w:tab/>
      </w:r>
      <w:r w:rsidRPr="00A43EA1">
        <w:rPr>
          <w:rFonts w:eastAsia="Yu Mincho" w:cs="Arial"/>
          <w:bCs/>
          <w:lang w:eastAsia="ja-JP"/>
        </w:rPr>
        <w:t>Elektronisches Bewerbungssystem</w:t>
      </w:r>
    </w:p>
    <w:p w14:paraId="249E1869" w14:textId="77777777" w:rsidR="00424F87" w:rsidRPr="00A43EA1" w:rsidRDefault="00424F87" w:rsidP="00424F87">
      <w:pPr>
        <w:rPr>
          <w:rFonts w:eastAsia="Yu Mincho"/>
        </w:rPr>
      </w:pPr>
    </w:p>
    <w:p w14:paraId="601B407F" w14:textId="77777777" w:rsidR="00424F87" w:rsidRPr="00A43EA1" w:rsidRDefault="00424F87" w:rsidP="00424F87">
      <w:pPr>
        <w:rPr>
          <w:rFonts w:cs="Arial"/>
        </w:rPr>
      </w:pPr>
      <w:bookmarkStart w:id="2" w:name="_Hlk144389091"/>
      <w:r w:rsidRPr="00A43EA1">
        <w:rPr>
          <w:rFonts w:eastAsia="Yu Mincho" w:cs="Arial"/>
          <w:lang w:eastAsia="ja-JP"/>
        </w:rPr>
        <w:t>Das MAFF betreibt seit 2018 ein nationales elektronisches Antragssystem (Variety registration data Integrated Portal System (VIPS)) als Online-Tool zur Unterstützung bei der Einreichung von Sortenschutzanträgen beim Sortenschutzamt, um den Komfort für Antragsteller zu verbessern.</w:t>
      </w:r>
      <w:bookmarkEnd w:id="2"/>
      <w:r w:rsidRPr="00A43EA1">
        <w:rPr>
          <w:rFonts w:eastAsia="Yu Mincho" w:cs="Arial"/>
          <w:lang w:eastAsia="ja-JP"/>
        </w:rPr>
        <w:t xml:space="preserve"> Antragsteller können ihre Antragsdaten und die Zahlung von Gebühren für Anträge und Registrierungen elektronisch über das Online-System einreichen. Bis zum 31. März 2023 wurden 1.664 Anträge über VIPS eingereicht. VIPS wird derzeit aktualisiert, um mit UPOV PRISMA verbunden zu werden.</w:t>
      </w:r>
    </w:p>
    <w:p w14:paraId="10862580" w14:textId="77777777" w:rsidR="00424F87" w:rsidRPr="00A43EA1" w:rsidRDefault="00424F87" w:rsidP="00424F87">
      <w:pPr>
        <w:rPr>
          <w:rFonts w:cs="Arial"/>
        </w:rPr>
      </w:pPr>
    </w:p>
    <w:p w14:paraId="05595F6B" w14:textId="77777777" w:rsidR="00424F87" w:rsidRPr="00A43EA1" w:rsidRDefault="00424F87" w:rsidP="00424F87">
      <w:pPr>
        <w:rPr>
          <w:rFonts w:cs="Arial"/>
        </w:rPr>
      </w:pPr>
    </w:p>
    <w:p w14:paraId="50AE3D06" w14:textId="77777777" w:rsidR="00424F87" w:rsidRPr="00A43EA1" w:rsidRDefault="00424F87" w:rsidP="00424F87">
      <w:pPr>
        <w:spacing w:line="360" w:lineRule="auto"/>
        <w:rPr>
          <w:rFonts w:cs="Arial"/>
        </w:rPr>
      </w:pPr>
      <w:r w:rsidRPr="00A43EA1">
        <w:rPr>
          <w:rFonts w:cs="Arial"/>
        </w:rPr>
        <w:t>4.</w:t>
      </w:r>
      <w:r w:rsidRPr="00A43EA1">
        <w:rPr>
          <w:rFonts w:cs="Arial"/>
        </w:rPr>
        <w:tab/>
      </w:r>
      <w:r w:rsidRPr="00A43EA1">
        <w:rPr>
          <w:rFonts w:cs="Arial"/>
          <w:u w:val="single"/>
        </w:rPr>
        <w:t>Lage auf dem Gebiet der Technik</w:t>
      </w:r>
    </w:p>
    <w:p w14:paraId="4767EF03" w14:textId="77777777" w:rsidR="00424F87" w:rsidRPr="00A43EA1" w:rsidRDefault="00424F87" w:rsidP="00424F87">
      <w:pPr>
        <w:rPr>
          <w:rFonts w:eastAsia="Yu Mincho" w:cs="Arial"/>
          <w:lang w:eastAsia="ja-JP"/>
        </w:rPr>
      </w:pPr>
      <w:bookmarkStart w:id="3" w:name="_Hlk144393510"/>
      <w:r w:rsidRPr="00A43EA1">
        <w:rPr>
          <w:rFonts w:eastAsia="Yu Mincho" w:cs="Arial"/>
          <w:bCs/>
          <w:lang w:eastAsia="ja-JP"/>
        </w:rPr>
        <w:t xml:space="preserve">Nach Anhörung des Rates für landwirtschaftliche Materialien hat der Minister des MAFF die wichtigen Merkmale für die </w:t>
      </w:r>
      <w:r w:rsidRPr="00A43EA1">
        <w:rPr>
          <w:rFonts w:eastAsia="Yu Mincho" w:cs="Arial"/>
          <w:lang w:eastAsia="ja-JP"/>
        </w:rPr>
        <w:t xml:space="preserve">nationalen Prüfungsrichtlinien (TG) für 30 Gattungen und Arten </w:t>
      </w:r>
      <w:r w:rsidRPr="00A43EA1">
        <w:rPr>
          <w:rFonts w:eastAsia="Yu Mincho" w:cs="Arial"/>
          <w:bCs/>
          <w:lang w:eastAsia="ja-JP"/>
        </w:rPr>
        <w:t xml:space="preserve">festgelegt und öffentlich bekannt gegeben, die </w:t>
      </w:r>
      <w:r w:rsidRPr="00A43EA1">
        <w:rPr>
          <w:rFonts w:eastAsia="Yu Mincho" w:cs="Arial"/>
          <w:lang w:eastAsia="ja-JP"/>
        </w:rPr>
        <w:t xml:space="preserve">im Jahr 2022 ausgearbeitet oder überarbeitet werden. </w:t>
      </w:r>
      <w:bookmarkStart w:id="4" w:name="_Hlk144394239"/>
      <w:bookmarkEnd w:id="3"/>
    </w:p>
    <w:p w14:paraId="79492C24" w14:textId="77777777" w:rsidR="00424F87" w:rsidRPr="00A43EA1" w:rsidRDefault="00424F87" w:rsidP="00424F87">
      <w:pPr>
        <w:rPr>
          <w:rFonts w:eastAsia="Yu Mincho"/>
        </w:rPr>
      </w:pPr>
    </w:p>
    <w:p w14:paraId="072F4A0E" w14:textId="77777777" w:rsidR="00424F87" w:rsidRPr="00A43EA1" w:rsidRDefault="00424F87" w:rsidP="00424F87">
      <w:pPr>
        <w:rPr>
          <w:rFonts w:eastAsia="Yu Mincho" w:cs="Arial"/>
          <w:lang w:eastAsia="ja-JP"/>
        </w:rPr>
      </w:pPr>
      <w:r w:rsidRPr="00A43EA1">
        <w:rPr>
          <w:rFonts w:eastAsia="Yu Mincho" w:cs="Arial"/>
          <w:lang w:eastAsia="ja-JP"/>
        </w:rPr>
        <w:t>Der niederländische Inspektionsdienst für den Gartenbau (Naktuinbouw) und das Zentrum für Saat- und Pflanzgut, NARO (NCSS), arbeiteten gemeinsam an der Entwicklung eines Kalibrierungshandbuchs für die DUS-Prüfung. Ein Handbuch für Salat wurde als Version 2 aktualisiert und auf ihrer Website veröffentlicht. Das Handbuch für 10 Gattungen oder Arten ist auf ihrer Website verfügbar und kann als unterstützendes Instrument für DUS-Prüfungen in anderen Ländern verwendet werden.</w:t>
      </w:r>
    </w:p>
    <w:bookmarkEnd w:id="4"/>
    <w:p w14:paraId="3C38C0FF" w14:textId="77777777" w:rsidR="00424F87" w:rsidRPr="00A43EA1" w:rsidRDefault="00424F87" w:rsidP="00424F87">
      <w:pPr>
        <w:rPr>
          <w:rFonts w:eastAsia="Yu Mincho"/>
        </w:rPr>
      </w:pPr>
    </w:p>
    <w:p w14:paraId="6850BC2B" w14:textId="77777777" w:rsidR="00424F87" w:rsidRPr="00A43EA1" w:rsidRDefault="00424F87" w:rsidP="00424F87">
      <w:pPr>
        <w:ind w:firstLineChars="200" w:firstLine="400"/>
        <w:rPr>
          <w:rFonts w:eastAsia="Yu Mincho" w:cs="Arial"/>
          <w:lang w:eastAsia="ja-JP"/>
        </w:rPr>
      </w:pPr>
      <w:hyperlink r:id="rId19" w:history="1">
        <w:r w:rsidRPr="00A43EA1">
          <w:rPr>
            <w:rStyle w:val="Hyperlink"/>
            <w:rFonts w:eastAsia="Yu Mincho" w:cs="Arial"/>
            <w:lang w:eastAsia="ja-JP"/>
          </w:rPr>
          <w:t>https://www.naro.go.jp/english/laboratory/ncss/dus_growing_test/index.html</w:t>
        </w:r>
      </w:hyperlink>
    </w:p>
    <w:p w14:paraId="7C4FAD09" w14:textId="77777777" w:rsidR="00424F87" w:rsidRPr="00A43EA1" w:rsidRDefault="00424F87" w:rsidP="00424F87">
      <w:pPr>
        <w:rPr>
          <w:rFonts w:cs="Arial"/>
        </w:rPr>
      </w:pPr>
    </w:p>
    <w:p w14:paraId="17AE364C" w14:textId="77777777" w:rsidR="00424F87" w:rsidRPr="00A43EA1" w:rsidRDefault="00424F87" w:rsidP="00424F87">
      <w:pPr>
        <w:jc w:val="left"/>
        <w:rPr>
          <w:rFonts w:cs="Arial"/>
        </w:rPr>
      </w:pPr>
      <w:r w:rsidRPr="00A43EA1">
        <w:rPr>
          <w:rFonts w:cs="Arial"/>
        </w:rPr>
        <w:br w:type="page"/>
      </w:r>
    </w:p>
    <w:p w14:paraId="1165B730" w14:textId="77777777" w:rsidR="00424F87" w:rsidRPr="00A43EA1" w:rsidRDefault="00424F87" w:rsidP="00424F87">
      <w:pPr>
        <w:rPr>
          <w:rFonts w:cs="Arial"/>
          <w:u w:val="single"/>
        </w:rPr>
      </w:pPr>
      <w:r w:rsidRPr="00A43EA1">
        <w:rPr>
          <w:rFonts w:cs="Arial"/>
        </w:rPr>
        <w:lastRenderedPageBreak/>
        <w:t>5.</w:t>
      </w:r>
      <w:r w:rsidRPr="00A43EA1">
        <w:rPr>
          <w:rFonts w:cs="Arial"/>
        </w:rPr>
        <w:tab/>
      </w:r>
      <w:r w:rsidRPr="00A43EA1">
        <w:rPr>
          <w:rFonts w:cs="Arial"/>
          <w:u w:val="single"/>
        </w:rPr>
        <w:t>Tätigkeiten zur Förderung des Sortenschutzes</w:t>
      </w:r>
    </w:p>
    <w:p w14:paraId="06315B0C" w14:textId="77777777" w:rsidR="00424F87" w:rsidRPr="00A43EA1" w:rsidRDefault="00424F87" w:rsidP="00424F87">
      <w:pPr>
        <w:rPr>
          <w:rFonts w:cs="Arial"/>
        </w:rPr>
      </w:pPr>
    </w:p>
    <w:tbl>
      <w:tblPr>
        <w:tblStyle w:val="TableGrid"/>
        <w:tblW w:w="10490" w:type="dxa"/>
        <w:tblInd w:w="-289" w:type="dxa"/>
        <w:tblLayout w:type="fixed"/>
        <w:tblCellMar>
          <w:top w:w="28" w:type="dxa"/>
          <w:left w:w="28" w:type="dxa"/>
          <w:bottom w:w="28" w:type="dxa"/>
          <w:right w:w="28" w:type="dxa"/>
        </w:tblCellMar>
        <w:tblLook w:val="01E0" w:firstRow="1" w:lastRow="1" w:firstColumn="1" w:lastColumn="1" w:noHBand="0" w:noVBand="0"/>
      </w:tblPr>
      <w:tblGrid>
        <w:gridCol w:w="1271"/>
        <w:gridCol w:w="1020"/>
        <w:gridCol w:w="1254"/>
        <w:gridCol w:w="1276"/>
        <w:gridCol w:w="1842"/>
        <w:gridCol w:w="2126"/>
        <w:gridCol w:w="1701"/>
      </w:tblGrid>
      <w:tr w:rsidR="00424F87" w:rsidRPr="00A43EA1" w14:paraId="7AC92DCD" w14:textId="77777777" w:rsidTr="009400B2">
        <w:tc>
          <w:tcPr>
            <w:tcW w:w="1271" w:type="dxa"/>
          </w:tcPr>
          <w:p w14:paraId="2E7E8E16" w14:textId="77777777" w:rsidR="00424F87" w:rsidRPr="00A43EA1" w:rsidRDefault="00424F87" w:rsidP="00C30F9D">
            <w:pPr>
              <w:keepNext/>
              <w:jc w:val="left"/>
              <w:rPr>
                <w:rFonts w:cs="Arial"/>
                <w:sz w:val="16"/>
                <w:szCs w:val="16"/>
              </w:rPr>
            </w:pPr>
            <w:r w:rsidRPr="00A43EA1">
              <w:rPr>
                <w:rFonts w:cs="Arial"/>
                <w:sz w:val="16"/>
                <w:szCs w:val="16"/>
              </w:rPr>
              <w:t>Titel der Aktivität</w:t>
            </w:r>
          </w:p>
        </w:tc>
        <w:tc>
          <w:tcPr>
            <w:tcW w:w="1020" w:type="dxa"/>
          </w:tcPr>
          <w:p w14:paraId="481DBAB5" w14:textId="77777777" w:rsidR="00424F87" w:rsidRPr="00A43EA1" w:rsidRDefault="00424F87" w:rsidP="00C30F9D">
            <w:pPr>
              <w:keepNext/>
              <w:jc w:val="left"/>
              <w:rPr>
                <w:rFonts w:cs="Arial"/>
                <w:sz w:val="16"/>
                <w:szCs w:val="16"/>
              </w:rPr>
            </w:pPr>
            <w:r w:rsidRPr="00A43EA1">
              <w:rPr>
                <w:rFonts w:cs="Arial"/>
                <w:sz w:val="16"/>
                <w:szCs w:val="16"/>
              </w:rPr>
              <w:t>Datum</w:t>
            </w:r>
          </w:p>
        </w:tc>
        <w:tc>
          <w:tcPr>
            <w:tcW w:w="1254" w:type="dxa"/>
          </w:tcPr>
          <w:p w14:paraId="37908DFE" w14:textId="77777777" w:rsidR="00424F87" w:rsidRPr="00A43EA1" w:rsidRDefault="00424F87" w:rsidP="00C30F9D">
            <w:pPr>
              <w:keepNext/>
              <w:jc w:val="left"/>
              <w:rPr>
                <w:rFonts w:cs="Arial"/>
                <w:sz w:val="16"/>
                <w:szCs w:val="16"/>
              </w:rPr>
            </w:pPr>
            <w:r w:rsidRPr="00A43EA1">
              <w:rPr>
                <w:rFonts w:cs="Arial"/>
                <w:sz w:val="16"/>
                <w:szCs w:val="16"/>
              </w:rPr>
              <w:t>Standort</w:t>
            </w:r>
          </w:p>
        </w:tc>
        <w:tc>
          <w:tcPr>
            <w:tcW w:w="1276" w:type="dxa"/>
          </w:tcPr>
          <w:p w14:paraId="3FA413C1" w14:textId="77777777" w:rsidR="00424F87" w:rsidRPr="00A43EA1" w:rsidRDefault="00424F87" w:rsidP="00C30F9D">
            <w:pPr>
              <w:keepNext/>
              <w:jc w:val="left"/>
              <w:rPr>
                <w:rFonts w:cs="Arial"/>
                <w:sz w:val="16"/>
                <w:szCs w:val="16"/>
              </w:rPr>
            </w:pPr>
            <w:r w:rsidRPr="00A43EA1">
              <w:rPr>
                <w:rFonts w:cs="Arial"/>
                <w:sz w:val="16"/>
                <w:szCs w:val="16"/>
              </w:rPr>
              <w:t>Organisator(en)</w:t>
            </w:r>
          </w:p>
        </w:tc>
        <w:tc>
          <w:tcPr>
            <w:tcW w:w="1842" w:type="dxa"/>
          </w:tcPr>
          <w:p w14:paraId="14969BB9" w14:textId="77777777" w:rsidR="00424F87" w:rsidRPr="00A43EA1" w:rsidRDefault="00424F87" w:rsidP="00C30F9D">
            <w:pPr>
              <w:keepNext/>
              <w:jc w:val="left"/>
              <w:rPr>
                <w:rFonts w:cs="Arial"/>
                <w:sz w:val="16"/>
                <w:szCs w:val="16"/>
              </w:rPr>
            </w:pPr>
            <w:r w:rsidRPr="00A43EA1">
              <w:rPr>
                <w:rFonts w:cs="Arial"/>
                <w:sz w:val="16"/>
                <w:szCs w:val="16"/>
              </w:rPr>
              <w:t>Zweck der Tätigkeit</w:t>
            </w:r>
          </w:p>
        </w:tc>
        <w:tc>
          <w:tcPr>
            <w:tcW w:w="2126" w:type="dxa"/>
          </w:tcPr>
          <w:p w14:paraId="70E0BC0E" w14:textId="77777777" w:rsidR="00424F87" w:rsidRPr="00A43EA1" w:rsidRDefault="00424F87" w:rsidP="00C30F9D">
            <w:pPr>
              <w:keepNext/>
              <w:jc w:val="left"/>
              <w:rPr>
                <w:rFonts w:cs="Arial"/>
                <w:sz w:val="16"/>
                <w:szCs w:val="16"/>
              </w:rPr>
            </w:pPr>
            <w:r w:rsidRPr="00A43EA1">
              <w:rPr>
                <w:rFonts w:cs="Arial"/>
                <w:sz w:val="16"/>
                <w:szCs w:val="16"/>
              </w:rPr>
              <w:t>Teilnehmende Länder/Organisationen (Anzahl der Teilnehmer aus jedem Land)</w:t>
            </w:r>
          </w:p>
        </w:tc>
        <w:tc>
          <w:tcPr>
            <w:tcW w:w="1701" w:type="dxa"/>
          </w:tcPr>
          <w:p w14:paraId="789B5999" w14:textId="77777777" w:rsidR="00424F87" w:rsidRPr="00A43EA1" w:rsidRDefault="00424F87" w:rsidP="00C30F9D">
            <w:pPr>
              <w:keepNext/>
              <w:jc w:val="left"/>
              <w:rPr>
                <w:rFonts w:cs="Arial"/>
                <w:sz w:val="16"/>
                <w:szCs w:val="16"/>
              </w:rPr>
            </w:pPr>
            <w:r w:rsidRPr="00A43EA1">
              <w:rPr>
                <w:rFonts w:cs="Arial"/>
                <w:sz w:val="16"/>
                <w:szCs w:val="16"/>
              </w:rPr>
              <w:t>Kommentare</w:t>
            </w:r>
          </w:p>
        </w:tc>
      </w:tr>
      <w:tr w:rsidR="00424F87" w:rsidRPr="00A43EA1" w14:paraId="143FBC3E" w14:textId="77777777" w:rsidTr="009400B2">
        <w:trPr>
          <w:trHeight w:val="1051"/>
        </w:trPr>
        <w:tc>
          <w:tcPr>
            <w:tcW w:w="1271" w:type="dxa"/>
          </w:tcPr>
          <w:p w14:paraId="12EF0EFB" w14:textId="01409CEA" w:rsidR="00424F87" w:rsidRPr="00A43EA1" w:rsidRDefault="00424F87" w:rsidP="00C30F9D">
            <w:pPr>
              <w:keepNext/>
              <w:jc w:val="left"/>
              <w:rPr>
                <w:rFonts w:cs="Arial"/>
                <w:sz w:val="16"/>
                <w:szCs w:val="16"/>
              </w:rPr>
            </w:pPr>
            <w:r w:rsidRPr="00A43EA1">
              <w:rPr>
                <w:rFonts w:cs="Arial"/>
                <w:sz w:val="16"/>
                <w:szCs w:val="16"/>
              </w:rPr>
              <w:t>1. Internationales Seminar über Sortenschutz</w:t>
            </w:r>
            <w:r w:rsidR="009400B2">
              <w:rPr>
                <w:rFonts w:cs="Arial"/>
                <w:sz w:val="16"/>
                <w:szCs w:val="16"/>
              </w:rPr>
              <w:t>-</w:t>
            </w:r>
            <w:r w:rsidRPr="00A43EA1">
              <w:rPr>
                <w:rFonts w:cs="Arial"/>
                <w:sz w:val="16"/>
                <w:szCs w:val="16"/>
              </w:rPr>
              <w:t>systeme</w:t>
            </w:r>
          </w:p>
        </w:tc>
        <w:tc>
          <w:tcPr>
            <w:tcW w:w="1020" w:type="dxa"/>
          </w:tcPr>
          <w:p w14:paraId="781E703F" w14:textId="77777777" w:rsidR="00424F87" w:rsidRPr="00A43EA1" w:rsidRDefault="00424F87" w:rsidP="00C30F9D">
            <w:pPr>
              <w:keepNext/>
              <w:jc w:val="left"/>
              <w:rPr>
                <w:rFonts w:cs="Arial"/>
                <w:sz w:val="16"/>
                <w:szCs w:val="16"/>
              </w:rPr>
            </w:pPr>
            <w:r w:rsidRPr="00A43EA1">
              <w:rPr>
                <w:rFonts w:cs="Arial"/>
                <w:sz w:val="16"/>
                <w:szCs w:val="16"/>
              </w:rPr>
              <w:t>14. Juli 2022</w:t>
            </w:r>
          </w:p>
        </w:tc>
        <w:tc>
          <w:tcPr>
            <w:tcW w:w="1254" w:type="dxa"/>
          </w:tcPr>
          <w:p w14:paraId="42C52283" w14:textId="77777777" w:rsidR="00424F87" w:rsidRPr="00A43EA1" w:rsidRDefault="00424F87" w:rsidP="00C30F9D">
            <w:pPr>
              <w:keepNext/>
              <w:jc w:val="left"/>
              <w:rPr>
                <w:rFonts w:cs="Arial"/>
                <w:sz w:val="16"/>
                <w:szCs w:val="16"/>
              </w:rPr>
            </w:pPr>
            <w:r w:rsidRPr="00A43EA1">
              <w:rPr>
                <w:rFonts w:cs="Arial"/>
                <w:sz w:val="16"/>
                <w:szCs w:val="16"/>
              </w:rPr>
              <w:t>Indonesien</w:t>
            </w:r>
          </w:p>
          <w:p w14:paraId="1FC9DEB9" w14:textId="77777777" w:rsidR="00424F87" w:rsidRPr="00A43EA1" w:rsidRDefault="00424F87" w:rsidP="00C30F9D">
            <w:pPr>
              <w:keepNext/>
              <w:jc w:val="left"/>
              <w:rPr>
                <w:rFonts w:cs="Arial"/>
                <w:sz w:val="16"/>
                <w:szCs w:val="16"/>
              </w:rPr>
            </w:pPr>
            <w:r w:rsidRPr="00A43EA1">
              <w:rPr>
                <w:rFonts w:cs="Arial"/>
                <w:sz w:val="16"/>
                <w:szCs w:val="16"/>
              </w:rPr>
              <w:t>(virtuelle Mittel)</w:t>
            </w:r>
          </w:p>
        </w:tc>
        <w:tc>
          <w:tcPr>
            <w:tcW w:w="1276" w:type="dxa"/>
          </w:tcPr>
          <w:p w14:paraId="1E721E99" w14:textId="77777777" w:rsidR="00424F87" w:rsidRPr="00A43EA1" w:rsidRDefault="00424F87" w:rsidP="00C30F9D">
            <w:pPr>
              <w:keepNext/>
              <w:jc w:val="left"/>
              <w:rPr>
                <w:rFonts w:cs="Arial"/>
                <w:sz w:val="16"/>
                <w:szCs w:val="16"/>
              </w:rPr>
            </w:pPr>
            <w:r w:rsidRPr="00A43EA1">
              <w:rPr>
                <w:rFonts w:cs="Arial"/>
                <w:sz w:val="16"/>
                <w:szCs w:val="16"/>
              </w:rPr>
              <w:t>Ministerium für Landwirtschaft in Indonesien</w:t>
            </w:r>
          </w:p>
        </w:tc>
        <w:tc>
          <w:tcPr>
            <w:tcW w:w="1842" w:type="dxa"/>
          </w:tcPr>
          <w:p w14:paraId="1B0CA0B0" w14:textId="77777777" w:rsidR="00424F87" w:rsidRPr="00A43EA1" w:rsidRDefault="00424F87" w:rsidP="00C30F9D">
            <w:pPr>
              <w:keepNext/>
              <w:jc w:val="left"/>
              <w:rPr>
                <w:rFonts w:cs="Arial"/>
                <w:sz w:val="16"/>
                <w:szCs w:val="16"/>
              </w:rPr>
            </w:pPr>
            <w:r w:rsidRPr="00A43EA1">
              <w:rPr>
                <w:rFonts w:cs="Arial"/>
                <w:sz w:val="16"/>
                <w:szCs w:val="16"/>
              </w:rPr>
              <w:t>Sensibilisierung für das Sortenschutzsystem nach dem UPOV-Übereinkommen</w:t>
            </w:r>
          </w:p>
        </w:tc>
        <w:tc>
          <w:tcPr>
            <w:tcW w:w="2126" w:type="dxa"/>
          </w:tcPr>
          <w:p w14:paraId="4E7D2FE4" w14:textId="77777777" w:rsidR="00424F87" w:rsidRPr="00A43EA1" w:rsidRDefault="00424F87" w:rsidP="00C30F9D">
            <w:pPr>
              <w:keepNext/>
              <w:jc w:val="left"/>
              <w:rPr>
                <w:rFonts w:cs="Arial"/>
                <w:sz w:val="16"/>
                <w:szCs w:val="16"/>
              </w:rPr>
            </w:pPr>
            <w:r w:rsidRPr="00A43EA1">
              <w:rPr>
                <w:rFonts w:cs="Arial"/>
                <w:sz w:val="16"/>
                <w:szCs w:val="16"/>
              </w:rPr>
              <w:t>ASEAN Plus Drei Länder, UPOV, SAMAE. Naktuinbouw, CIOPORA, APSA</w:t>
            </w:r>
          </w:p>
        </w:tc>
        <w:tc>
          <w:tcPr>
            <w:tcW w:w="1701" w:type="dxa"/>
          </w:tcPr>
          <w:p w14:paraId="33A32142" w14:textId="77777777" w:rsidR="00424F87" w:rsidRPr="00A43EA1" w:rsidRDefault="00424F87" w:rsidP="00C30F9D">
            <w:pPr>
              <w:keepNext/>
              <w:jc w:val="left"/>
              <w:rPr>
                <w:rFonts w:cs="Arial"/>
                <w:sz w:val="16"/>
                <w:szCs w:val="16"/>
              </w:rPr>
            </w:pPr>
            <w:hyperlink r:id="rId20" w:history="1">
              <w:r w:rsidRPr="00A43EA1">
                <w:rPr>
                  <w:rStyle w:val="Hyperlink"/>
                  <w:rFonts w:cs="Arial"/>
                  <w:sz w:val="16"/>
                  <w:szCs w:val="16"/>
                </w:rPr>
                <w:t xml:space="preserve">http://eapvp.org/report-data/indonesia/ministry-of-agriculture-of-indonesia-held-eapvpf-international-seminar-on-pvp-system/ </w:t>
              </w:r>
            </w:hyperlink>
          </w:p>
        </w:tc>
      </w:tr>
      <w:tr w:rsidR="00424F87" w:rsidRPr="00A43EA1" w14:paraId="069A14AB" w14:textId="77777777" w:rsidTr="009400B2">
        <w:tc>
          <w:tcPr>
            <w:tcW w:w="1271" w:type="dxa"/>
          </w:tcPr>
          <w:p w14:paraId="6C255323"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2. JICA-Ausbildungskurs 2022</w:t>
            </w:r>
          </w:p>
        </w:tc>
        <w:tc>
          <w:tcPr>
            <w:tcW w:w="1020" w:type="dxa"/>
          </w:tcPr>
          <w:p w14:paraId="6EF363E4"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Vom 22. August bis 5. Oktober 2022</w:t>
            </w:r>
          </w:p>
        </w:tc>
        <w:tc>
          <w:tcPr>
            <w:tcW w:w="1254" w:type="dxa"/>
          </w:tcPr>
          <w:p w14:paraId="0A4C1D8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 xml:space="preserve">Japan </w:t>
            </w:r>
          </w:p>
          <w:p w14:paraId="2515E66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(virtuelle Mittel)</w:t>
            </w:r>
          </w:p>
        </w:tc>
        <w:tc>
          <w:tcPr>
            <w:tcW w:w="1276" w:type="dxa"/>
          </w:tcPr>
          <w:p w14:paraId="54353B9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JICA</w:t>
            </w:r>
          </w:p>
        </w:tc>
        <w:tc>
          <w:tcPr>
            <w:tcW w:w="1842" w:type="dxa"/>
          </w:tcPr>
          <w:p w14:paraId="193BC37C"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Sensibilisierung für das Sortenschutzsystem nach dem UPOV-Übereinkommen</w:t>
            </w:r>
          </w:p>
        </w:tc>
        <w:tc>
          <w:tcPr>
            <w:tcW w:w="2126" w:type="dxa"/>
          </w:tcPr>
          <w:p w14:paraId="24C7254B" w14:textId="77777777" w:rsidR="00424F87" w:rsidRPr="00A43EA1" w:rsidRDefault="00424F87" w:rsidP="00C30F9D">
            <w:pPr>
              <w:keepNext/>
              <w:jc w:val="left"/>
              <w:rPr>
                <w:rFonts w:cs="Arial"/>
                <w:spacing w:val="-2"/>
                <w:sz w:val="16"/>
                <w:szCs w:val="16"/>
                <w:lang w:eastAsia="ja-JP"/>
              </w:rPr>
            </w:pPr>
            <w:r w:rsidRPr="00A43EA1">
              <w:rPr>
                <w:rFonts w:cs="Arial"/>
                <w:spacing w:val="-2"/>
                <w:sz w:val="16"/>
                <w:szCs w:val="16"/>
                <w:lang w:eastAsia="ja-JP"/>
              </w:rPr>
              <w:t>Bangladesch (2), Indonesien (2), Nepal (2), Philippinen (1), Thailand (1), Usbekistan (3), Vietnam (1), Sambia (1)</w:t>
            </w:r>
          </w:p>
        </w:tc>
        <w:tc>
          <w:tcPr>
            <w:tcW w:w="1701" w:type="dxa"/>
          </w:tcPr>
          <w:p w14:paraId="06EE7F66" w14:textId="77777777" w:rsidR="00424F87" w:rsidRPr="00A43EA1" w:rsidRDefault="00424F87" w:rsidP="00C30F9D">
            <w:pPr>
              <w:keepNext/>
              <w:jc w:val="left"/>
              <w:rPr>
                <w:rFonts w:cs="Arial"/>
                <w:sz w:val="16"/>
                <w:szCs w:val="16"/>
              </w:rPr>
            </w:pPr>
          </w:p>
        </w:tc>
      </w:tr>
      <w:tr w:rsidR="00424F87" w:rsidRPr="00A43EA1" w14:paraId="6371A94C" w14:textId="77777777" w:rsidTr="009400B2">
        <w:tc>
          <w:tcPr>
            <w:tcW w:w="1271" w:type="dxa"/>
          </w:tcPr>
          <w:p w14:paraId="6017A8D4"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3. Präsentation auf dem Asiatischen Saatgutkongress 2022</w:t>
            </w:r>
          </w:p>
        </w:tc>
        <w:tc>
          <w:tcPr>
            <w:tcW w:w="1020" w:type="dxa"/>
          </w:tcPr>
          <w:p w14:paraId="06B4BC83"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16. November 2022</w:t>
            </w:r>
          </w:p>
        </w:tc>
        <w:tc>
          <w:tcPr>
            <w:tcW w:w="1254" w:type="dxa"/>
          </w:tcPr>
          <w:p w14:paraId="5EB0ABDB"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Thailand</w:t>
            </w:r>
          </w:p>
          <w:p w14:paraId="3ABDC83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(virtuelle Mittel)</w:t>
            </w:r>
          </w:p>
        </w:tc>
        <w:tc>
          <w:tcPr>
            <w:tcW w:w="1276" w:type="dxa"/>
          </w:tcPr>
          <w:p w14:paraId="1DB7207B"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APSA, Thailand</w:t>
            </w:r>
          </w:p>
        </w:tc>
        <w:tc>
          <w:tcPr>
            <w:tcW w:w="1842" w:type="dxa"/>
          </w:tcPr>
          <w:p w14:paraId="1565C622"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Bereitstellung von Vorteilen für Landwirte durch die UPOV</w:t>
            </w:r>
          </w:p>
        </w:tc>
        <w:tc>
          <w:tcPr>
            <w:tcW w:w="2126" w:type="dxa"/>
          </w:tcPr>
          <w:p w14:paraId="7C6EC9B5"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 xml:space="preserve">APSA-Mitglieder </w:t>
            </w:r>
          </w:p>
        </w:tc>
        <w:tc>
          <w:tcPr>
            <w:tcW w:w="1701" w:type="dxa"/>
          </w:tcPr>
          <w:p w14:paraId="413D3045" w14:textId="77777777" w:rsidR="00424F87" w:rsidRPr="00A43EA1" w:rsidRDefault="00424F87" w:rsidP="00C30F9D">
            <w:pPr>
              <w:keepNext/>
              <w:jc w:val="left"/>
              <w:rPr>
                <w:rFonts w:cs="Arial"/>
                <w:sz w:val="16"/>
                <w:szCs w:val="16"/>
              </w:rPr>
            </w:pPr>
          </w:p>
        </w:tc>
      </w:tr>
      <w:tr w:rsidR="00424F87" w:rsidRPr="00A43EA1" w14:paraId="0CDD8FE5" w14:textId="77777777" w:rsidTr="009400B2">
        <w:tc>
          <w:tcPr>
            <w:tcW w:w="1271" w:type="dxa"/>
          </w:tcPr>
          <w:p w14:paraId="1A78A779"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4. Die Sitzung zur Einführung der aktuellen Informationen über das UPOV-System</w:t>
            </w:r>
          </w:p>
        </w:tc>
        <w:tc>
          <w:tcPr>
            <w:tcW w:w="1020" w:type="dxa"/>
          </w:tcPr>
          <w:p w14:paraId="21BD7EC9" w14:textId="77777777" w:rsidR="00424F87" w:rsidRPr="00A43EA1" w:rsidRDefault="00424F87" w:rsidP="00C30F9D">
            <w:pPr>
              <w:keepNext/>
              <w:jc w:val="left"/>
              <w:rPr>
                <w:rFonts w:cs="Arial"/>
                <w:sz w:val="16"/>
                <w:szCs w:val="16"/>
                <w:lang w:eastAsia="ja-JP"/>
              </w:rPr>
            </w:pPr>
            <w:r w:rsidRPr="00A43EA1">
              <w:rPr>
                <w:rFonts w:cs="Arial"/>
                <w:sz w:val="16"/>
                <w:szCs w:val="16"/>
              </w:rPr>
              <w:t>28. Februar 2023</w:t>
            </w:r>
          </w:p>
        </w:tc>
        <w:tc>
          <w:tcPr>
            <w:tcW w:w="1254" w:type="dxa"/>
          </w:tcPr>
          <w:p w14:paraId="7DB5B6D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Thailand (virtuelle Mittel)</w:t>
            </w:r>
          </w:p>
        </w:tc>
        <w:tc>
          <w:tcPr>
            <w:tcW w:w="1276" w:type="dxa"/>
          </w:tcPr>
          <w:p w14:paraId="3F343D6F" w14:textId="77777777" w:rsidR="00424F87" w:rsidRPr="00A43EA1" w:rsidRDefault="00424F87" w:rsidP="00C30F9D">
            <w:pPr>
              <w:keepNext/>
              <w:jc w:val="left"/>
              <w:rPr>
                <w:rFonts w:cs="Arial"/>
                <w:sz w:val="16"/>
                <w:szCs w:val="16"/>
                <w:lang w:eastAsia="ja-JP"/>
              </w:rPr>
            </w:pPr>
            <w:r w:rsidRPr="00A43EA1">
              <w:rPr>
                <w:rFonts w:cs="Arial"/>
                <w:sz w:val="16"/>
                <w:szCs w:val="16"/>
              </w:rPr>
              <w:t>Sortenschutzamt Thailand</w:t>
            </w:r>
          </w:p>
        </w:tc>
        <w:tc>
          <w:tcPr>
            <w:tcW w:w="1842" w:type="dxa"/>
          </w:tcPr>
          <w:p w14:paraId="52259162"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Sensibilisierung von Züchtern, Saatgutunternehmen und Forschungsinstituten usw. für das UPOV-System.</w:t>
            </w:r>
          </w:p>
        </w:tc>
        <w:tc>
          <w:tcPr>
            <w:tcW w:w="2126" w:type="dxa"/>
          </w:tcPr>
          <w:p w14:paraId="06473013"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Züchter, Saatgutunternehmen, Forschungsinstitute und Journalisten in Thailand</w:t>
            </w:r>
          </w:p>
        </w:tc>
        <w:tc>
          <w:tcPr>
            <w:tcW w:w="1701" w:type="dxa"/>
          </w:tcPr>
          <w:p w14:paraId="740C09B6" w14:textId="77777777" w:rsidR="00424F87" w:rsidRPr="00A43EA1" w:rsidRDefault="00424F87" w:rsidP="00C30F9D">
            <w:pPr>
              <w:keepNext/>
              <w:jc w:val="left"/>
              <w:rPr>
                <w:rFonts w:cs="Arial"/>
                <w:sz w:val="16"/>
                <w:szCs w:val="16"/>
              </w:rPr>
            </w:pPr>
            <w:hyperlink r:id="rId21" w:history="1">
              <w:r w:rsidRPr="00A43EA1">
                <w:rPr>
                  <w:rStyle w:val="Hyperlink"/>
                  <w:rFonts w:cs="Arial"/>
                  <w:sz w:val="16"/>
                  <w:szCs w:val="16"/>
                </w:rPr>
                <w:t xml:space="preserve">http://eapvp.org/report-data/thailand/meeting-to-intro-actual-info-about-the-upov-system/ </w:t>
              </w:r>
            </w:hyperlink>
          </w:p>
        </w:tc>
      </w:tr>
      <w:tr w:rsidR="00424F87" w:rsidRPr="00A43EA1" w14:paraId="486CA4A9" w14:textId="77777777" w:rsidTr="009400B2">
        <w:tc>
          <w:tcPr>
            <w:tcW w:w="1271" w:type="dxa"/>
          </w:tcPr>
          <w:p w14:paraId="2AE5F293" w14:textId="26D06AB7" w:rsidR="00424F87" w:rsidRPr="00A43EA1" w:rsidRDefault="00424F87" w:rsidP="00C30F9D">
            <w:pPr>
              <w:keepNext/>
              <w:jc w:val="left"/>
              <w:rPr>
                <w:rFonts w:cs="Arial"/>
                <w:sz w:val="16"/>
                <w:szCs w:val="16"/>
                <w:lang w:eastAsia="ja-JP"/>
              </w:rPr>
            </w:pPr>
            <w:r w:rsidRPr="00A43EA1">
              <w:rPr>
                <w:rFonts w:cs="Arial"/>
                <w:sz w:val="16"/>
                <w:szCs w:val="16"/>
                <w:lang w:eastAsia="ja-JP"/>
              </w:rPr>
              <w:t>5. Seminar über die Vorteile des UPOV-Sortenschutz</w:t>
            </w:r>
            <w:r w:rsidR="009400B2">
              <w:rPr>
                <w:rFonts w:cs="Arial"/>
                <w:sz w:val="16"/>
                <w:szCs w:val="16"/>
                <w:lang w:eastAsia="ja-JP"/>
              </w:rPr>
              <w:t>-</w:t>
            </w:r>
            <w:r w:rsidRPr="00A43EA1">
              <w:rPr>
                <w:rFonts w:cs="Arial"/>
                <w:sz w:val="16"/>
                <w:szCs w:val="16"/>
                <w:lang w:eastAsia="ja-JP"/>
              </w:rPr>
              <w:t>systems für Landwirte und Züchter</w:t>
            </w:r>
          </w:p>
        </w:tc>
        <w:tc>
          <w:tcPr>
            <w:tcW w:w="1020" w:type="dxa"/>
          </w:tcPr>
          <w:p w14:paraId="5297B596" w14:textId="77777777" w:rsidR="00424F87" w:rsidRPr="00A43EA1" w:rsidRDefault="00424F87" w:rsidP="00C30F9D">
            <w:pPr>
              <w:keepNext/>
              <w:jc w:val="left"/>
              <w:rPr>
                <w:rFonts w:cs="Arial"/>
                <w:sz w:val="16"/>
                <w:szCs w:val="16"/>
              </w:rPr>
            </w:pPr>
            <w:r w:rsidRPr="00A43EA1">
              <w:rPr>
                <w:rFonts w:cs="Arial"/>
                <w:sz w:val="16"/>
                <w:szCs w:val="16"/>
                <w:lang w:eastAsia="ja-JP"/>
              </w:rPr>
              <w:t>28. März 2023</w:t>
            </w:r>
          </w:p>
        </w:tc>
        <w:tc>
          <w:tcPr>
            <w:tcW w:w="1254" w:type="dxa"/>
          </w:tcPr>
          <w:p w14:paraId="211E2093"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 xml:space="preserve">Demokratische Volksrepublik Laos </w:t>
            </w:r>
          </w:p>
        </w:tc>
        <w:tc>
          <w:tcPr>
            <w:tcW w:w="1276" w:type="dxa"/>
          </w:tcPr>
          <w:p w14:paraId="1BD45C28" w14:textId="77777777" w:rsidR="00424F87" w:rsidRPr="00A43EA1" w:rsidRDefault="00424F87" w:rsidP="00C30F9D">
            <w:pPr>
              <w:keepNext/>
              <w:jc w:val="left"/>
              <w:rPr>
                <w:rFonts w:cs="Arial"/>
                <w:sz w:val="16"/>
                <w:szCs w:val="16"/>
              </w:rPr>
            </w:pPr>
            <w:r w:rsidRPr="00A43EA1">
              <w:rPr>
                <w:rFonts w:cs="Arial"/>
                <w:sz w:val="16"/>
                <w:szCs w:val="16"/>
                <w:lang w:eastAsia="ja-JP"/>
              </w:rPr>
              <w:t>Abteilung für geistiges Eigentum (DIP) der Demokratischen Volksrepublik Laos</w:t>
            </w:r>
          </w:p>
        </w:tc>
        <w:tc>
          <w:tcPr>
            <w:tcW w:w="1842" w:type="dxa"/>
          </w:tcPr>
          <w:p w14:paraId="3CE0193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Sensibilisierung für das Sortenschutzsystem nach dem UPOV-Übereinkommen</w:t>
            </w:r>
          </w:p>
        </w:tc>
        <w:tc>
          <w:tcPr>
            <w:tcW w:w="2126" w:type="dxa"/>
          </w:tcPr>
          <w:p w14:paraId="7C340CAC"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DIP, MOIC, Ministerium für Forst- und Landwirtschaft und Ministerium für natürliche Ressourcen und Umwelt</w:t>
            </w:r>
          </w:p>
          <w:p w14:paraId="73D71D70"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UPOV, CPVO</w:t>
            </w:r>
          </w:p>
        </w:tc>
        <w:tc>
          <w:tcPr>
            <w:tcW w:w="1701" w:type="dxa"/>
          </w:tcPr>
          <w:p w14:paraId="1E9154BD" w14:textId="77777777" w:rsidR="00424F87" w:rsidRPr="00A43EA1" w:rsidRDefault="00424F87" w:rsidP="00C30F9D">
            <w:pPr>
              <w:keepNext/>
              <w:jc w:val="left"/>
              <w:rPr>
                <w:rFonts w:cs="Arial"/>
                <w:sz w:val="16"/>
                <w:szCs w:val="16"/>
              </w:rPr>
            </w:pPr>
            <w:hyperlink r:id="rId22" w:history="1">
              <w:r w:rsidRPr="00A43EA1">
                <w:rPr>
                  <w:rStyle w:val="Hyperlink"/>
                  <w:rFonts w:cs="Arial"/>
                  <w:sz w:val="16"/>
                  <w:szCs w:val="16"/>
                </w:rPr>
                <w:t xml:space="preserve">http://eapvp.org/report-data/lao/lao-seminar/ </w:t>
              </w:r>
            </w:hyperlink>
          </w:p>
        </w:tc>
      </w:tr>
      <w:tr w:rsidR="00424F87" w:rsidRPr="00A43EA1" w14:paraId="67D4500F" w14:textId="77777777" w:rsidTr="009400B2">
        <w:tc>
          <w:tcPr>
            <w:tcW w:w="1271" w:type="dxa"/>
          </w:tcPr>
          <w:p w14:paraId="0AF5C49C"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6. JICA-Ausbildungskurs 2023</w:t>
            </w:r>
          </w:p>
        </w:tc>
        <w:tc>
          <w:tcPr>
            <w:tcW w:w="1020" w:type="dxa"/>
          </w:tcPr>
          <w:p w14:paraId="118446A7"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Vom 12. Juni bis 1. September 2023</w:t>
            </w:r>
          </w:p>
        </w:tc>
        <w:tc>
          <w:tcPr>
            <w:tcW w:w="1254" w:type="dxa"/>
          </w:tcPr>
          <w:p w14:paraId="1A972E11"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Japan</w:t>
            </w:r>
          </w:p>
        </w:tc>
        <w:tc>
          <w:tcPr>
            <w:tcW w:w="1276" w:type="dxa"/>
          </w:tcPr>
          <w:p w14:paraId="34CEFAE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JICA</w:t>
            </w:r>
          </w:p>
        </w:tc>
        <w:tc>
          <w:tcPr>
            <w:tcW w:w="1842" w:type="dxa"/>
          </w:tcPr>
          <w:p w14:paraId="037C104B"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Sensibilisierung für das Sortenschutzsystem nach dem UPOV-Übereinkommen</w:t>
            </w:r>
          </w:p>
        </w:tc>
        <w:tc>
          <w:tcPr>
            <w:tcW w:w="2126" w:type="dxa"/>
          </w:tcPr>
          <w:p w14:paraId="4989AC57"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Algerien (1), Kambodscha (1), Indonesien (1), Demokratische Volksrepublik Laos (1), Mauretanien (1), Nepal (2),</w:t>
            </w:r>
          </w:p>
          <w:p w14:paraId="41A56E0E"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 xml:space="preserve">Philippinen (1), Ruanda (1), Thailand (1), Vietnam (1) </w:t>
            </w:r>
          </w:p>
        </w:tc>
        <w:tc>
          <w:tcPr>
            <w:tcW w:w="1701" w:type="dxa"/>
          </w:tcPr>
          <w:p w14:paraId="027BF0DF" w14:textId="77777777" w:rsidR="00424F87" w:rsidRPr="00A43EA1" w:rsidRDefault="00424F87" w:rsidP="00C30F9D">
            <w:pPr>
              <w:keepNext/>
              <w:jc w:val="left"/>
              <w:rPr>
                <w:rFonts w:cs="Arial"/>
                <w:sz w:val="16"/>
                <w:szCs w:val="16"/>
                <w:lang w:eastAsia="ja-JP"/>
              </w:rPr>
            </w:pPr>
          </w:p>
        </w:tc>
      </w:tr>
      <w:tr w:rsidR="00424F87" w:rsidRPr="00A43EA1" w14:paraId="62BFE235" w14:textId="77777777" w:rsidTr="009400B2">
        <w:tc>
          <w:tcPr>
            <w:tcW w:w="1271" w:type="dxa"/>
          </w:tcPr>
          <w:p w14:paraId="5710405E" w14:textId="69993835" w:rsidR="00424F87" w:rsidRPr="00A43EA1" w:rsidRDefault="00424F87" w:rsidP="00C30F9D">
            <w:pPr>
              <w:keepNext/>
              <w:jc w:val="left"/>
              <w:rPr>
                <w:rFonts w:cs="Arial"/>
                <w:sz w:val="16"/>
                <w:szCs w:val="16"/>
                <w:lang w:eastAsia="ja-JP"/>
              </w:rPr>
            </w:pPr>
            <w:r w:rsidRPr="00A43EA1">
              <w:rPr>
                <w:rFonts w:cs="Arial"/>
                <w:sz w:val="16"/>
                <w:szCs w:val="16"/>
                <w:lang w:eastAsia="ja-JP"/>
              </w:rPr>
              <w:t>7. 16 Jahrestagung des EAPVP-Forums</w:t>
            </w:r>
          </w:p>
        </w:tc>
        <w:tc>
          <w:tcPr>
            <w:tcW w:w="1020" w:type="dxa"/>
          </w:tcPr>
          <w:p w14:paraId="25823CB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2. August 2023</w:t>
            </w:r>
          </w:p>
        </w:tc>
        <w:tc>
          <w:tcPr>
            <w:tcW w:w="1254" w:type="dxa"/>
          </w:tcPr>
          <w:p w14:paraId="1060789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Demokratische Volksrepublik Laos</w:t>
            </w:r>
          </w:p>
        </w:tc>
        <w:tc>
          <w:tcPr>
            <w:tcW w:w="1276" w:type="dxa"/>
          </w:tcPr>
          <w:p w14:paraId="5FFF54EE"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Abteilung für geistiges Eigentum (DIP) der Demokratischen Volksrepublik Laos</w:t>
            </w:r>
          </w:p>
        </w:tc>
        <w:tc>
          <w:tcPr>
            <w:tcW w:w="1842" w:type="dxa"/>
          </w:tcPr>
          <w:p w14:paraId="616A1603"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Förderung individueller und/oder regionaler Aktivitäten im Bereich des Sortenschutzes</w:t>
            </w:r>
          </w:p>
        </w:tc>
        <w:tc>
          <w:tcPr>
            <w:tcW w:w="2126" w:type="dxa"/>
          </w:tcPr>
          <w:p w14:paraId="3DDB4BFA" w14:textId="77777777" w:rsidR="00424F87" w:rsidRPr="00A43EA1" w:rsidRDefault="00424F87" w:rsidP="00C30F9D">
            <w:pPr>
              <w:keepNext/>
              <w:jc w:val="left"/>
              <w:rPr>
                <w:rFonts w:cs="Arial"/>
                <w:sz w:val="16"/>
                <w:szCs w:val="16"/>
                <w:lang w:eastAsia="ja-JP"/>
              </w:rPr>
            </w:pPr>
            <w:r w:rsidRPr="00A43EA1">
              <w:rPr>
                <w:rFonts w:cs="Arial"/>
                <w:sz w:val="16"/>
                <w:szCs w:val="16"/>
              </w:rPr>
              <w:t>ASEAN Plus Drei Länder, UPOV, SAMAE Naktuinbouw, USPTO und MUSP</w:t>
            </w:r>
          </w:p>
        </w:tc>
        <w:tc>
          <w:tcPr>
            <w:tcW w:w="1701" w:type="dxa"/>
          </w:tcPr>
          <w:p w14:paraId="20FE9C53" w14:textId="77777777" w:rsidR="00424F87" w:rsidRPr="00A43EA1" w:rsidRDefault="00424F87" w:rsidP="00C30F9D">
            <w:pPr>
              <w:keepNext/>
              <w:jc w:val="left"/>
              <w:rPr>
                <w:rFonts w:cs="Arial"/>
                <w:sz w:val="16"/>
                <w:szCs w:val="16"/>
              </w:rPr>
            </w:pPr>
            <w:hyperlink r:id="rId23" w:history="1">
              <w:r w:rsidRPr="00A43EA1">
                <w:rPr>
                  <w:rStyle w:val="Hyperlink"/>
                  <w:rFonts w:cs="Arial"/>
                  <w:sz w:val="16"/>
                  <w:szCs w:val="16"/>
                </w:rPr>
                <w:t xml:space="preserve">http://eapvp.org/report-data/lao/the-16th-east-asia-plant-variety-protection-forum-meeting/ </w:t>
              </w:r>
            </w:hyperlink>
          </w:p>
        </w:tc>
      </w:tr>
      <w:tr w:rsidR="00424F87" w:rsidRPr="00A43EA1" w14:paraId="703A1172" w14:textId="77777777" w:rsidTr="009400B2">
        <w:tc>
          <w:tcPr>
            <w:tcW w:w="1271" w:type="dxa"/>
          </w:tcPr>
          <w:p w14:paraId="7656051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8. Internationales Seminar</w:t>
            </w:r>
          </w:p>
        </w:tc>
        <w:tc>
          <w:tcPr>
            <w:tcW w:w="1020" w:type="dxa"/>
          </w:tcPr>
          <w:p w14:paraId="5D0E042B"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3. August 2023</w:t>
            </w:r>
          </w:p>
        </w:tc>
        <w:tc>
          <w:tcPr>
            <w:tcW w:w="1254" w:type="dxa"/>
          </w:tcPr>
          <w:p w14:paraId="7DC2C41A"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Demokratische Volksrepublik Laos</w:t>
            </w:r>
          </w:p>
        </w:tc>
        <w:tc>
          <w:tcPr>
            <w:tcW w:w="1276" w:type="dxa"/>
          </w:tcPr>
          <w:p w14:paraId="33EA1B86"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Abteilung für geistiges Eigentum (DIP) der Demokratischen Volksrepublik Laos</w:t>
            </w:r>
          </w:p>
        </w:tc>
        <w:tc>
          <w:tcPr>
            <w:tcW w:w="1842" w:type="dxa"/>
          </w:tcPr>
          <w:p w14:paraId="372EA3BF" w14:textId="77777777" w:rsidR="00424F87" w:rsidRPr="00A43EA1" w:rsidRDefault="00424F87" w:rsidP="00C30F9D">
            <w:pPr>
              <w:keepNext/>
              <w:jc w:val="left"/>
              <w:rPr>
                <w:rFonts w:cs="Arial"/>
                <w:sz w:val="16"/>
                <w:szCs w:val="16"/>
                <w:lang w:eastAsia="ja-JP"/>
              </w:rPr>
            </w:pPr>
            <w:r w:rsidRPr="00A43EA1">
              <w:rPr>
                <w:rFonts w:cs="Arial"/>
                <w:sz w:val="16"/>
                <w:szCs w:val="16"/>
                <w:lang w:eastAsia="ja-JP"/>
              </w:rPr>
              <w:t>Sensibilisierung für das Sortenschutzsystem nach dem UPOV-Übereinkommen</w:t>
            </w:r>
          </w:p>
        </w:tc>
        <w:tc>
          <w:tcPr>
            <w:tcW w:w="2126" w:type="dxa"/>
          </w:tcPr>
          <w:p w14:paraId="134C957B" w14:textId="77777777" w:rsidR="00424F87" w:rsidRPr="00A43EA1" w:rsidRDefault="00424F87" w:rsidP="00C30F9D">
            <w:pPr>
              <w:keepNext/>
              <w:jc w:val="left"/>
              <w:rPr>
                <w:rFonts w:cs="Arial"/>
                <w:sz w:val="16"/>
                <w:szCs w:val="16"/>
              </w:rPr>
            </w:pPr>
            <w:r w:rsidRPr="00A43EA1">
              <w:rPr>
                <w:rFonts w:cs="Arial"/>
                <w:sz w:val="16"/>
                <w:szCs w:val="16"/>
              </w:rPr>
              <w:t>ASEAN Plus Drei Länder, UPOV, SAMAE Naktuinbouw, USPTO und MUSP</w:t>
            </w:r>
          </w:p>
        </w:tc>
        <w:tc>
          <w:tcPr>
            <w:tcW w:w="1701" w:type="dxa"/>
          </w:tcPr>
          <w:p w14:paraId="7C0F40E8" w14:textId="77777777" w:rsidR="00424F87" w:rsidRPr="00A43EA1" w:rsidRDefault="00424F87" w:rsidP="00C30F9D">
            <w:pPr>
              <w:keepNext/>
              <w:jc w:val="left"/>
              <w:rPr>
                <w:rFonts w:cs="Arial"/>
                <w:sz w:val="16"/>
                <w:szCs w:val="16"/>
              </w:rPr>
            </w:pPr>
            <w:hyperlink r:id="rId24" w:history="1">
              <w:r w:rsidRPr="00A43EA1">
                <w:rPr>
                  <w:rStyle w:val="Hyperlink"/>
                  <w:rFonts w:cs="Arial"/>
                  <w:sz w:val="16"/>
                  <w:szCs w:val="16"/>
                </w:rPr>
                <w:t xml:space="preserve">http://eapvp.org/report-data/lao/international-seminar-held-in-lao-pdr/ </w:t>
              </w:r>
            </w:hyperlink>
          </w:p>
        </w:tc>
      </w:tr>
    </w:tbl>
    <w:p w14:paraId="7EBC2458" w14:textId="77777777" w:rsidR="00424F87" w:rsidRPr="00A43EA1" w:rsidRDefault="00424F87" w:rsidP="00424F87">
      <w:pPr>
        <w:rPr>
          <w:rFonts w:cs="Arial"/>
        </w:rPr>
      </w:pPr>
    </w:p>
    <w:p w14:paraId="12CB2D65" w14:textId="77777777" w:rsidR="00424F87" w:rsidRPr="00A43EA1" w:rsidRDefault="00424F87" w:rsidP="00424F87">
      <w:pPr>
        <w:rPr>
          <w:rFonts w:cs="Arial"/>
        </w:rPr>
      </w:pPr>
    </w:p>
    <w:p w14:paraId="1799450D" w14:textId="77777777" w:rsidR="00424F87" w:rsidRPr="00A43EA1" w:rsidRDefault="00424F87" w:rsidP="00424F87">
      <w:pPr>
        <w:rPr>
          <w:rFonts w:cs="Arial"/>
          <w:bCs/>
        </w:rPr>
      </w:pPr>
      <w:r w:rsidRPr="00A43EA1">
        <w:rPr>
          <w:rFonts w:cs="Arial"/>
          <w:bCs/>
        </w:rPr>
        <w:t>II.</w:t>
      </w:r>
      <w:r w:rsidRPr="00A43EA1">
        <w:rPr>
          <w:rFonts w:cs="Arial"/>
          <w:bCs/>
        </w:rPr>
        <w:tab/>
        <w:t>ANDERE ENTWICKLUNGEN, DIE FÜR DIE UPOV RELEVANT SIND</w:t>
      </w:r>
    </w:p>
    <w:p w14:paraId="6DFAB087" w14:textId="77777777" w:rsidR="00424F87" w:rsidRPr="00A43EA1" w:rsidRDefault="00424F87" w:rsidP="00424F87">
      <w:pPr>
        <w:rPr>
          <w:rFonts w:cs="Arial"/>
        </w:rPr>
      </w:pPr>
    </w:p>
    <w:p w14:paraId="45531CB6" w14:textId="77777777" w:rsidR="00424F87" w:rsidRPr="00A43EA1" w:rsidRDefault="00424F87" w:rsidP="00424F87">
      <w:pPr>
        <w:rPr>
          <w:rFonts w:cs="Arial"/>
          <w:i/>
          <w:iCs/>
          <w:lang w:eastAsia="ja-JP"/>
        </w:rPr>
      </w:pPr>
      <w:r w:rsidRPr="00A43EA1">
        <w:rPr>
          <w:rFonts w:cs="Arial"/>
          <w:i/>
          <w:iCs/>
          <w:lang w:eastAsia="ja-JP"/>
        </w:rPr>
        <w:t>Treuhandmittel der japanischen Regierung (JP-FIT)</w:t>
      </w:r>
    </w:p>
    <w:p w14:paraId="20813ABA" w14:textId="77777777" w:rsidR="00424F87" w:rsidRPr="00A43EA1" w:rsidRDefault="00424F87" w:rsidP="00424F87">
      <w:pPr>
        <w:rPr>
          <w:rFonts w:cs="Arial"/>
          <w:lang w:eastAsia="ja-JP"/>
        </w:rPr>
      </w:pPr>
    </w:p>
    <w:p w14:paraId="18B6A56C" w14:textId="77777777" w:rsidR="00424F87" w:rsidRPr="00A43EA1" w:rsidRDefault="00424F87" w:rsidP="00424F87">
      <w:pPr>
        <w:rPr>
          <w:rFonts w:cs="Arial"/>
          <w:lang w:eastAsia="ja-JP"/>
        </w:rPr>
      </w:pPr>
      <w:r w:rsidRPr="00A43EA1">
        <w:rPr>
          <w:rFonts w:cs="Arial"/>
          <w:lang w:eastAsia="ja-JP"/>
        </w:rPr>
        <w:t xml:space="preserve">Japan leistete im Jahr 2022 einen Beitrag von 325 983 Schweizer </w:t>
      </w:r>
      <w:r w:rsidRPr="00A43EA1">
        <w:t xml:space="preserve">Franken </w:t>
      </w:r>
      <w:r w:rsidRPr="00A43EA1">
        <w:rPr>
          <w:rFonts w:cs="Arial"/>
          <w:lang w:eastAsia="ja-JP"/>
        </w:rPr>
        <w:t xml:space="preserve">in Form von Treuhandgeldern zur Unterstützung der Tätigkeit des UPOV-Sekretariats, die darauf abzielt, das Sortenschutzsystem in der asiatischen Region durch Tätigkeiten wie die folgenden zu schaffen und umzusetzen: </w:t>
      </w:r>
    </w:p>
    <w:p w14:paraId="31F4EE63" w14:textId="77777777" w:rsidR="00424F87" w:rsidRPr="00A43EA1" w:rsidRDefault="00424F87" w:rsidP="00424F87">
      <w:pPr>
        <w:rPr>
          <w:rFonts w:cs="Arial"/>
          <w:lang w:eastAsia="ja-JP"/>
        </w:rPr>
      </w:pPr>
    </w:p>
    <w:p w14:paraId="1C6A10C0" w14:textId="77777777" w:rsidR="00424F87" w:rsidRPr="00A43EA1" w:rsidRDefault="00424F87" w:rsidP="00424F87">
      <w:pPr>
        <w:ind w:left="426" w:hanging="426"/>
        <w:rPr>
          <w:rFonts w:cs="Arial"/>
          <w:lang w:eastAsia="ja-JP"/>
        </w:rPr>
      </w:pPr>
      <w:r w:rsidRPr="00A43EA1">
        <w:rPr>
          <w:rFonts w:cs="Arial"/>
          <w:lang w:eastAsia="ja-JP"/>
        </w:rPr>
        <w:t>i.</w:t>
      </w:r>
      <w:r w:rsidRPr="00A43EA1">
        <w:rPr>
          <w:rFonts w:cs="Arial"/>
          <w:lang w:eastAsia="ja-JP"/>
        </w:rPr>
        <w:tab/>
        <w:t>Konsultationssitzungen mit juristischen/technischen Beamten der betreffenden Länder</w:t>
      </w:r>
    </w:p>
    <w:p w14:paraId="2C1165DA" w14:textId="77777777" w:rsidR="00424F87" w:rsidRPr="00A43EA1" w:rsidRDefault="00424F87" w:rsidP="00424F87">
      <w:pPr>
        <w:ind w:left="400" w:hangingChars="200" w:hanging="400"/>
        <w:rPr>
          <w:rFonts w:cs="Arial"/>
          <w:lang w:eastAsia="ja-JP"/>
        </w:rPr>
      </w:pPr>
      <w:r w:rsidRPr="00A43EA1">
        <w:rPr>
          <w:rFonts w:cs="Arial"/>
          <w:lang w:eastAsia="ja-JP"/>
        </w:rPr>
        <w:t>ii.</w:t>
      </w:r>
      <w:r w:rsidRPr="00A43EA1">
        <w:rPr>
          <w:rFonts w:cs="Arial"/>
          <w:lang w:eastAsia="ja-JP"/>
        </w:rPr>
        <w:tab/>
        <w:t>Vom Verbandsbüro veranstaltete internationale juristische Arbeitstagungen (z. B. Arbeitstagung über die Ausarbeitung von Rechtsvorschriften gemäß dem UPOV-Übereinkommen)</w:t>
      </w:r>
    </w:p>
    <w:p w14:paraId="327D1657" w14:textId="77777777" w:rsidR="00424F87" w:rsidRPr="00A43EA1" w:rsidRDefault="00424F87" w:rsidP="00424F87">
      <w:pPr>
        <w:ind w:left="426" w:hanging="426"/>
        <w:rPr>
          <w:rFonts w:cs="Arial"/>
          <w:lang w:eastAsia="ja-JP"/>
        </w:rPr>
      </w:pPr>
      <w:r w:rsidRPr="00A43EA1">
        <w:rPr>
          <w:rFonts w:cs="Arial"/>
          <w:lang w:eastAsia="ja-JP"/>
        </w:rPr>
        <w:t xml:space="preserve">iii. </w:t>
      </w:r>
      <w:r w:rsidRPr="00A43EA1">
        <w:rPr>
          <w:rFonts w:cs="Arial"/>
          <w:lang w:eastAsia="ja-JP"/>
        </w:rPr>
        <w:tab/>
        <w:t>nationale Workshops zur Sensibilisierung für den Sortenschutz in den asiatischen Ländern</w:t>
      </w:r>
    </w:p>
    <w:p w14:paraId="03CEDFA6" w14:textId="77777777" w:rsidR="00424F87" w:rsidRPr="00A43EA1" w:rsidRDefault="00424F87" w:rsidP="00424F87">
      <w:pPr>
        <w:ind w:left="426" w:hanging="426"/>
        <w:rPr>
          <w:rFonts w:cs="Arial"/>
          <w:lang w:eastAsia="ja-JP"/>
        </w:rPr>
      </w:pPr>
      <w:r w:rsidRPr="00A43EA1">
        <w:rPr>
          <w:rFonts w:cs="Arial"/>
          <w:lang w:eastAsia="ja-JP"/>
        </w:rPr>
        <w:t>iv.</w:t>
      </w:r>
      <w:r w:rsidRPr="00A43EA1">
        <w:rPr>
          <w:rFonts w:cs="Arial"/>
          <w:lang w:eastAsia="ja-JP"/>
        </w:rPr>
        <w:tab/>
        <w:t>Internationale Arbeitstagungen über Sortenschutz nach dem UPOV-Übereinkommen</w:t>
      </w:r>
    </w:p>
    <w:p w14:paraId="3266A731" w14:textId="77777777" w:rsidR="00424F87" w:rsidRPr="00A43EA1" w:rsidRDefault="00424F87" w:rsidP="00424F87">
      <w:pPr>
        <w:ind w:left="426" w:hanging="426"/>
        <w:rPr>
          <w:rFonts w:cs="Arial"/>
          <w:lang w:eastAsia="ja-JP"/>
        </w:rPr>
      </w:pPr>
      <w:r w:rsidRPr="00A43EA1">
        <w:rPr>
          <w:rFonts w:cs="Arial"/>
          <w:lang w:eastAsia="ja-JP"/>
        </w:rPr>
        <w:t xml:space="preserve">v. </w:t>
      </w:r>
      <w:r w:rsidRPr="00A43EA1">
        <w:rPr>
          <w:rFonts w:cs="Arial"/>
          <w:lang w:eastAsia="ja-JP"/>
        </w:rPr>
        <w:tab/>
        <w:t>Jahrestagungen des Ostasienforums für Sortenschutz (EAPVP)</w:t>
      </w:r>
    </w:p>
    <w:p w14:paraId="2728CC02" w14:textId="77777777" w:rsidR="00424F87" w:rsidRPr="00A43EA1" w:rsidRDefault="00424F87" w:rsidP="00424F87">
      <w:pPr>
        <w:jc w:val="center"/>
      </w:pPr>
    </w:p>
    <w:p w14:paraId="107BA8D3" w14:textId="120277C0" w:rsidR="00424F87" w:rsidRPr="00A43EA1" w:rsidRDefault="00424F87" w:rsidP="00D55294">
      <w:pPr>
        <w:jc w:val="right"/>
      </w:pPr>
      <w:r w:rsidRPr="00A43EA1">
        <w:t>[</w:t>
      </w:r>
      <w:r w:rsidR="009E6E5A">
        <w:t>Anlage</w:t>
      </w:r>
      <w:r w:rsidRPr="00A43EA1">
        <w:t xml:space="preserve"> IX folgt]</w:t>
      </w:r>
    </w:p>
    <w:p w14:paraId="73086357" w14:textId="77777777" w:rsidR="00424F87" w:rsidRPr="00A43EA1" w:rsidRDefault="00424F87" w:rsidP="00424F87">
      <w:pPr>
        <w:jc w:val="center"/>
        <w:sectPr w:rsidR="00424F87" w:rsidRPr="00A43EA1" w:rsidSect="00D55294">
          <w:headerReference w:type="default" r:id="rId25"/>
          <w:pgSz w:w="11907" w:h="16840" w:code="9"/>
          <w:pgMar w:top="510" w:right="1134" w:bottom="426" w:left="1134" w:header="510" w:footer="680" w:gutter="0"/>
          <w:pgNumType w:start="1"/>
          <w:cols w:space="720"/>
          <w:titlePg/>
        </w:sectPr>
      </w:pPr>
    </w:p>
    <w:p w14:paraId="23D805C1" w14:textId="77777777" w:rsidR="00424F87" w:rsidRPr="00A43EA1" w:rsidRDefault="00424F87" w:rsidP="00424F87">
      <w:pPr>
        <w:jc w:val="center"/>
      </w:pPr>
      <w:r w:rsidRPr="00A43EA1">
        <w:lastRenderedPageBreak/>
        <w:t>C/57/13</w:t>
      </w:r>
    </w:p>
    <w:p w14:paraId="31618E69" w14:textId="77777777" w:rsidR="00424F87" w:rsidRPr="00A43EA1" w:rsidRDefault="00424F87" w:rsidP="00424F87">
      <w:pPr>
        <w:jc w:val="center"/>
      </w:pPr>
    </w:p>
    <w:p w14:paraId="06A12F0F" w14:textId="71C3A38D" w:rsidR="00424F87" w:rsidRPr="00A43EA1" w:rsidRDefault="009E6E5A" w:rsidP="00424F87">
      <w:pPr>
        <w:jc w:val="center"/>
      </w:pPr>
      <w:r>
        <w:t>ANLAGE</w:t>
      </w:r>
      <w:r w:rsidR="00424F87" w:rsidRPr="00A43EA1">
        <w:t xml:space="preserve"> IX</w:t>
      </w:r>
    </w:p>
    <w:p w14:paraId="70970EEA" w14:textId="77777777" w:rsidR="00424F87" w:rsidRPr="00A43EA1" w:rsidRDefault="00424F87" w:rsidP="00424F87">
      <w:pPr>
        <w:jc w:val="center"/>
      </w:pPr>
    </w:p>
    <w:p w14:paraId="6E24173F" w14:textId="77777777" w:rsidR="00424F87" w:rsidRPr="00A43EA1" w:rsidRDefault="00424F87" w:rsidP="00424F87">
      <w:pPr>
        <w:jc w:val="center"/>
      </w:pPr>
    </w:p>
    <w:p w14:paraId="799CCFFB" w14:textId="77777777" w:rsidR="00424F87" w:rsidRPr="00A43EA1" w:rsidRDefault="00424F87" w:rsidP="00424F87">
      <w:pPr>
        <w:jc w:val="center"/>
      </w:pPr>
      <w:r w:rsidRPr="00A43EA1">
        <w:t>KENIA</w:t>
      </w:r>
    </w:p>
    <w:p w14:paraId="6275BA22" w14:textId="77777777" w:rsidR="00424F87" w:rsidRPr="00A43EA1" w:rsidRDefault="00424F87" w:rsidP="00424F87">
      <w:pPr>
        <w:jc w:val="center"/>
      </w:pPr>
      <w:r w:rsidRPr="00A43EA1">
        <w:t>(Originalsprache: englisch)</w:t>
      </w:r>
    </w:p>
    <w:p w14:paraId="5972A3F5" w14:textId="77777777" w:rsidR="00424F87" w:rsidRPr="00A43EA1" w:rsidRDefault="00424F87" w:rsidP="00424F87"/>
    <w:p w14:paraId="1E08E6A4"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1A6DC45B" w14:textId="77777777" w:rsidR="00424F87" w:rsidRPr="00A43EA1" w:rsidRDefault="00424F87" w:rsidP="00424F87">
      <w:pPr>
        <w:pStyle w:val="ListParagraph"/>
        <w:ind w:left="0"/>
        <w:contextualSpacing w:val="0"/>
        <w:rPr>
          <w:bCs/>
          <w:szCs w:val="20"/>
          <w:lang w:val="de-DE"/>
        </w:rPr>
      </w:pPr>
      <w:r w:rsidRPr="00A43EA1">
        <w:rPr>
          <w:bCs/>
          <w:szCs w:val="20"/>
          <w:lang w:val="de-DE"/>
        </w:rPr>
        <w:t>SORTENSCHUTZ</w:t>
      </w:r>
    </w:p>
    <w:p w14:paraId="0012A7C3" w14:textId="77777777" w:rsidR="00424F87" w:rsidRPr="00A43EA1" w:rsidRDefault="00424F87" w:rsidP="00424F87"/>
    <w:p w14:paraId="66BA8901" w14:textId="77777777" w:rsidR="00424F87" w:rsidRPr="00A43EA1" w:rsidRDefault="00424F87" w:rsidP="00424F87">
      <w:pPr>
        <w:rPr>
          <w:u w:val="single"/>
        </w:rPr>
      </w:pPr>
      <w:r w:rsidRPr="00A43EA1">
        <w:t>1.</w:t>
      </w:r>
      <w:r w:rsidRPr="00A43EA1">
        <w:tab/>
      </w:r>
      <w:r w:rsidRPr="00A43EA1">
        <w:rPr>
          <w:u w:val="single"/>
        </w:rPr>
        <w:t>Lage auf dem Gebiet der Gesetzgebung</w:t>
      </w:r>
    </w:p>
    <w:p w14:paraId="1D26C8CD" w14:textId="77777777" w:rsidR="00424F87" w:rsidRPr="00A43EA1" w:rsidRDefault="00424F87" w:rsidP="00424F87">
      <w:pPr>
        <w:pStyle w:val="ListParagraph"/>
        <w:ind w:left="0"/>
        <w:contextualSpacing w:val="0"/>
        <w:rPr>
          <w:lang w:val="de-DE"/>
        </w:rPr>
      </w:pPr>
    </w:p>
    <w:p w14:paraId="73F234FD" w14:textId="77777777" w:rsidR="00424F87" w:rsidRPr="00A43EA1" w:rsidRDefault="00424F87" w:rsidP="00424F87">
      <w:pPr>
        <w:pStyle w:val="ListParagraph"/>
        <w:ind w:left="0"/>
        <w:contextualSpacing w:val="0"/>
        <w:rPr>
          <w:lang w:val="de-DE"/>
        </w:rPr>
      </w:pPr>
      <w:r w:rsidRPr="00A43EA1">
        <w:rPr>
          <w:lang w:val="de-DE"/>
        </w:rPr>
        <w:t>1.1</w:t>
      </w:r>
      <w:r w:rsidRPr="00A43EA1">
        <w:rPr>
          <w:lang w:val="de-DE"/>
        </w:rPr>
        <w:tab/>
        <w:t xml:space="preserve">Änderungen des Gesetzes und der Durchführungsbestimmungen </w:t>
      </w:r>
    </w:p>
    <w:p w14:paraId="2DE7C9EB" w14:textId="77777777" w:rsidR="00424F87" w:rsidRPr="00A43EA1" w:rsidRDefault="00424F87" w:rsidP="00424F87">
      <w:pPr>
        <w:pStyle w:val="ListParagraph"/>
        <w:ind w:left="0"/>
        <w:contextualSpacing w:val="0"/>
        <w:rPr>
          <w:lang w:val="de-DE"/>
        </w:rPr>
      </w:pPr>
    </w:p>
    <w:p w14:paraId="303A0787" w14:textId="360E26EA" w:rsidR="00424F87" w:rsidRPr="00A43EA1" w:rsidRDefault="00424F87" w:rsidP="00424F87">
      <w:pPr>
        <w:pStyle w:val="ListParagraph"/>
        <w:ind w:left="0"/>
        <w:contextualSpacing w:val="0"/>
        <w:textAlignment w:val="baseline"/>
        <w:rPr>
          <w:lang w:val="de-DE"/>
        </w:rPr>
      </w:pPr>
      <w:r w:rsidRPr="00A43EA1">
        <w:rPr>
          <w:lang w:val="de-DE"/>
        </w:rPr>
        <w:t xml:space="preserve">Der Sortenschutz in Kenia wird durch das Gesetz über Saatgut und Pflanzensorten (CAP 326) von 1972 geregelt, das 1975 in Kraft trat und 1991 überarbeitet wurde.  Amtliche Verordnungen zur Regelung der Durchführung des Sortenschutzes wurden 1994 erlassen, und das Amt zur Verwaltung des Sortenschutzes wurde 1997 eingerichtet und ist seit 1998 dem Kenya Plant Health Inspectorate Service (KEPHIS) unterstellt.  Kenia trat der UPOV im Rahmen des Übereinkommens von 1978 am 13. Mai 1999 bei.  </w:t>
      </w:r>
      <w:r w:rsidRPr="00A43EA1">
        <w:rPr>
          <w:color w:val="000000"/>
          <w:lang w:val="de-DE"/>
        </w:rPr>
        <w:t xml:space="preserve">Im Jahr 2012 wurde das Gesetz über Saatgut und Pflanzensorten geändert, um Bestandteile des UPOV-Übereinkommens von 1991 zu übernehmen.  Am 11. April 2016 hinterlegte Kenia die Urkunde über den Beitritt zum UPOV-Übereinkommen von 1991; Kenia ist nun mit Wirkung vom 11. Mai 2016 an das UPOV-Übereinkommen von 1991 gebunden.  Derzeit </w:t>
      </w:r>
      <w:r w:rsidRPr="00A43EA1">
        <w:rPr>
          <w:lang w:val="de-DE"/>
        </w:rPr>
        <w:t xml:space="preserve">ist Kenia im Begriff, die </w:t>
      </w:r>
      <w:r w:rsidRPr="00A43EA1">
        <w:rPr>
          <w:color w:val="000000"/>
          <w:kern w:val="24"/>
          <w:lang w:val="de-DE"/>
        </w:rPr>
        <w:t xml:space="preserve">Züchterrechtsverordnungen </w:t>
      </w:r>
      <w:r w:rsidRPr="00A43EA1">
        <w:rPr>
          <w:lang w:val="de-DE"/>
        </w:rPr>
        <w:t>zu überprüfen</w:t>
      </w:r>
      <w:r w:rsidRPr="00A43EA1">
        <w:rPr>
          <w:color w:val="000000"/>
          <w:kern w:val="24"/>
          <w:lang w:val="de-DE"/>
        </w:rPr>
        <w:t xml:space="preserve">, um die </w:t>
      </w:r>
      <w:r w:rsidRPr="00A43EA1">
        <w:rPr>
          <w:lang w:val="de-DE"/>
        </w:rPr>
        <w:t xml:space="preserve">Umsetzung der fakultativen Ausnahme zu </w:t>
      </w:r>
      <w:r w:rsidRPr="00A43EA1">
        <w:rPr>
          <w:color w:val="000000"/>
          <w:kern w:val="24"/>
          <w:lang w:val="de-DE"/>
        </w:rPr>
        <w:t>erleichtern</w:t>
      </w:r>
      <w:r w:rsidRPr="00A43EA1">
        <w:rPr>
          <w:lang w:val="de-DE"/>
        </w:rPr>
        <w:t>.</w:t>
      </w:r>
    </w:p>
    <w:p w14:paraId="3D3F80A3" w14:textId="77777777" w:rsidR="00424F87" w:rsidRPr="00A43EA1" w:rsidRDefault="00424F87" w:rsidP="00424F87">
      <w:pPr>
        <w:pStyle w:val="ListParagraph"/>
        <w:ind w:left="0"/>
        <w:contextualSpacing w:val="0"/>
        <w:rPr>
          <w:u w:val="single"/>
          <w:lang w:val="de-DE"/>
        </w:rPr>
      </w:pPr>
    </w:p>
    <w:p w14:paraId="4836C8B4" w14:textId="77777777" w:rsidR="00424F87" w:rsidRPr="00A43EA1" w:rsidRDefault="00424F87" w:rsidP="00424F87">
      <w:pPr>
        <w:pStyle w:val="ListParagraph"/>
        <w:ind w:left="0"/>
        <w:contextualSpacing w:val="0"/>
        <w:textAlignment w:val="baseline"/>
        <w:rPr>
          <w:lang w:val="de-DE"/>
        </w:rPr>
      </w:pPr>
      <w:r w:rsidRPr="00A43EA1">
        <w:rPr>
          <w:lang w:val="de-DE"/>
        </w:rPr>
        <w:t>1.2</w:t>
      </w:r>
      <w:r w:rsidRPr="00A43EA1">
        <w:rPr>
          <w:lang w:val="de-DE"/>
        </w:rPr>
        <w:tab/>
        <w:t>Erfasste Gattungen und Arten</w:t>
      </w:r>
    </w:p>
    <w:p w14:paraId="78BE72E9" w14:textId="77777777" w:rsidR="00424F87" w:rsidRPr="00A43EA1" w:rsidRDefault="00424F87" w:rsidP="00424F87">
      <w:pPr>
        <w:pStyle w:val="ListParagraph"/>
        <w:ind w:left="0"/>
        <w:contextualSpacing w:val="0"/>
        <w:textAlignment w:val="baseline"/>
        <w:rPr>
          <w:lang w:val="de-DE"/>
        </w:rPr>
      </w:pPr>
    </w:p>
    <w:p w14:paraId="3D4B4676" w14:textId="77777777" w:rsidR="00424F87" w:rsidRPr="00A43EA1" w:rsidRDefault="00424F87" w:rsidP="00424F87">
      <w:pPr>
        <w:pStyle w:val="ListParagraph"/>
        <w:ind w:left="0"/>
        <w:contextualSpacing w:val="0"/>
        <w:rPr>
          <w:lang w:val="de-DE"/>
        </w:rPr>
      </w:pPr>
      <w:r w:rsidRPr="00A43EA1">
        <w:rPr>
          <w:lang w:val="de-DE"/>
        </w:rPr>
        <w:t xml:space="preserve">Kenia dehnt den Sortenschutz auf alle Pflanzengattungen und -arten aus.  Zur Zeit sind insgesamt </w:t>
      </w:r>
      <w:r w:rsidRPr="00A43EA1">
        <w:rPr>
          <w:color w:val="000000"/>
          <w:lang w:val="de-DE"/>
        </w:rPr>
        <w:t xml:space="preserve">einundneunzig (91) Taxone </w:t>
      </w:r>
      <w:r w:rsidRPr="00A43EA1">
        <w:rPr>
          <w:lang w:val="de-DE"/>
        </w:rPr>
        <w:t>ausgewählter Pflanzenarten im Lande zum Schutz eingetragen.</w:t>
      </w:r>
    </w:p>
    <w:p w14:paraId="0BDAF36A" w14:textId="77777777" w:rsidR="00424F87" w:rsidRPr="00A43EA1" w:rsidRDefault="00424F87" w:rsidP="00424F87">
      <w:pPr>
        <w:pStyle w:val="ListParagraph"/>
        <w:ind w:left="0"/>
        <w:contextualSpacing w:val="0"/>
        <w:rPr>
          <w:lang w:val="de-DE"/>
        </w:rPr>
      </w:pPr>
    </w:p>
    <w:p w14:paraId="69B8D51D" w14:textId="77777777" w:rsidR="00424F87" w:rsidRPr="00A43EA1" w:rsidRDefault="00424F87" w:rsidP="00424F87">
      <w:pPr>
        <w:pStyle w:val="ListParagraph"/>
        <w:ind w:left="0"/>
        <w:contextualSpacing w:val="0"/>
        <w:textAlignment w:val="baseline"/>
        <w:rPr>
          <w:lang w:val="de-DE"/>
        </w:rPr>
      </w:pPr>
      <w:r w:rsidRPr="00A43EA1">
        <w:rPr>
          <w:lang w:val="de-DE"/>
        </w:rPr>
        <w:t>1.3</w:t>
      </w:r>
      <w:r w:rsidRPr="00A43EA1">
        <w:rPr>
          <w:lang w:val="de-DE"/>
        </w:rPr>
        <w:tab/>
        <w:t>Rechtsprechung</w:t>
      </w:r>
    </w:p>
    <w:p w14:paraId="72D4AECC" w14:textId="77777777" w:rsidR="00424F87" w:rsidRPr="00A43EA1" w:rsidRDefault="00424F87" w:rsidP="00424F87">
      <w:pPr>
        <w:pStyle w:val="ListParagraph"/>
        <w:ind w:left="0"/>
        <w:contextualSpacing w:val="0"/>
        <w:textAlignment w:val="baseline"/>
        <w:rPr>
          <w:u w:val="single"/>
          <w:lang w:val="de-DE"/>
        </w:rPr>
      </w:pPr>
    </w:p>
    <w:p w14:paraId="6442AC36" w14:textId="77777777" w:rsidR="00424F87" w:rsidRPr="00A43EA1" w:rsidRDefault="00424F87" w:rsidP="00424F87">
      <w:pPr>
        <w:rPr>
          <w:rFonts w:cs="Arial"/>
        </w:rPr>
      </w:pPr>
      <w:r w:rsidRPr="00A43EA1">
        <w:rPr>
          <w:rFonts w:cs="Arial"/>
        </w:rPr>
        <w:t xml:space="preserve">Nach dem kenianischen Gesetz über Saatgut und Pflanzensorten müssen Anträge auf Erteilung von Züchterrechten im kenianischen Amtsblatt veröffentlicht werden, um denjenigen, die gegen die Anträge oder die Erteilung von Rechten Einspruch erheben, die Möglichkeit zu geben, beim bevollmächtigten Beamten - KEPHIS - Einwände zu erheben und Stellungnahmen abzugeben.  Der bevollmächtigte Beamte entscheidet über die Anhörung solcher Stellungnahmen, aber jeder Antragsteller, der durch die Entscheidung des bevollmächtigten Beamten beleidigt wird, kann beim Saat- und Pflanzgutgericht Berufung einlegen und, falls er durch die Entscheidung des Gerichts weiter beleidigt wird, endgültig beim Obersten Gerichtshof Berufung einlegen. </w:t>
      </w:r>
    </w:p>
    <w:p w14:paraId="6CD5873B" w14:textId="77777777" w:rsidR="00424F87" w:rsidRPr="00A43EA1" w:rsidRDefault="00424F87" w:rsidP="00424F87">
      <w:pPr>
        <w:rPr>
          <w:rFonts w:cs="Arial"/>
        </w:rPr>
      </w:pPr>
    </w:p>
    <w:p w14:paraId="56B1C6B0" w14:textId="77777777" w:rsidR="00424F87" w:rsidRPr="00A43EA1" w:rsidRDefault="00424F87" w:rsidP="00424F87">
      <w:pPr>
        <w:rPr>
          <w:rFonts w:cs="Arial"/>
        </w:rPr>
      </w:pPr>
    </w:p>
    <w:p w14:paraId="7D202946" w14:textId="77777777" w:rsidR="00424F87" w:rsidRPr="00A43EA1" w:rsidRDefault="00424F87" w:rsidP="00424F87">
      <w:pPr>
        <w:rPr>
          <w:u w:val="single"/>
        </w:rPr>
      </w:pPr>
      <w:r w:rsidRPr="00A43EA1">
        <w:t>2.</w:t>
      </w:r>
      <w:r w:rsidRPr="00A43EA1">
        <w:tab/>
      </w:r>
      <w:r w:rsidRPr="00A43EA1">
        <w:rPr>
          <w:u w:val="single"/>
        </w:rPr>
        <w:t>Zusammenarbeit bei der Prüfung</w:t>
      </w:r>
    </w:p>
    <w:p w14:paraId="55DC4C61" w14:textId="77777777" w:rsidR="00424F87" w:rsidRPr="00A43EA1" w:rsidRDefault="00424F87" w:rsidP="00424F87"/>
    <w:p w14:paraId="7F6AF914" w14:textId="77777777" w:rsidR="00424F87" w:rsidRPr="00A43EA1" w:rsidRDefault="00424F87" w:rsidP="00424F87">
      <w:r w:rsidRPr="00A43EA1">
        <w:t>Gemäß Artikel 32 der UPOV über Sondervereinbarungen ist das Sortenschutzamt in Kenia eine internationale Zusammenarbeit mit anderen UPOV-Mitgliedstaaten und zwischenstaatlichen Organisationen eingegangen, insbesondere bei der Nutzung der bestehenden DUS-Prüfungsberichte,</w:t>
      </w:r>
    </w:p>
    <w:p w14:paraId="45E27E49" w14:textId="77777777" w:rsidR="00424F87" w:rsidRPr="00A43EA1" w:rsidRDefault="00424F87" w:rsidP="00424F87"/>
    <w:p w14:paraId="1D13807A"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Europäische Gemeinschaft - Gemeinschaftliches Sortenamt</w:t>
      </w:r>
    </w:p>
    <w:p w14:paraId="10348684"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Raad Voor Plantrassen (Rat für Pflanzensorten) - Niederlande</w:t>
      </w:r>
    </w:p>
    <w:p w14:paraId="4A19204A"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Der Rat für Pflanzenzüchterrechte - Israel</w:t>
      </w:r>
    </w:p>
    <w:p w14:paraId="40F88269"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 xml:space="preserve">Kommissar für Sortenschutz - Neuseeland </w:t>
      </w:r>
    </w:p>
    <w:p w14:paraId="18AFD395"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Der Registrator, Nationales Landwirtschaftsministerium - Südafrika</w:t>
      </w:r>
    </w:p>
    <w:p w14:paraId="2C54C203"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Bundessortenamt - Deutschland</w:t>
      </w:r>
    </w:p>
    <w:p w14:paraId="4AA3C07C"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Department for the Environment, Food and Rural Affairs (DEFRA) - Vereinigtes Königreich</w:t>
      </w:r>
    </w:p>
    <w:p w14:paraId="071C3542" w14:textId="77777777" w:rsidR="00424F87" w:rsidRPr="00A43EA1" w:rsidRDefault="00424F87" w:rsidP="00CC5D20">
      <w:pPr>
        <w:pStyle w:val="ListParagraph"/>
        <w:numPr>
          <w:ilvl w:val="0"/>
          <w:numId w:val="39"/>
        </w:numPr>
        <w:ind w:left="567" w:hanging="567"/>
        <w:contextualSpacing w:val="0"/>
        <w:rPr>
          <w:lang w:val="de-DE"/>
        </w:rPr>
      </w:pPr>
      <w:r w:rsidRPr="00A43EA1">
        <w:rPr>
          <w:lang w:val="de-DE"/>
        </w:rPr>
        <w:t>Abteilung für neue Geschäfte und geistiges Eigentum, Büro für Angelegenheiten der Lebensmittelindustrie - Japan</w:t>
      </w:r>
    </w:p>
    <w:p w14:paraId="6033E124"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Korea Seed and Variety Services, Republik Korea</w:t>
      </w:r>
    </w:p>
    <w:p w14:paraId="41511CD0" w14:textId="77777777" w:rsidR="00424F87" w:rsidRPr="00A43EA1" w:rsidRDefault="00424F87" w:rsidP="00424F87">
      <w:pPr>
        <w:pStyle w:val="ListParagraph"/>
        <w:numPr>
          <w:ilvl w:val="0"/>
          <w:numId w:val="39"/>
        </w:numPr>
        <w:ind w:left="0" w:firstLine="0"/>
        <w:contextualSpacing w:val="0"/>
        <w:rPr>
          <w:lang w:val="de-DE"/>
        </w:rPr>
      </w:pPr>
      <w:r w:rsidRPr="00A43EA1">
        <w:rPr>
          <w:lang w:val="de-DE"/>
        </w:rPr>
        <w:t>Abteilung für geistiges Eigentum, Lebensmittel, Büro für Industrieangelegenheiten - Japan</w:t>
      </w:r>
    </w:p>
    <w:p w14:paraId="5FCB1F44" w14:textId="77777777" w:rsidR="00424F87" w:rsidRPr="00A43EA1" w:rsidRDefault="00424F87" w:rsidP="00424F87">
      <w:pPr>
        <w:pStyle w:val="ListParagraph"/>
        <w:ind w:left="0"/>
        <w:contextualSpacing w:val="0"/>
        <w:rPr>
          <w:lang w:val="de-DE"/>
        </w:rPr>
      </w:pPr>
    </w:p>
    <w:p w14:paraId="0E7B6D64" w14:textId="77777777" w:rsidR="00424F87" w:rsidRPr="00A43EA1" w:rsidRDefault="00424F87" w:rsidP="00424F87">
      <w:pPr>
        <w:pStyle w:val="ListParagraph"/>
        <w:ind w:left="0"/>
        <w:contextualSpacing w:val="0"/>
        <w:rPr>
          <w:lang w:val="de-DE"/>
        </w:rPr>
      </w:pPr>
    </w:p>
    <w:p w14:paraId="30204835" w14:textId="77777777" w:rsidR="00424F87" w:rsidRPr="00A43EA1" w:rsidRDefault="00424F87" w:rsidP="004701E6">
      <w:pPr>
        <w:keepNext/>
        <w:rPr>
          <w:u w:val="single"/>
        </w:rPr>
      </w:pPr>
      <w:r w:rsidRPr="00A43EA1">
        <w:lastRenderedPageBreak/>
        <w:t>3.</w:t>
      </w:r>
      <w:r w:rsidRPr="00A43EA1">
        <w:tab/>
      </w:r>
      <w:r w:rsidRPr="00A43EA1">
        <w:rPr>
          <w:u w:val="single"/>
        </w:rPr>
        <w:t>Situation in den Verwaltungsbereichen</w:t>
      </w:r>
    </w:p>
    <w:p w14:paraId="617ED98A" w14:textId="77777777" w:rsidR="00424F87" w:rsidRPr="00A43EA1" w:rsidRDefault="00424F87" w:rsidP="004701E6">
      <w:pPr>
        <w:keepNext/>
      </w:pPr>
    </w:p>
    <w:p w14:paraId="5A6C7D7D" w14:textId="77777777" w:rsidR="00424F87" w:rsidRPr="00A43EA1" w:rsidRDefault="00424F87" w:rsidP="00424F87">
      <w:r w:rsidRPr="00A43EA1">
        <w:t>Die Verwaltungsstruktur, die Büroverfahren und -systeme innerhalb des Sortenschutzamtes in Kenia bleiben unverändert, jedoch können die Anträge auf Erteilung von Züchterrechten online gestellt werden.  Kenia hat sich für die Verwendung des UPOV PRISMA-Antragsinstruments für alle Gattungen und Arten entschieden.  Kenia hat sein Sortenschutzsystem automatisiert, so daß alle Sortenschutzverfahren online abgewickelt werden.</w:t>
      </w:r>
    </w:p>
    <w:p w14:paraId="0F171601" w14:textId="77777777" w:rsidR="00424F87" w:rsidRPr="00A43EA1" w:rsidRDefault="00424F87" w:rsidP="00424F87"/>
    <w:p w14:paraId="03B3E5EE" w14:textId="77777777" w:rsidR="00424F87" w:rsidRPr="00A43EA1" w:rsidRDefault="00424F87" w:rsidP="00424F87"/>
    <w:p w14:paraId="27888C77" w14:textId="77777777" w:rsidR="00424F87" w:rsidRPr="00A43EA1" w:rsidRDefault="00424F87" w:rsidP="00424F87">
      <w:r w:rsidRPr="00A43EA1">
        <w:t>4.</w:t>
      </w:r>
      <w:r w:rsidRPr="00A43EA1">
        <w:tab/>
      </w:r>
      <w:r w:rsidRPr="00A43EA1">
        <w:rPr>
          <w:u w:val="single"/>
        </w:rPr>
        <w:t>Lage auf dem Gebiet der Technik</w:t>
      </w:r>
    </w:p>
    <w:p w14:paraId="3C818321" w14:textId="77777777" w:rsidR="00424F87" w:rsidRPr="00A43EA1" w:rsidRDefault="00424F87" w:rsidP="00424F87">
      <w:pPr>
        <w:pStyle w:val="ListParagraph"/>
        <w:ind w:left="0"/>
        <w:contextualSpacing w:val="0"/>
        <w:rPr>
          <w:bCs/>
          <w:lang w:val="de-DE"/>
        </w:rPr>
      </w:pPr>
    </w:p>
    <w:p w14:paraId="4F9050EB" w14:textId="77777777" w:rsidR="00424F87" w:rsidRPr="00A43EA1" w:rsidRDefault="00424F87" w:rsidP="00424F87">
      <w:pPr>
        <w:pStyle w:val="ListParagraph"/>
        <w:ind w:left="0"/>
        <w:contextualSpacing w:val="0"/>
        <w:rPr>
          <w:b/>
          <w:lang w:val="de-DE"/>
        </w:rPr>
      </w:pPr>
      <w:r w:rsidRPr="00A43EA1">
        <w:rPr>
          <w:bCs/>
          <w:lang w:val="de-DE"/>
        </w:rPr>
        <w:t>4.1</w:t>
      </w:r>
      <w:r w:rsidRPr="00A43EA1">
        <w:rPr>
          <w:bCs/>
          <w:lang w:val="de-DE"/>
        </w:rPr>
        <w:tab/>
      </w:r>
      <w:r w:rsidRPr="00A43EA1">
        <w:rPr>
          <w:lang w:val="de-DE"/>
        </w:rPr>
        <w:t>Anmeldung und Erteilung von Züchterrechten</w:t>
      </w:r>
    </w:p>
    <w:p w14:paraId="6E7D2F98" w14:textId="77777777" w:rsidR="00424F87" w:rsidRPr="00A43EA1" w:rsidRDefault="00424F87" w:rsidP="00424F87">
      <w:pPr>
        <w:rPr>
          <w:color w:val="000000"/>
        </w:rPr>
      </w:pPr>
    </w:p>
    <w:p w14:paraId="5397CD75" w14:textId="77777777" w:rsidR="00424F87" w:rsidRPr="00A43EA1" w:rsidRDefault="00424F87" w:rsidP="00424F87">
      <w:pPr>
        <w:rPr>
          <w:color w:val="000000"/>
        </w:rPr>
      </w:pPr>
      <w:r w:rsidRPr="00A43EA1">
        <w:rPr>
          <w:color w:val="000000"/>
        </w:rPr>
        <w:t>Seit der Gründung des Sortenschutzamtes in Kenia bis Ende 2022 gingen insgesamt 1959 Anträge auf Erteilung von Züchterrechten ein, und 866 Züchterrechte wurden erteilt.</w:t>
      </w:r>
    </w:p>
    <w:p w14:paraId="01B1E96F" w14:textId="77777777" w:rsidR="00424F87" w:rsidRPr="00A43EA1" w:rsidRDefault="00424F87" w:rsidP="00424F87">
      <w:pPr>
        <w:rPr>
          <w:color w:val="000000"/>
        </w:rPr>
      </w:pPr>
    </w:p>
    <w:p w14:paraId="2154F854" w14:textId="77777777" w:rsidR="00424F87" w:rsidRPr="00A43EA1" w:rsidRDefault="00424F87" w:rsidP="00424F87">
      <w:r w:rsidRPr="00A43EA1">
        <w:t>4.2.</w:t>
      </w:r>
      <w:r w:rsidRPr="00A43EA1">
        <w:tab/>
        <w:t>DUS-Prüfung</w:t>
      </w:r>
    </w:p>
    <w:p w14:paraId="53C7806A" w14:textId="77777777" w:rsidR="00424F87" w:rsidRPr="00A43EA1" w:rsidRDefault="00424F87" w:rsidP="00424F87"/>
    <w:p w14:paraId="27964172" w14:textId="77777777" w:rsidR="00424F87" w:rsidRPr="00A43EA1" w:rsidRDefault="00424F87" w:rsidP="00424F87">
      <w:r w:rsidRPr="00A43EA1">
        <w:t>Das Amt führt DUS-Prüfungen für Taubenerbse, Mais, Hirse, Sorghum, Kartoffel, Weizen, Weide, Bohnen, Zichorie, Teff, Baumwolle, Solidago-Blüten und Veronica-Blüten durch. Für einige dieser Kulturpflanzen wurden nationale Prüfungsrichtlinien entwickelt.</w:t>
      </w:r>
    </w:p>
    <w:p w14:paraId="4A596B36" w14:textId="77777777" w:rsidR="00424F87" w:rsidRPr="00A43EA1" w:rsidRDefault="00424F87" w:rsidP="00424F87"/>
    <w:p w14:paraId="6372C451" w14:textId="77777777" w:rsidR="00424F87" w:rsidRPr="00A43EA1" w:rsidRDefault="00424F87" w:rsidP="00424F87">
      <w:r w:rsidRPr="00A43EA1">
        <w:t>5.</w:t>
      </w:r>
      <w:r w:rsidRPr="00A43EA1">
        <w:tab/>
      </w:r>
      <w:r w:rsidRPr="00A43EA1">
        <w:rPr>
          <w:u w:val="single"/>
        </w:rPr>
        <w:t>Tätigkeiten zur Förderung des Sortenschutzes</w:t>
      </w:r>
    </w:p>
    <w:p w14:paraId="44E23F20" w14:textId="77777777" w:rsidR="00424F87" w:rsidRPr="00A43EA1" w:rsidRDefault="00424F87" w:rsidP="00424F87">
      <w:pPr>
        <w:pStyle w:val="ListParagraph"/>
        <w:ind w:left="0"/>
        <w:contextualSpacing w:val="0"/>
        <w:rPr>
          <w:lang w:val="de-DE"/>
        </w:rPr>
      </w:pPr>
    </w:p>
    <w:p w14:paraId="369C9773" w14:textId="77777777" w:rsidR="00424F87" w:rsidRPr="00A43EA1" w:rsidRDefault="00424F87" w:rsidP="00424F87">
      <w:pPr>
        <w:pStyle w:val="ListParagraph"/>
        <w:ind w:left="0"/>
        <w:contextualSpacing w:val="0"/>
        <w:rPr>
          <w:lang w:val="de-DE"/>
        </w:rPr>
      </w:pPr>
      <w:r w:rsidRPr="00A43EA1">
        <w:rPr>
          <w:lang w:val="de-DE"/>
        </w:rPr>
        <w:t>Das Sortenschutzbüro in Kenia hat sich aktiv an einer Reihe von Aktivitäten zur Förderung des Sortenschutzes im Land und in der Region Afrika beteiligt. Einige dieser Werbemaßnahmen umfassen:</w:t>
      </w:r>
    </w:p>
    <w:p w14:paraId="306AF50A" w14:textId="77777777" w:rsidR="00424F87" w:rsidRPr="00A43EA1" w:rsidRDefault="00424F87" w:rsidP="00424F87">
      <w:pPr>
        <w:pStyle w:val="ListParagraph"/>
        <w:ind w:left="0"/>
        <w:contextualSpacing w:val="0"/>
        <w:rPr>
          <w:b/>
          <w:lang w:val="de-DE"/>
        </w:rPr>
      </w:pPr>
    </w:p>
    <w:p w14:paraId="12474771" w14:textId="77777777" w:rsidR="00424F87" w:rsidRPr="00A43EA1" w:rsidRDefault="00424F87" w:rsidP="00424F87">
      <w:pPr>
        <w:pStyle w:val="ListParagraph"/>
        <w:numPr>
          <w:ilvl w:val="0"/>
          <w:numId w:val="40"/>
        </w:numPr>
        <w:spacing w:after="120"/>
        <w:ind w:left="284" w:hanging="284"/>
        <w:contextualSpacing w:val="0"/>
        <w:rPr>
          <w:lang w:val="de-DE"/>
        </w:rPr>
      </w:pPr>
      <w:r w:rsidRPr="00A43EA1">
        <w:rPr>
          <w:lang w:val="de-DE"/>
        </w:rPr>
        <w:t>Verbreitungsseminare zur Bewusstseinsbildung über Sortenschutzdienste im Land. Diese Seminare richten sich an nationale landwirtschaftliche Forschungseinrichtungen, Universitäten, politische Entscheidungsträger, landwirtschaftliches Beratungspersonal sowie an die größeren landwirtschaftlichen Gemeinschaften.</w:t>
      </w:r>
    </w:p>
    <w:p w14:paraId="538C867A" w14:textId="77777777" w:rsidR="00424F87" w:rsidRPr="00A43EA1" w:rsidRDefault="00424F87" w:rsidP="00424F87">
      <w:pPr>
        <w:pStyle w:val="ListParagraph"/>
        <w:numPr>
          <w:ilvl w:val="0"/>
          <w:numId w:val="40"/>
        </w:numPr>
        <w:spacing w:after="120"/>
        <w:ind w:left="284" w:hanging="284"/>
        <w:contextualSpacing w:val="0"/>
        <w:rPr>
          <w:lang w:val="de-DE"/>
        </w:rPr>
      </w:pPr>
      <w:r w:rsidRPr="00A43EA1">
        <w:rPr>
          <w:lang w:val="de-DE"/>
        </w:rPr>
        <w:t xml:space="preserve">Das Amt arbeitet mit anderen Sektoren der Landwirtschaft zusammen, um sicherzustellen, daß die Betriebsvorschriften mit dem Saatgut- und Pflanzensortengesetz und damit auch mit dem UPOV-Übereinkommen vereinbar sind. </w:t>
      </w:r>
    </w:p>
    <w:p w14:paraId="510FDAA6" w14:textId="77777777" w:rsidR="00424F87" w:rsidRPr="00A43EA1" w:rsidRDefault="00424F87" w:rsidP="00424F87">
      <w:pPr>
        <w:pStyle w:val="ListParagraph"/>
        <w:numPr>
          <w:ilvl w:val="0"/>
          <w:numId w:val="40"/>
        </w:numPr>
        <w:ind w:left="284" w:hanging="284"/>
        <w:contextualSpacing w:val="0"/>
        <w:rPr>
          <w:lang w:val="de-DE"/>
        </w:rPr>
      </w:pPr>
      <w:r w:rsidRPr="00A43EA1">
        <w:rPr>
          <w:lang w:val="de-DE"/>
        </w:rPr>
        <w:t xml:space="preserve">Das Amt war auch daran beteiligt, Delegationen aus Burundi, Dschibuti, Mosambik, der Demokratischen Republik Kongo, dem Südsudan und Somalia mit dem kenianischen Sortenschutzsystem vertraut zu machen. </w:t>
      </w:r>
    </w:p>
    <w:p w14:paraId="6843F475" w14:textId="77777777" w:rsidR="00424F87" w:rsidRPr="00A43EA1" w:rsidRDefault="00424F87" w:rsidP="00424F87">
      <w:pPr>
        <w:pStyle w:val="ListParagraph"/>
        <w:ind w:left="0"/>
        <w:contextualSpacing w:val="0"/>
        <w:rPr>
          <w:lang w:val="de-DE"/>
        </w:rPr>
      </w:pPr>
    </w:p>
    <w:p w14:paraId="12062AC3" w14:textId="77777777" w:rsidR="00424F87" w:rsidRPr="00A43EA1" w:rsidRDefault="00424F87" w:rsidP="00424F87">
      <w:r w:rsidRPr="00A43EA1">
        <w:t>Alle Korrespondenz muss an folgende Adresse gerichtet werden:</w:t>
      </w:r>
    </w:p>
    <w:p w14:paraId="11A330CB" w14:textId="77777777" w:rsidR="00424F87" w:rsidRPr="00A43EA1" w:rsidRDefault="00424F87" w:rsidP="00424F87"/>
    <w:p w14:paraId="3C9386D5" w14:textId="77777777" w:rsidR="00424F87" w:rsidRPr="00A43EA1" w:rsidRDefault="00424F87" w:rsidP="00424F87">
      <w:r w:rsidRPr="00A43EA1">
        <w:t>Der geschäftsführende Direktor</w:t>
      </w:r>
    </w:p>
    <w:p w14:paraId="02A85DDE" w14:textId="77777777" w:rsidR="00424F87" w:rsidRPr="00A43EA1" w:rsidRDefault="00424F87" w:rsidP="00424F87">
      <w:r w:rsidRPr="00A43EA1">
        <w:t>Kenia Pflanzenschutzinspektorat</w:t>
      </w:r>
    </w:p>
    <w:p w14:paraId="1025C1E0" w14:textId="77777777" w:rsidR="00424F87" w:rsidRPr="00A43EA1" w:rsidRDefault="00424F87" w:rsidP="00424F87">
      <w:r w:rsidRPr="00A43EA1">
        <w:t>Hauptsitz, Oloolua Ridge, Karen</w:t>
      </w:r>
    </w:p>
    <w:p w14:paraId="138B7902" w14:textId="77777777" w:rsidR="00424F87" w:rsidRPr="00A43EA1" w:rsidRDefault="00424F87" w:rsidP="00424F87">
      <w:r w:rsidRPr="00A43EA1">
        <w:t>P. O. Box 49592-00100, Nairobi</w:t>
      </w:r>
    </w:p>
    <w:p w14:paraId="68AE08E8" w14:textId="77777777" w:rsidR="00424F87" w:rsidRPr="00A43EA1" w:rsidRDefault="00424F87" w:rsidP="00424F87">
      <w:r w:rsidRPr="00A43EA1">
        <w:t>Tel. +254 20 3597201 oder +254 20 3597203</w:t>
      </w:r>
    </w:p>
    <w:p w14:paraId="77989B8C" w14:textId="77777777" w:rsidR="00424F87" w:rsidRPr="00A43EA1" w:rsidRDefault="00424F87" w:rsidP="00424F87">
      <w:r w:rsidRPr="00A43EA1">
        <w:t>Handy: +254 723 786 779 oder +254 733 874 141</w:t>
      </w:r>
    </w:p>
    <w:p w14:paraId="34943FF3" w14:textId="77777777" w:rsidR="00424F87" w:rsidRPr="00A43EA1" w:rsidRDefault="00424F87" w:rsidP="00424F87">
      <w:r w:rsidRPr="00A43EA1">
        <w:t xml:space="preserve">E-Mail: </w:t>
      </w:r>
      <w:hyperlink r:id="rId26" w:history="1">
        <w:r w:rsidRPr="00A43EA1">
          <w:rPr>
            <w:rStyle w:val="Hyperlink"/>
          </w:rPr>
          <w:t>director@kephis.org</w:t>
        </w:r>
      </w:hyperlink>
    </w:p>
    <w:p w14:paraId="36660AF2" w14:textId="77777777" w:rsidR="00424F87" w:rsidRPr="00A43EA1" w:rsidRDefault="00424F87" w:rsidP="00424F87">
      <w:r w:rsidRPr="00A43EA1">
        <w:t xml:space="preserve">Website: </w:t>
      </w:r>
      <w:hyperlink r:id="rId27" w:history="1">
        <w:r w:rsidRPr="00A43EA1">
          <w:rPr>
            <w:rStyle w:val="Hyperlink"/>
          </w:rPr>
          <w:t>www.kephis.org</w:t>
        </w:r>
      </w:hyperlink>
    </w:p>
    <w:p w14:paraId="03BEAC33" w14:textId="77777777" w:rsidR="00424F87" w:rsidRPr="00A43EA1" w:rsidRDefault="00424F87" w:rsidP="00424F87">
      <w:pPr>
        <w:pStyle w:val="ListParagraph"/>
        <w:ind w:left="0"/>
        <w:contextualSpacing w:val="0"/>
        <w:rPr>
          <w:lang w:val="de-DE"/>
        </w:rPr>
      </w:pPr>
    </w:p>
    <w:p w14:paraId="44E0E28A" w14:textId="77777777" w:rsidR="00424F87" w:rsidRPr="00A43EA1" w:rsidRDefault="00424F87" w:rsidP="00424F87"/>
    <w:p w14:paraId="025FA2F3" w14:textId="77777777" w:rsidR="00424F87" w:rsidRPr="00A43EA1" w:rsidRDefault="00424F87" w:rsidP="00424F87"/>
    <w:p w14:paraId="29FAFD73" w14:textId="02C28DC8" w:rsidR="00424F87" w:rsidRPr="00A43EA1" w:rsidRDefault="00424F87" w:rsidP="00424F87">
      <w:pPr>
        <w:jc w:val="right"/>
      </w:pPr>
      <w:r w:rsidRPr="00A43EA1">
        <w:t>[</w:t>
      </w:r>
      <w:r w:rsidR="009E6E5A">
        <w:t>Anlage</w:t>
      </w:r>
      <w:r w:rsidRPr="00A43EA1">
        <w:t xml:space="preserve"> X folgt]</w:t>
      </w:r>
    </w:p>
    <w:p w14:paraId="1CD9EEF6" w14:textId="77777777" w:rsidR="00424F87" w:rsidRPr="00A43EA1" w:rsidRDefault="00424F87" w:rsidP="00424F87">
      <w:pPr>
        <w:jc w:val="center"/>
      </w:pPr>
    </w:p>
    <w:p w14:paraId="6FB1171A" w14:textId="77777777" w:rsidR="00424F87" w:rsidRPr="00A43EA1" w:rsidRDefault="00424F87" w:rsidP="00424F87">
      <w:pPr>
        <w:jc w:val="center"/>
        <w:sectPr w:rsidR="00424F87" w:rsidRPr="00A43EA1" w:rsidSect="00C10F83">
          <w:headerReference w:type="default" r:id="rId28"/>
          <w:pgSz w:w="11907" w:h="16840" w:code="9"/>
          <w:pgMar w:top="510" w:right="1134" w:bottom="1134" w:left="1134" w:header="510" w:footer="680" w:gutter="0"/>
          <w:pgNumType w:start="1"/>
          <w:cols w:space="720"/>
          <w:titlePg/>
        </w:sectPr>
      </w:pPr>
    </w:p>
    <w:p w14:paraId="77D02213" w14:textId="77777777" w:rsidR="00424F87" w:rsidRPr="00A43EA1" w:rsidRDefault="00424F87" w:rsidP="00424F87">
      <w:pPr>
        <w:jc w:val="center"/>
      </w:pPr>
      <w:r w:rsidRPr="00A43EA1">
        <w:lastRenderedPageBreak/>
        <w:t>C/57/13</w:t>
      </w:r>
    </w:p>
    <w:p w14:paraId="06B826D2" w14:textId="77777777" w:rsidR="00424F87" w:rsidRPr="00A43EA1" w:rsidRDefault="00424F87" w:rsidP="00424F87">
      <w:pPr>
        <w:jc w:val="center"/>
      </w:pPr>
    </w:p>
    <w:p w14:paraId="61B5F9C3" w14:textId="658948DC" w:rsidR="00424F87" w:rsidRPr="00A43EA1" w:rsidRDefault="009E6E5A" w:rsidP="00424F87">
      <w:pPr>
        <w:jc w:val="center"/>
      </w:pPr>
      <w:r>
        <w:t>ANLAGE</w:t>
      </w:r>
      <w:r w:rsidR="00424F87" w:rsidRPr="00A43EA1">
        <w:t xml:space="preserve"> X</w:t>
      </w:r>
    </w:p>
    <w:p w14:paraId="1D3BA5E1" w14:textId="77777777" w:rsidR="00424F87" w:rsidRPr="00A43EA1" w:rsidRDefault="00424F87" w:rsidP="00424F87">
      <w:pPr>
        <w:jc w:val="center"/>
      </w:pPr>
    </w:p>
    <w:p w14:paraId="14575BC4" w14:textId="77777777" w:rsidR="00424F87" w:rsidRPr="00A43EA1" w:rsidRDefault="00424F87" w:rsidP="00424F87">
      <w:pPr>
        <w:jc w:val="center"/>
      </w:pPr>
    </w:p>
    <w:p w14:paraId="76683C6D" w14:textId="77777777" w:rsidR="00424F87" w:rsidRPr="00A43EA1" w:rsidRDefault="00424F87" w:rsidP="00424F87">
      <w:pPr>
        <w:jc w:val="center"/>
      </w:pPr>
      <w:r w:rsidRPr="00A43EA1">
        <w:t>LITAUEN</w:t>
      </w:r>
    </w:p>
    <w:p w14:paraId="5684E5FD" w14:textId="77777777" w:rsidR="00424F87" w:rsidRPr="00A43EA1" w:rsidRDefault="00424F87" w:rsidP="00424F87">
      <w:pPr>
        <w:jc w:val="center"/>
      </w:pPr>
      <w:r w:rsidRPr="00A43EA1">
        <w:t>(Originalsprache: englisch)</w:t>
      </w:r>
    </w:p>
    <w:p w14:paraId="4377EE88" w14:textId="77777777" w:rsidR="00424F87" w:rsidRPr="00A43EA1" w:rsidRDefault="00424F87" w:rsidP="00424F87"/>
    <w:p w14:paraId="6B06A627"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045E8C43" w14:textId="77777777" w:rsidR="00424F87" w:rsidRPr="00A43EA1" w:rsidRDefault="00424F87" w:rsidP="00424F87">
      <w:r w:rsidRPr="00A43EA1">
        <w:t xml:space="preserve">I. </w:t>
      </w:r>
      <w:r w:rsidRPr="00A43EA1">
        <w:tab/>
        <w:t>SORTENSCHUTZ</w:t>
      </w:r>
    </w:p>
    <w:p w14:paraId="3A379086" w14:textId="77777777" w:rsidR="00424F87" w:rsidRPr="00A43EA1" w:rsidRDefault="00424F87" w:rsidP="00424F87"/>
    <w:p w14:paraId="00B048A3" w14:textId="77777777" w:rsidR="00424F87" w:rsidRPr="00A43EA1" w:rsidRDefault="00424F87" w:rsidP="00424F87">
      <w:r w:rsidRPr="00A43EA1">
        <w:t xml:space="preserve">1. </w:t>
      </w:r>
      <w:r w:rsidRPr="00A43EA1">
        <w:tab/>
      </w:r>
      <w:r w:rsidRPr="00A43EA1">
        <w:rPr>
          <w:u w:val="single"/>
        </w:rPr>
        <w:t>Lage auf dem Gebiet der Gesetzgebung</w:t>
      </w:r>
    </w:p>
    <w:p w14:paraId="05DF5488" w14:textId="77777777" w:rsidR="00424F87" w:rsidRPr="00A43EA1" w:rsidRDefault="00424F87" w:rsidP="00424F87"/>
    <w:p w14:paraId="63BAAB8A" w14:textId="6262C412" w:rsidR="00424F87" w:rsidRPr="00A43EA1" w:rsidRDefault="00424F87" w:rsidP="00424F87">
      <w:r w:rsidRPr="00A43EA1">
        <w:t>1.1</w:t>
      </w:r>
      <w:r w:rsidR="00101AAC">
        <w:tab/>
      </w:r>
      <w:r w:rsidRPr="00A43EA1">
        <w:t>Änderungen des Gesetzes und der Durchführungsverordnungen</w:t>
      </w:r>
    </w:p>
    <w:p w14:paraId="0B53B312" w14:textId="77777777" w:rsidR="00424F87" w:rsidRPr="00A43EA1" w:rsidRDefault="00424F87" w:rsidP="00424F87">
      <w:pPr>
        <w:pStyle w:val="BodyTextIndent2"/>
        <w:ind w:left="425"/>
        <w:rPr>
          <w:sz w:val="20"/>
          <w:szCs w:val="20"/>
        </w:rPr>
      </w:pPr>
    </w:p>
    <w:p w14:paraId="25097D47" w14:textId="56751540"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Sortenschutzgesetz der Republik Litauen Nr. IX-618 vom 22. November 2001, zuletzt geändert am 15.</w:t>
      </w:r>
      <w:r>
        <w:rPr>
          <w:sz w:val="20"/>
          <w:szCs w:val="20"/>
        </w:rPr>
        <w:t> </w:t>
      </w:r>
      <w:r w:rsidR="00424F87" w:rsidRPr="00A43EA1">
        <w:rPr>
          <w:sz w:val="20"/>
          <w:szCs w:val="20"/>
        </w:rPr>
        <w:t>April 2021;</w:t>
      </w:r>
    </w:p>
    <w:p w14:paraId="7817C80F" w14:textId="77777777" w:rsidR="00424F87" w:rsidRPr="00A43EA1" w:rsidRDefault="00424F87" w:rsidP="00424F87">
      <w:pPr>
        <w:pStyle w:val="BodyTextIndent2"/>
        <w:ind w:left="425"/>
        <w:rPr>
          <w:sz w:val="20"/>
          <w:szCs w:val="20"/>
        </w:rPr>
      </w:pPr>
    </w:p>
    <w:p w14:paraId="4362DB4A" w14:textId="3848484B"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Verordnung Nr. 1458 der Regierung der Republik Litauen vom 15. Dezember 2000 über die Gebührensätze;</w:t>
      </w:r>
    </w:p>
    <w:p w14:paraId="428378D4" w14:textId="77777777" w:rsidR="00424F87" w:rsidRPr="00A43EA1" w:rsidRDefault="00424F87" w:rsidP="00424F87">
      <w:pPr>
        <w:pStyle w:val="BodyTextIndent2"/>
        <w:ind w:left="425"/>
        <w:rPr>
          <w:sz w:val="20"/>
          <w:szCs w:val="20"/>
        </w:rPr>
      </w:pPr>
    </w:p>
    <w:p w14:paraId="48BF39C7" w14:textId="59F55056"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Erlass Nr. A1-50 des Direktors der staatlichen Pflanzenbehörde des Landwirtschaftsministeriums vom 8. August 2010 über die Genehmigung des Antragsformulars für den Sortenschutz;</w:t>
      </w:r>
    </w:p>
    <w:p w14:paraId="6B185C2F" w14:textId="77777777" w:rsidR="00424F87" w:rsidRPr="00A43EA1" w:rsidRDefault="00424F87" w:rsidP="00424F87">
      <w:pPr>
        <w:pStyle w:val="BodyTextIndent2"/>
        <w:ind w:left="425"/>
        <w:rPr>
          <w:sz w:val="20"/>
          <w:szCs w:val="20"/>
        </w:rPr>
      </w:pPr>
    </w:p>
    <w:p w14:paraId="20956F90" w14:textId="2FED877A"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Verordnung Nr. 3 D-371 des Landwirtschaftsministers der Republik Litauen vom 23. Juni 2004 über die Vergütung.</w:t>
      </w:r>
    </w:p>
    <w:p w14:paraId="1FE59DCA" w14:textId="77777777" w:rsidR="00424F87" w:rsidRPr="00A43EA1" w:rsidRDefault="00424F87" w:rsidP="00424F87">
      <w:pPr>
        <w:pStyle w:val="BodyTextIndent2"/>
        <w:ind w:left="425"/>
        <w:rPr>
          <w:sz w:val="20"/>
          <w:szCs w:val="20"/>
        </w:rPr>
      </w:pPr>
    </w:p>
    <w:p w14:paraId="46E303E2" w14:textId="3317E67C" w:rsidR="00424F87" w:rsidRPr="00A43EA1" w:rsidRDefault="00424F87" w:rsidP="00424F87">
      <w:pPr>
        <w:pStyle w:val="BodyTextIndent2"/>
        <w:ind w:left="567" w:hanging="567"/>
        <w:rPr>
          <w:sz w:val="20"/>
          <w:szCs w:val="20"/>
        </w:rPr>
      </w:pPr>
      <w:r w:rsidRPr="00A43EA1">
        <w:rPr>
          <w:sz w:val="20"/>
          <w:szCs w:val="20"/>
        </w:rPr>
        <w:t>1.2</w:t>
      </w:r>
      <w:r w:rsidR="00101AAC">
        <w:rPr>
          <w:sz w:val="20"/>
          <w:szCs w:val="20"/>
        </w:rPr>
        <w:tab/>
      </w:r>
      <w:r w:rsidRPr="00A43EA1">
        <w:rPr>
          <w:sz w:val="20"/>
          <w:szCs w:val="20"/>
        </w:rPr>
        <w:t>Ausdehnung des Schutzes auf weitere Gattungen und Arten (erfolgt oder geplant)</w:t>
      </w:r>
    </w:p>
    <w:p w14:paraId="0E18C31B" w14:textId="77777777" w:rsidR="00424F87" w:rsidRPr="00A43EA1" w:rsidRDefault="00424F87" w:rsidP="00424F87">
      <w:pPr>
        <w:pStyle w:val="BodyTextIndent2"/>
        <w:ind w:left="425"/>
        <w:rPr>
          <w:sz w:val="20"/>
          <w:szCs w:val="20"/>
        </w:rPr>
      </w:pPr>
    </w:p>
    <w:p w14:paraId="670199A7" w14:textId="36F1E476" w:rsidR="00424F87" w:rsidRPr="00A43EA1" w:rsidRDefault="00424F87" w:rsidP="00424F87">
      <w:r w:rsidRPr="00A43EA1">
        <w:t>Gemäß den Änderungen des Sortenschutzgesetzes der Republik Litauen vom 26. April 2012 können in der Republik Litauen Sorten aller Pflanzengattungen und -arten geschützt werden.</w:t>
      </w:r>
    </w:p>
    <w:p w14:paraId="43709A5F" w14:textId="77777777" w:rsidR="00424F87" w:rsidRPr="00A43EA1" w:rsidRDefault="00424F87" w:rsidP="00424F87">
      <w:pPr>
        <w:pStyle w:val="BodyTextIndent2"/>
        <w:ind w:left="425"/>
        <w:rPr>
          <w:sz w:val="20"/>
          <w:szCs w:val="20"/>
        </w:rPr>
      </w:pPr>
    </w:p>
    <w:p w14:paraId="51DF0E45" w14:textId="78D64C4B" w:rsidR="00424F87" w:rsidRPr="00A43EA1" w:rsidRDefault="00424F87" w:rsidP="00424F87">
      <w:pPr>
        <w:pStyle w:val="BodyTextIndent2"/>
        <w:ind w:left="567" w:hanging="567"/>
        <w:rPr>
          <w:sz w:val="20"/>
          <w:szCs w:val="20"/>
        </w:rPr>
      </w:pPr>
      <w:r w:rsidRPr="00A43EA1">
        <w:rPr>
          <w:sz w:val="20"/>
          <w:szCs w:val="20"/>
        </w:rPr>
        <w:t>1.3</w:t>
      </w:r>
      <w:r w:rsidR="00101AAC">
        <w:rPr>
          <w:sz w:val="20"/>
          <w:szCs w:val="20"/>
        </w:rPr>
        <w:tab/>
      </w:r>
      <w:r w:rsidRPr="00A43EA1">
        <w:rPr>
          <w:sz w:val="20"/>
          <w:szCs w:val="20"/>
        </w:rPr>
        <w:t>Rechtsprechung</w:t>
      </w:r>
    </w:p>
    <w:p w14:paraId="75334C26" w14:textId="77777777" w:rsidR="00424F87" w:rsidRPr="00A43EA1" w:rsidRDefault="00424F87" w:rsidP="00424F87"/>
    <w:p w14:paraId="4BFD3AE6" w14:textId="77777777" w:rsidR="00424F87" w:rsidRPr="00A43EA1" w:rsidRDefault="00424F87" w:rsidP="00424F87">
      <w:r w:rsidRPr="00A43EA1">
        <w:t>Im Jahr 2022 gab es in Litauen keine Rechtsprechung zum Sortenschutz.</w:t>
      </w:r>
    </w:p>
    <w:p w14:paraId="4CC97560" w14:textId="77777777" w:rsidR="00424F87" w:rsidRPr="00A43EA1" w:rsidRDefault="00424F87" w:rsidP="00424F87"/>
    <w:p w14:paraId="67A8CC53" w14:textId="77777777" w:rsidR="00424F87" w:rsidRPr="00A43EA1" w:rsidRDefault="00424F87" w:rsidP="00424F87">
      <w:r w:rsidRPr="00A43EA1">
        <w:t>2.</w:t>
      </w:r>
      <w:r w:rsidRPr="00A43EA1">
        <w:tab/>
      </w:r>
      <w:r w:rsidRPr="00A43EA1">
        <w:rPr>
          <w:u w:val="single"/>
        </w:rPr>
        <w:t>Zusammenarbeit bei der Prüfung</w:t>
      </w:r>
    </w:p>
    <w:p w14:paraId="51B36DEF" w14:textId="77777777" w:rsidR="00424F87" w:rsidRPr="00A43EA1" w:rsidRDefault="00424F87" w:rsidP="00424F87">
      <w:pPr>
        <w:tabs>
          <w:tab w:val="left" w:pos="426"/>
          <w:tab w:val="left" w:pos="851"/>
        </w:tabs>
      </w:pPr>
    </w:p>
    <w:p w14:paraId="6B8D453C" w14:textId="77777777" w:rsidR="00424F87" w:rsidRPr="00A43EA1" w:rsidRDefault="00424F87" w:rsidP="00424F87">
      <w:r w:rsidRPr="00A43EA1">
        <w:t>In Litauen gibt es 2 unterzeichnete Vereinbarungen über die Zusammenarbeit bei Prüfungen:</w:t>
      </w:r>
    </w:p>
    <w:p w14:paraId="25A5FFB7" w14:textId="77777777" w:rsidR="00424F87" w:rsidRPr="00A43EA1" w:rsidRDefault="00424F87" w:rsidP="00424F87"/>
    <w:p w14:paraId="6C4FDF20" w14:textId="3270FD8D"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Die bilaterale Vereinbarung vom 11. August 2000 mit dem polnischen Forschungszentrum für Zuchtsortenprüfung (COBORU) über die Durchführung von DUS-Prüfungen wurde am 14. November 2012 durch die Verwaltungsvereinbarung Nr. 1/2012/19T-247 geändert;</w:t>
      </w:r>
    </w:p>
    <w:p w14:paraId="4F2FD20C" w14:textId="77777777" w:rsidR="00424F87" w:rsidRPr="00A43EA1" w:rsidRDefault="00424F87" w:rsidP="00424F87"/>
    <w:p w14:paraId="789A0746" w14:textId="154C67DF" w:rsidR="00424F87" w:rsidRPr="00A43EA1" w:rsidRDefault="00101AAC" w:rsidP="00424F87">
      <w:pPr>
        <w:pStyle w:val="BodyTextIndent2"/>
        <w:ind w:left="567" w:hanging="567"/>
        <w:rPr>
          <w:sz w:val="20"/>
          <w:szCs w:val="20"/>
        </w:rPr>
      </w:pPr>
      <w:r w:rsidRPr="00855AC3">
        <w:rPr>
          <w:sz w:val="20"/>
          <w:szCs w:val="20"/>
          <w:lang w:val="en-US"/>
        </w:rPr>
        <w:t>–</w:t>
      </w:r>
      <w:r w:rsidRPr="00855AC3">
        <w:rPr>
          <w:sz w:val="20"/>
          <w:szCs w:val="20"/>
          <w:lang w:val="en-US"/>
        </w:rPr>
        <w:tab/>
      </w:r>
      <w:r w:rsidR="00424F87" w:rsidRPr="00A43EA1">
        <w:rPr>
          <w:sz w:val="20"/>
          <w:szCs w:val="20"/>
        </w:rPr>
        <w:t>Die Vereinbarung Nr. 10 mit dem Bundessortenamt, Deutschland, betreffend die Übermittlung der Ergebnisse der technischen Prüfung für die DUS-Prüfungen vom 30. Juni 2006 wurde am 18. Oktober 2010 durch die Vereinbarung Nr. 19T-98 geändert.</w:t>
      </w:r>
    </w:p>
    <w:p w14:paraId="4815FE5E" w14:textId="77777777" w:rsidR="00424F87" w:rsidRPr="00A43EA1" w:rsidRDefault="00424F87" w:rsidP="00424F87">
      <w:pPr>
        <w:pStyle w:val="BodyTextIndent2"/>
        <w:ind w:left="567" w:hanging="567"/>
        <w:rPr>
          <w:sz w:val="20"/>
          <w:szCs w:val="18"/>
        </w:rPr>
      </w:pPr>
    </w:p>
    <w:p w14:paraId="0ECC3265"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4AB602CA" w14:textId="77777777" w:rsidR="00424F87" w:rsidRPr="00A43EA1" w:rsidRDefault="00424F87" w:rsidP="00424F87"/>
    <w:p w14:paraId="4395DEC4" w14:textId="77777777" w:rsidR="00424F87" w:rsidRPr="00A43EA1" w:rsidRDefault="00424F87" w:rsidP="00424F87">
      <w:r w:rsidRPr="00A43EA1">
        <w:t>Die Abteilung für Pflanzensorten des dem Landwirtschaftsministerium der Republik Litauen unterstellten Staatlichen Pflanzendienstes ist ebenfalls für die Prüfung, die Auflistung und den rechtlichen Schutz von Pflanzensorten zuständig.</w:t>
      </w:r>
    </w:p>
    <w:p w14:paraId="678FE7CF" w14:textId="77777777" w:rsidR="00424F87" w:rsidRPr="00A43EA1" w:rsidRDefault="00424F87" w:rsidP="00424F87"/>
    <w:p w14:paraId="16BCCB8A" w14:textId="3EAB4819" w:rsidR="00424F87" w:rsidRPr="00A43EA1" w:rsidRDefault="00424F87" w:rsidP="00424F87">
      <w:r w:rsidRPr="00A43EA1">
        <w:t>Die Kommission für die Bewertung von Anträgen auf Sortenschutz, die durch die Verordnung Nr. A1-141 des Direktors des Staatlichen Pflanzendienstes des Landwirtschaftsministeriums der Republik Litauen vom 6. Mai 2011 genehmigt wurde, wurde am 9. Oktober 2020 durch die Verordnung Nr. A1-489 des Direktors des Staatlichen Pflanzendienstes des Landwirtschaftsministeriums der Republik Litauen geändert.</w:t>
      </w:r>
    </w:p>
    <w:p w14:paraId="63D930B7" w14:textId="77777777" w:rsidR="00424F87" w:rsidRPr="00A43EA1" w:rsidRDefault="00424F87" w:rsidP="00424F87"/>
    <w:p w14:paraId="1E2ED68B" w14:textId="77777777" w:rsidR="00424F87" w:rsidRPr="00A43EA1" w:rsidRDefault="00424F87" w:rsidP="00424F87">
      <w:r w:rsidRPr="00A43EA1">
        <w:t>Die Erteilung des Sortenschutzes wird durch eine Verfügung des Direktors des dem Landwirtschaftsministerium der Republik Litauen unterstellten Staatlichen Pflanzendienstes genehmigt.</w:t>
      </w:r>
    </w:p>
    <w:p w14:paraId="05E941DB" w14:textId="77777777" w:rsidR="00424F87" w:rsidRPr="00A43EA1" w:rsidRDefault="00424F87" w:rsidP="00424F87"/>
    <w:p w14:paraId="60901A3D" w14:textId="77777777" w:rsidR="00424F87" w:rsidRPr="00A43EA1" w:rsidRDefault="00424F87" w:rsidP="00424F87">
      <w:r w:rsidRPr="00A43EA1">
        <w:lastRenderedPageBreak/>
        <w:t>Die Verfahren und das System des Sortenschutzes werden durch das Sortenschutzgesetz der Republik Litauen festgelegt.</w:t>
      </w:r>
    </w:p>
    <w:p w14:paraId="134B9265" w14:textId="77777777" w:rsidR="00424F87" w:rsidRPr="00A43EA1" w:rsidRDefault="00424F87" w:rsidP="00424F87"/>
    <w:p w14:paraId="553BE64F" w14:textId="77777777" w:rsidR="00424F87" w:rsidRPr="00A43EA1" w:rsidRDefault="00424F87" w:rsidP="00424F87">
      <w:pPr>
        <w:keepNext/>
      </w:pPr>
      <w:r w:rsidRPr="00A43EA1">
        <w:t>4.</w:t>
      </w:r>
      <w:r w:rsidRPr="00A43EA1">
        <w:tab/>
      </w:r>
      <w:r w:rsidRPr="00A43EA1">
        <w:rPr>
          <w:u w:val="single"/>
        </w:rPr>
        <w:t>Lage auf dem Gebiet der Technik</w:t>
      </w:r>
    </w:p>
    <w:p w14:paraId="75FF58AF" w14:textId="77777777" w:rsidR="00424F87" w:rsidRPr="00A43EA1" w:rsidRDefault="00424F87" w:rsidP="00424F87">
      <w:pPr>
        <w:keepNext/>
      </w:pPr>
    </w:p>
    <w:p w14:paraId="5FFA38AB" w14:textId="4BF9C3EB" w:rsidR="00424F87" w:rsidRPr="00A43EA1" w:rsidRDefault="00424F87" w:rsidP="00424F87">
      <w:r w:rsidRPr="00A43EA1">
        <w:t>Die DUS-Prüfungen werden vom polnischen Forschungszentrum für Zuchtsortenprüfung (COBORU) gemäß einer Verwaltungsvereinbarung Nr. 1/2012/19T-247, geändert am 14. November 2012 , oder von einer anderen zuständigen Behörde der Europäischen Union auf Ersuchen des Züchters durchgeführt.</w:t>
      </w:r>
    </w:p>
    <w:p w14:paraId="1D5CE525" w14:textId="77777777" w:rsidR="00424F87" w:rsidRPr="00A43EA1" w:rsidRDefault="00424F87" w:rsidP="00424F87"/>
    <w:p w14:paraId="0FCF7AEF"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25ABE909" w14:textId="77777777" w:rsidR="00424F87" w:rsidRPr="00A43EA1" w:rsidRDefault="00424F87" w:rsidP="00424F87"/>
    <w:tbl>
      <w:tblPr>
        <w:tblStyle w:val="TableGrid"/>
        <w:tblW w:w="9634" w:type="dxa"/>
        <w:tblLayout w:type="fixed"/>
        <w:tblCellMar>
          <w:top w:w="28" w:type="dxa"/>
          <w:left w:w="28" w:type="dxa"/>
          <w:bottom w:w="28" w:type="dxa"/>
          <w:right w:w="28" w:type="dxa"/>
        </w:tblCellMar>
        <w:tblLook w:val="01E0" w:firstRow="1" w:lastRow="1" w:firstColumn="1" w:lastColumn="1" w:noHBand="0" w:noVBand="0"/>
      </w:tblPr>
      <w:tblGrid>
        <w:gridCol w:w="1696"/>
        <w:gridCol w:w="1276"/>
        <w:gridCol w:w="992"/>
        <w:gridCol w:w="993"/>
        <w:gridCol w:w="1984"/>
        <w:gridCol w:w="2693"/>
      </w:tblGrid>
      <w:tr w:rsidR="00424F87" w:rsidRPr="00A43EA1" w14:paraId="40F96380" w14:textId="77777777" w:rsidTr="00C30F9D">
        <w:tc>
          <w:tcPr>
            <w:tcW w:w="1696" w:type="dxa"/>
          </w:tcPr>
          <w:p w14:paraId="4F17B950" w14:textId="77777777" w:rsidR="00424F87" w:rsidRPr="00A43EA1" w:rsidRDefault="00424F87" w:rsidP="00C30F9D">
            <w:pPr>
              <w:keepNext/>
              <w:jc w:val="left"/>
              <w:rPr>
                <w:sz w:val="16"/>
              </w:rPr>
            </w:pPr>
            <w:r w:rsidRPr="00A43EA1">
              <w:rPr>
                <w:sz w:val="16"/>
              </w:rPr>
              <w:t>Titel der Aktivität</w:t>
            </w:r>
          </w:p>
        </w:tc>
        <w:tc>
          <w:tcPr>
            <w:tcW w:w="1276" w:type="dxa"/>
          </w:tcPr>
          <w:p w14:paraId="5C2D10FF" w14:textId="77777777" w:rsidR="00424F87" w:rsidRPr="00A43EA1" w:rsidRDefault="00424F87" w:rsidP="00C30F9D">
            <w:pPr>
              <w:keepNext/>
              <w:jc w:val="left"/>
              <w:rPr>
                <w:sz w:val="16"/>
              </w:rPr>
            </w:pPr>
            <w:r w:rsidRPr="00A43EA1">
              <w:rPr>
                <w:sz w:val="16"/>
              </w:rPr>
              <w:t>Datum</w:t>
            </w:r>
          </w:p>
        </w:tc>
        <w:tc>
          <w:tcPr>
            <w:tcW w:w="992" w:type="dxa"/>
          </w:tcPr>
          <w:p w14:paraId="47F1E5CC" w14:textId="77777777" w:rsidR="00424F87" w:rsidRPr="00A43EA1" w:rsidRDefault="00424F87" w:rsidP="00C30F9D">
            <w:pPr>
              <w:keepNext/>
              <w:jc w:val="left"/>
              <w:rPr>
                <w:sz w:val="16"/>
              </w:rPr>
            </w:pPr>
            <w:r w:rsidRPr="00A43EA1">
              <w:rPr>
                <w:sz w:val="16"/>
              </w:rPr>
              <w:t>Standort</w:t>
            </w:r>
          </w:p>
        </w:tc>
        <w:tc>
          <w:tcPr>
            <w:tcW w:w="993" w:type="dxa"/>
          </w:tcPr>
          <w:p w14:paraId="260990D0" w14:textId="77777777" w:rsidR="00424F87" w:rsidRPr="00A43EA1" w:rsidRDefault="00424F87" w:rsidP="00C30F9D">
            <w:pPr>
              <w:keepNext/>
              <w:jc w:val="left"/>
              <w:rPr>
                <w:sz w:val="16"/>
              </w:rPr>
            </w:pPr>
            <w:r w:rsidRPr="00A43EA1">
              <w:rPr>
                <w:sz w:val="16"/>
              </w:rPr>
              <w:t>Organisator(en)</w:t>
            </w:r>
          </w:p>
        </w:tc>
        <w:tc>
          <w:tcPr>
            <w:tcW w:w="1984" w:type="dxa"/>
          </w:tcPr>
          <w:p w14:paraId="58053CE6" w14:textId="77777777" w:rsidR="00424F87" w:rsidRPr="00A43EA1" w:rsidRDefault="00424F87" w:rsidP="00C30F9D">
            <w:pPr>
              <w:keepNext/>
              <w:jc w:val="left"/>
              <w:rPr>
                <w:sz w:val="16"/>
              </w:rPr>
            </w:pPr>
            <w:r w:rsidRPr="00A43EA1">
              <w:rPr>
                <w:sz w:val="16"/>
              </w:rPr>
              <w:t>Zweck der Tätigkeit</w:t>
            </w:r>
          </w:p>
        </w:tc>
        <w:tc>
          <w:tcPr>
            <w:tcW w:w="2693" w:type="dxa"/>
          </w:tcPr>
          <w:p w14:paraId="5BFE2C61" w14:textId="77777777" w:rsidR="00424F87" w:rsidRPr="00A43EA1" w:rsidRDefault="00424F87" w:rsidP="00C30F9D">
            <w:pPr>
              <w:keepNext/>
              <w:jc w:val="left"/>
              <w:rPr>
                <w:sz w:val="16"/>
              </w:rPr>
            </w:pPr>
            <w:r w:rsidRPr="00A43EA1">
              <w:rPr>
                <w:sz w:val="16"/>
              </w:rPr>
              <w:t>Teilnehmende Länder/Organisationen (Anzahl der Teilnehmer aus jedem Land)</w:t>
            </w:r>
          </w:p>
        </w:tc>
      </w:tr>
      <w:tr w:rsidR="00424F87" w:rsidRPr="00A43EA1" w14:paraId="09E5D44B" w14:textId="77777777" w:rsidTr="00C30F9D">
        <w:tc>
          <w:tcPr>
            <w:tcW w:w="1696" w:type="dxa"/>
          </w:tcPr>
          <w:p w14:paraId="3A6AEC4F" w14:textId="77777777" w:rsidR="00424F87" w:rsidRPr="00A43EA1" w:rsidRDefault="00424F87" w:rsidP="00C30F9D">
            <w:pPr>
              <w:jc w:val="left"/>
              <w:rPr>
                <w:sz w:val="16"/>
              </w:rPr>
            </w:pPr>
            <w:r w:rsidRPr="00A43EA1">
              <w:rPr>
                <w:sz w:val="16"/>
              </w:rPr>
              <w:t>CPVO-Verwaltungstagung</w:t>
            </w:r>
          </w:p>
        </w:tc>
        <w:tc>
          <w:tcPr>
            <w:tcW w:w="1276" w:type="dxa"/>
          </w:tcPr>
          <w:p w14:paraId="32F85F21" w14:textId="7190FD2A" w:rsidR="00424F87" w:rsidRPr="00A43EA1" w:rsidRDefault="00424F87" w:rsidP="00C30F9D">
            <w:pPr>
              <w:jc w:val="left"/>
              <w:rPr>
                <w:sz w:val="16"/>
              </w:rPr>
            </w:pPr>
            <w:r w:rsidRPr="00A43EA1">
              <w:rPr>
                <w:sz w:val="16"/>
              </w:rPr>
              <w:t>27</w:t>
            </w:r>
            <w:r w:rsidR="00101AAC">
              <w:rPr>
                <w:sz w:val="16"/>
              </w:rPr>
              <w:t>.</w:t>
            </w:r>
            <w:r w:rsidRPr="00A43EA1">
              <w:rPr>
                <w:sz w:val="16"/>
              </w:rPr>
              <w:t xml:space="preserve"> April 2022</w:t>
            </w:r>
          </w:p>
        </w:tc>
        <w:tc>
          <w:tcPr>
            <w:tcW w:w="992" w:type="dxa"/>
          </w:tcPr>
          <w:p w14:paraId="7D6632F3" w14:textId="77777777" w:rsidR="00424F87" w:rsidRPr="00A43EA1" w:rsidRDefault="00424F87" w:rsidP="00C30F9D">
            <w:pPr>
              <w:jc w:val="left"/>
              <w:rPr>
                <w:sz w:val="16"/>
              </w:rPr>
            </w:pPr>
            <w:r w:rsidRPr="00A43EA1">
              <w:rPr>
                <w:sz w:val="16"/>
              </w:rPr>
              <w:t>Frankreich, Angers</w:t>
            </w:r>
          </w:p>
        </w:tc>
        <w:tc>
          <w:tcPr>
            <w:tcW w:w="993" w:type="dxa"/>
          </w:tcPr>
          <w:p w14:paraId="54BD9CCC" w14:textId="77777777" w:rsidR="00424F87" w:rsidRPr="00A43EA1" w:rsidRDefault="00424F87" w:rsidP="00C30F9D">
            <w:pPr>
              <w:jc w:val="left"/>
              <w:rPr>
                <w:sz w:val="16"/>
              </w:rPr>
            </w:pPr>
            <w:r w:rsidRPr="00A43EA1">
              <w:rPr>
                <w:sz w:val="16"/>
              </w:rPr>
              <w:t>CPVO</w:t>
            </w:r>
          </w:p>
        </w:tc>
        <w:tc>
          <w:tcPr>
            <w:tcW w:w="1984" w:type="dxa"/>
          </w:tcPr>
          <w:p w14:paraId="09351627" w14:textId="77777777" w:rsidR="00424F87" w:rsidRPr="00A43EA1" w:rsidRDefault="00424F87" w:rsidP="00C30F9D">
            <w:pPr>
              <w:jc w:val="left"/>
              <w:rPr>
                <w:sz w:val="16"/>
              </w:rPr>
            </w:pPr>
            <w:r w:rsidRPr="00A43EA1">
              <w:rPr>
                <w:sz w:val="16"/>
              </w:rPr>
              <w:t>Erörterung der wichtigsten Fragen des Sortenschutzes</w:t>
            </w:r>
          </w:p>
        </w:tc>
        <w:tc>
          <w:tcPr>
            <w:tcW w:w="2693" w:type="dxa"/>
          </w:tcPr>
          <w:p w14:paraId="549F9A0D" w14:textId="77777777" w:rsidR="00424F87" w:rsidRPr="00A43EA1" w:rsidRDefault="00424F87" w:rsidP="00C30F9D">
            <w:pPr>
              <w:jc w:val="left"/>
              <w:rPr>
                <w:sz w:val="16"/>
              </w:rPr>
            </w:pPr>
          </w:p>
        </w:tc>
      </w:tr>
      <w:tr w:rsidR="00424F87" w:rsidRPr="00A43EA1" w14:paraId="6F5922EA" w14:textId="77777777" w:rsidTr="00C30F9D">
        <w:tc>
          <w:tcPr>
            <w:tcW w:w="1696" w:type="dxa"/>
          </w:tcPr>
          <w:p w14:paraId="510E067B" w14:textId="77777777" w:rsidR="00424F87" w:rsidRPr="00A43EA1" w:rsidRDefault="00424F87" w:rsidP="00C30F9D">
            <w:pPr>
              <w:jc w:val="left"/>
              <w:rPr>
                <w:sz w:val="16"/>
              </w:rPr>
            </w:pPr>
            <w:r w:rsidRPr="00A43EA1">
              <w:rPr>
                <w:sz w:val="16"/>
              </w:rPr>
              <w:t>CPVO-Seminar über Sortenschutz: Nachhaltigkeit, Innovation und Wachstum in der Europäischen Union</w:t>
            </w:r>
          </w:p>
        </w:tc>
        <w:tc>
          <w:tcPr>
            <w:tcW w:w="1276" w:type="dxa"/>
          </w:tcPr>
          <w:p w14:paraId="221B703B" w14:textId="5F7A999A" w:rsidR="00424F87" w:rsidRPr="00A43EA1" w:rsidRDefault="00424F87" w:rsidP="00C30F9D">
            <w:pPr>
              <w:jc w:val="left"/>
              <w:rPr>
                <w:sz w:val="16"/>
              </w:rPr>
            </w:pPr>
            <w:r w:rsidRPr="00A43EA1">
              <w:rPr>
                <w:sz w:val="16"/>
              </w:rPr>
              <w:t>28</w:t>
            </w:r>
            <w:r w:rsidR="00101AAC">
              <w:rPr>
                <w:sz w:val="16"/>
              </w:rPr>
              <w:t>.</w:t>
            </w:r>
            <w:r w:rsidRPr="00A43EA1">
              <w:rPr>
                <w:sz w:val="16"/>
              </w:rPr>
              <w:t xml:space="preserve"> April 2022</w:t>
            </w:r>
          </w:p>
        </w:tc>
        <w:tc>
          <w:tcPr>
            <w:tcW w:w="992" w:type="dxa"/>
          </w:tcPr>
          <w:p w14:paraId="11AD4F38" w14:textId="77777777" w:rsidR="00424F87" w:rsidRPr="00A43EA1" w:rsidRDefault="00424F87" w:rsidP="00C30F9D">
            <w:pPr>
              <w:rPr>
                <w:sz w:val="16"/>
              </w:rPr>
            </w:pPr>
            <w:r w:rsidRPr="00A43EA1">
              <w:rPr>
                <w:sz w:val="16"/>
              </w:rPr>
              <w:t>Frankreich, Angers</w:t>
            </w:r>
          </w:p>
        </w:tc>
        <w:tc>
          <w:tcPr>
            <w:tcW w:w="993" w:type="dxa"/>
          </w:tcPr>
          <w:p w14:paraId="40C4CB45" w14:textId="77777777" w:rsidR="00424F87" w:rsidRPr="00A43EA1" w:rsidRDefault="00424F87" w:rsidP="00C30F9D">
            <w:pPr>
              <w:jc w:val="left"/>
              <w:rPr>
                <w:sz w:val="16"/>
              </w:rPr>
            </w:pPr>
            <w:r w:rsidRPr="00A43EA1">
              <w:rPr>
                <w:sz w:val="16"/>
              </w:rPr>
              <w:t>CPVO</w:t>
            </w:r>
          </w:p>
        </w:tc>
        <w:tc>
          <w:tcPr>
            <w:tcW w:w="1984" w:type="dxa"/>
          </w:tcPr>
          <w:p w14:paraId="58B6EB2F" w14:textId="77777777" w:rsidR="00424F87" w:rsidRPr="00A43EA1" w:rsidRDefault="00424F87" w:rsidP="00C30F9D">
            <w:pPr>
              <w:jc w:val="left"/>
              <w:rPr>
                <w:sz w:val="16"/>
              </w:rPr>
            </w:pPr>
            <w:r w:rsidRPr="00A43EA1">
              <w:rPr>
                <w:sz w:val="16"/>
              </w:rPr>
              <w:t>Erörterung der wichtigsten Fragen des Sortenschutzes</w:t>
            </w:r>
          </w:p>
        </w:tc>
        <w:tc>
          <w:tcPr>
            <w:tcW w:w="2693" w:type="dxa"/>
          </w:tcPr>
          <w:p w14:paraId="7C695119" w14:textId="77777777" w:rsidR="00424F87" w:rsidRPr="00A43EA1" w:rsidRDefault="00424F87" w:rsidP="00C30F9D">
            <w:pPr>
              <w:jc w:val="left"/>
              <w:rPr>
                <w:sz w:val="16"/>
              </w:rPr>
            </w:pPr>
            <w:r w:rsidRPr="00A43EA1">
              <w:rPr>
                <w:sz w:val="16"/>
              </w:rPr>
              <w:t>Europäische Kommission, CPVO, UPOV, Vertragsparteien, Beobachter und Organisationen</w:t>
            </w:r>
          </w:p>
        </w:tc>
      </w:tr>
      <w:tr w:rsidR="00424F87" w:rsidRPr="00A43EA1" w14:paraId="6E53AA38" w14:textId="77777777" w:rsidTr="00C30F9D">
        <w:tc>
          <w:tcPr>
            <w:tcW w:w="1696" w:type="dxa"/>
          </w:tcPr>
          <w:p w14:paraId="499D6E82" w14:textId="77777777" w:rsidR="00424F87" w:rsidRPr="00A43EA1" w:rsidRDefault="00424F87" w:rsidP="00C30F9D">
            <w:pPr>
              <w:jc w:val="left"/>
              <w:rPr>
                <w:sz w:val="16"/>
              </w:rPr>
            </w:pPr>
            <w:r w:rsidRPr="00A43EA1">
              <w:rPr>
                <w:sz w:val="16"/>
              </w:rPr>
              <w:t>Virtuelle Tagung des Verwaltungs- und Rechtsausschusses der UPOV</w:t>
            </w:r>
          </w:p>
        </w:tc>
        <w:tc>
          <w:tcPr>
            <w:tcW w:w="1276" w:type="dxa"/>
          </w:tcPr>
          <w:p w14:paraId="37A542AD" w14:textId="5144A513" w:rsidR="00424F87" w:rsidRPr="00A43EA1" w:rsidRDefault="00424F87" w:rsidP="00C30F9D">
            <w:pPr>
              <w:jc w:val="left"/>
              <w:rPr>
                <w:sz w:val="16"/>
              </w:rPr>
            </w:pPr>
            <w:r w:rsidRPr="00A43EA1">
              <w:rPr>
                <w:sz w:val="16"/>
              </w:rPr>
              <w:t>8</w:t>
            </w:r>
            <w:r w:rsidR="00101AAC">
              <w:rPr>
                <w:sz w:val="16"/>
              </w:rPr>
              <w:t>.</w:t>
            </w:r>
            <w:r w:rsidRPr="00A43EA1">
              <w:rPr>
                <w:sz w:val="16"/>
              </w:rPr>
              <w:t xml:space="preserve"> November 2022</w:t>
            </w:r>
          </w:p>
        </w:tc>
        <w:tc>
          <w:tcPr>
            <w:tcW w:w="992" w:type="dxa"/>
          </w:tcPr>
          <w:p w14:paraId="59FBAB55" w14:textId="77777777" w:rsidR="00424F87" w:rsidRPr="00A43EA1" w:rsidRDefault="00424F87" w:rsidP="00C30F9D">
            <w:pPr>
              <w:jc w:val="left"/>
              <w:rPr>
                <w:sz w:val="16"/>
              </w:rPr>
            </w:pPr>
            <w:r w:rsidRPr="00A43EA1">
              <w:rPr>
                <w:sz w:val="16"/>
              </w:rPr>
              <w:t>Genf, Schweiz</w:t>
            </w:r>
          </w:p>
        </w:tc>
        <w:tc>
          <w:tcPr>
            <w:tcW w:w="993" w:type="dxa"/>
          </w:tcPr>
          <w:p w14:paraId="26E8B678" w14:textId="77777777" w:rsidR="00424F87" w:rsidRPr="00A43EA1" w:rsidRDefault="00424F87" w:rsidP="00C30F9D">
            <w:pPr>
              <w:tabs>
                <w:tab w:val="left" w:pos="576"/>
              </w:tabs>
              <w:rPr>
                <w:sz w:val="16"/>
              </w:rPr>
            </w:pPr>
            <w:r w:rsidRPr="00A43EA1">
              <w:rPr>
                <w:sz w:val="16"/>
              </w:rPr>
              <w:t>UPOV</w:t>
            </w:r>
          </w:p>
        </w:tc>
        <w:tc>
          <w:tcPr>
            <w:tcW w:w="1984" w:type="dxa"/>
          </w:tcPr>
          <w:p w14:paraId="48ACE439" w14:textId="77777777" w:rsidR="00424F87" w:rsidRPr="00A43EA1" w:rsidRDefault="00424F87" w:rsidP="00C30F9D">
            <w:pPr>
              <w:jc w:val="left"/>
              <w:rPr>
                <w:sz w:val="16"/>
              </w:rPr>
            </w:pPr>
            <w:r w:rsidRPr="00A43EA1">
              <w:rPr>
                <w:sz w:val="16"/>
              </w:rPr>
              <w:t>Erörterung der wichtigsten Fragen des Sortenschutzes</w:t>
            </w:r>
          </w:p>
        </w:tc>
        <w:tc>
          <w:tcPr>
            <w:tcW w:w="2693" w:type="dxa"/>
          </w:tcPr>
          <w:p w14:paraId="2BBC3540" w14:textId="77777777" w:rsidR="00424F87" w:rsidRPr="00A43EA1" w:rsidRDefault="00424F87" w:rsidP="00C30F9D">
            <w:pPr>
              <w:jc w:val="left"/>
              <w:rPr>
                <w:sz w:val="16"/>
              </w:rPr>
            </w:pPr>
            <w:r w:rsidRPr="00A43EA1">
              <w:rPr>
                <w:sz w:val="16"/>
              </w:rPr>
              <w:t>UPOV, Europäische Kommission, CPVO, Vertragsparteien, Beobachter und Organisationen</w:t>
            </w:r>
          </w:p>
        </w:tc>
      </w:tr>
    </w:tbl>
    <w:p w14:paraId="1AB61B9C" w14:textId="77777777" w:rsidR="00424F87" w:rsidRPr="00A43EA1" w:rsidRDefault="00424F87" w:rsidP="00424F87"/>
    <w:p w14:paraId="574DED7D" w14:textId="47EAD8B7" w:rsidR="00424F87" w:rsidRPr="00A43EA1" w:rsidRDefault="00424F87" w:rsidP="00424F87">
      <w:r w:rsidRPr="00A43EA1">
        <w:t>Das Informationsblatt über Züchterrechte und die Nationale Sortenliste Nr. 1 (37) der dem Landwirtschaftsministerium der Republik Litauen unterstellten Staatlichen Pflanzendienste wurde am 20.</w:t>
      </w:r>
      <w:r w:rsidR="00101AAC">
        <w:t> </w:t>
      </w:r>
      <w:r w:rsidRPr="00A43EA1">
        <w:t>Januar 2022 unter und Nr. 2 (38) am 1. Juni 2022 unter veröffentlicht.</w:t>
      </w:r>
    </w:p>
    <w:p w14:paraId="639CA8A1" w14:textId="77777777" w:rsidR="00424F87" w:rsidRPr="00A43EA1" w:rsidRDefault="00424F87" w:rsidP="00424F87"/>
    <w:p w14:paraId="0BFE08A0" w14:textId="77777777" w:rsidR="00424F87" w:rsidRPr="00A43EA1" w:rsidRDefault="00424F87" w:rsidP="00424F87"/>
    <w:p w14:paraId="2B9D9753" w14:textId="77777777" w:rsidR="00424F87" w:rsidRPr="00A43EA1" w:rsidRDefault="00424F87" w:rsidP="00424F87">
      <w:r w:rsidRPr="00A43EA1">
        <w:t>II.</w:t>
      </w:r>
      <w:r w:rsidRPr="00A43EA1">
        <w:tab/>
        <w:t>ANDERE ENTWICKLUNGEN, DIE FÜR DIE UPOV RELEVANT SIND</w:t>
      </w:r>
    </w:p>
    <w:p w14:paraId="57C323A4" w14:textId="77777777" w:rsidR="00424F87" w:rsidRPr="00A43EA1" w:rsidRDefault="00424F87" w:rsidP="00424F87"/>
    <w:p w14:paraId="743B3845" w14:textId="79A353BE" w:rsidR="00424F87" w:rsidRPr="00A43EA1" w:rsidRDefault="00424F87" w:rsidP="00424F87">
      <w:r w:rsidRPr="00A43EA1">
        <w:t>Die litauische Nationale Liste der Pflanzensorten 2022 wurde durch die Verfügung Nr. A1-123 des Direktors des Staatlichen Pflanzendienstes des Landwirtschaftsministeriums der Republik Litauen am 4. März 2022 genehmigt. . Das Vermehrungsmaterial jeder eingetragenen Sorte jeder Pflanzenart kann gemäß den verbindlichen Anforderungen, die in den EU-Richtlinien festgelegt sind, zertifiziert werden.</w:t>
      </w:r>
    </w:p>
    <w:p w14:paraId="1EEAAC46" w14:textId="77777777" w:rsidR="00424F87" w:rsidRPr="00A43EA1" w:rsidRDefault="00424F87" w:rsidP="00424F87"/>
    <w:p w14:paraId="2BDFC0FD" w14:textId="77777777" w:rsidR="00424F87" w:rsidRPr="00A43EA1" w:rsidRDefault="00424F87" w:rsidP="00424F87"/>
    <w:p w14:paraId="41FB6F4B" w14:textId="77777777" w:rsidR="00424F87" w:rsidRPr="00A43EA1" w:rsidRDefault="00424F87" w:rsidP="00424F87"/>
    <w:p w14:paraId="65E971BA" w14:textId="4E8F7F8D" w:rsidR="00424F87" w:rsidRPr="00A43EA1" w:rsidRDefault="00424F87" w:rsidP="00424F87">
      <w:pPr>
        <w:jc w:val="right"/>
      </w:pPr>
      <w:r w:rsidRPr="00A43EA1">
        <w:t>[</w:t>
      </w:r>
      <w:r w:rsidR="009E6E5A">
        <w:t>Anlage</w:t>
      </w:r>
      <w:r w:rsidRPr="00A43EA1">
        <w:t xml:space="preserve"> XI folgt]</w:t>
      </w:r>
    </w:p>
    <w:p w14:paraId="47BCD279" w14:textId="77777777" w:rsidR="00424F87" w:rsidRPr="00A43EA1" w:rsidRDefault="00424F87" w:rsidP="00424F87"/>
    <w:p w14:paraId="31E346FF" w14:textId="77777777" w:rsidR="00424F87" w:rsidRPr="00A43EA1" w:rsidRDefault="00424F87" w:rsidP="00424F87"/>
    <w:p w14:paraId="772772B5" w14:textId="77777777" w:rsidR="00424F87" w:rsidRPr="00A43EA1" w:rsidRDefault="00424F87" w:rsidP="00424F87">
      <w:pPr>
        <w:jc w:val="center"/>
        <w:sectPr w:rsidR="00424F87" w:rsidRPr="00A43EA1" w:rsidSect="00C10F83">
          <w:headerReference w:type="default" r:id="rId29"/>
          <w:pgSz w:w="11907" w:h="16840" w:code="9"/>
          <w:pgMar w:top="510" w:right="1134" w:bottom="1134" w:left="1134" w:header="510" w:footer="680" w:gutter="0"/>
          <w:pgNumType w:start="1"/>
          <w:cols w:space="720"/>
          <w:titlePg/>
        </w:sectPr>
      </w:pPr>
    </w:p>
    <w:p w14:paraId="3F68944C" w14:textId="77777777" w:rsidR="00424F87" w:rsidRPr="00A43EA1" w:rsidRDefault="00424F87" w:rsidP="00424F87">
      <w:pPr>
        <w:jc w:val="center"/>
      </w:pPr>
      <w:r w:rsidRPr="00A43EA1">
        <w:lastRenderedPageBreak/>
        <w:t>C/57/13</w:t>
      </w:r>
    </w:p>
    <w:p w14:paraId="2A0DFBE8" w14:textId="77777777" w:rsidR="00424F87" w:rsidRPr="00A43EA1" w:rsidRDefault="00424F87" w:rsidP="00424F87">
      <w:pPr>
        <w:jc w:val="center"/>
      </w:pPr>
    </w:p>
    <w:p w14:paraId="7585B404" w14:textId="13E5F295" w:rsidR="00424F87" w:rsidRPr="00A43EA1" w:rsidRDefault="009E6E5A" w:rsidP="00424F87">
      <w:pPr>
        <w:jc w:val="center"/>
      </w:pPr>
      <w:r>
        <w:t>ANLAGE</w:t>
      </w:r>
      <w:r w:rsidR="00424F87" w:rsidRPr="00A43EA1">
        <w:t xml:space="preserve"> XI</w:t>
      </w:r>
    </w:p>
    <w:p w14:paraId="2557FB42" w14:textId="77777777" w:rsidR="00424F87" w:rsidRPr="00A43EA1" w:rsidRDefault="00424F87" w:rsidP="00424F87">
      <w:pPr>
        <w:jc w:val="center"/>
      </w:pPr>
    </w:p>
    <w:p w14:paraId="3B4EEBEB" w14:textId="77777777" w:rsidR="00424F87" w:rsidRPr="00A43EA1" w:rsidRDefault="00424F87" w:rsidP="00424F87">
      <w:pPr>
        <w:jc w:val="center"/>
      </w:pPr>
    </w:p>
    <w:p w14:paraId="5DBD6126" w14:textId="77777777" w:rsidR="00424F87" w:rsidRPr="00A43EA1" w:rsidRDefault="00424F87" w:rsidP="00424F87">
      <w:pPr>
        <w:jc w:val="center"/>
      </w:pPr>
      <w:r w:rsidRPr="00A43EA1">
        <w:t>MEXIKO</w:t>
      </w:r>
    </w:p>
    <w:p w14:paraId="4544D349" w14:textId="073D02AD" w:rsidR="00424F87" w:rsidRPr="00A43EA1" w:rsidRDefault="00424F87" w:rsidP="00424F87">
      <w:pPr>
        <w:jc w:val="center"/>
      </w:pPr>
      <w:r w:rsidRPr="00A43EA1">
        <w:t xml:space="preserve">(Originalsprache: </w:t>
      </w:r>
      <w:r w:rsidRPr="00A43EA1">
        <w:t>s</w:t>
      </w:r>
      <w:r w:rsidRPr="00A43EA1">
        <w:t>panisch)</w:t>
      </w:r>
    </w:p>
    <w:p w14:paraId="7C6A613F" w14:textId="77777777" w:rsidR="00424F87" w:rsidRPr="00A43EA1" w:rsidRDefault="00424F87" w:rsidP="00424F87"/>
    <w:p w14:paraId="5D998BB0" w14:textId="77777777" w:rsidR="00424F87" w:rsidRPr="00A43EA1" w:rsidRDefault="00424F87" w:rsidP="00424F87">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6241BB43" w14:textId="77777777" w:rsidR="00766AF5" w:rsidRDefault="00766AF5" w:rsidP="00766AF5">
      <w:pPr>
        <w:rPr>
          <w:bCs/>
        </w:rPr>
      </w:pPr>
      <w:r w:rsidRPr="006F559C">
        <w:rPr>
          <w:bCs/>
        </w:rPr>
        <w:t>SORTENSCHUTZ</w:t>
      </w:r>
    </w:p>
    <w:p w14:paraId="0EB9D475" w14:textId="77777777" w:rsidR="00766AF5" w:rsidRPr="006F559C" w:rsidRDefault="00766AF5" w:rsidP="00766AF5"/>
    <w:p w14:paraId="0A183B30" w14:textId="77777777" w:rsidR="00766AF5" w:rsidRDefault="00766AF5" w:rsidP="00766AF5">
      <w:pPr>
        <w:rPr>
          <w:u w:val="single"/>
        </w:rPr>
      </w:pPr>
      <w:r w:rsidRPr="006F559C">
        <w:rPr>
          <w:u w:val="single"/>
        </w:rPr>
        <w:t>Lage auf dem Gebiet der Gesetzgebung</w:t>
      </w:r>
    </w:p>
    <w:p w14:paraId="5EA35A21" w14:textId="77777777" w:rsidR="00766AF5" w:rsidRPr="006F559C" w:rsidRDefault="00766AF5" w:rsidP="00766AF5">
      <w:pPr>
        <w:rPr>
          <w:u w:val="single"/>
        </w:rPr>
      </w:pPr>
    </w:p>
    <w:p w14:paraId="3BC59EF2" w14:textId="77777777" w:rsidR="00766AF5" w:rsidRDefault="00766AF5" w:rsidP="00766AF5">
      <w:r w:rsidRPr="006F559C">
        <w:t>Mexiko ist seit August 1997 Vertragspartei des UPOV-Übereinkommens, und die derzeitigen Rechtsvorschriften entsprechen der UPOV-Akte von 1978</w:t>
      </w:r>
      <w:r>
        <w:t>.</w:t>
      </w:r>
      <w:r w:rsidRPr="006F559C">
        <w:t xml:space="preserve"> In den letzten Jahren wurde jedoch an Vorschlägen zur Änderung des Bundesgesetzes über Pflanzensorten von 1996 gearbeitet.</w:t>
      </w:r>
    </w:p>
    <w:p w14:paraId="276F8687" w14:textId="77777777" w:rsidR="00766AF5" w:rsidRPr="006F559C" w:rsidRDefault="00766AF5" w:rsidP="00766AF5"/>
    <w:p w14:paraId="7C88AFFF" w14:textId="77777777" w:rsidR="00766AF5" w:rsidRDefault="00766AF5" w:rsidP="00766AF5">
      <w:r w:rsidRPr="00311766">
        <w:t>Ausweitung des Schutzes auf andere Gattungen und Arten (durchgeführt oder geplant): Seit der Veröffentlichung der Rechtsvorschriften hat Mexiko den Schutz auf alle Gattungen und Arten ausgedehnt</w:t>
      </w:r>
      <w:r>
        <w:t>.</w:t>
      </w:r>
    </w:p>
    <w:p w14:paraId="22D4CA5E" w14:textId="77777777" w:rsidR="00766AF5" w:rsidRPr="00311766" w:rsidRDefault="00766AF5" w:rsidP="00766AF5"/>
    <w:p w14:paraId="58642E05" w14:textId="77777777" w:rsidR="00766AF5" w:rsidRPr="006F559C" w:rsidRDefault="00766AF5" w:rsidP="00766AF5"/>
    <w:p w14:paraId="164666A9" w14:textId="77777777" w:rsidR="00766AF5" w:rsidRDefault="00766AF5" w:rsidP="00766AF5">
      <w:pPr>
        <w:rPr>
          <w:u w:val="single"/>
        </w:rPr>
      </w:pPr>
      <w:r w:rsidRPr="006F559C">
        <w:rPr>
          <w:u w:val="single"/>
        </w:rPr>
        <w:t>Tätigkeiten zur Förderung des Sortenschutzes</w:t>
      </w:r>
    </w:p>
    <w:p w14:paraId="25DD2A01" w14:textId="77777777" w:rsidR="00766AF5" w:rsidRPr="006F559C" w:rsidRDefault="00766AF5" w:rsidP="00766AF5"/>
    <w:tbl>
      <w:tblPr>
        <w:tblStyle w:val="TableGrid"/>
        <w:tblW w:w="10172" w:type="dxa"/>
        <w:tblLayout w:type="fixed"/>
        <w:tblCellMar>
          <w:top w:w="28" w:type="dxa"/>
          <w:left w:w="57" w:type="dxa"/>
          <w:bottom w:w="28" w:type="dxa"/>
          <w:right w:w="57" w:type="dxa"/>
        </w:tblCellMar>
        <w:tblLook w:val="01E0" w:firstRow="1" w:lastRow="1" w:firstColumn="1" w:lastColumn="1" w:noHBand="0" w:noVBand="0"/>
      </w:tblPr>
      <w:tblGrid>
        <w:gridCol w:w="1413"/>
        <w:gridCol w:w="1134"/>
        <w:gridCol w:w="1276"/>
        <w:gridCol w:w="1417"/>
        <w:gridCol w:w="1701"/>
        <w:gridCol w:w="1843"/>
        <w:gridCol w:w="1388"/>
      </w:tblGrid>
      <w:tr w:rsidR="00766AF5" w:rsidRPr="006F559C" w14:paraId="608D2FA8" w14:textId="77777777" w:rsidTr="00766AF5">
        <w:tc>
          <w:tcPr>
            <w:tcW w:w="1413" w:type="dxa"/>
          </w:tcPr>
          <w:p w14:paraId="30A11C37" w14:textId="77777777" w:rsidR="00766AF5" w:rsidRDefault="00766AF5" w:rsidP="00C30F9D">
            <w:pPr>
              <w:jc w:val="left"/>
              <w:rPr>
                <w:sz w:val="16"/>
                <w:szCs w:val="18"/>
              </w:rPr>
            </w:pPr>
            <w:r w:rsidRPr="006F559C">
              <w:rPr>
                <w:sz w:val="16"/>
                <w:szCs w:val="18"/>
              </w:rPr>
              <w:t>Titel der Aktivität</w:t>
            </w:r>
          </w:p>
        </w:tc>
        <w:tc>
          <w:tcPr>
            <w:tcW w:w="1134" w:type="dxa"/>
          </w:tcPr>
          <w:p w14:paraId="2FC43822" w14:textId="77777777" w:rsidR="00766AF5" w:rsidRDefault="00766AF5" w:rsidP="00C30F9D">
            <w:pPr>
              <w:jc w:val="left"/>
              <w:rPr>
                <w:sz w:val="16"/>
                <w:szCs w:val="18"/>
              </w:rPr>
            </w:pPr>
            <w:r w:rsidRPr="006F559C">
              <w:rPr>
                <w:sz w:val="16"/>
                <w:szCs w:val="18"/>
              </w:rPr>
              <w:t>Datum</w:t>
            </w:r>
          </w:p>
        </w:tc>
        <w:tc>
          <w:tcPr>
            <w:tcW w:w="1276" w:type="dxa"/>
          </w:tcPr>
          <w:p w14:paraId="15AA3523" w14:textId="77777777" w:rsidR="00766AF5" w:rsidRDefault="00766AF5" w:rsidP="00C30F9D">
            <w:pPr>
              <w:jc w:val="left"/>
              <w:rPr>
                <w:sz w:val="16"/>
                <w:szCs w:val="18"/>
              </w:rPr>
            </w:pPr>
            <w:r w:rsidRPr="006F559C">
              <w:rPr>
                <w:sz w:val="16"/>
                <w:szCs w:val="18"/>
              </w:rPr>
              <w:t>Ort</w:t>
            </w:r>
          </w:p>
        </w:tc>
        <w:tc>
          <w:tcPr>
            <w:tcW w:w="1417" w:type="dxa"/>
          </w:tcPr>
          <w:p w14:paraId="3DC54FD0" w14:textId="77777777" w:rsidR="00766AF5" w:rsidRDefault="00766AF5" w:rsidP="00C30F9D">
            <w:pPr>
              <w:jc w:val="left"/>
              <w:rPr>
                <w:sz w:val="16"/>
                <w:szCs w:val="18"/>
              </w:rPr>
            </w:pPr>
            <w:r w:rsidRPr="006F559C">
              <w:rPr>
                <w:sz w:val="16"/>
                <w:szCs w:val="18"/>
              </w:rPr>
              <w:t>Organisatoren</w:t>
            </w:r>
          </w:p>
        </w:tc>
        <w:tc>
          <w:tcPr>
            <w:tcW w:w="1701" w:type="dxa"/>
          </w:tcPr>
          <w:p w14:paraId="5593BF12" w14:textId="77777777" w:rsidR="00766AF5" w:rsidRDefault="00766AF5" w:rsidP="00C30F9D">
            <w:pPr>
              <w:jc w:val="left"/>
              <w:rPr>
                <w:sz w:val="16"/>
                <w:szCs w:val="18"/>
              </w:rPr>
            </w:pPr>
            <w:r w:rsidRPr="006F559C">
              <w:rPr>
                <w:sz w:val="16"/>
                <w:szCs w:val="18"/>
              </w:rPr>
              <w:t>Zweck der Aktivität</w:t>
            </w:r>
          </w:p>
        </w:tc>
        <w:tc>
          <w:tcPr>
            <w:tcW w:w="1843" w:type="dxa"/>
          </w:tcPr>
          <w:p w14:paraId="2015ED95" w14:textId="77777777" w:rsidR="00766AF5" w:rsidRDefault="00766AF5" w:rsidP="00C30F9D">
            <w:pPr>
              <w:jc w:val="left"/>
              <w:rPr>
                <w:sz w:val="16"/>
                <w:szCs w:val="18"/>
              </w:rPr>
            </w:pPr>
            <w:r w:rsidRPr="006F559C">
              <w:rPr>
                <w:sz w:val="16"/>
                <w:szCs w:val="18"/>
              </w:rPr>
              <w:t>Teilnehmende Länder/Organisationen (Anzahl der Teilnehmer aus jedem Land/jeder Organisation)</w:t>
            </w:r>
          </w:p>
        </w:tc>
        <w:tc>
          <w:tcPr>
            <w:tcW w:w="1388" w:type="dxa"/>
          </w:tcPr>
          <w:p w14:paraId="04483105" w14:textId="77777777" w:rsidR="00766AF5" w:rsidRDefault="00766AF5" w:rsidP="00C30F9D">
            <w:pPr>
              <w:jc w:val="left"/>
              <w:rPr>
                <w:sz w:val="16"/>
                <w:szCs w:val="18"/>
              </w:rPr>
            </w:pPr>
            <w:r w:rsidRPr="006F559C">
              <w:rPr>
                <w:sz w:val="16"/>
                <w:szCs w:val="18"/>
              </w:rPr>
              <w:t>Kommentare</w:t>
            </w:r>
          </w:p>
        </w:tc>
      </w:tr>
      <w:tr w:rsidR="00766AF5" w:rsidRPr="006F559C" w14:paraId="23A61459" w14:textId="77777777" w:rsidTr="00766AF5">
        <w:trPr>
          <w:cantSplit/>
        </w:trPr>
        <w:tc>
          <w:tcPr>
            <w:tcW w:w="1413" w:type="dxa"/>
          </w:tcPr>
          <w:p w14:paraId="236A2BA1" w14:textId="1320BC08" w:rsidR="00766AF5" w:rsidRDefault="00766AF5" w:rsidP="00C30F9D">
            <w:pPr>
              <w:pStyle w:val="BodyText"/>
              <w:jc w:val="left"/>
              <w:rPr>
                <w:sz w:val="16"/>
                <w:szCs w:val="18"/>
              </w:rPr>
            </w:pPr>
            <w:r w:rsidRPr="006F559C">
              <w:rPr>
                <w:sz w:val="16"/>
                <w:szCs w:val="18"/>
              </w:rPr>
              <w:t>1</w:t>
            </w:r>
            <w:r>
              <w:rPr>
                <w:sz w:val="16"/>
                <w:szCs w:val="18"/>
              </w:rPr>
              <w:t>.</w:t>
            </w:r>
            <w:r w:rsidRPr="006F559C">
              <w:rPr>
                <w:sz w:val="16"/>
                <w:szCs w:val="18"/>
              </w:rPr>
              <w:t xml:space="preserve"> Kurs: Management der landwirtschaftlichen genetischen Vielfalt, Registrierung von Pflanzeninnovationen und Saatguterzeugung</w:t>
            </w:r>
          </w:p>
        </w:tc>
        <w:tc>
          <w:tcPr>
            <w:tcW w:w="1134" w:type="dxa"/>
          </w:tcPr>
          <w:p w14:paraId="3B189309" w14:textId="77777777" w:rsidR="00766AF5" w:rsidRDefault="00766AF5" w:rsidP="00C30F9D">
            <w:pPr>
              <w:jc w:val="left"/>
              <w:rPr>
                <w:sz w:val="16"/>
                <w:szCs w:val="18"/>
              </w:rPr>
            </w:pPr>
            <w:r w:rsidRPr="006F559C">
              <w:rPr>
                <w:sz w:val="16"/>
                <w:szCs w:val="18"/>
              </w:rPr>
              <w:t>28. Januar bis 25. Februar 2023</w:t>
            </w:r>
          </w:p>
        </w:tc>
        <w:tc>
          <w:tcPr>
            <w:tcW w:w="1276" w:type="dxa"/>
          </w:tcPr>
          <w:p w14:paraId="38CD880D" w14:textId="77777777" w:rsidR="00766AF5" w:rsidRDefault="00766AF5" w:rsidP="00C30F9D">
            <w:pPr>
              <w:jc w:val="left"/>
              <w:rPr>
                <w:sz w:val="16"/>
                <w:szCs w:val="18"/>
              </w:rPr>
            </w:pPr>
            <w:r w:rsidRPr="006F559C">
              <w:rPr>
                <w:sz w:val="16"/>
                <w:szCs w:val="18"/>
              </w:rPr>
              <w:t>Colegio de Postgraduados - Campus Montecillo, Texcoco, Mexiko</w:t>
            </w:r>
          </w:p>
        </w:tc>
        <w:tc>
          <w:tcPr>
            <w:tcW w:w="1417" w:type="dxa"/>
          </w:tcPr>
          <w:p w14:paraId="3FE93503" w14:textId="7527B9FE" w:rsidR="00766AF5" w:rsidRDefault="00766AF5" w:rsidP="00C30F9D">
            <w:pPr>
              <w:jc w:val="left"/>
              <w:rPr>
                <w:sz w:val="16"/>
                <w:szCs w:val="18"/>
              </w:rPr>
            </w:pPr>
            <w:r w:rsidRPr="006F559C">
              <w:rPr>
                <w:sz w:val="16"/>
                <w:szCs w:val="18"/>
              </w:rPr>
              <w:t>Nationaler Dienst für Saatgutinspektion und -zertifizierung und Postgraduierten</w:t>
            </w:r>
            <w:r>
              <w:rPr>
                <w:sz w:val="16"/>
                <w:szCs w:val="18"/>
              </w:rPr>
              <w:t>-</w:t>
            </w:r>
            <w:r w:rsidRPr="006F559C">
              <w:rPr>
                <w:sz w:val="16"/>
                <w:szCs w:val="18"/>
              </w:rPr>
              <w:t>kolleg</w:t>
            </w:r>
          </w:p>
        </w:tc>
        <w:tc>
          <w:tcPr>
            <w:tcW w:w="1701" w:type="dxa"/>
          </w:tcPr>
          <w:p w14:paraId="70A38935" w14:textId="77777777" w:rsidR="00766AF5" w:rsidRDefault="00766AF5" w:rsidP="00C30F9D">
            <w:pPr>
              <w:jc w:val="left"/>
              <w:rPr>
                <w:sz w:val="16"/>
                <w:szCs w:val="18"/>
              </w:rPr>
            </w:pPr>
            <w:r w:rsidRPr="006F559C">
              <w:rPr>
                <w:sz w:val="16"/>
                <w:szCs w:val="18"/>
              </w:rPr>
              <w:t>Vermittlung des erforderlichen technischen und administrativen Hintergrunds für die Verwaltung der landwirtschaftlichen genetischen Vielfalt, die Registrierung von Pflanzeninnovationen und die Saatguterzeugung.</w:t>
            </w:r>
          </w:p>
        </w:tc>
        <w:tc>
          <w:tcPr>
            <w:tcW w:w="1843" w:type="dxa"/>
          </w:tcPr>
          <w:p w14:paraId="4CD39D48" w14:textId="77777777" w:rsidR="00766AF5" w:rsidRDefault="00766AF5" w:rsidP="00C30F9D">
            <w:pPr>
              <w:jc w:val="left"/>
              <w:rPr>
                <w:sz w:val="16"/>
                <w:szCs w:val="18"/>
              </w:rPr>
            </w:pPr>
            <w:r w:rsidRPr="006F559C">
              <w:rPr>
                <w:sz w:val="16"/>
                <w:szCs w:val="18"/>
              </w:rPr>
              <w:t>Mexiko</w:t>
            </w:r>
          </w:p>
        </w:tc>
        <w:tc>
          <w:tcPr>
            <w:tcW w:w="1388" w:type="dxa"/>
          </w:tcPr>
          <w:p w14:paraId="6D45A3B4" w14:textId="77777777" w:rsidR="00766AF5" w:rsidRDefault="00766AF5" w:rsidP="00C30F9D">
            <w:pPr>
              <w:jc w:val="left"/>
              <w:rPr>
                <w:sz w:val="16"/>
                <w:szCs w:val="18"/>
              </w:rPr>
            </w:pPr>
            <w:r w:rsidRPr="006F559C">
              <w:rPr>
                <w:sz w:val="16"/>
                <w:szCs w:val="18"/>
              </w:rPr>
              <w:t>Aufgrund des Interesses der Workshop-Teilnehmer wird vorgeschlagen, die Fortbildung von Studenten, Lehrern und Forschern des Kollegs fortzusetzen.</w:t>
            </w:r>
          </w:p>
        </w:tc>
      </w:tr>
      <w:tr w:rsidR="00766AF5" w:rsidRPr="006F559C" w14:paraId="0301CDD9" w14:textId="77777777" w:rsidTr="00766AF5">
        <w:trPr>
          <w:cantSplit/>
        </w:trPr>
        <w:tc>
          <w:tcPr>
            <w:tcW w:w="1413" w:type="dxa"/>
          </w:tcPr>
          <w:p w14:paraId="356759CC" w14:textId="77777777" w:rsidR="00766AF5" w:rsidRDefault="00766AF5" w:rsidP="00C30F9D">
            <w:pPr>
              <w:pStyle w:val="BodyText"/>
              <w:jc w:val="left"/>
              <w:rPr>
                <w:sz w:val="16"/>
                <w:szCs w:val="18"/>
              </w:rPr>
            </w:pPr>
            <w:r w:rsidRPr="006F559C">
              <w:rPr>
                <w:sz w:val="16"/>
                <w:szCs w:val="18"/>
              </w:rPr>
              <w:t>2. Kurs: Management der landwirtschaftlichen genetischen Vielfalt, Registrierung von Pflanzeninnovationen und Saatguterzeugung</w:t>
            </w:r>
          </w:p>
        </w:tc>
        <w:tc>
          <w:tcPr>
            <w:tcW w:w="1134" w:type="dxa"/>
          </w:tcPr>
          <w:p w14:paraId="58ECBB2D" w14:textId="77777777" w:rsidR="00766AF5" w:rsidRDefault="00766AF5" w:rsidP="00C30F9D">
            <w:pPr>
              <w:jc w:val="left"/>
              <w:rPr>
                <w:sz w:val="16"/>
                <w:szCs w:val="18"/>
              </w:rPr>
            </w:pPr>
            <w:r w:rsidRPr="006F559C">
              <w:rPr>
                <w:sz w:val="16"/>
                <w:szCs w:val="18"/>
              </w:rPr>
              <w:t>2. bis 4. Mai 2023</w:t>
            </w:r>
          </w:p>
        </w:tc>
        <w:tc>
          <w:tcPr>
            <w:tcW w:w="1276" w:type="dxa"/>
          </w:tcPr>
          <w:p w14:paraId="0CD5A5E9" w14:textId="77777777" w:rsidR="00766AF5" w:rsidRDefault="00766AF5" w:rsidP="00C30F9D">
            <w:pPr>
              <w:jc w:val="left"/>
              <w:rPr>
                <w:sz w:val="16"/>
                <w:szCs w:val="18"/>
              </w:rPr>
            </w:pPr>
            <w:r w:rsidRPr="006F559C">
              <w:rPr>
                <w:sz w:val="16"/>
                <w:szCs w:val="18"/>
              </w:rPr>
              <w:t>Polytechnische Universität Francisco I. Madero, Hidalgo, Mexiko</w:t>
            </w:r>
          </w:p>
        </w:tc>
        <w:tc>
          <w:tcPr>
            <w:tcW w:w="1417" w:type="dxa"/>
          </w:tcPr>
          <w:p w14:paraId="7B4A9915" w14:textId="77777777" w:rsidR="00766AF5" w:rsidRDefault="00766AF5" w:rsidP="00C30F9D">
            <w:pPr>
              <w:jc w:val="left"/>
              <w:rPr>
                <w:sz w:val="16"/>
                <w:szCs w:val="18"/>
              </w:rPr>
            </w:pPr>
            <w:r w:rsidRPr="006F559C">
              <w:rPr>
                <w:sz w:val="16"/>
                <w:szCs w:val="18"/>
              </w:rPr>
              <w:t>Nationale Behörde für Saatgutinspektion und -zertifizierung und die Polytechnische Universität von</w:t>
            </w:r>
          </w:p>
        </w:tc>
        <w:tc>
          <w:tcPr>
            <w:tcW w:w="1701" w:type="dxa"/>
          </w:tcPr>
          <w:p w14:paraId="77DFB8BB" w14:textId="77777777" w:rsidR="00766AF5" w:rsidRDefault="00766AF5" w:rsidP="00C30F9D">
            <w:pPr>
              <w:jc w:val="left"/>
              <w:rPr>
                <w:sz w:val="16"/>
                <w:szCs w:val="18"/>
              </w:rPr>
            </w:pPr>
            <w:r w:rsidRPr="006F559C">
              <w:rPr>
                <w:sz w:val="16"/>
                <w:szCs w:val="18"/>
              </w:rPr>
              <w:t>Vermittlung des erforderlichen technischen und administrativen Hintergrunds für die Verwaltung der landwirtschaftlichen genetischen Vielfalt, die Registrierung von Pflanzeninnovationen und die Saatguterzeugung.</w:t>
            </w:r>
          </w:p>
        </w:tc>
        <w:tc>
          <w:tcPr>
            <w:tcW w:w="1843" w:type="dxa"/>
          </w:tcPr>
          <w:p w14:paraId="5CBED2BF" w14:textId="77777777" w:rsidR="00766AF5" w:rsidRDefault="00766AF5" w:rsidP="00C30F9D">
            <w:pPr>
              <w:jc w:val="left"/>
              <w:rPr>
                <w:sz w:val="16"/>
                <w:szCs w:val="18"/>
              </w:rPr>
            </w:pPr>
            <w:r w:rsidRPr="006F559C">
              <w:rPr>
                <w:sz w:val="16"/>
                <w:szCs w:val="18"/>
              </w:rPr>
              <w:t>Mexiko</w:t>
            </w:r>
          </w:p>
        </w:tc>
        <w:tc>
          <w:tcPr>
            <w:tcW w:w="1388" w:type="dxa"/>
          </w:tcPr>
          <w:p w14:paraId="1FA7CA1F" w14:textId="77777777" w:rsidR="00766AF5" w:rsidRDefault="00766AF5" w:rsidP="00C30F9D">
            <w:pPr>
              <w:jc w:val="left"/>
              <w:rPr>
                <w:sz w:val="16"/>
                <w:szCs w:val="18"/>
              </w:rPr>
            </w:pPr>
            <w:r w:rsidRPr="006F559C">
              <w:rPr>
                <w:sz w:val="16"/>
                <w:szCs w:val="18"/>
              </w:rPr>
              <w:t>Aufgrund des Interesses der Workshop-Teilnehmer wird vorgeschlagen, die Fortbildung von Studenten, Lehrern und Forschern der Universität fortzusetzen.</w:t>
            </w:r>
          </w:p>
        </w:tc>
      </w:tr>
      <w:tr w:rsidR="00766AF5" w:rsidRPr="006F559C" w14:paraId="12D4153E" w14:textId="77777777" w:rsidTr="00766AF5">
        <w:trPr>
          <w:cantSplit/>
        </w:trPr>
        <w:tc>
          <w:tcPr>
            <w:tcW w:w="1413" w:type="dxa"/>
          </w:tcPr>
          <w:p w14:paraId="7742B55A" w14:textId="72728F48" w:rsidR="00766AF5" w:rsidRDefault="00766AF5" w:rsidP="00C30F9D">
            <w:pPr>
              <w:jc w:val="left"/>
              <w:rPr>
                <w:sz w:val="16"/>
                <w:szCs w:val="18"/>
              </w:rPr>
            </w:pPr>
            <w:r>
              <w:rPr>
                <w:sz w:val="16"/>
                <w:szCs w:val="18"/>
              </w:rPr>
              <w:t xml:space="preserve">3. </w:t>
            </w:r>
            <w:r w:rsidRPr="006F559C">
              <w:rPr>
                <w:sz w:val="16"/>
                <w:szCs w:val="18"/>
              </w:rPr>
              <w:t>Arbeitstagung</w:t>
            </w:r>
            <w:r w:rsidRPr="006F559C">
              <w:rPr>
                <w:sz w:val="16"/>
                <w:szCs w:val="18"/>
              </w:rPr>
              <w:t>: Eintragung von Pflanzensorten in Mexiko</w:t>
            </w:r>
          </w:p>
          <w:p w14:paraId="55342E64" w14:textId="77777777" w:rsidR="00766AF5" w:rsidRPr="006F559C" w:rsidRDefault="00766AF5" w:rsidP="00C30F9D">
            <w:pPr>
              <w:jc w:val="left"/>
              <w:rPr>
                <w:sz w:val="16"/>
                <w:szCs w:val="18"/>
              </w:rPr>
            </w:pPr>
          </w:p>
        </w:tc>
        <w:tc>
          <w:tcPr>
            <w:tcW w:w="1134" w:type="dxa"/>
          </w:tcPr>
          <w:p w14:paraId="4DE48413" w14:textId="77777777" w:rsidR="00766AF5" w:rsidRDefault="00766AF5" w:rsidP="00C30F9D">
            <w:pPr>
              <w:jc w:val="left"/>
              <w:rPr>
                <w:sz w:val="16"/>
                <w:szCs w:val="18"/>
              </w:rPr>
            </w:pPr>
            <w:r w:rsidRPr="006F559C">
              <w:rPr>
                <w:sz w:val="16"/>
                <w:szCs w:val="18"/>
              </w:rPr>
              <w:t xml:space="preserve">14. </w:t>
            </w:r>
            <w:r>
              <w:rPr>
                <w:sz w:val="16"/>
                <w:szCs w:val="18"/>
              </w:rPr>
              <w:t xml:space="preserve">und </w:t>
            </w:r>
            <w:r w:rsidRPr="006F559C">
              <w:rPr>
                <w:sz w:val="16"/>
                <w:szCs w:val="18"/>
              </w:rPr>
              <w:t>15. Juni 2023</w:t>
            </w:r>
          </w:p>
        </w:tc>
        <w:tc>
          <w:tcPr>
            <w:tcW w:w="1276" w:type="dxa"/>
          </w:tcPr>
          <w:p w14:paraId="52ABAD42" w14:textId="77777777" w:rsidR="00766AF5" w:rsidRDefault="00766AF5" w:rsidP="00C30F9D">
            <w:pPr>
              <w:jc w:val="left"/>
              <w:rPr>
                <w:sz w:val="16"/>
                <w:szCs w:val="18"/>
              </w:rPr>
            </w:pPr>
            <w:r w:rsidRPr="006F559C">
              <w:rPr>
                <w:sz w:val="16"/>
                <w:szCs w:val="18"/>
              </w:rPr>
              <w:t>Online-Modalität: über die meet-Plattform.</w:t>
            </w:r>
          </w:p>
        </w:tc>
        <w:tc>
          <w:tcPr>
            <w:tcW w:w="1417" w:type="dxa"/>
          </w:tcPr>
          <w:p w14:paraId="1F22AD72" w14:textId="77777777" w:rsidR="00766AF5" w:rsidRDefault="00766AF5" w:rsidP="00C30F9D">
            <w:pPr>
              <w:jc w:val="left"/>
              <w:rPr>
                <w:sz w:val="16"/>
                <w:szCs w:val="18"/>
              </w:rPr>
            </w:pPr>
            <w:r w:rsidRPr="006F559C">
              <w:rPr>
                <w:sz w:val="16"/>
                <w:szCs w:val="18"/>
              </w:rPr>
              <w:t>Servicio Nacional de Inspección y Certificación de Semillas und Asociación Mexicana de Semilleros A.C.</w:t>
            </w:r>
          </w:p>
        </w:tc>
        <w:tc>
          <w:tcPr>
            <w:tcW w:w="1701" w:type="dxa"/>
          </w:tcPr>
          <w:p w14:paraId="1064BA8B" w14:textId="77777777" w:rsidR="00766AF5" w:rsidRDefault="00766AF5" w:rsidP="00C30F9D">
            <w:pPr>
              <w:jc w:val="left"/>
              <w:rPr>
                <w:sz w:val="16"/>
                <w:szCs w:val="18"/>
              </w:rPr>
            </w:pPr>
            <w:r w:rsidRPr="006F559C">
              <w:rPr>
                <w:sz w:val="16"/>
                <w:szCs w:val="18"/>
              </w:rPr>
              <w:t>Den Antragstellern die technischen und administrativen Grundlagen für die Einreichung von Sortenschutzanträgen zu vermitteln.</w:t>
            </w:r>
          </w:p>
        </w:tc>
        <w:tc>
          <w:tcPr>
            <w:tcW w:w="1843" w:type="dxa"/>
          </w:tcPr>
          <w:p w14:paraId="03552EF5" w14:textId="77777777" w:rsidR="00766AF5" w:rsidRDefault="00766AF5" w:rsidP="00C30F9D">
            <w:pPr>
              <w:jc w:val="left"/>
              <w:rPr>
                <w:sz w:val="16"/>
                <w:szCs w:val="18"/>
              </w:rPr>
            </w:pPr>
            <w:r w:rsidRPr="006F559C">
              <w:rPr>
                <w:sz w:val="16"/>
                <w:szCs w:val="18"/>
              </w:rPr>
              <w:t>Mexiko</w:t>
            </w:r>
          </w:p>
        </w:tc>
        <w:tc>
          <w:tcPr>
            <w:tcW w:w="1388" w:type="dxa"/>
          </w:tcPr>
          <w:p w14:paraId="75F712EA" w14:textId="77777777" w:rsidR="00766AF5" w:rsidRDefault="00766AF5" w:rsidP="00C30F9D">
            <w:pPr>
              <w:jc w:val="left"/>
              <w:rPr>
                <w:sz w:val="16"/>
                <w:szCs w:val="18"/>
              </w:rPr>
            </w:pPr>
            <w:r w:rsidRPr="006F559C">
              <w:rPr>
                <w:sz w:val="16"/>
                <w:szCs w:val="18"/>
              </w:rPr>
              <w:t>Aufgrund des Interesses der Unternehmen an den auf dem Workshop behandelten Themen wird vorgeschlagen, die Fortbildung für die Unternehmen fortzusetzen.</w:t>
            </w:r>
          </w:p>
          <w:p w14:paraId="229D97C5" w14:textId="77777777" w:rsidR="00766AF5" w:rsidRPr="006F559C" w:rsidRDefault="00766AF5" w:rsidP="00C30F9D">
            <w:pPr>
              <w:jc w:val="left"/>
              <w:rPr>
                <w:sz w:val="16"/>
                <w:szCs w:val="18"/>
              </w:rPr>
            </w:pPr>
          </w:p>
        </w:tc>
      </w:tr>
    </w:tbl>
    <w:p w14:paraId="6D3FB999" w14:textId="77777777" w:rsidR="00766AF5" w:rsidRPr="006F559C" w:rsidRDefault="00766AF5" w:rsidP="00766AF5"/>
    <w:p w14:paraId="6690D6AC" w14:textId="77777777" w:rsidR="00424F87" w:rsidRPr="00A43EA1" w:rsidRDefault="00424F87" w:rsidP="00424F87">
      <w:pPr>
        <w:jc w:val="left"/>
      </w:pPr>
    </w:p>
    <w:p w14:paraId="5D88685D" w14:textId="77777777" w:rsidR="00424F87" w:rsidRPr="00A43EA1" w:rsidRDefault="00424F87" w:rsidP="00424F87">
      <w:pPr>
        <w:jc w:val="left"/>
      </w:pPr>
    </w:p>
    <w:p w14:paraId="5518967E" w14:textId="6416C676" w:rsidR="00424F87" w:rsidRPr="00A43EA1" w:rsidRDefault="00424F87" w:rsidP="00424F87">
      <w:pPr>
        <w:jc w:val="right"/>
      </w:pPr>
      <w:r w:rsidRPr="00A43EA1">
        <w:t>[</w:t>
      </w:r>
      <w:r w:rsidR="009E6E5A">
        <w:t>Anlage</w:t>
      </w:r>
      <w:r w:rsidRPr="00A43EA1">
        <w:t xml:space="preserve"> XII folgt]</w:t>
      </w:r>
    </w:p>
    <w:p w14:paraId="2B525064" w14:textId="77777777" w:rsidR="00424F87" w:rsidRPr="00A43EA1" w:rsidRDefault="00424F87" w:rsidP="00424F87">
      <w:pPr>
        <w:jc w:val="center"/>
      </w:pPr>
    </w:p>
    <w:p w14:paraId="0FE2E665" w14:textId="77777777" w:rsidR="00424F87" w:rsidRPr="00A43EA1" w:rsidRDefault="00424F87" w:rsidP="00424F87">
      <w:pPr>
        <w:jc w:val="center"/>
        <w:sectPr w:rsidR="00424F87" w:rsidRPr="00A43EA1" w:rsidSect="000B2CE0">
          <w:pgSz w:w="11907" w:h="16840" w:code="9"/>
          <w:pgMar w:top="510" w:right="1134" w:bottom="568" w:left="1134" w:header="510" w:footer="680" w:gutter="0"/>
          <w:pgNumType w:start="1"/>
          <w:cols w:space="720"/>
          <w:titlePg/>
        </w:sectPr>
      </w:pPr>
    </w:p>
    <w:p w14:paraId="0EAD70E9" w14:textId="77777777" w:rsidR="00424F87" w:rsidRPr="00A43EA1" w:rsidRDefault="00424F87" w:rsidP="00424F87">
      <w:pPr>
        <w:jc w:val="center"/>
      </w:pPr>
      <w:r w:rsidRPr="00A43EA1">
        <w:lastRenderedPageBreak/>
        <w:t>C/57/13</w:t>
      </w:r>
    </w:p>
    <w:p w14:paraId="2ED1414F" w14:textId="77777777" w:rsidR="00424F87" w:rsidRPr="00A43EA1" w:rsidRDefault="00424F87" w:rsidP="00424F87">
      <w:pPr>
        <w:jc w:val="center"/>
      </w:pPr>
    </w:p>
    <w:p w14:paraId="2CC3430D" w14:textId="1C86C8B0" w:rsidR="00424F87" w:rsidRPr="00A43EA1" w:rsidRDefault="009E6E5A" w:rsidP="00424F87">
      <w:pPr>
        <w:jc w:val="center"/>
      </w:pPr>
      <w:r>
        <w:t>ANLAGE</w:t>
      </w:r>
      <w:r w:rsidR="00424F87" w:rsidRPr="00A43EA1">
        <w:t xml:space="preserve"> XII</w:t>
      </w:r>
    </w:p>
    <w:p w14:paraId="59F00AE9" w14:textId="77777777" w:rsidR="00424F87" w:rsidRPr="00A43EA1" w:rsidRDefault="00424F87" w:rsidP="00424F87">
      <w:pPr>
        <w:jc w:val="center"/>
      </w:pPr>
    </w:p>
    <w:p w14:paraId="68DF6788" w14:textId="77777777" w:rsidR="00424F87" w:rsidRPr="00A43EA1" w:rsidRDefault="00424F87" w:rsidP="00424F87">
      <w:pPr>
        <w:jc w:val="center"/>
      </w:pPr>
    </w:p>
    <w:p w14:paraId="5D93B2E8" w14:textId="77777777" w:rsidR="00424F87" w:rsidRPr="00A43EA1" w:rsidRDefault="00424F87" w:rsidP="00424F87">
      <w:pPr>
        <w:jc w:val="center"/>
      </w:pPr>
      <w:r w:rsidRPr="00A43EA1">
        <w:t>NEUSEELAND</w:t>
      </w:r>
    </w:p>
    <w:p w14:paraId="4A9C4BA3" w14:textId="77777777" w:rsidR="00424F87" w:rsidRPr="00A43EA1" w:rsidRDefault="00424F87" w:rsidP="00424F87">
      <w:pPr>
        <w:jc w:val="center"/>
      </w:pPr>
      <w:r w:rsidRPr="00A43EA1">
        <w:t>(Originalsprache: englisch)</w:t>
      </w:r>
    </w:p>
    <w:p w14:paraId="690E8D2B" w14:textId="77777777" w:rsidR="00424F87" w:rsidRPr="00A43EA1" w:rsidRDefault="00424F87" w:rsidP="00424F87"/>
    <w:p w14:paraId="6E4AAC78"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2B3EA51A" w14:textId="77777777" w:rsidR="00424F87" w:rsidRPr="00A43EA1" w:rsidRDefault="00424F87" w:rsidP="00424F87">
      <w:r w:rsidRPr="00A43EA1">
        <w:t>SORTENSCHUTZ</w:t>
      </w:r>
    </w:p>
    <w:p w14:paraId="1D508E7E" w14:textId="77777777" w:rsidR="00424F87" w:rsidRPr="00A43EA1" w:rsidRDefault="00424F87" w:rsidP="00424F87"/>
    <w:p w14:paraId="36774C85" w14:textId="77777777" w:rsidR="00424F87" w:rsidRPr="00A43EA1" w:rsidRDefault="00424F87" w:rsidP="00424F87">
      <w:r w:rsidRPr="00A43EA1">
        <w:t>1.</w:t>
      </w:r>
      <w:r w:rsidRPr="00A43EA1">
        <w:tab/>
      </w:r>
      <w:r w:rsidRPr="00A43EA1">
        <w:rPr>
          <w:u w:val="single"/>
        </w:rPr>
        <w:t>Lage auf dem Gebiet der Gesetzgebung</w:t>
      </w:r>
    </w:p>
    <w:p w14:paraId="19BF4E81" w14:textId="77777777" w:rsidR="00424F87" w:rsidRPr="00A43EA1" w:rsidRDefault="00424F87" w:rsidP="00424F87"/>
    <w:p w14:paraId="5B336994" w14:textId="77777777" w:rsidR="00424F87" w:rsidRPr="00A43EA1" w:rsidRDefault="00424F87" w:rsidP="00424F87">
      <w:pPr>
        <w:rPr>
          <w:b/>
          <w:bCs/>
        </w:rPr>
      </w:pPr>
      <w:r w:rsidRPr="00A43EA1">
        <w:rPr>
          <w:b/>
          <w:bCs/>
        </w:rPr>
        <w:t>Ein neues Gesetz</w:t>
      </w:r>
    </w:p>
    <w:p w14:paraId="5E662DE0" w14:textId="77777777" w:rsidR="00424F87" w:rsidRPr="00A43EA1" w:rsidRDefault="00424F87" w:rsidP="00424F87"/>
    <w:p w14:paraId="10FAE5C9" w14:textId="77777777" w:rsidR="00424F87" w:rsidRPr="00A43EA1" w:rsidRDefault="00424F87" w:rsidP="00424F87">
      <w:r w:rsidRPr="00A43EA1">
        <w:t>Der Gesetzentwurf über den Sortenschutz wurde am 16. November 2022 in dritter Lesung verabschiedet und erhielt am 18. November die königliche Zustimmung, so dass er zum Sortenschutzgesetz 2022 ("das neue Gesetz") wurde.</w:t>
      </w:r>
    </w:p>
    <w:p w14:paraId="044E09B8" w14:textId="77777777" w:rsidR="00424F87" w:rsidRPr="00A43EA1" w:rsidRDefault="00424F87" w:rsidP="00424F87"/>
    <w:p w14:paraId="40D78613" w14:textId="77777777" w:rsidR="00424F87" w:rsidRPr="00A43EA1" w:rsidRDefault="00424F87" w:rsidP="00424F87">
      <w:r w:rsidRPr="00A43EA1">
        <w:rPr>
          <w:b/>
          <w:bCs/>
        </w:rPr>
        <w:t xml:space="preserve">Das Sortenschutzgesetz 2022 </w:t>
      </w:r>
      <w:r w:rsidRPr="00A43EA1">
        <w:t xml:space="preserve">und die </w:t>
      </w:r>
      <w:r w:rsidRPr="00A43EA1">
        <w:rPr>
          <w:b/>
          <w:bCs/>
        </w:rPr>
        <w:t xml:space="preserve">Sortenschutzverordnung 2022 </w:t>
      </w:r>
      <w:r w:rsidRPr="00A43EA1">
        <w:t xml:space="preserve">sind auf der Website der neuseeländischen Gesetzgebung </w:t>
      </w:r>
      <w:hyperlink r:id="rId30" w:history="1">
        <w:r w:rsidRPr="00A43EA1">
          <w:rPr>
            <w:rStyle w:val="Hyperlink"/>
          </w:rPr>
          <w:t>www.legislation.govt.nz</w:t>
        </w:r>
      </w:hyperlink>
      <w:r w:rsidRPr="00A43EA1">
        <w:t xml:space="preserve"> verfügbar.</w:t>
      </w:r>
    </w:p>
    <w:p w14:paraId="273F6384" w14:textId="77777777" w:rsidR="00424F87" w:rsidRPr="00A43EA1" w:rsidRDefault="00424F87" w:rsidP="00424F87"/>
    <w:p w14:paraId="45D985E9" w14:textId="77777777" w:rsidR="00424F87" w:rsidRPr="00A43EA1" w:rsidRDefault="00424F87" w:rsidP="00424F87">
      <w:pPr>
        <w:rPr>
          <w:rFonts w:eastAsia="Calibri"/>
        </w:rPr>
      </w:pPr>
      <w:r w:rsidRPr="00A43EA1">
        <w:t>Das neue Gesetz schafft ein neues, modernes Sortenschutzsystem, das den Verpflichtungen gegenüber den Māori gemäß dem Vertrag von Waitangi nachkommt. Darüber hinaus ermöglicht es Neuseeland, die internationalen Handelsverpflichtungen im Rahmen des Umfassenden und fortschrittlichen Abkommens für die Transpazifische Partnerschaft (CPTPP) zu erfüllen.</w:t>
      </w:r>
    </w:p>
    <w:p w14:paraId="44F31602" w14:textId="77777777" w:rsidR="00424F87" w:rsidRPr="00A43EA1" w:rsidRDefault="00424F87" w:rsidP="00424F87"/>
    <w:p w14:paraId="3CA026D0" w14:textId="77777777" w:rsidR="00424F87" w:rsidRPr="00A43EA1" w:rsidRDefault="00424F87" w:rsidP="00424F87">
      <w:r w:rsidRPr="00A43EA1">
        <w:t>Das neue Gesetz und seine Verordnungen treten am 24. Januar 2023 in Kraft, mit Ausnahme von Teil 5 Unterabschnitt 3 des neuen Gesetzes. Dies beinhaltet die folgenden wesentlichen Änderungen:</w:t>
      </w:r>
    </w:p>
    <w:p w14:paraId="66FDDC77" w14:textId="77777777" w:rsidR="00424F87" w:rsidRPr="00A43EA1" w:rsidRDefault="00424F87" w:rsidP="00424F87"/>
    <w:p w14:paraId="33FFB871" w14:textId="77777777" w:rsidR="00424F87" w:rsidRPr="00A43EA1" w:rsidRDefault="00424F87" w:rsidP="00424F87">
      <w:r w:rsidRPr="00A43EA1">
        <w:t>Das Sortenschutzgesetz 2022 wird die in der UPOV 91 vorgesehenen erweiterten ausschließlichen Rechte umsetzen, darunter auch die</w:t>
      </w:r>
    </w:p>
    <w:p w14:paraId="7453A083" w14:textId="77777777" w:rsidR="00424F87" w:rsidRPr="00A43EA1" w:rsidRDefault="00424F87" w:rsidP="00424F87"/>
    <w:p w14:paraId="4741BD25" w14:textId="77777777" w:rsidR="00424F87" w:rsidRPr="00A43EA1" w:rsidRDefault="00424F87" w:rsidP="00424F87">
      <w:pPr>
        <w:pStyle w:val="ListParagraph"/>
        <w:numPr>
          <w:ilvl w:val="0"/>
          <w:numId w:val="9"/>
        </w:numPr>
        <w:rPr>
          <w:lang w:val="de-DE"/>
        </w:rPr>
      </w:pPr>
      <w:r w:rsidRPr="00A43EA1">
        <w:rPr>
          <w:lang w:val="de-DE"/>
        </w:rPr>
        <w:t>Die Ausweitung der Rechte auf das Inverkehrbringen, die Ausfuhr, die Einfuhr und die Aufbereitung von Vermehrungsmaterial.</w:t>
      </w:r>
    </w:p>
    <w:p w14:paraId="40022283" w14:textId="77777777" w:rsidR="00424F87" w:rsidRPr="00A43EA1" w:rsidRDefault="00424F87" w:rsidP="00424F87">
      <w:pPr>
        <w:pStyle w:val="ListParagraph"/>
        <w:numPr>
          <w:ilvl w:val="0"/>
          <w:numId w:val="9"/>
        </w:numPr>
        <w:rPr>
          <w:lang w:val="de-DE"/>
        </w:rPr>
      </w:pPr>
      <w:r w:rsidRPr="00A43EA1">
        <w:rPr>
          <w:lang w:val="de-DE"/>
        </w:rPr>
        <w:t>Die Ausdehnung dieser Rechte auf "im Wesentlichen abgeleitete Sorten".</w:t>
      </w:r>
    </w:p>
    <w:p w14:paraId="2CF2CEE9" w14:textId="77777777" w:rsidR="00424F87" w:rsidRPr="00A43EA1" w:rsidRDefault="00424F87" w:rsidP="00424F87">
      <w:pPr>
        <w:pStyle w:val="ListParagraph"/>
        <w:numPr>
          <w:ilvl w:val="0"/>
          <w:numId w:val="9"/>
        </w:numPr>
        <w:rPr>
          <w:lang w:val="de-DE"/>
        </w:rPr>
      </w:pPr>
      <w:r w:rsidRPr="00A43EA1">
        <w:rPr>
          <w:lang w:val="de-DE"/>
        </w:rPr>
        <w:t>Die Ausweitung dieser Rechte auf geerntetes Material in bestimmten Situationen.</w:t>
      </w:r>
    </w:p>
    <w:p w14:paraId="79F899E2" w14:textId="77777777" w:rsidR="00424F87" w:rsidRPr="00A43EA1" w:rsidRDefault="00424F87" w:rsidP="00424F87">
      <w:pPr>
        <w:pStyle w:val="ListParagraph"/>
        <w:numPr>
          <w:ilvl w:val="0"/>
          <w:numId w:val="9"/>
        </w:numPr>
        <w:rPr>
          <w:lang w:val="de-DE"/>
        </w:rPr>
      </w:pPr>
      <w:r w:rsidRPr="00A43EA1">
        <w:rPr>
          <w:lang w:val="de-DE"/>
        </w:rPr>
        <w:t>Die Beibehaltung der bestehenden Bestimmungen für Nachbausaatgut, da Nachbausaatgut von den neuen Rechten ausgenommen ist.</w:t>
      </w:r>
    </w:p>
    <w:p w14:paraId="513459C1" w14:textId="77777777" w:rsidR="00424F87" w:rsidRPr="00A43EA1" w:rsidRDefault="00424F87" w:rsidP="00424F87">
      <w:pPr>
        <w:pStyle w:val="ListParagraph"/>
        <w:numPr>
          <w:ilvl w:val="0"/>
          <w:numId w:val="9"/>
        </w:numPr>
        <w:rPr>
          <w:lang w:val="de-DE"/>
        </w:rPr>
      </w:pPr>
      <w:r w:rsidRPr="00A43EA1">
        <w:rPr>
          <w:lang w:val="de-DE"/>
        </w:rPr>
        <w:t>Die Einführung einer Prüfung des öffentlichen Interesses an Zwangslizenzen.</w:t>
      </w:r>
    </w:p>
    <w:p w14:paraId="60641542" w14:textId="77777777" w:rsidR="00424F87" w:rsidRPr="00A43EA1" w:rsidRDefault="00424F87" w:rsidP="00424F87"/>
    <w:p w14:paraId="7A905E23" w14:textId="77777777" w:rsidR="00424F87" w:rsidRPr="00A43EA1" w:rsidRDefault="00424F87" w:rsidP="00424F87">
      <w:r w:rsidRPr="00A43EA1">
        <w:t>Mit dem neuen Gesetz werden Änderungen entsprechend den Empfehlungen des Wai 262-Berichts umgesetzt, darunter die Einrichtung eines Māori-Sortenausschusses. Dieser Ausschuss wird die frühzeitige Zusammenarbeit zwischen den Züchtern einheimischer Pflanzenarten und den Kaitiaki unterstützen, die Auswirkungen einer Züchterrechtserteilung auf die Beziehungen zu den Kaitiaki bewerten und entscheiden, ob bestimmte Anträge weiterverfolgt werden sollten oder nicht.</w:t>
      </w:r>
    </w:p>
    <w:p w14:paraId="0F786AC4" w14:textId="77777777" w:rsidR="00424F87" w:rsidRPr="00A43EA1" w:rsidRDefault="00424F87" w:rsidP="00424F87"/>
    <w:p w14:paraId="19A49308" w14:textId="77777777" w:rsidR="00424F87" w:rsidRPr="00A43EA1" w:rsidRDefault="00424F87" w:rsidP="00424F87">
      <w:pPr>
        <w:rPr>
          <w:b/>
          <w:bCs/>
        </w:rPr>
      </w:pPr>
      <w:r w:rsidRPr="00A43EA1">
        <w:rPr>
          <w:b/>
          <w:bCs/>
        </w:rPr>
        <w:t xml:space="preserve">Gebühren für den Sortenschutz </w:t>
      </w:r>
    </w:p>
    <w:p w14:paraId="59A96BBA" w14:textId="77777777" w:rsidR="00424F87" w:rsidRPr="00A43EA1" w:rsidRDefault="00424F87" w:rsidP="00424F87">
      <w:pPr>
        <w:rPr>
          <w:rFonts w:eastAsia="Calibri"/>
        </w:rPr>
      </w:pPr>
    </w:p>
    <w:p w14:paraId="5396A5E5" w14:textId="77777777" w:rsidR="00424F87" w:rsidRPr="00A43EA1" w:rsidRDefault="00424F87" w:rsidP="00424F87">
      <w:r w:rsidRPr="00A43EA1">
        <w:t xml:space="preserve">Im Einklang mit dem Inkrafttreten des neuen Sortenschutzgesetzes 2022 und seiner Verordnungen trat am 24. Januar 2023 auch eine neue Gebührenordnung in Kraft. Die neuen Gebühren sind verfügbar unter </w:t>
      </w:r>
      <w:hyperlink r:id="rId31" w:history="1">
        <w:r w:rsidRPr="00A43EA1">
          <w:rPr>
            <w:rStyle w:val="Hyperlink"/>
          </w:rPr>
          <w:t>Plant Variety Rights fees | Intellectual Property Office of New Zealand (iponz.govt.nz)</w:t>
        </w:r>
      </w:hyperlink>
    </w:p>
    <w:p w14:paraId="55672E89" w14:textId="77777777" w:rsidR="00424F87" w:rsidRPr="00A43EA1" w:rsidRDefault="00424F87" w:rsidP="00424F87"/>
    <w:p w14:paraId="727130A2" w14:textId="77777777" w:rsidR="00424F87" w:rsidRPr="00A43EA1" w:rsidRDefault="00424F87" w:rsidP="00424F87">
      <w:pPr>
        <w:rPr>
          <w:rFonts w:eastAsia="Calibri"/>
        </w:rPr>
      </w:pPr>
      <w:r w:rsidRPr="00A43EA1">
        <w:t>Die neue Gebührenordnung ist das Ergebnis einer Überprüfung der derzeitigen Kosten der vom IPONZ über das Sortenschutzamt erbrachten Dienstleistungen. Im Zusammenhang mit diesen neuen Gebühren wurden mehrere Aspekte geprüft, einschließlich, aber nicht beschränkt auf die folgenden:</w:t>
      </w:r>
    </w:p>
    <w:p w14:paraId="7B63A225" w14:textId="77777777" w:rsidR="00424F87" w:rsidRPr="00A43EA1" w:rsidRDefault="00424F87" w:rsidP="00424F87"/>
    <w:p w14:paraId="385069D7" w14:textId="77777777" w:rsidR="00424F87" w:rsidRPr="00A43EA1" w:rsidRDefault="00424F87" w:rsidP="00424F87">
      <w:pPr>
        <w:pStyle w:val="ListParagraph"/>
        <w:numPr>
          <w:ilvl w:val="0"/>
          <w:numId w:val="10"/>
        </w:numPr>
        <w:rPr>
          <w:lang w:val="de-DE"/>
        </w:rPr>
      </w:pPr>
      <w:r w:rsidRPr="00A43EA1">
        <w:rPr>
          <w:lang w:val="de-DE"/>
        </w:rPr>
        <w:t>Die Gebühren für Sortenschutzrechte wurden zuletzt im Jahr 2002 überprüft, und die seither gestiegenen Kosten haben zu erheblichen jährlichen Defiziten beim Sortenschutzamt geführt.</w:t>
      </w:r>
    </w:p>
    <w:p w14:paraId="7FF93571" w14:textId="77777777" w:rsidR="00424F87" w:rsidRPr="00A43EA1" w:rsidRDefault="00424F87" w:rsidP="00424F87">
      <w:pPr>
        <w:pStyle w:val="ListParagraph"/>
        <w:numPr>
          <w:ilvl w:val="0"/>
          <w:numId w:val="10"/>
        </w:numPr>
        <w:rPr>
          <w:lang w:val="de-DE"/>
        </w:rPr>
      </w:pPr>
      <w:r w:rsidRPr="00A43EA1">
        <w:rPr>
          <w:lang w:val="de-DE"/>
        </w:rPr>
        <w:t>IPONZ hat auf der Grundlage von Rückmeldungen von Fachleuten und Kontakten aus der Branche eine Reihe von Änderungsvorschlägen für die PVR-Gebühren ausgearbeitet. Zwischen dem 13. April und dem 20. Mai 2022 wurden dann öffentliche Stellungnahmen zu diesen Änderungsvorschlägen eingeholt.</w:t>
      </w:r>
    </w:p>
    <w:p w14:paraId="1684362D" w14:textId="77777777" w:rsidR="00424F87" w:rsidRPr="00A43EA1" w:rsidRDefault="00424F87" w:rsidP="00424F87">
      <w:pPr>
        <w:pStyle w:val="ListParagraph"/>
        <w:numPr>
          <w:ilvl w:val="0"/>
          <w:numId w:val="10"/>
        </w:numPr>
        <w:rPr>
          <w:lang w:val="de-DE"/>
        </w:rPr>
      </w:pPr>
      <w:r w:rsidRPr="00A43EA1">
        <w:rPr>
          <w:lang w:val="de-DE"/>
        </w:rPr>
        <w:t>Einige neue Bestimmungen des neuen Gesetzes haben Auswirkungen auf Kosten und Gebühren.</w:t>
      </w:r>
    </w:p>
    <w:p w14:paraId="691F1537" w14:textId="77777777" w:rsidR="00424F87" w:rsidRPr="00A43EA1" w:rsidRDefault="00424F87" w:rsidP="00424F87"/>
    <w:p w14:paraId="687DDA03" w14:textId="77777777" w:rsidR="00424F87" w:rsidRPr="00A43EA1" w:rsidRDefault="00424F87" w:rsidP="00424F87">
      <w:pPr>
        <w:rPr>
          <w:rFonts w:eastAsia="Calibri"/>
        </w:rPr>
      </w:pPr>
      <w:r w:rsidRPr="00A43EA1">
        <w:lastRenderedPageBreak/>
        <w:t>Nach Prüfung aller oben genannten Punkte wurde dem Kabinett ein überarbeitetes Paket mit vorgeschlagenen Änderungen der Gebühren zur Genehmigung vorgelegt. Diese Änderungen wurden vom Gesetzgebungsausschuss des Kabinetts am 15. Dezember 2022 gebilligt und traten mit dem Sortenrechtsgesetz 2022 und den Sortenrechtsverordnungen 2022 in Kraft.</w:t>
      </w:r>
    </w:p>
    <w:p w14:paraId="3F2188AB" w14:textId="77777777" w:rsidR="00424F87" w:rsidRPr="00A43EA1" w:rsidRDefault="00424F87" w:rsidP="00424F87"/>
    <w:p w14:paraId="0484F153" w14:textId="77777777" w:rsidR="00424F87" w:rsidRPr="00A43EA1" w:rsidRDefault="00424F87" w:rsidP="00424F87">
      <w:pPr>
        <w:keepNext/>
        <w:rPr>
          <w:u w:val="single"/>
        </w:rPr>
      </w:pPr>
      <w:r w:rsidRPr="00A43EA1">
        <w:t>2.</w:t>
      </w:r>
      <w:r w:rsidRPr="00A43EA1">
        <w:tab/>
      </w:r>
      <w:r w:rsidRPr="00A43EA1">
        <w:rPr>
          <w:u w:val="single"/>
        </w:rPr>
        <w:t>Zusammenarbeit bei der Prüfung</w:t>
      </w:r>
    </w:p>
    <w:p w14:paraId="7B2AB186" w14:textId="77777777" w:rsidR="00424F87" w:rsidRPr="00A43EA1" w:rsidRDefault="00424F87" w:rsidP="00424F87">
      <w:pPr>
        <w:keepNext/>
      </w:pPr>
    </w:p>
    <w:p w14:paraId="2FE9609C" w14:textId="77777777" w:rsidR="00424F87" w:rsidRPr="00A43EA1" w:rsidRDefault="00424F87" w:rsidP="00424F87">
      <w:r w:rsidRPr="00A43EA1">
        <w:t>Neuseeland erwirbt im Rahmen der allgemeinen Bestimmungen des Übereinkommens weiterhin bei Bedarf Prüfberichte von den Mitgliedstaaten für bestimmte Arten.  Neuseeland stellt weiterhin auf Anfrage einer Behörde kostenlos einen Prüfbericht zur Verfügung.</w:t>
      </w:r>
    </w:p>
    <w:p w14:paraId="272C0F20" w14:textId="77777777" w:rsidR="00424F87" w:rsidRPr="00A43EA1" w:rsidRDefault="00424F87" w:rsidP="00424F87"/>
    <w:p w14:paraId="604CF8EB" w14:textId="77777777" w:rsidR="00424F87" w:rsidRPr="00A43EA1" w:rsidRDefault="00424F87" w:rsidP="00424F87">
      <w:r w:rsidRPr="00A43EA1">
        <w:t xml:space="preserve">Im Jahr 2022 wurden zwölf (12) ausländische Prüfberichte für Entscheidungen über neuseeländische Rechte verwendet, und neunzehn (19) Prüfberichte wurden an ausländische Behörden übermittelt. </w:t>
      </w:r>
    </w:p>
    <w:p w14:paraId="03F6355A" w14:textId="77777777" w:rsidR="00424F87" w:rsidRPr="00A43EA1" w:rsidRDefault="00424F87" w:rsidP="00424F87"/>
    <w:p w14:paraId="17697957" w14:textId="77777777" w:rsidR="00424F87" w:rsidRPr="00A43EA1" w:rsidRDefault="00424F87" w:rsidP="00424F87"/>
    <w:p w14:paraId="4460C88F"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4FFAFA81" w14:textId="77777777" w:rsidR="00424F87" w:rsidRPr="00A43EA1" w:rsidRDefault="00424F87" w:rsidP="00424F87"/>
    <w:p w14:paraId="6A68F78F" w14:textId="77777777" w:rsidR="00424F87" w:rsidRPr="00A43EA1" w:rsidRDefault="00424F87" w:rsidP="00424F87">
      <w:r w:rsidRPr="00A43EA1">
        <w:t xml:space="preserve">Im Haushaltsjahr vom 1. Juli 2022 bis zum 30. Juni 2023 wurden 98 Anträge auf Erteilung von Sortenschutz angenommen (5 % mehr als im Vorjahr), 101 Erteilungen vorgenommen (27 % mehr als im Vorjahr) und 73 Erteilungen beendet (5 % weniger als im Vorjahr). Am 30. Juni 2023 gab es 1316 gültige Erteilungen, was einem Anstieg von 17 % gegenüber dem Vorjahr entspricht. </w:t>
      </w:r>
    </w:p>
    <w:p w14:paraId="57EE1AD7" w14:textId="77777777" w:rsidR="00424F87" w:rsidRPr="00A43EA1" w:rsidRDefault="00424F87" w:rsidP="00424F87"/>
    <w:p w14:paraId="6488878A" w14:textId="77777777" w:rsidR="00424F87" w:rsidRPr="00A43EA1" w:rsidRDefault="00424F87" w:rsidP="00424F87">
      <w:r w:rsidRPr="00A43EA1">
        <w:t xml:space="preserve">Eine Studie zur Ermittlung des wirtschaftlichen, innovativen und gemeinwohlorientierten Wertes des Sortenschutzes in Neuseeland begann im Mai 2023 und wird im August 2023 abgeschlossen. Ziel der Studie ist es, Daten und Informationen über die Auswirkungen des Sortenschutzes zu sammeln, und die Ergebnisse werden für die künftige Entwicklung des Systems genutzt. </w:t>
      </w:r>
    </w:p>
    <w:p w14:paraId="64C4A660" w14:textId="77777777" w:rsidR="00424F87" w:rsidRPr="00A43EA1" w:rsidRDefault="00424F87" w:rsidP="00424F87"/>
    <w:p w14:paraId="672FAAA2" w14:textId="77777777" w:rsidR="00424F87" w:rsidRPr="00A43EA1" w:rsidRDefault="00424F87" w:rsidP="00424F87"/>
    <w:p w14:paraId="2AB1E910" w14:textId="77777777" w:rsidR="00424F87" w:rsidRPr="00A43EA1" w:rsidRDefault="00424F87" w:rsidP="00424F87">
      <w:pPr>
        <w:rPr>
          <w:u w:val="single"/>
        </w:rPr>
      </w:pPr>
      <w:r w:rsidRPr="00A43EA1">
        <w:t>4.</w:t>
      </w:r>
      <w:r w:rsidRPr="00A43EA1">
        <w:tab/>
      </w:r>
      <w:r w:rsidRPr="00A43EA1">
        <w:rPr>
          <w:u w:val="single"/>
        </w:rPr>
        <w:t>Lage auf dem Gebiet der Technik</w:t>
      </w:r>
    </w:p>
    <w:p w14:paraId="0646C6FC" w14:textId="77777777" w:rsidR="00424F87" w:rsidRPr="00A43EA1" w:rsidRDefault="00424F87" w:rsidP="00424F87"/>
    <w:p w14:paraId="644C5F8D" w14:textId="77777777" w:rsidR="00424F87" w:rsidRPr="00A43EA1" w:rsidRDefault="00424F87" w:rsidP="00424F87">
      <w:r w:rsidRPr="00A43EA1">
        <w:t xml:space="preserve">Die Sammlungen von Apfel-, Pfirsich- und Pflaumensorten wurden durch den Zyklon Gabrielle, der im Februar 2023 die östliche Nordinsel heimsuchte, stark beeinträchtigt. Viele Bäume wurden umgeweht, und die Überschwemmungen führten zu anhaltenden Problemen mit den Baumwurzeln und dem Boden. Es wurde ein Plan aufgestellt, um die Sammlung in den nächsten Jahren wieder aufzubauen. Es ist klar, dass dies einige Zeit in Anspruch nehmen wird und dass es schwierig sein könnte, Bäume einiger Sorten zu beschaffen. </w:t>
      </w:r>
    </w:p>
    <w:p w14:paraId="60FA924A" w14:textId="77777777" w:rsidR="00424F87" w:rsidRPr="00A43EA1" w:rsidRDefault="00424F87" w:rsidP="00424F87"/>
    <w:p w14:paraId="07CB1A92" w14:textId="77777777" w:rsidR="00424F87" w:rsidRPr="00A43EA1" w:rsidRDefault="00424F87" w:rsidP="00424F87">
      <w:r w:rsidRPr="00A43EA1">
        <w:t xml:space="preserve">Anträge für neue Arten wie </w:t>
      </w:r>
      <w:r w:rsidRPr="00A43EA1">
        <w:rPr>
          <w:i/>
          <w:iCs/>
        </w:rPr>
        <w:t xml:space="preserve">Hoya </w:t>
      </w:r>
      <w:r w:rsidRPr="00A43EA1">
        <w:t xml:space="preserve">und </w:t>
      </w:r>
      <w:r w:rsidRPr="00A43EA1">
        <w:rPr>
          <w:i/>
          <w:iCs/>
        </w:rPr>
        <w:t xml:space="preserve">Peperomia </w:t>
      </w:r>
      <w:r w:rsidRPr="00A43EA1">
        <w:t xml:space="preserve">erforderten flexible Ansätze für die Prüfung und das Testen. Für </w:t>
      </w:r>
      <w:r w:rsidRPr="00A43EA1">
        <w:rPr>
          <w:i/>
          <w:iCs/>
        </w:rPr>
        <w:t xml:space="preserve">Hoya </w:t>
      </w:r>
      <w:r w:rsidRPr="00A43EA1">
        <w:t>wurden die Sorten in Neuseeland gezüchtet und erforderten die Entwicklung nationaler Prüfungsprotokolle, während für Peperomia-Sorten die Prüfung bereits von einer anderen Behörde durchgeführt wurde und ausländische Prüfungsberichte verfügbar waren. Die Prüfung neuer Arten kann besondere Fähigkeiten und Ressourcen erfordern, die auf nationaler Ebene vorhanden sein können oder auch nicht. Die neuseeländischen Optionen für Prüfungsvereinbarungen sind flexibel und bieten für diese Situationen einen Vorteil.</w:t>
      </w:r>
    </w:p>
    <w:p w14:paraId="15C705EB" w14:textId="77777777" w:rsidR="00424F87" w:rsidRPr="00A43EA1" w:rsidRDefault="00424F87" w:rsidP="00424F87"/>
    <w:p w14:paraId="0F3AC8AA" w14:textId="77777777" w:rsidR="00424F87" w:rsidRPr="00A43EA1" w:rsidRDefault="00424F87" w:rsidP="00424F87"/>
    <w:p w14:paraId="5D30CF63"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3490FA8F" w14:textId="77777777" w:rsidR="00424F87" w:rsidRPr="00A43EA1" w:rsidRDefault="00424F87" w:rsidP="00424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2"/>
        <w:gridCol w:w="993"/>
        <w:gridCol w:w="1162"/>
        <w:gridCol w:w="1276"/>
        <w:gridCol w:w="1418"/>
        <w:gridCol w:w="1955"/>
        <w:gridCol w:w="1588"/>
      </w:tblGrid>
      <w:tr w:rsidR="00424F87" w:rsidRPr="00A43EA1" w14:paraId="332DC5F7" w14:textId="77777777" w:rsidTr="00C30F9D">
        <w:tc>
          <w:tcPr>
            <w:tcW w:w="1242" w:type="dxa"/>
            <w:shd w:val="clear" w:color="auto" w:fill="auto"/>
          </w:tcPr>
          <w:p w14:paraId="38E90183" w14:textId="77777777" w:rsidR="00424F87" w:rsidRPr="00A43EA1" w:rsidRDefault="00424F87" w:rsidP="00C30F9D">
            <w:pPr>
              <w:jc w:val="left"/>
              <w:rPr>
                <w:sz w:val="16"/>
                <w:szCs w:val="16"/>
              </w:rPr>
            </w:pPr>
            <w:r w:rsidRPr="00A43EA1">
              <w:rPr>
                <w:sz w:val="16"/>
                <w:szCs w:val="16"/>
              </w:rPr>
              <w:t>Titel der Aktivität</w:t>
            </w:r>
          </w:p>
        </w:tc>
        <w:tc>
          <w:tcPr>
            <w:tcW w:w="993" w:type="dxa"/>
            <w:shd w:val="clear" w:color="auto" w:fill="auto"/>
          </w:tcPr>
          <w:p w14:paraId="5DEBD5F4" w14:textId="77777777" w:rsidR="00424F87" w:rsidRPr="00A43EA1" w:rsidRDefault="00424F87" w:rsidP="00C30F9D">
            <w:pPr>
              <w:jc w:val="left"/>
              <w:rPr>
                <w:sz w:val="16"/>
                <w:szCs w:val="16"/>
              </w:rPr>
            </w:pPr>
            <w:r w:rsidRPr="00A43EA1">
              <w:rPr>
                <w:sz w:val="16"/>
                <w:szCs w:val="16"/>
              </w:rPr>
              <w:t>Datum</w:t>
            </w:r>
          </w:p>
        </w:tc>
        <w:tc>
          <w:tcPr>
            <w:tcW w:w="1162" w:type="dxa"/>
            <w:shd w:val="clear" w:color="auto" w:fill="auto"/>
          </w:tcPr>
          <w:p w14:paraId="3B7BE9E7" w14:textId="77777777" w:rsidR="00424F87" w:rsidRPr="00A43EA1" w:rsidRDefault="00424F87" w:rsidP="00C30F9D">
            <w:pPr>
              <w:jc w:val="left"/>
              <w:rPr>
                <w:sz w:val="16"/>
                <w:szCs w:val="16"/>
              </w:rPr>
            </w:pPr>
            <w:r w:rsidRPr="00A43EA1">
              <w:rPr>
                <w:sz w:val="16"/>
                <w:szCs w:val="16"/>
              </w:rPr>
              <w:t>Standort</w:t>
            </w:r>
          </w:p>
        </w:tc>
        <w:tc>
          <w:tcPr>
            <w:tcW w:w="1276" w:type="dxa"/>
            <w:shd w:val="clear" w:color="auto" w:fill="auto"/>
          </w:tcPr>
          <w:p w14:paraId="1BC90ADA" w14:textId="77777777" w:rsidR="00424F87" w:rsidRPr="00A43EA1" w:rsidRDefault="00424F87" w:rsidP="00C30F9D">
            <w:pPr>
              <w:jc w:val="left"/>
              <w:rPr>
                <w:sz w:val="16"/>
                <w:szCs w:val="16"/>
              </w:rPr>
            </w:pPr>
            <w:r w:rsidRPr="00A43EA1">
              <w:rPr>
                <w:sz w:val="16"/>
                <w:szCs w:val="16"/>
              </w:rPr>
              <w:t>Organisator(en)</w:t>
            </w:r>
          </w:p>
        </w:tc>
        <w:tc>
          <w:tcPr>
            <w:tcW w:w="1418" w:type="dxa"/>
            <w:shd w:val="clear" w:color="auto" w:fill="auto"/>
          </w:tcPr>
          <w:p w14:paraId="0AB20F10" w14:textId="77777777" w:rsidR="00424F87" w:rsidRPr="00A43EA1" w:rsidRDefault="00424F87" w:rsidP="00C30F9D">
            <w:pPr>
              <w:jc w:val="left"/>
              <w:rPr>
                <w:sz w:val="16"/>
                <w:szCs w:val="16"/>
              </w:rPr>
            </w:pPr>
            <w:r w:rsidRPr="00A43EA1">
              <w:rPr>
                <w:sz w:val="16"/>
                <w:szCs w:val="16"/>
              </w:rPr>
              <w:t>Zweck der Tätigkeit</w:t>
            </w:r>
          </w:p>
        </w:tc>
        <w:tc>
          <w:tcPr>
            <w:tcW w:w="1955" w:type="dxa"/>
            <w:shd w:val="clear" w:color="auto" w:fill="auto"/>
          </w:tcPr>
          <w:p w14:paraId="6BF87F53" w14:textId="77777777" w:rsidR="00424F87" w:rsidRPr="00A43EA1" w:rsidRDefault="00424F87" w:rsidP="00C30F9D">
            <w:pPr>
              <w:jc w:val="left"/>
              <w:rPr>
                <w:sz w:val="16"/>
                <w:szCs w:val="16"/>
              </w:rPr>
            </w:pPr>
            <w:r w:rsidRPr="00A43EA1">
              <w:rPr>
                <w:sz w:val="16"/>
                <w:szCs w:val="16"/>
              </w:rPr>
              <w:t>Teilnehmende Länder/Organisationen (Anzahl der Teilnehmer aus jedem Land)</w:t>
            </w:r>
          </w:p>
        </w:tc>
        <w:tc>
          <w:tcPr>
            <w:tcW w:w="1588" w:type="dxa"/>
            <w:shd w:val="clear" w:color="auto" w:fill="auto"/>
          </w:tcPr>
          <w:p w14:paraId="37397AEE" w14:textId="77777777" w:rsidR="00424F87" w:rsidRPr="00A43EA1" w:rsidRDefault="00424F87" w:rsidP="00C30F9D">
            <w:pPr>
              <w:jc w:val="left"/>
              <w:rPr>
                <w:sz w:val="16"/>
                <w:szCs w:val="16"/>
              </w:rPr>
            </w:pPr>
            <w:r w:rsidRPr="00A43EA1">
              <w:rPr>
                <w:sz w:val="16"/>
                <w:szCs w:val="16"/>
              </w:rPr>
              <w:t>Kommentare</w:t>
            </w:r>
          </w:p>
        </w:tc>
      </w:tr>
      <w:tr w:rsidR="00424F87" w:rsidRPr="00A43EA1" w14:paraId="27BF15D5" w14:textId="77777777" w:rsidTr="00C30F9D">
        <w:tc>
          <w:tcPr>
            <w:tcW w:w="1242" w:type="dxa"/>
            <w:shd w:val="clear" w:color="auto" w:fill="auto"/>
          </w:tcPr>
          <w:p w14:paraId="7E1075D6" w14:textId="77777777" w:rsidR="00424F87" w:rsidRPr="00A43EA1" w:rsidRDefault="00424F87" w:rsidP="00C30F9D">
            <w:pPr>
              <w:jc w:val="left"/>
              <w:rPr>
                <w:sz w:val="16"/>
                <w:szCs w:val="16"/>
              </w:rPr>
            </w:pPr>
            <w:r w:rsidRPr="00A43EA1">
              <w:rPr>
                <w:sz w:val="16"/>
                <w:szCs w:val="16"/>
              </w:rPr>
              <w:t>Nationale Ausbildung für die DUS-Prüfung</w:t>
            </w:r>
          </w:p>
        </w:tc>
        <w:tc>
          <w:tcPr>
            <w:tcW w:w="993" w:type="dxa"/>
            <w:shd w:val="clear" w:color="auto" w:fill="auto"/>
          </w:tcPr>
          <w:p w14:paraId="58857C2A" w14:textId="77777777" w:rsidR="00424F87" w:rsidRPr="00A43EA1" w:rsidRDefault="00424F87" w:rsidP="00C30F9D">
            <w:pPr>
              <w:jc w:val="left"/>
              <w:rPr>
                <w:sz w:val="16"/>
                <w:szCs w:val="16"/>
              </w:rPr>
            </w:pPr>
            <w:r w:rsidRPr="00A43EA1">
              <w:rPr>
                <w:sz w:val="16"/>
                <w:szCs w:val="16"/>
              </w:rPr>
              <w:t>10-11 Mai 2023</w:t>
            </w:r>
          </w:p>
        </w:tc>
        <w:tc>
          <w:tcPr>
            <w:tcW w:w="1162" w:type="dxa"/>
            <w:shd w:val="clear" w:color="auto" w:fill="auto"/>
          </w:tcPr>
          <w:p w14:paraId="13F946FB" w14:textId="77777777" w:rsidR="00424F87" w:rsidRPr="00A43EA1" w:rsidRDefault="00424F87" w:rsidP="00C30F9D">
            <w:pPr>
              <w:jc w:val="left"/>
              <w:rPr>
                <w:sz w:val="16"/>
                <w:szCs w:val="16"/>
              </w:rPr>
            </w:pPr>
            <w:r w:rsidRPr="00A43EA1">
              <w:rPr>
                <w:sz w:val="16"/>
                <w:szCs w:val="16"/>
              </w:rPr>
              <w:t>Christchurch, Neuseeland</w:t>
            </w:r>
          </w:p>
        </w:tc>
        <w:tc>
          <w:tcPr>
            <w:tcW w:w="1276" w:type="dxa"/>
            <w:shd w:val="clear" w:color="auto" w:fill="auto"/>
          </w:tcPr>
          <w:p w14:paraId="5D24B7FD" w14:textId="77777777" w:rsidR="00424F87" w:rsidRPr="00A43EA1" w:rsidRDefault="00424F87" w:rsidP="00C30F9D">
            <w:pPr>
              <w:jc w:val="left"/>
              <w:rPr>
                <w:sz w:val="16"/>
                <w:szCs w:val="16"/>
              </w:rPr>
            </w:pPr>
            <w:r w:rsidRPr="00A43EA1">
              <w:rPr>
                <w:sz w:val="16"/>
                <w:szCs w:val="16"/>
              </w:rPr>
              <w:t>Amt für geistiges Eigentum von Neuseeland</w:t>
            </w:r>
          </w:p>
        </w:tc>
        <w:tc>
          <w:tcPr>
            <w:tcW w:w="1418" w:type="dxa"/>
            <w:shd w:val="clear" w:color="auto" w:fill="auto"/>
          </w:tcPr>
          <w:p w14:paraId="64B35693" w14:textId="77777777" w:rsidR="00424F87" w:rsidRPr="00A43EA1" w:rsidRDefault="00424F87" w:rsidP="00C30F9D">
            <w:pPr>
              <w:jc w:val="left"/>
              <w:rPr>
                <w:sz w:val="16"/>
                <w:szCs w:val="16"/>
              </w:rPr>
            </w:pPr>
            <w:r w:rsidRPr="00A43EA1">
              <w:rPr>
                <w:sz w:val="16"/>
                <w:szCs w:val="16"/>
              </w:rPr>
              <w:t xml:space="preserve">Ausbildung und Informationen für die DUS-Prüfung </w:t>
            </w:r>
          </w:p>
        </w:tc>
        <w:tc>
          <w:tcPr>
            <w:tcW w:w="1955" w:type="dxa"/>
            <w:shd w:val="clear" w:color="auto" w:fill="auto"/>
          </w:tcPr>
          <w:p w14:paraId="4F0D344C" w14:textId="77777777" w:rsidR="00424F87" w:rsidRPr="00A43EA1" w:rsidRDefault="00424F87" w:rsidP="00C30F9D">
            <w:pPr>
              <w:jc w:val="left"/>
              <w:rPr>
                <w:sz w:val="16"/>
                <w:szCs w:val="16"/>
              </w:rPr>
            </w:pPr>
            <w:r w:rsidRPr="00A43EA1">
              <w:rPr>
                <w:sz w:val="16"/>
                <w:szCs w:val="16"/>
              </w:rPr>
              <w:t>Neuseeland (16) und Australien (2)</w:t>
            </w:r>
          </w:p>
        </w:tc>
        <w:tc>
          <w:tcPr>
            <w:tcW w:w="1588" w:type="dxa"/>
            <w:shd w:val="clear" w:color="auto" w:fill="auto"/>
          </w:tcPr>
          <w:p w14:paraId="489C1ADB" w14:textId="77777777" w:rsidR="00424F87" w:rsidRPr="00A43EA1" w:rsidRDefault="00424F87" w:rsidP="00C30F9D">
            <w:pPr>
              <w:jc w:val="left"/>
              <w:rPr>
                <w:sz w:val="16"/>
                <w:szCs w:val="16"/>
              </w:rPr>
            </w:pPr>
            <w:r w:rsidRPr="00A43EA1">
              <w:rPr>
                <w:sz w:val="16"/>
                <w:szCs w:val="16"/>
              </w:rPr>
              <w:t xml:space="preserve">Eine nationale Aktivität mit zusätzlichen Prüfern von IP Australia </w:t>
            </w:r>
          </w:p>
        </w:tc>
      </w:tr>
    </w:tbl>
    <w:p w14:paraId="68B550C9" w14:textId="77777777" w:rsidR="00424F87" w:rsidRPr="00A43EA1" w:rsidRDefault="00424F87" w:rsidP="00424F87"/>
    <w:p w14:paraId="0EE92902" w14:textId="77777777" w:rsidR="00424F87" w:rsidRPr="00A43EA1" w:rsidRDefault="00424F87" w:rsidP="00424F87">
      <w:pPr>
        <w:jc w:val="left"/>
      </w:pPr>
    </w:p>
    <w:p w14:paraId="21D6DA1D" w14:textId="77777777" w:rsidR="00424F87" w:rsidRPr="00A43EA1" w:rsidRDefault="00424F87" w:rsidP="00424F87">
      <w:pPr>
        <w:jc w:val="left"/>
      </w:pPr>
    </w:p>
    <w:p w14:paraId="4A7A60B4" w14:textId="227B1602" w:rsidR="00424F87" w:rsidRPr="00A43EA1" w:rsidRDefault="00424F87" w:rsidP="00424F87">
      <w:pPr>
        <w:jc w:val="right"/>
      </w:pPr>
      <w:r w:rsidRPr="00A43EA1">
        <w:t>[</w:t>
      </w:r>
      <w:r w:rsidR="009E6E5A">
        <w:t>Anlage</w:t>
      </w:r>
      <w:r w:rsidRPr="00A43EA1">
        <w:t xml:space="preserve"> XIII folgt]</w:t>
      </w:r>
    </w:p>
    <w:p w14:paraId="53DCAEE2" w14:textId="77777777" w:rsidR="00424F87" w:rsidRPr="00A43EA1" w:rsidRDefault="00424F87" w:rsidP="00424F87">
      <w:pPr>
        <w:sectPr w:rsidR="00424F87" w:rsidRPr="00A43EA1" w:rsidSect="000B2CE0">
          <w:headerReference w:type="default" r:id="rId32"/>
          <w:pgSz w:w="11907" w:h="16840" w:code="9"/>
          <w:pgMar w:top="510" w:right="1134" w:bottom="568" w:left="1134" w:header="510" w:footer="680" w:gutter="0"/>
          <w:pgNumType w:start="1"/>
          <w:cols w:space="720"/>
          <w:titlePg/>
        </w:sectPr>
      </w:pPr>
    </w:p>
    <w:p w14:paraId="542DF79B" w14:textId="77777777" w:rsidR="00424F87" w:rsidRPr="00A43EA1" w:rsidRDefault="00424F87" w:rsidP="00424F87">
      <w:pPr>
        <w:jc w:val="center"/>
      </w:pPr>
      <w:r w:rsidRPr="00A43EA1">
        <w:lastRenderedPageBreak/>
        <w:t>C/57/13</w:t>
      </w:r>
    </w:p>
    <w:p w14:paraId="0280D78B" w14:textId="77777777" w:rsidR="00424F87" w:rsidRPr="00A43EA1" w:rsidRDefault="00424F87" w:rsidP="00424F87">
      <w:pPr>
        <w:jc w:val="center"/>
      </w:pPr>
    </w:p>
    <w:p w14:paraId="23D9A7FE" w14:textId="6736852D" w:rsidR="00424F87" w:rsidRPr="00A43EA1" w:rsidRDefault="009E6E5A" w:rsidP="00424F87">
      <w:pPr>
        <w:jc w:val="center"/>
      </w:pPr>
      <w:r>
        <w:t>ANLAGE</w:t>
      </w:r>
      <w:r w:rsidR="00424F87" w:rsidRPr="00A43EA1">
        <w:t xml:space="preserve"> XIII</w:t>
      </w:r>
    </w:p>
    <w:p w14:paraId="700E9377" w14:textId="77777777" w:rsidR="00424F87" w:rsidRPr="00A43EA1" w:rsidRDefault="00424F87" w:rsidP="00424F87">
      <w:pPr>
        <w:jc w:val="center"/>
      </w:pPr>
    </w:p>
    <w:p w14:paraId="7A3C250D" w14:textId="77777777" w:rsidR="00424F87" w:rsidRPr="00A43EA1" w:rsidRDefault="00424F87" w:rsidP="00424F87">
      <w:pPr>
        <w:jc w:val="center"/>
      </w:pPr>
    </w:p>
    <w:p w14:paraId="7066686B" w14:textId="77777777" w:rsidR="00424F87" w:rsidRPr="00A43EA1" w:rsidRDefault="00424F87" w:rsidP="00424F87">
      <w:pPr>
        <w:jc w:val="center"/>
      </w:pPr>
      <w:r w:rsidRPr="00A43EA1">
        <w:t>POLEN</w:t>
      </w:r>
    </w:p>
    <w:p w14:paraId="41C76F7B" w14:textId="77777777" w:rsidR="00424F87" w:rsidRPr="00A43EA1" w:rsidRDefault="00424F87" w:rsidP="00424F87">
      <w:pPr>
        <w:jc w:val="center"/>
      </w:pPr>
      <w:r w:rsidRPr="00A43EA1">
        <w:t>(Originalsprache: englisch)</w:t>
      </w:r>
    </w:p>
    <w:p w14:paraId="1B0C8D24" w14:textId="77777777" w:rsidR="00424F87" w:rsidRPr="00A43EA1" w:rsidRDefault="00424F87" w:rsidP="00424F87"/>
    <w:p w14:paraId="4B8F4E2F"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23C0C516" w14:textId="77777777" w:rsidR="00424F87" w:rsidRPr="00A43EA1" w:rsidRDefault="00424F87" w:rsidP="00424F87">
      <w:pPr>
        <w:tabs>
          <w:tab w:val="left" w:pos="4962"/>
        </w:tabs>
        <w:jc w:val="center"/>
        <w:rPr>
          <w:rFonts w:cs="Arial"/>
        </w:rPr>
      </w:pPr>
      <w:r w:rsidRPr="00A43EA1">
        <w:rPr>
          <w:rFonts w:cs="Arial"/>
        </w:rPr>
        <w:t>Zeitraum: 1. September 2022 - 30. August 2023</w:t>
      </w:r>
    </w:p>
    <w:p w14:paraId="3555AC58" w14:textId="77777777" w:rsidR="00424F87" w:rsidRPr="00A43EA1" w:rsidRDefault="00424F87" w:rsidP="00424F87">
      <w:pPr>
        <w:tabs>
          <w:tab w:val="left" w:pos="4962"/>
        </w:tabs>
        <w:jc w:val="center"/>
        <w:rPr>
          <w:rFonts w:cs="Arial"/>
        </w:rPr>
      </w:pPr>
    </w:p>
    <w:p w14:paraId="32C16D28" w14:textId="77777777" w:rsidR="00424F87" w:rsidRPr="00A43EA1" w:rsidRDefault="00424F87" w:rsidP="00424F87">
      <w:pPr>
        <w:tabs>
          <w:tab w:val="left" w:pos="4962"/>
        </w:tabs>
        <w:jc w:val="center"/>
        <w:rPr>
          <w:rFonts w:cs="Arial"/>
        </w:rPr>
      </w:pPr>
    </w:p>
    <w:p w14:paraId="4185726B" w14:textId="77777777" w:rsidR="00424F87" w:rsidRPr="00A43EA1" w:rsidRDefault="00424F87" w:rsidP="00424F87">
      <w:r w:rsidRPr="00A43EA1">
        <w:t xml:space="preserve">I. </w:t>
      </w:r>
      <w:r w:rsidRPr="00A43EA1">
        <w:tab/>
        <w:t>SORTENSCHUTZ</w:t>
      </w:r>
    </w:p>
    <w:p w14:paraId="37835960" w14:textId="77777777" w:rsidR="00424F87" w:rsidRPr="00A43EA1" w:rsidRDefault="00424F87" w:rsidP="00424F87">
      <w:pPr>
        <w:tabs>
          <w:tab w:val="left" w:pos="4962"/>
        </w:tabs>
        <w:rPr>
          <w:rFonts w:cs="Arial"/>
          <w:u w:val="single"/>
        </w:rPr>
      </w:pPr>
    </w:p>
    <w:p w14:paraId="45087DEF" w14:textId="77777777" w:rsidR="00424F87" w:rsidRPr="00A43EA1" w:rsidRDefault="00424F87" w:rsidP="00424F87">
      <w:pPr>
        <w:tabs>
          <w:tab w:val="left" w:pos="567"/>
          <w:tab w:val="left" w:pos="4962"/>
        </w:tabs>
        <w:rPr>
          <w:rFonts w:cs="Arial"/>
          <w:u w:val="single"/>
        </w:rPr>
      </w:pPr>
      <w:r w:rsidRPr="00A43EA1">
        <w:rPr>
          <w:rFonts w:cs="Arial"/>
        </w:rPr>
        <w:t>1.</w:t>
      </w:r>
      <w:r w:rsidRPr="00A43EA1">
        <w:rPr>
          <w:rFonts w:cs="Arial"/>
        </w:rPr>
        <w:tab/>
      </w:r>
      <w:r w:rsidRPr="00A43EA1">
        <w:rPr>
          <w:rFonts w:cs="Arial"/>
          <w:u w:val="single"/>
        </w:rPr>
        <w:t>Lage auf dem Gebiet der Gesetzgebung</w:t>
      </w:r>
    </w:p>
    <w:p w14:paraId="71D40D4B" w14:textId="77777777" w:rsidR="00424F87" w:rsidRPr="00A43EA1" w:rsidRDefault="00424F87" w:rsidP="00424F87">
      <w:pPr>
        <w:tabs>
          <w:tab w:val="left" w:pos="4962"/>
        </w:tabs>
        <w:rPr>
          <w:rFonts w:cs="Arial"/>
        </w:rPr>
      </w:pPr>
    </w:p>
    <w:p w14:paraId="6F0EDD6B" w14:textId="77777777" w:rsidR="00424F87" w:rsidRPr="00A43EA1" w:rsidRDefault="00424F87" w:rsidP="00424F87">
      <w:pPr>
        <w:tabs>
          <w:tab w:val="left" w:pos="4962"/>
        </w:tabs>
        <w:rPr>
          <w:rFonts w:cs="Arial"/>
        </w:rPr>
      </w:pPr>
      <w:r w:rsidRPr="00A43EA1">
        <w:rPr>
          <w:rFonts w:cs="Arial"/>
        </w:rPr>
        <w:t xml:space="preserve">Das Gesetz vom 26. Juni 2003 über den Rechtsschutz von Pflanzensorten (konsolidierter Text: ABl. von 2021, Punkt 213) bildet die Rechtsgrundlage für das nationale Züchterrechtsschutzsystem in Polen. </w:t>
      </w:r>
    </w:p>
    <w:p w14:paraId="285156B9" w14:textId="77777777" w:rsidR="00424F87" w:rsidRPr="00A43EA1" w:rsidRDefault="00424F87" w:rsidP="00424F87">
      <w:pPr>
        <w:tabs>
          <w:tab w:val="left" w:pos="4962"/>
        </w:tabs>
        <w:rPr>
          <w:rFonts w:cs="Arial"/>
        </w:rPr>
      </w:pPr>
    </w:p>
    <w:p w14:paraId="5378ACA1" w14:textId="77777777" w:rsidR="00424F87" w:rsidRPr="00A43EA1" w:rsidRDefault="00424F87" w:rsidP="00424F87">
      <w:pPr>
        <w:tabs>
          <w:tab w:val="left" w:pos="4962"/>
        </w:tabs>
        <w:rPr>
          <w:rFonts w:cs="Arial"/>
        </w:rPr>
      </w:pPr>
      <w:r w:rsidRPr="00A43EA1">
        <w:rPr>
          <w:rFonts w:cs="Arial"/>
        </w:rPr>
        <w:t>Das polnische Sortenschutzgesetz stützt sich auf die Akte von 1991 des UPOV-Übereinkommens.  Seit dem 1. November 2000 sind alle Pflanzengattungen und -arten in Polen züchterrechtlich schutzfähig.</w:t>
      </w:r>
    </w:p>
    <w:p w14:paraId="578389E2" w14:textId="77777777" w:rsidR="00424F87" w:rsidRPr="00A43EA1" w:rsidRDefault="00424F87" w:rsidP="00424F87">
      <w:pPr>
        <w:tabs>
          <w:tab w:val="left" w:pos="4962"/>
        </w:tabs>
        <w:rPr>
          <w:rFonts w:cs="Arial"/>
        </w:rPr>
      </w:pPr>
    </w:p>
    <w:p w14:paraId="6C4D846E" w14:textId="77777777" w:rsidR="00424F87" w:rsidRPr="00A43EA1" w:rsidRDefault="00424F87" w:rsidP="00424F87">
      <w:pPr>
        <w:tabs>
          <w:tab w:val="left" w:pos="4962"/>
        </w:tabs>
        <w:rPr>
          <w:rFonts w:cs="Arial"/>
        </w:rPr>
      </w:pPr>
      <w:r w:rsidRPr="00A43EA1">
        <w:rPr>
          <w:rFonts w:cs="Arial"/>
        </w:rPr>
        <w:t xml:space="preserve">Hinsichtlich der Gebühren ist die Verordnung des Ministers für Landwirtschaft und ländliche Entwicklung vom 17. Februar 2004 über die Gebührensätze für die Einreichung eines Antrags auf Erteilung des Züchterrechtsschutzes, die DUS-Prüfung sowie für die Erteilung und Aufrechterhaltung der ausschließlichen Rechtstitel </w:t>
      </w:r>
      <w:hyperlink r:id="rId33" w:tgtFrame="_blank" w:history="1">
        <w:r w:rsidRPr="00A43EA1">
          <w:rPr>
            <w:rFonts w:cs="Arial"/>
          </w:rPr>
          <w:t>(ABl. Nr. 60 von 2004, Punkt 567</w:t>
        </w:r>
      </w:hyperlink>
      <w:r w:rsidRPr="00A43EA1">
        <w:rPr>
          <w:rFonts w:cs="Arial"/>
        </w:rPr>
        <w:t xml:space="preserve">; ABl. </w:t>
      </w:r>
      <w:hyperlink r:id="rId34" w:tgtFrame="_blank" w:history="1">
        <w:r w:rsidRPr="00A43EA1">
          <w:rPr>
            <w:rFonts w:cs="Arial"/>
          </w:rPr>
          <w:t>von 2015, Punkt 2166)</w:t>
        </w:r>
      </w:hyperlink>
      <w:r w:rsidRPr="00A43EA1">
        <w:rPr>
          <w:rFonts w:cs="Arial"/>
        </w:rPr>
        <w:t xml:space="preserve"> in Kraft.</w:t>
      </w:r>
    </w:p>
    <w:p w14:paraId="74DE6E4A" w14:textId="77777777" w:rsidR="00424F87" w:rsidRPr="00A43EA1" w:rsidRDefault="00424F87" w:rsidP="00424F87">
      <w:pPr>
        <w:tabs>
          <w:tab w:val="left" w:pos="4962"/>
        </w:tabs>
        <w:rPr>
          <w:rFonts w:cs="Arial"/>
        </w:rPr>
      </w:pPr>
    </w:p>
    <w:p w14:paraId="1439F051" w14:textId="77777777" w:rsidR="00424F87" w:rsidRPr="00A43EA1" w:rsidRDefault="00424F87" w:rsidP="00424F87">
      <w:pPr>
        <w:tabs>
          <w:tab w:val="left" w:pos="4962"/>
        </w:tabs>
        <w:rPr>
          <w:rFonts w:cs="Arial"/>
        </w:rPr>
      </w:pPr>
      <w:r w:rsidRPr="00A43EA1">
        <w:rPr>
          <w:rFonts w:cs="Arial"/>
        </w:rPr>
        <w:t>Polen wurde am 11. November 1989 Mitglied der UPOV und trat der Akte von 1991 des UPOV-Übereinkommens am 15. August 2003 als vierundzwanzigster Staat bei.</w:t>
      </w:r>
    </w:p>
    <w:p w14:paraId="0DC50867" w14:textId="77777777" w:rsidR="00424F87" w:rsidRPr="00A43EA1" w:rsidRDefault="00424F87" w:rsidP="00424F87">
      <w:pPr>
        <w:tabs>
          <w:tab w:val="left" w:pos="4962"/>
        </w:tabs>
        <w:rPr>
          <w:rFonts w:cs="Arial"/>
        </w:rPr>
      </w:pPr>
    </w:p>
    <w:p w14:paraId="5AE01B01" w14:textId="77777777" w:rsidR="00424F87" w:rsidRPr="00A43EA1" w:rsidRDefault="00424F87" w:rsidP="00424F87">
      <w:pPr>
        <w:tabs>
          <w:tab w:val="left" w:pos="4962"/>
        </w:tabs>
        <w:rPr>
          <w:rFonts w:cs="Arial"/>
        </w:rPr>
      </w:pPr>
    </w:p>
    <w:p w14:paraId="6278C90E" w14:textId="77777777" w:rsidR="00424F87" w:rsidRPr="00A43EA1" w:rsidRDefault="00424F87" w:rsidP="00424F87">
      <w:pPr>
        <w:tabs>
          <w:tab w:val="left" w:pos="567"/>
          <w:tab w:val="left" w:pos="4962"/>
        </w:tabs>
        <w:rPr>
          <w:rFonts w:cs="Arial"/>
          <w:u w:val="single"/>
        </w:rPr>
      </w:pPr>
      <w:r w:rsidRPr="00A43EA1">
        <w:rPr>
          <w:rFonts w:cs="Arial"/>
        </w:rPr>
        <w:t>2.</w:t>
      </w:r>
      <w:r w:rsidRPr="00A43EA1">
        <w:rPr>
          <w:rFonts w:cs="Arial"/>
        </w:rPr>
        <w:tab/>
      </w:r>
      <w:r w:rsidRPr="00A43EA1">
        <w:rPr>
          <w:rFonts w:cs="Arial"/>
          <w:u w:val="single"/>
        </w:rPr>
        <w:t>Zusammenarbeit bei der Prüfung</w:t>
      </w:r>
    </w:p>
    <w:p w14:paraId="4EC61A2B" w14:textId="77777777" w:rsidR="00424F87" w:rsidRPr="00A43EA1" w:rsidRDefault="00424F87" w:rsidP="00424F87">
      <w:pPr>
        <w:tabs>
          <w:tab w:val="left" w:pos="4962"/>
        </w:tabs>
        <w:rPr>
          <w:rFonts w:cs="Arial"/>
        </w:rPr>
      </w:pPr>
    </w:p>
    <w:p w14:paraId="20E6B5AB" w14:textId="77777777" w:rsidR="00424F87" w:rsidRPr="00A43EA1" w:rsidRDefault="00424F87" w:rsidP="00424F87">
      <w:pPr>
        <w:tabs>
          <w:tab w:val="left" w:pos="4962"/>
        </w:tabs>
        <w:rPr>
          <w:rFonts w:cs="Arial"/>
          <w:color w:val="000000"/>
        </w:rPr>
      </w:pPr>
      <w:r w:rsidRPr="00A43EA1">
        <w:rPr>
          <w:rFonts w:cs="Arial"/>
          <w:color w:val="000000"/>
        </w:rPr>
        <w:t>Das Forschungszentrum für Zuchtsortenprüfung (COBORU) in Słupia Wielka setzt seine Zusammenarbeit im Bereich der technischen Prüfung mit verschiedenen Ländern fort.</w:t>
      </w:r>
    </w:p>
    <w:p w14:paraId="4DD436FD" w14:textId="77777777" w:rsidR="00424F87" w:rsidRPr="00A43EA1" w:rsidRDefault="00424F87" w:rsidP="00424F87">
      <w:pPr>
        <w:tabs>
          <w:tab w:val="left" w:pos="4962"/>
        </w:tabs>
        <w:rPr>
          <w:rFonts w:cs="Arial"/>
        </w:rPr>
      </w:pPr>
    </w:p>
    <w:p w14:paraId="614E67E4" w14:textId="77777777" w:rsidR="00424F87" w:rsidRPr="00A43EA1" w:rsidRDefault="00424F87" w:rsidP="00424F87">
      <w:pPr>
        <w:tabs>
          <w:tab w:val="left" w:pos="4962"/>
        </w:tabs>
        <w:rPr>
          <w:rFonts w:cs="Arial"/>
        </w:rPr>
      </w:pPr>
      <w:r w:rsidRPr="00A43EA1">
        <w:rPr>
          <w:rFonts w:cs="Arial"/>
        </w:rPr>
        <w:t xml:space="preserve">Wir haben zweiseitige Vereinbarungen über die DUS-Prüfung mit der Tschechischen Republik, Ungarn und der Slowakei unterzeichnet.  Einseitige Vereinbarungen mit Estland, Lettland, Litauen, Rumänien, Slowenien und der Ukraine sind in Kraft. </w:t>
      </w:r>
    </w:p>
    <w:p w14:paraId="17F489D2" w14:textId="77777777" w:rsidR="00424F87" w:rsidRPr="00A43EA1" w:rsidRDefault="00424F87" w:rsidP="00424F87">
      <w:pPr>
        <w:tabs>
          <w:tab w:val="left" w:pos="4962"/>
        </w:tabs>
        <w:rPr>
          <w:rFonts w:cs="Arial"/>
          <w:color w:val="000000" w:themeColor="text1"/>
        </w:rPr>
      </w:pPr>
    </w:p>
    <w:p w14:paraId="1B57F7A9" w14:textId="77777777" w:rsidR="00424F87" w:rsidRPr="00A43EA1" w:rsidRDefault="00424F87" w:rsidP="00424F87">
      <w:pPr>
        <w:tabs>
          <w:tab w:val="left" w:pos="4962"/>
        </w:tabs>
        <w:rPr>
          <w:rFonts w:cs="Arial"/>
          <w:color w:val="000000" w:themeColor="text1"/>
        </w:rPr>
      </w:pPr>
      <w:r w:rsidRPr="00A43EA1">
        <w:rPr>
          <w:rFonts w:cs="Arial"/>
          <w:color w:val="000000" w:themeColor="text1"/>
        </w:rPr>
        <w:t xml:space="preserve">Im Berichtszeitraum führte Polen die DUS-Prüfungen für die Behörden folgender Länder durch:  Österreich (6 Sorten), Belgien (5 Sorten), </w:t>
      </w:r>
      <w:r w:rsidRPr="00A43EA1">
        <w:rPr>
          <w:rFonts w:cs="Arial"/>
        </w:rPr>
        <w:t xml:space="preserve">Kroatien </w:t>
      </w:r>
      <w:r w:rsidRPr="00A43EA1">
        <w:rPr>
          <w:rFonts w:cs="Arial"/>
          <w:color w:val="000000" w:themeColor="text1"/>
        </w:rPr>
        <w:t>(3 Sorten), Tschechische Republik (8 Sorten), Estland (11 Sorten), Finnland (5 Sorten), Frankreich (1 Sorte), Deutschland (3 Sorten), Ungarn (23 Sorten), Lettland (11 Sorten), Litauen (39 Sorten), Norwegen (3 Sorten), Slowakei (1 Sorte), Slowenien (3 Sorten), Spanien (1 Sorte), Schweden (2 Sorten), Schweiz (19 Sorten), Vereinigtes Königreich (1 Sorte) sowie für das CPVO (102 Sorten).</w:t>
      </w:r>
    </w:p>
    <w:p w14:paraId="18C4D4FB" w14:textId="77777777" w:rsidR="00424F87" w:rsidRPr="00A43EA1" w:rsidRDefault="00424F87" w:rsidP="00424F87">
      <w:pPr>
        <w:tabs>
          <w:tab w:val="left" w:pos="4962"/>
        </w:tabs>
        <w:rPr>
          <w:rFonts w:cs="Arial"/>
          <w:color w:val="000000" w:themeColor="text1"/>
        </w:rPr>
      </w:pPr>
    </w:p>
    <w:p w14:paraId="522B58B4" w14:textId="77777777" w:rsidR="00424F87" w:rsidRPr="00A43EA1" w:rsidRDefault="00424F87" w:rsidP="00424F87">
      <w:pPr>
        <w:tabs>
          <w:tab w:val="left" w:pos="4962"/>
        </w:tabs>
        <w:rPr>
          <w:rFonts w:cs="Arial"/>
          <w:color w:val="000000" w:themeColor="text1"/>
        </w:rPr>
      </w:pPr>
      <w:r w:rsidRPr="00A43EA1">
        <w:rPr>
          <w:rFonts w:cs="Arial"/>
          <w:color w:val="000000" w:themeColor="text1"/>
        </w:rPr>
        <w:t xml:space="preserve">Diese Prüfungen wurden für verschiedene Arten von Nutzpflanzen (116 Sorten), Gemüsepflanzen (19 Sorten), Zierpflanzen (80 Sorten) und Obstpflanzen (32 Sorten) durchgeführt. </w:t>
      </w:r>
    </w:p>
    <w:p w14:paraId="63F6E215" w14:textId="77777777" w:rsidR="00424F87" w:rsidRPr="00A43EA1" w:rsidRDefault="00424F87" w:rsidP="00424F87">
      <w:pPr>
        <w:tabs>
          <w:tab w:val="left" w:pos="4962"/>
        </w:tabs>
        <w:rPr>
          <w:rFonts w:cs="Arial"/>
          <w:color w:val="000000" w:themeColor="text1"/>
        </w:rPr>
      </w:pPr>
    </w:p>
    <w:p w14:paraId="114C20AA" w14:textId="77777777" w:rsidR="00424F87" w:rsidRPr="00A43EA1" w:rsidRDefault="00424F87" w:rsidP="00424F87">
      <w:pPr>
        <w:tabs>
          <w:tab w:val="left" w:pos="4962"/>
        </w:tabs>
        <w:rPr>
          <w:rFonts w:cs="Arial"/>
          <w:color w:val="000000" w:themeColor="text1"/>
        </w:rPr>
      </w:pPr>
      <w:r w:rsidRPr="00A43EA1">
        <w:rPr>
          <w:rFonts w:cs="Arial"/>
          <w:color w:val="000000" w:themeColor="text1"/>
        </w:rPr>
        <w:t>Insgesamt wurden 247 Sorten als Auftragsarbeit für die oben genannten Behörden geprüft.</w:t>
      </w:r>
    </w:p>
    <w:p w14:paraId="308DD5DA" w14:textId="77777777" w:rsidR="00424F87" w:rsidRPr="00A43EA1" w:rsidRDefault="00424F87" w:rsidP="00424F87">
      <w:pPr>
        <w:tabs>
          <w:tab w:val="left" w:pos="4962"/>
        </w:tabs>
        <w:rPr>
          <w:rFonts w:cs="Arial"/>
        </w:rPr>
      </w:pPr>
    </w:p>
    <w:p w14:paraId="4C51D999" w14:textId="7F0E3FCB" w:rsidR="00424F87" w:rsidRPr="00A43EA1" w:rsidRDefault="00424F87" w:rsidP="00424F87">
      <w:pPr>
        <w:tabs>
          <w:tab w:val="left" w:pos="4962"/>
        </w:tabs>
        <w:rPr>
          <w:rFonts w:cs="Arial"/>
        </w:rPr>
      </w:pPr>
      <w:r w:rsidRPr="00A43EA1">
        <w:rPr>
          <w:rFonts w:cs="Arial"/>
        </w:rPr>
        <w:t xml:space="preserve">Wie in den Vorjahren haben einige Behörden, nämlich: Österreich, Belgien, Bosnien und Herzegowina, Bulgarien, Kanada, CPVO, Kroatien, Tschechische Republik, Dänemark, Estland, Finnland, Frankreich, Iran, Lettland, Litauen, Niederlande, Serbien, Spanien, Schweden, Schweiz, </w:t>
      </w:r>
      <w:r w:rsidR="00C6140B" w:rsidRPr="00855AC3">
        <w:rPr>
          <w:rFonts w:cs="Arial"/>
        </w:rPr>
        <w:t xml:space="preserve">Türkiye </w:t>
      </w:r>
      <w:r w:rsidRPr="00A43EA1">
        <w:rPr>
          <w:rFonts w:cs="Arial"/>
        </w:rPr>
        <w:t>und Vereinigtes Königreich übernahmen die technischen Prüfungsergebnisse vom COBORU, um ihre Entscheidungen für ihre eigenen Verfahren darauf zu stützen.</w:t>
      </w:r>
    </w:p>
    <w:p w14:paraId="7B158E68" w14:textId="77777777" w:rsidR="00424F87" w:rsidRPr="00A43EA1" w:rsidRDefault="00424F87" w:rsidP="00424F87">
      <w:pPr>
        <w:tabs>
          <w:tab w:val="left" w:pos="4962"/>
        </w:tabs>
        <w:rPr>
          <w:rFonts w:cs="Arial"/>
        </w:rPr>
      </w:pPr>
    </w:p>
    <w:p w14:paraId="05052518" w14:textId="77777777" w:rsidR="00424F87" w:rsidRPr="00A43EA1" w:rsidRDefault="00424F87" w:rsidP="00424F87">
      <w:pPr>
        <w:tabs>
          <w:tab w:val="left" w:pos="4962"/>
        </w:tabs>
        <w:rPr>
          <w:rFonts w:cs="Arial"/>
        </w:rPr>
      </w:pPr>
      <w:r w:rsidRPr="00A43EA1">
        <w:rPr>
          <w:rFonts w:cs="Arial"/>
        </w:rPr>
        <w:t>Polen beteiligte sich aktiv an der Ausarbeitung der technischen Protokolle auf den vom CPVO organisierten Tagungen.</w:t>
      </w:r>
    </w:p>
    <w:p w14:paraId="316CC031" w14:textId="77777777" w:rsidR="00424F87" w:rsidRPr="00A43EA1" w:rsidRDefault="00424F87" w:rsidP="00424F87">
      <w:pPr>
        <w:tabs>
          <w:tab w:val="left" w:pos="4962"/>
        </w:tabs>
        <w:rPr>
          <w:rFonts w:cs="Arial"/>
        </w:rPr>
      </w:pPr>
    </w:p>
    <w:p w14:paraId="3415F3AA" w14:textId="77777777" w:rsidR="00424F87" w:rsidRPr="00A43EA1" w:rsidRDefault="00424F87" w:rsidP="00424F87">
      <w:pPr>
        <w:tabs>
          <w:tab w:val="left" w:pos="4962"/>
        </w:tabs>
        <w:rPr>
          <w:rFonts w:cs="Arial"/>
        </w:rPr>
      </w:pPr>
    </w:p>
    <w:p w14:paraId="49318EC2" w14:textId="77777777" w:rsidR="00424F87" w:rsidRPr="00A43EA1" w:rsidRDefault="00424F87" w:rsidP="00C6140B">
      <w:pPr>
        <w:keepNext/>
        <w:tabs>
          <w:tab w:val="left" w:pos="567"/>
        </w:tabs>
        <w:rPr>
          <w:rFonts w:cs="Arial"/>
          <w:u w:val="single"/>
        </w:rPr>
      </w:pPr>
      <w:r w:rsidRPr="00A43EA1">
        <w:rPr>
          <w:rFonts w:cs="Arial"/>
        </w:rPr>
        <w:lastRenderedPageBreak/>
        <w:t>3. und 4.</w:t>
      </w:r>
      <w:r w:rsidRPr="00A43EA1">
        <w:rPr>
          <w:rFonts w:cs="Arial"/>
        </w:rPr>
        <w:tab/>
      </w:r>
      <w:r w:rsidRPr="00A43EA1">
        <w:rPr>
          <w:rFonts w:cs="Arial"/>
          <w:u w:val="single"/>
        </w:rPr>
        <w:t>Situation in den administrativen und technischen Bereichen</w:t>
      </w:r>
    </w:p>
    <w:p w14:paraId="0D3E85B1" w14:textId="77777777" w:rsidR="00424F87" w:rsidRPr="00A43EA1" w:rsidRDefault="00424F87" w:rsidP="00C6140B">
      <w:pPr>
        <w:keepNext/>
        <w:tabs>
          <w:tab w:val="left" w:pos="567"/>
          <w:tab w:val="left" w:pos="4962"/>
        </w:tabs>
        <w:rPr>
          <w:rFonts w:cs="Arial"/>
          <w:u w:val="single"/>
        </w:rPr>
      </w:pPr>
    </w:p>
    <w:p w14:paraId="329B8947" w14:textId="77777777" w:rsidR="00424F87" w:rsidRPr="00A43EA1" w:rsidRDefault="00424F87" w:rsidP="00424F87">
      <w:pPr>
        <w:rPr>
          <w:rFonts w:cs="Arial"/>
        </w:rPr>
      </w:pPr>
      <w:r w:rsidRPr="00A43EA1">
        <w:rPr>
          <w:rFonts w:cs="Arial"/>
        </w:rPr>
        <w:t>Die Sortenprüfungstätigkeit des COBORU auf dem Gebiet der DUS-Prüfung wird in 12 verschiedenen, über das ganze Land verteilten Versuchsstationen für die Sortenprüfung durchgeführt.</w:t>
      </w:r>
    </w:p>
    <w:p w14:paraId="13EE488E" w14:textId="77777777" w:rsidR="00424F87" w:rsidRPr="00A43EA1" w:rsidRDefault="00424F87" w:rsidP="00424F87">
      <w:pPr>
        <w:rPr>
          <w:rFonts w:cs="Arial"/>
        </w:rPr>
      </w:pPr>
    </w:p>
    <w:p w14:paraId="3762284F" w14:textId="77777777" w:rsidR="00424F87" w:rsidRPr="00A43EA1" w:rsidRDefault="00424F87" w:rsidP="00424F87">
      <w:pPr>
        <w:tabs>
          <w:tab w:val="left" w:pos="567"/>
          <w:tab w:val="left" w:pos="4962"/>
        </w:tabs>
        <w:rPr>
          <w:rFonts w:cs="Arial"/>
        </w:rPr>
      </w:pPr>
      <w:r w:rsidRPr="00A43EA1">
        <w:rPr>
          <w:rFonts w:cs="Arial"/>
        </w:rPr>
        <w:t xml:space="preserve">Im Jahr 2022 wurden 11 254 Sorten innerhalb von 197 Pflanzenarten geprüft (darunter 10 077 Sorten in der lebenden Vergleichssammlung und 1 177 Kandidatensorten). </w:t>
      </w:r>
    </w:p>
    <w:p w14:paraId="4BB1256E" w14:textId="77777777" w:rsidR="00424F87" w:rsidRPr="00A43EA1" w:rsidRDefault="00424F87" w:rsidP="00424F87">
      <w:pPr>
        <w:tabs>
          <w:tab w:val="left" w:pos="567"/>
          <w:tab w:val="left" w:pos="4962"/>
        </w:tabs>
        <w:rPr>
          <w:rFonts w:cs="Arial"/>
        </w:rPr>
      </w:pPr>
    </w:p>
    <w:p w14:paraId="65F5D8C8" w14:textId="77777777" w:rsidR="00424F87" w:rsidRPr="00A43EA1" w:rsidRDefault="00424F87" w:rsidP="00424F87">
      <w:pPr>
        <w:keepNext/>
        <w:tabs>
          <w:tab w:val="left" w:pos="567"/>
          <w:tab w:val="left" w:pos="4962"/>
        </w:tabs>
        <w:rPr>
          <w:rFonts w:cs="Arial"/>
        </w:rPr>
      </w:pPr>
      <w:r w:rsidRPr="00A43EA1">
        <w:rPr>
          <w:rFonts w:cs="Arial"/>
        </w:rPr>
        <w:t>Die Zahl der in Polen geprüften Sorten je Pflanzensektor ist in der nachstehenden Grafik dargestellt.</w:t>
      </w:r>
    </w:p>
    <w:p w14:paraId="238A591C" w14:textId="77777777" w:rsidR="00424F87" w:rsidRPr="00A43EA1" w:rsidRDefault="00424F87" w:rsidP="00424F87">
      <w:pPr>
        <w:keepNext/>
        <w:tabs>
          <w:tab w:val="left" w:pos="567"/>
          <w:tab w:val="left" w:pos="4962"/>
        </w:tabs>
        <w:rPr>
          <w:rFonts w:cs="Arial"/>
        </w:rPr>
      </w:pPr>
    </w:p>
    <w:p w14:paraId="0D894298" w14:textId="77777777" w:rsidR="00424F87" w:rsidRPr="00A43EA1" w:rsidRDefault="00424F87" w:rsidP="00424F87">
      <w:pPr>
        <w:pStyle w:val="Heading8"/>
        <w:rPr>
          <w:rFonts w:ascii="Arial" w:hAnsi="Arial" w:cs="Arial"/>
          <w:sz w:val="20"/>
          <w:lang w:val="de-DE"/>
        </w:rPr>
      </w:pPr>
      <w:r w:rsidRPr="00A43EA1">
        <w:rPr>
          <w:rFonts w:ascii="Arial" w:hAnsi="Arial" w:cs="Arial"/>
          <w:sz w:val="20"/>
          <w:lang w:val="de-DE"/>
        </w:rPr>
        <w:t>Anzahl der Sorten in der DUS-Prüfung im Jahr 2022</w:t>
      </w:r>
    </w:p>
    <w:p w14:paraId="65CC7644" w14:textId="77777777" w:rsidR="00424F87" w:rsidRPr="00A43EA1" w:rsidRDefault="00424F87" w:rsidP="00424F87">
      <w:pPr>
        <w:rPr>
          <w:rFonts w:cs="Arial"/>
        </w:rPr>
      </w:pPr>
    </w:p>
    <w:p w14:paraId="6FE1FF9E" w14:textId="77777777" w:rsidR="00424F87" w:rsidRPr="00A43EA1" w:rsidRDefault="00424F87" w:rsidP="00424F87">
      <w:pPr>
        <w:rPr>
          <w:rFonts w:cs="Arial"/>
        </w:rPr>
      </w:pPr>
      <w:r w:rsidRPr="00A43EA1">
        <w:rPr>
          <w:rFonts w:cs="Arial"/>
        </w:rPr>
        <w:drawing>
          <wp:inline distT="0" distB="0" distL="0" distR="0" wp14:anchorId="54FE5A2F" wp14:editId="3CD6AEE4">
            <wp:extent cx="5760720" cy="3409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3409950"/>
                    </a:xfrm>
                    <a:prstGeom prst="rect">
                      <a:avLst/>
                    </a:prstGeom>
                  </pic:spPr>
                </pic:pic>
              </a:graphicData>
            </a:graphic>
          </wp:inline>
        </w:drawing>
      </w:r>
    </w:p>
    <w:p w14:paraId="4C184656" w14:textId="77777777" w:rsidR="00424F87" w:rsidRPr="00A43EA1" w:rsidRDefault="00424F87" w:rsidP="00424F87">
      <w:pPr>
        <w:rPr>
          <w:rFonts w:cs="Arial"/>
        </w:rPr>
      </w:pPr>
    </w:p>
    <w:p w14:paraId="5A4F277C" w14:textId="77777777" w:rsidR="00424F87" w:rsidRPr="00A43EA1" w:rsidRDefault="00424F87" w:rsidP="00424F87">
      <w:pPr>
        <w:pStyle w:val="BodyText"/>
        <w:rPr>
          <w:rFonts w:cs="Arial"/>
        </w:rPr>
      </w:pPr>
      <w:r w:rsidRPr="00A43EA1">
        <w:rPr>
          <w:rFonts w:cs="Arial"/>
        </w:rPr>
        <w:t>Im Jahr 2022 gingen beim COBORU insgesamt 116 Anträge auf Erteilung nationaler Züchterrechte ein, was einen Rückgang um 7 Anträge im Vergleich zum Vorjahr bedeutet.</w:t>
      </w:r>
    </w:p>
    <w:p w14:paraId="29AA9C83" w14:textId="77777777" w:rsidR="00424F87" w:rsidRPr="00A43EA1" w:rsidRDefault="00424F87" w:rsidP="00424F87">
      <w:pPr>
        <w:pStyle w:val="BodyText"/>
        <w:rPr>
          <w:rFonts w:cs="Arial"/>
        </w:rPr>
      </w:pPr>
    </w:p>
    <w:p w14:paraId="1143069D" w14:textId="77777777" w:rsidR="00424F87" w:rsidRPr="00A43EA1" w:rsidRDefault="00424F87" w:rsidP="00424F87">
      <w:pPr>
        <w:pStyle w:val="BodyText"/>
        <w:rPr>
          <w:rFonts w:cs="Arial"/>
        </w:rPr>
      </w:pPr>
      <w:r w:rsidRPr="00A43EA1">
        <w:rPr>
          <w:rFonts w:cs="Arial"/>
        </w:rPr>
        <w:t>Vom 1. Januar bis 30. August 2023 wurden 81 neue Anträge auf Erteilung nationaler Züchterrechte eingereicht, darunter 57 inländische und 24 ausländische. Diese Zahl ist um 3 Anträge höher als die im vorhergehenden Berichtszeitraum beobachtete (78).</w:t>
      </w:r>
    </w:p>
    <w:p w14:paraId="53617147" w14:textId="77777777" w:rsidR="00424F87" w:rsidRPr="00A43EA1" w:rsidRDefault="00424F87" w:rsidP="00424F87">
      <w:pPr>
        <w:pStyle w:val="BodyText"/>
        <w:rPr>
          <w:rFonts w:cs="Arial"/>
        </w:rPr>
      </w:pPr>
    </w:p>
    <w:p w14:paraId="5C438C21" w14:textId="77777777" w:rsidR="00424F87" w:rsidRPr="00A43EA1" w:rsidRDefault="00424F87" w:rsidP="00424F87">
      <w:pPr>
        <w:pStyle w:val="BodyText"/>
        <w:rPr>
          <w:rFonts w:cs="Arial"/>
        </w:rPr>
      </w:pPr>
      <w:r w:rsidRPr="00A43EA1">
        <w:rPr>
          <w:rFonts w:cs="Arial"/>
        </w:rPr>
        <w:t xml:space="preserve">Im Jahr 2022 erteilte der Direktor des COBORU 65 nationale Schutztitel (23 Titel weniger als im Jahr 2021). Ende 2022 waren 1.317 nationale Züchterrechtstitel in Kraft, was im Vergleich zum Vorjahr einen Anstieg um 4 Sorten bedeutet. </w:t>
      </w:r>
    </w:p>
    <w:p w14:paraId="2663B7F0" w14:textId="77777777" w:rsidR="00424F87" w:rsidRPr="00A43EA1" w:rsidRDefault="00424F87" w:rsidP="00424F87">
      <w:pPr>
        <w:pStyle w:val="BodyText"/>
        <w:rPr>
          <w:rFonts w:cs="Arial"/>
        </w:rPr>
      </w:pPr>
    </w:p>
    <w:p w14:paraId="5A9445E2" w14:textId="77777777" w:rsidR="00424F87" w:rsidRPr="00A43EA1" w:rsidRDefault="00424F87" w:rsidP="00424F87">
      <w:pPr>
        <w:pStyle w:val="BodyText"/>
        <w:rPr>
          <w:rFonts w:cs="Arial"/>
        </w:rPr>
      </w:pPr>
      <w:r w:rsidRPr="00A43EA1">
        <w:rPr>
          <w:rFonts w:cs="Arial"/>
        </w:rPr>
        <w:t>Im Zeitraum vom 1. Januar bis 30. August 2023 wurden 56 nationale Züchterrechtsschutztitel erteilt. Insgesamt sind in Polen 1.328 Sorten geschützt (Stand: 30. August 2023).</w:t>
      </w:r>
    </w:p>
    <w:p w14:paraId="0549C4D3" w14:textId="77777777" w:rsidR="00424F87" w:rsidRPr="00A43EA1" w:rsidRDefault="00424F87" w:rsidP="00424F87">
      <w:pPr>
        <w:pStyle w:val="BodyText"/>
        <w:rPr>
          <w:rFonts w:cs="Arial"/>
        </w:rPr>
      </w:pPr>
    </w:p>
    <w:p w14:paraId="7A107E55" w14:textId="77777777" w:rsidR="00424F87" w:rsidRPr="00A43EA1" w:rsidRDefault="00424F87" w:rsidP="00424F87">
      <w:pPr>
        <w:pStyle w:val="BodyText"/>
        <w:rPr>
          <w:rFonts w:cs="Arial"/>
        </w:rPr>
      </w:pPr>
      <w:r w:rsidRPr="00A43EA1">
        <w:rPr>
          <w:rFonts w:cs="Arial"/>
        </w:rPr>
        <w:t>Einzelheiten zu den Statistiken sind in der nachstehenden Tabelle aufgeführt.</w:t>
      </w:r>
    </w:p>
    <w:p w14:paraId="65CB7F1C" w14:textId="77777777" w:rsidR="00424F87" w:rsidRPr="00A43EA1" w:rsidRDefault="00424F87" w:rsidP="00424F87">
      <w:pPr>
        <w:pStyle w:val="BodyText"/>
        <w:rPr>
          <w:rFonts w:cs="Arial"/>
        </w:rPr>
      </w:pPr>
    </w:p>
    <w:p w14:paraId="4AD8354E" w14:textId="77777777" w:rsidR="00424F87" w:rsidRPr="00A43EA1" w:rsidRDefault="00424F87" w:rsidP="00424F87">
      <w:pPr>
        <w:rPr>
          <w:rFonts w:cs="Arial"/>
        </w:rPr>
      </w:pPr>
      <w:r w:rsidRPr="00A43EA1">
        <w:rPr>
          <w:rFonts w:cs="Arial"/>
        </w:rPr>
        <w:t>In der Spalte "Erloschene Schutztitel" sind 13 Sorten enthalten, für die im Berichtszeitraum die nationalen Züchterrechte abgelaufen sind.</w:t>
      </w:r>
    </w:p>
    <w:p w14:paraId="6381CCE5" w14:textId="7B1ACB84" w:rsidR="00ED657B" w:rsidRDefault="00ED657B">
      <w:pPr>
        <w:jc w:val="left"/>
      </w:pPr>
      <w:r>
        <w:br w:type="page"/>
      </w:r>
    </w:p>
    <w:p w14:paraId="4DFE8A3A" w14:textId="77777777" w:rsidR="00424F87" w:rsidRPr="00A43EA1" w:rsidRDefault="00424F87" w:rsidP="00424F87"/>
    <w:tbl>
      <w:tblPr>
        <w:tblW w:w="9615" w:type="dxa"/>
        <w:tblLayout w:type="fixed"/>
        <w:tblCellMar>
          <w:left w:w="70" w:type="dxa"/>
          <w:right w:w="70" w:type="dxa"/>
        </w:tblCellMar>
        <w:tblLook w:val="04A0" w:firstRow="1" w:lastRow="0" w:firstColumn="1" w:lastColumn="0" w:noHBand="0" w:noVBand="1"/>
      </w:tblPr>
      <w:tblGrid>
        <w:gridCol w:w="1630"/>
        <w:gridCol w:w="1052"/>
        <w:gridCol w:w="854"/>
        <w:gridCol w:w="937"/>
        <w:gridCol w:w="1052"/>
        <w:gridCol w:w="846"/>
        <w:gridCol w:w="992"/>
        <w:gridCol w:w="993"/>
        <w:gridCol w:w="1247"/>
        <w:gridCol w:w="12"/>
      </w:tblGrid>
      <w:tr w:rsidR="00424F87" w:rsidRPr="00A43EA1" w14:paraId="71D0C626" w14:textId="77777777" w:rsidTr="00ED657B">
        <w:tc>
          <w:tcPr>
            <w:tcW w:w="1630" w:type="dxa"/>
            <w:tcBorders>
              <w:top w:val="single" w:sz="4" w:space="0" w:color="auto"/>
              <w:left w:val="single" w:sz="6" w:space="0" w:color="auto"/>
              <w:bottom w:val="nil"/>
              <w:right w:val="nil"/>
            </w:tcBorders>
          </w:tcPr>
          <w:p w14:paraId="059E6C0D" w14:textId="77777777" w:rsidR="00424F87" w:rsidRPr="00A43EA1" w:rsidRDefault="00424F87" w:rsidP="00C30F9D">
            <w:pPr>
              <w:jc w:val="center"/>
              <w:rPr>
                <w:rFonts w:cs="Arial"/>
                <w:sz w:val="18"/>
                <w:szCs w:val="18"/>
              </w:rPr>
            </w:pPr>
          </w:p>
          <w:p w14:paraId="29A3CFB1" w14:textId="77777777" w:rsidR="00424F87" w:rsidRPr="00A43EA1" w:rsidRDefault="00424F87" w:rsidP="00C30F9D">
            <w:pPr>
              <w:jc w:val="center"/>
              <w:rPr>
                <w:rFonts w:cs="Arial"/>
                <w:sz w:val="18"/>
                <w:szCs w:val="18"/>
              </w:rPr>
            </w:pPr>
            <w:r w:rsidRPr="00A43EA1">
              <w:rPr>
                <w:rFonts w:cs="Arial"/>
                <w:sz w:val="18"/>
                <w:szCs w:val="18"/>
              </w:rPr>
              <w:t>Pflanze</w:t>
            </w:r>
          </w:p>
          <w:p w14:paraId="0C639025" w14:textId="77777777" w:rsidR="00424F87" w:rsidRPr="00A43EA1" w:rsidRDefault="00424F87" w:rsidP="00C30F9D">
            <w:pPr>
              <w:jc w:val="center"/>
              <w:rPr>
                <w:rFonts w:cs="Arial"/>
                <w:sz w:val="18"/>
                <w:szCs w:val="18"/>
              </w:rPr>
            </w:pPr>
            <w:r w:rsidRPr="00A43EA1">
              <w:rPr>
                <w:rFonts w:cs="Arial"/>
                <w:sz w:val="18"/>
                <w:szCs w:val="18"/>
              </w:rPr>
              <w:t>Arten</w:t>
            </w:r>
          </w:p>
        </w:tc>
        <w:tc>
          <w:tcPr>
            <w:tcW w:w="2843" w:type="dxa"/>
            <w:gridSpan w:val="3"/>
            <w:tcBorders>
              <w:top w:val="single" w:sz="4" w:space="0" w:color="auto"/>
              <w:left w:val="single" w:sz="12" w:space="0" w:color="auto"/>
              <w:bottom w:val="nil"/>
              <w:right w:val="single" w:sz="12" w:space="0" w:color="auto"/>
            </w:tcBorders>
            <w:hideMark/>
          </w:tcPr>
          <w:p w14:paraId="629DA2EC" w14:textId="77777777" w:rsidR="00424F87" w:rsidRPr="00A43EA1" w:rsidRDefault="00424F87" w:rsidP="00C30F9D">
            <w:pPr>
              <w:jc w:val="center"/>
              <w:rPr>
                <w:rFonts w:cs="Arial"/>
                <w:sz w:val="18"/>
                <w:szCs w:val="18"/>
              </w:rPr>
            </w:pPr>
            <w:r w:rsidRPr="00A43EA1">
              <w:rPr>
                <w:rFonts w:cs="Arial"/>
                <w:sz w:val="18"/>
                <w:szCs w:val="18"/>
              </w:rPr>
              <w:t>Anträge für PBR</w:t>
            </w:r>
          </w:p>
          <w:p w14:paraId="54801C83" w14:textId="77777777" w:rsidR="00424F87" w:rsidRPr="00A43EA1" w:rsidRDefault="00424F87" w:rsidP="00C30F9D">
            <w:pPr>
              <w:jc w:val="center"/>
              <w:rPr>
                <w:rFonts w:cs="Arial"/>
                <w:sz w:val="18"/>
                <w:szCs w:val="18"/>
              </w:rPr>
            </w:pPr>
            <w:r w:rsidRPr="00A43EA1">
              <w:rPr>
                <w:rFonts w:cs="Arial"/>
                <w:sz w:val="18"/>
                <w:szCs w:val="18"/>
              </w:rPr>
              <w:t>1.01. - 30.08.2023</w:t>
            </w:r>
          </w:p>
        </w:tc>
        <w:tc>
          <w:tcPr>
            <w:tcW w:w="2890" w:type="dxa"/>
            <w:gridSpan w:val="3"/>
            <w:tcBorders>
              <w:top w:val="single" w:sz="4" w:space="0" w:color="auto"/>
              <w:left w:val="nil"/>
              <w:bottom w:val="nil"/>
              <w:right w:val="single" w:sz="12" w:space="0" w:color="auto"/>
            </w:tcBorders>
            <w:shd w:val="clear" w:color="auto" w:fill="FFFFFF"/>
            <w:hideMark/>
          </w:tcPr>
          <w:p w14:paraId="51D2B331" w14:textId="77777777" w:rsidR="00424F87" w:rsidRPr="00A43EA1" w:rsidRDefault="00424F87" w:rsidP="00C30F9D">
            <w:pPr>
              <w:shd w:val="clear" w:color="auto" w:fill="FFFFFF"/>
              <w:jc w:val="center"/>
              <w:rPr>
                <w:rFonts w:cs="Arial"/>
                <w:sz w:val="18"/>
                <w:szCs w:val="18"/>
              </w:rPr>
            </w:pPr>
            <w:r w:rsidRPr="00A43EA1">
              <w:rPr>
                <w:rFonts w:cs="Arial"/>
                <w:sz w:val="18"/>
                <w:szCs w:val="18"/>
              </w:rPr>
              <w:t>Erteilung von Züchterrechten</w:t>
            </w:r>
          </w:p>
          <w:p w14:paraId="1B314455" w14:textId="77777777" w:rsidR="00424F87" w:rsidRPr="00A43EA1" w:rsidRDefault="00424F87" w:rsidP="00C30F9D">
            <w:pPr>
              <w:shd w:val="clear" w:color="auto" w:fill="FFFFFF"/>
              <w:jc w:val="center"/>
              <w:rPr>
                <w:rFonts w:cs="Arial"/>
                <w:sz w:val="18"/>
                <w:szCs w:val="18"/>
              </w:rPr>
            </w:pPr>
            <w:r w:rsidRPr="00A43EA1">
              <w:rPr>
                <w:rFonts w:cs="Arial"/>
                <w:sz w:val="18"/>
                <w:szCs w:val="18"/>
              </w:rPr>
              <w:t>1.01. - 30.08.2023</w:t>
            </w:r>
          </w:p>
        </w:tc>
        <w:tc>
          <w:tcPr>
            <w:tcW w:w="993" w:type="dxa"/>
            <w:tcBorders>
              <w:top w:val="single" w:sz="4" w:space="0" w:color="auto"/>
              <w:left w:val="nil"/>
              <w:bottom w:val="nil"/>
              <w:right w:val="single" w:sz="12" w:space="0" w:color="auto"/>
            </w:tcBorders>
            <w:hideMark/>
          </w:tcPr>
          <w:p w14:paraId="4C172913" w14:textId="77777777" w:rsidR="00424F87" w:rsidRPr="00A43EA1" w:rsidRDefault="00424F87" w:rsidP="00C30F9D">
            <w:pPr>
              <w:jc w:val="center"/>
              <w:rPr>
                <w:rFonts w:cs="Arial"/>
                <w:sz w:val="18"/>
                <w:szCs w:val="18"/>
              </w:rPr>
            </w:pPr>
            <w:r w:rsidRPr="00A43EA1">
              <w:rPr>
                <w:rFonts w:cs="Arial"/>
                <w:sz w:val="18"/>
                <w:szCs w:val="18"/>
              </w:rPr>
              <w:t>Titel</w:t>
            </w:r>
          </w:p>
          <w:p w14:paraId="2F8FA096" w14:textId="77777777" w:rsidR="00424F87" w:rsidRPr="00A43EA1" w:rsidRDefault="00424F87" w:rsidP="00C30F9D">
            <w:pPr>
              <w:jc w:val="center"/>
              <w:rPr>
                <w:rFonts w:cs="Arial"/>
                <w:sz w:val="18"/>
                <w:szCs w:val="18"/>
              </w:rPr>
            </w:pPr>
            <w:r w:rsidRPr="00A43EA1">
              <w:rPr>
                <w:rFonts w:cs="Arial"/>
                <w:sz w:val="18"/>
                <w:szCs w:val="18"/>
              </w:rPr>
              <w:t>nach Wegfall</w:t>
            </w:r>
          </w:p>
        </w:tc>
        <w:tc>
          <w:tcPr>
            <w:tcW w:w="1259" w:type="dxa"/>
            <w:gridSpan w:val="2"/>
            <w:tcBorders>
              <w:top w:val="single" w:sz="4" w:space="0" w:color="auto"/>
              <w:left w:val="nil"/>
              <w:bottom w:val="nil"/>
              <w:right w:val="single" w:sz="6" w:space="0" w:color="auto"/>
            </w:tcBorders>
            <w:shd w:val="clear" w:color="auto" w:fill="FFFFFF"/>
            <w:hideMark/>
          </w:tcPr>
          <w:p w14:paraId="34105670" w14:textId="77777777" w:rsidR="00424F87" w:rsidRPr="00A43EA1" w:rsidRDefault="00424F87" w:rsidP="00C30F9D">
            <w:pPr>
              <w:ind w:right="-6"/>
              <w:jc w:val="center"/>
              <w:rPr>
                <w:rFonts w:cs="Arial"/>
                <w:sz w:val="18"/>
                <w:szCs w:val="18"/>
              </w:rPr>
            </w:pPr>
            <w:r w:rsidRPr="00A43EA1">
              <w:rPr>
                <w:rFonts w:cs="Arial"/>
                <w:sz w:val="18"/>
                <w:szCs w:val="18"/>
              </w:rPr>
              <w:t>Am 30.08.2023 geltende Titel</w:t>
            </w:r>
          </w:p>
        </w:tc>
      </w:tr>
      <w:tr w:rsidR="00424F87" w:rsidRPr="00A43EA1" w14:paraId="2370F7C3" w14:textId="77777777" w:rsidTr="00ED657B">
        <w:trPr>
          <w:gridAfter w:val="1"/>
          <w:wAfter w:w="12" w:type="dxa"/>
        </w:trPr>
        <w:tc>
          <w:tcPr>
            <w:tcW w:w="1630" w:type="dxa"/>
            <w:tcBorders>
              <w:top w:val="nil"/>
              <w:left w:val="single" w:sz="6" w:space="0" w:color="auto"/>
              <w:bottom w:val="nil"/>
              <w:right w:val="single" w:sz="12" w:space="0" w:color="auto"/>
            </w:tcBorders>
          </w:tcPr>
          <w:p w14:paraId="714E9A3C" w14:textId="77777777" w:rsidR="00424F87" w:rsidRPr="00A43EA1" w:rsidRDefault="00424F87" w:rsidP="00C30F9D">
            <w:pPr>
              <w:rPr>
                <w:rFonts w:cs="Arial"/>
                <w:sz w:val="18"/>
                <w:szCs w:val="18"/>
              </w:rPr>
            </w:pPr>
          </w:p>
        </w:tc>
        <w:tc>
          <w:tcPr>
            <w:tcW w:w="1052" w:type="dxa"/>
            <w:tcBorders>
              <w:top w:val="single" w:sz="6" w:space="0" w:color="auto"/>
              <w:left w:val="nil"/>
              <w:bottom w:val="nil"/>
              <w:right w:val="single" w:sz="6" w:space="0" w:color="auto"/>
            </w:tcBorders>
            <w:hideMark/>
          </w:tcPr>
          <w:p w14:paraId="6F7FE881" w14:textId="77777777" w:rsidR="00424F87" w:rsidRPr="00ED657B" w:rsidRDefault="00424F87" w:rsidP="00C30F9D">
            <w:pPr>
              <w:jc w:val="center"/>
              <w:rPr>
                <w:rFonts w:cs="Arial"/>
                <w:sz w:val="16"/>
                <w:szCs w:val="16"/>
              </w:rPr>
            </w:pPr>
            <w:r w:rsidRPr="00ED657B">
              <w:rPr>
                <w:rFonts w:cs="Arial"/>
                <w:sz w:val="16"/>
                <w:szCs w:val="16"/>
              </w:rPr>
              <w:t>inländisch</w:t>
            </w:r>
          </w:p>
        </w:tc>
        <w:tc>
          <w:tcPr>
            <w:tcW w:w="854" w:type="dxa"/>
            <w:tcBorders>
              <w:top w:val="single" w:sz="6" w:space="0" w:color="auto"/>
              <w:left w:val="nil"/>
              <w:bottom w:val="nil"/>
              <w:right w:val="single" w:sz="6" w:space="0" w:color="auto"/>
            </w:tcBorders>
            <w:hideMark/>
          </w:tcPr>
          <w:p w14:paraId="19078EAF" w14:textId="77777777" w:rsidR="00424F87" w:rsidRPr="00ED657B" w:rsidRDefault="00424F87" w:rsidP="00C30F9D">
            <w:pPr>
              <w:jc w:val="center"/>
              <w:rPr>
                <w:rFonts w:cs="Arial"/>
                <w:sz w:val="16"/>
                <w:szCs w:val="16"/>
              </w:rPr>
            </w:pPr>
            <w:r w:rsidRPr="00ED657B">
              <w:rPr>
                <w:rFonts w:cs="Arial"/>
                <w:sz w:val="16"/>
                <w:szCs w:val="16"/>
              </w:rPr>
              <w:t>Ausland</w:t>
            </w:r>
          </w:p>
        </w:tc>
        <w:tc>
          <w:tcPr>
            <w:tcW w:w="937" w:type="dxa"/>
            <w:tcBorders>
              <w:top w:val="single" w:sz="6" w:space="0" w:color="auto"/>
              <w:left w:val="nil"/>
              <w:bottom w:val="nil"/>
              <w:right w:val="single" w:sz="12" w:space="0" w:color="auto"/>
            </w:tcBorders>
            <w:hideMark/>
          </w:tcPr>
          <w:p w14:paraId="51F97FC1" w14:textId="77777777" w:rsidR="00424F87" w:rsidRPr="00ED657B" w:rsidRDefault="00424F87" w:rsidP="00C30F9D">
            <w:pPr>
              <w:jc w:val="center"/>
              <w:rPr>
                <w:rFonts w:cs="Arial"/>
                <w:sz w:val="16"/>
                <w:szCs w:val="16"/>
              </w:rPr>
            </w:pPr>
            <w:r w:rsidRPr="00ED657B">
              <w:rPr>
                <w:rFonts w:cs="Arial"/>
                <w:sz w:val="16"/>
                <w:szCs w:val="16"/>
              </w:rPr>
              <w:t>zusammen</w:t>
            </w:r>
          </w:p>
        </w:tc>
        <w:tc>
          <w:tcPr>
            <w:tcW w:w="1052" w:type="dxa"/>
            <w:tcBorders>
              <w:top w:val="single" w:sz="6" w:space="0" w:color="auto"/>
              <w:left w:val="nil"/>
              <w:bottom w:val="nil"/>
              <w:right w:val="single" w:sz="6" w:space="0" w:color="auto"/>
            </w:tcBorders>
            <w:hideMark/>
          </w:tcPr>
          <w:p w14:paraId="6BA6E115" w14:textId="77777777" w:rsidR="00424F87" w:rsidRPr="00ED657B" w:rsidRDefault="00424F87" w:rsidP="00C30F9D">
            <w:pPr>
              <w:jc w:val="center"/>
              <w:rPr>
                <w:rFonts w:cs="Arial"/>
                <w:sz w:val="16"/>
                <w:szCs w:val="16"/>
              </w:rPr>
            </w:pPr>
            <w:r w:rsidRPr="00ED657B">
              <w:rPr>
                <w:rFonts w:cs="Arial"/>
                <w:sz w:val="16"/>
                <w:szCs w:val="16"/>
              </w:rPr>
              <w:t>inländisch</w:t>
            </w:r>
          </w:p>
        </w:tc>
        <w:tc>
          <w:tcPr>
            <w:tcW w:w="846" w:type="dxa"/>
            <w:tcBorders>
              <w:top w:val="single" w:sz="6" w:space="0" w:color="auto"/>
              <w:left w:val="nil"/>
              <w:bottom w:val="nil"/>
              <w:right w:val="single" w:sz="6" w:space="0" w:color="auto"/>
            </w:tcBorders>
            <w:hideMark/>
          </w:tcPr>
          <w:p w14:paraId="7C15D7E3" w14:textId="77777777" w:rsidR="00424F87" w:rsidRPr="00ED657B" w:rsidRDefault="00424F87" w:rsidP="00C30F9D">
            <w:pPr>
              <w:jc w:val="center"/>
              <w:rPr>
                <w:rFonts w:cs="Arial"/>
                <w:sz w:val="16"/>
                <w:szCs w:val="16"/>
              </w:rPr>
            </w:pPr>
            <w:r w:rsidRPr="00ED657B">
              <w:rPr>
                <w:rFonts w:cs="Arial"/>
                <w:sz w:val="16"/>
                <w:szCs w:val="16"/>
              </w:rPr>
              <w:t>Ausland</w:t>
            </w:r>
          </w:p>
        </w:tc>
        <w:tc>
          <w:tcPr>
            <w:tcW w:w="992" w:type="dxa"/>
            <w:tcBorders>
              <w:top w:val="single" w:sz="6" w:space="0" w:color="auto"/>
              <w:left w:val="nil"/>
              <w:bottom w:val="nil"/>
              <w:right w:val="single" w:sz="12" w:space="0" w:color="auto"/>
            </w:tcBorders>
            <w:hideMark/>
          </w:tcPr>
          <w:p w14:paraId="6D082A01" w14:textId="77777777" w:rsidR="00424F87" w:rsidRPr="00ED657B" w:rsidRDefault="00424F87" w:rsidP="00C30F9D">
            <w:pPr>
              <w:jc w:val="center"/>
              <w:rPr>
                <w:rFonts w:cs="Arial"/>
                <w:sz w:val="16"/>
                <w:szCs w:val="16"/>
              </w:rPr>
            </w:pPr>
            <w:r w:rsidRPr="00ED657B">
              <w:rPr>
                <w:rFonts w:cs="Arial"/>
                <w:sz w:val="16"/>
                <w:szCs w:val="16"/>
              </w:rPr>
              <w:t>zusammen</w:t>
            </w:r>
          </w:p>
        </w:tc>
        <w:tc>
          <w:tcPr>
            <w:tcW w:w="993" w:type="dxa"/>
            <w:tcBorders>
              <w:top w:val="nil"/>
              <w:left w:val="nil"/>
              <w:bottom w:val="nil"/>
              <w:right w:val="single" w:sz="12" w:space="0" w:color="auto"/>
            </w:tcBorders>
          </w:tcPr>
          <w:p w14:paraId="6D406305" w14:textId="77777777" w:rsidR="00424F87" w:rsidRPr="00ED657B" w:rsidRDefault="00424F87" w:rsidP="00C30F9D">
            <w:pPr>
              <w:jc w:val="center"/>
              <w:rPr>
                <w:rFonts w:cs="Arial"/>
                <w:sz w:val="16"/>
                <w:szCs w:val="16"/>
              </w:rPr>
            </w:pPr>
          </w:p>
        </w:tc>
        <w:tc>
          <w:tcPr>
            <w:tcW w:w="1247" w:type="dxa"/>
            <w:tcBorders>
              <w:top w:val="nil"/>
              <w:left w:val="nil"/>
              <w:bottom w:val="nil"/>
              <w:right w:val="single" w:sz="6" w:space="0" w:color="auto"/>
            </w:tcBorders>
            <w:shd w:val="clear" w:color="auto" w:fill="FFFFFF"/>
          </w:tcPr>
          <w:p w14:paraId="5A239DFE" w14:textId="77777777" w:rsidR="00424F87" w:rsidRPr="00ED657B" w:rsidRDefault="00424F87" w:rsidP="00C30F9D">
            <w:pPr>
              <w:jc w:val="center"/>
              <w:rPr>
                <w:rFonts w:cs="Arial"/>
                <w:sz w:val="16"/>
                <w:szCs w:val="16"/>
              </w:rPr>
            </w:pPr>
          </w:p>
        </w:tc>
      </w:tr>
      <w:tr w:rsidR="00424F87" w:rsidRPr="00A43EA1" w14:paraId="2F65F70F" w14:textId="77777777" w:rsidTr="00ED657B">
        <w:trPr>
          <w:gridAfter w:val="1"/>
          <w:wAfter w:w="12" w:type="dxa"/>
        </w:trPr>
        <w:tc>
          <w:tcPr>
            <w:tcW w:w="1630" w:type="dxa"/>
            <w:tcBorders>
              <w:top w:val="single" w:sz="12" w:space="0" w:color="auto"/>
              <w:left w:val="single" w:sz="6" w:space="0" w:color="auto"/>
              <w:bottom w:val="single" w:sz="6" w:space="0" w:color="auto"/>
              <w:right w:val="single" w:sz="12" w:space="0" w:color="auto"/>
            </w:tcBorders>
            <w:hideMark/>
          </w:tcPr>
          <w:p w14:paraId="3FDDA930" w14:textId="77777777" w:rsidR="00424F87" w:rsidRPr="00A43EA1" w:rsidRDefault="00424F87" w:rsidP="00C30F9D">
            <w:pPr>
              <w:spacing w:before="120"/>
              <w:jc w:val="center"/>
              <w:rPr>
                <w:rFonts w:cs="Arial"/>
                <w:sz w:val="18"/>
                <w:szCs w:val="18"/>
              </w:rPr>
            </w:pPr>
            <w:r w:rsidRPr="00A43EA1">
              <w:rPr>
                <w:rFonts w:cs="Arial"/>
                <w:sz w:val="18"/>
                <w:szCs w:val="18"/>
              </w:rPr>
              <w:t>Landwirtschaft</w:t>
            </w:r>
          </w:p>
        </w:tc>
        <w:tc>
          <w:tcPr>
            <w:tcW w:w="1052" w:type="dxa"/>
            <w:tcBorders>
              <w:top w:val="single" w:sz="12" w:space="0" w:color="auto"/>
              <w:left w:val="nil"/>
              <w:bottom w:val="single" w:sz="6" w:space="0" w:color="auto"/>
              <w:right w:val="single" w:sz="6" w:space="0" w:color="auto"/>
            </w:tcBorders>
            <w:hideMark/>
          </w:tcPr>
          <w:p w14:paraId="35B07CDE" w14:textId="77777777" w:rsidR="00424F87" w:rsidRPr="00A43EA1" w:rsidRDefault="00424F87" w:rsidP="00C30F9D">
            <w:pPr>
              <w:spacing w:before="120"/>
              <w:jc w:val="center"/>
              <w:rPr>
                <w:rFonts w:cs="Arial"/>
                <w:sz w:val="18"/>
                <w:szCs w:val="18"/>
              </w:rPr>
            </w:pPr>
            <w:r w:rsidRPr="00A43EA1">
              <w:rPr>
                <w:rFonts w:cs="Arial"/>
                <w:sz w:val="18"/>
                <w:szCs w:val="18"/>
              </w:rPr>
              <w:t>24</w:t>
            </w:r>
          </w:p>
        </w:tc>
        <w:tc>
          <w:tcPr>
            <w:tcW w:w="854" w:type="dxa"/>
            <w:tcBorders>
              <w:top w:val="single" w:sz="12" w:space="0" w:color="auto"/>
              <w:left w:val="single" w:sz="6" w:space="0" w:color="auto"/>
              <w:bottom w:val="single" w:sz="6" w:space="0" w:color="auto"/>
              <w:right w:val="single" w:sz="6" w:space="0" w:color="auto"/>
            </w:tcBorders>
            <w:hideMark/>
          </w:tcPr>
          <w:p w14:paraId="4EB30FBD" w14:textId="77777777" w:rsidR="00424F87" w:rsidRPr="00A43EA1" w:rsidRDefault="00424F87" w:rsidP="00C30F9D">
            <w:pPr>
              <w:spacing w:before="120"/>
              <w:jc w:val="center"/>
              <w:rPr>
                <w:rFonts w:cs="Arial"/>
                <w:sz w:val="18"/>
                <w:szCs w:val="18"/>
              </w:rPr>
            </w:pPr>
            <w:r w:rsidRPr="00A43EA1">
              <w:rPr>
                <w:rFonts w:cs="Arial"/>
                <w:sz w:val="18"/>
                <w:szCs w:val="18"/>
              </w:rPr>
              <w:t>3</w:t>
            </w:r>
          </w:p>
        </w:tc>
        <w:tc>
          <w:tcPr>
            <w:tcW w:w="937" w:type="dxa"/>
            <w:tcBorders>
              <w:top w:val="single" w:sz="12" w:space="0" w:color="auto"/>
              <w:left w:val="single" w:sz="6" w:space="0" w:color="auto"/>
              <w:bottom w:val="single" w:sz="6" w:space="0" w:color="auto"/>
              <w:right w:val="single" w:sz="12" w:space="0" w:color="auto"/>
            </w:tcBorders>
            <w:shd w:val="clear" w:color="auto" w:fill="D9D9D9"/>
            <w:hideMark/>
          </w:tcPr>
          <w:p w14:paraId="466F9D40" w14:textId="77777777" w:rsidR="00424F87" w:rsidRPr="00A43EA1" w:rsidRDefault="00424F87" w:rsidP="00C30F9D">
            <w:pPr>
              <w:spacing w:before="120"/>
              <w:jc w:val="center"/>
              <w:rPr>
                <w:rFonts w:cs="Arial"/>
                <w:sz w:val="18"/>
                <w:szCs w:val="18"/>
              </w:rPr>
            </w:pPr>
            <w:r w:rsidRPr="00A43EA1">
              <w:rPr>
                <w:rFonts w:cs="Arial"/>
                <w:sz w:val="18"/>
                <w:szCs w:val="18"/>
              </w:rPr>
              <w:t>27</w:t>
            </w:r>
          </w:p>
        </w:tc>
        <w:tc>
          <w:tcPr>
            <w:tcW w:w="1052" w:type="dxa"/>
            <w:tcBorders>
              <w:top w:val="single" w:sz="12" w:space="0" w:color="auto"/>
              <w:left w:val="nil"/>
              <w:bottom w:val="single" w:sz="6" w:space="0" w:color="auto"/>
              <w:right w:val="single" w:sz="6" w:space="0" w:color="auto"/>
            </w:tcBorders>
            <w:hideMark/>
          </w:tcPr>
          <w:p w14:paraId="42F0870D" w14:textId="77777777" w:rsidR="00424F87" w:rsidRPr="00A43EA1" w:rsidRDefault="00424F87" w:rsidP="00C30F9D">
            <w:pPr>
              <w:spacing w:before="120"/>
              <w:jc w:val="center"/>
              <w:rPr>
                <w:rFonts w:cs="Arial"/>
                <w:sz w:val="18"/>
                <w:szCs w:val="18"/>
              </w:rPr>
            </w:pPr>
            <w:r w:rsidRPr="00A43EA1">
              <w:rPr>
                <w:rFonts w:cs="Arial"/>
                <w:sz w:val="18"/>
                <w:szCs w:val="18"/>
              </w:rPr>
              <w:t>25</w:t>
            </w:r>
          </w:p>
        </w:tc>
        <w:tc>
          <w:tcPr>
            <w:tcW w:w="846" w:type="dxa"/>
            <w:tcBorders>
              <w:top w:val="single" w:sz="12" w:space="0" w:color="auto"/>
              <w:left w:val="single" w:sz="6" w:space="0" w:color="auto"/>
              <w:bottom w:val="single" w:sz="6" w:space="0" w:color="auto"/>
              <w:right w:val="single" w:sz="6" w:space="0" w:color="auto"/>
            </w:tcBorders>
            <w:hideMark/>
          </w:tcPr>
          <w:p w14:paraId="2079DFA8" w14:textId="77777777" w:rsidR="00424F87" w:rsidRPr="00A43EA1" w:rsidRDefault="00424F87" w:rsidP="00C30F9D">
            <w:pPr>
              <w:spacing w:before="120"/>
              <w:jc w:val="center"/>
              <w:rPr>
                <w:rFonts w:cs="Arial"/>
                <w:sz w:val="18"/>
                <w:szCs w:val="18"/>
              </w:rPr>
            </w:pPr>
            <w:r w:rsidRPr="00A43EA1">
              <w:rPr>
                <w:rFonts w:cs="Arial"/>
                <w:sz w:val="18"/>
                <w:szCs w:val="18"/>
              </w:rPr>
              <w:t>1</w:t>
            </w:r>
          </w:p>
        </w:tc>
        <w:tc>
          <w:tcPr>
            <w:tcW w:w="992" w:type="dxa"/>
            <w:tcBorders>
              <w:top w:val="single" w:sz="12" w:space="0" w:color="auto"/>
              <w:left w:val="single" w:sz="6" w:space="0" w:color="auto"/>
              <w:bottom w:val="single" w:sz="6" w:space="0" w:color="auto"/>
              <w:right w:val="single" w:sz="12" w:space="0" w:color="auto"/>
            </w:tcBorders>
            <w:shd w:val="clear" w:color="auto" w:fill="D9D9D9"/>
            <w:hideMark/>
          </w:tcPr>
          <w:p w14:paraId="7E85F303" w14:textId="77777777" w:rsidR="00424F87" w:rsidRPr="00A43EA1" w:rsidRDefault="00424F87" w:rsidP="00C30F9D">
            <w:pPr>
              <w:spacing w:before="120"/>
              <w:jc w:val="center"/>
              <w:rPr>
                <w:rFonts w:cs="Arial"/>
                <w:sz w:val="18"/>
                <w:szCs w:val="18"/>
              </w:rPr>
            </w:pPr>
            <w:r w:rsidRPr="00A43EA1">
              <w:rPr>
                <w:rFonts w:cs="Arial"/>
                <w:sz w:val="18"/>
                <w:szCs w:val="18"/>
              </w:rPr>
              <w:t>26</w:t>
            </w:r>
          </w:p>
        </w:tc>
        <w:tc>
          <w:tcPr>
            <w:tcW w:w="993" w:type="dxa"/>
            <w:tcBorders>
              <w:top w:val="single" w:sz="12" w:space="0" w:color="auto"/>
              <w:left w:val="nil"/>
              <w:bottom w:val="single" w:sz="6" w:space="0" w:color="auto"/>
              <w:right w:val="single" w:sz="12" w:space="0" w:color="auto"/>
            </w:tcBorders>
            <w:hideMark/>
          </w:tcPr>
          <w:p w14:paraId="73C8C920" w14:textId="77777777" w:rsidR="00424F87" w:rsidRPr="00A43EA1" w:rsidRDefault="00424F87" w:rsidP="00C30F9D">
            <w:pPr>
              <w:spacing w:before="120"/>
              <w:jc w:val="center"/>
              <w:rPr>
                <w:rFonts w:cs="Arial"/>
                <w:sz w:val="18"/>
                <w:szCs w:val="18"/>
              </w:rPr>
            </w:pPr>
            <w:r w:rsidRPr="00A43EA1">
              <w:rPr>
                <w:rFonts w:cs="Arial"/>
                <w:sz w:val="18"/>
                <w:szCs w:val="18"/>
              </w:rPr>
              <w:t>14</w:t>
            </w:r>
          </w:p>
        </w:tc>
        <w:tc>
          <w:tcPr>
            <w:tcW w:w="1247" w:type="dxa"/>
            <w:tcBorders>
              <w:top w:val="single" w:sz="12" w:space="0" w:color="auto"/>
              <w:left w:val="nil"/>
              <w:bottom w:val="single" w:sz="6" w:space="0" w:color="auto"/>
              <w:right w:val="single" w:sz="6" w:space="0" w:color="auto"/>
            </w:tcBorders>
            <w:shd w:val="clear" w:color="auto" w:fill="D9D9D9"/>
            <w:hideMark/>
          </w:tcPr>
          <w:p w14:paraId="78D8C762" w14:textId="77777777" w:rsidR="00424F87" w:rsidRPr="00A43EA1" w:rsidRDefault="00424F87" w:rsidP="00C30F9D">
            <w:pPr>
              <w:spacing w:before="120"/>
              <w:jc w:val="center"/>
              <w:rPr>
                <w:rFonts w:cs="Arial"/>
                <w:sz w:val="18"/>
                <w:szCs w:val="18"/>
              </w:rPr>
            </w:pPr>
            <w:r w:rsidRPr="00A43EA1">
              <w:rPr>
                <w:rFonts w:cs="Arial"/>
                <w:sz w:val="18"/>
                <w:szCs w:val="18"/>
              </w:rPr>
              <w:t>740</w:t>
            </w:r>
          </w:p>
        </w:tc>
      </w:tr>
      <w:tr w:rsidR="00424F87" w:rsidRPr="00A43EA1" w14:paraId="3DC4BD99" w14:textId="77777777" w:rsidTr="00ED657B">
        <w:trPr>
          <w:gridAfter w:val="1"/>
          <w:wAfter w:w="12" w:type="dxa"/>
        </w:trPr>
        <w:tc>
          <w:tcPr>
            <w:tcW w:w="1630" w:type="dxa"/>
            <w:tcBorders>
              <w:top w:val="single" w:sz="6" w:space="0" w:color="auto"/>
              <w:left w:val="single" w:sz="6" w:space="0" w:color="auto"/>
              <w:bottom w:val="single" w:sz="6" w:space="0" w:color="auto"/>
              <w:right w:val="single" w:sz="12" w:space="0" w:color="auto"/>
            </w:tcBorders>
            <w:hideMark/>
          </w:tcPr>
          <w:p w14:paraId="75C3C90C" w14:textId="77777777" w:rsidR="00424F87" w:rsidRPr="00A43EA1" w:rsidRDefault="00424F87" w:rsidP="00C30F9D">
            <w:pPr>
              <w:spacing w:before="120"/>
              <w:jc w:val="center"/>
              <w:rPr>
                <w:rFonts w:cs="Arial"/>
                <w:sz w:val="18"/>
                <w:szCs w:val="18"/>
              </w:rPr>
            </w:pPr>
            <w:r w:rsidRPr="00A43EA1">
              <w:rPr>
                <w:rFonts w:cs="Arial"/>
                <w:sz w:val="18"/>
                <w:szCs w:val="18"/>
              </w:rPr>
              <w:t>Gemüse</w:t>
            </w:r>
          </w:p>
        </w:tc>
        <w:tc>
          <w:tcPr>
            <w:tcW w:w="1052" w:type="dxa"/>
            <w:tcBorders>
              <w:top w:val="single" w:sz="6" w:space="0" w:color="auto"/>
              <w:left w:val="nil"/>
              <w:bottom w:val="single" w:sz="6" w:space="0" w:color="auto"/>
              <w:right w:val="single" w:sz="6" w:space="0" w:color="auto"/>
            </w:tcBorders>
            <w:hideMark/>
          </w:tcPr>
          <w:p w14:paraId="7304BFF3" w14:textId="77777777" w:rsidR="00424F87" w:rsidRPr="00A43EA1" w:rsidRDefault="00424F87" w:rsidP="00C30F9D">
            <w:pPr>
              <w:spacing w:before="120"/>
              <w:jc w:val="center"/>
              <w:rPr>
                <w:rFonts w:cs="Arial"/>
                <w:sz w:val="18"/>
                <w:szCs w:val="18"/>
              </w:rPr>
            </w:pPr>
            <w:r w:rsidRPr="00A43EA1">
              <w:rPr>
                <w:rFonts w:cs="Arial"/>
                <w:sz w:val="18"/>
                <w:szCs w:val="18"/>
              </w:rPr>
              <w:t>5</w:t>
            </w:r>
          </w:p>
        </w:tc>
        <w:tc>
          <w:tcPr>
            <w:tcW w:w="854" w:type="dxa"/>
            <w:tcBorders>
              <w:top w:val="single" w:sz="6" w:space="0" w:color="auto"/>
              <w:left w:val="single" w:sz="6" w:space="0" w:color="auto"/>
              <w:bottom w:val="single" w:sz="6" w:space="0" w:color="auto"/>
              <w:right w:val="single" w:sz="6" w:space="0" w:color="auto"/>
            </w:tcBorders>
            <w:hideMark/>
          </w:tcPr>
          <w:p w14:paraId="1844D161" w14:textId="77777777" w:rsidR="00424F87" w:rsidRPr="00A43EA1" w:rsidRDefault="00424F87" w:rsidP="00C30F9D">
            <w:pPr>
              <w:spacing w:before="120"/>
              <w:jc w:val="center"/>
              <w:rPr>
                <w:rFonts w:cs="Arial"/>
                <w:sz w:val="18"/>
                <w:szCs w:val="18"/>
              </w:rPr>
            </w:pPr>
            <w:r w:rsidRPr="00A43EA1">
              <w:rPr>
                <w:rFonts w:cs="Arial"/>
                <w:sz w:val="18"/>
                <w:szCs w:val="18"/>
              </w:rPr>
              <w:t>1</w:t>
            </w:r>
          </w:p>
        </w:tc>
        <w:tc>
          <w:tcPr>
            <w:tcW w:w="937" w:type="dxa"/>
            <w:tcBorders>
              <w:top w:val="single" w:sz="6" w:space="0" w:color="auto"/>
              <w:left w:val="single" w:sz="6" w:space="0" w:color="auto"/>
              <w:bottom w:val="single" w:sz="6" w:space="0" w:color="auto"/>
              <w:right w:val="single" w:sz="12" w:space="0" w:color="auto"/>
            </w:tcBorders>
            <w:shd w:val="clear" w:color="auto" w:fill="D9D9D9"/>
            <w:hideMark/>
          </w:tcPr>
          <w:p w14:paraId="232132B5" w14:textId="77777777" w:rsidR="00424F87" w:rsidRPr="00A43EA1" w:rsidRDefault="00424F87" w:rsidP="00C30F9D">
            <w:pPr>
              <w:spacing w:before="120"/>
              <w:jc w:val="center"/>
              <w:rPr>
                <w:rFonts w:cs="Arial"/>
                <w:sz w:val="18"/>
                <w:szCs w:val="18"/>
              </w:rPr>
            </w:pPr>
            <w:r w:rsidRPr="00A43EA1">
              <w:rPr>
                <w:rFonts w:cs="Arial"/>
                <w:sz w:val="18"/>
                <w:szCs w:val="18"/>
              </w:rPr>
              <w:t>6</w:t>
            </w:r>
          </w:p>
        </w:tc>
        <w:tc>
          <w:tcPr>
            <w:tcW w:w="1052" w:type="dxa"/>
            <w:tcBorders>
              <w:top w:val="single" w:sz="6" w:space="0" w:color="auto"/>
              <w:left w:val="nil"/>
              <w:bottom w:val="single" w:sz="6" w:space="0" w:color="auto"/>
              <w:right w:val="single" w:sz="6" w:space="0" w:color="auto"/>
            </w:tcBorders>
            <w:hideMark/>
          </w:tcPr>
          <w:p w14:paraId="4BA313A2" w14:textId="77777777" w:rsidR="00424F87" w:rsidRPr="00A43EA1" w:rsidRDefault="00424F87" w:rsidP="00C30F9D">
            <w:pPr>
              <w:spacing w:before="120"/>
              <w:jc w:val="center"/>
              <w:rPr>
                <w:rFonts w:cs="Arial"/>
                <w:sz w:val="18"/>
                <w:szCs w:val="18"/>
              </w:rPr>
            </w:pPr>
            <w:r w:rsidRPr="00A43EA1">
              <w:rPr>
                <w:rFonts w:cs="Arial"/>
                <w:sz w:val="18"/>
                <w:szCs w:val="18"/>
              </w:rPr>
              <w:t>9</w:t>
            </w:r>
          </w:p>
        </w:tc>
        <w:tc>
          <w:tcPr>
            <w:tcW w:w="846" w:type="dxa"/>
            <w:tcBorders>
              <w:top w:val="single" w:sz="6" w:space="0" w:color="auto"/>
              <w:left w:val="single" w:sz="6" w:space="0" w:color="auto"/>
              <w:bottom w:val="single" w:sz="6" w:space="0" w:color="auto"/>
              <w:right w:val="single" w:sz="6" w:space="0" w:color="auto"/>
            </w:tcBorders>
            <w:hideMark/>
          </w:tcPr>
          <w:p w14:paraId="4A350B70" w14:textId="77777777" w:rsidR="00424F87" w:rsidRPr="00A43EA1" w:rsidRDefault="00424F87" w:rsidP="00C30F9D">
            <w:pPr>
              <w:spacing w:before="120"/>
              <w:jc w:val="center"/>
              <w:rPr>
                <w:rFonts w:cs="Arial"/>
                <w:sz w:val="18"/>
                <w:szCs w:val="18"/>
              </w:rPr>
            </w:pPr>
            <w:r w:rsidRPr="00A43EA1">
              <w:rPr>
                <w:rFonts w:cs="Arial"/>
                <w:sz w:val="18"/>
                <w:szCs w:val="18"/>
              </w:rPr>
              <w:t>1</w:t>
            </w:r>
          </w:p>
        </w:tc>
        <w:tc>
          <w:tcPr>
            <w:tcW w:w="992" w:type="dxa"/>
            <w:tcBorders>
              <w:top w:val="single" w:sz="6" w:space="0" w:color="auto"/>
              <w:left w:val="single" w:sz="6" w:space="0" w:color="auto"/>
              <w:bottom w:val="single" w:sz="6" w:space="0" w:color="auto"/>
              <w:right w:val="single" w:sz="12" w:space="0" w:color="auto"/>
            </w:tcBorders>
            <w:shd w:val="clear" w:color="auto" w:fill="D9D9D9"/>
            <w:hideMark/>
          </w:tcPr>
          <w:p w14:paraId="70049C81" w14:textId="77777777" w:rsidR="00424F87" w:rsidRPr="00A43EA1" w:rsidRDefault="00424F87" w:rsidP="00C30F9D">
            <w:pPr>
              <w:spacing w:before="120"/>
              <w:jc w:val="center"/>
              <w:rPr>
                <w:rFonts w:cs="Arial"/>
                <w:sz w:val="18"/>
                <w:szCs w:val="18"/>
              </w:rPr>
            </w:pPr>
            <w:r w:rsidRPr="00A43EA1">
              <w:rPr>
                <w:rFonts w:cs="Arial"/>
                <w:sz w:val="18"/>
                <w:szCs w:val="18"/>
              </w:rPr>
              <w:t>10</w:t>
            </w:r>
          </w:p>
        </w:tc>
        <w:tc>
          <w:tcPr>
            <w:tcW w:w="993" w:type="dxa"/>
            <w:tcBorders>
              <w:top w:val="single" w:sz="6" w:space="0" w:color="auto"/>
              <w:left w:val="nil"/>
              <w:bottom w:val="single" w:sz="6" w:space="0" w:color="auto"/>
              <w:right w:val="single" w:sz="12" w:space="0" w:color="auto"/>
            </w:tcBorders>
            <w:hideMark/>
          </w:tcPr>
          <w:p w14:paraId="7BF4F260" w14:textId="77777777" w:rsidR="00424F87" w:rsidRPr="00A43EA1" w:rsidRDefault="00424F87" w:rsidP="00C30F9D">
            <w:pPr>
              <w:spacing w:before="120"/>
              <w:jc w:val="center"/>
              <w:rPr>
                <w:rFonts w:cs="Arial"/>
                <w:sz w:val="18"/>
                <w:szCs w:val="18"/>
              </w:rPr>
            </w:pPr>
            <w:r w:rsidRPr="00A43EA1">
              <w:rPr>
                <w:rFonts w:cs="Arial"/>
                <w:sz w:val="18"/>
                <w:szCs w:val="18"/>
              </w:rPr>
              <w:t>3</w:t>
            </w:r>
          </w:p>
        </w:tc>
        <w:tc>
          <w:tcPr>
            <w:tcW w:w="1247" w:type="dxa"/>
            <w:tcBorders>
              <w:top w:val="single" w:sz="6" w:space="0" w:color="auto"/>
              <w:left w:val="nil"/>
              <w:bottom w:val="single" w:sz="6" w:space="0" w:color="auto"/>
              <w:right w:val="single" w:sz="6" w:space="0" w:color="auto"/>
            </w:tcBorders>
            <w:shd w:val="clear" w:color="auto" w:fill="D9D9D9"/>
            <w:hideMark/>
          </w:tcPr>
          <w:p w14:paraId="7F035444" w14:textId="77777777" w:rsidR="00424F87" w:rsidRPr="00A43EA1" w:rsidRDefault="00424F87" w:rsidP="00C30F9D">
            <w:pPr>
              <w:spacing w:before="120"/>
              <w:jc w:val="center"/>
              <w:rPr>
                <w:rFonts w:cs="Arial"/>
                <w:sz w:val="18"/>
                <w:szCs w:val="18"/>
              </w:rPr>
            </w:pPr>
            <w:r w:rsidRPr="00A43EA1">
              <w:rPr>
                <w:rFonts w:cs="Arial"/>
                <w:sz w:val="18"/>
                <w:szCs w:val="18"/>
              </w:rPr>
              <w:t>214</w:t>
            </w:r>
          </w:p>
        </w:tc>
      </w:tr>
      <w:tr w:rsidR="00424F87" w:rsidRPr="00A43EA1" w14:paraId="01304113" w14:textId="77777777" w:rsidTr="00ED657B">
        <w:trPr>
          <w:gridAfter w:val="1"/>
          <w:wAfter w:w="12" w:type="dxa"/>
        </w:trPr>
        <w:tc>
          <w:tcPr>
            <w:tcW w:w="1630" w:type="dxa"/>
            <w:tcBorders>
              <w:top w:val="single" w:sz="6" w:space="0" w:color="auto"/>
              <w:left w:val="single" w:sz="6" w:space="0" w:color="auto"/>
              <w:bottom w:val="nil"/>
              <w:right w:val="single" w:sz="12" w:space="0" w:color="auto"/>
            </w:tcBorders>
            <w:hideMark/>
          </w:tcPr>
          <w:p w14:paraId="3FAA6B07" w14:textId="77777777" w:rsidR="00424F87" w:rsidRPr="00A43EA1" w:rsidRDefault="00424F87" w:rsidP="00C30F9D">
            <w:pPr>
              <w:spacing w:before="120"/>
              <w:jc w:val="center"/>
              <w:rPr>
                <w:rFonts w:cs="Arial"/>
                <w:sz w:val="18"/>
                <w:szCs w:val="18"/>
              </w:rPr>
            </w:pPr>
            <w:r w:rsidRPr="00A43EA1">
              <w:rPr>
                <w:rFonts w:cs="Arial"/>
                <w:sz w:val="18"/>
                <w:szCs w:val="18"/>
              </w:rPr>
              <w:t>Ornamental</w:t>
            </w:r>
          </w:p>
        </w:tc>
        <w:tc>
          <w:tcPr>
            <w:tcW w:w="1052" w:type="dxa"/>
            <w:tcBorders>
              <w:top w:val="single" w:sz="6" w:space="0" w:color="auto"/>
              <w:left w:val="nil"/>
              <w:bottom w:val="nil"/>
              <w:right w:val="single" w:sz="6" w:space="0" w:color="auto"/>
            </w:tcBorders>
            <w:hideMark/>
          </w:tcPr>
          <w:p w14:paraId="07D8BA39" w14:textId="77777777" w:rsidR="00424F87" w:rsidRPr="00A43EA1" w:rsidRDefault="00424F87" w:rsidP="00C30F9D">
            <w:pPr>
              <w:spacing w:before="120"/>
              <w:jc w:val="center"/>
              <w:rPr>
                <w:rFonts w:cs="Arial"/>
                <w:sz w:val="18"/>
                <w:szCs w:val="18"/>
              </w:rPr>
            </w:pPr>
            <w:r w:rsidRPr="00A43EA1">
              <w:rPr>
                <w:rFonts w:cs="Arial"/>
                <w:sz w:val="18"/>
                <w:szCs w:val="18"/>
              </w:rPr>
              <w:t>13</w:t>
            </w:r>
          </w:p>
        </w:tc>
        <w:tc>
          <w:tcPr>
            <w:tcW w:w="854" w:type="dxa"/>
            <w:tcBorders>
              <w:top w:val="single" w:sz="6" w:space="0" w:color="auto"/>
              <w:left w:val="single" w:sz="6" w:space="0" w:color="auto"/>
              <w:bottom w:val="nil"/>
              <w:right w:val="single" w:sz="6" w:space="0" w:color="auto"/>
            </w:tcBorders>
            <w:hideMark/>
          </w:tcPr>
          <w:p w14:paraId="206CC58C" w14:textId="77777777" w:rsidR="00424F87" w:rsidRPr="00A43EA1" w:rsidRDefault="00424F87" w:rsidP="00C30F9D">
            <w:pPr>
              <w:spacing w:before="120"/>
              <w:jc w:val="center"/>
              <w:rPr>
                <w:rFonts w:cs="Arial"/>
                <w:sz w:val="18"/>
                <w:szCs w:val="18"/>
              </w:rPr>
            </w:pPr>
            <w:r w:rsidRPr="00A43EA1">
              <w:rPr>
                <w:rFonts w:cs="Arial"/>
                <w:sz w:val="18"/>
                <w:szCs w:val="18"/>
              </w:rPr>
              <w:t>19</w:t>
            </w:r>
          </w:p>
        </w:tc>
        <w:tc>
          <w:tcPr>
            <w:tcW w:w="937" w:type="dxa"/>
            <w:tcBorders>
              <w:top w:val="single" w:sz="6" w:space="0" w:color="auto"/>
              <w:left w:val="single" w:sz="6" w:space="0" w:color="auto"/>
              <w:bottom w:val="nil"/>
              <w:right w:val="single" w:sz="12" w:space="0" w:color="auto"/>
            </w:tcBorders>
            <w:shd w:val="clear" w:color="auto" w:fill="D9D9D9"/>
            <w:hideMark/>
          </w:tcPr>
          <w:p w14:paraId="07E33F1D" w14:textId="77777777" w:rsidR="00424F87" w:rsidRPr="00A43EA1" w:rsidRDefault="00424F87" w:rsidP="00C30F9D">
            <w:pPr>
              <w:spacing w:before="120"/>
              <w:jc w:val="center"/>
              <w:rPr>
                <w:rFonts w:cs="Arial"/>
                <w:sz w:val="18"/>
                <w:szCs w:val="18"/>
              </w:rPr>
            </w:pPr>
            <w:r w:rsidRPr="00A43EA1">
              <w:rPr>
                <w:rFonts w:cs="Arial"/>
                <w:sz w:val="18"/>
                <w:szCs w:val="18"/>
              </w:rPr>
              <w:t>32</w:t>
            </w:r>
          </w:p>
        </w:tc>
        <w:tc>
          <w:tcPr>
            <w:tcW w:w="1052" w:type="dxa"/>
            <w:tcBorders>
              <w:top w:val="single" w:sz="6" w:space="0" w:color="auto"/>
              <w:left w:val="nil"/>
              <w:bottom w:val="nil"/>
              <w:right w:val="single" w:sz="6" w:space="0" w:color="auto"/>
            </w:tcBorders>
            <w:hideMark/>
          </w:tcPr>
          <w:p w14:paraId="33F8F84E" w14:textId="77777777" w:rsidR="00424F87" w:rsidRPr="00A43EA1" w:rsidRDefault="00424F87" w:rsidP="00C30F9D">
            <w:pPr>
              <w:spacing w:before="120"/>
              <w:jc w:val="center"/>
              <w:rPr>
                <w:rFonts w:cs="Arial"/>
                <w:sz w:val="18"/>
                <w:szCs w:val="18"/>
              </w:rPr>
            </w:pPr>
            <w:r w:rsidRPr="00A43EA1">
              <w:rPr>
                <w:rFonts w:cs="Arial"/>
                <w:sz w:val="18"/>
                <w:szCs w:val="18"/>
              </w:rPr>
              <w:t>9</w:t>
            </w:r>
          </w:p>
        </w:tc>
        <w:tc>
          <w:tcPr>
            <w:tcW w:w="846" w:type="dxa"/>
            <w:tcBorders>
              <w:top w:val="single" w:sz="6" w:space="0" w:color="auto"/>
              <w:left w:val="single" w:sz="6" w:space="0" w:color="auto"/>
              <w:bottom w:val="nil"/>
              <w:right w:val="single" w:sz="6" w:space="0" w:color="auto"/>
            </w:tcBorders>
            <w:hideMark/>
          </w:tcPr>
          <w:p w14:paraId="715A87B9" w14:textId="77777777" w:rsidR="00424F87" w:rsidRPr="00A43EA1" w:rsidRDefault="00424F87" w:rsidP="00C30F9D">
            <w:pPr>
              <w:spacing w:before="120"/>
              <w:jc w:val="center"/>
              <w:rPr>
                <w:rFonts w:cs="Arial"/>
                <w:sz w:val="18"/>
                <w:szCs w:val="18"/>
              </w:rPr>
            </w:pPr>
            <w:r w:rsidRPr="00A43EA1">
              <w:rPr>
                <w:rFonts w:cs="Arial"/>
                <w:sz w:val="18"/>
                <w:szCs w:val="18"/>
              </w:rPr>
              <w:t>6</w:t>
            </w:r>
          </w:p>
        </w:tc>
        <w:tc>
          <w:tcPr>
            <w:tcW w:w="992" w:type="dxa"/>
            <w:tcBorders>
              <w:top w:val="single" w:sz="6" w:space="0" w:color="auto"/>
              <w:left w:val="single" w:sz="6" w:space="0" w:color="auto"/>
              <w:bottom w:val="nil"/>
              <w:right w:val="single" w:sz="12" w:space="0" w:color="auto"/>
            </w:tcBorders>
            <w:shd w:val="clear" w:color="auto" w:fill="D9D9D9"/>
            <w:hideMark/>
          </w:tcPr>
          <w:p w14:paraId="3915B7AC" w14:textId="77777777" w:rsidR="00424F87" w:rsidRPr="00A43EA1" w:rsidRDefault="00424F87" w:rsidP="00C30F9D">
            <w:pPr>
              <w:spacing w:before="120"/>
              <w:jc w:val="center"/>
              <w:rPr>
                <w:rFonts w:cs="Arial"/>
                <w:sz w:val="18"/>
                <w:szCs w:val="18"/>
              </w:rPr>
            </w:pPr>
            <w:r w:rsidRPr="00A43EA1">
              <w:rPr>
                <w:rFonts w:cs="Arial"/>
                <w:sz w:val="18"/>
                <w:szCs w:val="18"/>
              </w:rPr>
              <w:t>15</w:t>
            </w:r>
          </w:p>
        </w:tc>
        <w:tc>
          <w:tcPr>
            <w:tcW w:w="993" w:type="dxa"/>
            <w:tcBorders>
              <w:top w:val="single" w:sz="6" w:space="0" w:color="auto"/>
              <w:left w:val="nil"/>
              <w:bottom w:val="nil"/>
              <w:right w:val="single" w:sz="12" w:space="0" w:color="auto"/>
            </w:tcBorders>
            <w:hideMark/>
          </w:tcPr>
          <w:p w14:paraId="113417E1" w14:textId="77777777" w:rsidR="00424F87" w:rsidRPr="00A43EA1" w:rsidRDefault="00424F87" w:rsidP="00C30F9D">
            <w:pPr>
              <w:spacing w:before="120"/>
              <w:jc w:val="center"/>
              <w:rPr>
                <w:rFonts w:cs="Arial"/>
                <w:sz w:val="18"/>
                <w:szCs w:val="18"/>
              </w:rPr>
            </w:pPr>
            <w:r w:rsidRPr="00A43EA1">
              <w:rPr>
                <w:rFonts w:cs="Arial"/>
                <w:sz w:val="18"/>
                <w:szCs w:val="18"/>
              </w:rPr>
              <w:t>18</w:t>
            </w:r>
          </w:p>
        </w:tc>
        <w:tc>
          <w:tcPr>
            <w:tcW w:w="1247" w:type="dxa"/>
            <w:tcBorders>
              <w:top w:val="single" w:sz="6" w:space="0" w:color="auto"/>
              <w:left w:val="nil"/>
              <w:bottom w:val="nil"/>
              <w:right w:val="single" w:sz="6" w:space="0" w:color="auto"/>
            </w:tcBorders>
            <w:shd w:val="clear" w:color="auto" w:fill="D9D9D9"/>
            <w:hideMark/>
          </w:tcPr>
          <w:p w14:paraId="1684D6C7" w14:textId="77777777" w:rsidR="00424F87" w:rsidRPr="00A43EA1" w:rsidRDefault="00424F87" w:rsidP="00C30F9D">
            <w:pPr>
              <w:spacing w:before="120"/>
              <w:jc w:val="center"/>
              <w:rPr>
                <w:rFonts w:cs="Arial"/>
                <w:sz w:val="18"/>
                <w:szCs w:val="18"/>
              </w:rPr>
            </w:pPr>
            <w:r w:rsidRPr="00A43EA1">
              <w:rPr>
                <w:rFonts w:cs="Arial"/>
                <w:sz w:val="18"/>
                <w:szCs w:val="18"/>
              </w:rPr>
              <w:t>255</w:t>
            </w:r>
          </w:p>
        </w:tc>
      </w:tr>
      <w:tr w:rsidR="00424F87" w:rsidRPr="00A43EA1" w14:paraId="3AE420C7" w14:textId="77777777" w:rsidTr="00ED657B">
        <w:trPr>
          <w:gridAfter w:val="1"/>
          <w:wAfter w:w="12" w:type="dxa"/>
        </w:trPr>
        <w:tc>
          <w:tcPr>
            <w:tcW w:w="1630" w:type="dxa"/>
            <w:tcBorders>
              <w:top w:val="single" w:sz="6" w:space="0" w:color="auto"/>
              <w:left w:val="single" w:sz="6" w:space="0" w:color="auto"/>
              <w:bottom w:val="nil"/>
              <w:right w:val="single" w:sz="12" w:space="0" w:color="auto"/>
            </w:tcBorders>
            <w:hideMark/>
          </w:tcPr>
          <w:p w14:paraId="333D32E5" w14:textId="77777777" w:rsidR="00424F87" w:rsidRPr="00A43EA1" w:rsidRDefault="00424F87" w:rsidP="00C30F9D">
            <w:pPr>
              <w:spacing w:before="120"/>
              <w:jc w:val="center"/>
              <w:rPr>
                <w:rFonts w:cs="Arial"/>
                <w:sz w:val="18"/>
                <w:szCs w:val="18"/>
              </w:rPr>
            </w:pPr>
            <w:r w:rsidRPr="00A43EA1">
              <w:rPr>
                <w:rFonts w:cs="Arial"/>
                <w:sz w:val="18"/>
                <w:szCs w:val="18"/>
              </w:rPr>
              <w:t>Obst</w:t>
            </w:r>
          </w:p>
        </w:tc>
        <w:tc>
          <w:tcPr>
            <w:tcW w:w="1052" w:type="dxa"/>
            <w:tcBorders>
              <w:top w:val="single" w:sz="6" w:space="0" w:color="auto"/>
              <w:left w:val="nil"/>
              <w:bottom w:val="nil"/>
              <w:right w:val="single" w:sz="6" w:space="0" w:color="auto"/>
            </w:tcBorders>
            <w:hideMark/>
          </w:tcPr>
          <w:p w14:paraId="4DD64F7D" w14:textId="77777777" w:rsidR="00424F87" w:rsidRPr="00A43EA1" w:rsidRDefault="00424F87" w:rsidP="00C30F9D">
            <w:pPr>
              <w:spacing w:before="120"/>
              <w:jc w:val="center"/>
              <w:rPr>
                <w:rFonts w:cs="Arial"/>
                <w:sz w:val="18"/>
                <w:szCs w:val="18"/>
              </w:rPr>
            </w:pPr>
            <w:r w:rsidRPr="00A43EA1">
              <w:rPr>
                <w:rFonts w:cs="Arial"/>
                <w:sz w:val="18"/>
                <w:szCs w:val="18"/>
              </w:rPr>
              <w:t>15</w:t>
            </w:r>
          </w:p>
        </w:tc>
        <w:tc>
          <w:tcPr>
            <w:tcW w:w="854" w:type="dxa"/>
            <w:tcBorders>
              <w:top w:val="single" w:sz="6" w:space="0" w:color="auto"/>
              <w:left w:val="single" w:sz="6" w:space="0" w:color="auto"/>
              <w:bottom w:val="nil"/>
              <w:right w:val="single" w:sz="6" w:space="0" w:color="auto"/>
            </w:tcBorders>
            <w:hideMark/>
          </w:tcPr>
          <w:p w14:paraId="31B43AA7" w14:textId="77777777" w:rsidR="00424F87" w:rsidRPr="00A43EA1" w:rsidRDefault="00424F87" w:rsidP="00C30F9D">
            <w:pPr>
              <w:spacing w:before="120"/>
              <w:jc w:val="center"/>
              <w:rPr>
                <w:rFonts w:cs="Arial"/>
                <w:sz w:val="18"/>
                <w:szCs w:val="18"/>
              </w:rPr>
            </w:pPr>
            <w:r w:rsidRPr="00A43EA1">
              <w:rPr>
                <w:rFonts w:cs="Arial"/>
                <w:sz w:val="18"/>
                <w:szCs w:val="18"/>
              </w:rPr>
              <w:t>1</w:t>
            </w:r>
          </w:p>
        </w:tc>
        <w:tc>
          <w:tcPr>
            <w:tcW w:w="937" w:type="dxa"/>
            <w:tcBorders>
              <w:top w:val="single" w:sz="6" w:space="0" w:color="auto"/>
              <w:left w:val="single" w:sz="6" w:space="0" w:color="auto"/>
              <w:bottom w:val="nil"/>
              <w:right w:val="single" w:sz="12" w:space="0" w:color="auto"/>
            </w:tcBorders>
            <w:shd w:val="clear" w:color="auto" w:fill="D9D9D9"/>
            <w:hideMark/>
          </w:tcPr>
          <w:p w14:paraId="6A3AD85B" w14:textId="77777777" w:rsidR="00424F87" w:rsidRPr="00A43EA1" w:rsidRDefault="00424F87" w:rsidP="00C30F9D">
            <w:pPr>
              <w:spacing w:before="120"/>
              <w:jc w:val="center"/>
              <w:rPr>
                <w:rFonts w:cs="Arial"/>
                <w:sz w:val="18"/>
                <w:szCs w:val="18"/>
              </w:rPr>
            </w:pPr>
            <w:r w:rsidRPr="00A43EA1">
              <w:rPr>
                <w:rFonts w:cs="Arial"/>
                <w:sz w:val="18"/>
                <w:szCs w:val="18"/>
              </w:rPr>
              <w:t>16</w:t>
            </w:r>
          </w:p>
        </w:tc>
        <w:tc>
          <w:tcPr>
            <w:tcW w:w="1052" w:type="dxa"/>
            <w:tcBorders>
              <w:top w:val="single" w:sz="6" w:space="0" w:color="auto"/>
              <w:left w:val="nil"/>
              <w:bottom w:val="nil"/>
              <w:right w:val="single" w:sz="6" w:space="0" w:color="auto"/>
            </w:tcBorders>
            <w:hideMark/>
          </w:tcPr>
          <w:p w14:paraId="6E8B0408" w14:textId="77777777" w:rsidR="00424F87" w:rsidRPr="00A43EA1" w:rsidRDefault="00424F87" w:rsidP="00C30F9D">
            <w:pPr>
              <w:pStyle w:val="Footer"/>
              <w:tabs>
                <w:tab w:val="left" w:pos="708"/>
              </w:tabs>
              <w:spacing w:before="120"/>
              <w:jc w:val="center"/>
              <w:rPr>
                <w:rFonts w:cs="Arial"/>
                <w:sz w:val="18"/>
                <w:szCs w:val="18"/>
                <w:lang w:val="de-DE"/>
              </w:rPr>
            </w:pPr>
            <w:r w:rsidRPr="00A43EA1">
              <w:rPr>
                <w:rFonts w:cs="Arial"/>
                <w:sz w:val="18"/>
                <w:szCs w:val="18"/>
                <w:lang w:val="de-DE"/>
              </w:rPr>
              <w:t>4</w:t>
            </w:r>
          </w:p>
        </w:tc>
        <w:tc>
          <w:tcPr>
            <w:tcW w:w="846" w:type="dxa"/>
            <w:tcBorders>
              <w:top w:val="single" w:sz="6" w:space="0" w:color="auto"/>
              <w:left w:val="single" w:sz="6" w:space="0" w:color="auto"/>
              <w:bottom w:val="nil"/>
              <w:right w:val="single" w:sz="6" w:space="0" w:color="auto"/>
            </w:tcBorders>
            <w:hideMark/>
          </w:tcPr>
          <w:p w14:paraId="6626931A" w14:textId="77777777" w:rsidR="00424F87" w:rsidRPr="00A43EA1" w:rsidRDefault="00424F87" w:rsidP="00C30F9D">
            <w:pPr>
              <w:spacing w:before="120"/>
              <w:jc w:val="center"/>
              <w:rPr>
                <w:rFonts w:cs="Arial"/>
                <w:sz w:val="18"/>
                <w:szCs w:val="18"/>
              </w:rPr>
            </w:pPr>
            <w:r w:rsidRPr="00A43EA1">
              <w:rPr>
                <w:rFonts w:cs="Arial"/>
                <w:sz w:val="18"/>
                <w:szCs w:val="18"/>
              </w:rPr>
              <w:t>1</w:t>
            </w:r>
          </w:p>
        </w:tc>
        <w:tc>
          <w:tcPr>
            <w:tcW w:w="992" w:type="dxa"/>
            <w:tcBorders>
              <w:top w:val="single" w:sz="6" w:space="0" w:color="auto"/>
              <w:left w:val="single" w:sz="6" w:space="0" w:color="auto"/>
              <w:bottom w:val="nil"/>
              <w:right w:val="single" w:sz="12" w:space="0" w:color="auto"/>
            </w:tcBorders>
            <w:shd w:val="clear" w:color="auto" w:fill="D9D9D9"/>
            <w:hideMark/>
          </w:tcPr>
          <w:p w14:paraId="70E6315F" w14:textId="77777777" w:rsidR="00424F87" w:rsidRPr="00A43EA1" w:rsidRDefault="00424F87" w:rsidP="00C30F9D">
            <w:pPr>
              <w:spacing w:before="120"/>
              <w:jc w:val="center"/>
              <w:rPr>
                <w:rFonts w:cs="Arial"/>
                <w:sz w:val="18"/>
                <w:szCs w:val="18"/>
              </w:rPr>
            </w:pPr>
            <w:r w:rsidRPr="00A43EA1">
              <w:rPr>
                <w:rFonts w:cs="Arial"/>
                <w:sz w:val="18"/>
                <w:szCs w:val="18"/>
              </w:rPr>
              <w:t>5</w:t>
            </w:r>
          </w:p>
        </w:tc>
        <w:tc>
          <w:tcPr>
            <w:tcW w:w="993" w:type="dxa"/>
            <w:tcBorders>
              <w:top w:val="single" w:sz="6" w:space="0" w:color="auto"/>
              <w:left w:val="nil"/>
              <w:bottom w:val="nil"/>
              <w:right w:val="single" w:sz="12" w:space="0" w:color="auto"/>
            </w:tcBorders>
            <w:hideMark/>
          </w:tcPr>
          <w:p w14:paraId="4A00FD0D" w14:textId="77777777" w:rsidR="00424F87" w:rsidRPr="00A43EA1" w:rsidRDefault="00424F87" w:rsidP="00C30F9D">
            <w:pPr>
              <w:spacing w:before="120"/>
              <w:jc w:val="center"/>
              <w:rPr>
                <w:rFonts w:cs="Arial"/>
                <w:sz w:val="18"/>
                <w:szCs w:val="18"/>
              </w:rPr>
            </w:pPr>
            <w:r w:rsidRPr="00A43EA1">
              <w:rPr>
                <w:rFonts w:cs="Arial"/>
                <w:sz w:val="18"/>
                <w:szCs w:val="18"/>
              </w:rPr>
              <w:t>10</w:t>
            </w:r>
          </w:p>
        </w:tc>
        <w:tc>
          <w:tcPr>
            <w:tcW w:w="1247" w:type="dxa"/>
            <w:tcBorders>
              <w:top w:val="single" w:sz="6" w:space="0" w:color="auto"/>
              <w:left w:val="nil"/>
              <w:bottom w:val="nil"/>
              <w:right w:val="single" w:sz="6" w:space="0" w:color="auto"/>
            </w:tcBorders>
            <w:shd w:val="clear" w:color="auto" w:fill="D9D9D9"/>
            <w:hideMark/>
          </w:tcPr>
          <w:p w14:paraId="22F8B929" w14:textId="77777777" w:rsidR="00424F87" w:rsidRPr="00A43EA1" w:rsidRDefault="00424F87" w:rsidP="00C30F9D">
            <w:pPr>
              <w:spacing w:before="120"/>
              <w:jc w:val="center"/>
              <w:rPr>
                <w:rFonts w:cs="Arial"/>
                <w:sz w:val="18"/>
                <w:szCs w:val="18"/>
              </w:rPr>
            </w:pPr>
            <w:r w:rsidRPr="00A43EA1">
              <w:rPr>
                <w:rFonts w:cs="Arial"/>
                <w:sz w:val="18"/>
                <w:szCs w:val="18"/>
              </w:rPr>
              <w:t>119</w:t>
            </w:r>
          </w:p>
        </w:tc>
      </w:tr>
      <w:tr w:rsidR="00ED657B" w:rsidRPr="00A43EA1" w14:paraId="16A65D94" w14:textId="77777777" w:rsidTr="00ED657B">
        <w:trPr>
          <w:gridAfter w:val="1"/>
          <w:wAfter w:w="12" w:type="dxa"/>
        </w:trPr>
        <w:tc>
          <w:tcPr>
            <w:tcW w:w="1630" w:type="dxa"/>
            <w:tcBorders>
              <w:top w:val="single" w:sz="12" w:space="0" w:color="auto"/>
              <w:left w:val="single" w:sz="6" w:space="0" w:color="auto"/>
              <w:bottom w:val="single" w:sz="6" w:space="0" w:color="auto"/>
              <w:right w:val="single" w:sz="12" w:space="0" w:color="auto"/>
            </w:tcBorders>
            <w:shd w:val="clear" w:color="auto" w:fill="FFFFFF"/>
            <w:hideMark/>
          </w:tcPr>
          <w:p w14:paraId="5CCA45B0" w14:textId="77777777" w:rsidR="00424F87" w:rsidRPr="00A43EA1" w:rsidRDefault="00424F87" w:rsidP="00C30F9D">
            <w:pPr>
              <w:spacing w:before="120"/>
              <w:jc w:val="center"/>
              <w:rPr>
                <w:rFonts w:cs="Arial"/>
                <w:sz w:val="18"/>
                <w:szCs w:val="18"/>
              </w:rPr>
            </w:pPr>
            <w:r w:rsidRPr="00A43EA1">
              <w:rPr>
                <w:rFonts w:cs="Arial"/>
                <w:b/>
                <w:sz w:val="18"/>
                <w:szCs w:val="18"/>
              </w:rPr>
              <w:t>Insgesamt</w:t>
            </w:r>
          </w:p>
        </w:tc>
        <w:tc>
          <w:tcPr>
            <w:tcW w:w="1052" w:type="dxa"/>
            <w:tcBorders>
              <w:top w:val="single" w:sz="12" w:space="0" w:color="auto"/>
              <w:left w:val="nil"/>
              <w:bottom w:val="single" w:sz="6" w:space="0" w:color="auto"/>
              <w:right w:val="single" w:sz="6" w:space="0" w:color="auto"/>
            </w:tcBorders>
            <w:shd w:val="clear" w:color="auto" w:fill="D9D9D9"/>
            <w:hideMark/>
          </w:tcPr>
          <w:p w14:paraId="56E05125" w14:textId="77777777" w:rsidR="00424F87" w:rsidRPr="00A43EA1" w:rsidRDefault="00424F87" w:rsidP="00C30F9D">
            <w:pPr>
              <w:spacing w:before="120"/>
              <w:jc w:val="center"/>
              <w:rPr>
                <w:rFonts w:cs="Arial"/>
                <w:b/>
                <w:sz w:val="18"/>
                <w:szCs w:val="18"/>
              </w:rPr>
            </w:pPr>
            <w:r w:rsidRPr="00A43EA1">
              <w:rPr>
                <w:rFonts w:cs="Arial"/>
                <w:b/>
                <w:sz w:val="18"/>
                <w:szCs w:val="18"/>
              </w:rPr>
              <w:t>57</w:t>
            </w:r>
          </w:p>
        </w:tc>
        <w:tc>
          <w:tcPr>
            <w:tcW w:w="854" w:type="dxa"/>
            <w:tcBorders>
              <w:top w:val="single" w:sz="12" w:space="0" w:color="auto"/>
              <w:left w:val="single" w:sz="6" w:space="0" w:color="auto"/>
              <w:bottom w:val="single" w:sz="6" w:space="0" w:color="auto"/>
              <w:right w:val="single" w:sz="6" w:space="0" w:color="auto"/>
            </w:tcBorders>
            <w:shd w:val="clear" w:color="auto" w:fill="D9D9D9"/>
            <w:hideMark/>
          </w:tcPr>
          <w:p w14:paraId="7695DAF8" w14:textId="77777777" w:rsidR="00424F87" w:rsidRPr="00A43EA1" w:rsidRDefault="00424F87" w:rsidP="00C30F9D">
            <w:pPr>
              <w:spacing w:before="120"/>
              <w:jc w:val="center"/>
              <w:rPr>
                <w:rFonts w:cs="Arial"/>
                <w:b/>
                <w:sz w:val="18"/>
                <w:szCs w:val="18"/>
              </w:rPr>
            </w:pPr>
            <w:r w:rsidRPr="00A43EA1">
              <w:rPr>
                <w:rFonts w:cs="Arial"/>
                <w:b/>
                <w:sz w:val="18"/>
                <w:szCs w:val="18"/>
              </w:rPr>
              <w:t>24</w:t>
            </w:r>
          </w:p>
        </w:tc>
        <w:tc>
          <w:tcPr>
            <w:tcW w:w="937" w:type="dxa"/>
            <w:tcBorders>
              <w:top w:val="single" w:sz="12" w:space="0" w:color="auto"/>
              <w:left w:val="single" w:sz="6" w:space="0" w:color="auto"/>
              <w:bottom w:val="single" w:sz="6" w:space="0" w:color="auto"/>
              <w:right w:val="single" w:sz="12" w:space="0" w:color="auto"/>
            </w:tcBorders>
            <w:shd w:val="clear" w:color="auto" w:fill="D9D9D9"/>
            <w:hideMark/>
          </w:tcPr>
          <w:p w14:paraId="6DFE56D3" w14:textId="77777777" w:rsidR="00424F87" w:rsidRPr="00A43EA1" w:rsidRDefault="00424F87" w:rsidP="00C30F9D">
            <w:pPr>
              <w:spacing w:before="120"/>
              <w:jc w:val="center"/>
              <w:rPr>
                <w:rFonts w:cs="Arial"/>
                <w:b/>
                <w:sz w:val="18"/>
                <w:szCs w:val="18"/>
              </w:rPr>
            </w:pPr>
            <w:r w:rsidRPr="00A43EA1">
              <w:rPr>
                <w:rFonts w:cs="Arial"/>
                <w:b/>
                <w:sz w:val="18"/>
                <w:szCs w:val="18"/>
              </w:rPr>
              <w:t>81</w:t>
            </w:r>
          </w:p>
        </w:tc>
        <w:tc>
          <w:tcPr>
            <w:tcW w:w="1052" w:type="dxa"/>
            <w:tcBorders>
              <w:top w:val="single" w:sz="12" w:space="0" w:color="auto"/>
              <w:left w:val="nil"/>
              <w:bottom w:val="single" w:sz="6" w:space="0" w:color="auto"/>
              <w:right w:val="single" w:sz="6" w:space="0" w:color="auto"/>
            </w:tcBorders>
            <w:shd w:val="clear" w:color="auto" w:fill="D9D9D9"/>
            <w:hideMark/>
          </w:tcPr>
          <w:p w14:paraId="5155CADF" w14:textId="77777777" w:rsidR="00424F87" w:rsidRPr="00A43EA1" w:rsidRDefault="00424F87" w:rsidP="00C30F9D">
            <w:pPr>
              <w:spacing w:before="120"/>
              <w:jc w:val="center"/>
              <w:rPr>
                <w:rFonts w:cs="Arial"/>
                <w:b/>
                <w:sz w:val="18"/>
                <w:szCs w:val="18"/>
              </w:rPr>
            </w:pPr>
            <w:r w:rsidRPr="00A43EA1">
              <w:rPr>
                <w:rFonts w:cs="Arial"/>
                <w:b/>
                <w:sz w:val="18"/>
                <w:szCs w:val="18"/>
              </w:rPr>
              <w:t>47</w:t>
            </w:r>
          </w:p>
        </w:tc>
        <w:tc>
          <w:tcPr>
            <w:tcW w:w="846" w:type="dxa"/>
            <w:tcBorders>
              <w:top w:val="single" w:sz="12" w:space="0" w:color="auto"/>
              <w:left w:val="single" w:sz="6" w:space="0" w:color="auto"/>
              <w:bottom w:val="single" w:sz="6" w:space="0" w:color="auto"/>
              <w:right w:val="single" w:sz="6" w:space="0" w:color="auto"/>
            </w:tcBorders>
            <w:shd w:val="clear" w:color="auto" w:fill="D9D9D9"/>
            <w:hideMark/>
          </w:tcPr>
          <w:p w14:paraId="6354AE57" w14:textId="77777777" w:rsidR="00424F87" w:rsidRPr="00A43EA1" w:rsidRDefault="00424F87" w:rsidP="00C30F9D">
            <w:pPr>
              <w:spacing w:before="120"/>
              <w:jc w:val="center"/>
              <w:rPr>
                <w:rFonts w:cs="Arial"/>
                <w:b/>
                <w:sz w:val="18"/>
                <w:szCs w:val="18"/>
              </w:rPr>
            </w:pPr>
            <w:r w:rsidRPr="00A43EA1">
              <w:rPr>
                <w:rFonts w:cs="Arial"/>
                <w:b/>
                <w:sz w:val="18"/>
                <w:szCs w:val="18"/>
              </w:rPr>
              <w:t>9</w:t>
            </w:r>
          </w:p>
        </w:tc>
        <w:tc>
          <w:tcPr>
            <w:tcW w:w="992" w:type="dxa"/>
            <w:tcBorders>
              <w:top w:val="single" w:sz="12" w:space="0" w:color="auto"/>
              <w:left w:val="single" w:sz="6" w:space="0" w:color="auto"/>
              <w:bottom w:val="single" w:sz="6" w:space="0" w:color="auto"/>
              <w:right w:val="single" w:sz="12" w:space="0" w:color="auto"/>
            </w:tcBorders>
            <w:shd w:val="clear" w:color="auto" w:fill="D9D9D9"/>
            <w:hideMark/>
          </w:tcPr>
          <w:p w14:paraId="42B13DEF" w14:textId="77777777" w:rsidR="00424F87" w:rsidRPr="00A43EA1" w:rsidRDefault="00424F87" w:rsidP="00C30F9D">
            <w:pPr>
              <w:spacing w:before="120"/>
              <w:jc w:val="center"/>
              <w:rPr>
                <w:rFonts w:cs="Arial"/>
                <w:b/>
                <w:sz w:val="18"/>
                <w:szCs w:val="18"/>
              </w:rPr>
            </w:pPr>
            <w:r w:rsidRPr="00A43EA1">
              <w:rPr>
                <w:rFonts w:cs="Arial"/>
                <w:b/>
                <w:sz w:val="18"/>
                <w:szCs w:val="18"/>
              </w:rPr>
              <w:t>56</w:t>
            </w:r>
          </w:p>
        </w:tc>
        <w:tc>
          <w:tcPr>
            <w:tcW w:w="993" w:type="dxa"/>
            <w:tcBorders>
              <w:top w:val="single" w:sz="12" w:space="0" w:color="auto"/>
              <w:left w:val="nil"/>
              <w:bottom w:val="single" w:sz="6" w:space="0" w:color="auto"/>
              <w:right w:val="single" w:sz="12" w:space="0" w:color="auto"/>
            </w:tcBorders>
            <w:shd w:val="clear" w:color="auto" w:fill="D9D9D9"/>
            <w:hideMark/>
          </w:tcPr>
          <w:p w14:paraId="24A1DD1B" w14:textId="77777777" w:rsidR="00424F87" w:rsidRPr="00A43EA1" w:rsidRDefault="00424F87" w:rsidP="00C30F9D">
            <w:pPr>
              <w:spacing w:before="120"/>
              <w:jc w:val="center"/>
              <w:rPr>
                <w:rFonts w:cs="Arial"/>
                <w:b/>
                <w:sz w:val="18"/>
                <w:szCs w:val="18"/>
              </w:rPr>
            </w:pPr>
            <w:r w:rsidRPr="00A43EA1">
              <w:rPr>
                <w:rFonts w:cs="Arial"/>
                <w:b/>
                <w:sz w:val="18"/>
                <w:szCs w:val="18"/>
              </w:rPr>
              <w:t>45</w:t>
            </w:r>
          </w:p>
        </w:tc>
        <w:tc>
          <w:tcPr>
            <w:tcW w:w="1247" w:type="dxa"/>
            <w:tcBorders>
              <w:top w:val="single" w:sz="12" w:space="0" w:color="auto"/>
              <w:left w:val="nil"/>
              <w:bottom w:val="single" w:sz="6" w:space="0" w:color="auto"/>
              <w:right w:val="single" w:sz="6" w:space="0" w:color="auto"/>
            </w:tcBorders>
            <w:shd w:val="clear" w:color="auto" w:fill="D9D9D9"/>
            <w:hideMark/>
          </w:tcPr>
          <w:p w14:paraId="70AC2222" w14:textId="77777777" w:rsidR="00424F87" w:rsidRPr="00A43EA1" w:rsidRDefault="00424F87" w:rsidP="00C30F9D">
            <w:pPr>
              <w:spacing w:before="120"/>
              <w:jc w:val="center"/>
              <w:rPr>
                <w:rFonts w:cs="Arial"/>
                <w:b/>
                <w:sz w:val="18"/>
                <w:szCs w:val="18"/>
              </w:rPr>
            </w:pPr>
            <w:r w:rsidRPr="00A43EA1">
              <w:rPr>
                <w:rFonts w:cs="Arial"/>
                <w:b/>
                <w:sz w:val="18"/>
                <w:szCs w:val="18"/>
              </w:rPr>
              <w:t>1328</w:t>
            </w:r>
          </w:p>
        </w:tc>
      </w:tr>
    </w:tbl>
    <w:p w14:paraId="0760A78C" w14:textId="77777777" w:rsidR="00424F87" w:rsidRPr="00A43EA1" w:rsidRDefault="00424F87" w:rsidP="00424F87">
      <w:pPr>
        <w:tabs>
          <w:tab w:val="left" w:pos="4962"/>
        </w:tabs>
        <w:rPr>
          <w:rFonts w:cs="Arial"/>
          <w:u w:val="single"/>
        </w:rPr>
      </w:pPr>
    </w:p>
    <w:p w14:paraId="220862DA" w14:textId="77777777" w:rsidR="00424F87" w:rsidRPr="00A43EA1" w:rsidRDefault="00424F87" w:rsidP="00424F87">
      <w:pPr>
        <w:tabs>
          <w:tab w:val="left" w:pos="4962"/>
        </w:tabs>
        <w:rPr>
          <w:rFonts w:cs="Arial"/>
          <w:u w:val="single"/>
        </w:rPr>
      </w:pPr>
    </w:p>
    <w:p w14:paraId="36C5197E" w14:textId="77777777" w:rsidR="00424F87" w:rsidRPr="00A43EA1" w:rsidRDefault="00424F87" w:rsidP="00424F87">
      <w:pPr>
        <w:keepNext/>
        <w:tabs>
          <w:tab w:val="left" w:pos="567"/>
          <w:tab w:val="left" w:pos="4962"/>
        </w:tabs>
        <w:rPr>
          <w:rFonts w:cs="Arial"/>
          <w:u w:val="single"/>
        </w:rPr>
      </w:pPr>
      <w:r w:rsidRPr="00A43EA1">
        <w:rPr>
          <w:rFonts w:cs="Arial"/>
        </w:rPr>
        <w:t>5.</w:t>
      </w:r>
      <w:r w:rsidRPr="00A43EA1">
        <w:rPr>
          <w:rFonts w:cs="Arial"/>
        </w:rPr>
        <w:tab/>
      </w:r>
      <w:r w:rsidRPr="00A43EA1">
        <w:rPr>
          <w:rFonts w:cs="Arial"/>
          <w:u w:val="single"/>
        </w:rPr>
        <w:t>Tätigkeiten zur Förderung des Sortenschutzes</w:t>
      </w:r>
    </w:p>
    <w:p w14:paraId="426FB783" w14:textId="77777777" w:rsidR="00424F87" w:rsidRPr="00A43EA1" w:rsidRDefault="00424F87" w:rsidP="00424F87">
      <w:pPr>
        <w:keepNext/>
        <w:tabs>
          <w:tab w:val="left" w:pos="567"/>
          <w:tab w:val="left" w:pos="4962"/>
        </w:tabs>
        <w:rPr>
          <w:rFonts w:cs="Arial"/>
          <w:u w:val="single"/>
        </w:rPr>
      </w:pPr>
    </w:p>
    <w:p w14:paraId="52DFF408" w14:textId="77777777" w:rsidR="00424F87" w:rsidRPr="00A43EA1" w:rsidRDefault="00424F87" w:rsidP="00424F87">
      <w:pPr>
        <w:pStyle w:val="BodyText"/>
        <w:rPr>
          <w:rFonts w:cs="Arial"/>
        </w:rPr>
      </w:pPr>
      <w:r w:rsidRPr="00A43EA1">
        <w:rPr>
          <w:rFonts w:cs="Arial"/>
        </w:rPr>
        <w:t xml:space="preserve">Vertreter aus Polen nehmen regelmäßig an den Tagungen der UPOV-Organe und an den Technischen Arbeitsgruppen der UPOV teil. </w:t>
      </w:r>
    </w:p>
    <w:p w14:paraId="74A1AFC5" w14:textId="77777777" w:rsidR="00424F87" w:rsidRPr="00A43EA1" w:rsidRDefault="00424F87" w:rsidP="00424F87">
      <w:pPr>
        <w:pStyle w:val="BodyText"/>
        <w:rPr>
          <w:rFonts w:cs="Arial"/>
        </w:rPr>
      </w:pPr>
    </w:p>
    <w:p w14:paraId="79E102BD" w14:textId="77777777" w:rsidR="00424F87" w:rsidRPr="00A43EA1" w:rsidRDefault="00424F87" w:rsidP="00424F87">
      <w:pPr>
        <w:pStyle w:val="BodyText"/>
        <w:rPr>
          <w:rFonts w:cs="Arial"/>
        </w:rPr>
      </w:pPr>
      <w:r w:rsidRPr="00A43EA1">
        <w:rPr>
          <w:rFonts w:cs="Arial"/>
        </w:rPr>
        <w:t>Außerdem nehmen polnische Vertreter an den Sitzungen des Ständigen Ausschusses für das CPVR der GD SANTE in Brüssel sowie an den Sitzungen des CPVO-Verwaltungsrates teil.</w:t>
      </w:r>
    </w:p>
    <w:p w14:paraId="4832F556" w14:textId="77777777" w:rsidR="00424F87" w:rsidRPr="00A43EA1" w:rsidRDefault="00424F87" w:rsidP="00424F87">
      <w:pPr>
        <w:tabs>
          <w:tab w:val="left" w:pos="4962"/>
        </w:tabs>
        <w:rPr>
          <w:rFonts w:cs="Arial"/>
        </w:rPr>
      </w:pPr>
    </w:p>
    <w:p w14:paraId="65FAB4A3" w14:textId="77777777" w:rsidR="00424F87" w:rsidRPr="00A43EA1" w:rsidRDefault="00424F87" w:rsidP="00424F87">
      <w:pPr>
        <w:tabs>
          <w:tab w:val="left" w:pos="4962"/>
        </w:tabs>
        <w:rPr>
          <w:rFonts w:cs="Arial"/>
          <w:color w:val="000000" w:themeColor="text1"/>
        </w:rPr>
      </w:pPr>
      <w:r w:rsidRPr="00A43EA1">
        <w:rPr>
          <w:rFonts w:cs="Arial"/>
          <w:color w:val="000000" w:themeColor="text1"/>
        </w:rPr>
        <w:t xml:space="preserve">Im Berichtszeitraum wurde der UPOV-Fernlehrgang "Einführung in das UPOV-Sortenschutzsystem nach dem UPOV-Übereinkommen" (DL-205) von einem COBORU-Sachverständigen erfolgreich abgeschlossen. </w:t>
      </w:r>
    </w:p>
    <w:p w14:paraId="5DF0CD98" w14:textId="77777777" w:rsidR="00424F87" w:rsidRPr="00A43EA1" w:rsidRDefault="00424F87" w:rsidP="00424F87">
      <w:pPr>
        <w:tabs>
          <w:tab w:val="left" w:pos="4962"/>
        </w:tabs>
        <w:rPr>
          <w:rFonts w:cs="Arial"/>
        </w:rPr>
      </w:pPr>
    </w:p>
    <w:p w14:paraId="7A0C2E23" w14:textId="77777777" w:rsidR="00424F87" w:rsidRPr="00A43EA1" w:rsidRDefault="00424F87" w:rsidP="00424F87">
      <w:pPr>
        <w:pStyle w:val="BodyText"/>
        <w:tabs>
          <w:tab w:val="left" w:pos="567"/>
        </w:tabs>
        <w:rPr>
          <w:rFonts w:cs="Arial"/>
          <w:i/>
          <w:iCs/>
        </w:rPr>
      </w:pPr>
      <w:r w:rsidRPr="00A43EA1">
        <w:rPr>
          <w:rFonts w:cs="Arial"/>
          <w:i/>
          <w:iCs/>
        </w:rPr>
        <w:t>Veröffentlichungen</w:t>
      </w:r>
    </w:p>
    <w:p w14:paraId="4052E076" w14:textId="77777777" w:rsidR="00424F87" w:rsidRPr="00A43EA1" w:rsidRDefault="00424F87" w:rsidP="00424F87">
      <w:pPr>
        <w:pStyle w:val="BodyText"/>
        <w:rPr>
          <w:rFonts w:cs="Arial"/>
          <w:u w:val="single"/>
        </w:rPr>
      </w:pPr>
    </w:p>
    <w:p w14:paraId="4679F080" w14:textId="77777777" w:rsidR="00424F87" w:rsidRPr="00A43EA1" w:rsidRDefault="00424F87" w:rsidP="00424F87">
      <w:pPr>
        <w:pStyle w:val="BodyText"/>
        <w:rPr>
          <w:rFonts w:cs="Arial"/>
        </w:rPr>
      </w:pPr>
      <w:r w:rsidRPr="00A43EA1">
        <w:rPr>
          <w:rFonts w:cs="Arial"/>
        </w:rPr>
        <w:t xml:space="preserve">Alle zwei Monate gibt das COBORU das </w:t>
      </w:r>
      <w:r w:rsidRPr="00A43EA1">
        <w:rPr>
          <w:rFonts w:cs="Arial"/>
          <w:i/>
          <w:iCs/>
        </w:rPr>
        <w:t xml:space="preserve">polnische Amtsblatt für Züchterrechte und die Nationale Liste </w:t>
      </w:r>
      <w:r w:rsidRPr="00A43EA1">
        <w:rPr>
          <w:rFonts w:cs="Arial"/>
        </w:rPr>
        <w:t xml:space="preserve">(Diariusz) heraus, das Einzelheiten über den nationalen Züchterrechtsschutz und die nationalen Listensysteme enthält. </w:t>
      </w:r>
    </w:p>
    <w:p w14:paraId="4F0C2BFA" w14:textId="77777777" w:rsidR="00424F87" w:rsidRPr="00A43EA1" w:rsidRDefault="00424F87" w:rsidP="00424F87">
      <w:pPr>
        <w:pStyle w:val="BodyText"/>
        <w:rPr>
          <w:rFonts w:cs="Arial"/>
        </w:rPr>
      </w:pPr>
    </w:p>
    <w:p w14:paraId="20FFE89E" w14:textId="77777777" w:rsidR="00424F87" w:rsidRPr="00A43EA1" w:rsidRDefault="00424F87" w:rsidP="00424F87">
      <w:pPr>
        <w:pStyle w:val="BodyText"/>
        <w:rPr>
          <w:rFonts w:cs="Arial"/>
        </w:rPr>
      </w:pPr>
      <w:r w:rsidRPr="00A43EA1">
        <w:rPr>
          <w:rFonts w:cs="Arial"/>
        </w:rPr>
        <w:t xml:space="preserve">Die Liste der durch nationale Züchterrechte geschützten Sorten (einschließlich vorläufiger Züchterrechte) mit Stand vom 30. Juni 2023 wurde in der dritten Nummer des </w:t>
      </w:r>
      <w:r w:rsidRPr="00A43EA1">
        <w:rPr>
          <w:rFonts w:cs="Arial"/>
          <w:i/>
          <w:iCs/>
        </w:rPr>
        <w:t>polnischen Amtsblattes für Züchterrechte und die nationale Liste</w:t>
      </w:r>
      <w:r w:rsidRPr="00A43EA1">
        <w:rPr>
          <w:rFonts w:cs="Arial"/>
          <w:iCs/>
        </w:rPr>
        <w:t xml:space="preserve">, </w:t>
      </w:r>
      <w:r w:rsidRPr="00A43EA1">
        <w:rPr>
          <w:rFonts w:cs="Arial"/>
          <w:i/>
          <w:iCs/>
        </w:rPr>
        <w:t>d</w:t>
      </w:r>
      <w:r w:rsidRPr="00A43EA1">
        <w:rPr>
          <w:rFonts w:cs="Arial"/>
          <w:iCs/>
        </w:rPr>
        <w:t xml:space="preserve">. h. </w:t>
      </w:r>
      <w:r w:rsidRPr="00A43EA1">
        <w:rPr>
          <w:rFonts w:cs="Arial"/>
        </w:rPr>
        <w:t>Nr. 3(176)2023, veröffentlicht.</w:t>
      </w:r>
    </w:p>
    <w:p w14:paraId="148BC43A" w14:textId="77777777" w:rsidR="00424F87" w:rsidRPr="00A43EA1" w:rsidRDefault="00424F87" w:rsidP="00424F87">
      <w:pPr>
        <w:pStyle w:val="BodyText"/>
        <w:rPr>
          <w:rFonts w:cs="Arial"/>
        </w:rPr>
      </w:pPr>
    </w:p>
    <w:p w14:paraId="50F39BD8" w14:textId="77777777" w:rsidR="00424F87" w:rsidRPr="00A43EA1" w:rsidRDefault="00424F87" w:rsidP="00424F87">
      <w:pPr>
        <w:pStyle w:val="BodyText"/>
        <w:rPr>
          <w:rFonts w:cs="Arial"/>
        </w:rPr>
      </w:pPr>
      <w:r w:rsidRPr="00A43EA1">
        <w:rPr>
          <w:rFonts w:cs="Arial"/>
        </w:rPr>
        <w:t xml:space="preserve">Das Amtsblatt finden Sie auch auf unserer Website unter der Rubrik: </w:t>
      </w:r>
      <w:r w:rsidRPr="00A43EA1">
        <w:rPr>
          <w:rFonts w:cs="Arial"/>
          <w:i/>
          <w:iCs/>
        </w:rPr>
        <w:t>Veröffentlichungen</w:t>
      </w:r>
      <w:r w:rsidRPr="00A43EA1">
        <w:rPr>
          <w:rFonts w:cs="Arial"/>
        </w:rPr>
        <w:t>.</w:t>
      </w:r>
    </w:p>
    <w:p w14:paraId="2CAE7ED8" w14:textId="77777777" w:rsidR="00424F87" w:rsidRPr="00A43EA1" w:rsidRDefault="00424F87" w:rsidP="00424F87">
      <w:pPr>
        <w:pStyle w:val="BodyText"/>
        <w:rPr>
          <w:rFonts w:cs="Arial"/>
        </w:rPr>
      </w:pPr>
    </w:p>
    <w:p w14:paraId="3D44E1FC" w14:textId="77777777" w:rsidR="00424F87" w:rsidRPr="00A43EA1" w:rsidRDefault="00424F87" w:rsidP="00424F87">
      <w:pPr>
        <w:pStyle w:val="BodyText"/>
        <w:rPr>
          <w:rFonts w:cs="Arial"/>
        </w:rPr>
      </w:pPr>
      <w:r w:rsidRPr="00A43EA1">
        <w:rPr>
          <w:rFonts w:cs="Arial"/>
        </w:rPr>
        <w:t>Außerdem unterhält und aktualisiert das Forschungszentrum für Zuchtsortenprüfung systematisch eine Homepage www.coboru.gov.pl, die die offiziellen Informationen über Sortenschutzangelegenheiten in Polen enthält.</w:t>
      </w:r>
    </w:p>
    <w:p w14:paraId="169E5F42" w14:textId="77777777" w:rsidR="00424F87" w:rsidRPr="00A43EA1" w:rsidRDefault="00424F87" w:rsidP="00424F87">
      <w:pPr>
        <w:tabs>
          <w:tab w:val="left" w:pos="4962"/>
        </w:tabs>
        <w:rPr>
          <w:rFonts w:cs="Arial"/>
        </w:rPr>
      </w:pPr>
    </w:p>
    <w:p w14:paraId="54B9313B" w14:textId="77777777" w:rsidR="00424F87" w:rsidRPr="00A43EA1" w:rsidRDefault="00424F87" w:rsidP="00424F87">
      <w:pPr>
        <w:tabs>
          <w:tab w:val="left" w:pos="4962"/>
        </w:tabs>
        <w:rPr>
          <w:rFonts w:cs="Arial"/>
        </w:rPr>
      </w:pPr>
      <w:r w:rsidRPr="00A43EA1">
        <w:rPr>
          <w:rFonts w:cs="Arial"/>
        </w:rPr>
        <w:t>Während des Berichtszeitraums war das COBORU an den folgenden Werbemaßnahmen beteiligt:</w:t>
      </w:r>
    </w:p>
    <w:p w14:paraId="5FA27E7F" w14:textId="77777777" w:rsidR="00424F87" w:rsidRPr="00A43EA1" w:rsidRDefault="00424F87" w:rsidP="00424F87">
      <w:pPr>
        <w:tabs>
          <w:tab w:val="left" w:pos="567"/>
          <w:tab w:val="left" w:pos="4962"/>
        </w:tabs>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2"/>
        <w:gridCol w:w="1264"/>
        <w:gridCol w:w="1279"/>
        <w:gridCol w:w="1418"/>
        <w:gridCol w:w="2267"/>
        <w:gridCol w:w="1843"/>
      </w:tblGrid>
      <w:tr w:rsidR="00424F87" w:rsidRPr="00A43EA1" w14:paraId="116B29EC" w14:textId="77777777" w:rsidTr="0067202F">
        <w:trPr>
          <w:tblHeader/>
        </w:trPr>
        <w:tc>
          <w:tcPr>
            <w:tcW w:w="1842" w:type="dxa"/>
            <w:hideMark/>
          </w:tcPr>
          <w:p w14:paraId="77DBB4B6" w14:textId="77777777" w:rsidR="00424F87" w:rsidRPr="00A43EA1" w:rsidRDefault="00424F87" w:rsidP="00C30F9D">
            <w:pPr>
              <w:jc w:val="left"/>
              <w:rPr>
                <w:rFonts w:cs="Arial"/>
                <w:sz w:val="16"/>
                <w:szCs w:val="16"/>
              </w:rPr>
            </w:pPr>
            <w:r w:rsidRPr="00A43EA1">
              <w:rPr>
                <w:rFonts w:cs="Arial"/>
                <w:sz w:val="16"/>
                <w:szCs w:val="16"/>
              </w:rPr>
              <w:t>Titel der Aktivität</w:t>
            </w:r>
          </w:p>
        </w:tc>
        <w:tc>
          <w:tcPr>
            <w:tcW w:w="1264" w:type="dxa"/>
            <w:hideMark/>
          </w:tcPr>
          <w:p w14:paraId="42B09D82" w14:textId="77777777" w:rsidR="00424F87" w:rsidRPr="00A43EA1" w:rsidRDefault="00424F87" w:rsidP="00C30F9D">
            <w:pPr>
              <w:keepNext/>
              <w:keepLines/>
              <w:jc w:val="left"/>
              <w:rPr>
                <w:rFonts w:cs="Arial"/>
                <w:sz w:val="16"/>
                <w:szCs w:val="16"/>
              </w:rPr>
            </w:pPr>
            <w:r w:rsidRPr="00A43EA1">
              <w:rPr>
                <w:rFonts w:cs="Arial"/>
                <w:sz w:val="16"/>
                <w:szCs w:val="16"/>
              </w:rPr>
              <w:t>Datum</w:t>
            </w:r>
          </w:p>
        </w:tc>
        <w:tc>
          <w:tcPr>
            <w:tcW w:w="1279" w:type="dxa"/>
            <w:hideMark/>
          </w:tcPr>
          <w:p w14:paraId="0C975394" w14:textId="77777777" w:rsidR="00424F87" w:rsidRPr="00A43EA1" w:rsidRDefault="00424F87" w:rsidP="00C30F9D">
            <w:pPr>
              <w:keepNext/>
              <w:keepLines/>
              <w:jc w:val="left"/>
              <w:rPr>
                <w:rFonts w:cs="Arial"/>
                <w:sz w:val="16"/>
                <w:szCs w:val="16"/>
              </w:rPr>
            </w:pPr>
            <w:r w:rsidRPr="00A43EA1">
              <w:rPr>
                <w:rFonts w:cs="Arial"/>
                <w:sz w:val="16"/>
                <w:szCs w:val="16"/>
              </w:rPr>
              <w:t>Standort</w:t>
            </w:r>
          </w:p>
        </w:tc>
        <w:tc>
          <w:tcPr>
            <w:tcW w:w="1418" w:type="dxa"/>
            <w:hideMark/>
          </w:tcPr>
          <w:p w14:paraId="246E15F5" w14:textId="77777777" w:rsidR="00424F87" w:rsidRPr="00A43EA1" w:rsidRDefault="00424F87" w:rsidP="00C30F9D">
            <w:pPr>
              <w:keepNext/>
              <w:keepLines/>
              <w:jc w:val="left"/>
              <w:rPr>
                <w:rFonts w:cs="Arial"/>
                <w:sz w:val="16"/>
                <w:szCs w:val="16"/>
              </w:rPr>
            </w:pPr>
            <w:r w:rsidRPr="00A43EA1">
              <w:rPr>
                <w:rFonts w:cs="Arial"/>
                <w:sz w:val="16"/>
                <w:szCs w:val="16"/>
              </w:rPr>
              <w:t>Organisator(en)</w:t>
            </w:r>
          </w:p>
        </w:tc>
        <w:tc>
          <w:tcPr>
            <w:tcW w:w="2267" w:type="dxa"/>
            <w:hideMark/>
          </w:tcPr>
          <w:p w14:paraId="2E4D0C88" w14:textId="77777777" w:rsidR="00424F87" w:rsidRPr="00A43EA1" w:rsidRDefault="00424F87" w:rsidP="00C30F9D">
            <w:pPr>
              <w:keepNext/>
              <w:keepLines/>
              <w:jc w:val="left"/>
              <w:rPr>
                <w:rFonts w:cs="Arial"/>
                <w:sz w:val="16"/>
                <w:szCs w:val="16"/>
              </w:rPr>
            </w:pPr>
            <w:r w:rsidRPr="00A43EA1">
              <w:rPr>
                <w:rFonts w:cs="Arial"/>
                <w:sz w:val="16"/>
                <w:szCs w:val="16"/>
              </w:rPr>
              <w:t>Zweck der Tätigkeit</w:t>
            </w:r>
          </w:p>
        </w:tc>
        <w:tc>
          <w:tcPr>
            <w:tcW w:w="1843" w:type="dxa"/>
            <w:hideMark/>
          </w:tcPr>
          <w:p w14:paraId="5CE67D8B" w14:textId="77777777" w:rsidR="00424F87" w:rsidRPr="00A43EA1" w:rsidRDefault="00424F87" w:rsidP="00C30F9D">
            <w:pPr>
              <w:keepNext/>
              <w:keepLines/>
              <w:jc w:val="left"/>
              <w:rPr>
                <w:rFonts w:cs="Arial"/>
                <w:sz w:val="16"/>
                <w:szCs w:val="16"/>
              </w:rPr>
            </w:pPr>
            <w:r w:rsidRPr="00A43EA1">
              <w:rPr>
                <w:rFonts w:cs="Arial"/>
                <w:sz w:val="16"/>
                <w:szCs w:val="16"/>
              </w:rPr>
              <w:t>Teilnehmende Länder/Organisationen (Anzahl der Teilnehmer aus jedem Land)</w:t>
            </w:r>
          </w:p>
        </w:tc>
      </w:tr>
      <w:tr w:rsidR="00424F87" w:rsidRPr="00A43EA1" w14:paraId="6E05FCC5" w14:textId="77777777" w:rsidTr="00C30F9D">
        <w:tc>
          <w:tcPr>
            <w:tcW w:w="1842" w:type="dxa"/>
            <w:hideMark/>
          </w:tcPr>
          <w:p w14:paraId="5733EFD7"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CPVO - AEM 2022</w:t>
            </w:r>
          </w:p>
          <w:p w14:paraId="7E84F247"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CPVO - TW zu Mais 2022</w:t>
            </w:r>
          </w:p>
        </w:tc>
        <w:tc>
          <w:tcPr>
            <w:tcW w:w="1264" w:type="dxa"/>
            <w:hideMark/>
          </w:tcPr>
          <w:p w14:paraId="4D4F9291" w14:textId="77777777" w:rsidR="00424F87" w:rsidRPr="00A43EA1" w:rsidRDefault="00424F87" w:rsidP="00C30F9D">
            <w:pPr>
              <w:jc w:val="left"/>
              <w:rPr>
                <w:rFonts w:cs="Arial"/>
                <w:sz w:val="16"/>
                <w:szCs w:val="16"/>
              </w:rPr>
            </w:pPr>
            <w:r w:rsidRPr="00A43EA1">
              <w:rPr>
                <w:rFonts w:cs="Arial"/>
                <w:sz w:val="16"/>
                <w:szCs w:val="16"/>
              </w:rPr>
              <w:t>27-29.09.2022</w:t>
            </w:r>
          </w:p>
        </w:tc>
        <w:tc>
          <w:tcPr>
            <w:tcW w:w="1279" w:type="dxa"/>
            <w:hideMark/>
          </w:tcPr>
          <w:p w14:paraId="00B6996D" w14:textId="77777777" w:rsidR="00424F87" w:rsidRPr="00A43EA1" w:rsidRDefault="00424F87" w:rsidP="00C30F9D">
            <w:pPr>
              <w:jc w:val="left"/>
              <w:rPr>
                <w:rFonts w:cs="Arial"/>
                <w:sz w:val="16"/>
                <w:szCs w:val="16"/>
              </w:rPr>
            </w:pPr>
            <w:r w:rsidRPr="00A43EA1">
              <w:rPr>
                <w:rFonts w:cs="Arial"/>
                <w:sz w:val="16"/>
                <w:szCs w:val="16"/>
              </w:rPr>
              <w:t>Kraków, Przecław, Polen</w:t>
            </w:r>
          </w:p>
        </w:tc>
        <w:tc>
          <w:tcPr>
            <w:tcW w:w="1418" w:type="dxa"/>
            <w:hideMark/>
          </w:tcPr>
          <w:p w14:paraId="7828886B" w14:textId="77777777" w:rsidR="00424F87" w:rsidRPr="00A43EA1" w:rsidRDefault="00424F87" w:rsidP="00C30F9D">
            <w:pPr>
              <w:jc w:val="left"/>
              <w:rPr>
                <w:rFonts w:cs="Arial"/>
                <w:sz w:val="16"/>
                <w:szCs w:val="16"/>
              </w:rPr>
            </w:pPr>
            <w:r w:rsidRPr="00A43EA1">
              <w:rPr>
                <w:rFonts w:cs="Arial"/>
                <w:sz w:val="16"/>
                <w:szCs w:val="16"/>
              </w:rPr>
              <w:t>CPVO, COBORU</w:t>
            </w:r>
          </w:p>
        </w:tc>
        <w:tc>
          <w:tcPr>
            <w:tcW w:w="2267" w:type="dxa"/>
            <w:hideMark/>
          </w:tcPr>
          <w:p w14:paraId="460655F3" w14:textId="77777777" w:rsidR="00424F87" w:rsidRPr="00A43EA1" w:rsidRDefault="00424F87" w:rsidP="00C30F9D">
            <w:pPr>
              <w:spacing w:line="228" w:lineRule="auto"/>
              <w:jc w:val="left"/>
              <w:rPr>
                <w:rFonts w:cs="Arial"/>
                <w:sz w:val="16"/>
                <w:szCs w:val="16"/>
              </w:rPr>
            </w:pPr>
            <w:r w:rsidRPr="00A43EA1">
              <w:rPr>
                <w:rFonts w:cs="Arial"/>
                <w:sz w:val="16"/>
                <w:szCs w:val="16"/>
              </w:rPr>
              <w:t>Sitzung der beauftragten Prüfungsämter</w:t>
            </w:r>
          </w:p>
        </w:tc>
        <w:tc>
          <w:tcPr>
            <w:tcW w:w="1843" w:type="dxa"/>
            <w:hideMark/>
          </w:tcPr>
          <w:p w14:paraId="7C1C3200" w14:textId="77777777" w:rsidR="00424F87" w:rsidRPr="00A43EA1" w:rsidRDefault="00424F87" w:rsidP="00C30F9D">
            <w:pPr>
              <w:jc w:val="left"/>
              <w:rPr>
                <w:rFonts w:cs="Arial"/>
                <w:sz w:val="16"/>
                <w:szCs w:val="16"/>
              </w:rPr>
            </w:pPr>
            <w:r w:rsidRPr="00A43EA1">
              <w:rPr>
                <w:rFonts w:cs="Arial"/>
                <w:sz w:val="16"/>
                <w:szCs w:val="16"/>
              </w:rPr>
              <w:t>PL: 10</w:t>
            </w:r>
          </w:p>
          <w:p w14:paraId="60B72B53" w14:textId="77777777" w:rsidR="00424F87" w:rsidRPr="00A43EA1" w:rsidRDefault="00424F87" w:rsidP="00C30F9D">
            <w:pPr>
              <w:jc w:val="left"/>
              <w:rPr>
                <w:rFonts w:cs="Arial"/>
                <w:sz w:val="16"/>
                <w:szCs w:val="16"/>
              </w:rPr>
            </w:pPr>
            <w:r w:rsidRPr="00A43EA1">
              <w:rPr>
                <w:rFonts w:cs="Arial"/>
                <w:sz w:val="16"/>
                <w:szCs w:val="16"/>
              </w:rPr>
              <w:t>Insgesamt: 60</w:t>
            </w:r>
          </w:p>
        </w:tc>
      </w:tr>
      <w:tr w:rsidR="00424F87" w:rsidRPr="00A43EA1" w14:paraId="552EDF26" w14:textId="77777777" w:rsidTr="00C30F9D">
        <w:tc>
          <w:tcPr>
            <w:tcW w:w="1842" w:type="dxa"/>
            <w:hideMark/>
          </w:tcPr>
          <w:p w14:paraId="76BF07CD"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UKZUZ (CZ) Besuch der Geschäftsführung</w:t>
            </w:r>
          </w:p>
        </w:tc>
        <w:tc>
          <w:tcPr>
            <w:tcW w:w="1264" w:type="dxa"/>
            <w:hideMark/>
          </w:tcPr>
          <w:p w14:paraId="199B3597" w14:textId="77777777" w:rsidR="00424F87" w:rsidRPr="00A43EA1" w:rsidRDefault="00424F87" w:rsidP="00C30F9D">
            <w:pPr>
              <w:jc w:val="left"/>
              <w:rPr>
                <w:rFonts w:cs="Arial"/>
                <w:sz w:val="16"/>
                <w:szCs w:val="16"/>
              </w:rPr>
            </w:pPr>
            <w:r w:rsidRPr="00A43EA1">
              <w:rPr>
                <w:rFonts w:cs="Arial"/>
                <w:sz w:val="16"/>
                <w:szCs w:val="16"/>
              </w:rPr>
              <w:t>4-5.10.2022</w:t>
            </w:r>
          </w:p>
        </w:tc>
        <w:tc>
          <w:tcPr>
            <w:tcW w:w="1279" w:type="dxa"/>
            <w:hideMark/>
          </w:tcPr>
          <w:p w14:paraId="7263ADE8" w14:textId="77777777" w:rsidR="00424F87" w:rsidRPr="00A43EA1" w:rsidRDefault="00424F87" w:rsidP="00C30F9D">
            <w:pPr>
              <w:jc w:val="left"/>
              <w:rPr>
                <w:rFonts w:cs="Arial"/>
                <w:sz w:val="16"/>
                <w:szCs w:val="16"/>
              </w:rPr>
            </w:pPr>
            <w:r w:rsidRPr="00A43EA1">
              <w:rPr>
                <w:rFonts w:cs="Arial"/>
                <w:sz w:val="16"/>
                <w:szCs w:val="16"/>
              </w:rPr>
              <w:t>Słupia Wielka, Polen</w:t>
            </w:r>
          </w:p>
        </w:tc>
        <w:tc>
          <w:tcPr>
            <w:tcW w:w="1418" w:type="dxa"/>
            <w:hideMark/>
          </w:tcPr>
          <w:p w14:paraId="75138521" w14:textId="77777777" w:rsidR="00424F87" w:rsidRPr="00A43EA1" w:rsidRDefault="00424F87" w:rsidP="00C30F9D">
            <w:pPr>
              <w:jc w:val="left"/>
              <w:rPr>
                <w:rFonts w:cs="Arial"/>
                <w:sz w:val="16"/>
                <w:szCs w:val="16"/>
              </w:rPr>
            </w:pPr>
            <w:r w:rsidRPr="00A43EA1">
              <w:rPr>
                <w:rFonts w:cs="Arial"/>
                <w:sz w:val="16"/>
                <w:szCs w:val="16"/>
              </w:rPr>
              <w:t>COBORU, UKZUZ</w:t>
            </w:r>
          </w:p>
        </w:tc>
        <w:tc>
          <w:tcPr>
            <w:tcW w:w="2267" w:type="dxa"/>
            <w:hideMark/>
          </w:tcPr>
          <w:p w14:paraId="08E739E7" w14:textId="77777777" w:rsidR="00424F87" w:rsidRPr="00A43EA1" w:rsidRDefault="00424F87" w:rsidP="00C30F9D">
            <w:pPr>
              <w:spacing w:line="228" w:lineRule="auto"/>
              <w:jc w:val="left"/>
              <w:rPr>
                <w:rFonts w:cs="Arial"/>
                <w:sz w:val="16"/>
                <w:szCs w:val="16"/>
              </w:rPr>
            </w:pPr>
            <w:r w:rsidRPr="00A43EA1">
              <w:rPr>
                <w:rFonts w:cs="Arial"/>
                <w:sz w:val="16"/>
                <w:szCs w:val="16"/>
              </w:rPr>
              <w:t>Arbeitstreffen</w:t>
            </w:r>
          </w:p>
        </w:tc>
        <w:tc>
          <w:tcPr>
            <w:tcW w:w="1843" w:type="dxa"/>
            <w:hideMark/>
          </w:tcPr>
          <w:p w14:paraId="29A51096" w14:textId="77777777" w:rsidR="00424F87" w:rsidRPr="00A43EA1" w:rsidRDefault="00424F87" w:rsidP="00C30F9D">
            <w:pPr>
              <w:jc w:val="left"/>
              <w:rPr>
                <w:rFonts w:cs="Arial"/>
                <w:sz w:val="16"/>
                <w:szCs w:val="16"/>
              </w:rPr>
            </w:pPr>
            <w:r w:rsidRPr="00A43EA1">
              <w:rPr>
                <w:rFonts w:cs="Arial"/>
                <w:sz w:val="16"/>
                <w:szCs w:val="16"/>
              </w:rPr>
              <w:t>PL: 15</w:t>
            </w:r>
          </w:p>
          <w:p w14:paraId="3C7A10C7" w14:textId="77777777" w:rsidR="00424F87" w:rsidRPr="00A43EA1" w:rsidRDefault="00424F87" w:rsidP="00C30F9D">
            <w:pPr>
              <w:jc w:val="left"/>
              <w:rPr>
                <w:rFonts w:cs="Arial"/>
                <w:sz w:val="16"/>
                <w:szCs w:val="16"/>
              </w:rPr>
            </w:pPr>
            <w:r w:rsidRPr="00A43EA1">
              <w:rPr>
                <w:rFonts w:cs="Arial"/>
                <w:sz w:val="16"/>
                <w:szCs w:val="16"/>
              </w:rPr>
              <w:t>CZ: 3</w:t>
            </w:r>
          </w:p>
          <w:p w14:paraId="31E2644E" w14:textId="77777777" w:rsidR="00424F87" w:rsidRPr="00A43EA1" w:rsidRDefault="00424F87" w:rsidP="00C30F9D">
            <w:pPr>
              <w:jc w:val="left"/>
              <w:rPr>
                <w:rFonts w:cs="Arial"/>
                <w:sz w:val="16"/>
                <w:szCs w:val="16"/>
              </w:rPr>
            </w:pPr>
          </w:p>
        </w:tc>
      </w:tr>
      <w:tr w:rsidR="00424F87" w:rsidRPr="00A43EA1" w14:paraId="48C63C29" w14:textId="77777777" w:rsidTr="00C30F9D">
        <w:tc>
          <w:tcPr>
            <w:tcW w:w="1842" w:type="dxa"/>
            <w:hideMark/>
          </w:tcPr>
          <w:p w14:paraId="02339458"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Liveseeding "Kick-off" Treffen</w:t>
            </w:r>
          </w:p>
        </w:tc>
        <w:tc>
          <w:tcPr>
            <w:tcW w:w="1264" w:type="dxa"/>
            <w:hideMark/>
          </w:tcPr>
          <w:p w14:paraId="0FCE97CA" w14:textId="77777777" w:rsidR="00424F87" w:rsidRPr="00A43EA1" w:rsidRDefault="00424F87" w:rsidP="00C30F9D">
            <w:pPr>
              <w:jc w:val="left"/>
              <w:rPr>
                <w:rFonts w:cs="Arial"/>
                <w:sz w:val="16"/>
                <w:szCs w:val="16"/>
              </w:rPr>
            </w:pPr>
            <w:r w:rsidRPr="00A43EA1">
              <w:rPr>
                <w:rFonts w:cs="Arial"/>
                <w:sz w:val="16"/>
                <w:szCs w:val="16"/>
              </w:rPr>
              <w:t>17-22.10.2022</w:t>
            </w:r>
          </w:p>
        </w:tc>
        <w:tc>
          <w:tcPr>
            <w:tcW w:w="1279" w:type="dxa"/>
            <w:hideMark/>
          </w:tcPr>
          <w:p w14:paraId="03A1CD1F" w14:textId="77777777" w:rsidR="00424F87" w:rsidRPr="00A43EA1" w:rsidRDefault="00424F87" w:rsidP="00C30F9D">
            <w:pPr>
              <w:jc w:val="left"/>
              <w:rPr>
                <w:rFonts w:cs="Arial"/>
                <w:sz w:val="16"/>
                <w:szCs w:val="16"/>
              </w:rPr>
            </w:pPr>
            <w:r w:rsidRPr="00A43EA1">
              <w:rPr>
                <w:rFonts w:cs="Arial"/>
                <w:sz w:val="16"/>
                <w:szCs w:val="16"/>
              </w:rPr>
              <w:t>Zagreb, Kroatien</w:t>
            </w:r>
          </w:p>
        </w:tc>
        <w:tc>
          <w:tcPr>
            <w:tcW w:w="1418" w:type="dxa"/>
            <w:hideMark/>
          </w:tcPr>
          <w:p w14:paraId="7146D33C" w14:textId="77777777" w:rsidR="00424F87" w:rsidRPr="00A43EA1" w:rsidRDefault="00424F87" w:rsidP="00C30F9D">
            <w:pPr>
              <w:jc w:val="left"/>
              <w:rPr>
                <w:rFonts w:cs="Arial"/>
                <w:sz w:val="16"/>
                <w:szCs w:val="16"/>
              </w:rPr>
            </w:pPr>
            <w:r w:rsidRPr="00A43EA1">
              <w:rPr>
                <w:rFonts w:cs="Arial"/>
                <w:sz w:val="16"/>
                <w:szCs w:val="16"/>
              </w:rPr>
              <w:t>FIBL (CH)</w:t>
            </w:r>
          </w:p>
        </w:tc>
        <w:tc>
          <w:tcPr>
            <w:tcW w:w="2267" w:type="dxa"/>
            <w:hideMark/>
          </w:tcPr>
          <w:p w14:paraId="45228EBF" w14:textId="77777777" w:rsidR="00424F87" w:rsidRPr="00A43EA1" w:rsidRDefault="00424F87" w:rsidP="00C30F9D">
            <w:pPr>
              <w:spacing w:line="228" w:lineRule="auto"/>
              <w:jc w:val="left"/>
              <w:rPr>
                <w:rFonts w:cs="Arial"/>
                <w:sz w:val="16"/>
                <w:szCs w:val="16"/>
              </w:rPr>
            </w:pPr>
            <w:r w:rsidRPr="00A43EA1">
              <w:rPr>
                <w:rFonts w:cs="Arial"/>
                <w:sz w:val="16"/>
                <w:szCs w:val="16"/>
              </w:rPr>
              <w:t>Kick-off-Meeting</w:t>
            </w:r>
          </w:p>
        </w:tc>
        <w:tc>
          <w:tcPr>
            <w:tcW w:w="1843" w:type="dxa"/>
            <w:hideMark/>
          </w:tcPr>
          <w:p w14:paraId="59CB093B" w14:textId="77777777" w:rsidR="00424F87" w:rsidRPr="00A43EA1" w:rsidRDefault="00424F87" w:rsidP="00C30F9D">
            <w:pPr>
              <w:jc w:val="left"/>
              <w:rPr>
                <w:rFonts w:cs="Arial"/>
                <w:sz w:val="16"/>
                <w:szCs w:val="16"/>
              </w:rPr>
            </w:pPr>
            <w:r w:rsidRPr="00A43EA1">
              <w:rPr>
                <w:rFonts w:cs="Arial"/>
                <w:sz w:val="16"/>
                <w:szCs w:val="16"/>
              </w:rPr>
              <w:t>PL: 2</w:t>
            </w:r>
          </w:p>
          <w:p w14:paraId="5D2E0016" w14:textId="77777777" w:rsidR="00424F87" w:rsidRPr="00A43EA1" w:rsidRDefault="00424F87" w:rsidP="00C30F9D">
            <w:pPr>
              <w:jc w:val="left"/>
              <w:rPr>
                <w:rFonts w:cs="Arial"/>
                <w:sz w:val="16"/>
                <w:szCs w:val="16"/>
              </w:rPr>
            </w:pPr>
            <w:r w:rsidRPr="00A43EA1">
              <w:rPr>
                <w:rFonts w:cs="Arial"/>
                <w:sz w:val="16"/>
                <w:szCs w:val="16"/>
              </w:rPr>
              <w:t>Insgesamt: 60</w:t>
            </w:r>
          </w:p>
        </w:tc>
      </w:tr>
      <w:tr w:rsidR="00424F87" w:rsidRPr="00A43EA1" w14:paraId="6065B0FE" w14:textId="77777777" w:rsidTr="00C30F9D">
        <w:tc>
          <w:tcPr>
            <w:tcW w:w="1842" w:type="dxa"/>
            <w:hideMark/>
          </w:tcPr>
          <w:p w14:paraId="77FEC782"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EU-Twining-Projekttreffen: BA 18 IPA AG 03 19 für Bosnien und Herzegowina</w:t>
            </w:r>
          </w:p>
        </w:tc>
        <w:tc>
          <w:tcPr>
            <w:tcW w:w="1264" w:type="dxa"/>
            <w:hideMark/>
          </w:tcPr>
          <w:p w14:paraId="0438C589" w14:textId="77777777" w:rsidR="00424F87" w:rsidRPr="00A43EA1" w:rsidRDefault="00424F87" w:rsidP="00C30F9D">
            <w:pPr>
              <w:jc w:val="left"/>
              <w:rPr>
                <w:rFonts w:cs="Arial"/>
                <w:sz w:val="16"/>
                <w:szCs w:val="16"/>
              </w:rPr>
            </w:pPr>
            <w:r w:rsidRPr="00A43EA1">
              <w:rPr>
                <w:rFonts w:cs="Arial"/>
                <w:sz w:val="16"/>
                <w:szCs w:val="16"/>
              </w:rPr>
              <w:t>16-20.10.2022</w:t>
            </w:r>
          </w:p>
        </w:tc>
        <w:tc>
          <w:tcPr>
            <w:tcW w:w="1279" w:type="dxa"/>
            <w:hideMark/>
          </w:tcPr>
          <w:p w14:paraId="10FEBD43" w14:textId="77777777" w:rsidR="00424F87" w:rsidRPr="00A43EA1" w:rsidRDefault="00424F87" w:rsidP="00C30F9D">
            <w:pPr>
              <w:jc w:val="left"/>
              <w:rPr>
                <w:rFonts w:cs="Arial"/>
                <w:sz w:val="16"/>
                <w:szCs w:val="16"/>
              </w:rPr>
            </w:pPr>
            <w:r w:rsidRPr="00A43EA1">
              <w:rPr>
                <w:rFonts w:cs="Arial"/>
                <w:sz w:val="16"/>
                <w:szCs w:val="16"/>
              </w:rPr>
              <w:t>Bosnien und Herzegowina</w:t>
            </w:r>
          </w:p>
        </w:tc>
        <w:tc>
          <w:tcPr>
            <w:tcW w:w="1418" w:type="dxa"/>
            <w:hideMark/>
          </w:tcPr>
          <w:p w14:paraId="17AF786D" w14:textId="77777777" w:rsidR="00424F87" w:rsidRPr="00A43EA1" w:rsidRDefault="00424F87" w:rsidP="00C30F9D">
            <w:pPr>
              <w:jc w:val="left"/>
              <w:rPr>
                <w:rFonts w:cs="Arial"/>
                <w:sz w:val="16"/>
                <w:szCs w:val="16"/>
              </w:rPr>
            </w:pPr>
            <w:r w:rsidRPr="00A43EA1">
              <w:rPr>
                <w:rFonts w:cs="Arial"/>
                <w:sz w:val="16"/>
                <w:szCs w:val="16"/>
              </w:rPr>
              <w:t xml:space="preserve">Europäische Kommission </w:t>
            </w:r>
          </w:p>
        </w:tc>
        <w:tc>
          <w:tcPr>
            <w:tcW w:w="2267" w:type="dxa"/>
            <w:hideMark/>
          </w:tcPr>
          <w:p w14:paraId="41ABB335" w14:textId="77777777" w:rsidR="00424F87" w:rsidRPr="00A43EA1" w:rsidRDefault="00424F87" w:rsidP="00C30F9D">
            <w:pPr>
              <w:spacing w:line="228" w:lineRule="auto"/>
              <w:jc w:val="left"/>
              <w:rPr>
                <w:rFonts w:cs="Arial"/>
                <w:sz w:val="16"/>
                <w:szCs w:val="16"/>
              </w:rPr>
            </w:pPr>
            <w:r w:rsidRPr="00A43EA1">
              <w:rPr>
                <w:rFonts w:cs="Arial"/>
                <w:sz w:val="16"/>
                <w:szCs w:val="16"/>
              </w:rPr>
              <w:t>Auftrag des Projekts</w:t>
            </w:r>
          </w:p>
        </w:tc>
        <w:tc>
          <w:tcPr>
            <w:tcW w:w="1843" w:type="dxa"/>
            <w:hideMark/>
          </w:tcPr>
          <w:p w14:paraId="7306C846" w14:textId="77777777" w:rsidR="00424F87" w:rsidRPr="00A43EA1" w:rsidRDefault="00424F87" w:rsidP="00C30F9D">
            <w:pPr>
              <w:jc w:val="left"/>
              <w:rPr>
                <w:rFonts w:cs="Arial"/>
                <w:sz w:val="16"/>
                <w:szCs w:val="16"/>
              </w:rPr>
            </w:pPr>
            <w:r w:rsidRPr="00A43EA1">
              <w:rPr>
                <w:rFonts w:cs="Arial"/>
                <w:sz w:val="16"/>
                <w:szCs w:val="16"/>
              </w:rPr>
              <w:t>PL: 2</w:t>
            </w:r>
          </w:p>
          <w:p w14:paraId="663E2555" w14:textId="77777777" w:rsidR="00424F87" w:rsidRPr="00A43EA1" w:rsidRDefault="00424F87" w:rsidP="00C30F9D">
            <w:pPr>
              <w:jc w:val="left"/>
              <w:rPr>
                <w:rFonts w:cs="Arial"/>
                <w:sz w:val="16"/>
                <w:szCs w:val="16"/>
              </w:rPr>
            </w:pPr>
            <w:r w:rsidRPr="00A43EA1">
              <w:rPr>
                <w:rFonts w:cs="Arial"/>
                <w:sz w:val="16"/>
                <w:szCs w:val="16"/>
              </w:rPr>
              <w:t>BA: 4</w:t>
            </w:r>
          </w:p>
          <w:p w14:paraId="792B0A1D" w14:textId="77777777" w:rsidR="00424F87" w:rsidRPr="00A43EA1" w:rsidRDefault="00424F87" w:rsidP="00C30F9D">
            <w:pPr>
              <w:jc w:val="left"/>
              <w:rPr>
                <w:rFonts w:cs="Arial"/>
                <w:sz w:val="16"/>
                <w:szCs w:val="16"/>
              </w:rPr>
            </w:pPr>
            <w:r w:rsidRPr="00A43EA1">
              <w:rPr>
                <w:rFonts w:cs="Arial"/>
                <w:sz w:val="16"/>
                <w:szCs w:val="16"/>
              </w:rPr>
              <w:t>IT: 2</w:t>
            </w:r>
          </w:p>
          <w:p w14:paraId="032FEB62" w14:textId="77777777" w:rsidR="00424F87" w:rsidRPr="00A43EA1" w:rsidRDefault="00424F87" w:rsidP="00C30F9D">
            <w:pPr>
              <w:jc w:val="left"/>
              <w:rPr>
                <w:rFonts w:cs="Arial"/>
                <w:sz w:val="16"/>
                <w:szCs w:val="16"/>
              </w:rPr>
            </w:pPr>
            <w:r w:rsidRPr="00A43EA1">
              <w:rPr>
                <w:rFonts w:cs="Arial"/>
                <w:sz w:val="16"/>
                <w:szCs w:val="16"/>
              </w:rPr>
              <w:t>Insgesamt: 20</w:t>
            </w:r>
          </w:p>
        </w:tc>
      </w:tr>
      <w:tr w:rsidR="00424F87" w:rsidRPr="00A43EA1" w14:paraId="6EE4D906" w14:textId="77777777" w:rsidTr="00C30F9D">
        <w:tc>
          <w:tcPr>
            <w:tcW w:w="1842" w:type="dxa"/>
            <w:hideMark/>
          </w:tcPr>
          <w:p w14:paraId="3843E86D"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IPM ESSEN 2023</w:t>
            </w:r>
          </w:p>
        </w:tc>
        <w:tc>
          <w:tcPr>
            <w:tcW w:w="1264" w:type="dxa"/>
            <w:hideMark/>
          </w:tcPr>
          <w:p w14:paraId="20387A83" w14:textId="77777777" w:rsidR="00424F87" w:rsidRPr="00A43EA1" w:rsidRDefault="00424F87" w:rsidP="00C30F9D">
            <w:pPr>
              <w:jc w:val="left"/>
              <w:rPr>
                <w:rFonts w:cs="Arial"/>
                <w:sz w:val="16"/>
                <w:szCs w:val="16"/>
              </w:rPr>
            </w:pPr>
            <w:r w:rsidRPr="00A43EA1">
              <w:rPr>
                <w:rFonts w:cs="Arial"/>
                <w:sz w:val="16"/>
                <w:szCs w:val="16"/>
              </w:rPr>
              <w:t>24-27.01.2023</w:t>
            </w:r>
          </w:p>
        </w:tc>
        <w:tc>
          <w:tcPr>
            <w:tcW w:w="1279" w:type="dxa"/>
            <w:hideMark/>
          </w:tcPr>
          <w:p w14:paraId="31C0B00F" w14:textId="77777777" w:rsidR="00424F87" w:rsidRPr="00A43EA1" w:rsidRDefault="00424F87" w:rsidP="00C30F9D">
            <w:pPr>
              <w:jc w:val="left"/>
              <w:rPr>
                <w:rFonts w:cs="Arial"/>
                <w:sz w:val="16"/>
                <w:szCs w:val="16"/>
              </w:rPr>
            </w:pPr>
            <w:r w:rsidRPr="00A43EA1">
              <w:rPr>
                <w:rFonts w:cs="Arial"/>
                <w:sz w:val="16"/>
                <w:szCs w:val="16"/>
              </w:rPr>
              <w:t>Essen, Deutschland</w:t>
            </w:r>
          </w:p>
        </w:tc>
        <w:tc>
          <w:tcPr>
            <w:tcW w:w="1418" w:type="dxa"/>
            <w:hideMark/>
          </w:tcPr>
          <w:p w14:paraId="482EF954" w14:textId="77777777" w:rsidR="00424F87" w:rsidRPr="00A43EA1" w:rsidRDefault="00424F87" w:rsidP="00C30F9D">
            <w:pPr>
              <w:jc w:val="left"/>
              <w:rPr>
                <w:rFonts w:cs="Arial"/>
                <w:sz w:val="16"/>
                <w:szCs w:val="16"/>
              </w:rPr>
            </w:pPr>
            <w:r w:rsidRPr="00A43EA1">
              <w:rPr>
                <w:rFonts w:cs="Arial"/>
                <w:sz w:val="16"/>
                <w:szCs w:val="16"/>
              </w:rPr>
              <w:t>IPM</w:t>
            </w:r>
          </w:p>
        </w:tc>
        <w:tc>
          <w:tcPr>
            <w:tcW w:w="2267" w:type="dxa"/>
            <w:hideMark/>
          </w:tcPr>
          <w:p w14:paraId="4D1FE91A" w14:textId="77777777" w:rsidR="00424F87" w:rsidRPr="00A43EA1" w:rsidRDefault="00424F87" w:rsidP="00C30F9D">
            <w:pPr>
              <w:spacing w:line="228" w:lineRule="auto"/>
              <w:jc w:val="left"/>
              <w:rPr>
                <w:rFonts w:cs="Arial"/>
                <w:sz w:val="16"/>
                <w:szCs w:val="16"/>
              </w:rPr>
            </w:pPr>
            <w:r w:rsidRPr="00A43EA1">
              <w:rPr>
                <w:rFonts w:cs="Arial"/>
                <w:sz w:val="16"/>
                <w:szCs w:val="16"/>
              </w:rPr>
              <w:t>Beförderung des PVP PL-Büros nach Erteilung einer neuen Beauftragung durch das CPVO (Gartenrosen)</w:t>
            </w:r>
          </w:p>
        </w:tc>
        <w:tc>
          <w:tcPr>
            <w:tcW w:w="1843" w:type="dxa"/>
            <w:hideMark/>
          </w:tcPr>
          <w:p w14:paraId="5C3E5F43" w14:textId="77777777" w:rsidR="00424F87" w:rsidRPr="00A43EA1" w:rsidRDefault="00424F87" w:rsidP="00C30F9D">
            <w:pPr>
              <w:jc w:val="left"/>
              <w:rPr>
                <w:rFonts w:cs="Arial"/>
                <w:sz w:val="16"/>
                <w:szCs w:val="16"/>
              </w:rPr>
            </w:pPr>
            <w:r w:rsidRPr="00A43EA1">
              <w:rPr>
                <w:rFonts w:cs="Arial"/>
                <w:sz w:val="16"/>
                <w:szCs w:val="16"/>
              </w:rPr>
              <w:t>PL: 5</w:t>
            </w:r>
          </w:p>
          <w:p w14:paraId="5FD97EDB" w14:textId="77777777" w:rsidR="00424F87" w:rsidRPr="00A43EA1" w:rsidRDefault="00424F87" w:rsidP="00C30F9D">
            <w:pPr>
              <w:jc w:val="left"/>
              <w:outlineLvl w:val="0"/>
              <w:rPr>
                <w:rFonts w:cs="Arial"/>
                <w:sz w:val="16"/>
                <w:szCs w:val="16"/>
              </w:rPr>
            </w:pPr>
            <w:r w:rsidRPr="00A43EA1">
              <w:rPr>
                <w:rFonts w:cs="Arial"/>
                <w:sz w:val="16"/>
                <w:szCs w:val="16"/>
              </w:rPr>
              <w:t>DE: 5</w:t>
            </w:r>
          </w:p>
          <w:p w14:paraId="35E47884" w14:textId="77777777" w:rsidR="00424F87" w:rsidRPr="00A43EA1" w:rsidRDefault="00424F87" w:rsidP="00C30F9D">
            <w:pPr>
              <w:jc w:val="left"/>
              <w:rPr>
                <w:rFonts w:cs="Arial"/>
                <w:sz w:val="16"/>
                <w:szCs w:val="16"/>
              </w:rPr>
            </w:pPr>
            <w:r w:rsidRPr="00A43EA1">
              <w:rPr>
                <w:rFonts w:cs="Arial"/>
                <w:sz w:val="16"/>
                <w:szCs w:val="16"/>
              </w:rPr>
              <w:t>NL: 6</w:t>
            </w:r>
          </w:p>
          <w:p w14:paraId="18F03B71" w14:textId="77777777" w:rsidR="00424F87" w:rsidRPr="00A43EA1" w:rsidRDefault="00424F87" w:rsidP="00C30F9D">
            <w:pPr>
              <w:jc w:val="left"/>
              <w:rPr>
                <w:rFonts w:cs="Arial"/>
                <w:sz w:val="16"/>
                <w:szCs w:val="16"/>
              </w:rPr>
            </w:pPr>
            <w:r w:rsidRPr="00A43EA1">
              <w:rPr>
                <w:rFonts w:cs="Arial"/>
                <w:sz w:val="16"/>
                <w:szCs w:val="16"/>
              </w:rPr>
              <w:t>FR: 2</w:t>
            </w:r>
          </w:p>
          <w:p w14:paraId="53252F92" w14:textId="77777777" w:rsidR="00424F87" w:rsidRPr="00A43EA1" w:rsidRDefault="00424F87" w:rsidP="00C30F9D">
            <w:pPr>
              <w:jc w:val="left"/>
              <w:rPr>
                <w:rFonts w:cs="Arial"/>
                <w:sz w:val="16"/>
                <w:szCs w:val="16"/>
              </w:rPr>
            </w:pPr>
            <w:r w:rsidRPr="00A43EA1">
              <w:rPr>
                <w:rFonts w:cs="Arial"/>
                <w:sz w:val="16"/>
                <w:szCs w:val="16"/>
              </w:rPr>
              <w:t>CPVO: 1</w:t>
            </w:r>
          </w:p>
          <w:p w14:paraId="549EE5DB" w14:textId="77777777" w:rsidR="00424F87" w:rsidRPr="00A43EA1" w:rsidRDefault="00424F87" w:rsidP="00C30F9D">
            <w:pPr>
              <w:jc w:val="left"/>
              <w:rPr>
                <w:rFonts w:cs="Arial"/>
                <w:sz w:val="16"/>
                <w:szCs w:val="16"/>
              </w:rPr>
            </w:pPr>
            <w:r w:rsidRPr="00A43EA1">
              <w:rPr>
                <w:rFonts w:cs="Arial"/>
                <w:sz w:val="16"/>
                <w:szCs w:val="16"/>
              </w:rPr>
              <w:t>Insgesamt: 54000 (Besucher)</w:t>
            </w:r>
          </w:p>
        </w:tc>
      </w:tr>
      <w:tr w:rsidR="00424F87" w:rsidRPr="00A43EA1" w14:paraId="2F093E03" w14:textId="77777777" w:rsidTr="00C30F9D">
        <w:tc>
          <w:tcPr>
            <w:tcW w:w="1842" w:type="dxa"/>
            <w:hideMark/>
          </w:tcPr>
          <w:p w14:paraId="5C66AC8B"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lastRenderedPageBreak/>
              <w:t>Besuch des CPVO-Präsidenten</w:t>
            </w:r>
          </w:p>
        </w:tc>
        <w:tc>
          <w:tcPr>
            <w:tcW w:w="1264" w:type="dxa"/>
            <w:hideMark/>
          </w:tcPr>
          <w:p w14:paraId="69F649F4" w14:textId="77777777" w:rsidR="00424F87" w:rsidRPr="00A43EA1" w:rsidRDefault="00424F87" w:rsidP="00C30F9D">
            <w:pPr>
              <w:jc w:val="left"/>
              <w:rPr>
                <w:rFonts w:cs="Arial"/>
                <w:sz w:val="16"/>
                <w:szCs w:val="16"/>
              </w:rPr>
            </w:pPr>
            <w:r w:rsidRPr="00A43EA1">
              <w:rPr>
                <w:rFonts w:cs="Arial"/>
                <w:sz w:val="16"/>
                <w:szCs w:val="16"/>
              </w:rPr>
              <w:t>18-21.04.2023</w:t>
            </w:r>
          </w:p>
        </w:tc>
        <w:tc>
          <w:tcPr>
            <w:tcW w:w="1279" w:type="dxa"/>
            <w:hideMark/>
          </w:tcPr>
          <w:p w14:paraId="28800057" w14:textId="77777777" w:rsidR="00424F87" w:rsidRPr="00A43EA1" w:rsidRDefault="00424F87" w:rsidP="00C30F9D">
            <w:pPr>
              <w:jc w:val="left"/>
              <w:rPr>
                <w:rFonts w:cs="Arial"/>
                <w:sz w:val="16"/>
                <w:szCs w:val="16"/>
              </w:rPr>
            </w:pPr>
            <w:r w:rsidRPr="00A43EA1">
              <w:rPr>
                <w:rFonts w:cs="Arial"/>
                <w:sz w:val="16"/>
                <w:szCs w:val="16"/>
              </w:rPr>
              <w:t>Polen (mehrere Standorte)</w:t>
            </w:r>
          </w:p>
        </w:tc>
        <w:tc>
          <w:tcPr>
            <w:tcW w:w="1418" w:type="dxa"/>
            <w:hideMark/>
          </w:tcPr>
          <w:p w14:paraId="5199D642" w14:textId="77777777" w:rsidR="00424F87" w:rsidRPr="00A43EA1" w:rsidRDefault="00424F87" w:rsidP="00C30F9D">
            <w:pPr>
              <w:jc w:val="left"/>
              <w:rPr>
                <w:rFonts w:cs="Arial"/>
                <w:sz w:val="16"/>
                <w:szCs w:val="16"/>
              </w:rPr>
            </w:pPr>
            <w:r w:rsidRPr="00A43EA1">
              <w:rPr>
                <w:rFonts w:cs="Arial"/>
                <w:sz w:val="16"/>
                <w:szCs w:val="16"/>
              </w:rPr>
              <w:t>CPVO, COBORU</w:t>
            </w:r>
          </w:p>
        </w:tc>
        <w:tc>
          <w:tcPr>
            <w:tcW w:w="2267" w:type="dxa"/>
            <w:hideMark/>
          </w:tcPr>
          <w:p w14:paraId="15BD74DA" w14:textId="77777777" w:rsidR="00424F87" w:rsidRPr="00A43EA1" w:rsidRDefault="00424F87" w:rsidP="00C30F9D">
            <w:pPr>
              <w:spacing w:line="228" w:lineRule="auto"/>
              <w:jc w:val="left"/>
              <w:rPr>
                <w:rFonts w:cs="Arial"/>
                <w:sz w:val="16"/>
                <w:szCs w:val="16"/>
              </w:rPr>
            </w:pPr>
            <w:r w:rsidRPr="00A43EA1">
              <w:rPr>
                <w:rFonts w:cs="Arial"/>
                <w:sz w:val="16"/>
                <w:szCs w:val="16"/>
              </w:rPr>
              <w:t>Arbeitsbesuch des neuen CPVO-Präsidenten</w:t>
            </w:r>
          </w:p>
        </w:tc>
        <w:tc>
          <w:tcPr>
            <w:tcW w:w="1843" w:type="dxa"/>
            <w:hideMark/>
          </w:tcPr>
          <w:p w14:paraId="20387EA1" w14:textId="77777777" w:rsidR="00424F87" w:rsidRPr="00A43EA1" w:rsidRDefault="00424F87" w:rsidP="00C30F9D">
            <w:pPr>
              <w:jc w:val="left"/>
              <w:rPr>
                <w:rFonts w:cs="Arial"/>
                <w:sz w:val="16"/>
                <w:szCs w:val="16"/>
              </w:rPr>
            </w:pPr>
            <w:r w:rsidRPr="00A43EA1">
              <w:rPr>
                <w:rFonts w:cs="Arial"/>
                <w:sz w:val="16"/>
                <w:szCs w:val="16"/>
              </w:rPr>
              <w:t>CPVO: 3</w:t>
            </w:r>
          </w:p>
          <w:p w14:paraId="325E9924" w14:textId="77777777" w:rsidR="00424F87" w:rsidRPr="00A43EA1" w:rsidRDefault="00424F87" w:rsidP="00C30F9D">
            <w:pPr>
              <w:jc w:val="left"/>
              <w:rPr>
                <w:rFonts w:cs="Arial"/>
                <w:sz w:val="16"/>
                <w:szCs w:val="16"/>
              </w:rPr>
            </w:pPr>
            <w:r w:rsidRPr="00A43EA1">
              <w:rPr>
                <w:rFonts w:cs="Arial"/>
                <w:sz w:val="16"/>
                <w:szCs w:val="16"/>
              </w:rPr>
              <w:t>PL: 7</w:t>
            </w:r>
          </w:p>
          <w:p w14:paraId="7225CBD2" w14:textId="77777777" w:rsidR="00424F87" w:rsidRPr="00A43EA1" w:rsidRDefault="00424F87" w:rsidP="00C30F9D">
            <w:pPr>
              <w:jc w:val="left"/>
              <w:rPr>
                <w:rFonts w:cs="Arial"/>
                <w:sz w:val="16"/>
                <w:szCs w:val="16"/>
              </w:rPr>
            </w:pPr>
            <w:r w:rsidRPr="00A43EA1">
              <w:rPr>
                <w:rFonts w:cs="Arial"/>
                <w:sz w:val="16"/>
                <w:szCs w:val="16"/>
              </w:rPr>
              <w:t>Insgesamt: 200</w:t>
            </w:r>
          </w:p>
        </w:tc>
      </w:tr>
      <w:tr w:rsidR="00424F87" w:rsidRPr="00A43EA1" w14:paraId="379A8936" w14:textId="77777777" w:rsidTr="00C30F9D">
        <w:tc>
          <w:tcPr>
            <w:tcW w:w="1842" w:type="dxa"/>
            <w:hideMark/>
          </w:tcPr>
          <w:p w14:paraId="109CC359" w14:textId="09D0A579"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116 Internationaler Rosenwettbewerb</w:t>
            </w:r>
          </w:p>
        </w:tc>
        <w:tc>
          <w:tcPr>
            <w:tcW w:w="1264" w:type="dxa"/>
            <w:hideMark/>
          </w:tcPr>
          <w:p w14:paraId="68FEE108" w14:textId="77777777" w:rsidR="00424F87" w:rsidRPr="00A43EA1" w:rsidRDefault="00424F87" w:rsidP="00C30F9D">
            <w:pPr>
              <w:jc w:val="left"/>
              <w:rPr>
                <w:rFonts w:cs="Arial"/>
                <w:sz w:val="16"/>
                <w:szCs w:val="16"/>
              </w:rPr>
            </w:pPr>
            <w:r w:rsidRPr="00A43EA1">
              <w:rPr>
                <w:rFonts w:cs="Arial"/>
                <w:sz w:val="16"/>
                <w:szCs w:val="16"/>
              </w:rPr>
              <w:t>15.06.2023</w:t>
            </w:r>
          </w:p>
        </w:tc>
        <w:tc>
          <w:tcPr>
            <w:tcW w:w="1279" w:type="dxa"/>
            <w:hideMark/>
          </w:tcPr>
          <w:p w14:paraId="150BD67C" w14:textId="77777777" w:rsidR="00424F87" w:rsidRPr="00A43EA1" w:rsidRDefault="00424F87" w:rsidP="00C30F9D">
            <w:pPr>
              <w:jc w:val="left"/>
              <w:rPr>
                <w:rFonts w:cs="Arial"/>
                <w:sz w:val="16"/>
                <w:szCs w:val="16"/>
              </w:rPr>
            </w:pPr>
            <w:r w:rsidRPr="00A43EA1">
              <w:rPr>
                <w:rFonts w:cs="Arial"/>
                <w:sz w:val="16"/>
                <w:szCs w:val="16"/>
              </w:rPr>
              <w:t>Paris, Frankreich</w:t>
            </w:r>
          </w:p>
        </w:tc>
        <w:tc>
          <w:tcPr>
            <w:tcW w:w="1418" w:type="dxa"/>
            <w:hideMark/>
          </w:tcPr>
          <w:p w14:paraId="02302014" w14:textId="77777777" w:rsidR="00424F87" w:rsidRPr="00A43EA1" w:rsidRDefault="00424F87" w:rsidP="00C30F9D">
            <w:pPr>
              <w:jc w:val="left"/>
              <w:rPr>
                <w:rFonts w:cs="Arial"/>
                <w:sz w:val="16"/>
                <w:szCs w:val="16"/>
              </w:rPr>
            </w:pPr>
            <w:r w:rsidRPr="00A43EA1">
              <w:rPr>
                <w:rFonts w:cs="Arial"/>
                <w:sz w:val="16"/>
                <w:szCs w:val="16"/>
              </w:rPr>
              <w:t>Die Gärten von Bagatelle in Paris, Frankreich</w:t>
            </w:r>
          </w:p>
        </w:tc>
        <w:tc>
          <w:tcPr>
            <w:tcW w:w="2267" w:type="dxa"/>
            <w:hideMark/>
          </w:tcPr>
          <w:p w14:paraId="0B4B4841" w14:textId="77777777" w:rsidR="00424F87" w:rsidRPr="00A43EA1" w:rsidRDefault="00424F87" w:rsidP="00C30F9D">
            <w:pPr>
              <w:spacing w:line="228" w:lineRule="auto"/>
              <w:jc w:val="left"/>
              <w:rPr>
                <w:rFonts w:cs="Arial"/>
                <w:sz w:val="16"/>
                <w:szCs w:val="16"/>
              </w:rPr>
            </w:pPr>
            <w:r w:rsidRPr="00A43EA1">
              <w:rPr>
                <w:rFonts w:cs="Arial"/>
                <w:sz w:val="16"/>
                <w:szCs w:val="16"/>
              </w:rPr>
              <w:t>Beförderung des PVP PL-Büros nach Erteilung einer neuen Beauftragung durch das CPVO (Gartenrosen)</w:t>
            </w:r>
          </w:p>
        </w:tc>
        <w:tc>
          <w:tcPr>
            <w:tcW w:w="1843" w:type="dxa"/>
            <w:hideMark/>
          </w:tcPr>
          <w:p w14:paraId="621FA6CD" w14:textId="77777777" w:rsidR="00424F87" w:rsidRPr="00A43EA1" w:rsidRDefault="00424F87" w:rsidP="00C30F9D">
            <w:pPr>
              <w:jc w:val="left"/>
              <w:rPr>
                <w:rFonts w:cs="Arial"/>
                <w:sz w:val="16"/>
                <w:szCs w:val="16"/>
              </w:rPr>
            </w:pPr>
            <w:r w:rsidRPr="00A43EA1">
              <w:rPr>
                <w:rFonts w:cs="Arial"/>
                <w:sz w:val="16"/>
                <w:szCs w:val="16"/>
              </w:rPr>
              <w:t>PL: 3</w:t>
            </w:r>
          </w:p>
          <w:p w14:paraId="734EF85A" w14:textId="77777777" w:rsidR="00424F87" w:rsidRPr="00A43EA1" w:rsidRDefault="00424F87" w:rsidP="00C30F9D">
            <w:pPr>
              <w:jc w:val="left"/>
              <w:rPr>
                <w:rFonts w:cs="Arial"/>
                <w:sz w:val="16"/>
                <w:szCs w:val="16"/>
              </w:rPr>
            </w:pPr>
            <w:r w:rsidRPr="00A43EA1">
              <w:rPr>
                <w:rFonts w:cs="Arial"/>
                <w:sz w:val="16"/>
                <w:szCs w:val="16"/>
              </w:rPr>
              <w:t>Insgesamt: 150</w:t>
            </w:r>
          </w:p>
        </w:tc>
      </w:tr>
      <w:tr w:rsidR="00424F87" w:rsidRPr="00A43EA1" w14:paraId="55B3699B" w14:textId="77777777" w:rsidTr="00C30F9D">
        <w:tc>
          <w:tcPr>
            <w:tcW w:w="1842" w:type="dxa"/>
            <w:hideMark/>
          </w:tcPr>
          <w:p w14:paraId="3E8EA17A"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 xml:space="preserve">Besuch der NEBIH-Delegation (HU) </w:t>
            </w:r>
          </w:p>
        </w:tc>
        <w:tc>
          <w:tcPr>
            <w:tcW w:w="1264" w:type="dxa"/>
            <w:hideMark/>
          </w:tcPr>
          <w:p w14:paraId="00D59C64" w14:textId="77777777" w:rsidR="00424F87" w:rsidRPr="00A43EA1" w:rsidRDefault="00424F87" w:rsidP="00C30F9D">
            <w:pPr>
              <w:jc w:val="left"/>
              <w:rPr>
                <w:rFonts w:cs="Arial"/>
                <w:sz w:val="16"/>
                <w:szCs w:val="16"/>
              </w:rPr>
            </w:pPr>
            <w:r w:rsidRPr="00A43EA1">
              <w:rPr>
                <w:rFonts w:cs="Arial"/>
                <w:sz w:val="16"/>
                <w:szCs w:val="16"/>
              </w:rPr>
              <w:t>19-21.07.2023</w:t>
            </w:r>
          </w:p>
        </w:tc>
        <w:tc>
          <w:tcPr>
            <w:tcW w:w="1279" w:type="dxa"/>
            <w:hideMark/>
          </w:tcPr>
          <w:p w14:paraId="1DDD5E5B" w14:textId="77777777" w:rsidR="00424F87" w:rsidRPr="00A43EA1" w:rsidRDefault="00424F87" w:rsidP="00C30F9D">
            <w:pPr>
              <w:jc w:val="left"/>
              <w:rPr>
                <w:rFonts w:cs="Arial"/>
                <w:sz w:val="16"/>
                <w:szCs w:val="16"/>
              </w:rPr>
            </w:pPr>
            <w:r w:rsidRPr="00A43EA1">
              <w:rPr>
                <w:rFonts w:cs="Arial"/>
                <w:sz w:val="16"/>
                <w:szCs w:val="16"/>
              </w:rPr>
              <w:t>Polen (mehrere Standorte)</w:t>
            </w:r>
          </w:p>
        </w:tc>
        <w:tc>
          <w:tcPr>
            <w:tcW w:w="1418" w:type="dxa"/>
            <w:hideMark/>
          </w:tcPr>
          <w:p w14:paraId="50797B1C" w14:textId="77777777" w:rsidR="00424F87" w:rsidRPr="00A43EA1" w:rsidRDefault="00424F87" w:rsidP="00C30F9D">
            <w:pPr>
              <w:jc w:val="left"/>
              <w:rPr>
                <w:rFonts w:cs="Arial"/>
                <w:sz w:val="16"/>
                <w:szCs w:val="16"/>
              </w:rPr>
            </w:pPr>
            <w:r w:rsidRPr="00A43EA1">
              <w:rPr>
                <w:rFonts w:cs="Arial"/>
                <w:sz w:val="16"/>
                <w:szCs w:val="16"/>
              </w:rPr>
              <w:t>COBORU, NEBIH</w:t>
            </w:r>
          </w:p>
        </w:tc>
        <w:tc>
          <w:tcPr>
            <w:tcW w:w="2267" w:type="dxa"/>
            <w:hideMark/>
          </w:tcPr>
          <w:p w14:paraId="5F74D366" w14:textId="77777777" w:rsidR="00424F87" w:rsidRPr="00A43EA1" w:rsidRDefault="00424F87" w:rsidP="00C30F9D">
            <w:pPr>
              <w:spacing w:line="228" w:lineRule="auto"/>
              <w:jc w:val="left"/>
              <w:rPr>
                <w:rFonts w:cs="Arial"/>
                <w:sz w:val="16"/>
                <w:szCs w:val="16"/>
              </w:rPr>
            </w:pPr>
            <w:r w:rsidRPr="00A43EA1">
              <w:rPr>
                <w:rFonts w:cs="Arial"/>
                <w:sz w:val="16"/>
                <w:szCs w:val="16"/>
              </w:rPr>
              <w:t>Arbeitstreffen</w:t>
            </w:r>
          </w:p>
        </w:tc>
        <w:tc>
          <w:tcPr>
            <w:tcW w:w="1843" w:type="dxa"/>
            <w:hideMark/>
          </w:tcPr>
          <w:p w14:paraId="1FDED9B5" w14:textId="77777777" w:rsidR="00424F87" w:rsidRPr="00A43EA1" w:rsidRDefault="00424F87" w:rsidP="00C30F9D">
            <w:pPr>
              <w:jc w:val="left"/>
              <w:rPr>
                <w:rFonts w:cs="Arial"/>
                <w:sz w:val="16"/>
                <w:szCs w:val="16"/>
              </w:rPr>
            </w:pPr>
            <w:r w:rsidRPr="00A43EA1">
              <w:rPr>
                <w:rFonts w:cs="Arial"/>
                <w:sz w:val="16"/>
                <w:szCs w:val="16"/>
              </w:rPr>
              <w:t>PL: 11</w:t>
            </w:r>
          </w:p>
          <w:p w14:paraId="4352AC93" w14:textId="77777777" w:rsidR="00424F87" w:rsidRPr="00A43EA1" w:rsidRDefault="00424F87" w:rsidP="00C30F9D">
            <w:pPr>
              <w:jc w:val="left"/>
              <w:rPr>
                <w:rFonts w:cs="Arial"/>
                <w:sz w:val="16"/>
                <w:szCs w:val="16"/>
              </w:rPr>
            </w:pPr>
            <w:r w:rsidRPr="00A43EA1">
              <w:rPr>
                <w:rFonts w:cs="Arial"/>
                <w:sz w:val="16"/>
                <w:szCs w:val="16"/>
              </w:rPr>
              <w:t>HU: 3</w:t>
            </w:r>
          </w:p>
        </w:tc>
      </w:tr>
      <w:tr w:rsidR="00424F87" w:rsidRPr="00A43EA1" w14:paraId="74B7E8E2" w14:textId="77777777" w:rsidTr="00C30F9D">
        <w:tc>
          <w:tcPr>
            <w:tcW w:w="1842" w:type="dxa"/>
          </w:tcPr>
          <w:p w14:paraId="5EE72FDB" w14:textId="77777777" w:rsidR="00424F87" w:rsidRPr="00A43EA1" w:rsidRDefault="00424F87" w:rsidP="00C30F9D">
            <w:pPr>
              <w:pStyle w:val="ListParagraph"/>
              <w:ind w:left="5"/>
              <w:jc w:val="left"/>
              <w:rPr>
                <w:rFonts w:cs="Arial"/>
                <w:sz w:val="16"/>
                <w:szCs w:val="16"/>
                <w:lang w:val="de-DE"/>
              </w:rPr>
            </w:pPr>
            <w:r w:rsidRPr="00A43EA1">
              <w:rPr>
                <w:rFonts w:cs="Arial"/>
                <w:sz w:val="16"/>
                <w:szCs w:val="16"/>
                <w:lang w:val="de-DE"/>
              </w:rPr>
              <w:t>Twining-Projekt-Treffen: UA 19 ENI HE 01 20 für die Ukraine</w:t>
            </w:r>
          </w:p>
          <w:p w14:paraId="6623C883" w14:textId="77777777" w:rsidR="00424F87" w:rsidRPr="00A43EA1" w:rsidRDefault="00424F87" w:rsidP="00C30F9D">
            <w:pPr>
              <w:pStyle w:val="ListParagraph"/>
              <w:ind w:left="5"/>
              <w:jc w:val="left"/>
              <w:rPr>
                <w:rFonts w:cs="Arial"/>
                <w:sz w:val="16"/>
                <w:szCs w:val="16"/>
                <w:lang w:val="de-DE"/>
              </w:rPr>
            </w:pPr>
          </w:p>
        </w:tc>
        <w:tc>
          <w:tcPr>
            <w:tcW w:w="1264" w:type="dxa"/>
          </w:tcPr>
          <w:p w14:paraId="05D02F45" w14:textId="77777777" w:rsidR="00424F87" w:rsidRPr="00A43EA1" w:rsidRDefault="00424F87" w:rsidP="00C30F9D">
            <w:pPr>
              <w:jc w:val="left"/>
              <w:rPr>
                <w:rFonts w:cs="Arial"/>
                <w:sz w:val="16"/>
                <w:szCs w:val="16"/>
              </w:rPr>
            </w:pPr>
            <w:r w:rsidRPr="00A43EA1">
              <w:rPr>
                <w:rFonts w:cs="Arial"/>
                <w:sz w:val="16"/>
                <w:szCs w:val="16"/>
              </w:rPr>
              <w:t>24.02.2023</w:t>
            </w:r>
          </w:p>
          <w:p w14:paraId="1EB23034" w14:textId="77777777" w:rsidR="00424F87" w:rsidRPr="00A43EA1" w:rsidRDefault="00424F87" w:rsidP="00C30F9D">
            <w:pPr>
              <w:jc w:val="left"/>
              <w:rPr>
                <w:rFonts w:cs="Arial"/>
                <w:sz w:val="16"/>
                <w:szCs w:val="16"/>
              </w:rPr>
            </w:pPr>
          </w:p>
          <w:p w14:paraId="34EFEEF7" w14:textId="77777777" w:rsidR="00424F87" w:rsidRPr="00A43EA1" w:rsidRDefault="00424F87" w:rsidP="00C30F9D">
            <w:pPr>
              <w:jc w:val="left"/>
              <w:rPr>
                <w:rFonts w:cs="Arial"/>
                <w:sz w:val="16"/>
                <w:szCs w:val="16"/>
              </w:rPr>
            </w:pPr>
          </w:p>
          <w:p w14:paraId="73AF5CC8" w14:textId="77777777" w:rsidR="00424F87" w:rsidRPr="00A43EA1" w:rsidRDefault="00424F87" w:rsidP="00C30F9D">
            <w:pPr>
              <w:jc w:val="left"/>
              <w:rPr>
                <w:rFonts w:cs="Arial"/>
                <w:sz w:val="16"/>
                <w:szCs w:val="16"/>
              </w:rPr>
            </w:pPr>
            <w:r w:rsidRPr="00A43EA1">
              <w:rPr>
                <w:rFonts w:cs="Arial"/>
                <w:sz w:val="16"/>
                <w:szCs w:val="16"/>
              </w:rPr>
              <w:t>16.05.2023</w:t>
            </w:r>
          </w:p>
          <w:p w14:paraId="298769CE" w14:textId="77777777" w:rsidR="00424F87" w:rsidRPr="00A43EA1" w:rsidRDefault="00424F87" w:rsidP="00C30F9D">
            <w:pPr>
              <w:jc w:val="left"/>
              <w:rPr>
                <w:rFonts w:cs="Arial"/>
                <w:sz w:val="16"/>
                <w:szCs w:val="16"/>
              </w:rPr>
            </w:pPr>
          </w:p>
          <w:p w14:paraId="4AF2D522" w14:textId="77777777" w:rsidR="00424F87" w:rsidRPr="00A43EA1" w:rsidRDefault="00424F87" w:rsidP="00C30F9D">
            <w:pPr>
              <w:jc w:val="left"/>
              <w:rPr>
                <w:rFonts w:cs="Arial"/>
                <w:sz w:val="16"/>
                <w:szCs w:val="16"/>
              </w:rPr>
            </w:pPr>
          </w:p>
          <w:p w14:paraId="60E75643" w14:textId="77777777" w:rsidR="00424F87" w:rsidRPr="00A43EA1" w:rsidRDefault="00424F87" w:rsidP="00C30F9D">
            <w:pPr>
              <w:jc w:val="left"/>
              <w:rPr>
                <w:rFonts w:cs="Arial"/>
                <w:sz w:val="16"/>
                <w:szCs w:val="16"/>
              </w:rPr>
            </w:pPr>
            <w:r w:rsidRPr="00A43EA1">
              <w:rPr>
                <w:rFonts w:cs="Arial"/>
                <w:sz w:val="16"/>
                <w:szCs w:val="16"/>
              </w:rPr>
              <w:t>10.08.2023</w:t>
            </w:r>
          </w:p>
          <w:p w14:paraId="25E52B2C" w14:textId="77777777" w:rsidR="00424F87" w:rsidRPr="00A43EA1" w:rsidRDefault="00424F87" w:rsidP="00C30F9D">
            <w:pPr>
              <w:jc w:val="left"/>
              <w:rPr>
                <w:rFonts w:cs="Arial"/>
                <w:sz w:val="16"/>
                <w:szCs w:val="16"/>
              </w:rPr>
            </w:pPr>
          </w:p>
          <w:p w14:paraId="63B600DD" w14:textId="77777777" w:rsidR="00424F87" w:rsidRPr="00A43EA1" w:rsidRDefault="00424F87" w:rsidP="00C30F9D">
            <w:pPr>
              <w:jc w:val="left"/>
              <w:rPr>
                <w:rFonts w:cs="Arial"/>
                <w:sz w:val="16"/>
                <w:szCs w:val="16"/>
              </w:rPr>
            </w:pPr>
          </w:p>
          <w:p w14:paraId="584BFBDF" w14:textId="77777777" w:rsidR="00424F87" w:rsidRPr="00A43EA1" w:rsidRDefault="00424F87" w:rsidP="00C30F9D">
            <w:pPr>
              <w:jc w:val="left"/>
              <w:rPr>
                <w:rFonts w:cs="Arial"/>
                <w:sz w:val="16"/>
                <w:szCs w:val="16"/>
              </w:rPr>
            </w:pPr>
            <w:r w:rsidRPr="00A43EA1">
              <w:rPr>
                <w:rFonts w:cs="Arial"/>
                <w:sz w:val="16"/>
                <w:szCs w:val="16"/>
              </w:rPr>
              <w:t>16.08.2023</w:t>
            </w:r>
          </w:p>
          <w:p w14:paraId="760A6ED4" w14:textId="77777777" w:rsidR="00424F87" w:rsidRPr="00A43EA1" w:rsidRDefault="00424F87" w:rsidP="00C30F9D">
            <w:pPr>
              <w:jc w:val="left"/>
              <w:rPr>
                <w:rFonts w:cs="Arial"/>
                <w:sz w:val="16"/>
                <w:szCs w:val="16"/>
              </w:rPr>
            </w:pPr>
          </w:p>
        </w:tc>
        <w:tc>
          <w:tcPr>
            <w:tcW w:w="1279" w:type="dxa"/>
          </w:tcPr>
          <w:p w14:paraId="094AAC89" w14:textId="77777777" w:rsidR="00424F87" w:rsidRPr="00A43EA1" w:rsidRDefault="00424F87" w:rsidP="00C30F9D">
            <w:pPr>
              <w:jc w:val="left"/>
              <w:rPr>
                <w:rFonts w:cs="Arial"/>
                <w:sz w:val="16"/>
                <w:szCs w:val="16"/>
              </w:rPr>
            </w:pPr>
            <w:r w:rsidRPr="00A43EA1">
              <w:rPr>
                <w:rFonts w:cs="Arial"/>
                <w:sz w:val="16"/>
                <w:szCs w:val="16"/>
              </w:rPr>
              <w:t>Online</w:t>
            </w:r>
          </w:p>
          <w:p w14:paraId="10C9BE71" w14:textId="77777777" w:rsidR="00424F87" w:rsidRPr="00A43EA1" w:rsidRDefault="00424F87" w:rsidP="00C30F9D">
            <w:pPr>
              <w:jc w:val="left"/>
              <w:rPr>
                <w:rFonts w:cs="Arial"/>
                <w:sz w:val="16"/>
                <w:szCs w:val="16"/>
              </w:rPr>
            </w:pPr>
          </w:p>
          <w:p w14:paraId="269BB125" w14:textId="77777777" w:rsidR="00424F87" w:rsidRPr="00A43EA1" w:rsidRDefault="00424F87" w:rsidP="00C30F9D">
            <w:pPr>
              <w:jc w:val="left"/>
              <w:rPr>
                <w:rFonts w:cs="Arial"/>
                <w:sz w:val="16"/>
                <w:szCs w:val="16"/>
              </w:rPr>
            </w:pPr>
          </w:p>
          <w:p w14:paraId="3DE7A5D8" w14:textId="77777777" w:rsidR="00424F87" w:rsidRPr="00A43EA1" w:rsidRDefault="00424F87" w:rsidP="00C30F9D">
            <w:pPr>
              <w:jc w:val="left"/>
              <w:rPr>
                <w:rFonts w:cs="Arial"/>
                <w:sz w:val="16"/>
                <w:szCs w:val="16"/>
              </w:rPr>
            </w:pPr>
            <w:r w:rsidRPr="00A43EA1">
              <w:rPr>
                <w:rFonts w:cs="Arial"/>
                <w:sz w:val="16"/>
                <w:szCs w:val="16"/>
              </w:rPr>
              <w:t>Online</w:t>
            </w:r>
          </w:p>
          <w:p w14:paraId="7AD21B4B" w14:textId="77777777" w:rsidR="00424F87" w:rsidRPr="00A43EA1" w:rsidRDefault="00424F87" w:rsidP="00C30F9D">
            <w:pPr>
              <w:jc w:val="left"/>
              <w:rPr>
                <w:rFonts w:cs="Arial"/>
                <w:sz w:val="16"/>
                <w:szCs w:val="16"/>
              </w:rPr>
            </w:pPr>
          </w:p>
          <w:p w14:paraId="696E058E" w14:textId="77777777" w:rsidR="00424F87" w:rsidRPr="00A43EA1" w:rsidRDefault="00424F87" w:rsidP="00C30F9D">
            <w:pPr>
              <w:jc w:val="left"/>
              <w:rPr>
                <w:rFonts w:cs="Arial"/>
                <w:sz w:val="16"/>
                <w:szCs w:val="16"/>
              </w:rPr>
            </w:pPr>
          </w:p>
          <w:p w14:paraId="3CD7F56C" w14:textId="77777777" w:rsidR="00424F87" w:rsidRPr="00A43EA1" w:rsidRDefault="00424F87" w:rsidP="00C30F9D">
            <w:pPr>
              <w:jc w:val="left"/>
              <w:rPr>
                <w:rFonts w:cs="Arial"/>
                <w:sz w:val="16"/>
                <w:szCs w:val="16"/>
              </w:rPr>
            </w:pPr>
            <w:r w:rsidRPr="00A43EA1">
              <w:rPr>
                <w:rFonts w:cs="Arial"/>
                <w:sz w:val="16"/>
                <w:szCs w:val="16"/>
              </w:rPr>
              <w:t>Online</w:t>
            </w:r>
          </w:p>
          <w:p w14:paraId="43EF0C19" w14:textId="77777777" w:rsidR="00424F87" w:rsidRPr="00A43EA1" w:rsidRDefault="00424F87" w:rsidP="00C30F9D">
            <w:pPr>
              <w:jc w:val="left"/>
              <w:rPr>
                <w:rFonts w:cs="Arial"/>
                <w:sz w:val="16"/>
                <w:szCs w:val="16"/>
              </w:rPr>
            </w:pPr>
          </w:p>
          <w:p w14:paraId="44AFE915" w14:textId="77777777" w:rsidR="00424F87" w:rsidRPr="00A43EA1" w:rsidRDefault="00424F87" w:rsidP="00C30F9D">
            <w:pPr>
              <w:jc w:val="left"/>
              <w:rPr>
                <w:rFonts w:cs="Arial"/>
                <w:sz w:val="16"/>
                <w:szCs w:val="16"/>
              </w:rPr>
            </w:pPr>
          </w:p>
          <w:p w14:paraId="2B8DA7D7" w14:textId="77777777" w:rsidR="00424F87" w:rsidRPr="00A43EA1" w:rsidRDefault="00424F87" w:rsidP="00C30F9D">
            <w:pPr>
              <w:jc w:val="left"/>
              <w:rPr>
                <w:rFonts w:cs="Arial"/>
                <w:sz w:val="16"/>
                <w:szCs w:val="16"/>
              </w:rPr>
            </w:pPr>
            <w:r w:rsidRPr="00A43EA1">
              <w:rPr>
                <w:rFonts w:cs="Arial"/>
                <w:sz w:val="16"/>
                <w:szCs w:val="16"/>
              </w:rPr>
              <w:t>Online</w:t>
            </w:r>
          </w:p>
        </w:tc>
        <w:tc>
          <w:tcPr>
            <w:tcW w:w="1418" w:type="dxa"/>
            <w:hideMark/>
          </w:tcPr>
          <w:p w14:paraId="746CBB71" w14:textId="77777777" w:rsidR="00424F87" w:rsidRPr="00A43EA1" w:rsidRDefault="00424F87" w:rsidP="00C30F9D">
            <w:pPr>
              <w:jc w:val="left"/>
              <w:rPr>
                <w:rFonts w:cs="Arial"/>
                <w:sz w:val="16"/>
                <w:szCs w:val="16"/>
              </w:rPr>
            </w:pPr>
            <w:r w:rsidRPr="00A43EA1">
              <w:rPr>
                <w:rFonts w:cs="Arial"/>
                <w:sz w:val="16"/>
                <w:szCs w:val="16"/>
              </w:rPr>
              <w:t>Europäische Kommission,</w:t>
            </w:r>
          </w:p>
          <w:p w14:paraId="0A5FE42D" w14:textId="77777777" w:rsidR="00424F87" w:rsidRPr="00A43EA1" w:rsidRDefault="00424F87" w:rsidP="00C30F9D">
            <w:pPr>
              <w:jc w:val="left"/>
              <w:rPr>
                <w:rFonts w:cs="Arial"/>
                <w:sz w:val="16"/>
                <w:szCs w:val="16"/>
              </w:rPr>
            </w:pPr>
            <w:r w:rsidRPr="00A43EA1">
              <w:rPr>
                <w:rFonts w:cs="Arial"/>
                <w:sz w:val="16"/>
                <w:szCs w:val="16"/>
              </w:rPr>
              <w:t>SPPS - Lettland,</w:t>
            </w:r>
          </w:p>
          <w:p w14:paraId="1BC14B39" w14:textId="77777777" w:rsidR="00424F87" w:rsidRPr="00A43EA1" w:rsidRDefault="00424F87" w:rsidP="00C30F9D">
            <w:pPr>
              <w:jc w:val="left"/>
              <w:rPr>
                <w:rFonts w:cs="Arial"/>
                <w:sz w:val="16"/>
                <w:szCs w:val="16"/>
              </w:rPr>
            </w:pPr>
            <w:r w:rsidRPr="00A43EA1">
              <w:rPr>
                <w:rFonts w:cs="Arial"/>
                <w:sz w:val="16"/>
                <w:szCs w:val="16"/>
              </w:rPr>
              <w:t>UIBOR - Ukraine,</w:t>
            </w:r>
          </w:p>
          <w:p w14:paraId="616F7803" w14:textId="77777777" w:rsidR="00424F87" w:rsidRPr="00A43EA1" w:rsidRDefault="00424F87" w:rsidP="00C30F9D">
            <w:pPr>
              <w:jc w:val="left"/>
              <w:rPr>
                <w:rFonts w:cs="Arial"/>
                <w:sz w:val="16"/>
                <w:szCs w:val="16"/>
              </w:rPr>
            </w:pPr>
            <w:r w:rsidRPr="00A43EA1">
              <w:rPr>
                <w:rFonts w:cs="Arial"/>
                <w:sz w:val="16"/>
                <w:szCs w:val="16"/>
              </w:rPr>
              <w:t>Ministerium für auswärtige Angelegenheiten der Republik Polen</w:t>
            </w:r>
          </w:p>
        </w:tc>
        <w:tc>
          <w:tcPr>
            <w:tcW w:w="2267" w:type="dxa"/>
          </w:tcPr>
          <w:p w14:paraId="0C5BEEAC" w14:textId="77777777" w:rsidR="00424F87" w:rsidRPr="00A43EA1" w:rsidRDefault="00424F87" w:rsidP="00C30F9D">
            <w:pPr>
              <w:spacing w:line="228" w:lineRule="auto"/>
              <w:jc w:val="left"/>
              <w:rPr>
                <w:rFonts w:cs="Arial"/>
                <w:sz w:val="16"/>
                <w:szCs w:val="16"/>
              </w:rPr>
            </w:pPr>
            <w:r w:rsidRPr="00A43EA1">
              <w:rPr>
                <w:rFonts w:cs="Arial"/>
                <w:sz w:val="16"/>
                <w:szCs w:val="16"/>
              </w:rPr>
              <w:t>Lenkungsausschuss: Vierteljährlicher Bericht</w:t>
            </w:r>
          </w:p>
          <w:p w14:paraId="3DDFFF52" w14:textId="77777777" w:rsidR="00424F87" w:rsidRPr="00A43EA1" w:rsidRDefault="00424F87" w:rsidP="00C30F9D">
            <w:pPr>
              <w:spacing w:line="228" w:lineRule="auto"/>
              <w:jc w:val="left"/>
              <w:rPr>
                <w:rFonts w:cs="Arial"/>
                <w:sz w:val="16"/>
                <w:szCs w:val="16"/>
              </w:rPr>
            </w:pPr>
          </w:p>
          <w:p w14:paraId="5552C787" w14:textId="77777777" w:rsidR="00424F87" w:rsidRPr="00A43EA1" w:rsidRDefault="00424F87" w:rsidP="00C30F9D">
            <w:pPr>
              <w:spacing w:line="228" w:lineRule="auto"/>
              <w:jc w:val="left"/>
              <w:rPr>
                <w:rFonts w:cs="Arial"/>
                <w:sz w:val="16"/>
                <w:szCs w:val="16"/>
              </w:rPr>
            </w:pPr>
            <w:r w:rsidRPr="00A43EA1">
              <w:rPr>
                <w:rFonts w:cs="Arial"/>
                <w:sz w:val="16"/>
                <w:szCs w:val="16"/>
              </w:rPr>
              <w:t>Lenkungsausschuss: Vierteljährlicher Bericht</w:t>
            </w:r>
          </w:p>
          <w:p w14:paraId="63BD5E9B" w14:textId="77777777" w:rsidR="00424F87" w:rsidRPr="00A43EA1" w:rsidRDefault="00424F87" w:rsidP="00C30F9D">
            <w:pPr>
              <w:spacing w:line="228" w:lineRule="auto"/>
              <w:jc w:val="left"/>
              <w:rPr>
                <w:rFonts w:cs="Arial"/>
                <w:sz w:val="16"/>
                <w:szCs w:val="16"/>
              </w:rPr>
            </w:pPr>
          </w:p>
          <w:p w14:paraId="72E354F8" w14:textId="77777777" w:rsidR="00424F87" w:rsidRPr="00A43EA1" w:rsidRDefault="00424F87" w:rsidP="00C30F9D">
            <w:pPr>
              <w:spacing w:line="228" w:lineRule="auto"/>
              <w:jc w:val="left"/>
              <w:rPr>
                <w:rFonts w:cs="Arial"/>
                <w:sz w:val="16"/>
                <w:szCs w:val="16"/>
              </w:rPr>
            </w:pPr>
            <w:r w:rsidRPr="00A43EA1">
              <w:rPr>
                <w:rFonts w:cs="Arial"/>
                <w:sz w:val="16"/>
                <w:szCs w:val="16"/>
              </w:rPr>
              <w:t>Lenkungsausschuss: Vierteljährlicher Bericht</w:t>
            </w:r>
          </w:p>
          <w:p w14:paraId="163FA72E" w14:textId="77777777" w:rsidR="00424F87" w:rsidRPr="00A43EA1" w:rsidRDefault="00424F87" w:rsidP="00C30F9D">
            <w:pPr>
              <w:spacing w:line="228" w:lineRule="auto"/>
              <w:jc w:val="left"/>
              <w:rPr>
                <w:rFonts w:cs="Arial"/>
                <w:sz w:val="16"/>
                <w:szCs w:val="16"/>
              </w:rPr>
            </w:pPr>
          </w:p>
          <w:p w14:paraId="22FD5792" w14:textId="77777777" w:rsidR="00424F87" w:rsidRPr="00A43EA1" w:rsidRDefault="00424F87" w:rsidP="00C30F9D">
            <w:pPr>
              <w:spacing w:line="228" w:lineRule="auto"/>
              <w:jc w:val="left"/>
              <w:rPr>
                <w:rFonts w:cs="Arial"/>
                <w:sz w:val="16"/>
                <w:szCs w:val="16"/>
              </w:rPr>
            </w:pPr>
          </w:p>
          <w:p w14:paraId="6C1536EE" w14:textId="77777777" w:rsidR="00424F87" w:rsidRPr="00A43EA1" w:rsidRDefault="00424F87" w:rsidP="00C30F9D">
            <w:pPr>
              <w:spacing w:line="228" w:lineRule="auto"/>
              <w:jc w:val="left"/>
              <w:rPr>
                <w:rFonts w:cs="Arial"/>
                <w:sz w:val="16"/>
                <w:szCs w:val="16"/>
              </w:rPr>
            </w:pPr>
            <w:r w:rsidRPr="00A43EA1">
              <w:rPr>
                <w:rFonts w:cs="Arial"/>
                <w:sz w:val="16"/>
                <w:szCs w:val="16"/>
              </w:rPr>
              <w:t>Arbeitstreffen</w:t>
            </w:r>
          </w:p>
        </w:tc>
        <w:tc>
          <w:tcPr>
            <w:tcW w:w="1843" w:type="dxa"/>
            <w:hideMark/>
          </w:tcPr>
          <w:p w14:paraId="04E93FD3" w14:textId="77777777" w:rsidR="00424F87" w:rsidRPr="00A43EA1" w:rsidRDefault="00424F87" w:rsidP="00C30F9D">
            <w:pPr>
              <w:jc w:val="left"/>
              <w:rPr>
                <w:rFonts w:cs="Arial"/>
                <w:sz w:val="16"/>
                <w:szCs w:val="16"/>
              </w:rPr>
            </w:pPr>
            <w:r w:rsidRPr="00A43EA1">
              <w:rPr>
                <w:rFonts w:cs="Arial"/>
                <w:sz w:val="16"/>
                <w:szCs w:val="16"/>
              </w:rPr>
              <w:t>PL: 2</w:t>
            </w:r>
          </w:p>
          <w:p w14:paraId="034242C5" w14:textId="77777777" w:rsidR="00424F87" w:rsidRPr="00A43EA1" w:rsidRDefault="00424F87" w:rsidP="00C30F9D">
            <w:pPr>
              <w:jc w:val="left"/>
              <w:rPr>
                <w:rFonts w:cs="Arial"/>
                <w:sz w:val="16"/>
                <w:szCs w:val="16"/>
              </w:rPr>
            </w:pPr>
            <w:r w:rsidRPr="00A43EA1">
              <w:rPr>
                <w:rFonts w:cs="Arial"/>
                <w:sz w:val="16"/>
                <w:szCs w:val="16"/>
              </w:rPr>
              <w:t>Insgesamt: 17</w:t>
            </w:r>
          </w:p>
          <w:p w14:paraId="20082D20" w14:textId="77777777" w:rsidR="00424F87" w:rsidRPr="00A43EA1" w:rsidRDefault="00424F87" w:rsidP="00C30F9D">
            <w:pPr>
              <w:jc w:val="left"/>
              <w:rPr>
                <w:rFonts w:cs="Arial"/>
                <w:sz w:val="16"/>
                <w:szCs w:val="16"/>
              </w:rPr>
            </w:pPr>
            <w:r w:rsidRPr="00A43EA1">
              <w:rPr>
                <w:rFonts w:cs="Arial"/>
                <w:sz w:val="16"/>
                <w:szCs w:val="16"/>
              </w:rPr>
              <w:t>(jede Lenkungssitzung)</w:t>
            </w:r>
          </w:p>
        </w:tc>
      </w:tr>
    </w:tbl>
    <w:p w14:paraId="4E6E2927" w14:textId="77777777" w:rsidR="00424F87" w:rsidRPr="00A43EA1" w:rsidRDefault="00424F87" w:rsidP="00424F87">
      <w:pPr>
        <w:tabs>
          <w:tab w:val="left" w:pos="567"/>
          <w:tab w:val="left" w:pos="4962"/>
        </w:tabs>
        <w:rPr>
          <w:rFonts w:cs="Arial"/>
          <w:color w:val="000000"/>
        </w:rPr>
      </w:pPr>
    </w:p>
    <w:p w14:paraId="732D8B2A" w14:textId="77777777" w:rsidR="00424F87" w:rsidRPr="00A43EA1" w:rsidRDefault="00424F87" w:rsidP="00424F87">
      <w:pPr>
        <w:rPr>
          <w:rFonts w:cs="Arial"/>
          <w:bCs/>
        </w:rPr>
      </w:pPr>
    </w:p>
    <w:p w14:paraId="3540CDD5" w14:textId="77777777" w:rsidR="00424F87" w:rsidRPr="00A43EA1" w:rsidRDefault="00424F87" w:rsidP="00424F87">
      <w:pPr>
        <w:rPr>
          <w:rFonts w:cs="Arial"/>
          <w:bCs/>
        </w:rPr>
      </w:pPr>
      <w:r w:rsidRPr="00A43EA1">
        <w:rPr>
          <w:rFonts w:cs="Arial"/>
          <w:bCs/>
        </w:rPr>
        <w:t>II.</w:t>
      </w:r>
      <w:r w:rsidRPr="00A43EA1">
        <w:rPr>
          <w:rFonts w:cs="Arial"/>
          <w:bCs/>
        </w:rPr>
        <w:tab/>
        <w:t>ANDERE ENTWICKLUNGEN, DIE FÜR DIE UPOV RELEVANT SIND</w:t>
      </w:r>
    </w:p>
    <w:p w14:paraId="12253CB9" w14:textId="77777777" w:rsidR="00424F87" w:rsidRPr="00A43EA1" w:rsidRDefault="00424F87" w:rsidP="00424F87">
      <w:pPr>
        <w:rPr>
          <w:rFonts w:cs="Arial"/>
        </w:rPr>
      </w:pPr>
    </w:p>
    <w:p w14:paraId="39973E9A" w14:textId="77777777" w:rsidR="00424F87" w:rsidRPr="00A43EA1" w:rsidRDefault="00424F87" w:rsidP="00424F87">
      <w:pPr>
        <w:pStyle w:val="BodyText"/>
        <w:rPr>
          <w:rFonts w:cs="Arial"/>
          <w:i/>
          <w:iCs/>
        </w:rPr>
      </w:pPr>
      <w:r w:rsidRPr="00A43EA1">
        <w:rPr>
          <w:rFonts w:cs="Arial"/>
        </w:rPr>
        <w:t xml:space="preserve">Die </w:t>
      </w:r>
      <w:r w:rsidRPr="00A43EA1">
        <w:rPr>
          <w:rFonts w:cs="Arial"/>
          <w:i/>
          <w:iCs/>
        </w:rPr>
        <w:t xml:space="preserve">Polnische Nationale Liste der landwirtschaftlichen Pflanzensorten, </w:t>
      </w:r>
      <w:r w:rsidRPr="00A43EA1">
        <w:rPr>
          <w:rFonts w:cs="Arial"/>
        </w:rPr>
        <w:t xml:space="preserve">die </w:t>
      </w:r>
      <w:r w:rsidRPr="00A43EA1">
        <w:rPr>
          <w:rFonts w:cs="Arial"/>
          <w:i/>
          <w:iCs/>
        </w:rPr>
        <w:t xml:space="preserve">Polnische Nationale Liste der Gemüsepflanzensorten </w:t>
      </w:r>
      <w:r w:rsidRPr="00A43EA1">
        <w:rPr>
          <w:rFonts w:cs="Arial"/>
        </w:rPr>
        <w:t xml:space="preserve">und die </w:t>
      </w:r>
      <w:r w:rsidRPr="00A43EA1">
        <w:rPr>
          <w:rFonts w:cs="Arial"/>
          <w:i/>
          <w:iCs/>
        </w:rPr>
        <w:t xml:space="preserve">Polnische Nationale Liste der Obstpflanzensorten </w:t>
      </w:r>
      <w:r w:rsidRPr="00A43EA1">
        <w:rPr>
          <w:rFonts w:cs="Arial"/>
        </w:rPr>
        <w:t xml:space="preserve">wurden im Mai 2023 herausgegeben.  Diese amtlichen Listen sowie die aktualisierten Sortenlisten sind auch abrufbar unter: </w:t>
      </w:r>
      <w:hyperlink r:id="rId36" w:history="1">
        <w:r w:rsidRPr="00A43EA1">
          <w:rPr>
            <w:rStyle w:val="Hyperlink"/>
          </w:rPr>
          <w:t>www.coboru.gov.pl</w:t>
        </w:r>
      </w:hyperlink>
    </w:p>
    <w:p w14:paraId="7A497907" w14:textId="77777777" w:rsidR="00424F87" w:rsidRPr="00A43EA1" w:rsidRDefault="00424F87" w:rsidP="00424F87">
      <w:pPr>
        <w:tabs>
          <w:tab w:val="left" w:pos="567"/>
          <w:tab w:val="left" w:pos="4962"/>
        </w:tabs>
        <w:rPr>
          <w:rFonts w:cs="Arial"/>
          <w:color w:val="000000"/>
        </w:rPr>
      </w:pPr>
    </w:p>
    <w:p w14:paraId="6FB4EEA3" w14:textId="77777777" w:rsidR="00424F87" w:rsidRPr="00A43EA1" w:rsidRDefault="00424F87" w:rsidP="00424F87"/>
    <w:p w14:paraId="0B33CF0A" w14:textId="77777777" w:rsidR="00424F87" w:rsidRPr="00A43EA1" w:rsidRDefault="00424F87" w:rsidP="00424F87"/>
    <w:p w14:paraId="5D9A74CB" w14:textId="3A5F0F2A" w:rsidR="00424F87" w:rsidRPr="00A43EA1" w:rsidRDefault="00424F87" w:rsidP="00424F87">
      <w:pPr>
        <w:jc w:val="right"/>
      </w:pPr>
      <w:r w:rsidRPr="00A43EA1">
        <w:t>[</w:t>
      </w:r>
      <w:r w:rsidR="009E6E5A">
        <w:t>Anlage</w:t>
      </w:r>
      <w:r w:rsidRPr="00A43EA1">
        <w:t xml:space="preserve"> XIV folgt]</w:t>
      </w:r>
    </w:p>
    <w:p w14:paraId="097F7880" w14:textId="77777777" w:rsidR="00424F87" w:rsidRPr="00A43EA1" w:rsidRDefault="00424F87" w:rsidP="00424F87">
      <w:pPr>
        <w:jc w:val="center"/>
      </w:pPr>
    </w:p>
    <w:p w14:paraId="7A3E776D" w14:textId="77777777" w:rsidR="00424F87" w:rsidRPr="00A43EA1" w:rsidRDefault="00424F87" w:rsidP="00424F87">
      <w:pPr>
        <w:jc w:val="center"/>
        <w:sectPr w:rsidR="00424F87" w:rsidRPr="00A43EA1" w:rsidSect="0067202F">
          <w:headerReference w:type="default" r:id="rId37"/>
          <w:pgSz w:w="11907" w:h="16840" w:code="9"/>
          <w:pgMar w:top="510" w:right="1134" w:bottom="993" w:left="1134" w:header="510" w:footer="680" w:gutter="0"/>
          <w:pgNumType w:start="1"/>
          <w:cols w:space="720"/>
          <w:titlePg/>
        </w:sectPr>
      </w:pPr>
    </w:p>
    <w:p w14:paraId="497881E4" w14:textId="77777777" w:rsidR="00424F87" w:rsidRPr="00A43EA1" w:rsidRDefault="00424F87" w:rsidP="00424F87">
      <w:pPr>
        <w:jc w:val="center"/>
      </w:pPr>
      <w:r w:rsidRPr="00A43EA1">
        <w:lastRenderedPageBreak/>
        <w:t>C/57/13</w:t>
      </w:r>
    </w:p>
    <w:p w14:paraId="2F1BD3E2" w14:textId="77777777" w:rsidR="00424F87" w:rsidRPr="00A43EA1" w:rsidRDefault="00424F87" w:rsidP="00424F87">
      <w:pPr>
        <w:jc w:val="center"/>
      </w:pPr>
    </w:p>
    <w:p w14:paraId="599C4696" w14:textId="5F292374" w:rsidR="00424F87" w:rsidRPr="00A43EA1" w:rsidRDefault="009E6E5A" w:rsidP="00424F87">
      <w:pPr>
        <w:jc w:val="center"/>
      </w:pPr>
      <w:r>
        <w:t>ANLAGE</w:t>
      </w:r>
      <w:r w:rsidR="00424F87" w:rsidRPr="00A43EA1">
        <w:t xml:space="preserve"> XIV</w:t>
      </w:r>
    </w:p>
    <w:p w14:paraId="5B4CDF41" w14:textId="77777777" w:rsidR="00424F87" w:rsidRPr="00A43EA1" w:rsidRDefault="00424F87" w:rsidP="00424F87">
      <w:pPr>
        <w:jc w:val="center"/>
      </w:pPr>
    </w:p>
    <w:p w14:paraId="2F1D96A2" w14:textId="77777777" w:rsidR="00424F87" w:rsidRPr="00A43EA1" w:rsidRDefault="00424F87" w:rsidP="00424F87">
      <w:pPr>
        <w:jc w:val="center"/>
      </w:pPr>
    </w:p>
    <w:p w14:paraId="1D288C69" w14:textId="77777777" w:rsidR="00424F87" w:rsidRPr="00A43EA1" w:rsidRDefault="00424F87" w:rsidP="00424F87">
      <w:pPr>
        <w:jc w:val="center"/>
      </w:pPr>
      <w:r w:rsidRPr="00A43EA1">
        <w:t>REPUBLIK MOLDAU</w:t>
      </w:r>
    </w:p>
    <w:p w14:paraId="53B72C14" w14:textId="77777777" w:rsidR="00424F87" w:rsidRPr="00A43EA1" w:rsidRDefault="00424F87" w:rsidP="00424F87">
      <w:pPr>
        <w:jc w:val="center"/>
      </w:pPr>
      <w:r w:rsidRPr="00A43EA1">
        <w:t>(Originalsprache: englisch)</w:t>
      </w:r>
    </w:p>
    <w:p w14:paraId="3522CE4A" w14:textId="77777777" w:rsidR="00424F87" w:rsidRPr="00A43EA1" w:rsidRDefault="00424F87" w:rsidP="00424F87"/>
    <w:p w14:paraId="1350AA41"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17192B96" w14:textId="77777777" w:rsidR="00424F87" w:rsidRPr="00A43EA1" w:rsidRDefault="00424F87" w:rsidP="00424F87">
      <w:r w:rsidRPr="00A43EA1">
        <w:t xml:space="preserve">I. </w:t>
      </w:r>
      <w:r w:rsidRPr="00A43EA1">
        <w:tab/>
        <w:t>SORTENSCHUTZ</w:t>
      </w:r>
    </w:p>
    <w:p w14:paraId="3BA9CE2B" w14:textId="77777777" w:rsidR="00424F87" w:rsidRPr="00A43EA1" w:rsidRDefault="00424F87" w:rsidP="00424F87"/>
    <w:p w14:paraId="7C5715B1" w14:textId="77777777" w:rsidR="00424F87" w:rsidRPr="00A43EA1" w:rsidRDefault="00424F87" w:rsidP="00424F87">
      <w:pPr>
        <w:tabs>
          <w:tab w:val="left" w:pos="567"/>
          <w:tab w:val="left" w:pos="1276"/>
        </w:tabs>
      </w:pPr>
      <w:r w:rsidRPr="00A43EA1">
        <w:t xml:space="preserve">1. </w:t>
      </w:r>
      <w:r w:rsidRPr="00A43EA1">
        <w:tab/>
      </w:r>
      <w:r w:rsidRPr="00A43EA1">
        <w:rPr>
          <w:u w:val="single"/>
        </w:rPr>
        <w:t>Lage auf dem Gebiet der Gesetzgebung</w:t>
      </w:r>
    </w:p>
    <w:p w14:paraId="33E831D8" w14:textId="77777777" w:rsidR="00424F87" w:rsidRPr="00A43EA1" w:rsidRDefault="00424F87" w:rsidP="00424F87"/>
    <w:p w14:paraId="6DCCFFC3" w14:textId="4B488CA1" w:rsidR="00424F87" w:rsidRPr="00A43EA1" w:rsidRDefault="00424F87" w:rsidP="00424F87">
      <w:pPr>
        <w:spacing w:after="120"/>
        <w:ind w:left="567"/>
      </w:pPr>
      <w:r w:rsidRPr="00A43EA1">
        <w:t xml:space="preserve">1.1 </w:t>
      </w:r>
      <w:r w:rsidR="006B0BE0">
        <w:tab/>
      </w:r>
      <w:r w:rsidRPr="00A43EA1">
        <w:t>Änderungen des Gesetzes und der Durchführungsbestimmungen - Keine Änderungen.</w:t>
      </w:r>
    </w:p>
    <w:p w14:paraId="6C7CC2F0" w14:textId="77777777" w:rsidR="00424F87" w:rsidRPr="00A43EA1" w:rsidRDefault="00424F87" w:rsidP="00424F87">
      <w:pPr>
        <w:ind w:left="992"/>
      </w:pPr>
    </w:p>
    <w:p w14:paraId="094F6EFF" w14:textId="3947EC48" w:rsidR="00424F87" w:rsidRPr="00A43EA1" w:rsidRDefault="00424F87" w:rsidP="00424F87">
      <w:pPr>
        <w:spacing w:after="120"/>
        <w:ind w:left="567"/>
      </w:pPr>
      <w:r w:rsidRPr="00A43EA1">
        <w:t>1.2</w:t>
      </w:r>
      <w:r w:rsidR="006B0BE0">
        <w:tab/>
      </w:r>
      <w:r w:rsidRPr="00A43EA1">
        <w:t>Ausdehnung des Schutzes auf weitere Gattungen und Arten (erfolgt oder geplant)</w:t>
      </w:r>
    </w:p>
    <w:p w14:paraId="4761DF37" w14:textId="77777777" w:rsidR="00424F87" w:rsidRPr="00A43EA1" w:rsidRDefault="00424F87" w:rsidP="00424F87">
      <w:pPr>
        <w:ind w:left="1134"/>
      </w:pPr>
      <w:r w:rsidRPr="00A43EA1">
        <w:t>Gemäß dem Gesetz Nr. 39-XVI/2008 über den Schutz von Pflanzensorten werden die Sorten aller botanischen Gattungen und Arten, einschließlich der Hybriden zwischen Gattungen und Arten, geschützt.</w:t>
      </w:r>
    </w:p>
    <w:p w14:paraId="10BD0BC3" w14:textId="77777777" w:rsidR="00424F87" w:rsidRPr="00A43EA1" w:rsidRDefault="00424F87" w:rsidP="00424F87">
      <w:pPr>
        <w:pStyle w:val="BodyTextIndent2"/>
        <w:ind w:left="991"/>
        <w:rPr>
          <w:sz w:val="20"/>
          <w:szCs w:val="20"/>
        </w:rPr>
      </w:pPr>
    </w:p>
    <w:p w14:paraId="3F78F5F5" w14:textId="1740604C" w:rsidR="00424F87" w:rsidRPr="00A43EA1" w:rsidRDefault="00424F87" w:rsidP="00424F87">
      <w:pPr>
        <w:spacing w:after="120"/>
        <w:ind w:left="567"/>
      </w:pPr>
      <w:r w:rsidRPr="00A43EA1">
        <w:t>1.3</w:t>
      </w:r>
      <w:r w:rsidR="006B0BE0">
        <w:tab/>
      </w:r>
      <w:r w:rsidRPr="00A43EA1">
        <w:t>Rechtsprechung</w:t>
      </w:r>
    </w:p>
    <w:p w14:paraId="1E8081BC" w14:textId="77777777" w:rsidR="00424F87" w:rsidRPr="00A43EA1" w:rsidRDefault="00424F87" w:rsidP="00424F87">
      <w:pPr>
        <w:ind w:left="1134"/>
        <w:rPr>
          <w:rFonts w:cs="Arial"/>
        </w:rPr>
      </w:pPr>
      <w:r w:rsidRPr="00A43EA1">
        <w:rPr>
          <w:rFonts w:cs="Arial"/>
        </w:rPr>
        <w:t>Es gibt keinen Präzedenzfall in Bezug auf den Schutz der Züchterrechte.</w:t>
      </w:r>
    </w:p>
    <w:p w14:paraId="42FDD8F2" w14:textId="77777777" w:rsidR="00424F87" w:rsidRPr="00A43EA1" w:rsidRDefault="00424F87" w:rsidP="00424F87"/>
    <w:p w14:paraId="1F7898FA" w14:textId="77777777" w:rsidR="00424F87" w:rsidRPr="00A43EA1" w:rsidRDefault="00424F87" w:rsidP="00424F87"/>
    <w:p w14:paraId="70917939" w14:textId="77777777" w:rsidR="00424F87" w:rsidRPr="00A43EA1" w:rsidRDefault="00424F87" w:rsidP="00424F87">
      <w:pPr>
        <w:rPr>
          <w:u w:val="single"/>
        </w:rPr>
      </w:pPr>
      <w:r w:rsidRPr="00A43EA1">
        <w:t>2.</w:t>
      </w:r>
      <w:r w:rsidRPr="00A43EA1">
        <w:tab/>
      </w:r>
      <w:r w:rsidRPr="00A43EA1">
        <w:rPr>
          <w:u w:val="single"/>
        </w:rPr>
        <w:t>Zusammenarbeit bei der Prüfung</w:t>
      </w:r>
    </w:p>
    <w:p w14:paraId="17E467B6" w14:textId="77777777" w:rsidR="00424F87" w:rsidRPr="00A43EA1" w:rsidRDefault="00424F87" w:rsidP="00424F87"/>
    <w:p w14:paraId="306B6917" w14:textId="77777777" w:rsidR="00424F87" w:rsidRPr="00A43EA1" w:rsidRDefault="00424F87" w:rsidP="00424F87">
      <w:pPr>
        <w:spacing w:after="120"/>
      </w:pPr>
      <w:r w:rsidRPr="00A43EA1">
        <w:t>Nutzung des bestehenden DUS-Berichts, der von:</w:t>
      </w:r>
    </w:p>
    <w:p w14:paraId="23AB6522" w14:textId="77777777" w:rsidR="00424F87" w:rsidRPr="00A43EA1" w:rsidRDefault="00424F87" w:rsidP="00424F87">
      <w:pPr>
        <w:pStyle w:val="ListParagraph"/>
        <w:numPr>
          <w:ilvl w:val="0"/>
          <w:numId w:val="11"/>
        </w:numPr>
        <w:tabs>
          <w:tab w:val="left" w:pos="426"/>
          <w:tab w:val="left" w:pos="851"/>
        </w:tabs>
        <w:contextualSpacing w:val="0"/>
        <w:rPr>
          <w:szCs w:val="20"/>
          <w:lang w:val="de-DE"/>
        </w:rPr>
      </w:pPr>
      <w:r w:rsidRPr="00A43EA1">
        <w:rPr>
          <w:szCs w:val="20"/>
          <w:lang w:val="de-DE"/>
        </w:rPr>
        <w:t>CPVO</w:t>
      </w:r>
    </w:p>
    <w:p w14:paraId="015391A9" w14:textId="77777777" w:rsidR="00424F87" w:rsidRPr="00A43EA1" w:rsidRDefault="00424F87" w:rsidP="00424F87">
      <w:pPr>
        <w:pStyle w:val="ListParagraph"/>
        <w:numPr>
          <w:ilvl w:val="0"/>
          <w:numId w:val="11"/>
        </w:numPr>
        <w:tabs>
          <w:tab w:val="left" w:pos="426"/>
          <w:tab w:val="left" w:pos="851"/>
        </w:tabs>
        <w:contextualSpacing w:val="0"/>
        <w:rPr>
          <w:szCs w:val="20"/>
          <w:lang w:val="de-DE"/>
        </w:rPr>
      </w:pPr>
      <w:r w:rsidRPr="00A43EA1">
        <w:rPr>
          <w:szCs w:val="20"/>
          <w:lang w:val="de-DE"/>
        </w:rPr>
        <w:t>GEVES, FR</w:t>
      </w:r>
    </w:p>
    <w:p w14:paraId="7E07BEBB" w14:textId="77777777" w:rsidR="00424F87" w:rsidRPr="00A43EA1" w:rsidRDefault="00424F87" w:rsidP="00424F87">
      <w:pPr>
        <w:pStyle w:val="ListParagraph"/>
        <w:numPr>
          <w:ilvl w:val="0"/>
          <w:numId w:val="11"/>
        </w:numPr>
        <w:tabs>
          <w:tab w:val="left" w:pos="426"/>
          <w:tab w:val="left" w:pos="851"/>
        </w:tabs>
        <w:contextualSpacing w:val="0"/>
        <w:rPr>
          <w:szCs w:val="20"/>
          <w:lang w:val="de-DE"/>
        </w:rPr>
      </w:pPr>
      <w:r w:rsidRPr="00A43EA1">
        <w:rPr>
          <w:szCs w:val="20"/>
          <w:lang w:val="de-DE"/>
        </w:rPr>
        <w:t>ÚKSÚP v Bratislave, SK</w:t>
      </w:r>
    </w:p>
    <w:p w14:paraId="0A2D10F0" w14:textId="77777777" w:rsidR="00424F87" w:rsidRPr="00A43EA1" w:rsidRDefault="00424F87" w:rsidP="00424F87">
      <w:pPr>
        <w:pStyle w:val="ListParagraph"/>
        <w:numPr>
          <w:ilvl w:val="0"/>
          <w:numId w:val="11"/>
        </w:numPr>
        <w:tabs>
          <w:tab w:val="left" w:pos="426"/>
          <w:tab w:val="left" w:pos="851"/>
        </w:tabs>
        <w:contextualSpacing w:val="0"/>
        <w:rPr>
          <w:szCs w:val="20"/>
          <w:lang w:val="de-DE"/>
        </w:rPr>
      </w:pPr>
      <w:r w:rsidRPr="00A43EA1">
        <w:rPr>
          <w:szCs w:val="20"/>
          <w:lang w:val="de-DE"/>
        </w:rPr>
        <w:t>CREA Consiglio per la Ricerca in Agricoltura e l'analisi dell'economia agraria, IT</w:t>
      </w:r>
    </w:p>
    <w:p w14:paraId="7DEF6FB8" w14:textId="77777777" w:rsidR="00424F87" w:rsidRPr="00A43EA1" w:rsidRDefault="00424F87" w:rsidP="00424F87">
      <w:pPr>
        <w:pStyle w:val="ListParagraph"/>
        <w:numPr>
          <w:ilvl w:val="0"/>
          <w:numId w:val="11"/>
        </w:numPr>
        <w:tabs>
          <w:tab w:val="left" w:pos="426"/>
          <w:tab w:val="left" w:pos="851"/>
        </w:tabs>
        <w:contextualSpacing w:val="0"/>
        <w:rPr>
          <w:szCs w:val="20"/>
          <w:lang w:val="de-DE"/>
        </w:rPr>
      </w:pPr>
      <w:r w:rsidRPr="00A43EA1">
        <w:rPr>
          <w:szCs w:val="20"/>
          <w:lang w:val="de-DE"/>
        </w:rPr>
        <w:t>Bundessortenamt, DE</w:t>
      </w:r>
    </w:p>
    <w:p w14:paraId="659DF04F" w14:textId="77777777" w:rsidR="00424F87" w:rsidRPr="00A43EA1" w:rsidRDefault="00424F87" w:rsidP="00424F87">
      <w:pPr>
        <w:tabs>
          <w:tab w:val="left" w:pos="426"/>
          <w:tab w:val="left" w:pos="851"/>
        </w:tabs>
      </w:pPr>
    </w:p>
    <w:p w14:paraId="7718FA4F" w14:textId="77777777" w:rsidR="00424F87" w:rsidRPr="00A43EA1" w:rsidRDefault="00424F87" w:rsidP="00424F87"/>
    <w:p w14:paraId="1447B352"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1DB705C4" w14:textId="77777777" w:rsidR="00424F87" w:rsidRPr="00A43EA1" w:rsidRDefault="00424F87" w:rsidP="00424F87"/>
    <w:p w14:paraId="1164F3CB" w14:textId="1BBB0ACB" w:rsidR="00424F87" w:rsidRPr="00A43EA1" w:rsidRDefault="00424F87" w:rsidP="00424F87">
      <w:r w:rsidRPr="00A43EA1">
        <w:t>-</w:t>
      </w:r>
      <w:r w:rsidR="006B0BE0">
        <w:tab/>
      </w:r>
      <w:r w:rsidRPr="00A43EA1">
        <w:t>Änderungen in der Verwaltungsstruktur - Keine Änderungen.</w:t>
      </w:r>
    </w:p>
    <w:p w14:paraId="68E96013" w14:textId="77777777" w:rsidR="00424F87" w:rsidRPr="00A43EA1" w:rsidRDefault="00424F87" w:rsidP="00424F87">
      <w:pPr>
        <w:ind w:left="851" w:hanging="425"/>
      </w:pPr>
    </w:p>
    <w:p w14:paraId="5C17B4FB" w14:textId="7199D6A6" w:rsidR="00424F87" w:rsidRPr="00A43EA1" w:rsidRDefault="00424F87" w:rsidP="00424F87">
      <w:r w:rsidRPr="00A43EA1">
        <w:t>-</w:t>
      </w:r>
      <w:r w:rsidR="006B0BE0">
        <w:tab/>
      </w:r>
      <w:r w:rsidRPr="00A43EA1">
        <w:t>Änderungen bei den Büroverfahren und -systemen- Keine Änderungen.</w:t>
      </w:r>
    </w:p>
    <w:p w14:paraId="1486F999" w14:textId="77777777" w:rsidR="00424F87" w:rsidRPr="00A43EA1" w:rsidRDefault="00424F87" w:rsidP="00424F87"/>
    <w:p w14:paraId="19221217" w14:textId="77777777" w:rsidR="00424F87" w:rsidRPr="00A43EA1" w:rsidRDefault="00424F87" w:rsidP="00424F87"/>
    <w:p w14:paraId="4B1CB5FA" w14:textId="77777777" w:rsidR="00424F87" w:rsidRPr="00A43EA1" w:rsidRDefault="00424F87" w:rsidP="00424F87">
      <w:pPr>
        <w:overflowPunct w:val="0"/>
        <w:autoSpaceDE w:val="0"/>
        <w:autoSpaceDN w:val="0"/>
        <w:adjustRightInd w:val="0"/>
        <w:textAlignment w:val="baseline"/>
        <w:rPr>
          <w:bCs/>
          <w:i/>
        </w:rPr>
      </w:pPr>
      <w:r w:rsidRPr="00A43EA1">
        <w:rPr>
          <w:bCs/>
          <w:i/>
        </w:rPr>
        <w:t xml:space="preserve">Änderungen im Verfahrens- und Schutzsystem </w:t>
      </w:r>
    </w:p>
    <w:p w14:paraId="277E0573" w14:textId="77777777" w:rsidR="00424F87" w:rsidRPr="00A43EA1" w:rsidRDefault="00424F87" w:rsidP="00424F87"/>
    <w:p w14:paraId="28A3C726" w14:textId="77777777" w:rsidR="00424F87" w:rsidRPr="00A43EA1" w:rsidRDefault="00424F87" w:rsidP="00424F87">
      <w:pPr>
        <w:spacing w:after="120"/>
      </w:pPr>
      <w:r w:rsidRPr="00A43EA1">
        <w:t>1 nationale Prüfungsrichtlinien wurden entwickelt für:</w:t>
      </w:r>
    </w:p>
    <w:p w14:paraId="2E1BC363" w14:textId="77777777" w:rsidR="00424F87" w:rsidRPr="00A43EA1" w:rsidRDefault="00424F87" w:rsidP="00424F87">
      <w:pPr>
        <w:pStyle w:val="ListParagraph"/>
        <w:numPr>
          <w:ilvl w:val="0"/>
          <w:numId w:val="13"/>
        </w:numPr>
        <w:contextualSpacing w:val="0"/>
        <w:rPr>
          <w:rFonts w:cs="Arial"/>
          <w:szCs w:val="20"/>
          <w:lang w:val="de-DE" w:eastAsia="ro-RO"/>
        </w:rPr>
      </w:pPr>
      <w:r w:rsidRPr="00A43EA1">
        <w:rPr>
          <w:color w:val="000000"/>
          <w:szCs w:val="20"/>
          <w:lang w:val="de-DE" w:eastAsia="ro-RO"/>
        </w:rPr>
        <w:t xml:space="preserve">Chaenomeles japonica (Thunb.) Lindl. ex Spach- </w:t>
      </w:r>
      <w:r w:rsidRPr="00A43EA1">
        <w:rPr>
          <w:rFonts w:cs="Arial"/>
          <w:szCs w:val="20"/>
          <w:lang w:val="de-DE" w:eastAsia="ro-RO"/>
        </w:rPr>
        <w:t>MTG/26/1</w:t>
      </w:r>
    </w:p>
    <w:p w14:paraId="7A238AD9" w14:textId="77777777" w:rsidR="00424F87" w:rsidRPr="00A43EA1" w:rsidRDefault="00424F87" w:rsidP="00424F87"/>
    <w:p w14:paraId="40929786" w14:textId="77777777" w:rsidR="00424F87" w:rsidRPr="00A43EA1" w:rsidRDefault="00424F87" w:rsidP="00424F87"/>
    <w:p w14:paraId="52CBD0B6" w14:textId="77777777" w:rsidR="00424F87" w:rsidRPr="00A43EA1" w:rsidRDefault="00424F87" w:rsidP="00424F87">
      <w:pPr>
        <w:jc w:val="left"/>
        <w:rPr>
          <w:bCs/>
          <w:i/>
        </w:rPr>
      </w:pPr>
      <w:r w:rsidRPr="00A43EA1">
        <w:rPr>
          <w:bCs/>
          <w:i/>
        </w:rPr>
        <w:t>Statistik</w:t>
      </w:r>
    </w:p>
    <w:p w14:paraId="7012B892" w14:textId="77777777" w:rsidR="00424F87" w:rsidRPr="00A43EA1" w:rsidRDefault="00424F87" w:rsidP="00424F87"/>
    <w:p w14:paraId="193FACCE" w14:textId="77777777" w:rsidR="00424F87" w:rsidRPr="00A43EA1" w:rsidRDefault="00424F87" w:rsidP="00424F87">
      <w:pPr>
        <w:spacing w:after="120"/>
      </w:pPr>
      <w:r w:rsidRPr="00A43EA1">
        <w:t>Für den Zeitraum vom 1. Januar 2022 bis zum 31. Dezember 2022:</w:t>
      </w:r>
    </w:p>
    <w:p w14:paraId="3AD526BD" w14:textId="77777777" w:rsidR="00424F87" w:rsidRPr="00A43EA1" w:rsidRDefault="00424F87" w:rsidP="00424F87">
      <w:pPr>
        <w:pStyle w:val="ListParagraph"/>
        <w:numPr>
          <w:ilvl w:val="0"/>
          <w:numId w:val="13"/>
        </w:numPr>
        <w:contextualSpacing w:val="0"/>
        <w:rPr>
          <w:szCs w:val="20"/>
          <w:lang w:val="de-DE"/>
        </w:rPr>
      </w:pPr>
      <w:r w:rsidRPr="00A43EA1">
        <w:rPr>
          <w:b/>
          <w:szCs w:val="20"/>
          <w:lang w:val="de-DE"/>
        </w:rPr>
        <w:t xml:space="preserve">Es sind 21 </w:t>
      </w:r>
      <w:r w:rsidRPr="00A43EA1">
        <w:rPr>
          <w:szCs w:val="20"/>
          <w:lang w:val="de-DE"/>
        </w:rPr>
        <w:t>Bewerbungen eingegangen (</w:t>
      </w:r>
      <w:r w:rsidRPr="00A43EA1">
        <w:rPr>
          <w:b/>
          <w:szCs w:val="20"/>
          <w:lang w:val="de-DE"/>
        </w:rPr>
        <w:t xml:space="preserve">18 </w:t>
      </w:r>
      <w:r w:rsidRPr="00A43EA1">
        <w:rPr>
          <w:szCs w:val="20"/>
          <w:lang w:val="de-DE"/>
        </w:rPr>
        <w:t xml:space="preserve">für inländische und </w:t>
      </w:r>
      <w:r w:rsidRPr="00A43EA1">
        <w:rPr>
          <w:b/>
          <w:szCs w:val="20"/>
          <w:lang w:val="de-DE"/>
        </w:rPr>
        <w:t xml:space="preserve">3 </w:t>
      </w:r>
      <w:r w:rsidRPr="00A43EA1">
        <w:rPr>
          <w:szCs w:val="20"/>
          <w:lang w:val="de-DE"/>
        </w:rPr>
        <w:t xml:space="preserve">für ausländische Bewerber), die sich wie folgt verteilen </w:t>
      </w:r>
    </w:p>
    <w:p w14:paraId="1E3BFA94" w14:textId="77777777" w:rsidR="00424F87" w:rsidRPr="00A43EA1" w:rsidRDefault="00424F87" w:rsidP="00424F87"/>
    <w:p w14:paraId="7E08B20A" w14:textId="77777777" w:rsidR="00424F87" w:rsidRPr="00A43EA1" w:rsidRDefault="00424F87" w:rsidP="00424F87">
      <w:pPr>
        <w:pStyle w:val="NoSpacing"/>
        <w:ind w:left="502"/>
        <w:rPr>
          <w:rFonts w:ascii="Arial" w:hAnsi="Arial" w:cs="Arial"/>
          <w:lang w:val="de-DE"/>
        </w:rPr>
      </w:pPr>
      <w:r w:rsidRPr="00A43EA1">
        <w:rPr>
          <w:rFonts w:ascii="Arial" w:hAnsi="Arial" w:cs="Arial"/>
          <w:lang w:val="de-DE"/>
        </w:rPr>
        <w:t>Mais (Zea mays L.) - 4</w:t>
      </w:r>
    </w:p>
    <w:p w14:paraId="2EA32544" w14:textId="77777777" w:rsidR="00424F87" w:rsidRPr="00A43EA1" w:rsidRDefault="00424F87" w:rsidP="00424F87">
      <w:pPr>
        <w:ind w:left="502"/>
        <w:rPr>
          <w:rFonts w:cs="Arial"/>
        </w:rPr>
      </w:pPr>
      <w:r w:rsidRPr="00A43EA1">
        <w:rPr>
          <w:rFonts w:cs="Arial"/>
        </w:rPr>
        <w:t>Weizen (</w:t>
      </w:r>
      <w:r w:rsidRPr="00A43EA1">
        <w:rPr>
          <w:rFonts w:cs="Arial"/>
          <w:i/>
        </w:rPr>
        <w:t xml:space="preserve">Triticum aestivum </w:t>
      </w:r>
      <w:r w:rsidRPr="00A43EA1">
        <w:rPr>
          <w:rFonts w:cs="Arial"/>
        </w:rPr>
        <w:t>L.) - 3</w:t>
      </w:r>
    </w:p>
    <w:p w14:paraId="43D97074" w14:textId="77777777" w:rsidR="00424F87" w:rsidRPr="00A43EA1" w:rsidRDefault="00424F87" w:rsidP="00424F87">
      <w:pPr>
        <w:pStyle w:val="NoSpacing"/>
        <w:ind w:left="502"/>
        <w:rPr>
          <w:rFonts w:ascii="Arial" w:hAnsi="Arial" w:cs="Arial"/>
          <w:lang w:val="de-DE"/>
        </w:rPr>
      </w:pPr>
      <w:r w:rsidRPr="00A43EA1">
        <w:rPr>
          <w:rFonts w:ascii="Arial" w:hAnsi="Arial" w:cs="Arial"/>
          <w:lang w:val="de-DE"/>
        </w:rPr>
        <w:t>Apfel (</w:t>
      </w:r>
      <w:r w:rsidRPr="00A43EA1">
        <w:rPr>
          <w:rFonts w:ascii="Arial" w:hAnsi="Arial" w:cs="Arial"/>
          <w:bCs/>
          <w:i/>
          <w:lang w:val="de-DE"/>
        </w:rPr>
        <w:t xml:space="preserve">Malus domestica </w:t>
      </w:r>
      <w:r w:rsidRPr="00A43EA1">
        <w:rPr>
          <w:rFonts w:ascii="Arial" w:hAnsi="Arial" w:cs="Arial"/>
          <w:bCs/>
          <w:lang w:val="de-DE"/>
        </w:rPr>
        <w:t>Borkh</w:t>
      </w:r>
      <w:r w:rsidRPr="00A43EA1">
        <w:rPr>
          <w:rFonts w:ascii="Arial" w:hAnsi="Arial" w:cs="Arial"/>
          <w:lang w:val="de-DE"/>
        </w:rPr>
        <w:t>) - 2</w:t>
      </w:r>
    </w:p>
    <w:p w14:paraId="07BBE850" w14:textId="77777777" w:rsidR="00424F87" w:rsidRPr="00A43EA1" w:rsidRDefault="00424F87" w:rsidP="00424F87">
      <w:pPr>
        <w:autoSpaceDE w:val="0"/>
        <w:autoSpaceDN w:val="0"/>
        <w:adjustRightInd w:val="0"/>
        <w:ind w:left="502"/>
        <w:jc w:val="left"/>
        <w:rPr>
          <w:rFonts w:eastAsia="Calibri" w:cs="Arial"/>
          <w:i/>
          <w:iCs/>
          <w:lang w:eastAsia="ru-RU"/>
        </w:rPr>
      </w:pPr>
      <w:r w:rsidRPr="00A43EA1">
        <w:rPr>
          <w:rFonts w:cs="Arial"/>
        </w:rPr>
        <w:t>Tomate (</w:t>
      </w:r>
      <w:r w:rsidRPr="00A43EA1">
        <w:rPr>
          <w:rFonts w:eastAsia="Calibri" w:cs="Arial"/>
          <w:bCs/>
          <w:i/>
          <w:iCs/>
          <w:lang w:eastAsia="ru-RU"/>
        </w:rPr>
        <w:t xml:space="preserve">Solanum lycopersicum </w:t>
      </w:r>
      <w:r w:rsidRPr="00A43EA1">
        <w:rPr>
          <w:rFonts w:eastAsia="Calibri" w:cs="Arial"/>
          <w:bCs/>
          <w:lang w:eastAsia="ru-RU"/>
        </w:rPr>
        <w:t>L.) - 4</w:t>
      </w:r>
    </w:p>
    <w:p w14:paraId="4ECBF431" w14:textId="77777777" w:rsidR="00424F87" w:rsidRPr="00A43EA1" w:rsidRDefault="00424F87" w:rsidP="00424F87">
      <w:pPr>
        <w:ind w:left="502"/>
        <w:rPr>
          <w:rFonts w:cs="Arial"/>
        </w:rPr>
      </w:pPr>
      <w:r w:rsidRPr="00A43EA1">
        <w:rPr>
          <w:rFonts w:cs="Arial"/>
        </w:rPr>
        <w:t>Chinesische Kirsche (</w:t>
      </w:r>
      <w:r w:rsidRPr="00A43EA1">
        <w:rPr>
          <w:rFonts w:eastAsia="Calibri" w:cs="Arial"/>
          <w:bCs/>
          <w:i/>
          <w:iCs/>
          <w:lang w:eastAsia="ru-RU"/>
        </w:rPr>
        <w:t xml:space="preserve">Prunus tomentosa </w:t>
      </w:r>
      <w:r w:rsidRPr="00A43EA1">
        <w:rPr>
          <w:rFonts w:eastAsia="Calibri" w:cs="Arial"/>
          <w:bCs/>
          <w:lang w:eastAsia="ru-RU"/>
        </w:rPr>
        <w:t>Thunb.</w:t>
      </w:r>
      <w:r w:rsidRPr="00A43EA1">
        <w:rPr>
          <w:rFonts w:cs="Arial"/>
        </w:rPr>
        <w:t>) - 1</w:t>
      </w:r>
    </w:p>
    <w:p w14:paraId="0163DF4F" w14:textId="77777777" w:rsidR="00424F87" w:rsidRPr="00A43EA1" w:rsidRDefault="00424F87" w:rsidP="00424F87">
      <w:pPr>
        <w:autoSpaceDE w:val="0"/>
        <w:autoSpaceDN w:val="0"/>
        <w:adjustRightInd w:val="0"/>
        <w:ind w:left="502"/>
        <w:jc w:val="left"/>
        <w:rPr>
          <w:rFonts w:cs="Arial"/>
        </w:rPr>
      </w:pPr>
      <w:r w:rsidRPr="00A43EA1">
        <w:rPr>
          <w:rFonts w:cs="Arial"/>
        </w:rPr>
        <w:t>Sojabohnen (</w:t>
      </w:r>
      <w:r w:rsidRPr="00A43EA1">
        <w:rPr>
          <w:rFonts w:eastAsia="Calibri" w:cs="Arial"/>
          <w:bCs/>
          <w:i/>
          <w:iCs/>
          <w:lang w:eastAsia="ru-RU"/>
        </w:rPr>
        <w:t xml:space="preserve">Glycine max </w:t>
      </w:r>
      <w:r w:rsidRPr="00A43EA1">
        <w:rPr>
          <w:rFonts w:eastAsia="Calibri" w:cs="Arial"/>
          <w:bCs/>
          <w:lang w:eastAsia="ru-RU"/>
        </w:rPr>
        <w:t>(L.) Merr.</w:t>
      </w:r>
      <w:r w:rsidRPr="00A43EA1">
        <w:rPr>
          <w:rFonts w:cs="Arial"/>
        </w:rPr>
        <w:t>) - 1</w:t>
      </w:r>
    </w:p>
    <w:p w14:paraId="6F7A9590" w14:textId="77777777" w:rsidR="00424F87" w:rsidRPr="00A43EA1" w:rsidRDefault="00424F87" w:rsidP="00424F87">
      <w:pPr>
        <w:autoSpaceDE w:val="0"/>
        <w:autoSpaceDN w:val="0"/>
        <w:adjustRightInd w:val="0"/>
        <w:ind w:left="502"/>
        <w:jc w:val="left"/>
        <w:rPr>
          <w:rFonts w:cs="Arial"/>
        </w:rPr>
      </w:pPr>
      <w:r w:rsidRPr="00A43EA1">
        <w:rPr>
          <w:rFonts w:cs="Arial"/>
        </w:rPr>
        <w:t>Östliche Galega (</w:t>
      </w:r>
      <w:r w:rsidRPr="00A43EA1">
        <w:rPr>
          <w:rFonts w:eastAsia="Calibri" w:cs="Arial"/>
          <w:bCs/>
          <w:i/>
          <w:iCs/>
          <w:lang w:eastAsia="ru-RU"/>
        </w:rPr>
        <w:t xml:space="preserve">Galega orientalis </w:t>
      </w:r>
      <w:r w:rsidRPr="00A43EA1">
        <w:rPr>
          <w:rFonts w:eastAsia="Calibri" w:cs="Arial"/>
          <w:bCs/>
          <w:lang w:eastAsia="ru-RU"/>
        </w:rPr>
        <w:t>Lam.</w:t>
      </w:r>
      <w:r w:rsidRPr="00A43EA1">
        <w:rPr>
          <w:rFonts w:cs="Arial"/>
        </w:rPr>
        <w:t>) - 1</w:t>
      </w:r>
    </w:p>
    <w:p w14:paraId="4CC8BA89" w14:textId="77777777" w:rsidR="00424F87" w:rsidRPr="00A43EA1" w:rsidRDefault="00424F87" w:rsidP="00424F87">
      <w:pPr>
        <w:autoSpaceDE w:val="0"/>
        <w:autoSpaceDN w:val="0"/>
        <w:adjustRightInd w:val="0"/>
        <w:ind w:left="502"/>
        <w:jc w:val="left"/>
        <w:rPr>
          <w:rFonts w:cs="Arial"/>
        </w:rPr>
      </w:pPr>
      <w:r w:rsidRPr="00A43EA1">
        <w:rPr>
          <w:rFonts w:cs="Arial"/>
        </w:rPr>
        <w:t>Macleaya cordata (</w:t>
      </w:r>
      <w:r w:rsidRPr="00A43EA1">
        <w:rPr>
          <w:rFonts w:eastAsia="Calibri" w:cs="Arial"/>
          <w:bCs/>
          <w:i/>
          <w:iCs/>
          <w:lang w:eastAsia="ru-RU"/>
        </w:rPr>
        <w:t xml:space="preserve">Macleaya cordata </w:t>
      </w:r>
      <w:r w:rsidRPr="00A43EA1">
        <w:rPr>
          <w:rFonts w:eastAsia="Calibri" w:cs="Arial"/>
          <w:bCs/>
          <w:lang w:eastAsia="ru-RU"/>
        </w:rPr>
        <w:t>(Willd.) R. Br.</w:t>
      </w:r>
      <w:r w:rsidRPr="00A43EA1">
        <w:rPr>
          <w:rFonts w:cs="Arial"/>
        </w:rPr>
        <w:t>) - 1</w:t>
      </w:r>
    </w:p>
    <w:p w14:paraId="4BA8FD80" w14:textId="77777777" w:rsidR="00424F87" w:rsidRPr="00A43EA1" w:rsidRDefault="00424F87" w:rsidP="00424F87">
      <w:pPr>
        <w:autoSpaceDE w:val="0"/>
        <w:autoSpaceDN w:val="0"/>
        <w:adjustRightInd w:val="0"/>
        <w:ind w:left="502"/>
        <w:jc w:val="left"/>
        <w:rPr>
          <w:rFonts w:cs="Arial"/>
        </w:rPr>
      </w:pPr>
      <w:r w:rsidRPr="00A43EA1">
        <w:rPr>
          <w:rFonts w:cs="Arial"/>
        </w:rPr>
        <w:t>Weinrebe (</w:t>
      </w:r>
      <w:r w:rsidRPr="00A43EA1">
        <w:rPr>
          <w:rFonts w:eastAsia="Calibri" w:cs="Arial"/>
          <w:bCs/>
          <w:i/>
          <w:iCs/>
          <w:lang w:eastAsia="ru-RU"/>
        </w:rPr>
        <w:t xml:space="preserve">Vitis vinifera </w:t>
      </w:r>
      <w:r w:rsidRPr="00A43EA1">
        <w:rPr>
          <w:rFonts w:eastAsia="Calibri" w:cs="Arial"/>
          <w:bCs/>
          <w:lang w:eastAsia="ru-RU"/>
        </w:rPr>
        <w:t>L.</w:t>
      </w:r>
      <w:r w:rsidRPr="00A43EA1">
        <w:rPr>
          <w:rFonts w:cs="Arial"/>
        </w:rPr>
        <w:t>) - 1</w:t>
      </w:r>
    </w:p>
    <w:p w14:paraId="2D11E846" w14:textId="77777777" w:rsidR="00424F87" w:rsidRPr="00A43EA1" w:rsidRDefault="00424F87" w:rsidP="00424F87">
      <w:pPr>
        <w:autoSpaceDE w:val="0"/>
        <w:autoSpaceDN w:val="0"/>
        <w:adjustRightInd w:val="0"/>
        <w:ind w:left="502"/>
        <w:jc w:val="left"/>
        <w:rPr>
          <w:rFonts w:cs="Arial"/>
        </w:rPr>
      </w:pPr>
      <w:r w:rsidRPr="00A43EA1">
        <w:rPr>
          <w:rFonts w:cs="Arial"/>
        </w:rPr>
        <w:lastRenderedPageBreak/>
        <w:t>Zitronenthymian (</w:t>
      </w:r>
      <w:r w:rsidRPr="00A43EA1">
        <w:rPr>
          <w:rFonts w:eastAsia="Calibri" w:cs="Arial"/>
          <w:bCs/>
          <w:i/>
          <w:iCs/>
          <w:lang w:eastAsia="ru-RU"/>
        </w:rPr>
        <w:t xml:space="preserve">Thymus x citriodorus </w:t>
      </w:r>
      <w:r w:rsidRPr="00A43EA1">
        <w:rPr>
          <w:rFonts w:eastAsia="Calibri" w:cs="Arial"/>
          <w:bCs/>
          <w:lang w:eastAsia="ru-RU"/>
        </w:rPr>
        <w:t>(Pers.) Schreb.</w:t>
      </w:r>
      <w:r w:rsidRPr="00A43EA1">
        <w:rPr>
          <w:rFonts w:cs="Arial"/>
        </w:rPr>
        <w:t>) - 1</w:t>
      </w:r>
    </w:p>
    <w:p w14:paraId="230897EE" w14:textId="77777777" w:rsidR="00424F87" w:rsidRPr="00A43EA1" w:rsidRDefault="00424F87" w:rsidP="00424F87">
      <w:pPr>
        <w:autoSpaceDE w:val="0"/>
        <w:autoSpaceDN w:val="0"/>
        <w:adjustRightInd w:val="0"/>
        <w:ind w:left="502"/>
        <w:jc w:val="left"/>
        <w:rPr>
          <w:rFonts w:cs="Arial"/>
        </w:rPr>
      </w:pPr>
      <w:r w:rsidRPr="00A43EA1">
        <w:rPr>
          <w:rFonts w:cs="Arial"/>
        </w:rPr>
        <w:t>Basilikum (</w:t>
      </w:r>
      <w:r w:rsidRPr="00A43EA1">
        <w:rPr>
          <w:rFonts w:eastAsia="Calibri" w:cs="Arial"/>
          <w:bCs/>
          <w:i/>
          <w:iCs/>
          <w:lang w:eastAsia="ru-RU"/>
        </w:rPr>
        <w:t xml:space="preserve">Ocimum basilicum </w:t>
      </w:r>
      <w:r w:rsidRPr="00A43EA1">
        <w:rPr>
          <w:rFonts w:eastAsia="Calibri" w:cs="Arial"/>
          <w:bCs/>
          <w:lang w:eastAsia="ru-RU"/>
        </w:rPr>
        <w:t>L.</w:t>
      </w:r>
      <w:r w:rsidRPr="00A43EA1">
        <w:rPr>
          <w:rFonts w:cs="Arial"/>
        </w:rPr>
        <w:t>) - 1</w:t>
      </w:r>
    </w:p>
    <w:p w14:paraId="1BB9386A" w14:textId="77777777" w:rsidR="00424F87" w:rsidRPr="00A43EA1" w:rsidRDefault="00424F87" w:rsidP="00424F87">
      <w:pPr>
        <w:autoSpaceDE w:val="0"/>
        <w:autoSpaceDN w:val="0"/>
        <w:adjustRightInd w:val="0"/>
        <w:ind w:left="502"/>
        <w:jc w:val="left"/>
        <w:rPr>
          <w:rFonts w:cs="Arial"/>
        </w:rPr>
      </w:pPr>
      <w:r w:rsidRPr="00A43EA1">
        <w:rPr>
          <w:rFonts w:cs="Arial"/>
        </w:rPr>
        <w:t>Quirlige Minze (</w:t>
      </w:r>
      <w:r w:rsidRPr="00A43EA1">
        <w:rPr>
          <w:rFonts w:eastAsia="Calibri" w:cs="Arial"/>
          <w:bCs/>
          <w:i/>
          <w:iCs/>
          <w:lang w:eastAsia="ru-RU"/>
        </w:rPr>
        <w:t xml:space="preserve">Mentha x verticillata </w:t>
      </w:r>
      <w:r w:rsidRPr="00A43EA1">
        <w:rPr>
          <w:rFonts w:eastAsia="Calibri" w:cs="Arial"/>
          <w:bCs/>
          <w:lang w:eastAsia="ru-RU"/>
        </w:rPr>
        <w:t>L.</w:t>
      </w:r>
      <w:r w:rsidRPr="00A43EA1">
        <w:rPr>
          <w:rFonts w:cs="Arial"/>
        </w:rPr>
        <w:t>) - 1</w:t>
      </w:r>
    </w:p>
    <w:p w14:paraId="2BB601C4" w14:textId="77777777" w:rsidR="00424F87" w:rsidRPr="00A43EA1" w:rsidRDefault="00424F87" w:rsidP="00424F87">
      <w:pPr>
        <w:autoSpaceDE w:val="0"/>
        <w:autoSpaceDN w:val="0"/>
        <w:adjustRightInd w:val="0"/>
        <w:jc w:val="left"/>
        <w:rPr>
          <w:rFonts w:cs="Arial"/>
        </w:rPr>
      </w:pPr>
    </w:p>
    <w:p w14:paraId="006E8C15" w14:textId="77777777" w:rsidR="00424F87" w:rsidRPr="00A43EA1" w:rsidRDefault="00424F87" w:rsidP="00424F87">
      <w:pPr>
        <w:pStyle w:val="ListParagraph"/>
        <w:numPr>
          <w:ilvl w:val="0"/>
          <w:numId w:val="13"/>
        </w:numPr>
        <w:contextualSpacing w:val="0"/>
        <w:rPr>
          <w:rFonts w:cs="Arial"/>
          <w:szCs w:val="20"/>
          <w:lang w:val="de-DE"/>
        </w:rPr>
      </w:pPr>
      <w:r w:rsidRPr="00A43EA1">
        <w:rPr>
          <w:rFonts w:cs="Arial"/>
          <w:b/>
          <w:szCs w:val="20"/>
          <w:lang w:val="de-DE"/>
        </w:rPr>
        <w:t xml:space="preserve">Es wurden 14 </w:t>
      </w:r>
      <w:r w:rsidRPr="00A43EA1">
        <w:rPr>
          <w:rFonts w:cs="Arial"/>
          <w:szCs w:val="20"/>
          <w:lang w:val="de-DE"/>
        </w:rPr>
        <w:t>Patente für Pflanzensorten erteilt (</w:t>
      </w:r>
      <w:r w:rsidRPr="00A43EA1">
        <w:rPr>
          <w:rFonts w:cs="Arial"/>
          <w:b/>
          <w:szCs w:val="20"/>
          <w:lang w:val="de-DE"/>
        </w:rPr>
        <w:t xml:space="preserve">7 </w:t>
      </w:r>
      <w:r w:rsidRPr="00A43EA1">
        <w:rPr>
          <w:rFonts w:cs="Arial"/>
          <w:szCs w:val="20"/>
          <w:lang w:val="de-DE"/>
        </w:rPr>
        <w:t xml:space="preserve">für inländische und </w:t>
      </w:r>
      <w:r w:rsidRPr="00A43EA1">
        <w:rPr>
          <w:rFonts w:cs="Arial"/>
          <w:b/>
          <w:szCs w:val="20"/>
          <w:lang w:val="de-DE"/>
        </w:rPr>
        <w:t xml:space="preserve">7 </w:t>
      </w:r>
      <w:r w:rsidRPr="00A43EA1">
        <w:rPr>
          <w:rFonts w:cs="Arial"/>
          <w:szCs w:val="20"/>
          <w:lang w:val="de-DE"/>
        </w:rPr>
        <w:t xml:space="preserve">für ausländische Anmelder), und zwar wie folgt: </w:t>
      </w:r>
    </w:p>
    <w:p w14:paraId="2C00A6DF" w14:textId="77777777" w:rsidR="00424F87" w:rsidRPr="00A43EA1" w:rsidRDefault="00424F87" w:rsidP="00424F87">
      <w:pPr>
        <w:pStyle w:val="NoSpacing"/>
        <w:ind w:left="502"/>
        <w:rPr>
          <w:rFonts w:ascii="Arial" w:hAnsi="Arial" w:cs="Arial"/>
          <w:lang w:val="de-DE"/>
        </w:rPr>
      </w:pPr>
    </w:p>
    <w:p w14:paraId="300E770E" w14:textId="77777777" w:rsidR="00424F87" w:rsidRPr="00A43EA1" w:rsidRDefault="00424F87" w:rsidP="00424F87">
      <w:pPr>
        <w:pStyle w:val="NoSpacing"/>
        <w:ind w:left="502"/>
        <w:rPr>
          <w:rFonts w:ascii="Arial" w:hAnsi="Arial" w:cs="Arial"/>
          <w:lang w:val="de-DE"/>
        </w:rPr>
      </w:pPr>
      <w:r w:rsidRPr="00A43EA1">
        <w:rPr>
          <w:rFonts w:ascii="Arial" w:hAnsi="Arial" w:cs="Arial"/>
          <w:lang w:val="de-DE"/>
        </w:rPr>
        <w:t>Gerste (</w:t>
      </w:r>
      <w:r w:rsidRPr="00A43EA1">
        <w:rPr>
          <w:rFonts w:ascii="Arial" w:hAnsi="Arial" w:cs="Arial"/>
          <w:bCs/>
          <w:i/>
          <w:lang w:val="de-DE"/>
        </w:rPr>
        <w:t xml:space="preserve">Hordeum vulgare </w:t>
      </w:r>
      <w:r w:rsidRPr="00A43EA1">
        <w:rPr>
          <w:rFonts w:ascii="Arial" w:hAnsi="Arial" w:cs="Arial"/>
          <w:bCs/>
          <w:lang w:val="de-DE"/>
        </w:rPr>
        <w:t>L.</w:t>
      </w:r>
      <w:r w:rsidRPr="00A43EA1">
        <w:rPr>
          <w:rFonts w:ascii="Arial" w:hAnsi="Arial" w:cs="Arial"/>
          <w:lang w:val="de-DE"/>
        </w:rPr>
        <w:t>) - 1</w:t>
      </w:r>
    </w:p>
    <w:p w14:paraId="35FA2259" w14:textId="77777777" w:rsidR="00424F87" w:rsidRPr="00A43EA1" w:rsidRDefault="00424F87" w:rsidP="00424F87">
      <w:pPr>
        <w:widowControl w:val="0"/>
        <w:ind w:left="502"/>
        <w:rPr>
          <w:bCs/>
          <w:szCs w:val="24"/>
        </w:rPr>
      </w:pPr>
      <w:r w:rsidRPr="00A43EA1">
        <w:rPr>
          <w:szCs w:val="22"/>
        </w:rPr>
        <w:t>Kniphofia (</w:t>
      </w:r>
      <w:r w:rsidRPr="00A43EA1">
        <w:rPr>
          <w:bCs/>
          <w:i/>
          <w:iCs/>
          <w:szCs w:val="24"/>
        </w:rPr>
        <w:t xml:space="preserve">Kniphofia nelsonii </w:t>
      </w:r>
      <w:r w:rsidRPr="00A43EA1">
        <w:rPr>
          <w:bCs/>
          <w:szCs w:val="24"/>
        </w:rPr>
        <w:t>Mast.) - 1</w:t>
      </w:r>
    </w:p>
    <w:p w14:paraId="580492C0" w14:textId="77777777" w:rsidR="00424F87" w:rsidRPr="00A43EA1" w:rsidRDefault="00424F87" w:rsidP="00424F87">
      <w:pPr>
        <w:pStyle w:val="NoSpacing"/>
        <w:ind w:left="502"/>
        <w:rPr>
          <w:rFonts w:ascii="Arial" w:hAnsi="Arial" w:cs="Arial"/>
          <w:lang w:val="de-DE"/>
        </w:rPr>
      </w:pPr>
      <w:r w:rsidRPr="00A43EA1">
        <w:rPr>
          <w:rFonts w:ascii="Arial" w:hAnsi="Arial" w:cs="Arial"/>
          <w:lang w:val="de-DE"/>
        </w:rPr>
        <w:t>Mais (Zea mays L.) - 2</w:t>
      </w:r>
    </w:p>
    <w:p w14:paraId="427EACD0" w14:textId="77777777" w:rsidR="00424F87" w:rsidRPr="00A43EA1" w:rsidRDefault="00424F87" w:rsidP="00424F87">
      <w:pPr>
        <w:pStyle w:val="NoSpacing"/>
        <w:ind w:left="502"/>
        <w:rPr>
          <w:rFonts w:ascii="Arial" w:hAnsi="Arial"/>
          <w:bCs/>
          <w:szCs w:val="24"/>
          <w:lang w:val="de-DE"/>
        </w:rPr>
      </w:pPr>
      <w:r w:rsidRPr="00A43EA1">
        <w:rPr>
          <w:rFonts w:ascii="Arial" w:hAnsi="Arial"/>
          <w:szCs w:val="22"/>
          <w:lang w:val="de-DE"/>
        </w:rPr>
        <w:t>Hafer (</w:t>
      </w:r>
      <w:r w:rsidRPr="00A43EA1">
        <w:rPr>
          <w:rFonts w:ascii="Arial" w:hAnsi="Arial"/>
          <w:bCs/>
          <w:i/>
          <w:iCs/>
          <w:szCs w:val="24"/>
          <w:lang w:val="de-DE"/>
        </w:rPr>
        <w:t xml:space="preserve">Avena sativa </w:t>
      </w:r>
      <w:r w:rsidRPr="00A43EA1">
        <w:rPr>
          <w:rFonts w:ascii="Arial" w:hAnsi="Arial"/>
          <w:bCs/>
          <w:szCs w:val="24"/>
          <w:lang w:val="de-DE"/>
        </w:rPr>
        <w:t>L.) - 1</w:t>
      </w:r>
    </w:p>
    <w:p w14:paraId="10B871F8" w14:textId="77777777" w:rsidR="00424F87" w:rsidRPr="00A43EA1" w:rsidRDefault="00424F87" w:rsidP="00424F87">
      <w:pPr>
        <w:pStyle w:val="NoSpacing"/>
        <w:ind w:left="502"/>
        <w:rPr>
          <w:rFonts w:ascii="Arial" w:hAnsi="Arial"/>
          <w:szCs w:val="22"/>
          <w:lang w:val="de-DE"/>
        </w:rPr>
      </w:pPr>
      <w:r w:rsidRPr="00A43EA1">
        <w:rPr>
          <w:rFonts w:ascii="Arial" w:hAnsi="Arial"/>
          <w:szCs w:val="22"/>
          <w:lang w:val="de-DE"/>
        </w:rPr>
        <w:t>Prunus-Unterlage (</w:t>
      </w:r>
      <w:r w:rsidRPr="00A43EA1">
        <w:rPr>
          <w:rFonts w:ascii="Arial" w:hAnsi="Arial"/>
          <w:bCs/>
          <w:i/>
          <w:iCs/>
          <w:szCs w:val="24"/>
          <w:lang w:val="de-DE"/>
        </w:rPr>
        <w:t xml:space="preserve">Prunus </w:t>
      </w:r>
      <w:r w:rsidRPr="00A43EA1">
        <w:rPr>
          <w:rFonts w:ascii="Arial" w:hAnsi="Arial"/>
          <w:bCs/>
          <w:szCs w:val="24"/>
          <w:lang w:val="de-DE"/>
        </w:rPr>
        <w:t>L.</w:t>
      </w:r>
      <w:r w:rsidRPr="00A43EA1">
        <w:rPr>
          <w:rFonts w:ascii="Arial" w:hAnsi="Arial"/>
          <w:szCs w:val="22"/>
          <w:lang w:val="de-DE"/>
        </w:rPr>
        <w:t>) - 3</w:t>
      </w:r>
    </w:p>
    <w:p w14:paraId="0EF8F8BC" w14:textId="77777777" w:rsidR="00424F87" w:rsidRPr="00A43EA1" w:rsidRDefault="00424F87" w:rsidP="00424F87">
      <w:pPr>
        <w:widowControl w:val="0"/>
        <w:ind w:left="502"/>
        <w:rPr>
          <w:bCs/>
          <w:szCs w:val="24"/>
        </w:rPr>
      </w:pPr>
      <w:r w:rsidRPr="00A43EA1">
        <w:rPr>
          <w:szCs w:val="22"/>
        </w:rPr>
        <w:t>Salbei (</w:t>
      </w:r>
      <w:r w:rsidRPr="00A43EA1">
        <w:rPr>
          <w:bCs/>
          <w:i/>
          <w:iCs/>
          <w:szCs w:val="24"/>
        </w:rPr>
        <w:t xml:space="preserve">Salvia sclarea </w:t>
      </w:r>
      <w:r w:rsidRPr="00A43EA1">
        <w:rPr>
          <w:bCs/>
          <w:szCs w:val="24"/>
        </w:rPr>
        <w:t>L.) - 1</w:t>
      </w:r>
    </w:p>
    <w:p w14:paraId="006AFC46" w14:textId="77777777" w:rsidR="00424F87" w:rsidRPr="00A43EA1" w:rsidRDefault="00424F87" w:rsidP="00424F87">
      <w:pPr>
        <w:widowControl w:val="0"/>
        <w:ind w:left="502"/>
        <w:rPr>
          <w:bCs/>
          <w:szCs w:val="24"/>
        </w:rPr>
      </w:pPr>
      <w:r w:rsidRPr="00A43EA1">
        <w:rPr>
          <w:szCs w:val="22"/>
        </w:rPr>
        <w:t>Süßkirsche (</w:t>
      </w:r>
      <w:r w:rsidRPr="00A43EA1">
        <w:rPr>
          <w:bCs/>
          <w:i/>
          <w:iCs/>
          <w:szCs w:val="24"/>
        </w:rPr>
        <w:t xml:space="preserve">Prunus avium </w:t>
      </w:r>
      <w:r w:rsidRPr="00A43EA1">
        <w:rPr>
          <w:bCs/>
          <w:szCs w:val="24"/>
        </w:rPr>
        <w:t>L.) - 1</w:t>
      </w:r>
    </w:p>
    <w:p w14:paraId="235CB0D8" w14:textId="77777777" w:rsidR="00424F87" w:rsidRPr="00A43EA1" w:rsidRDefault="00424F87" w:rsidP="00424F87">
      <w:pPr>
        <w:ind w:left="502"/>
        <w:rPr>
          <w:rFonts w:cs="Arial"/>
        </w:rPr>
      </w:pPr>
      <w:r w:rsidRPr="00A43EA1">
        <w:rPr>
          <w:rFonts w:cs="Arial"/>
        </w:rPr>
        <w:t>Weizen (</w:t>
      </w:r>
      <w:r w:rsidRPr="00A43EA1">
        <w:rPr>
          <w:rFonts w:cs="Arial"/>
          <w:i/>
        </w:rPr>
        <w:t xml:space="preserve">Triticum aestivum </w:t>
      </w:r>
      <w:r w:rsidRPr="00A43EA1">
        <w:rPr>
          <w:rFonts w:cs="Arial"/>
        </w:rPr>
        <w:t>L.) - 4</w:t>
      </w:r>
    </w:p>
    <w:p w14:paraId="35F916C7" w14:textId="77777777" w:rsidR="00424F87" w:rsidRPr="00A43EA1" w:rsidRDefault="00424F87" w:rsidP="00424F87"/>
    <w:p w14:paraId="2FEB9A23" w14:textId="77777777" w:rsidR="00424F87" w:rsidRPr="00A43EA1" w:rsidRDefault="00424F87" w:rsidP="00424F87">
      <w:pPr>
        <w:spacing w:line="360" w:lineRule="auto"/>
      </w:pPr>
      <w:r w:rsidRPr="00A43EA1">
        <w:t>4.</w:t>
      </w:r>
      <w:r w:rsidRPr="00A43EA1">
        <w:tab/>
      </w:r>
      <w:r w:rsidRPr="00A43EA1">
        <w:rPr>
          <w:u w:val="single"/>
        </w:rPr>
        <w:t>Lage auf dem Gebiet der Technik</w:t>
      </w:r>
    </w:p>
    <w:p w14:paraId="7C84F798" w14:textId="77777777" w:rsidR="00424F87" w:rsidRPr="00A43EA1" w:rsidRDefault="00424F87" w:rsidP="00424F87">
      <w:pPr>
        <w:ind w:left="567"/>
      </w:pPr>
      <w:r w:rsidRPr="00A43EA1">
        <w:t>Keine Änderungen.</w:t>
      </w:r>
    </w:p>
    <w:p w14:paraId="141B7BFB" w14:textId="77777777" w:rsidR="00424F87" w:rsidRPr="00A43EA1" w:rsidRDefault="00424F87" w:rsidP="00424F87"/>
    <w:p w14:paraId="7D70061A" w14:textId="77777777" w:rsidR="00424F87" w:rsidRPr="00A43EA1" w:rsidRDefault="00424F87" w:rsidP="00424F87"/>
    <w:p w14:paraId="4DA6FCF2"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1A42A02A" w14:textId="77777777" w:rsidR="00424F87" w:rsidRPr="00A43EA1" w:rsidRDefault="00424F87" w:rsidP="00424F87">
      <w:pPr>
        <w:rPr>
          <w:u w:val="single"/>
        </w:rPr>
      </w:pPr>
    </w:p>
    <w:p w14:paraId="09073358" w14:textId="062188C4" w:rsidR="00424F87" w:rsidRPr="00A43EA1" w:rsidRDefault="00424F87" w:rsidP="00424F87">
      <w:r w:rsidRPr="00A43EA1">
        <w:t xml:space="preserve">Das AGEPI unterhält regelmäßig die Website </w:t>
      </w:r>
      <w:hyperlink r:id="rId38" w:history="1">
        <w:r w:rsidR="006B0BE0" w:rsidRPr="005856D4">
          <w:rPr>
            <w:rStyle w:val="Hyperlink"/>
          </w:rPr>
          <w:t>www.agepi.gov.md</w:t>
        </w:r>
      </w:hyperlink>
      <w:r w:rsidRPr="00A43EA1">
        <w:t>,</w:t>
      </w:r>
      <w:r w:rsidR="006B0BE0">
        <w:t xml:space="preserve"> </w:t>
      </w:r>
      <w:r w:rsidRPr="00A43EA1">
        <w:t>auf der die nationalen Rechtsvorschriften auf dem Gebiet des Sortenschutzes sowie die Antragsformulare für ein Sortenpatent und nützliche damit zusammenhängende Informationen für Antragsteller und Züchter in rumänischer, russischer und englischer Sprache abgerufen werden können.</w:t>
      </w:r>
    </w:p>
    <w:p w14:paraId="74496067" w14:textId="77777777" w:rsidR="00424F87" w:rsidRPr="00A43EA1" w:rsidRDefault="00424F87" w:rsidP="00424F87"/>
    <w:p w14:paraId="3E043A6A" w14:textId="77777777" w:rsidR="00424F87" w:rsidRPr="00A43EA1" w:rsidRDefault="00424F87" w:rsidP="00424F87">
      <w:r w:rsidRPr="00A43EA1">
        <w:t>Informationsmaterial über den Sortenschutz wird im Rahmen der verschiedenen von AGEPI organisierten oder an AGEPI beteiligten Aktivitäten wie Seminaren, Sensibilisierungskampagnen und Ausstellungen verteilt.</w:t>
      </w:r>
    </w:p>
    <w:p w14:paraId="4341DD08" w14:textId="77777777" w:rsidR="00424F87" w:rsidRPr="00A43EA1" w:rsidRDefault="00424F87" w:rsidP="00424F87"/>
    <w:p w14:paraId="50C964A8" w14:textId="4E8158D9" w:rsidR="00424F87" w:rsidRPr="00A43EA1" w:rsidRDefault="00424F87" w:rsidP="00424F87">
      <w:r w:rsidRPr="00A43EA1">
        <w:t xml:space="preserve">Seit 2016 ist die Republik Moldau, vertreten durch AGEPI, ein teilnehmendes Mitglied des UPOV-Projekts zur Entwicklung eines elektronischen Antragsformulars UPOV PRISMA. Die entsprechenden Informationen über das Verfahren zum Schutz von Pflanzensorten unter Verwendung des elektronischen Antragsformulars UPOV PRISMA sind auf der Website </w:t>
      </w:r>
      <w:hyperlink r:id="rId39" w:history="1">
        <w:r w:rsidR="006B0BE0" w:rsidRPr="005856D4">
          <w:rPr>
            <w:rStyle w:val="Hyperlink"/>
          </w:rPr>
          <w:t>www.agepi.gov.md</w:t>
        </w:r>
      </w:hyperlink>
      <w:r w:rsidR="006B0BE0">
        <w:t xml:space="preserve"> </w:t>
      </w:r>
      <w:r w:rsidRPr="00A43EA1">
        <w:t xml:space="preserve">abrufbar. </w:t>
      </w:r>
    </w:p>
    <w:p w14:paraId="59275852" w14:textId="77777777" w:rsidR="00424F87" w:rsidRPr="00A43EA1" w:rsidRDefault="00424F87" w:rsidP="00424F87"/>
    <w:p w14:paraId="55743314" w14:textId="77777777" w:rsidR="00424F87" w:rsidRPr="00A43EA1" w:rsidRDefault="00424F87" w:rsidP="00424F87">
      <w:pPr>
        <w:jc w:val="left"/>
      </w:pPr>
    </w:p>
    <w:p w14:paraId="65D878AE" w14:textId="77777777" w:rsidR="00424F87" w:rsidRPr="00A43EA1" w:rsidRDefault="00424F87" w:rsidP="00424F87">
      <w:pPr>
        <w:jc w:val="left"/>
      </w:pPr>
    </w:p>
    <w:p w14:paraId="3C9A9310" w14:textId="7B80D107" w:rsidR="00424F87" w:rsidRPr="00A43EA1" w:rsidRDefault="00424F87" w:rsidP="00424F87">
      <w:pPr>
        <w:jc w:val="right"/>
      </w:pPr>
      <w:r w:rsidRPr="00A43EA1">
        <w:t>[</w:t>
      </w:r>
      <w:r w:rsidR="009E6E5A">
        <w:t>Anlage</w:t>
      </w:r>
      <w:r w:rsidRPr="00A43EA1">
        <w:t xml:space="preserve"> XV folgt]</w:t>
      </w:r>
    </w:p>
    <w:p w14:paraId="11089D37" w14:textId="77777777" w:rsidR="00424F87" w:rsidRPr="00A43EA1" w:rsidRDefault="00424F87" w:rsidP="00424F87"/>
    <w:p w14:paraId="1283F6A3" w14:textId="77777777" w:rsidR="00424F87" w:rsidRPr="00A43EA1" w:rsidRDefault="00424F87" w:rsidP="00424F87">
      <w:pPr>
        <w:sectPr w:rsidR="00424F87" w:rsidRPr="00A43EA1" w:rsidSect="000B2CE0">
          <w:headerReference w:type="default" r:id="rId40"/>
          <w:pgSz w:w="11907" w:h="16840" w:code="9"/>
          <w:pgMar w:top="510" w:right="1134" w:bottom="568" w:left="1134" w:header="510" w:footer="680" w:gutter="0"/>
          <w:pgNumType w:start="1"/>
          <w:cols w:space="720"/>
          <w:titlePg/>
        </w:sectPr>
      </w:pPr>
    </w:p>
    <w:p w14:paraId="6B9992C5" w14:textId="77777777" w:rsidR="00424F87" w:rsidRPr="00A43EA1" w:rsidRDefault="00424F87" w:rsidP="00424F87">
      <w:pPr>
        <w:jc w:val="center"/>
      </w:pPr>
      <w:r w:rsidRPr="00A43EA1">
        <w:lastRenderedPageBreak/>
        <w:t>C/57/13</w:t>
      </w:r>
    </w:p>
    <w:p w14:paraId="7DA07B4F" w14:textId="77777777" w:rsidR="00424F87" w:rsidRPr="00A43EA1" w:rsidRDefault="00424F87" w:rsidP="00424F87">
      <w:pPr>
        <w:jc w:val="center"/>
      </w:pPr>
    </w:p>
    <w:p w14:paraId="10A78DB3" w14:textId="25C590D7" w:rsidR="00424F87" w:rsidRPr="00A43EA1" w:rsidRDefault="009E6E5A" w:rsidP="00424F87">
      <w:pPr>
        <w:jc w:val="center"/>
      </w:pPr>
      <w:r>
        <w:t>ANLAGE</w:t>
      </w:r>
      <w:r w:rsidR="00424F87" w:rsidRPr="00A43EA1">
        <w:t xml:space="preserve"> XV</w:t>
      </w:r>
    </w:p>
    <w:p w14:paraId="06F3B338" w14:textId="77777777" w:rsidR="00424F87" w:rsidRPr="00A43EA1" w:rsidRDefault="00424F87" w:rsidP="00424F87">
      <w:pPr>
        <w:jc w:val="center"/>
      </w:pPr>
    </w:p>
    <w:p w14:paraId="4E2F1EBE" w14:textId="77777777" w:rsidR="00424F87" w:rsidRPr="00A43EA1" w:rsidRDefault="00424F87" w:rsidP="00424F87">
      <w:pPr>
        <w:jc w:val="center"/>
      </w:pPr>
    </w:p>
    <w:p w14:paraId="00BB5018" w14:textId="77777777" w:rsidR="00424F87" w:rsidRPr="00A43EA1" w:rsidRDefault="00424F87" w:rsidP="00424F87">
      <w:pPr>
        <w:jc w:val="center"/>
      </w:pPr>
      <w:r w:rsidRPr="00A43EA1">
        <w:t>VEREINIGTES KÖNIGREICH</w:t>
      </w:r>
    </w:p>
    <w:p w14:paraId="18A02A07" w14:textId="77777777" w:rsidR="00424F87" w:rsidRPr="00A43EA1" w:rsidRDefault="00424F87" w:rsidP="00424F87">
      <w:pPr>
        <w:jc w:val="center"/>
      </w:pPr>
      <w:r w:rsidRPr="00A43EA1">
        <w:t>(Originalsprache: englisch)</w:t>
      </w:r>
    </w:p>
    <w:p w14:paraId="5378FAAD" w14:textId="77777777" w:rsidR="00424F87" w:rsidRPr="00A43EA1" w:rsidRDefault="00424F87" w:rsidP="00424F87"/>
    <w:p w14:paraId="63359829"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56D22A46" w14:textId="77777777" w:rsidR="00424F87" w:rsidRPr="00A43EA1" w:rsidRDefault="00424F87" w:rsidP="00424F87">
      <w:r w:rsidRPr="00A43EA1">
        <w:t xml:space="preserve">I. </w:t>
      </w:r>
      <w:r w:rsidRPr="00A43EA1">
        <w:tab/>
        <w:t>SORTENSCHUTZ</w:t>
      </w:r>
    </w:p>
    <w:p w14:paraId="57ACAE9F" w14:textId="77777777" w:rsidR="00424F87" w:rsidRPr="00A43EA1" w:rsidRDefault="00424F87" w:rsidP="00424F87"/>
    <w:p w14:paraId="16B3F8E2" w14:textId="77777777" w:rsidR="00424F87" w:rsidRPr="00A43EA1" w:rsidRDefault="00424F87" w:rsidP="00424F87">
      <w:pPr>
        <w:tabs>
          <w:tab w:val="left" w:pos="567"/>
          <w:tab w:val="left" w:pos="1276"/>
        </w:tabs>
      </w:pPr>
      <w:r w:rsidRPr="00A43EA1">
        <w:t xml:space="preserve">1. </w:t>
      </w:r>
      <w:r w:rsidRPr="00A43EA1">
        <w:tab/>
      </w:r>
      <w:r w:rsidRPr="00A43EA1">
        <w:rPr>
          <w:u w:val="single"/>
        </w:rPr>
        <w:t>Lage auf dem Gebiet der Gesetzgebung</w:t>
      </w:r>
    </w:p>
    <w:p w14:paraId="115FB7E4" w14:textId="77777777" w:rsidR="00424F87" w:rsidRPr="00A43EA1" w:rsidRDefault="00424F87" w:rsidP="00424F87"/>
    <w:p w14:paraId="201E6BBD" w14:textId="6C681848" w:rsidR="00424F87" w:rsidRPr="00A43EA1" w:rsidRDefault="00424F87" w:rsidP="00424F87">
      <w:pPr>
        <w:spacing w:after="120"/>
      </w:pPr>
      <w:r w:rsidRPr="00A43EA1">
        <w:t>1.1</w:t>
      </w:r>
      <w:r w:rsidR="00A45671">
        <w:tab/>
      </w:r>
      <w:r w:rsidRPr="00A43EA1">
        <w:t>Änderungen des Gesetzes und der Durchführungsverordnungen</w:t>
      </w:r>
    </w:p>
    <w:p w14:paraId="4A17F731" w14:textId="77777777" w:rsidR="00424F87" w:rsidRPr="00A43EA1" w:rsidRDefault="00424F87" w:rsidP="00424F87">
      <w:pPr>
        <w:ind w:left="567"/>
      </w:pPr>
      <w:r w:rsidRPr="00A43EA1">
        <w:t>Nach zwei Jahren harter Arbeit aller Beteiligten dehnte das Vereinigte Königreich im April dieses Jahres den Geltungsbereich seiner Ratifizierung der Akte von 1991 des UPOV-Übereinkommens auf die Kronabhängigkeit der Isle of Man aus.</w:t>
      </w:r>
    </w:p>
    <w:p w14:paraId="14730239" w14:textId="77777777" w:rsidR="00424F87" w:rsidRPr="00A43EA1" w:rsidRDefault="00424F87" w:rsidP="00424F87"/>
    <w:p w14:paraId="1B28FC02" w14:textId="70786C7A" w:rsidR="00424F87" w:rsidRPr="00A43EA1" w:rsidRDefault="00424F87" w:rsidP="00424F87">
      <w:pPr>
        <w:pStyle w:val="BodyTextIndent2"/>
        <w:ind w:left="567" w:hanging="567"/>
        <w:rPr>
          <w:sz w:val="20"/>
          <w:szCs w:val="20"/>
        </w:rPr>
      </w:pPr>
      <w:r w:rsidRPr="00A43EA1">
        <w:rPr>
          <w:sz w:val="20"/>
          <w:szCs w:val="20"/>
        </w:rPr>
        <w:t>1.2</w:t>
      </w:r>
      <w:r w:rsidR="00A45671">
        <w:rPr>
          <w:sz w:val="20"/>
          <w:szCs w:val="20"/>
        </w:rPr>
        <w:tab/>
      </w:r>
      <w:r w:rsidRPr="00A43EA1">
        <w:rPr>
          <w:sz w:val="20"/>
          <w:szCs w:val="20"/>
        </w:rPr>
        <w:t>Ausdehnung des Schutzes auf weitere Gattungen und Arten (erfolgt oder geplant)</w:t>
      </w:r>
    </w:p>
    <w:p w14:paraId="0E588E27" w14:textId="77777777" w:rsidR="00424F87" w:rsidRPr="00A43EA1" w:rsidRDefault="00424F87" w:rsidP="00424F87">
      <w:pPr>
        <w:pStyle w:val="BodyTextIndent2"/>
        <w:ind w:left="0" w:firstLine="0"/>
        <w:rPr>
          <w:sz w:val="20"/>
          <w:szCs w:val="20"/>
        </w:rPr>
      </w:pPr>
    </w:p>
    <w:p w14:paraId="76523532" w14:textId="77777777" w:rsidR="00424F87" w:rsidRPr="00A43EA1" w:rsidRDefault="00424F87" w:rsidP="00424F87">
      <w:pPr>
        <w:pStyle w:val="BodyTextIndent2"/>
        <w:ind w:left="567" w:firstLine="1"/>
        <w:rPr>
          <w:sz w:val="20"/>
          <w:szCs w:val="20"/>
        </w:rPr>
      </w:pPr>
      <w:r w:rsidRPr="00A43EA1">
        <w:rPr>
          <w:sz w:val="20"/>
          <w:szCs w:val="20"/>
        </w:rPr>
        <w:t xml:space="preserve">Das Vereinigte Königreich hat damit begonnen, die Geltungsdauer der Züchterrechte für die Art Spargel und die Artengruppen Blumenzwiebeln, holzige Kleinfrüchte und holzige Zierpflanzen von 25 auf 30 Jahre zu verlängern.  Diese Arbeiten befinden sich noch im Anfangsstadium und werden voraussichtlich frühestens 2025 abgeschlossen sein. </w:t>
      </w:r>
    </w:p>
    <w:p w14:paraId="4ACFC6DC" w14:textId="77777777" w:rsidR="00424F87" w:rsidRPr="00A43EA1" w:rsidRDefault="00424F87" w:rsidP="00424F87">
      <w:pPr>
        <w:pStyle w:val="BodyTextIndent2"/>
        <w:ind w:left="425"/>
        <w:rPr>
          <w:sz w:val="20"/>
          <w:szCs w:val="20"/>
        </w:rPr>
      </w:pPr>
    </w:p>
    <w:p w14:paraId="200CBDF7" w14:textId="56E67AEE" w:rsidR="00424F87" w:rsidRPr="00A43EA1" w:rsidRDefault="00424F87" w:rsidP="00424F87">
      <w:pPr>
        <w:pStyle w:val="BodyTextIndent2"/>
        <w:ind w:left="567" w:hanging="567"/>
        <w:rPr>
          <w:sz w:val="20"/>
          <w:szCs w:val="20"/>
        </w:rPr>
      </w:pPr>
      <w:r w:rsidRPr="00A43EA1">
        <w:rPr>
          <w:sz w:val="20"/>
          <w:szCs w:val="20"/>
        </w:rPr>
        <w:t>1.3</w:t>
      </w:r>
      <w:r w:rsidR="00A45671">
        <w:rPr>
          <w:sz w:val="20"/>
          <w:szCs w:val="20"/>
        </w:rPr>
        <w:tab/>
      </w:r>
      <w:r w:rsidRPr="00A43EA1">
        <w:rPr>
          <w:sz w:val="20"/>
          <w:szCs w:val="20"/>
        </w:rPr>
        <w:t>Rechtsprechung</w:t>
      </w:r>
    </w:p>
    <w:p w14:paraId="23E0709E" w14:textId="77777777" w:rsidR="00424F87" w:rsidRPr="00A43EA1" w:rsidRDefault="00424F87" w:rsidP="00424F87">
      <w:pPr>
        <w:pStyle w:val="BodyTextIndent2"/>
        <w:ind w:left="425"/>
        <w:rPr>
          <w:sz w:val="20"/>
          <w:szCs w:val="20"/>
        </w:rPr>
      </w:pPr>
    </w:p>
    <w:p w14:paraId="744D269A" w14:textId="77777777" w:rsidR="00424F87" w:rsidRPr="00A43EA1" w:rsidRDefault="00424F87" w:rsidP="00424F87">
      <w:pPr>
        <w:pStyle w:val="BodyTextIndent2"/>
        <w:ind w:left="992"/>
        <w:rPr>
          <w:sz w:val="20"/>
          <w:szCs w:val="20"/>
        </w:rPr>
      </w:pPr>
      <w:r w:rsidRPr="00A43EA1">
        <w:rPr>
          <w:sz w:val="20"/>
          <w:szCs w:val="20"/>
        </w:rPr>
        <w:t>Es gibt nichts zu berichten.</w:t>
      </w:r>
    </w:p>
    <w:p w14:paraId="4ECECD8B" w14:textId="77777777" w:rsidR="00424F87" w:rsidRPr="00A43EA1" w:rsidRDefault="00424F87" w:rsidP="00424F87"/>
    <w:p w14:paraId="6EB0210A" w14:textId="77777777" w:rsidR="00424F87" w:rsidRPr="00A43EA1" w:rsidRDefault="00424F87" w:rsidP="00424F87">
      <w:r w:rsidRPr="00A43EA1">
        <w:t>2.</w:t>
      </w:r>
      <w:r w:rsidRPr="00A43EA1">
        <w:tab/>
      </w:r>
      <w:r w:rsidRPr="00A43EA1">
        <w:rPr>
          <w:u w:val="single"/>
        </w:rPr>
        <w:t>Zusammenarbeit bei der Prüfung</w:t>
      </w:r>
    </w:p>
    <w:p w14:paraId="75F06AC6" w14:textId="77777777" w:rsidR="00424F87" w:rsidRPr="00A43EA1" w:rsidRDefault="00424F87" w:rsidP="00424F87"/>
    <w:p w14:paraId="233D2EBC" w14:textId="77777777" w:rsidR="00424F87" w:rsidRPr="00A43EA1" w:rsidRDefault="00424F87" w:rsidP="00424F87">
      <w:pPr>
        <w:tabs>
          <w:tab w:val="left" w:pos="426"/>
          <w:tab w:val="left" w:pos="851"/>
        </w:tabs>
      </w:pPr>
      <w:r w:rsidRPr="00A43EA1">
        <w:t>Es gibt nichts zu berichten.</w:t>
      </w:r>
    </w:p>
    <w:p w14:paraId="7D369F0F" w14:textId="77777777" w:rsidR="00424F87" w:rsidRPr="00A43EA1" w:rsidRDefault="00424F87" w:rsidP="00424F87"/>
    <w:p w14:paraId="33810E91"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79189DEC" w14:textId="77777777" w:rsidR="00424F87" w:rsidRPr="00A43EA1" w:rsidRDefault="00424F87" w:rsidP="00424F87"/>
    <w:p w14:paraId="406F715A" w14:textId="71E020CE" w:rsidR="00424F87" w:rsidRPr="00A43EA1" w:rsidRDefault="00424F87" w:rsidP="00424F87">
      <w:r w:rsidRPr="00A43EA1">
        <w:t xml:space="preserve">Am 1. Juli 2023 erhöhte das Vereinigte Königreich seine Gebühren für die Sorteneintragung in Großbritannien und Nordirland sowie für Züchterrechte.  Die Dienstleistungen für Pflanzensorten und Saatgut stehen im Einklang mit der Gebührenpolitik der britischen Regierung </w:t>
      </w:r>
      <w:r w:rsidRPr="00A43EA1">
        <w:rPr>
          <w:color w:val="000000" w:themeColor="text1"/>
        </w:rPr>
        <w:t>(</w:t>
      </w:r>
      <w:r w:rsidRPr="00A43EA1">
        <w:t xml:space="preserve">Managing Public Money, HM Treasury, März 2022) und verfolgen daher einen Ansatz der vollständigen Kostendeckung, so dass die Kosten ordnungsgemäß von den Nutzern getragen werden, die von einer Dienstleistung profitieren.  Die Änderung der Gebühren spiegelt diese Politik wider und ist das Ergebnis einer sechswöchigen Befragung von Interessengruppen in Großbritannien und Nordirland.  Die Verwaltungskosten für einen kombinierten Antrag auf Sorteneintragung und Züchterrechte belaufen sich nun auf £598 (eine Erhöhung von £450), und eine VCU-Verwaltungsgebühr beträgt nun £173.  Weitere Informationen über die DUS-Gebühren für die verschiedenen Arten sind auf der Website der Regierung des Vereinigten Königreichs öffentlich zugänglich: </w:t>
      </w:r>
      <w:hyperlink r:id="rId41" w:history="1">
        <w:r w:rsidRPr="00A43EA1">
          <w:rPr>
            <w:rStyle w:val="Hyperlink"/>
          </w:rPr>
          <w:t>Gebühren für nationale Listen und Züchterrechte - GOV.UK (www.gov.uk)</w:t>
        </w:r>
      </w:hyperlink>
    </w:p>
    <w:p w14:paraId="0E5C6509" w14:textId="77777777" w:rsidR="00424F87" w:rsidRPr="00A43EA1" w:rsidRDefault="00424F87" w:rsidP="00424F87"/>
    <w:p w14:paraId="099CCDDC" w14:textId="77777777" w:rsidR="00424F87" w:rsidRPr="00A43EA1" w:rsidRDefault="00424F87" w:rsidP="00424F87">
      <w:r w:rsidRPr="00A43EA1">
        <w:t>4.</w:t>
      </w:r>
      <w:r w:rsidRPr="00A43EA1">
        <w:tab/>
      </w:r>
      <w:r w:rsidRPr="00A43EA1">
        <w:rPr>
          <w:u w:val="single"/>
        </w:rPr>
        <w:t>Lage auf dem Gebiet der Technik</w:t>
      </w:r>
    </w:p>
    <w:p w14:paraId="5F921E40" w14:textId="77777777" w:rsidR="00424F87" w:rsidRPr="00A43EA1" w:rsidRDefault="00424F87" w:rsidP="00424F87"/>
    <w:p w14:paraId="039F7956" w14:textId="77777777" w:rsidR="00424F87" w:rsidRPr="00A43EA1" w:rsidRDefault="00424F87" w:rsidP="00424F87">
      <w:r w:rsidRPr="00A43EA1">
        <w:t>Es gibt nichts zu berichten.</w:t>
      </w:r>
    </w:p>
    <w:p w14:paraId="17FE83EE" w14:textId="77777777" w:rsidR="00424F87" w:rsidRPr="00A43EA1" w:rsidRDefault="00424F87" w:rsidP="00424F87"/>
    <w:p w14:paraId="1A17F0F8"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238413B7" w14:textId="77777777" w:rsidR="00424F87" w:rsidRPr="00A43EA1" w:rsidRDefault="00424F87" w:rsidP="00424F87">
      <w:pPr>
        <w:rPr>
          <w:u w:val="single"/>
        </w:rPr>
      </w:pPr>
    </w:p>
    <w:p w14:paraId="1CF5211C" w14:textId="77777777" w:rsidR="00424F87" w:rsidRPr="00A43EA1" w:rsidRDefault="00424F87" w:rsidP="00424F87">
      <w:r w:rsidRPr="00A43EA1">
        <w:t>Es gibt nichts zu berichten.</w:t>
      </w:r>
    </w:p>
    <w:p w14:paraId="0303E98C" w14:textId="77777777" w:rsidR="00424F87" w:rsidRPr="00A43EA1" w:rsidRDefault="00424F87" w:rsidP="00424F87"/>
    <w:p w14:paraId="48234014" w14:textId="77777777" w:rsidR="00424F87" w:rsidRPr="00A43EA1" w:rsidRDefault="00424F87" w:rsidP="00424F87"/>
    <w:p w14:paraId="0B5E1D28" w14:textId="77777777" w:rsidR="00424F87" w:rsidRPr="00A43EA1" w:rsidRDefault="00424F87" w:rsidP="00424F87">
      <w:pPr>
        <w:rPr>
          <w:bCs/>
        </w:rPr>
      </w:pPr>
      <w:r w:rsidRPr="00A43EA1">
        <w:rPr>
          <w:bCs/>
        </w:rPr>
        <w:t>II.</w:t>
      </w:r>
      <w:r w:rsidRPr="00A43EA1">
        <w:rPr>
          <w:bCs/>
        </w:rPr>
        <w:tab/>
        <w:t>ANDERE ENTWICKLUNGEN, DIE FÜR DIE UPOV RELEVANT SIND</w:t>
      </w:r>
    </w:p>
    <w:p w14:paraId="34914280" w14:textId="77777777" w:rsidR="00424F87" w:rsidRPr="00A43EA1" w:rsidRDefault="00424F87" w:rsidP="00424F87">
      <w:pPr>
        <w:rPr>
          <w:bCs/>
        </w:rPr>
      </w:pPr>
    </w:p>
    <w:p w14:paraId="43B10077" w14:textId="77777777" w:rsidR="00424F87" w:rsidRPr="00A43EA1" w:rsidRDefault="00424F87" w:rsidP="00424F87">
      <w:pPr>
        <w:rPr>
          <w:rStyle w:val="eop"/>
          <w:rFonts w:cs="Arial"/>
        </w:rPr>
      </w:pPr>
      <w:r w:rsidRPr="00A43EA1">
        <w:rPr>
          <w:rFonts w:cs="Arial"/>
        </w:rPr>
        <w:t xml:space="preserve">England hat im März dieses Jahres den Genetic Technology (Precision Breeding) Act 2023 eingeführt.  Das Gesetz regelt die Freisetzung in die Umwelt und die Vermarktung von Pflanzen und Tieren, die durch moderne biotechnologische Verfahren wie das Gen-Editing entwickelt wurden, während die genetischen Veränderungen auch auf natürlichem Wege oder durch herkömmliche Zuchtmethoden hätten entstehen können.  </w:t>
      </w:r>
      <w:r w:rsidRPr="00A43EA1">
        <w:rPr>
          <w:rStyle w:val="normaltextrun"/>
          <w:rFonts w:cs="Arial"/>
        </w:rPr>
        <w:t>Die vier wichtigsten politischen Änderungen, die das Gesetz einführt, sind:</w:t>
      </w:r>
    </w:p>
    <w:p w14:paraId="786BB882" w14:textId="77777777" w:rsidR="00424F87" w:rsidRPr="00A43EA1" w:rsidRDefault="00424F87" w:rsidP="00424F87">
      <w:pPr>
        <w:rPr>
          <w:rFonts w:cs="Arial"/>
        </w:rPr>
      </w:pPr>
    </w:p>
    <w:p w14:paraId="579246EA" w14:textId="77777777" w:rsidR="00424F87" w:rsidRPr="00A43EA1" w:rsidRDefault="00424F87" w:rsidP="00424F87">
      <w:pPr>
        <w:ind w:left="567" w:hanging="567"/>
      </w:pPr>
      <w:r w:rsidRPr="00A43EA1">
        <w:lastRenderedPageBreak/>
        <w:t xml:space="preserve">(a) </w:t>
      </w:r>
      <w:r w:rsidRPr="00A43EA1">
        <w:tab/>
        <w:t>Ausschluss von präzisionsgezüchteten Pflanzen und Tieren aus den für gentechnisch veränderte Organismen geltenden Vorschriften (mit Ausnahme der Vorschriften für Mikroben, organische Stoffe und Anwendungen in geschlossenen Systemen).</w:t>
      </w:r>
    </w:p>
    <w:p w14:paraId="21B76A3B" w14:textId="77777777" w:rsidR="00424F87" w:rsidRPr="00A43EA1" w:rsidRDefault="00424F87" w:rsidP="00424F87">
      <w:pPr>
        <w:ind w:left="567" w:hanging="567"/>
      </w:pPr>
    </w:p>
    <w:p w14:paraId="14733081" w14:textId="77777777" w:rsidR="00424F87" w:rsidRPr="00A43EA1" w:rsidRDefault="00424F87" w:rsidP="00424F87">
      <w:pPr>
        <w:ind w:left="567" w:hanging="567"/>
      </w:pPr>
      <w:r w:rsidRPr="00A43EA1">
        <w:t xml:space="preserve">(b) </w:t>
      </w:r>
      <w:r w:rsidRPr="00A43EA1">
        <w:tab/>
        <w:t>Einführung von zwei Notifizierungssystemen für Forschungs- und Vermarktungszwecke, bei denen Züchter und Forscher Notifizierungen vornehmen müssen.</w:t>
      </w:r>
    </w:p>
    <w:p w14:paraId="22187AE4" w14:textId="77777777" w:rsidR="00424F87" w:rsidRPr="00A43EA1" w:rsidRDefault="00424F87" w:rsidP="00424F87">
      <w:pPr>
        <w:ind w:left="567" w:hanging="567"/>
      </w:pPr>
    </w:p>
    <w:p w14:paraId="202F2EE2" w14:textId="77777777" w:rsidR="00424F87" w:rsidRPr="00A43EA1" w:rsidRDefault="00424F87" w:rsidP="00424F87">
      <w:pPr>
        <w:ind w:left="567" w:hanging="567"/>
      </w:pPr>
      <w:r w:rsidRPr="00A43EA1">
        <w:t xml:space="preserve">(c) </w:t>
      </w:r>
      <w:r w:rsidRPr="00A43EA1">
        <w:tab/>
        <w:t>Einführung eines angemessenen Regulierungssystems für die Vermarktung von präzisionsgezüchteten Tieren, um den Schutz der Tiere zu gewährleisten.</w:t>
      </w:r>
    </w:p>
    <w:p w14:paraId="4D265477" w14:textId="77777777" w:rsidR="00424F87" w:rsidRPr="00A43EA1" w:rsidRDefault="00424F87" w:rsidP="00424F87">
      <w:pPr>
        <w:ind w:left="567" w:hanging="567"/>
      </w:pPr>
    </w:p>
    <w:p w14:paraId="52833431" w14:textId="77777777" w:rsidR="00424F87" w:rsidRPr="00A43EA1" w:rsidRDefault="00424F87" w:rsidP="00424F87">
      <w:pPr>
        <w:ind w:left="567" w:hanging="567"/>
      </w:pPr>
      <w:r w:rsidRPr="00A43EA1">
        <w:t xml:space="preserve">(d) </w:t>
      </w:r>
      <w:r w:rsidRPr="00A43EA1">
        <w:tab/>
        <w:t>Einführung eines neuen wissenschaftlich fundierten Zulassungsverfahrens für Futtermittel, die mit Hilfe von präzisionsgezüchteten Organismen entwickelt wurden.</w:t>
      </w:r>
    </w:p>
    <w:p w14:paraId="0E762946" w14:textId="77777777" w:rsidR="00424F87" w:rsidRPr="00A43EA1" w:rsidRDefault="00424F87" w:rsidP="00424F87"/>
    <w:p w14:paraId="661A245D" w14:textId="77777777" w:rsidR="00424F87" w:rsidRPr="00A43EA1" w:rsidRDefault="00424F87" w:rsidP="00A45671">
      <w:pPr>
        <w:pStyle w:val="paragraph"/>
        <w:spacing w:before="0" w:beforeAutospacing="0" w:after="0" w:afterAutospacing="0"/>
        <w:jc w:val="both"/>
        <w:textAlignment w:val="baseline"/>
        <w:rPr>
          <w:rStyle w:val="eop"/>
          <w:rFonts w:ascii="Arial" w:hAnsi="Arial" w:cs="Arial"/>
          <w:sz w:val="20"/>
          <w:szCs w:val="20"/>
          <w:lang w:val="de-DE"/>
        </w:rPr>
      </w:pPr>
      <w:r w:rsidRPr="00A43EA1">
        <w:rPr>
          <w:rStyle w:val="eop"/>
          <w:rFonts w:ascii="Arial" w:hAnsi="Arial" w:cs="Arial"/>
          <w:sz w:val="20"/>
          <w:szCs w:val="20"/>
          <w:lang w:val="de-DE"/>
        </w:rPr>
        <w:t xml:space="preserve">Die Einführung dieses Gesetzes wird schrittweise erfolgen, und es wird bereits daran gearbeitet, dass der kommerzielle Anbau von Präzisionsbrotpflanzen bzw. der Verkauf von präzisionsgezüchteten Lebensmitteln in naher Zukunft möglich ist. </w:t>
      </w:r>
    </w:p>
    <w:p w14:paraId="13F1FDFF" w14:textId="77777777" w:rsidR="00424F87" w:rsidRPr="00A43EA1" w:rsidRDefault="00424F87" w:rsidP="00424F87"/>
    <w:p w14:paraId="45A9DCEE" w14:textId="77777777" w:rsidR="00424F87" w:rsidRPr="00A43EA1" w:rsidRDefault="00424F87" w:rsidP="00424F87"/>
    <w:p w14:paraId="208D6044" w14:textId="77777777" w:rsidR="00424F87" w:rsidRPr="00A43EA1" w:rsidRDefault="00424F87" w:rsidP="00424F87"/>
    <w:p w14:paraId="6AB2E751" w14:textId="05B96EEE" w:rsidR="00424F87" w:rsidRPr="00A43EA1" w:rsidRDefault="00424F87" w:rsidP="00424F87">
      <w:pPr>
        <w:jc w:val="right"/>
      </w:pPr>
      <w:r w:rsidRPr="00A43EA1">
        <w:t>[</w:t>
      </w:r>
      <w:r w:rsidR="009E6E5A">
        <w:t>Anlage</w:t>
      </w:r>
      <w:r w:rsidRPr="00A43EA1">
        <w:t xml:space="preserve"> XVI folgt]</w:t>
      </w:r>
    </w:p>
    <w:p w14:paraId="6C610DBA" w14:textId="77777777" w:rsidR="00424F87" w:rsidRPr="00A43EA1" w:rsidRDefault="00424F87" w:rsidP="00424F87"/>
    <w:p w14:paraId="625889B6" w14:textId="77777777" w:rsidR="00424F87" w:rsidRPr="00A43EA1" w:rsidRDefault="00424F87" w:rsidP="00424F87"/>
    <w:p w14:paraId="79A7EFBE" w14:textId="77777777" w:rsidR="00424F87" w:rsidRPr="00A43EA1" w:rsidRDefault="00424F87" w:rsidP="00424F87">
      <w:pPr>
        <w:jc w:val="center"/>
        <w:sectPr w:rsidR="00424F87" w:rsidRPr="00A43EA1" w:rsidSect="0063031C">
          <w:headerReference w:type="default" r:id="rId42"/>
          <w:pgSz w:w="11907" w:h="16840" w:code="9"/>
          <w:pgMar w:top="510" w:right="1134" w:bottom="709" w:left="1134" w:header="510" w:footer="680" w:gutter="0"/>
          <w:pgNumType w:start="1"/>
          <w:cols w:space="720"/>
          <w:titlePg/>
        </w:sectPr>
      </w:pPr>
    </w:p>
    <w:p w14:paraId="3AA54A0E" w14:textId="77777777" w:rsidR="00424F87" w:rsidRPr="00A43EA1" w:rsidRDefault="00424F87" w:rsidP="00424F87">
      <w:pPr>
        <w:jc w:val="center"/>
      </w:pPr>
      <w:r w:rsidRPr="00A43EA1">
        <w:lastRenderedPageBreak/>
        <w:t>C/57/13</w:t>
      </w:r>
    </w:p>
    <w:p w14:paraId="7216C2A4" w14:textId="77777777" w:rsidR="00424F87" w:rsidRPr="00A43EA1" w:rsidRDefault="00424F87" w:rsidP="00424F87">
      <w:pPr>
        <w:jc w:val="center"/>
      </w:pPr>
    </w:p>
    <w:p w14:paraId="6E35F953" w14:textId="1AA77F14" w:rsidR="00424F87" w:rsidRPr="00A43EA1" w:rsidRDefault="009E6E5A" w:rsidP="00424F87">
      <w:pPr>
        <w:jc w:val="center"/>
      </w:pPr>
      <w:r>
        <w:t>ANLAGE</w:t>
      </w:r>
      <w:r w:rsidR="00424F87" w:rsidRPr="00A43EA1">
        <w:t xml:space="preserve"> XVI</w:t>
      </w:r>
    </w:p>
    <w:p w14:paraId="27AAC6C9" w14:textId="77777777" w:rsidR="00424F87" w:rsidRPr="00A43EA1" w:rsidRDefault="00424F87" w:rsidP="00424F87">
      <w:pPr>
        <w:jc w:val="center"/>
      </w:pPr>
    </w:p>
    <w:p w14:paraId="5D98DA92" w14:textId="77777777" w:rsidR="00424F87" w:rsidRPr="00A43EA1" w:rsidRDefault="00424F87" w:rsidP="00424F87">
      <w:pPr>
        <w:jc w:val="center"/>
      </w:pPr>
    </w:p>
    <w:p w14:paraId="4C05ECCE" w14:textId="77777777" w:rsidR="00424F87" w:rsidRPr="00A43EA1" w:rsidRDefault="00424F87" w:rsidP="00424F87">
      <w:pPr>
        <w:jc w:val="center"/>
      </w:pPr>
      <w:r w:rsidRPr="00A43EA1">
        <w:t>SERBIEN</w:t>
      </w:r>
    </w:p>
    <w:p w14:paraId="1A1B4A84" w14:textId="77777777" w:rsidR="00424F87" w:rsidRPr="00A43EA1" w:rsidRDefault="00424F87" w:rsidP="00424F87">
      <w:pPr>
        <w:jc w:val="center"/>
      </w:pPr>
      <w:r w:rsidRPr="00A43EA1">
        <w:t>(Originalsprache: englisch)</w:t>
      </w:r>
    </w:p>
    <w:p w14:paraId="240679D4" w14:textId="77777777" w:rsidR="00424F87" w:rsidRPr="00A43EA1" w:rsidRDefault="00424F87" w:rsidP="00424F87"/>
    <w:p w14:paraId="277C859F" w14:textId="77777777" w:rsidR="00424F87" w:rsidRPr="00A43EA1" w:rsidRDefault="00424F87" w:rsidP="00C56878">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1A5A658B" w14:textId="77777777" w:rsidR="00424F87" w:rsidRPr="00A43EA1" w:rsidRDefault="00424F87" w:rsidP="00424F87">
      <w:pPr>
        <w:pStyle w:val="BodyText3"/>
        <w:jc w:val="center"/>
        <w:rPr>
          <w:rFonts w:cs="Arial"/>
          <w:sz w:val="20"/>
          <w:szCs w:val="20"/>
          <w:lang w:val="de-DE"/>
        </w:rPr>
      </w:pPr>
      <w:r w:rsidRPr="00A43EA1">
        <w:rPr>
          <w:rFonts w:cs="Arial"/>
          <w:sz w:val="20"/>
          <w:szCs w:val="20"/>
          <w:lang w:val="de-DE"/>
        </w:rPr>
        <w:t>(September 2022 - September 2023)</w:t>
      </w:r>
    </w:p>
    <w:p w14:paraId="18F63CA5" w14:textId="77777777" w:rsidR="00424F87" w:rsidRPr="00A43EA1" w:rsidRDefault="00424F87" w:rsidP="00424F87"/>
    <w:p w14:paraId="398153CB" w14:textId="77777777" w:rsidR="00424F87" w:rsidRPr="00A43EA1" w:rsidRDefault="00424F87" w:rsidP="00424F87"/>
    <w:p w14:paraId="31786205" w14:textId="77777777" w:rsidR="00424F87" w:rsidRPr="00A43EA1" w:rsidRDefault="00424F87" w:rsidP="00424F87">
      <w:r w:rsidRPr="00A43EA1">
        <w:t xml:space="preserve">I. </w:t>
      </w:r>
      <w:r w:rsidRPr="00A43EA1">
        <w:tab/>
        <w:t>SORTENSCHUTZ</w:t>
      </w:r>
    </w:p>
    <w:p w14:paraId="72553A65" w14:textId="77777777" w:rsidR="00424F87" w:rsidRPr="00A43EA1" w:rsidRDefault="00424F87" w:rsidP="00424F87"/>
    <w:p w14:paraId="4AAE3A10" w14:textId="77777777" w:rsidR="00424F87" w:rsidRPr="00A43EA1" w:rsidRDefault="00424F87" w:rsidP="00424F87">
      <w:r w:rsidRPr="00A43EA1">
        <w:t xml:space="preserve">1. </w:t>
      </w:r>
      <w:r w:rsidRPr="00A43EA1">
        <w:tab/>
      </w:r>
      <w:r w:rsidRPr="00A43EA1">
        <w:rPr>
          <w:u w:val="single"/>
        </w:rPr>
        <w:t>Lage auf dem Gebiet der Gesetzgebung</w:t>
      </w:r>
    </w:p>
    <w:p w14:paraId="18F65DF1" w14:textId="77777777" w:rsidR="00424F87" w:rsidRPr="00A43EA1" w:rsidRDefault="00424F87" w:rsidP="00424F87"/>
    <w:p w14:paraId="3E7EB021" w14:textId="23F6249D" w:rsidR="00424F87" w:rsidRPr="00A43EA1" w:rsidRDefault="00424F87" w:rsidP="00424F87">
      <w:pPr>
        <w:spacing w:after="120"/>
      </w:pPr>
      <w:r w:rsidRPr="00A43EA1">
        <w:tab/>
        <w:t>1.1</w:t>
      </w:r>
      <w:r w:rsidR="00CA5438">
        <w:tab/>
      </w:r>
      <w:r w:rsidRPr="00A43EA1">
        <w:t>Änderungen des Gesetzes und der Durchführungsverordnungen</w:t>
      </w:r>
    </w:p>
    <w:p w14:paraId="1D37CA11" w14:textId="77777777" w:rsidR="00424F87" w:rsidRPr="00A43EA1" w:rsidRDefault="00424F87" w:rsidP="00424F87">
      <w:pPr>
        <w:ind w:left="1134"/>
        <w:rPr>
          <w:rFonts w:cs="Arial"/>
        </w:rPr>
      </w:pPr>
      <w:r w:rsidRPr="00A43EA1">
        <w:rPr>
          <w:rFonts w:cs="Arial"/>
        </w:rPr>
        <w:t>Es wurden keine Änderungen vorgenommen.</w:t>
      </w:r>
    </w:p>
    <w:p w14:paraId="004FAD1F" w14:textId="77777777" w:rsidR="00424F87" w:rsidRPr="00A43EA1" w:rsidRDefault="00424F87" w:rsidP="00424F87">
      <w:pPr>
        <w:ind w:left="851"/>
      </w:pPr>
    </w:p>
    <w:p w14:paraId="0BB1218E" w14:textId="34E75E3F" w:rsidR="00424F87" w:rsidRPr="00A43EA1" w:rsidRDefault="00424F87" w:rsidP="00424F87">
      <w:pPr>
        <w:spacing w:after="120"/>
        <w:ind w:left="851"/>
      </w:pPr>
      <w:r w:rsidRPr="00A43EA1">
        <w:t>-</w:t>
      </w:r>
      <w:r w:rsidR="00CA5438">
        <w:tab/>
      </w:r>
      <w:r w:rsidRPr="00A43EA1">
        <w:t>sonstige Änderungen, auch in Bezug auf die Gebühren</w:t>
      </w:r>
    </w:p>
    <w:p w14:paraId="25610D45" w14:textId="77777777" w:rsidR="00424F87" w:rsidRPr="00A43EA1" w:rsidRDefault="00424F87" w:rsidP="00424F87">
      <w:pPr>
        <w:pStyle w:val="BodyTextIndent2"/>
        <w:ind w:left="1134" w:firstLine="0"/>
        <w:rPr>
          <w:sz w:val="20"/>
          <w:szCs w:val="20"/>
        </w:rPr>
      </w:pPr>
      <w:r w:rsidRPr="00A43EA1">
        <w:rPr>
          <w:sz w:val="20"/>
          <w:szCs w:val="20"/>
        </w:rPr>
        <w:t xml:space="preserve">Neue Gebühren im Zusammenhang mit Züchterrechten sind im Gesetz über Verwaltungsgebühren ("Amtsblatt der RS", Nr. </w:t>
      </w:r>
      <w:r w:rsidRPr="00A43EA1">
        <w:rPr>
          <w:rFonts w:cs="Arial"/>
          <w:sz w:val="20"/>
          <w:szCs w:val="20"/>
        </w:rPr>
        <w:t xml:space="preserve">54/23 - konsolidierter Text) </w:t>
      </w:r>
      <w:r w:rsidRPr="00A43EA1">
        <w:rPr>
          <w:sz w:val="20"/>
          <w:szCs w:val="20"/>
        </w:rPr>
        <w:t>veröffentlicht</w:t>
      </w:r>
      <w:r w:rsidRPr="00A43EA1">
        <w:rPr>
          <w:rFonts w:cs="Arial"/>
          <w:sz w:val="20"/>
          <w:szCs w:val="20"/>
        </w:rPr>
        <w:t xml:space="preserve">, </w:t>
      </w:r>
      <w:r w:rsidRPr="00A43EA1">
        <w:rPr>
          <w:sz w:val="20"/>
          <w:szCs w:val="20"/>
        </w:rPr>
        <w:t>die seit dem 1. Juli 2023 in Kraft sind.</w:t>
      </w:r>
    </w:p>
    <w:p w14:paraId="1746D944" w14:textId="77777777" w:rsidR="00424F87" w:rsidRPr="00A43EA1" w:rsidRDefault="00424F87" w:rsidP="00424F87">
      <w:pPr>
        <w:pStyle w:val="BodyTextIndent2"/>
        <w:ind w:left="850"/>
        <w:rPr>
          <w:sz w:val="20"/>
          <w:szCs w:val="20"/>
        </w:rPr>
      </w:pPr>
    </w:p>
    <w:p w14:paraId="1409BBB1" w14:textId="2B176E1B" w:rsidR="00424F87" w:rsidRPr="00A43EA1" w:rsidRDefault="00424F87" w:rsidP="00424F87">
      <w:pPr>
        <w:spacing w:after="120"/>
        <w:ind w:firstLine="567"/>
      </w:pPr>
      <w:r w:rsidRPr="00A43EA1">
        <w:t>1.2</w:t>
      </w:r>
      <w:r w:rsidR="00CA5438">
        <w:tab/>
      </w:r>
      <w:r w:rsidRPr="00A43EA1">
        <w:t>Ausdehnung des Schutzes auf weitere Gattungen und Arten (erfolgt oder geplant)</w:t>
      </w:r>
    </w:p>
    <w:p w14:paraId="5472370D" w14:textId="77777777" w:rsidR="00424F87" w:rsidRPr="00A43EA1" w:rsidRDefault="00424F87" w:rsidP="00424F87">
      <w:pPr>
        <w:ind w:left="1134"/>
        <w:rPr>
          <w:rFonts w:cs="Arial"/>
        </w:rPr>
      </w:pPr>
      <w:r w:rsidRPr="00A43EA1">
        <w:rPr>
          <w:rFonts w:cs="Arial"/>
        </w:rPr>
        <w:t>Alle Pflanzengattungen und -arten unterliegen dem Schutz nach dem Gesetz über den Schutz der Züchterrechte (Amtsblatt der RS", Nr. 41/2009 und 88/2011).</w:t>
      </w:r>
    </w:p>
    <w:p w14:paraId="3CB6C354" w14:textId="77777777" w:rsidR="00424F87" w:rsidRPr="00A43EA1" w:rsidRDefault="00424F87" w:rsidP="00424F87"/>
    <w:p w14:paraId="4A704854" w14:textId="77777777" w:rsidR="00424F87" w:rsidRPr="00A43EA1" w:rsidRDefault="00424F87" w:rsidP="00424F87"/>
    <w:p w14:paraId="50939E0C" w14:textId="77777777" w:rsidR="00424F87" w:rsidRPr="00A43EA1" w:rsidRDefault="00424F87" w:rsidP="00424F87">
      <w:r w:rsidRPr="00A43EA1">
        <w:t>2.</w:t>
      </w:r>
      <w:r w:rsidRPr="00A43EA1">
        <w:tab/>
      </w:r>
      <w:r w:rsidRPr="00A43EA1">
        <w:rPr>
          <w:u w:val="single"/>
        </w:rPr>
        <w:t>Zusammenarbeit bei der Prüfung</w:t>
      </w:r>
    </w:p>
    <w:p w14:paraId="4A2322E7" w14:textId="77777777" w:rsidR="00424F87" w:rsidRPr="00A43EA1" w:rsidRDefault="00424F87" w:rsidP="00424F87"/>
    <w:p w14:paraId="40FECB04"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09BF1CCB" w14:textId="77777777" w:rsidR="00424F87" w:rsidRPr="00A43EA1" w:rsidRDefault="00424F87" w:rsidP="00424F87"/>
    <w:p w14:paraId="03C03E0A" w14:textId="3CE7C5C5" w:rsidR="00424F87" w:rsidRPr="00A43EA1" w:rsidRDefault="00424F87" w:rsidP="00424F87">
      <w:pPr>
        <w:ind w:left="851" w:hanging="425"/>
      </w:pPr>
      <w:r w:rsidRPr="00A43EA1">
        <w:t>-</w:t>
      </w:r>
      <w:r w:rsidR="00CA5438">
        <w:tab/>
      </w:r>
      <w:r w:rsidRPr="00A43EA1">
        <w:t>Änderungen in der Verwaltungsstruktur</w:t>
      </w:r>
    </w:p>
    <w:p w14:paraId="0118B225" w14:textId="77777777" w:rsidR="00424F87" w:rsidRPr="00A43EA1" w:rsidRDefault="00424F87" w:rsidP="00424F87">
      <w:pPr>
        <w:ind w:left="851" w:hanging="425"/>
      </w:pPr>
    </w:p>
    <w:p w14:paraId="2B76E4DF" w14:textId="77777777" w:rsidR="00424F87" w:rsidRPr="00A43EA1" w:rsidRDefault="00424F87" w:rsidP="00424F87">
      <w:pPr>
        <w:spacing w:line="276" w:lineRule="auto"/>
        <w:ind w:left="851"/>
        <w:rPr>
          <w:rFonts w:cs="Arial"/>
        </w:rPr>
      </w:pPr>
      <w:r w:rsidRPr="00A43EA1">
        <w:rPr>
          <w:rFonts w:cs="Arial"/>
        </w:rPr>
        <w:t>In der Verwaltungsstruktur gab es keine Änderungen.</w:t>
      </w:r>
    </w:p>
    <w:p w14:paraId="0B371808" w14:textId="77777777" w:rsidR="00424F87" w:rsidRPr="00A43EA1" w:rsidRDefault="00424F87" w:rsidP="00424F87">
      <w:pPr>
        <w:spacing w:line="276" w:lineRule="auto"/>
        <w:rPr>
          <w:rFonts w:cs="Arial"/>
        </w:rPr>
      </w:pPr>
    </w:p>
    <w:p w14:paraId="5BA1A1CA" w14:textId="77777777" w:rsidR="00424F87" w:rsidRPr="00A43EA1" w:rsidRDefault="00424F87" w:rsidP="00424F87">
      <w:pPr>
        <w:rPr>
          <w:rFonts w:cs="Arial"/>
        </w:rPr>
      </w:pPr>
      <w:r w:rsidRPr="00A43EA1">
        <w:rPr>
          <w:rFonts w:cs="Arial"/>
        </w:rPr>
        <w:t>Das Ministerium für Land-, Forst- und Wasserwirtschaft - Direktion für Pflanzenschutz ist die zuständige Behörde für den Schutz der Pflanzenzüchterrechte in der Republik Serbien. Die Pflanzenschutzdirektion nimmt auch Aufgaben in folgenden Bereichen wahr: Schutz von Pflanzen gegen Schadorganismen; Zulassung und Kontrolle von Pflanzenschutz- und Pflanzenernährungsprodukten; Eintragung von Pflanzensorten in die nationale Liste; biologische Sicherheit (GVO); phytosanitäre Inspektionen. Innerhalb der Direktion für Pflanzenschutz nimmt die Gruppe für Sortenschutz und biologische Sicherheit Verwaltungsverfahren im Zusammenhang mit den Bestimmungen des Gesetzes über den Schutz der Züchterrechte und die Erteilung von Züchterrechten sowie Aufgaben im Zusammenhang mit der biologischen Sicherheit (GVO) wahr.</w:t>
      </w:r>
    </w:p>
    <w:p w14:paraId="62C8B163" w14:textId="77777777" w:rsidR="00424F87" w:rsidRPr="00A43EA1" w:rsidRDefault="00424F87" w:rsidP="00424F87"/>
    <w:p w14:paraId="484A13CF" w14:textId="229AE6BE" w:rsidR="00424F87" w:rsidRPr="00A43EA1" w:rsidRDefault="00424F87" w:rsidP="00424F87">
      <w:pPr>
        <w:ind w:left="851" w:hanging="425"/>
      </w:pPr>
      <w:r w:rsidRPr="00A43EA1">
        <w:t>-</w:t>
      </w:r>
      <w:r w:rsidR="00CA5438">
        <w:tab/>
      </w:r>
      <w:r w:rsidRPr="00A43EA1">
        <w:t>Änderungen der Büroverfahren und -systeme</w:t>
      </w:r>
    </w:p>
    <w:p w14:paraId="5CE6B4CE" w14:textId="77777777" w:rsidR="00424F87" w:rsidRPr="00A43EA1" w:rsidRDefault="00424F87" w:rsidP="00424F87">
      <w:pPr>
        <w:ind w:left="851" w:hanging="425"/>
      </w:pPr>
    </w:p>
    <w:p w14:paraId="19B31D0D" w14:textId="77777777" w:rsidR="00424F87" w:rsidRPr="00A43EA1" w:rsidRDefault="00424F87" w:rsidP="00424F87">
      <w:pPr>
        <w:ind w:left="851"/>
        <w:rPr>
          <w:rFonts w:cs="Arial"/>
        </w:rPr>
      </w:pPr>
      <w:r w:rsidRPr="00A43EA1">
        <w:rPr>
          <w:rFonts w:cs="Arial"/>
        </w:rPr>
        <w:t>Es wurden keine Änderungen vorgenommen.</w:t>
      </w:r>
    </w:p>
    <w:p w14:paraId="076E49E0" w14:textId="77777777" w:rsidR="00424F87" w:rsidRPr="00A43EA1" w:rsidRDefault="00424F87" w:rsidP="00424F87"/>
    <w:p w14:paraId="2D14DB29" w14:textId="77777777" w:rsidR="00424F87" w:rsidRPr="00A43EA1" w:rsidRDefault="00424F87" w:rsidP="00424F87"/>
    <w:p w14:paraId="142883FF" w14:textId="77777777" w:rsidR="00424F87" w:rsidRPr="00A43EA1" w:rsidRDefault="00424F87" w:rsidP="00424F87">
      <w:pPr>
        <w:spacing w:line="360" w:lineRule="auto"/>
      </w:pPr>
      <w:r w:rsidRPr="00A43EA1">
        <w:t>4.</w:t>
      </w:r>
      <w:r w:rsidRPr="00A43EA1">
        <w:tab/>
      </w:r>
      <w:r w:rsidRPr="00A43EA1">
        <w:rPr>
          <w:u w:val="single"/>
        </w:rPr>
        <w:t>Lage auf dem Gebiet der Technik</w:t>
      </w:r>
    </w:p>
    <w:p w14:paraId="715C87C7" w14:textId="77777777" w:rsidR="00424F87" w:rsidRPr="00A43EA1" w:rsidRDefault="00424F87" w:rsidP="00424F87">
      <w:pPr>
        <w:pStyle w:val="ListParagraph"/>
        <w:widowControl w:val="0"/>
        <w:tabs>
          <w:tab w:val="left" w:pos="990"/>
        </w:tabs>
        <w:overflowPunct w:val="0"/>
        <w:adjustRightInd w:val="0"/>
        <w:ind w:left="0"/>
        <w:rPr>
          <w:rFonts w:cs="Arial"/>
          <w:kern w:val="28"/>
          <w:szCs w:val="20"/>
          <w:lang w:val="de-DE"/>
        </w:rPr>
      </w:pPr>
      <w:r w:rsidRPr="00A43EA1">
        <w:rPr>
          <w:rFonts w:cs="Arial"/>
          <w:szCs w:val="20"/>
          <w:lang w:val="de-DE"/>
        </w:rPr>
        <w:t>Von September 2022 bis September 2023 wurden auf der Grundlage der Ergebnisse der Sortenprüfung und der Vorschläge des Sachverständigenrates für den Schutz von Züchterrechten, eines besonderen Fachgremiums des Ministeriums für Land-, Forst- und Wasserwirtschaft - Direktion für Pflanzenschutz, für 30 Pflanzensorten Züchterrechte erteilt.</w:t>
      </w:r>
    </w:p>
    <w:p w14:paraId="05D1DBB3" w14:textId="77777777" w:rsidR="00424F87" w:rsidRPr="00A43EA1" w:rsidRDefault="00424F87" w:rsidP="00424F87"/>
    <w:p w14:paraId="5EE625FC" w14:textId="77777777" w:rsidR="00424F87" w:rsidRPr="00A43EA1" w:rsidRDefault="00424F87" w:rsidP="00424F87">
      <w:pPr>
        <w:spacing w:line="276" w:lineRule="auto"/>
        <w:rPr>
          <w:rFonts w:cs="Arial"/>
          <w:spacing w:val="-2"/>
        </w:rPr>
      </w:pPr>
      <w:r w:rsidRPr="00A43EA1">
        <w:rPr>
          <w:rFonts w:cs="Arial"/>
          <w:spacing w:val="-2"/>
        </w:rPr>
        <w:t>Serbien beteiligt sich am UPOV PRISMA Tool für die Züchterrechtsanmeldung.</w:t>
      </w:r>
    </w:p>
    <w:p w14:paraId="3E4C2B15" w14:textId="77777777" w:rsidR="00424F87" w:rsidRPr="00A43EA1" w:rsidRDefault="00424F87" w:rsidP="00424F87">
      <w:pPr>
        <w:pStyle w:val="ListParagraph"/>
        <w:widowControl w:val="0"/>
        <w:tabs>
          <w:tab w:val="left" w:pos="990"/>
        </w:tabs>
        <w:overflowPunct w:val="0"/>
        <w:adjustRightInd w:val="0"/>
        <w:ind w:left="0"/>
        <w:rPr>
          <w:rFonts w:cs="Arial"/>
          <w:szCs w:val="20"/>
          <w:lang w:val="de-DE"/>
        </w:rPr>
      </w:pPr>
    </w:p>
    <w:p w14:paraId="0B1DAC1C" w14:textId="77777777" w:rsidR="00424F87" w:rsidRPr="00A43EA1" w:rsidRDefault="00424F87" w:rsidP="00424F87">
      <w:pPr>
        <w:jc w:val="left"/>
      </w:pPr>
    </w:p>
    <w:p w14:paraId="0C605BBB" w14:textId="77777777" w:rsidR="00424F87" w:rsidRPr="00A43EA1" w:rsidRDefault="00424F87" w:rsidP="00424F87">
      <w:pPr>
        <w:jc w:val="left"/>
      </w:pPr>
    </w:p>
    <w:p w14:paraId="46B818D9" w14:textId="2B92C823" w:rsidR="00424F87" w:rsidRPr="00A43EA1" w:rsidRDefault="00424F87" w:rsidP="00CA5438">
      <w:pPr>
        <w:jc w:val="right"/>
      </w:pPr>
      <w:r w:rsidRPr="00A43EA1">
        <w:t>[</w:t>
      </w:r>
      <w:r w:rsidR="009E6E5A">
        <w:t>Anlage</w:t>
      </w:r>
      <w:r w:rsidRPr="00A43EA1">
        <w:t xml:space="preserve"> XVII folgt]</w:t>
      </w:r>
    </w:p>
    <w:p w14:paraId="1F9E13D3" w14:textId="77777777" w:rsidR="00424F87" w:rsidRPr="00A43EA1" w:rsidRDefault="00424F87" w:rsidP="00424F87">
      <w:pPr>
        <w:jc w:val="center"/>
        <w:sectPr w:rsidR="00424F87" w:rsidRPr="00A43EA1" w:rsidSect="0063031C">
          <w:pgSz w:w="11907" w:h="16840" w:code="9"/>
          <w:pgMar w:top="510" w:right="1134" w:bottom="709" w:left="1134" w:header="510" w:footer="680" w:gutter="0"/>
          <w:pgNumType w:start="1"/>
          <w:cols w:space="720"/>
          <w:titlePg/>
        </w:sectPr>
      </w:pPr>
    </w:p>
    <w:p w14:paraId="0E6B5B13" w14:textId="77777777" w:rsidR="00424F87" w:rsidRPr="00A43EA1" w:rsidRDefault="00424F87" w:rsidP="00424F87">
      <w:pPr>
        <w:jc w:val="center"/>
      </w:pPr>
      <w:r w:rsidRPr="00A43EA1">
        <w:lastRenderedPageBreak/>
        <w:t>C/57/13</w:t>
      </w:r>
    </w:p>
    <w:p w14:paraId="47919E13" w14:textId="77777777" w:rsidR="00424F87" w:rsidRPr="00A43EA1" w:rsidRDefault="00424F87" w:rsidP="00424F87">
      <w:pPr>
        <w:jc w:val="center"/>
      </w:pPr>
    </w:p>
    <w:p w14:paraId="386A2541" w14:textId="1B386F94" w:rsidR="00424F87" w:rsidRPr="00A43EA1" w:rsidRDefault="009E6E5A" w:rsidP="00424F87">
      <w:pPr>
        <w:jc w:val="center"/>
      </w:pPr>
      <w:r>
        <w:t>ANLAGE</w:t>
      </w:r>
      <w:r w:rsidR="00424F87" w:rsidRPr="00A43EA1">
        <w:t xml:space="preserve"> XVII</w:t>
      </w:r>
    </w:p>
    <w:p w14:paraId="5B240D19" w14:textId="77777777" w:rsidR="00424F87" w:rsidRPr="00A43EA1" w:rsidRDefault="00424F87" w:rsidP="00424F87">
      <w:pPr>
        <w:jc w:val="center"/>
      </w:pPr>
    </w:p>
    <w:p w14:paraId="111753CC" w14:textId="77777777" w:rsidR="00424F87" w:rsidRPr="00A43EA1" w:rsidRDefault="00424F87" w:rsidP="00424F87">
      <w:pPr>
        <w:jc w:val="center"/>
      </w:pPr>
    </w:p>
    <w:p w14:paraId="46F6792C" w14:textId="77777777" w:rsidR="00424F87" w:rsidRPr="00A43EA1" w:rsidRDefault="00424F87" w:rsidP="00424F87">
      <w:pPr>
        <w:jc w:val="center"/>
      </w:pPr>
      <w:r w:rsidRPr="00A43EA1">
        <w:t>UKRAINE</w:t>
      </w:r>
    </w:p>
    <w:p w14:paraId="6F1EE2CD" w14:textId="77777777" w:rsidR="00424F87" w:rsidRPr="00A43EA1" w:rsidRDefault="00424F87" w:rsidP="00424F87">
      <w:pPr>
        <w:jc w:val="center"/>
      </w:pPr>
      <w:r w:rsidRPr="00A43EA1">
        <w:t>(Originalsprache: englisch)</w:t>
      </w:r>
    </w:p>
    <w:p w14:paraId="0EEFBB9A" w14:textId="77777777" w:rsidR="00424F87" w:rsidRPr="00A43EA1" w:rsidRDefault="00424F87" w:rsidP="00424F87"/>
    <w:p w14:paraId="1DFCB06E"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6F892CAB" w14:textId="77777777" w:rsidR="00424F87" w:rsidRPr="00A43EA1" w:rsidRDefault="00424F87" w:rsidP="00424F87">
      <w:r w:rsidRPr="00A43EA1">
        <w:t xml:space="preserve">I. </w:t>
      </w:r>
      <w:r w:rsidRPr="00A43EA1">
        <w:tab/>
        <w:t>SORTENSCHUTZ</w:t>
      </w:r>
    </w:p>
    <w:p w14:paraId="7C838504" w14:textId="77777777" w:rsidR="00424F87" w:rsidRPr="00A43EA1" w:rsidRDefault="00424F87" w:rsidP="00424F87"/>
    <w:p w14:paraId="5C92F60B" w14:textId="77777777" w:rsidR="00424F87" w:rsidRPr="00A43EA1" w:rsidRDefault="00424F87" w:rsidP="00424F87">
      <w:pPr>
        <w:rPr>
          <w:u w:val="single"/>
        </w:rPr>
      </w:pPr>
      <w:r w:rsidRPr="00A43EA1">
        <w:t>1.</w:t>
      </w:r>
      <w:r w:rsidRPr="00A43EA1">
        <w:tab/>
      </w:r>
      <w:r w:rsidRPr="00A43EA1">
        <w:rPr>
          <w:u w:val="single"/>
        </w:rPr>
        <w:t>Lage auf dem Gebiet der Gesetzgebung</w:t>
      </w:r>
    </w:p>
    <w:p w14:paraId="0CF5ED20" w14:textId="77777777" w:rsidR="00424F87" w:rsidRPr="00A43EA1" w:rsidRDefault="00424F87" w:rsidP="00424F87"/>
    <w:p w14:paraId="51969208" w14:textId="77777777" w:rsidR="00424F87" w:rsidRPr="00A43EA1" w:rsidRDefault="00424F87" w:rsidP="00424F87">
      <w:r w:rsidRPr="00A43EA1">
        <w:t>Das Gesetz der Ukraine vom 16. November 2022, Nr. 2763-IX "Über die Änderung bestimmter Gesetze der Ukraine zur Anpassung der Gesetzgebung im Bereich des Sortenschutzes, des Saatguts und der Sämlingsproduktion an die Bestimmungen der Rechtsvorschriften der Europäischen Union" wurde angenommen. Die UPOV wurde darüber unterrichtet, und die Übersetzung dieses Gesetzes wurde mit dem Schreiben des Ministeriums für Landwirtschaft vom 10. Mai 2023 Nr. 21-1331-06.1/12514 übermittelt.</w:t>
      </w:r>
    </w:p>
    <w:p w14:paraId="186D1998" w14:textId="77777777" w:rsidR="00424F87" w:rsidRPr="00A43EA1" w:rsidRDefault="00424F87" w:rsidP="00424F87"/>
    <w:p w14:paraId="2C7BAA25" w14:textId="77777777" w:rsidR="00424F87" w:rsidRPr="00A43EA1" w:rsidRDefault="00424F87" w:rsidP="00424F87">
      <w:pPr>
        <w:spacing w:after="120"/>
        <w:rPr>
          <w:i/>
        </w:rPr>
      </w:pPr>
      <w:r w:rsidRPr="00A43EA1">
        <w:rPr>
          <w:i/>
        </w:rPr>
        <w:t>Angenommene Entschließungen des Ministerkabinetts der Ukraine:</w:t>
      </w:r>
    </w:p>
    <w:p w14:paraId="1F3B23B0" w14:textId="667CAEA3" w:rsidR="00424F87" w:rsidRPr="00A43EA1" w:rsidRDefault="00424F87" w:rsidP="00424F87">
      <w:pPr>
        <w:pStyle w:val="ListParagraph"/>
        <w:widowControl w:val="0"/>
        <w:numPr>
          <w:ilvl w:val="0"/>
          <w:numId w:val="14"/>
        </w:numPr>
        <w:autoSpaceDE w:val="0"/>
        <w:autoSpaceDN w:val="0"/>
        <w:contextualSpacing w:val="0"/>
        <w:rPr>
          <w:lang w:val="de-DE"/>
        </w:rPr>
      </w:pPr>
      <w:r w:rsidRPr="00A43EA1">
        <w:rPr>
          <w:lang w:val="de-DE"/>
        </w:rPr>
        <w:t>vom 15. Juli 2022, Nr. 798 "Zur Änderung des Beschlusses des Ministerkabinetts der Ukraine vom 19.</w:t>
      </w:r>
      <w:r w:rsidR="007F0281">
        <w:rPr>
          <w:lang w:val="de-DE"/>
        </w:rPr>
        <w:t> </w:t>
      </w:r>
      <w:r w:rsidRPr="00A43EA1">
        <w:rPr>
          <w:lang w:val="de-DE"/>
        </w:rPr>
        <w:t>August 2022, Nr. 1183";</w:t>
      </w:r>
    </w:p>
    <w:p w14:paraId="3AD4CD09" w14:textId="77777777" w:rsidR="00424F87" w:rsidRPr="00A43EA1" w:rsidRDefault="00424F87" w:rsidP="00424F87">
      <w:pPr>
        <w:pStyle w:val="ListParagraph"/>
        <w:widowControl w:val="0"/>
        <w:numPr>
          <w:ilvl w:val="0"/>
          <w:numId w:val="14"/>
        </w:numPr>
        <w:autoSpaceDE w:val="0"/>
        <w:autoSpaceDN w:val="0"/>
        <w:contextualSpacing w:val="0"/>
        <w:rPr>
          <w:lang w:val="de-DE"/>
        </w:rPr>
      </w:pPr>
      <w:r w:rsidRPr="00A43EA1">
        <w:rPr>
          <w:lang w:val="de-DE"/>
        </w:rPr>
        <w:t>vom 16. November 2022, Nr. 1334 "Über die Änderung des Verfahrens zur Erteilung einer Zwangslizenz für die Nutzung einer Pflanzensorte".</w:t>
      </w:r>
    </w:p>
    <w:p w14:paraId="10CAB1A8" w14:textId="77777777" w:rsidR="00424F87" w:rsidRPr="00A43EA1" w:rsidRDefault="00424F87" w:rsidP="00424F87"/>
    <w:p w14:paraId="4B0E3646" w14:textId="77777777" w:rsidR="00424F87" w:rsidRPr="00A43EA1" w:rsidRDefault="00424F87" w:rsidP="00424F87">
      <w:pPr>
        <w:spacing w:after="120"/>
        <w:rPr>
          <w:i/>
        </w:rPr>
      </w:pPr>
      <w:r w:rsidRPr="00A43EA1">
        <w:rPr>
          <w:i/>
        </w:rPr>
        <w:t>Angenommene Anordnungen des Ministeriums für Agrarpolitik und Ernährung der Ukraine:</w:t>
      </w:r>
    </w:p>
    <w:p w14:paraId="7B44F6C4" w14:textId="77777777" w:rsidR="00424F87" w:rsidRPr="00A43EA1" w:rsidRDefault="00424F87" w:rsidP="00424F87">
      <w:pPr>
        <w:pStyle w:val="ListParagraph"/>
        <w:widowControl w:val="0"/>
        <w:numPr>
          <w:ilvl w:val="0"/>
          <w:numId w:val="14"/>
        </w:numPr>
        <w:autoSpaceDE w:val="0"/>
        <w:autoSpaceDN w:val="0"/>
        <w:contextualSpacing w:val="0"/>
        <w:rPr>
          <w:lang w:val="de-DE"/>
        </w:rPr>
      </w:pPr>
      <w:r w:rsidRPr="00A43EA1">
        <w:rPr>
          <w:lang w:val="de-DE"/>
        </w:rPr>
        <w:t>vom 10. Mai 2022 Nr. 277 "Über die Genehmigung der Anweisung zur Eintragung der Vereinbarung über die Übertragung von ausschließlichen Eigentumsrechten an geistigem Eigentum an einer Sorte und der Vereinbarung über die Erlaubnis zur Nutzung einer Sorte", eingetragen im Justizministerium der Ukraine am 24.06.2022 unter Nr. 697/38033;</w:t>
      </w:r>
    </w:p>
    <w:p w14:paraId="1FBBA727" w14:textId="77777777" w:rsidR="00424F87" w:rsidRPr="00A43EA1" w:rsidRDefault="00424F87" w:rsidP="00424F87">
      <w:pPr>
        <w:pStyle w:val="ListParagraph"/>
        <w:widowControl w:val="0"/>
        <w:numPr>
          <w:ilvl w:val="0"/>
          <w:numId w:val="14"/>
        </w:numPr>
        <w:autoSpaceDE w:val="0"/>
        <w:autoSpaceDN w:val="0"/>
        <w:contextualSpacing w:val="0"/>
        <w:rPr>
          <w:lang w:val="de-DE"/>
        </w:rPr>
      </w:pPr>
      <w:r w:rsidRPr="00A43EA1">
        <w:rPr>
          <w:lang w:val="de-DE"/>
        </w:rPr>
        <w:t>vom 26.05.2022 Nr. 306 "Über die Genehmigung des Verfahrens für die Entgegennahme, Erfassung, Aufbewahrung, Verwendung und Aktualisierung von Proben des Pflanzmaterials des Gegenstandes der Sortenanmeldung", eingetragen im Justizministerium der Ukraine am 5. Juli 2022 unter der Nummer 739/38075.</w:t>
      </w:r>
    </w:p>
    <w:p w14:paraId="7D085702" w14:textId="77777777" w:rsidR="00424F87" w:rsidRPr="00A43EA1" w:rsidRDefault="00424F87" w:rsidP="00424F87"/>
    <w:p w14:paraId="43FEF1BF" w14:textId="77777777" w:rsidR="00424F87" w:rsidRPr="00A43EA1" w:rsidRDefault="00424F87" w:rsidP="00424F87">
      <w:pPr>
        <w:spacing w:after="120"/>
        <w:rPr>
          <w:i/>
        </w:rPr>
      </w:pPr>
      <w:r w:rsidRPr="00A43EA1">
        <w:rPr>
          <w:i/>
        </w:rPr>
        <w:t>Abgelaufen:</w:t>
      </w:r>
    </w:p>
    <w:p w14:paraId="268CF658" w14:textId="5BED952A" w:rsidR="00424F87" w:rsidRPr="00A43EA1" w:rsidRDefault="00424F87" w:rsidP="00424F87">
      <w:pPr>
        <w:pStyle w:val="ListParagraph"/>
        <w:widowControl w:val="0"/>
        <w:numPr>
          <w:ilvl w:val="0"/>
          <w:numId w:val="14"/>
        </w:numPr>
        <w:autoSpaceDE w:val="0"/>
        <w:autoSpaceDN w:val="0"/>
        <w:contextualSpacing w:val="0"/>
        <w:rPr>
          <w:lang w:val="de-DE"/>
        </w:rPr>
      </w:pPr>
      <w:r w:rsidRPr="00A43EA1">
        <w:rPr>
          <w:lang w:val="de-DE"/>
        </w:rPr>
        <w:t>die Verordnung des Ministeriums für Agrarpolitik und Ernährung der Ukraine vom 21. Juli 2003, Nr.</w:t>
      </w:r>
      <w:r w:rsidR="007F0281">
        <w:rPr>
          <w:lang w:val="de-DE"/>
        </w:rPr>
        <w:t> </w:t>
      </w:r>
      <w:r w:rsidRPr="00A43EA1">
        <w:rPr>
          <w:lang w:val="de-DE"/>
        </w:rPr>
        <w:t>244 "über die Genehmigung der Anweisung zur Eintragung des Vertrags über die Übertragung des Eigentumsrechts an einer Sorte und des Vertrags über die Übertragung des Rechts auf Nutzung einer Sorte", eingetragen beim Justizministerium der Ukraine am 8. August 2003 unter Nr. 698/8019.</w:t>
      </w:r>
    </w:p>
    <w:p w14:paraId="08D34C2A" w14:textId="77777777" w:rsidR="00424F87" w:rsidRPr="00A43EA1" w:rsidRDefault="00424F87" w:rsidP="00424F87"/>
    <w:p w14:paraId="2D1D9198" w14:textId="77777777" w:rsidR="00424F87" w:rsidRPr="00A43EA1" w:rsidRDefault="00424F87" w:rsidP="00424F87">
      <w:pPr>
        <w:rPr>
          <w:u w:val="single"/>
        </w:rPr>
      </w:pPr>
      <w:r w:rsidRPr="00A43EA1">
        <w:t>2.</w:t>
      </w:r>
      <w:r w:rsidRPr="00A43EA1">
        <w:tab/>
      </w:r>
      <w:r w:rsidRPr="00A43EA1">
        <w:rPr>
          <w:u w:val="single"/>
        </w:rPr>
        <w:t>Zusammenarbeit bei der Prüfung</w:t>
      </w:r>
    </w:p>
    <w:p w14:paraId="62673FBF" w14:textId="77777777" w:rsidR="00424F87" w:rsidRPr="00A43EA1" w:rsidRDefault="00424F87" w:rsidP="00424F87"/>
    <w:p w14:paraId="2E055FD3" w14:textId="77777777" w:rsidR="00424F87" w:rsidRPr="00A43EA1" w:rsidRDefault="00424F87" w:rsidP="00424F87">
      <w:r w:rsidRPr="00A43EA1">
        <w:t>Im Laufe des Jahres 2022 tauschte die Ukraine 77 Berichte über die Ergebnisse der DUS-Feldprüfungen aus. Die Ukraine verwendete die Berichte über die DUS-Prüfung der folgenden Länder:  Australien, Bulgarien, Dänemark, Deutschland, Frankreich, Italien, Niederlande, Rumänien, Slowakei, Spanien, Ungarn, und stellte die Berichte der Vereinigten Republik Tansania zur Verfügung.</w:t>
      </w:r>
    </w:p>
    <w:p w14:paraId="1F39E889" w14:textId="77777777" w:rsidR="00424F87" w:rsidRPr="00A43EA1" w:rsidRDefault="00424F87" w:rsidP="00424F87"/>
    <w:p w14:paraId="0B9AA32B" w14:textId="77777777" w:rsidR="00424F87" w:rsidRPr="00A43EA1" w:rsidRDefault="00424F87" w:rsidP="00424F87">
      <w:r w:rsidRPr="00A43EA1">
        <w:t>3.</w:t>
      </w:r>
      <w:r w:rsidRPr="00A43EA1">
        <w:tab/>
      </w:r>
      <w:r w:rsidRPr="00A43EA1">
        <w:rPr>
          <w:u w:val="single"/>
        </w:rPr>
        <w:t>Lage auf dem Gebiet der Verwaltung</w:t>
      </w:r>
    </w:p>
    <w:p w14:paraId="46726277" w14:textId="77777777" w:rsidR="00424F87" w:rsidRPr="00A43EA1" w:rsidRDefault="00424F87" w:rsidP="00424F87"/>
    <w:p w14:paraId="2D3851C3" w14:textId="77777777" w:rsidR="00424F87" w:rsidRPr="00A43EA1" w:rsidRDefault="00424F87" w:rsidP="00424F87">
      <w:r w:rsidRPr="00A43EA1">
        <w:t>Seit 2020 ist das Ministerium für Agrarpolitik und Ernährung der Ukraine befugt, die zuständige Stelle für die Eintragung von Sortenschutzrechten in der Ukraine zu sein.</w:t>
      </w:r>
    </w:p>
    <w:p w14:paraId="64A57A35" w14:textId="77777777" w:rsidR="00424F87" w:rsidRPr="00A43EA1" w:rsidRDefault="00424F87" w:rsidP="00424F87"/>
    <w:p w14:paraId="3B4E3153" w14:textId="77777777" w:rsidR="00424F87" w:rsidRPr="00A43EA1" w:rsidRDefault="00424F87" w:rsidP="00424F87">
      <w:pPr>
        <w:rPr>
          <w:u w:val="single"/>
        </w:rPr>
      </w:pPr>
      <w:r w:rsidRPr="00A43EA1">
        <w:t>4.</w:t>
      </w:r>
      <w:r w:rsidRPr="00A43EA1">
        <w:tab/>
      </w:r>
      <w:r w:rsidRPr="00A43EA1">
        <w:rPr>
          <w:u w:val="single"/>
        </w:rPr>
        <w:t>Lage auf dem Gebiet der Technik</w:t>
      </w:r>
    </w:p>
    <w:p w14:paraId="41C71079" w14:textId="77777777" w:rsidR="00424F87" w:rsidRPr="00A43EA1" w:rsidRDefault="00424F87" w:rsidP="00424F87"/>
    <w:p w14:paraId="0CCFCB33" w14:textId="77777777" w:rsidR="00424F87" w:rsidRPr="00A43EA1" w:rsidRDefault="00424F87" w:rsidP="00424F87">
      <w:r w:rsidRPr="00A43EA1">
        <w:t>Im Jahr 2022 wurden die Richtlinien für die Durchführung der Prüfung der Unterscheidbarkeit, der Homogenität und der Beständigkeit von Pflanzensorten der Gruppe Obst, Beeren, Nüsse und Trauben ausgearbeitet und durch die Verordnung des Ministeriums für Agrarpolitik und Ernährung der Ukraine vom 11. Mai 2022 Nr. 287 gebilligt.</w:t>
      </w:r>
    </w:p>
    <w:p w14:paraId="1AB323D2" w14:textId="77777777" w:rsidR="00424F87" w:rsidRPr="00A43EA1" w:rsidRDefault="00424F87" w:rsidP="00424F87"/>
    <w:p w14:paraId="08083F04" w14:textId="77777777" w:rsidR="007F0281" w:rsidRDefault="007F0281">
      <w:pPr>
        <w:jc w:val="left"/>
      </w:pPr>
      <w:r>
        <w:br w:type="page"/>
      </w:r>
    </w:p>
    <w:p w14:paraId="6571DCEB" w14:textId="448045F2" w:rsidR="00424F87" w:rsidRPr="00A43EA1" w:rsidRDefault="00424F87" w:rsidP="00424F87">
      <w:r w:rsidRPr="00A43EA1">
        <w:lastRenderedPageBreak/>
        <w:t>5.</w:t>
      </w:r>
      <w:r w:rsidRPr="00A43EA1">
        <w:tab/>
      </w:r>
      <w:r w:rsidRPr="00A43EA1">
        <w:rPr>
          <w:u w:val="single"/>
        </w:rPr>
        <w:t>Maßnahmen zur Förderung des Schutzes von Pflanzensorten</w:t>
      </w:r>
    </w:p>
    <w:p w14:paraId="5C3514F6" w14:textId="77777777" w:rsidR="00424F87" w:rsidRPr="00A43EA1" w:rsidRDefault="00424F87" w:rsidP="00424F87"/>
    <w:p w14:paraId="7B72094A" w14:textId="77777777" w:rsidR="00424F87" w:rsidRPr="00A43EA1" w:rsidRDefault="00424F87" w:rsidP="00424F87">
      <w:r w:rsidRPr="00A43EA1">
        <w:t>Siehe unten Informationen über die Tätigkeiten zur Förderung des Sortenschutzes und Veröffentlichungen auf dem Gebiet des Sortenschutzes.</w:t>
      </w:r>
    </w:p>
    <w:p w14:paraId="60DB599C" w14:textId="77777777" w:rsidR="00424F87" w:rsidRPr="00A43EA1" w:rsidRDefault="00424F87" w:rsidP="00424F87"/>
    <w:p w14:paraId="5A09AE15" w14:textId="77777777" w:rsidR="00424F87" w:rsidRPr="00A43EA1" w:rsidRDefault="00424F87" w:rsidP="00424F87">
      <w:pPr>
        <w:keepNext/>
      </w:pPr>
      <w:r w:rsidRPr="00A43EA1">
        <w:t>II.</w:t>
      </w:r>
      <w:r w:rsidRPr="00A43EA1">
        <w:tab/>
        <w:t>ANDERE ENTWICKLUNGEN, DIE FÜR DIE UPOV RELEVANT SIND</w:t>
      </w:r>
    </w:p>
    <w:p w14:paraId="4068317F" w14:textId="77777777" w:rsidR="00424F87" w:rsidRPr="00A43EA1" w:rsidRDefault="00424F87" w:rsidP="00424F87">
      <w:pPr>
        <w:keepNext/>
      </w:pPr>
    </w:p>
    <w:p w14:paraId="783FB51E" w14:textId="4F7481AF" w:rsidR="00424F87" w:rsidRPr="00A43EA1" w:rsidRDefault="00424F87" w:rsidP="00424F87">
      <w:r w:rsidRPr="00A43EA1">
        <w:t xml:space="preserve">Die statistischen Informationen über den Sortenschutz in der Ukraine für das Jahr 2022 wurden mit Schreiben des Ministeriums für Landwirtschaft und ländliche Entwicklung vom 23. Februar 2023 Nr. 21-1331-06.1/6647 und in elektronischer Form an die E-Mail-Adresse </w:t>
      </w:r>
      <w:hyperlink r:id="rId43">
        <w:r w:rsidRPr="00A43EA1">
          <w:rPr>
            <w:rStyle w:val="Hyperlink"/>
          </w:rPr>
          <w:t>upov.mail@upov.int</w:t>
        </w:r>
      </w:hyperlink>
      <w:r w:rsidRPr="00A43EA1">
        <w:t xml:space="preserve"> übermittelt</w:t>
      </w:r>
      <w:r w:rsidR="007F0281">
        <w:t>.</w:t>
      </w:r>
    </w:p>
    <w:p w14:paraId="3F1433E3" w14:textId="77777777" w:rsidR="00424F87" w:rsidRPr="00A43EA1" w:rsidRDefault="00424F87" w:rsidP="00424F87">
      <w:pPr>
        <w:jc w:val="left"/>
        <w:sectPr w:rsidR="00424F87" w:rsidRPr="00A43EA1" w:rsidSect="00AF4BEC">
          <w:headerReference w:type="default" r:id="rId44"/>
          <w:pgSz w:w="11907" w:h="16840" w:code="9"/>
          <w:pgMar w:top="510" w:right="1134" w:bottom="426" w:left="1134" w:header="510" w:footer="680" w:gutter="0"/>
          <w:pgNumType w:start="1"/>
          <w:cols w:space="720"/>
          <w:titlePg/>
        </w:sectPr>
      </w:pPr>
    </w:p>
    <w:tbl>
      <w:tblPr>
        <w:tblStyle w:val="TableGrid"/>
        <w:tblW w:w="15304" w:type="dxa"/>
        <w:tblLayout w:type="fixed"/>
        <w:tblCellMar>
          <w:top w:w="28" w:type="dxa"/>
          <w:left w:w="57" w:type="dxa"/>
          <w:bottom w:w="28" w:type="dxa"/>
          <w:right w:w="57" w:type="dxa"/>
        </w:tblCellMar>
        <w:tblLook w:val="01E0" w:firstRow="1" w:lastRow="1" w:firstColumn="1" w:lastColumn="1" w:noHBand="0" w:noVBand="0"/>
      </w:tblPr>
      <w:tblGrid>
        <w:gridCol w:w="3318"/>
        <w:gridCol w:w="1134"/>
        <w:gridCol w:w="1134"/>
        <w:gridCol w:w="2693"/>
        <w:gridCol w:w="3402"/>
        <w:gridCol w:w="1984"/>
        <w:gridCol w:w="1639"/>
      </w:tblGrid>
      <w:tr w:rsidR="00424F87" w:rsidRPr="00A43EA1" w14:paraId="22618B1A" w14:textId="77777777" w:rsidTr="00200578">
        <w:trPr>
          <w:tblHeader/>
        </w:trPr>
        <w:tc>
          <w:tcPr>
            <w:tcW w:w="3318" w:type="dxa"/>
          </w:tcPr>
          <w:p w14:paraId="05176C34" w14:textId="77777777" w:rsidR="00424F87" w:rsidRPr="00A43EA1" w:rsidRDefault="00424F87" w:rsidP="00C30F9D">
            <w:pPr>
              <w:keepNext/>
              <w:jc w:val="left"/>
              <w:rPr>
                <w:sz w:val="16"/>
                <w:szCs w:val="16"/>
              </w:rPr>
            </w:pPr>
            <w:r w:rsidRPr="00A43EA1">
              <w:rPr>
                <w:sz w:val="16"/>
                <w:szCs w:val="16"/>
              </w:rPr>
              <w:lastRenderedPageBreak/>
              <w:t>Titel der Aktivität</w:t>
            </w:r>
          </w:p>
        </w:tc>
        <w:tc>
          <w:tcPr>
            <w:tcW w:w="1134" w:type="dxa"/>
          </w:tcPr>
          <w:p w14:paraId="6E9EA71B" w14:textId="77777777" w:rsidR="00424F87" w:rsidRPr="00A43EA1" w:rsidRDefault="00424F87" w:rsidP="00C30F9D">
            <w:pPr>
              <w:keepNext/>
              <w:jc w:val="left"/>
              <w:rPr>
                <w:sz w:val="16"/>
                <w:szCs w:val="16"/>
              </w:rPr>
            </w:pPr>
            <w:r w:rsidRPr="00A43EA1">
              <w:rPr>
                <w:sz w:val="16"/>
                <w:szCs w:val="16"/>
              </w:rPr>
              <w:t>Datum</w:t>
            </w:r>
          </w:p>
        </w:tc>
        <w:tc>
          <w:tcPr>
            <w:tcW w:w="1134" w:type="dxa"/>
          </w:tcPr>
          <w:p w14:paraId="577DBB0E" w14:textId="77777777" w:rsidR="00424F87" w:rsidRPr="00A43EA1" w:rsidRDefault="00424F87" w:rsidP="00C30F9D">
            <w:pPr>
              <w:keepNext/>
              <w:jc w:val="left"/>
              <w:rPr>
                <w:sz w:val="16"/>
                <w:szCs w:val="16"/>
              </w:rPr>
            </w:pPr>
            <w:r w:rsidRPr="00A43EA1">
              <w:rPr>
                <w:sz w:val="16"/>
                <w:szCs w:val="16"/>
              </w:rPr>
              <w:t>Standort</w:t>
            </w:r>
          </w:p>
        </w:tc>
        <w:tc>
          <w:tcPr>
            <w:tcW w:w="2693" w:type="dxa"/>
          </w:tcPr>
          <w:p w14:paraId="0D7DF8DB" w14:textId="77777777" w:rsidR="00424F87" w:rsidRPr="00A43EA1" w:rsidRDefault="00424F87" w:rsidP="00C30F9D">
            <w:pPr>
              <w:keepNext/>
              <w:jc w:val="left"/>
              <w:rPr>
                <w:sz w:val="16"/>
                <w:szCs w:val="16"/>
              </w:rPr>
            </w:pPr>
            <w:r w:rsidRPr="00A43EA1">
              <w:rPr>
                <w:sz w:val="16"/>
                <w:szCs w:val="16"/>
              </w:rPr>
              <w:t>Organisator(en)</w:t>
            </w:r>
          </w:p>
        </w:tc>
        <w:tc>
          <w:tcPr>
            <w:tcW w:w="3402" w:type="dxa"/>
          </w:tcPr>
          <w:p w14:paraId="34C0AB32" w14:textId="77777777" w:rsidR="00424F87" w:rsidRPr="00A43EA1" w:rsidRDefault="00424F87" w:rsidP="00C30F9D">
            <w:pPr>
              <w:keepNext/>
              <w:jc w:val="left"/>
              <w:rPr>
                <w:sz w:val="16"/>
                <w:szCs w:val="16"/>
              </w:rPr>
            </w:pPr>
            <w:r w:rsidRPr="00A43EA1">
              <w:rPr>
                <w:sz w:val="16"/>
                <w:szCs w:val="16"/>
              </w:rPr>
              <w:t>Zweck der Tätigkeit</w:t>
            </w:r>
          </w:p>
        </w:tc>
        <w:tc>
          <w:tcPr>
            <w:tcW w:w="1984" w:type="dxa"/>
          </w:tcPr>
          <w:p w14:paraId="5E747B7F" w14:textId="77777777" w:rsidR="00424F87" w:rsidRPr="00A43EA1" w:rsidRDefault="00424F87" w:rsidP="00C30F9D">
            <w:pPr>
              <w:keepNext/>
              <w:jc w:val="left"/>
              <w:rPr>
                <w:sz w:val="16"/>
                <w:szCs w:val="16"/>
              </w:rPr>
            </w:pPr>
            <w:r w:rsidRPr="00A43EA1">
              <w:rPr>
                <w:sz w:val="16"/>
                <w:szCs w:val="16"/>
              </w:rPr>
              <w:t>Teilnehmende Länder/Organisationen (Anzahl der Teilnehmer aus jedem Land)</w:t>
            </w:r>
          </w:p>
        </w:tc>
        <w:tc>
          <w:tcPr>
            <w:tcW w:w="1639" w:type="dxa"/>
          </w:tcPr>
          <w:p w14:paraId="35B2AB47" w14:textId="77777777" w:rsidR="00424F87" w:rsidRPr="00A43EA1" w:rsidRDefault="00424F87" w:rsidP="00C30F9D">
            <w:pPr>
              <w:keepNext/>
              <w:jc w:val="left"/>
              <w:rPr>
                <w:sz w:val="16"/>
                <w:szCs w:val="16"/>
              </w:rPr>
            </w:pPr>
            <w:r w:rsidRPr="00A43EA1">
              <w:rPr>
                <w:sz w:val="16"/>
                <w:szCs w:val="16"/>
              </w:rPr>
              <w:t>Kommentare</w:t>
            </w:r>
          </w:p>
        </w:tc>
      </w:tr>
      <w:tr w:rsidR="00424F87" w:rsidRPr="00A43EA1" w14:paraId="336EA86A" w14:textId="77777777" w:rsidTr="00200578">
        <w:tc>
          <w:tcPr>
            <w:tcW w:w="3318" w:type="dxa"/>
          </w:tcPr>
          <w:p w14:paraId="132222CA" w14:textId="77777777" w:rsidR="00424F87" w:rsidRPr="00A43EA1" w:rsidRDefault="00424F87" w:rsidP="00C30F9D">
            <w:pPr>
              <w:jc w:val="left"/>
              <w:rPr>
                <w:sz w:val="16"/>
                <w:szCs w:val="16"/>
              </w:rPr>
            </w:pPr>
            <w:r w:rsidRPr="00A43EA1">
              <w:rPr>
                <w:sz w:val="16"/>
                <w:szCs w:val="16"/>
              </w:rPr>
              <w:t>"Prüfung und Schutz von Pflanzensorten"</w:t>
            </w:r>
          </w:p>
          <w:p w14:paraId="1F9D57A8" w14:textId="77777777" w:rsidR="00424F87" w:rsidRPr="00A43EA1" w:rsidRDefault="00424F87" w:rsidP="00C30F9D">
            <w:pPr>
              <w:rPr>
                <w:sz w:val="16"/>
                <w:szCs w:val="16"/>
              </w:rPr>
            </w:pPr>
            <w:r w:rsidRPr="00A43EA1">
              <w:rPr>
                <w:sz w:val="16"/>
                <w:szCs w:val="16"/>
              </w:rPr>
              <w:t>Drucken ISSN 2518-1017</w:t>
            </w:r>
          </w:p>
          <w:p w14:paraId="72388B50" w14:textId="77777777" w:rsidR="00424F87" w:rsidRPr="00A43EA1" w:rsidRDefault="00424F87" w:rsidP="00C30F9D">
            <w:pPr>
              <w:rPr>
                <w:sz w:val="16"/>
                <w:szCs w:val="16"/>
              </w:rPr>
            </w:pPr>
            <w:r w:rsidRPr="00A43EA1">
              <w:rPr>
                <w:sz w:val="16"/>
                <w:szCs w:val="16"/>
              </w:rPr>
              <w:t>Online ISSN 2518-7457</w:t>
            </w:r>
          </w:p>
          <w:p w14:paraId="7E45809B" w14:textId="77777777" w:rsidR="00424F87" w:rsidRPr="00A43EA1" w:rsidRDefault="00424F87" w:rsidP="00C30F9D">
            <w:pPr>
              <w:rPr>
                <w:sz w:val="16"/>
                <w:szCs w:val="16"/>
              </w:rPr>
            </w:pPr>
            <w:r w:rsidRPr="00A43EA1">
              <w:rPr>
                <w:rFonts w:cs="Arial"/>
                <w:sz w:val="16"/>
                <w:szCs w:val="16"/>
              </w:rPr>
              <w:t>Nr</w:t>
            </w:r>
            <w:r w:rsidRPr="00A43EA1">
              <w:rPr>
                <w:sz w:val="16"/>
                <w:szCs w:val="16"/>
              </w:rPr>
              <w:t>. 1, 2, 3, 4, Jahrgang 18, 2022</w:t>
            </w:r>
          </w:p>
          <w:p w14:paraId="4B63C6F3" w14:textId="77777777" w:rsidR="00424F87" w:rsidRPr="00A43EA1" w:rsidRDefault="00424F87" w:rsidP="00C30F9D">
            <w:pPr>
              <w:rPr>
                <w:sz w:val="16"/>
                <w:szCs w:val="16"/>
              </w:rPr>
            </w:pPr>
            <w:hyperlink r:id="rId45" w:history="1">
              <w:r w:rsidRPr="00A43EA1">
                <w:rPr>
                  <w:rStyle w:val="Hyperlink"/>
                  <w:sz w:val="16"/>
                  <w:szCs w:val="16"/>
                </w:rPr>
                <w:t xml:space="preserve">http://journal.sops.gov.ua/issue/archive </w:t>
              </w:r>
            </w:hyperlink>
          </w:p>
        </w:tc>
        <w:tc>
          <w:tcPr>
            <w:tcW w:w="1134" w:type="dxa"/>
          </w:tcPr>
          <w:p w14:paraId="4DD42FDE" w14:textId="77777777" w:rsidR="00424F87" w:rsidRPr="00A43EA1" w:rsidRDefault="00424F87" w:rsidP="00C30F9D">
            <w:pPr>
              <w:keepNext/>
              <w:jc w:val="left"/>
              <w:rPr>
                <w:sz w:val="16"/>
                <w:szCs w:val="16"/>
              </w:rPr>
            </w:pPr>
            <w:r w:rsidRPr="00A43EA1">
              <w:rPr>
                <w:sz w:val="16"/>
                <w:szCs w:val="16"/>
              </w:rPr>
              <w:t>vierteljährlich</w:t>
            </w:r>
          </w:p>
        </w:tc>
        <w:tc>
          <w:tcPr>
            <w:tcW w:w="1134" w:type="dxa"/>
          </w:tcPr>
          <w:p w14:paraId="603D3E73" w14:textId="77777777" w:rsidR="00424F87" w:rsidRPr="00A43EA1" w:rsidRDefault="00424F87" w:rsidP="00C30F9D">
            <w:pPr>
              <w:keepNext/>
              <w:jc w:val="left"/>
              <w:rPr>
                <w:sz w:val="16"/>
                <w:szCs w:val="16"/>
              </w:rPr>
            </w:pPr>
            <w:r w:rsidRPr="00A43EA1">
              <w:rPr>
                <w:sz w:val="16"/>
                <w:szCs w:val="16"/>
              </w:rPr>
              <w:t>Kiew, Ukraine</w:t>
            </w:r>
          </w:p>
        </w:tc>
        <w:tc>
          <w:tcPr>
            <w:tcW w:w="2693" w:type="dxa"/>
          </w:tcPr>
          <w:p w14:paraId="2891A3B6" w14:textId="77777777" w:rsidR="00424F87" w:rsidRPr="00A43EA1" w:rsidRDefault="00424F87" w:rsidP="00C30F9D">
            <w:pPr>
              <w:keepNext/>
              <w:jc w:val="left"/>
              <w:rPr>
                <w:sz w:val="16"/>
                <w:szCs w:val="16"/>
              </w:rPr>
            </w:pPr>
            <w:r w:rsidRPr="00A43EA1">
              <w:rPr>
                <w:sz w:val="16"/>
                <w:szCs w:val="16"/>
              </w:rPr>
              <w:t>Ukrainisches Institut für Sortenprüfung, Institut für Pflanzenzüchtung und -genetik - Nationales Zentrum für Saatgut und Zuchtsortenuntersuchung der NAAS, Institut für Pflanzenphysiologie und -genetik, Nationale Akademie der Wissenschaften der Ukraine</w:t>
            </w:r>
          </w:p>
        </w:tc>
        <w:tc>
          <w:tcPr>
            <w:tcW w:w="3402" w:type="dxa"/>
          </w:tcPr>
          <w:p w14:paraId="7642401A" w14:textId="77777777" w:rsidR="00424F87" w:rsidRPr="00A43EA1" w:rsidRDefault="00424F87" w:rsidP="00C30F9D">
            <w:pPr>
              <w:keepNext/>
              <w:jc w:val="left"/>
              <w:rPr>
                <w:sz w:val="16"/>
                <w:szCs w:val="16"/>
              </w:rPr>
            </w:pPr>
            <w:r w:rsidRPr="00A43EA1">
              <w:rPr>
                <w:sz w:val="16"/>
                <w:szCs w:val="16"/>
              </w:rPr>
              <w:t>Veröffentlichungen über Sortenkunde und -wissenschaft, Genetik, Züchtung und Saatguterzeugung, Pflanzenphysiologie, Biotechnologie und biologische Sicherheit, Pflanzenproduktion, Sortenmarkt, Sortenschutz, internationale Zusammenarbeit, Informationssysteme und -technologien, die Sichtweise junger Wissenschaftler, Wissenschaftsgeschichte, Jahrestage</w:t>
            </w:r>
          </w:p>
        </w:tc>
        <w:tc>
          <w:tcPr>
            <w:tcW w:w="1984" w:type="dxa"/>
          </w:tcPr>
          <w:p w14:paraId="66A20E1E" w14:textId="77777777" w:rsidR="00424F87" w:rsidRPr="00A43EA1" w:rsidRDefault="00424F87" w:rsidP="00C30F9D">
            <w:pPr>
              <w:keepNext/>
              <w:jc w:val="left"/>
              <w:rPr>
                <w:sz w:val="16"/>
                <w:szCs w:val="16"/>
              </w:rPr>
            </w:pPr>
            <w:r w:rsidRPr="00A43EA1">
              <w:rPr>
                <w:sz w:val="16"/>
                <w:szCs w:val="16"/>
              </w:rPr>
              <w:t>Ukraine</w:t>
            </w:r>
          </w:p>
        </w:tc>
        <w:tc>
          <w:tcPr>
            <w:tcW w:w="1639" w:type="dxa"/>
          </w:tcPr>
          <w:p w14:paraId="72048BA8" w14:textId="77777777" w:rsidR="00424F87" w:rsidRPr="00A43EA1" w:rsidRDefault="00424F87" w:rsidP="00C30F9D">
            <w:pPr>
              <w:keepNext/>
              <w:jc w:val="left"/>
              <w:rPr>
                <w:sz w:val="16"/>
                <w:szCs w:val="16"/>
              </w:rPr>
            </w:pPr>
          </w:p>
        </w:tc>
      </w:tr>
      <w:tr w:rsidR="00424F87" w:rsidRPr="00A43EA1" w14:paraId="5AEA2835" w14:textId="77777777" w:rsidTr="00200578">
        <w:tc>
          <w:tcPr>
            <w:tcW w:w="3318" w:type="dxa"/>
          </w:tcPr>
          <w:p w14:paraId="373FB211" w14:textId="77777777" w:rsidR="00424F87" w:rsidRPr="00A43EA1" w:rsidRDefault="00424F87" w:rsidP="00C30F9D">
            <w:pPr>
              <w:jc w:val="left"/>
              <w:rPr>
                <w:sz w:val="16"/>
                <w:szCs w:val="16"/>
              </w:rPr>
            </w:pPr>
            <w:r w:rsidRPr="00A43EA1">
              <w:rPr>
                <w:sz w:val="16"/>
                <w:szCs w:val="16"/>
              </w:rPr>
              <w:t>Bulletin "Schutz von Pflanzenzüchtungen"</w:t>
            </w:r>
          </w:p>
          <w:p w14:paraId="219EFB90" w14:textId="77777777" w:rsidR="00424F87" w:rsidRPr="00A43EA1" w:rsidRDefault="00424F87" w:rsidP="00C30F9D">
            <w:pPr>
              <w:jc w:val="left"/>
              <w:rPr>
                <w:sz w:val="16"/>
                <w:szCs w:val="16"/>
              </w:rPr>
            </w:pPr>
            <w:r w:rsidRPr="00A43EA1">
              <w:rPr>
                <w:rFonts w:cs="Arial"/>
                <w:sz w:val="16"/>
                <w:szCs w:val="16"/>
              </w:rPr>
              <w:t>NR</w:t>
            </w:r>
            <w:r w:rsidRPr="00A43EA1">
              <w:rPr>
                <w:sz w:val="16"/>
                <w:szCs w:val="16"/>
              </w:rPr>
              <w:t xml:space="preserve">. 1, </w:t>
            </w:r>
            <w:r w:rsidRPr="00A43EA1">
              <w:rPr>
                <w:rFonts w:cs="Arial"/>
                <w:sz w:val="16"/>
                <w:szCs w:val="16"/>
              </w:rPr>
              <w:t>NR</w:t>
            </w:r>
            <w:r w:rsidRPr="00A43EA1">
              <w:rPr>
                <w:sz w:val="16"/>
                <w:szCs w:val="16"/>
              </w:rPr>
              <w:t xml:space="preserve">. 2, </w:t>
            </w:r>
            <w:r w:rsidRPr="00A43EA1">
              <w:rPr>
                <w:rFonts w:cs="Arial"/>
                <w:sz w:val="16"/>
                <w:szCs w:val="16"/>
              </w:rPr>
              <w:t>NR</w:t>
            </w:r>
            <w:r w:rsidRPr="00A43EA1">
              <w:rPr>
                <w:sz w:val="16"/>
                <w:szCs w:val="16"/>
              </w:rPr>
              <w:t xml:space="preserve">. 3, </w:t>
            </w:r>
            <w:r w:rsidRPr="00A43EA1">
              <w:rPr>
                <w:rFonts w:cs="Arial"/>
                <w:sz w:val="16"/>
                <w:szCs w:val="16"/>
              </w:rPr>
              <w:t>NR</w:t>
            </w:r>
            <w:r w:rsidRPr="00A43EA1">
              <w:rPr>
                <w:sz w:val="16"/>
                <w:szCs w:val="16"/>
              </w:rPr>
              <w:t xml:space="preserve">. 4, </w:t>
            </w:r>
            <w:r w:rsidRPr="00A43EA1">
              <w:rPr>
                <w:rFonts w:cs="Arial"/>
                <w:sz w:val="16"/>
                <w:szCs w:val="16"/>
              </w:rPr>
              <w:t>NR</w:t>
            </w:r>
            <w:r w:rsidRPr="00A43EA1">
              <w:rPr>
                <w:sz w:val="16"/>
                <w:szCs w:val="16"/>
              </w:rPr>
              <w:t xml:space="preserve">. 5, </w:t>
            </w:r>
            <w:r w:rsidRPr="00A43EA1">
              <w:rPr>
                <w:rFonts w:cs="Arial"/>
                <w:sz w:val="16"/>
                <w:szCs w:val="16"/>
              </w:rPr>
              <w:t xml:space="preserve">NR. </w:t>
            </w:r>
            <w:r w:rsidRPr="00A43EA1">
              <w:rPr>
                <w:sz w:val="16"/>
                <w:szCs w:val="16"/>
              </w:rPr>
              <w:t xml:space="preserve">6, </w:t>
            </w:r>
            <w:r w:rsidRPr="00A43EA1">
              <w:rPr>
                <w:rFonts w:cs="Arial"/>
                <w:sz w:val="16"/>
                <w:szCs w:val="16"/>
              </w:rPr>
              <w:t>NR</w:t>
            </w:r>
            <w:r w:rsidRPr="00A43EA1">
              <w:rPr>
                <w:sz w:val="16"/>
                <w:szCs w:val="16"/>
              </w:rPr>
              <w:t xml:space="preserve">. 7, </w:t>
            </w:r>
            <w:r w:rsidRPr="00A43EA1">
              <w:rPr>
                <w:rFonts w:cs="Arial"/>
                <w:sz w:val="16"/>
                <w:szCs w:val="16"/>
              </w:rPr>
              <w:t>NR</w:t>
            </w:r>
            <w:r w:rsidRPr="00A43EA1">
              <w:rPr>
                <w:sz w:val="16"/>
                <w:szCs w:val="16"/>
              </w:rPr>
              <w:t xml:space="preserve">. 8, </w:t>
            </w:r>
            <w:r w:rsidRPr="00A43EA1">
              <w:rPr>
                <w:rFonts w:cs="Arial"/>
                <w:sz w:val="16"/>
                <w:szCs w:val="16"/>
              </w:rPr>
              <w:t>NR</w:t>
            </w:r>
            <w:r w:rsidRPr="00A43EA1">
              <w:rPr>
                <w:sz w:val="16"/>
                <w:szCs w:val="16"/>
              </w:rPr>
              <w:t xml:space="preserve">. 9, </w:t>
            </w:r>
            <w:r w:rsidRPr="00A43EA1">
              <w:rPr>
                <w:rFonts w:cs="Arial"/>
                <w:sz w:val="16"/>
                <w:szCs w:val="16"/>
              </w:rPr>
              <w:t>NR</w:t>
            </w:r>
            <w:r w:rsidRPr="00A43EA1">
              <w:rPr>
                <w:sz w:val="16"/>
                <w:szCs w:val="16"/>
              </w:rPr>
              <w:t xml:space="preserve">. 10, NR. </w:t>
            </w:r>
            <w:r w:rsidRPr="00A43EA1">
              <w:rPr>
                <w:rFonts w:cs="Arial"/>
                <w:sz w:val="16"/>
                <w:szCs w:val="16"/>
              </w:rPr>
              <w:t xml:space="preserve">11, </w:t>
            </w:r>
            <w:r w:rsidRPr="00A43EA1">
              <w:rPr>
                <w:sz w:val="16"/>
                <w:szCs w:val="16"/>
              </w:rPr>
              <w:t xml:space="preserve">NR. </w:t>
            </w:r>
            <w:r w:rsidRPr="00A43EA1">
              <w:rPr>
                <w:rFonts w:cs="Arial"/>
                <w:sz w:val="16"/>
                <w:szCs w:val="16"/>
              </w:rPr>
              <w:t xml:space="preserve">12, </w:t>
            </w:r>
            <w:r w:rsidRPr="00A43EA1">
              <w:rPr>
                <w:sz w:val="16"/>
                <w:szCs w:val="16"/>
              </w:rPr>
              <w:t>2022.</w:t>
            </w:r>
          </w:p>
          <w:p w14:paraId="6B257E6E" w14:textId="77777777" w:rsidR="00424F87" w:rsidRPr="00A43EA1" w:rsidRDefault="00424F87" w:rsidP="00C30F9D">
            <w:pPr>
              <w:jc w:val="left"/>
              <w:rPr>
                <w:sz w:val="16"/>
                <w:szCs w:val="16"/>
              </w:rPr>
            </w:pPr>
            <w:hyperlink r:id="rId46" w:history="1">
              <w:r w:rsidRPr="00A43EA1">
                <w:rPr>
                  <w:rStyle w:val="Hyperlink"/>
                  <w:sz w:val="16"/>
                  <w:szCs w:val="16"/>
                </w:rPr>
                <w:t xml:space="preserve">https://sops.gov.ua/publication/buleten-3 </w:t>
              </w:r>
            </w:hyperlink>
          </w:p>
        </w:tc>
        <w:tc>
          <w:tcPr>
            <w:tcW w:w="1134" w:type="dxa"/>
          </w:tcPr>
          <w:p w14:paraId="187027DE" w14:textId="77777777" w:rsidR="00424F87" w:rsidRPr="00A43EA1" w:rsidRDefault="00424F87" w:rsidP="00C30F9D">
            <w:pPr>
              <w:keepNext/>
              <w:jc w:val="left"/>
              <w:rPr>
                <w:sz w:val="16"/>
                <w:szCs w:val="16"/>
              </w:rPr>
            </w:pPr>
            <w:r w:rsidRPr="00A43EA1">
              <w:rPr>
                <w:sz w:val="16"/>
                <w:szCs w:val="16"/>
              </w:rPr>
              <w:t>monatlich</w:t>
            </w:r>
          </w:p>
        </w:tc>
        <w:tc>
          <w:tcPr>
            <w:tcW w:w="1134" w:type="dxa"/>
          </w:tcPr>
          <w:p w14:paraId="21B62453" w14:textId="77777777" w:rsidR="00424F87" w:rsidRPr="00A43EA1" w:rsidRDefault="00424F87" w:rsidP="00C30F9D">
            <w:pPr>
              <w:keepNext/>
              <w:jc w:val="left"/>
              <w:rPr>
                <w:sz w:val="16"/>
                <w:szCs w:val="16"/>
              </w:rPr>
            </w:pPr>
            <w:r w:rsidRPr="00A43EA1">
              <w:rPr>
                <w:sz w:val="16"/>
                <w:szCs w:val="16"/>
              </w:rPr>
              <w:t>Kiew, Ukraine</w:t>
            </w:r>
          </w:p>
        </w:tc>
        <w:tc>
          <w:tcPr>
            <w:tcW w:w="2693" w:type="dxa"/>
          </w:tcPr>
          <w:p w14:paraId="639C523A" w14:textId="77777777" w:rsidR="00424F87" w:rsidRPr="00A43EA1" w:rsidRDefault="00424F87" w:rsidP="00C30F9D">
            <w:pPr>
              <w:keepNext/>
              <w:jc w:val="left"/>
              <w:rPr>
                <w:sz w:val="16"/>
                <w:szCs w:val="16"/>
              </w:rPr>
            </w:pPr>
            <w:r w:rsidRPr="00A43EA1">
              <w:rPr>
                <w:sz w:val="16"/>
                <w:szCs w:val="16"/>
              </w:rPr>
              <w:t>Ukrainisches Institut für Sortenprüfung</w:t>
            </w:r>
          </w:p>
        </w:tc>
        <w:tc>
          <w:tcPr>
            <w:tcW w:w="3402" w:type="dxa"/>
          </w:tcPr>
          <w:p w14:paraId="7F0B5F3F" w14:textId="77777777" w:rsidR="00424F87" w:rsidRPr="00A43EA1" w:rsidRDefault="00424F87" w:rsidP="00C30F9D">
            <w:pPr>
              <w:keepNext/>
              <w:jc w:val="left"/>
              <w:rPr>
                <w:sz w:val="16"/>
                <w:szCs w:val="16"/>
              </w:rPr>
            </w:pPr>
            <w:r w:rsidRPr="00A43EA1">
              <w:rPr>
                <w:sz w:val="16"/>
                <w:szCs w:val="16"/>
              </w:rPr>
              <w:t>Gemäß dem Gesetz der Ukraine "Sortenschutz" herausgegebenes Blatt zum Zwecke der amtlichen Informationstätigkeit auf dem Gebiet des Sortenschutzes und der Umsetzung der internationalen Verpflichtungen der Ukraine, die sich aus ihrer Mitgliedschaft im Internationalen Verband zum Schutz von Pflanzenzüchtungen (UPOV) ergeben</w:t>
            </w:r>
          </w:p>
        </w:tc>
        <w:tc>
          <w:tcPr>
            <w:tcW w:w="1984" w:type="dxa"/>
          </w:tcPr>
          <w:p w14:paraId="7251EE77" w14:textId="77777777" w:rsidR="00424F87" w:rsidRPr="00A43EA1" w:rsidRDefault="00424F87" w:rsidP="00C30F9D">
            <w:pPr>
              <w:keepNext/>
              <w:jc w:val="left"/>
              <w:rPr>
                <w:sz w:val="16"/>
                <w:szCs w:val="16"/>
              </w:rPr>
            </w:pPr>
            <w:r w:rsidRPr="00A43EA1">
              <w:rPr>
                <w:sz w:val="16"/>
                <w:szCs w:val="16"/>
              </w:rPr>
              <w:t>Ukraine</w:t>
            </w:r>
          </w:p>
        </w:tc>
        <w:tc>
          <w:tcPr>
            <w:tcW w:w="1639" w:type="dxa"/>
          </w:tcPr>
          <w:p w14:paraId="4C3651BA" w14:textId="77777777" w:rsidR="00424F87" w:rsidRPr="00A43EA1" w:rsidRDefault="00424F87" w:rsidP="00C30F9D">
            <w:pPr>
              <w:keepNext/>
              <w:jc w:val="left"/>
              <w:rPr>
                <w:sz w:val="16"/>
                <w:szCs w:val="16"/>
              </w:rPr>
            </w:pPr>
          </w:p>
        </w:tc>
      </w:tr>
      <w:tr w:rsidR="00424F87" w:rsidRPr="00A43EA1" w14:paraId="1FEE4B80" w14:textId="77777777" w:rsidTr="00200578">
        <w:tc>
          <w:tcPr>
            <w:tcW w:w="3318" w:type="dxa"/>
          </w:tcPr>
          <w:p w14:paraId="641558B6" w14:textId="77777777" w:rsidR="00424F87" w:rsidRPr="00A43EA1" w:rsidRDefault="00424F87" w:rsidP="00C30F9D">
            <w:pPr>
              <w:jc w:val="left"/>
              <w:rPr>
                <w:sz w:val="16"/>
                <w:szCs w:val="16"/>
              </w:rPr>
            </w:pPr>
            <w:r w:rsidRPr="00A43EA1">
              <w:rPr>
                <w:sz w:val="16"/>
                <w:szCs w:val="16"/>
              </w:rPr>
              <w:t>X Internationale Konferenz für angewandte Forschung von jungen Wissenschaftlern und Fachleuten "Züchtung, Genetik und Technologien für den Anbau von Kulturpflanzen"</w:t>
            </w:r>
          </w:p>
          <w:p w14:paraId="21F927B1" w14:textId="77777777" w:rsidR="00424F87" w:rsidRPr="00A43EA1" w:rsidRDefault="00424F87" w:rsidP="00C30F9D">
            <w:pPr>
              <w:jc w:val="left"/>
              <w:rPr>
                <w:sz w:val="16"/>
                <w:szCs w:val="16"/>
              </w:rPr>
            </w:pPr>
            <w:hyperlink r:id="rId47" w:history="1">
              <w:r w:rsidRPr="00A43EA1">
                <w:rPr>
                  <w:rStyle w:val="Hyperlink"/>
                  <w:sz w:val="16"/>
                  <w:szCs w:val="16"/>
                </w:rPr>
                <w:t xml:space="preserve">http://confer.uiesr.sops.gov.ua/miron2022/schedConf/presentations </w:t>
              </w:r>
            </w:hyperlink>
          </w:p>
        </w:tc>
        <w:tc>
          <w:tcPr>
            <w:tcW w:w="1134" w:type="dxa"/>
          </w:tcPr>
          <w:p w14:paraId="6E748884" w14:textId="77777777" w:rsidR="00424F87" w:rsidRPr="00A43EA1" w:rsidRDefault="00424F87" w:rsidP="00C30F9D">
            <w:pPr>
              <w:keepNext/>
              <w:jc w:val="left"/>
              <w:rPr>
                <w:sz w:val="16"/>
                <w:szCs w:val="16"/>
              </w:rPr>
            </w:pPr>
            <w:r w:rsidRPr="00A43EA1">
              <w:rPr>
                <w:sz w:val="16"/>
                <w:szCs w:val="16"/>
              </w:rPr>
              <w:t>29.04.2022</w:t>
            </w:r>
          </w:p>
        </w:tc>
        <w:tc>
          <w:tcPr>
            <w:tcW w:w="1134" w:type="dxa"/>
          </w:tcPr>
          <w:p w14:paraId="07A61A48" w14:textId="77777777" w:rsidR="00424F87" w:rsidRPr="00A43EA1" w:rsidRDefault="00424F87" w:rsidP="00C30F9D">
            <w:pPr>
              <w:keepNext/>
              <w:jc w:val="left"/>
              <w:rPr>
                <w:sz w:val="16"/>
                <w:szCs w:val="16"/>
              </w:rPr>
            </w:pPr>
            <w:r w:rsidRPr="00A43EA1">
              <w:rPr>
                <w:sz w:val="16"/>
                <w:szCs w:val="16"/>
              </w:rPr>
              <w:t>Dorf Centralne, Region Kiew</w:t>
            </w:r>
          </w:p>
        </w:tc>
        <w:tc>
          <w:tcPr>
            <w:tcW w:w="2693" w:type="dxa"/>
          </w:tcPr>
          <w:p w14:paraId="0A4AE60B" w14:textId="77777777" w:rsidR="00424F87" w:rsidRPr="00A43EA1" w:rsidRDefault="00424F87" w:rsidP="00C30F9D">
            <w:pPr>
              <w:keepNext/>
              <w:jc w:val="left"/>
              <w:rPr>
                <w:sz w:val="16"/>
                <w:szCs w:val="16"/>
              </w:rPr>
            </w:pPr>
            <w:r w:rsidRPr="00A43EA1">
              <w:rPr>
                <w:sz w:val="16"/>
                <w:szCs w:val="16"/>
              </w:rPr>
              <w:t>V.M. Remeslo Myronivka</w:t>
            </w:r>
          </w:p>
          <w:p w14:paraId="7667FC13" w14:textId="77777777" w:rsidR="00424F87" w:rsidRPr="00A43EA1" w:rsidRDefault="00424F87" w:rsidP="00C30F9D">
            <w:pPr>
              <w:keepNext/>
              <w:jc w:val="left"/>
              <w:rPr>
                <w:sz w:val="16"/>
                <w:szCs w:val="16"/>
              </w:rPr>
            </w:pPr>
            <w:r w:rsidRPr="00A43EA1">
              <w:rPr>
                <w:sz w:val="16"/>
                <w:szCs w:val="16"/>
              </w:rPr>
              <w:t xml:space="preserve">Institut für Weizen, Nationale Akademie der Agrarwissenschaften der Ukraine; </w:t>
            </w:r>
          </w:p>
          <w:p w14:paraId="0E3E5B11" w14:textId="77777777" w:rsidR="00424F87" w:rsidRPr="00A43EA1" w:rsidRDefault="00424F87" w:rsidP="00C30F9D">
            <w:pPr>
              <w:keepNext/>
              <w:jc w:val="left"/>
              <w:rPr>
                <w:sz w:val="16"/>
                <w:szCs w:val="16"/>
              </w:rPr>
            </w:pPr>
            <w:r w:rsidRPr="00A43EA1">
              <w:rPr>
                <w:sz w:val="16"/>
                <w:szCs w:val="16"/>
              </w:rPr>
              <w:t>Ukrainisches Institut für Sortenprüfung</w:t>
            </w:r>
          </w:p>
        </w:tc>
        <w:tc>
          <w:tcPr>
            <w:tcW w:w="3402" w:type="dxa"/>
          </w:tcPr>
          <w:p w14:paraId="09385FE4" w14:textId="77777777" w:rsidR="00424F87" w:rsidRPr="00A43EA1" w:rsidRDefault="00424F87" w:rsidP="00C30F9D">
            <w:pPr>
              <w:keepNext/>
              <w:jc w:val="left"/>
              <w:rPr>
                <w:sz w:val="16"/>
                <w:szCs w:val="16"/>
              </w:rPr>
            </w:pPr>
            <w:r w:rsidRPr="00A43EA1">
              <w:rPr>
                <w:sz w:val="16"/>
                <w:szCs w:val="16"/>
              </w:rPr>
              <w:t>Definition der modernen Trends in der Agrarforschung und Bewertung von Pflanzensorten</w:t>
            </w:r>
          </w:p>
        </w:tc>
        <w:tc>
          <w:tcPr>
            <w:tcW w:w="1984" w:type="dxa"/>
          </w:tcPr>
          <w:p w14:paraId="52C35098" w14:textId="77777777" w:rsidR="00424F87" w:rsidRPr="00A43EA1" w:rsidRDefault="00424F87" w:rsidP="00C30F9D">
            <w:pPr>
              <w:keepNext/>
              <w:jc w:val="left"/>
              <w:rPr>
                <w:sz w:val="16"/>
                <w:szCs w:val="16"/>
              </w:rPr>
            </w:pPr>
            <w:r w:rsidRPr="00A43EA1">
              <w:rPr>
                <w:sz w:val="16"/>
                <w:szCs w:val="16"/>
              </w:rPr>
              <w:t>Ukraine, Ungarn (177 Teilnehmer)</w:t>
            </w:r>
          </w:p>
        </w:tc>
        <w:tc>
          <w:tcPr>
            <w:tcW w:w="1639" w:type="dxa"/>
          </w:tcPr>
          <w:p w14:paraId="29F7BBD9" w14:textId="77777777" w:rsidR="00424F87" w:rsidRPr="00A43EA1" w:rsidRDefault="00424F87" w:rsidP="00C30F9D">
            <w:pPr>
              <w:keepNext/>
              <w:jc w:val="left"/>
              <w:rPr>
                <w:sz w:val="16"/>
                <w:szCs w:val="16"/>
              </w:rPr>
            </w:pPr>
            <w:r w:rsidRPr="00A43EA1">
              <w:rPr>
                <w:sz w:val="16"/>
                <w:szCs w:val="16"/>
              </w:rPr>
              <w:t>veröffentlichte eine Sammlung von Konferenzmaterialien</w:t>
            </w:r>
          </w:p>
        </w:tc>
      </w:tr>
      <w:tr w:rsidR="00424F87" w:rsidRPr="00A43EA1" w14:paraId="1BD5C192" w14:textId="77777777" w:rsidTr="00200578">
        <w:tc>
          <w:tcPr>
            <w:tcW w:w="3318" w:type="dxa"/>
          </w:tcPr>
          <w:p w14:paraId="13D334E9" w14:textId="77777777" w:rsidR="00424F87" w:rsidRPr="00A43EA1" w:rsidRDefault="00424F87" w:rsidP="00C30F9D">
            <w:pPr>
              <w:jc w:val="left"/>
              <w:rPr>
                <w:sz w:val="16"/>
                <w:szCs w:val="16"/>
              </w:rPr>
            </w:pPr>
            <w:r w:rsidRPr="00A43EA1">
              <w:rPr>
                <w:sz w:val="16"/>
                <w:szCs w:val="16"/>
              </w:rPr>
              <w:t>III. Internationale Konferenz für angewandte Wissenschaften "Die neuesten Agrotechnologien"</w:t>
            </w:r>
          </w:p>
          <w:p w14:paraId="28A18618" w14:textId="77777777" w:rsidR="00424F87" w:rsidRPr="00A43EA1" w:rsidRDefault="00424F87" w:rsidP="00C30F9D">
            <w:pPr>
              <w:jc w:val="left"/>
              <w:rPr>
                <w:sz w:val="16"/>
                <w:szCs w:val="16"/>
              </w:rPr>
            </w:pPr>
          </w:p>
          <w:p w14:paraId="57A20A14" w14:textId="77777777" w:rsidR="00424F87" w:rsidRPr="00A43EA1" w:rsidRDefault="00424F87" w:rsidP="00C30F9D">
            <w:pPr>
              <w:jc w:val="left"/>
              <w:rPr>
                <w:sz w:val="16"/>
                <w:szCs w:val="16"/>
              </w:rPr>
            </w:pPr>
            <w:hyperlink r:id="rId48" w:history="1">
              <w:r w:rsidRPr="00A43EA1">
                <w:rPr>
                  <w:rStyle w:val="Hyperlink"/>
                  <w:sz w:val="16"/>
                  <w:szCs w:val="16"/>
                </w:rPr>
                <w:t xml:space="preserve">https://conference.ukragroexpert.com.ua/ </w:t>
              </w:r>
            </w:hyperlink>
          </w:p>
          <w:p w14:paraId="7E69866A" w14:textId="77777777" w:rsidR="00424F87" w:rsidRPr="00A43EA1" w:rsidRDefault="00424F87" w:rsidP="00C30F9D">
            <w:pPr>
              <w:jc w:val="left"/>
              <w:rPr>
                <w:sz w:val="16"/>
                <w:szCs w:val="16"/>
              </w:rPr>
            </w:pPr>
          </w:p>
          <w:p w14:paraId="315698F4" w14:textId="77777777" w:rsidR="00424F87" w:rsidRPr="00A43EA1" w:rsidRDefault="00424F87" w:rsidP="00C30F9D">
            <w:pPr>
              <w:jc w:val="left"/>
              <w:rPr>
                <w:sz w:val="16"/>
                <w:szCs w:val="16"/>
              </w:rPr>
            </w:pPr>
            <w:hyperlink r:id="rId49" w:history="1">
              <w:r w:rsidRPr="00A43EA1">
                <w:rPr>
                  <w:rStyle w:val="Hyperlink"/>
                  <w:sz w:val="16"/>
                  <w:szCs w:val="16"/>
                </w:rPr>
                <w:t xml:space="preserve">http://confer.uiesr.sops.gov.ua/3newagr/schedConf/presentations </w:t>
              </w:r>
            </w:hyperlink>
          </w:p>
        </w:tc>
        <w:tc>
          <w:tcPr>
            <w:tcW w:w="1134" w:type="dxa"/>
          </w:tcPr>
          <w:p w14:paraId="623699A3" w14:textId="77777777" w:rsidR="00424F87" w:rsidRPr="00A43EA1" w:rsidRDefault="00424F87" w:rsidP="00C30F9D">
            <w:pPr>
              <w:keepNext/>
              <w:jc w:val="left"/>
              <w:rPr>
                <w:sz w:val="16"/>
                <w:szCs w:val="16"/>
              </w:rPr>
            </w:pPr>
            <w:r w:rsidRPr="00A43EA1">
              <w:rPr>
                <w:sz w:val="16"/>
                <w:szCs w:val="16"/>
              </w:rPr>
              <w:t>31.08.2022</w:t>
            </w:r>
          </w:p>
        </w:tc>
        <w:tc>
          <w:tcPr>
            <w:tcW w:w="1134" w:type="dxa"/>
          </w:tcPr>
          <w:p w14:paraId="63B0E99D" w14:textId="77777777" w:rsidR="00424F87" w:rsidRPr="00A43EA1" w:rsidRDefault="00424F87" w:rsidP="00C30F9D">
            <w:pPr>
              <w:keepNext/>
              <w:jc w:val="left"/>
              <w:rPr>
                <w:sz w:val="16"/>
                <w:szCs w:val="16"/>
              </w:rPr>
            </w:pPr>
            <w:r w:rsidRPr="00A43EA1">
              <w:rPr>
                <w:sz w:val="16"/>
                <w:szCs w:val="16"/>
              </w:rPr>
              <w:t>Kiew</w:t>
            </w:r>
          </w:p>
        </w:tc>
        <w:tc>
          <w:tcPr>
            <w:tcW w:w="2693" w:type="dxa"/>
          </w:tcPr>
          <w:p w14:paraId="14FF1F5A" w14:textId="77777777" w:rsidR="00424F87" w:rsidRPr="00A43EA1" w:rsidRDefault="00424F87" w:rsidP="00C30F9D">
            <w:pPr>
              <w:keepNext/>
              <w:jc w:val="left"/>
              <w:rPr>
                <w:sz w:val="16"/>
                <w:szCs w:val="16"/>
              </w:rPr>
            </w:pPr>
            <w:r w:rsidRPr="00A43EA1">
              <w:rPr>
                <w:sz w:val="16"/>
                <w:szCs w:val="16"/>
              </w:rPr>
              <w:t>Ukrainisches Institut für Sortenprüfung (Ukraine); Nationale Universität für Lebens- und Umweltwissenschaften der Ukraine (Ukraine);</w:t>
            </w:r>
          </w:p>
          <w:p w14:paraId="1A628814" w14:textId="77777777" w:rsidR="00424F87" w:rsidRPr="00A43EA1" w:rsidRDefault="00424F87" w:rsidP="00C30F9D">
            <w:pPr>
              <w:keepNext/>
              <w:jc w:val="left"/>
              <w:rPr>
                <w:sz w:val="16"/>
                <w:szCs w:val="16"/>
              </w:rPr>
            </w:pPr>
            <w:r w:rsidRPr="00A43EA1">
              <w:rPr>
                <w:sz w:val="16"/>
                <w:szCs w:val="16"/>
              </w:rPr>
              <w:t>Institut für Bioenergiepflanzen und Zuckerrüben NAAS (Ukraine); Nationale Agraruniversität Bila Tserkva (Ukraine); Institut für Pflanzenphysiologie und -genetik NAS (Ukraine); Forschungsinstitut für Agrarwirtschaft Ltd (Ukraine); Universität Ost-Sarajevo (Bosnien und Herzegowina)</w:t>
            </w:r>
          </w:p>
        </w:tc>
        <w:tc>
          <w:tcPr>
            <w:tcW w:w="3402" w:type="dxa"/>
          </w:tcPr>
          <w:p w14:paraId="510B2C93" w14:textId="77777777" w:rsidR="00424F87" w:rsidRPr="00A43EA1" w:rsidRDefault="00424F87" w:rsidP="00C30F9D">
            <w:pPr>
              <w:keepNext/>
              <w:jc w:val="left"/>
              <w:rPr>
                <w:sz w:val="16"/>
                <w:szCs w:val="16"/>
              </w:rPr>
            </w:pPr>
            <w:r w:rsidRPr="00A43EA1">
              <w:rPr>
                <w:sz w:val="16"/>
                <w:szCs w:val="16"/>
              </w:rPr>
              <w:t>Aufbau und Vertiefung wissenschaftlicher Verbindungen, Erfahrungsaustausch und Verbreitung von Kenntnissen über die Bedeutung des wissenschaftlichen Ansatzes in der Landwirtschaft sowie die Suche nach Lösungen für angewandte und theoretische Aufgaben im Agrarsektor und bei der Sortenprüfung</w:t>
            </w:r>
          </w:p>
        </w:tc>
        <w:tc>
          <w:tcPr>
            <w:tcW w:w="1984" w:type="dxa"/>
          </w:tcPr>
          <w:p w14:paraId="34B9DDEB" w14:textId="77777777" w:rsidR="00424F87" w:rsidRPr="00A43EA1" w:rsidRDefault="00424F87" w:rsidP="00C30F9D">
            <w:pPr>
              <w:keepNext/>
              <w:jc w:val="left"/>
              <w:rPr>
                <w:sz w:val="16"/>
                <w:szCs w:val="16"/>
              </w:rPr>
            </w:pPr>
            <w:r w:rsidRPr="00A43EA1">
              <w:rPr>
                <w:sz w:val="16"/>
                <w:szCs w:val="16"/>
              </w:rPr>
              <w:t>Ukraine, Algerien, Indien, Türkiye, Lettland (35 Teilnehmer)</w:t>
            </w:r>
          </w:p>
        </w:tc>
        <w:tc>
          <w:tcPr>
            <w:tcW w:w="1639" w:type="dxa"/>
          </w:tcPr>
          <w:p w14:paraId="59834408" w14:textId="77777777" w:rsidR="00424F87" w:rsidRPr="00A43EA1" w:rsidRDefault="00424F87" w:rsidP="00C30F9D">
            <w:pPr>
              <w:keepNext/>
              <w:jc w:val="left"/>
              <w:rPr>
                <w:sz w:val="16"/>
                <w:szCs w:val="16"/>
              </w:rPr>
            </w:pPr>
            <w:r w:rsidRPr="00A43EA1">
              <w:rPr>
                <w:sz w:val="16"/>
                <w:szCs w:val="16"/>
              </w:rPr>
              <w:t>veröffentlichte eine Sammlung von Konferenzmaterialien</w:t>
            </w:r>
          </w:p>
        </w:tc>
      </w:tr>
    </w:tbl>
    <w:p w14:paraId="726FCFA2" w14:textId="77777777" w:rsidR="00424F87" w:rsidRPr="00A43EA1" w:rsidRDefault="00424F87" w:rsidP="00424F87"/>
    <w:p w14:paraId="467D72A3" w14:textId="77777777" w:rsidR="00424F87" w:rsidRPr="00A43EA1" w:rsidRDefault="00424F87" w:rsidP="00424F87"/>
    <w:p w14:paraId="55A3A98F" w14:textId="77777777" w:rsidR="00424F87" w:rsidRPr="00A43EA1" w:rsidRDefault="00424F87" w:rsidP="00424F87"/>
    <w:p w14:paraId="02ACC4B2" w14:textId="7D67808E" w:rsidR="00424F87" w:rsidRPr="00A43EA1" w:rsidRDefault="00424F87" w:rsidP="00424F87">
      <w:pPr>
        <w:jc w:val="right"/>
      </w:pPr>
      <w:r w:rsidRPr="00A43EA1">
        <w:t>[</w:t>
      </w:r>
      <w:r w:rsidR="009E6E5A">
        <w:t>Anlage</w:t>
      </w:r>
      <w:r w:rsidRPr="00A43EA1">
        <w:t xml:space="preserve"> XVIII folgt]</w:t>
      </w:r>
    </w:p>
    <w:p w14:paraId="390289CD" w14:textId="77777777" w:rsidR="00424F87" w:rsidRPr="00A43EA1" w:rsidRDefault="00424F87" w:rsidP="00424F87"/>
    <w:p w14:paraId="316D4C9A" w14:textId="77777777" w:rsidR="00424F87" w:rsidRPr="00A43EA1" w:rsidRDefault="00424F87" w:rsidP="00424F87">
      <w:pPr>
        <w:sectPr w:rsidR="00424F87" w:rsidRPr="00A43EA1" w:rsidSect="006262D5">
          <w:pgSz w:w="16840" w:h="11907" w:orient="landscape" w:code="9"/>
          <w:pgMar w:top="1134" w:right="510" w:bottom="1134" w:left="709" w:header="510" w:footer="680" w:gutter="0"/>
          <w:cols w:space="720"/>
          <w:docGrid w:linePitch="272"/>
        </w:sectPr>
      </w:pPr>
    </w:p>
    <w:p w14:paraId="4920733B" w14:textId="77777777" w:rsidR="00424F87" w:rsidRPr="00A43EA1" w:rsidRDefault="00424F87" w:rsidP="00424F87">
      <w:pPr>
        <w:jc w:val="center"/>
      </w:pPr>
      <w:r w:rsidRPr="00A43EA1">
        <w:lastRenderedPageBreak/>
        <w:t>C/57/13</w:t>
      </w:r>
    </w:p>
    <w:p w14:paraId="7CF17C9D" w14:textId="77777777" w:rsidR="00424F87" w:rsidRPr="00A43EA1" w:rsidRDefault="00424F87" w:rsidP="00424F87">
      <w:pPr>
        <w:jc w:val="center"/>
      </w:pPr>
    </w:p>
    <w:p w14:paraId="57469F99" w14:textId="7FA07239" w:rsidR="00424F87" w:rsidRPr="00A43EA1" w:rsidRDefault="009E6E5A" w:rsidP="00424F87">
      <w:pPr>
        <w:jc w:val="center"/>
      </w:pPr>
      <w:r>
        <w:t>ANLAGE</w:t>
      </w:r>
      <w:r w:rsidR="00424F87" w:rsidRPr="00A43EA1">
        <w:t xml:space="preserve"> XVIII</w:t>
      </w:r>
    </w:p>
    <w:p w14:paraId="4B65A77E" w14:textId="77777777" w:rsidR="00424F87" w:rsidRPr="00A43EA1" w:rsidRDefault="00424F87" w:rsidP="00424F87">
      <w:pPr>
        <w:jc w:val="center"/>
      </w:pPr>
    </w:p>
    <w:p w14:paraId="15D770BB" w14:textId="77777777" w:rsidR="00424F87" w:rsidRPr="00A43EA1" w:rsidRDefault="00424F87" w:rsidP="00424F87">
      <w:pPr>
        <w:jc w:val="center"/>
      </w:pPr>
    </w:p>
    <w:p w14:paraId="050C7540" w14:textId="77777777" w:rsidR="00424F87" w:rsidRPr="00A43EA1" w:rsidRDefault="00424F87" w:rsidP="00424F87">
      <w:pPr>
        <w:jc w:val="center"/>
      </w:pPr>
      <w:r w:rsidRPr="00A43EA1">
        <w:t>EUROPÄISCHE UNION</w:t>
      </w:r>
      <w:r w:rsidRPr="00A43EA1">
        <w:rPr>
          <w:rStyle w:val="EndnoteReference"/>
        </w:rPr>
        <w:endnoteReference w:id="2"/>
      </w:r>
    </w:p>
    <w:p w14:paraId="02092942" w14:textId="77777777" w:rsidR="00424F87" w:rsidRPr="00A43EA1" w:rsidRDefault="00424F87" w:rsidP="00424F87">
      <w:pPr>
        <w:jc w:val="center"/>
      </w:pPr>
      <w:r w:rsidRPr="00A43EA1">
        <w:t>(Originalsprache: englisch)</w:t>
      </w:r>
    </w:p>
    <w:p w14:paraId="34806C6B" w14:textId="77777777" w:rsidR="00424F87" w:rsidRPr="00A43EA1" w:rsidRDefault="00424F87" w:rsidP="00424F87"/>
    <w:p w14:paraId="3DCC1B7E"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49FADE62" w14:textId="77777777" w:rsidR="00424F87" w:rsidRPr="00A43EA1" w:rsidRDefault="00424F87" w:rsidP="00424F87">
      <w:pPr>
        <w:jc w:val="center"/>
      </w:pPr>
      <w:r w:rsidRPr="00A43EA1">
        <w:t>Zeitraum: Juli 2022 - Juli 2023</w:t>
      </w:r>
    </w:p>
    <w:p w14:paraId="3832300A" w14:textId="77777777" w:rsidR="00424F87" w:rsidRPr="00A43EA1" w:rsidRDefault="00424F87" w:rsidP="00424F87">
      <w:pPr>
        <w:jc w:val="center"/>
      </w:pPr>
    </w:p>
    <w:p w14:paraId="7869D2AF" w14:textId="3FA7DDC5" w:rsidR="00424F87" w:rsidRPr="00A43EA1" w:rsidRDefault="00424F87" w:rsidP="00424F87">
      <w:pPr>
        <w:jc w:val="center"/>
      </w:pPr>
      <w:r w:rsidRPr="00A43EA1">
        <w:t xml:space="preserve">(von der Europäischen Kommission in enger Zusammenarbeit mit dem </w:t>
      </w:r>
      <w:r w:rsidR="001233D5">
        <w:br/>
      </w:r>
      <w:r w:rsidRPr="00A43EA1">
        <w:t>Gemeinschaftlichen Sortenamt erstellter Bericht)</w:t>
      </w:r>
    </w:p>
    <w:p w14:paraId="0EC488BA" w14:textId="77777777" w:rsidR="00424F87" w:rsidRPr="00A43EA1" w:rsidRDefault="00424F87" w:rsidP="00424F87">
      <w:pPr>
        <w:jc w:val="center"/>
      </w:pPr>
    </w:p>
    <w:p w14:paraId="24BDF282" w14:textId="77777777" w:rsidR="00424F87" w:rsidRPr="00A43EA1" w:rsidRDefault="00424F87" w:rsidP="00424F87">
      <w:pPr>
        <w:jc w:val="center"/>
      </w:pPr>
    </w:p>
    <w:p w14:paraId="260D1BC7" w14:textId="77777777" w:rsidR="00424F87" w:rsidRPr="00A43EA1" w:rsidRDefault="00424F87" w:rsidP="00424F87">
      <w:pPr>
        <w:pStyle w:val="ListBullet"/>
        <w:numPr>
          <w:ilvl w:val="0"/>
          <w:numId w:val="0"/>
        </w:numPr>
        <w:tabs>
          <w:tab w:val="left" w:pos="720"/>
        </w:tabs>
        <w:spacing w:after="0" w:line="240" w:lineRule="auto"/>
        <w:ind w:left="283" w:hanging="283"/>
        <w:jc w:val="both"/>
        <w:rPr>
          <w:rFonts w:ascii="Arial" w:hAnsi="Arial" w:cs="Arial"/>
          <w:bCs/>
          <w:sz w:val="20"/>
          <w:szCs w:val="20"/>
          <w:lang w:val="de-DE"/>
        </w:rPr>
      </w:pPr>
      <w:r w:rsidRPr="00A43EA1">
        <w:rPr>
          <w:rFonts w:ascii="Arial" w:hAnsi="Arial" w:cs="Arial"/>
          <w:bCs/>
          <w:sz w:val="20"/>
          <w:szCs w:val="20"/>
          <w:lang w:val="de-DE"/>
        </w:rPr>
        <w:t>SORTENSCHUTZ</w:t>
      </w:r>
    </w:p>
    <w:p w14:paraId="5FEF5DC2" w14:textId="77777777" w:rsidR="00424F87" w:rsidRPr="00A43EA1" w:rsidRDefault="00424F87" w:rsidP="00424F87">
      <w:pPr>
        <w:rPr>
          <w:rFonts w:cs="Arial"/>
          <w:bCs/>
        </w:rPr>
      </w:pPr>
    </w:p>
    <w:p w14:paraId="7CECCBB7" w14:textId="77777777" w:rsidR="00424F87" w:rsidRPr="00A43EA1" w:rsidRDefault="00424F87" w:rsidP="00424F87">
      <w:pPr>
        <w:rPr>
          <w:rFonts w:cs="Arial"/>
          <w:bCs/>
          <w:u w:val="single"/>
        </w:rPr>
      </w:pPr>
      <w:r w:rsidRPr="00A43EA1">
        <w:rPr>
          <w:rFonts w:cs="Arial"/>
          <w:bCs/>
          <w:u w:val="single"/>
        </w:rPr>
        <w:t>1)</w:t>
      </w:r>
      <w:r w:rsidRPr="00A43EA1">
        <w:rPr>
          <w:rFonts w:cs="Arial"/>
          <w:bCs/>
          <w:u w:val="single"/>
        </w:rPr>
        <w:tab/>
        <w:t>Gesetzgebung</w:t>
      </w:r>
    </w:p>
    <w:p w14:paraId="23502F6E" w14:textId="77777777" w:rsidR="00424F87" w:rsidRPr="00A43EA1" w:rsidRDefault="00424F87" w:rsidP="00424F87">
      <w:pPr>
        <w:rPr>
          <w:rFonts w:cs="Arial"/>
          <w:bCs/>
          <w:u w:val="single"/>
        </w:rPr>
      </w:pPr>
    </w:p>
    <w:p w14:paraId="563863DB" w14:textId="77777777" w:rsidR="00424F87" w:rsidRPr="00A43EA1" w:rsidRDefault="00424F87" w:rsidP="00424F87">
      <w:pPr>
        <w:pStyle w:val="ListBullet"/>
        <w:numPr>
          <w:ilvl w:val="0"/>
          <w:numId w:val="0"/>
        </w:numPr>
        <w:tabs>
          <w:tab w:val="left" w:pos="720"/>
        </w:tabs>
        <w:spacing w:after="0" w:line="240" w:lineRule="auto"/>
        <w:ind w:firstLine="1"/>
        <w:jc w:val="both"/>
        <w:rPr>
          <w:rFonts w:ascii="Arial" w:hAnsi="Arial" w:cs="Arial"/>
          <w:b/>
          <w:sz w:val="20"/>
          <w:szCs w:val="20"/>
          <w:u w:val="single"/>
          <w:lang w:val="de-DE"/>
        </w:rPr>
      </w:pPr>
      <w:r w:rsidRPr="00A43EA1">
        <w:rPr>
          <w:rFonts w:ascii="Arial" w:hAnsi="Arial" w:cs="Arial"/>
          <w:sz w:val="20"/>
          <w:szCs w:val="20"/>
          <w:u w:val="single"/>
          <w:lang w:val="de-DE"/>
        </w:rPr>
        <w:t>Allgemein</w:t>
      </w:r>
    </w:p>
    <w:p w14:paraId="4C5B9AAE" w14:textId="77777777" w:rsidR="00424F87" w:rsidRPr="00A43EA1" w:rsidRDefault="00424F87" w:rsidP="00424F87">
      <w:pPr>
        <w:rPr>
          <w:rFonts w:cs="Arial"/>
          <w:u w:val="single"/>
        </w:rPr>
      </w:pPr>
    </w:p>
    <w:p w14:paraId="7149E20B" w14:textId="77777777" w:rsidR="00424F87" w:rsidRPr="00A43EA1" w:rsidRDefault="00424F87" w:rsidP="00424F87">
      <w:pPr>
        <w:rPr>
          <w:rFonts w:cs="Arial"/>
          <w:u w:val="single"/>
        </w:rPr>
      </w:pPr>
      <w:r w:rsidRPr="00A43EA1">
        <w:rPr>
          <w:rFonts w:cs="Arial"/>
          <w:u w:val="single"/>
        </w:rPr>
        <w:t xml:space="preserve">1.1 Änderung des Gesetzes und der Durchführungsverordnungen: </w:t>
      </w:r>
    </w:p>
    <w:p w14:paraId="3A71C239" w14:textId="77777777" w:rsidR="00424F87" w:rsidRPr="00A43EA1" w:rsidRDefault="00424F87" w:rsidP="00424F87">
      <w:pPr>
        <w:rPr>
          <w:rFonts w:cs="Arial"/>
        </w:rPr>
      </w:pPr>
    </w:p>
    <w:p w14:paraId="3934D2DC" w14:textId="77777777" w:rsidR="00424F87" w:rsidRPr="00A43EA1" w:rsidRDefault="00424F87" w:rsidP="00424F87">
      <w:pPr>
        <w:rPr>
          <w:rFonts w:cs="Arial"/>
          <w:shd w:val="clear" w:color="auto" w:fill="FFFFFF"/>
        </w:rPr>
      </w:pPr>
      <w:r w:rsidRPr="00A43EA1">
        <w:rPr>
          <w:rFonts w:cs="Arial"/>
        </w:rPr>
        <w:t xml:space="preserve">Die </w:t>
      </w:r>
      <w:r w:rsidRPr="00A43EA1">
        <w:rPr>
          <w:rFonts w:cs="Arial"/>
          <w:shd w:val="clear" w:color="auto" w:fill="FFFFFF"/>
        </w:rPr>
        <w:t>Verordnung (EG) Nr. 1238/95 der Kommission zur Durchführung der Verordnung (EG) Nr. 2100/94 des Rates im Hinblick auf die an das Gemeinschaftliche Sortenamt zu entrichtenden Gebühren wurde hinsichtlich der Prüfungsgebühren, der Jahresgebühr und einiger Verwaltungsgebühren aktualisiert.</w:t>
      </w:r>
    </w:p>
    <w:p w14:paraId="3A8A06B5" w14:textId="77777777" w:rsidR="00424F87" w:rsidRPr="00A43EA1" w:rsidRDefault="00424F87" w:rsidP="00424F87">
      <w:pPr>
        <w:rPr>
          <w:rFonts w:cs="Arial"/>
        </w:rPr>
      </w:pPr>
    </w:p>
    <w:p w14:paraId="5C301DDA" w14:textId="77777777" w:rsidR="00424F87" w:rsidRPr="00A43EA1" w:rsidRDefault="00424F87" w:rsidP="00424F87">
      <w:pPr>
        <w:rPr>
          <w:rFonts w:cs="Arial"/>
          <w:u w:val="single"/>
        </w:rPr>
      </w:pPr>
      <w:r w:rsidRPr="00A43EA1">
        <w:rPr>
          <w:rFonts w:cs="Arial"/>
          <w:u w:val="single"/>
        </w:rPr>
        <w:t xml:space="preserve">1.2 Rechtsprechung </w:t>
      </w:r>
    </w:p>
    <w:p w14:paraId="3CF614B4" w14:textId="77777777" w:rsidR="00424F87" w:rsidRPr="00A43EA1" w:rsidRDefault="00424F87" w:rsidP="00424F87">
      <w:pPr>
        <w:rPr>
          <w:rFonts w:cs="Arial"/>
          <w:b/>
          <w:bCs/>
        </w:rPr>
      </w:pPr>
    </w:p>
    <w:p w14:paraId="4785156E" w14:textId="77777777" w:rsidR="00424F87" w:rsidRPr="00A43EA1" w:rsidRDefault="00424F87" w:rsidP="00424F87">
      <w:pPr>
        <w:rPr>
          <w:rFonts w:cs="Arial"/>
          <w:i/>
          <w:iCs/>
        </w:rPr>
      </w:pPr>
      <w:r w:rsidRPr="00A43EA1">
        <w:rPr>
          <w:rFonts w:cs="Arial"/>
          <w:i/>
          <w:iCs/>
        </w:rPr>
        <w:t>Entscheidung der CPVO-Beschwerdekammer vom 1. Juli 2022 in der Sache A018/2021 "SK20".</w:t>
      </w:r>
    </w:p>
    <w:p w14:paraId="57940735" w14:textId="77777777" w:rsidR="00424F87" w:rsidRPr="00A43EA1" w:rsidRDefault="00424F87" w:rsidP="00424F87">
      <w:pPr>
        <w:rPr>
          <w:rFonts w:cs="Arial"/>
        </w:rPr>
      </w:pPr>
    </w:p>
    <w:p w14:paraId="64E56BD2" w14:textId="77777777" w:rsidR="00424F87" w:rsidRPr="00A43EA1" w:rsidRDefault="00424F87" w:rsidP="00424F87">
      <w:pPr>
        <w:rPr>
          <w:rFonts w:cs="Arial"/>
        </w:rPr>
      </w:pPr>
      <w:r w:rsidRPr="00A43EA1">
        <w:rPr>
          <w:rFonts w:cs="Arial"/>
        </w:rPr>
        <w:t xml:space="preserve">Am 18. Dezember 2017 reichte die Rechtsmittelführerin, House Foods Group Inc., einen Antrag auf Schutz einer Pflanzensorte der Art Allum cepa (Cepa-Gruppe) mit der Bezeichnung "SK20" ein. Der Antrag auf gemeinschaftlichen Sortenschutz (CPVR) erhielt das Aktenzeichen 2017/3314. Das CPVO war der Ansicht, dass die Sorte die DUS-Anforderungen erfüllt, und teilte dem Antragsteller einen positiven Bericht mit. Letzterer beantragte jedoch, ein nicht im technischen Protokoll enthaltenes Merkmal in die Sortenbeschreibung aufzunehmen. </w:t>
      </w:r>
    </w:p>
    <w:p w14:paraId="506642E3" w14:textId="77777777" w:rsidR="00424F87" w:rsidRPr="00A43EA1" w:rsidRDefault="00424F87" w:rsidP="00424F87">
      <w:pPr>
        <w:rPr>
          <w:rFonts w:cs="Arial"/>
        </w:rPr>
      </w:pPr>
    </w:p>
    <w:p w14:paraId="7E20D202" w14:textId="77777777" w:rsidR="00424F87" w:rsidRPr="00A43EA1" w:rsidRDefault="00424F87" w:rsidP="00424F87">
      <w:pPr>
        <w:rPr>
          <w:rFonts w:cs="Arial"/>
        </w:rPr>
      </w:pPr>
      <w:r w:rsidRPr="00A43EA1">
        <w:rPr>
          <w:rFonts w:cs="Arial"/>
        </w:rPr>
        <w:t xml:space="preserve">Das Amt lehnte dies mit der Begründung ab, dass die Sorte bereits aufgrund anderer morphologischer Merkmale, die Teil des einschlägigen Protokolls sind, von der allgemein bekannten Sorte unterscheidbar sei. Das Recht wurde unmittelbar nach dieser Ablehnung erteilt. </w:t>
      </w:r>
    </w:p>
    <w:p w14:paraId="4C2584DF" w14:textId="77777777" w:rsidR="00424F87" w:rsidRPr="00A43EA1" w:rsidRDefault="00424F87" w:rsidP="00424F87">
      <w:pPr>
        <w:rPr>
          <w:rFonts w:cs="Arial"/>
        </w:rPr>
      </w:pPr>
    </w:p>
    <w:p w14:paraId="56673973" w14:textId="77777777" w:rsidR="00424F87" w:rsidRPr="00A43EA1" w:rsidRDefault="00424F87" w:rsidP="00424F87">
      <w:pPr>
        <w:rPr>
          <w:rFonts w:cs="Arial"/>
        </w:rPr>
      </w:pPr>
      <w:r w:rsidRPr="00A43EA1">
        <w:rPr>
          <w:rFonts w:cs="Arial"/>
        </w:rPr>
        <w:t>Der Beschwerdeführer machte vor der Beschwerdekammer geltend, dass die Entscheidung des CPVO, die Änderung der Sortenbeschreibung abzulehnen, den Schutzumfang des erteilten Rechts beeinträchtige. Die Kammer stellte fest, dass die Beschwerde gemäß Art. 49 Abs. 1 der Verordnung (EG) Nr. 874/2009 ("PR") in Verbindung mit Art. 81 der Verordnung (EG) Nr. 2100/94 über den gemeinschaftlichen Sortenschutz ("Grundverordnung") unzulässig sei, da die Beschwerdeführerin nicht als unterlegene Partei in Betracht komme. Die Rechtsmittelführerin hat nämlich nicht die Entscheidung über die Erteilung des Sortenschutzes für die Sorte "SK20" angefochten, sondern nur einen Teil der Sortenbeschreibung hinsichtlich der Merkmalsliste. Außerdem wurde das CPVR erteilt.</w:t>
      </w:r>
    </w:p>
    <w:p w14:paraId="5113D3D5" w14:textId="77777777" w:rsidR="00424F87" w:rsidRPr="00A43EA1" w:rsidRDefault="00424F87" w:rsidP="00424F87">
      <w:pPr>
        <w:rPr>
          <w:rFonts w:cs="Arial"/>
        </w:rPr>
      </w:pPr>
    </w:p>
    <w:p w14:paraId="00B2712B" w14:textId="77777777" w:rsidR="00424F87" w:rsidRPr="00A43EA1" w:rsidRDefault="00424F87" w:rsidP="00424F87">
      <w:pPr>
        <w:rPr>
          <w:rFonts w:cs="Arial"/>
        </w:rPr>
      </w:pPr>
      <w:r w:rsidRPr="00A43EA1">
        <w:rPr>
          <w:rFonts w:cs="Arial"/>
        </w:rPr>
        <w:t>Die Kammer entschied der Vollständigkeit halber auch in der Sache. Der Oberste Rat erinnerte daran, dass die Kandidatensorte in mindestens einem Merkmal von der allgemein bekannten Sorte unterscheidbar sein muss. Sobald mindestens ein unterscheidbares Merkmal festgestellt wurde, war das Amt nicht verpflichtet, zusätzliche Merkmale zu prüfen. Wenn ein Antragsteller ein zusätzliches Merkmal vorschlägt, ist der Präsident des Amtes auch nicht verpflichtet, das in den Artikeln 22 und 23 PR vorgesehene Verfahren anzuwenden, wenn dies nicht erforderlich ist, insbesondere wenn die Unterscheidbarkeit der Sorte bereits festgestellt wurde. Dieser Grundsatz spiegelt sich auch in den Urteilen des Gerichtshofs C-625/15P und C-534/10P wider, in denen der Ermessensspielraum des CPVO aufgrund des wissenschaftlichen Charakters der von ihm geleisteten Arbeit präzisiert wird.</w:t>
      </w:r>
    </w:p>
    <w:p w14:paraId="58AC297B" w14:textId="77777777" w:rsidR="00424F87" w:rsidRPr="00A43EA1" w:rsidRDefault="00424F87" w:rsidP="00424F87">
      <w:pPr>
        <w:rPr>
          <w:rFonts w:cs="Arial"/>
        </w:rPr>
      </w:pPr>
    </w:p>
    <w:p w14:paraId="5FC029A0" w14:textId="77777777" w:rsidR="00424F87" w:rsidRPr="00A43EA1" w:rsidRDefault="00424F87" w:rsidP="00424F87">
      <w:pPr>
        <w:rPr>
          <w:rFonts w:cs="Arial"/>
        </w:rPr>
      </w:pPr>
      <w:r w:rsidRPr="00A43EA1">
        <w:rPr>
          <w:rFonts w:cs="Arial"/>
        </w:rPr>
        <w:lastRenderedPageBreak/>
        <w:t xml:space="preserve">Abschließend wies die Kammer die Beschwerde als unzulässig zurück, erklärte sie für unbegründet und wies den Beschwerdeführer an, die Kosten des Beschwerdeverfahrens gemäß Artikel 85 Absatz 1 der Grundverordnung zu tragen. </w:t>
      </w:r>
    </w:p>
    <w:p w14:paraId="6A09D18A" w14:textId="77777777" w:rsidR="00424F87" w:rsidRPr="00A43EA1" w:rsidRDefault="00424F87" w:rsidP="00424F87">
      <w:pPr>
        <w:rPr>
          <w:rFonts w:cs="Arial"/>
        </w:rPr>
      </w:pPr>
    </w:p>
    <w:p w14:paraId="15B882FD" w14:textId="77777777" w:rsidR="00424F87" w:rsidRPr="00A43EA1" w:rsidRDefault="00424F87" w:rsidP="00424F87">
      <w:pPr>
        <w:rPr>
          <w:rFonts w:cs="Arial"/>
          <w:i/>
          <w:iCs/>
        </w:rPr>
      </w:pPr>
      <w:r w:rsidRPr="00A43EA1">
        <w:rPr>
          <w:rFonts w:cs="Arial"/>
          <w:i/>
          <w:iCs/>
        </w:rPr>
        <w:t>Entscheidung der CPVO-Beschwerdekammer vom 14. Dezember 2022 in der Sache A021/2021 "Vineta".</w:t>
      </w:r>
    </w:p>
    <w:p w14:paraId="6285CDF1" w14:textId="77777777" w:rsidR="00424F87" w:rsidRPr="00A43EA1" w:rsidRDefault="00424F87" w:rsidP="00424F87">
      <w:pPr>
        <w:rPr>
          <w:rFonts w:cs="Arial"/>
        </w:rPr>
      </w:pPr>
    </w:p>
    <w:p w14:paraId="423A92EF" w14:textId="77777777" w:rsidR="00424F87" w:rsidRPr="00A43EA1" w:rsidRDefault="00424F87" w:rsidP="00424F87">
      <w:pPr>
        <w:rPr>
          <w:rFonts w:cs="Arial"/>
        </w:rPr>
      </w:pPr>
      <w:r w:rsidRPr="00A43EA1">
        <w:rPr>
          <w:rFonts w:cs="Arial"/>
        </w:rPr>
        <w:t>Im August 1995 reichte die Rechtsmittelführerin einen CPVR-Antrag für die Sorte "Vineta" von Solanum Tuberosum L. ein, der im August 1996 mit einem falschen Ablaufdatum erteilt wurde: 1. September 2026. Im Oktober 2021 stellte das Amt den Fehler fest, weil das Ablaufdatum gemäß Artikel 19 der Grundverordnung mit dem 31. Dezember übereinstimmen muss. Am 1. Oktober 2021 wurde eine Berichtigung ausgestellt, mit der das Datum des Ablaufs der Schutzdauer auf den 31. Dezember 2024 geändert wurde. Der Rechtsmittelführer machte geltend, dass das falsche Datum aus Gründen der Rechtssicherheit nicht geändert werden könne.</w:t>
      </w:r>
    </w:p>
    <w:p w14:paraId="5C23A261" w14:textId="77777777" w:rsidR="00424F87" w:rsidRPr="00A43EA1" w:rsidRDefault="00424F87" w:rsidP="00424F87">
      <w:pPr>
        <w:rPr>
          <w:rFonts w:cs="Arial"/>
        </w:rPr>
      </w:pPr>
    </w:p>
    <w:p w14:paraId="5E194EFC" w14:textId="77777777" w:rsidR="00424F87" w:rsidRPr="00A43EA1" w:rsidRDefault="00424F87" w:rsidP="00424F87">
      <w:pPr>
        <w:rPr>
          <w:rFonts w:cs="Arial"/>
        </w:rPr>
      </w:pPr>
      <w:r w:rsidRPr="00A43EA1">
        <w:rPr>
          <w:rFonts w:cs="Arial"/>
        </w:rPr>
        <w:t>Die Beschwerdekammer hielt die Beschwerde für zulässig und begründet. Die Kammer verwies auf die "Siberia"-Entscheidung (T-737/18) und stellte fest, dass der Fehler des Amtes kein offensichtlicher Fehler im Sinne von Artikel 53 Absatz 4 der Grundverordnung war und nicht berichtigt werden konnte. Eine solche Berichtigung sei nicht bürokratischer Natur, da sie sich auf die Substanz eines erteilten Rechts auswirke.</w:t>
      </w:r>
    </w:p>
    <w:p w14:paraId="0BF7FB08" w14:textId="77777777" w:rsidR="00424F87" w:rsidRPr="00A43EA1" w:rsidRDefault="00424F87" w:rsidP="00424F87">
      <w:pPr>
        <w:rPr>
          <w:rFonts w:cs="Arial"/>
        </w:rPr>
      </w:pPr>
    </w:p>
    <w:p w14:paraId="43662172" w14:textId="77777777" w:rsidR="00424F87" w:rsidRPr="00A43EA1" w:rsidRDefault="00424F87" w:rsidP="00424F87">
      <w:pPr>
        <w:rPr>
          <w:rFonts w:cs="Arial"/>
        </w:rPr>
      </w:pPr>
      <w:r w:rsidRPr="00A43EA1">
        <w:rPr>
          <w:rFonts w:cs="Arial"/>
        </w:rPr>
        <w:t>Die Widerspruchskammer stellte fest, dass die Berichtigung von 2021 und die Erläuterungen des Amtes die angefochtenen Maßnahmen waren und daher als beschwerdefähige Entscheidung gelten. Die Entscheidungsinstanz verknüpfte die Beschwerde mit Artikel 67 und Artikel 87 der Grundverordnung und stufte die Berichtigung als Ergänzung des Registers ein.</w:t>
      </w:r>
    </w:p>
    <w:p w14:paraId="401DED74" w14:textId="77777777" w:rsidR="00424F87" w:rsidRPr="00A43EA1" w:rsidRDefault="00424F87" w:rsidP="00424F87">
      <w:pPr>
        <w:rPr>
          <w:rFonts w:cs="Arial"/>
        </w:rPr>
      </w:pPr>
    </w:p>
    <w:p w14:paraId="572B4937" w14:textId="77777777" w:rsidR="00424F87" w:rsidRPr="00A43EA1" w:rsidRDefault="00424F87" w:rsidP="00424F87">
      <w:pPr>
        <w:rPr>
          <w:rFonts w:cs="Arial"/>
        </w:rPr>
      </w:pPr>
      <w:r w:rsidRPr="00A43EA1">
        <w:rPr>
          <w:rFonts w:cs="Arial"/>
        </w:rPr>
        <w:t>Hinsichtlich der Begründetheit der Beschwerde betonte die Beschwerdekammer, dass keine Bestimmung der Grundverordnung es dem Amt erlaube, ein erteiltes CPVR zu ändern. Aufgrund des über zwanzig Jahre zurückliegenden Fehlers und unter Berücksichtigung des Grundsatzes der Rechtssicherheit war das Amt nicht in der Lage, die Dauer des Rechts im Einklang mit den berechtigten Erwartungen des Beschwerdeführers zu ändern.</w:t>
      </w:r>
    </w:p>
    <w:p w14:paraId="32A4A729" w14:textId="77777777" w:rsidR="00424F87" w:rsidRPr="00A43EA1" w:rsidRDefault="00424F87" w:rsidP="00424F87">
      <w:pPr>
        <w:rPr>
          <w:rFonts w:cs="Arial"/>
        </w:rPr>
      </w:pPr>
    </w:p>
    <w:p w14:paraId="71ADA41C" w14:textId="77777777" w:rsidR="00424F87" w:rsidRPr="00A43EA1" w:rsidRDefault="00424F87" w:rsidP="00424F87">
      <w:pPr>
        <w:rPr>
          <w:rFonts w:cs="Arial"/>
        </w:rPr>
      </w:pPr>
      <w:r w:rsidRPr="00A43EA1">
        <w:rPr>
          <w:rFonts w:cs="Arial"/>
        </w:rPr>
        <w:t xml:space="preserve">Abschließend hob die Beschwerdekammer die Entscheidung des CPVO auf und wies das Amt an, die damit verbundenen Kosten gemäß Artikel 85 Absatz 1 der Grundverordnung zu tragen. </w:t>
      </w:r>
    </w:p>
    <w:p w14:paraId="2D7DCCAB" w14:textId="77777777" w:rsidR="00424F87" w:rsidRPr="00A43EA1" w:rsidRDefault="00424F87" w:rsidP="00424F87">
      <w:pPr>
        <w:rPr>
          <w:rFonts w:cs="Arial"/>
        </w:rPr>
      </w:pPr>
    </w:p>
    <w:p w14:paraId="4E2197C2" w14:textId="51938382" w:rsidR="00424F87" w:rsidRPr="00A43EA1" w:rsidRDefault="00424F87" w:rsidP="00424F87">
      <w:pPr>
        <w:rPr>
          <w:rFonts w:cs="Arial"/>
          <w:i/>
          <w:iCs/>
        </w:rPr>
      </w:pPr>
      <w:r w:rsidRPr="00A43EA1">
        <w:rPr>
          <w:rFonts w:cs="Arial"/>
          <w:i/>
          <w:iCs/>
        </w:rPr>
        <w:t>Entscheidung der CPVO-Beschwerdekammer vom 9. November 2022 in der Sache A014/2020 P "Braeburn</w:t>
      </w:r>
      <w:r w:rsidR="004127E8">
        <w:rPr>
          <w:rFonts w:cs="Arial"/>
          <w:i/>
          <w:iCs/>
        </w:rPr>
        <w:t> </w:t>
      </w:r>
      <w:r w:rsidRPr="00A43EA1">
        <w:rPr>
          <w:rFonts w:cs="Arial"/>
          <w:i/>
          <w:iCs/>
        </w:rPr>
        <w:t>78".</w:t>
      </w:r>
    </w:p>
    <w:p w14:paraId="79C7CCEF" w14:textId="77777777" w:rsidR="00424F87" w:rsidRPr="00A43EA1" w:rsidRDefault="00424F87" w:rsidP="00424F87">
      <w:pPr>
        <w:rPr>
          <w:rFonts w:cs="Arial"/>
        </w:rPr>
      </w:pPr>
    </w:p>
    <w:p w14:paraId="010DD667" w14:textId="77777777" w:rsidR="00424F87" w:rsidRPr="00A43EA1" w:rsidRDefault="00424F87" w:rsidP="00424F87">
      <w:pPr>
        <w:rPr>
          <w:rFonts w:cs="Arial"/>
        </w:rPr>
      </w:pPr>
      <w:r w:rsidRPr="00A43EA1">
        <w:rPr>
          <w:rFonts w:cs="Arial"/>
        </w:rPr>
        <w:t xml:space="preserve">Am 16. Mai 2022 erhob der Beschwerdeführer im Rahmen des Beschwerdeverfahrens Nr. A014/2020 einen Einwand gegen die Unparteilichkeit des gemäß Artikel 48 der Grundverordnung ernannten Mitglieds der Widerspruchskammer.  </w:t>
      </w:r>
    </w:p>
    <w:p w14:paraId="0AE6DE5A" w14:textId="77777777" w:rsidR="00424F87" w:rsidRPr="00A43EA1" w:rsidRDefault="00424F87" w:rsidP="00424F87">
      <w:pPr>
        <w:rPr>
          <w:rFonts w:cs="Arial"/>
        </w:rPr>
      </w:pPr>
    </w:p>
    <w:p w14:paraId="55ECC743" w14:textId="77777777" w:rsidR="00424F87" w:rsidRPr="00A43EA1" w:rsidRDefault="00424F87" w:rsidP="00424F87">
      <w:pPr>
        <w:rPr>
          <w:rFonts w:cs="Arial"/>
        </w:rPr>
      </w:pPr>
      <w:r w:rsidRPr="00A43EA1">
        <w:rPr>
          <w:rFonts w:cs="Arial"/>
        </w:rPr>
        <w:t>Am 9. November 2022 wies eine stellvertretende Kammer, bestehend aus Herrn Marcus Navin-Jones als stellvertretendem Vorsitzenden, Herrn Hidde Koenraad als rechtlich qualifiziertem Mitglied und Herrn Dirk Reheul als technisch qualifiziertem Mitglied, durch Verfahrensbeschluss den vom Beschwerdeführer erhobenen Einspruch gegen die Entfernung des Vorsitzenden von der Entscheidung in der betreffenden Sache zurück.</w:t>
      </w:r>
    </w:p>
    <w:p w14:paraId="77A52CE4" w14:textId="77777777" w:rsidR="00424F87" w:rsidRPr="00A43EA1" w:rsidRDefault="00424F87" w:rsidP="00424F87">
      <w:pPr>
        <w:rPr>
          <w:rFonts w:cs="Arial"/>
        </w:rPr>
      </w:pPr>
    </w:p>
    <w:p w14:paraId="16B81D5E" w14:textId="77777777" w:rsidR="00424F87" w:rsidRPr="00A43EA1" w:rsidRDefault="00424F87" w:rsidP="00424F87">
      <w:pPr>
        <w:rPr>
          <w:rFonts w:cs="Arial"/>
          <w:i/>
          <w:iCs/>
        </w:rPr>
      </w:pPr>
      <w:r w:rsidRPr="00A43EA1">
        <w:rPr>
          <w:rFonts w:cs="Arial"/>
          <w:i/>
          <w:iCs/>
        </w:rPr>
        <w:t>Entscheidung der CPVO-Beschwerdekammer vom 16. Dezember 2022 in der Sache A024/2021 "Belsemred1".</w:t>
      </w:r>
    </w:p>
    <w:p w14:paraId="304B606A" w14:textId="77777777" w:rsidR="00424F87" w:rsidRPr="00A43EA1" w:rsidRDefault="00424F87" w:rsidP="00424F87">
      <w:pPr>
        <w:rPr>
          <w:rFonts w:cs="Arial"/>
        </w:rPr>
      </w:pPr>
    </w:p>
    <w:p w14:paraId="56BE7E00" w14:textId="77777777" w:rsidR="00424F87" w:rsidRPr="00A43EA1" w:rsidRDefault="00424F87" w:rsidP="00424F87">
      <w:pPr>
        <w:rPr>
          <w:rFonts w:cs="Arial"/>
        </w:rPr>
      </w:pPr>
      <w:r w:rsidRPr="00A43EA1">
        <w:rPr>
          <w:rFonts w:cs="Arial"/>
        </w:rPr>
        <w:t>Im November 2015 beantragte Belgicactus BVBA ein CPVR für die Sorte Sempervivum arachnoideum L. 'Belsemred1'. Das Recht wurde im Jahr 2018 erteilt. Im Jahr 2019 focht der Beschwerdeführer das CPVR mit einer Nichtigkeitsklage an und führte dabei Fragen der Unterscheidbarkeit und Neuheit an. Das CPVO wies die Anfechtung im Jahr 2021 zurück. Der Beschwerdeführer beantragte bei der Widerspruchskammer eine neue DUS-Prüfung und eine Zeugenanhörung, machte ein Fehlverhalten des Amtes geltend und wiederholte das Fehlen von Neuheit und Unterscheidbarkeit. Das CPVO verteidigte sein Vorgehen mit dem Hinweis auf unzureichende Beweise.</w:t>
      </w:r>
    </w:p>
    <w:p w14:paraId="64F4A861" w14:textId="77777777" w:rsidR="00424F87" w:rsidRPr="00A43EA1" w:rsidRDefault="00424F87" w:rsidP="00424F87">
      <w:pPr>
        <w:rPr>
          <w:rFonts w:cs="Arial"/>
        </w:rPr>
      </w:pPr>
    </w:p>
    <w:p w14:paraId="18EC7E09" w14:textId="77777777" w:rsidR="00424F87" w:rsidRPr="00A43EA1" w:rsidRDefault="00424F87" w:rsidP="00424F87">
      <w:pPr>
        <w:rPr>
          <w:rFonts w:cs="Arial"/>
        </w:rPr>
      </w:pPr>
      <w:r w:rsidRPr="00A43EA1">
        <w:rPr>
          <w:rFonts w:cs="Arial"/>
        </w:rPr>
        <w:t xml:space="preserve">Die Beschwerdekammer wies die Beschwerde zurück und verwies auf das Fehlen stichhaltiger Argumente und Beweise des Beschwerdeführers für die Notwendigkeit einer neuen DUS-Prüfung. Sie stellte fest, daß das CPVO seinen Ermessensspielraum nicht mißbraucht hat, indem es die Beweiserhebungstätigkeiten unter Abwägung ihrer Relevanz für den Fall ablehnte. </w:t>
      </w:r>
    </w:p>
    <w:p w14:paraId="43ABEF38" w14:textId="77777777" w:rsidR="00424F87" w:rsidRPr="00A43EA1" w:rsidRDefault="00424F87" w:rsidP="00424F87">
      <w:pPr>
        <w:rPr>
          <w:rFonts w:cs="Arial"/>
        </w:rPr>
      </w:pPr>
    </w:p>
    <w:p w14:paraId="360509EA" w14:textId="77777777" w:rsidR="00424F87" w:rsidRPr="00A43EA1" w:rsidRDefault="00424F87" w:rsidP="00424F87">
      <w:pPr>
        <w:rPr>
          <w:rFonts w:cs="Arial"/>
        </w:rPr>
      </w:pPr>
      <w:r w:rsidRPr="00A43EA1">
        <w:rPr>
          <w:rFonts w:cs="Arial"/>
        </w:rPr>
        <w:lastRenderedPageBreak/>
        <w:t xml:space="preserve">Die Kammer ging auf verfahrenstechnische Bedenken ein und stellte fest, dass das CPVO seine proaktiven Pflichten mit praktischen Erwägungen und Grundsätzen der ordnungsgemäßen Verwaltung in Einklang brachte. Die Widerspruchskammer stellte außerdem fest, dass die Pflicht des Amtes nicht darin bestand, auf die Argumentationslücken des Beschwerdeführers einzugehen. </w:t>
      </w:r>
    </w:p>
    <w:p w14:paraId="7A5A364A" w14:textId="77777777" w:rsidR="00424F87" w:rsidRPr="00A43EA1" w:rsidRDefault="00424F87" w:rsidP="00424F87">
      <w:pPr>
        <w:rPr>
          <w:rFonts w:cs="Arial"/>
        </w:rPr>
      </w:pPr>
    </w:p>
    <w:p w14:paraId="71E19E61" w14:textId="77777777" w:rsidR="00424F87" w:rsidRPr="00A43EA1" w:rsidRDefault="00424F87" w:rsidP="00424F87">
      <w:pPr>
        <w:rPr>
          <w:rFonts w:cs="Arial"/>
        </w:rPr>
      </w:pPr>
      <w:r w:rsidRPr="00A43EA1">
        <w:rPr>
          <w:rFonts w:cs="Arial"/>
        </w:rPr>
        <w:t xml:space="preserve">Was die Beweismittel betrifft, so erachtete die Widerspruchskammer das Vorbringen des Beschwerdeführers als unzureichend und unzuverlässig, indem sie eine Analyse der einzelnen Dokumente und der Gesamtheit vornahm. </w:t>
      </w:r>
    </w:p>
    <w:p w14:paraId="7785E5D9" w14:textId="77777777" w:rsidR="00424F87" w:rsidRPr="00A43EA1" w:rsidRDefault="00424F87" w:rsidP="00424F87">
      <w:pPr>
        <w:rPr>
          <w:rFonts w:cs="Arial"/>
        </w:rPr>
      </w:pPr>
    </w:p>
    <w:p w14:paraId="66CFA459" w14:textId="77777777" w:rsidR="00424F87" w:rsidRPr="00A43EA1" w:rsidRDefault="00424F87" w:rsidP="00424F87">
      <w:pPr>
        <w:rPr>
          <w:rFonts w:cs="Arial"/>
        </w:rPr>
      </w:pPr>
      <w:r w:rsidRPr="00A43EA1">
        <w:rPr>
          <w:rFonts w:cs="Arial"/>
        </w:rPr>
        <w:t>Abschließend wies die Kammer die Beschwerde zurück, erklärte sie für unbegründet und wies den Beschwerdeführer an, die Kosten des Beschwerdeverfahrens gemäß Artikel 85 Absatz 1 der Grundverordnung zu tragen.</w:t>
      </w:r>
    </w:p>
    <w:p w14:paraId="46E0E789" w14:textId="77777777" w:rsidR="00424F87" w:rsidRPr="00A43EA1" w:rsidRDefault="00424F87" w:rsidP="00424F87">
      <w:pPr>
        <w:rPr>
          <w:rFonts w:cs="Arial"/>
        </w:rPr>
      </w:pPr>
    </w:p>
    <w:p w14:paraId="3D1F609D" w14:textId="77777777" w:rsidR="00424F87" w:rsidRPr="00A43EA1" w:rsidRDefault="00424F87" w:rsidP="00424F87">
      <w:pPr>
        <w:rPr>
          <w:rFonts w:cs="Arial"/>
          <w:i/>
          <w:iCs/>
        </w:rPr>
      </w:pPr>
      <w:r w:rsidRPr="00A43EA1">
        <w:rPr>
          <w:rFonts w:cs="Arial"/>
          <w:i/>
          <w:iCs/>
        </w:rPr>
        <w:t>Entscheidung der CPVO-Beschwerdekammer vom 2. Januar 2023 in der Sache A002/2020 "Nadorcott".</w:t>
      </w:r>
    </w:p>
    <w:p w14:paraId="77CA4BD0" w14:textId="77777777" w:rsidR="00424F87" w:rsidRPr="00A43EA1" w:rsidRDefault="00424F87" w:rsidP="00424F87">
      <w:pPr>
        <w:rPr>
          <w:rFonts w:cs="Arial"/>
        </w:rPr>
      </w:pPr>
    </w:p>
    <w:p w14:paraId="26CB502B" w14:textId="77777777" w:rsidR="00424F87" w:rsidRPr="00A43EA1" w:rsidRDefault="00424F87" w:rsidP="00424F87">
      <w:pPr>
        <w:rPr>
          <w:rFonts w:cs="Arial"/>
        </w:rPr>
      </w:pPr>
      <w:r w:rsidRPr="00A43EA1">
        <w:rPr>
          <w:rFonts w:cs="Arial"/>
        </w:rPr>
        <w:t>Im August 1995 reichte Herr De Maistre einen Antrag auf Erteilung des CPVR für die Zitrussorte Nadorcott ein. Das Eigentum wurde später auf Nadorcott Protection S.A.R.L. übertragen. Im Oktober 2004 wurde das CPVR für die Sorte Nadorcott erteilt. Im Mai 2016 reichte Eurosemillas S.A. eine Nichtigkeitsklage gegen das CPVR ein und berief sich dabei auf fehlende Berechtigung und Neuheit. Carpa Dorada, SL beantragte, dem Nichtigkeitsverfahren beizutreten. Im Dezember 2019 wies das Amt den Antrag auf Nichtigkeit zurück. Eurosemillas legte gegen diese Entscheidung im Januar 2020 Beschwerde ein und stellte den Inhalt der Entscheidung des Amtes in Frage und berief sich auf einen Verstoß gegen grundlegende Prinzipien.</w:t>
      </w:r>
    </w:p>
    <w:p w14:paraId="60CF40C9" w14:textId="77777777" w:rsidR="00424F87" w:rsidRPr="00A43EA1" w:rsidRDefault="00424F87" w:rsidP="00424F87">
      <w:pPr>
        <w:rPr>
          <w:rFonts w:cs="Arial"/>
        </w:rPr>
      </w:pPr>
    </w:p>
    <w:p w14:paraId="09F53D95" w14:textId="77777777" w:rsidR="00424F87" w:rsidRPr="00A43EA1" w:rsidRDefault="00424F87" w:rsidP="00424F87">
      <w:pPr>
        <w:rPr>
          <w:rFonts w:cs="Arial"/>
        </w:rPr>
      </w:pPr>
      <w:r w:rsidRPr="00A43EA1">
        <w:rPr>
          <w:rFonts w:cs="Arial"/>
        </w:rPr>
        <w:t>Die Widerspruchskammer erkannte den Ermessensspielraum des Amtes bei der Prüfung von Nichtigkeitsanträgen und die Beweislast des Antragstellers an. Die Sorte "Nadorcott" wurde bei der Antragstellung, in anderen Verfahren und im vorliegenden Fall geprüft. Die Widerspruchskammer stellte keine Verletzung der Grundrechte fest, da das Amt über ausreichende Beweise verfügte und die Akte ordnungsgemäß geprüft hatte. Die Kammer wies darauf hin, dass sie verpflichtet ist, die vorgelegten Tatsachen und Beweismittel unparteiisch zu analysieren und keine Untersuchungen für die Argumente der Parteien durchzuführen. Die Entscheidung des Amtes, seine Entscheidung auf die vorhandenen Beweise zu stützen, war gültig, da der Beschwerdeführer den ursprünglichen Feststellungen des Amtes nicht widersprochen hat.</w:t>
      </w:r>
    </w:p>
    <w:p w14:paraId="20483973" w14:textId="77777777" w:rsidR="00424F87" w:rsidRPr="00A43EA1" w:rsidRDefault="00424F87" w:rsidP="00424F87">
      <w:pPr>
        <w:rPr>
          <w:rFonts w:cs="Arial"/>
        </w:rPr>
      </w:pPr>
    </w:p>
    <w:p w14:paraId="0DD0ACB9" w14:textId="77777777" w:rsidR="00424F87" w:rsidRPr="00A43EA1" w:rsidRDefault="00424F87" w:rsidP="00424F87">
      <w:pPr>
        <w:rPr>
          <w:rFonts w:cs="Arial"/>
        </w:rPr>
      </w:pPr>
      <w:r w:rsidRPr="00A43EA1">
        <w:rPr>
          <w:rFonts w:cs="Arial"/>
        </w:rPr>
        <w:t xml:space="preserve">Die Widerspruchskammer kam zu dem Schluss, dass die Sorte "Nadorcott" gezüchtet und entwickelt wurde, und wies damit die Behauptung des Beschwerdeführers über die Entdeckung zurück. Der Beschwerdeführer machte geltend, dass der ursprüngliche Züchter, Herr Nadori, nicht in der Lage sei, CPVR-Rechte zu übertragen. Die Widerspruchskammer entschied, dass Herr Nadori diese Fähigkeit besaß, und wies den Antrag des Widerspruchsführers aufgrund der verspäteten Einreichung eines Rechtsgutachtens und der mangelnden Klagebefugnis zurück. Obwohl der Züchter nicht die UPOV-Staatsbürgerschaft besitzt, entsprach der von einem französischen Staatsbürger eingereichte Antrag den Anforderungen des CPVR. </w:t>
      </w:r>
    </w:p>
    <w:p w14:paraId="197EF4AD" w14:textId="77777777" w:rsidR="00424F87" w:rsidRPr="00A43EA1" w:rsidRDefault="00424F87" w:rsidP="00424F87">
      <w:pPr>
        <w:rPr>
          <w:rFonts w:cs="Arial"/>
        </w:rPr>
      </w:pPr>
    </w:p>
    <w:p w14:paraId="367D3E8E" w14:textId="77777777" w:rsidR="00424F87" w:rsidRPr="00A43EA1" w:rsidRDefault="00424F87" w:rsidP="00424F87">
      <w:pPr>
        <w:rPr>
          <w:rFonts w:cs="Arial"/>
        </w:rPr>
      </w:pPr>
      <w:r w:rsidRPr="00A43EA1">
        <w:rPr>
          <w:rFonts w:cs="Arial"/>
        </w:rPr>
        <w:t>Die Kammer befasste sich auch mit den Neuheitsansprüchen des Beschwerdeführers und klärte den experimentellen Materialtransfer und die Neuheit gemäß Artikel 10 der Grundverordnung.</w:t>
      </w:r>
    </w:p>
    <w:p w14:paraId="7DD59FC7" w14:textId="77777777" w:rsidR="00424F87" w:rsidRPr="00A43EA1" w:rsidRDefault="00424F87" w:rsidP="00424F87">
      <w:pPr>
        <w:rPr>
          <w:rFonts w:cs="Arial"/>
        </w:rPr>
      </w:pPr>
    </w:p>
    <w:p w14:paraId="075F9F77" w14:textId="77777777" w:rsidR="00424F87" w:rsidRPr="00A43EA1" w:rsidRDefault="00424F87" w:rsidP="00424F87">
      <w:pPr>
        <w:rPr>
          <w:rFonts w:cs="Arial"/>
        </w:rPr>
      </w:pPr>
      <w:r w:rsidRPr="00A43EA1">
        <w:rPr>
          <w:rFonts w:cs="Arial"/>
        </w:rPr>
        <w:t xml:space="preserve">Abschließend wurde das Rechtsmittel für zulässig, aber nicht begründet erklärt. Der Rechtsmittelführerin wurden gemäß Artikel 85 Absatz 1 der Grundverordnung die Kosten des Verfahrens auferlegt. </w:t>
      </w:r>
    </w:p>
    <w:p w14:paraId="7A75499B" w14:textId="77777777" w:rsidR="00424F87" w:rsidRPr="00A43EA1" w:rsidRDefault="00424F87" w:rsidP="00424F87">
      <w:pPr>
        <w:rPr>
          <w:rFonts w:cs="Arial"/>
        </w:rPr>
      </w:pPr>
    </w:p>
    <w:p w14:paraId="0095B40D" w14:textId="77777777" w:rsidR="00424F87" w:rsidRPr="00A43EA1" w:rsidRDefault="00424F87" w:rsidP="00424F87">
      <w:pPr>
        <w:rPr>
          <w:rFonts w:cs="Arial"/>
          <w:i/>
          <w:iCs/>
        </w:rPr>
      </w:pPr>
      <w:r w:rsidRPr="00A43EA1">
        <w:rPr>
          <w:rFonts w:cs="Arial"/>
          <w:i/>
          <w:iCs/>
        </w:rPr>
        <w:t>Entscheidung der CPVO-Beschwerdekammer vom 23. Januar 2023 in der Sache A014/2020 "Braeburn 78".</w:t>
      </w:r>
    </w:p>
    <w:p w14:paraId="0A290A34" w14:textId="77777777" w:rsidR="00424F87" w:rsidRPr="00A43EA1" w:rsidRDefault="00424F87" w:rsidP="00424F87">
      <w:pPr>
        <w:rPr>
          <w:rFonts w:cs="Arial"/>
        </w:rPr>
      </w:pPr>
    </w:p>
    <w:p w14:paraId="63791833" w14:textId="77777777" w:rsidR="00424F87" w:rsidRPr="00A43EA1" w:rsidRDefault="00424F87" w:rsidP="00424F87">
      <w:pPr>
        <w:rPr>
          <w:rFonts w:cs="Arial"/>
        </w:rPr>
      </w:pPr>
      <w:r w:rsidRPr="00A43EA1">
        <w:rPr>
          <w:rFonts w:cs="Arial"/>
        </w:rPr>
        <w:t xml:space="preserve">Am 20. Mai 2009 erteilte das Amt dem Antrag auf Erteilung eines CPVR für die Apfelsorte "Braeburn 78" (Malus domestica Borkh) statt. Der Antrag erhielt das Aktenzeichen 2009/0954. Das Recht wurde wegen mangelnder Unterscheidbarkeit nicht erteilt, und am 18. Dezember 2014 erging eine Zurückweisungsentscheidung. </w:t>
      </w:r>
    </w:p>
    <w:p w14:paraId="37A2416B" w14:textId="77777777" w:rsidR="00424F87" w:rsidRPr="00A43EA1" w:rsidRDefault="00424F87" w:rsidP="00424F87">
      <w:pPr>
        <w:rPr>
          <w:rFonts w:cs="Arial"/>
        </w:rPr>
      </w:pPr>
    </w:p>
    <w:p w14:paraId="66B482C8" w14:textId="77777777" w:rsidR="00424F87" w:rsidRPr="00A43EA1" w:rsidRDefault="00424F87" w:rsidP="00424F87">
      <w:pPr>
        <w:rPr>
          <w:rFonts w:cs="Arial"/>
        </w:rPr>
      </w:pPr>
      <w:r w:rsidRPr="00A43EA1">
        <w:rPr>
          <w:rFonts w:cs="Arial"/>
        </w:rPr>
        <w:t>Gegen die Ablehnungsentscheidung wurde Beschwerde bei der Widerspruchskammer und später beim Gericht eingelegt. Letzteres verwies die Sache zur weiteren Prüfung an die zuständige Stelle des Amtes zurück. Nach dieser zusätzlichen Prüfung erließ das Amt am 19. Oktober 2020 einen zweiten Zurückweisungsbeschluss, der Gegenstand der vorliegenden Beschwerde ist. Der Beschwerdeführer beschwerte sich darüber, dass er nicht in der Lage gewesen sei, die Anhörung eines Sachverständigen zuzulassen, und dass das Amt seiner von Amts wegen bestehenden Untersuchungspflicht nicht nachgekommen sei. Er bezog sich auch auf angebliche Fehler bei der Prüfung der Kandidatensorte.</w:t>
      </w:r>
    </w:p>
    <w:p w14:paraId="360A157D" w14:textId="77777777" w:rsidR="00424F87" w:rsidRPr="00A43EA1" w:rsidRDefault="00424F87" w:rsidP="00424F87">
      <w:pPr>
        <w:rPr>
          <w:rFonts w:cs="Arial"/>
        </w:rPr>
      </w:pPr>
    </w:p>
    <w:p w14:paraId="3BE7264A" w14:textId="77777777" w:rsidR="00424F87" w:rsidRPr="00A43EA1" w:rsidRDefault="00424F87" w:rsidP="00424F87">
      <w:pPr>
        <w:rPr>
          <w:rFonts w:cs="Arial"/>
        </w:rPr>
      </w:pPr>
      <w:r w:rsidRPr="00A43EA1">
        <w:rPr>
          <w:rFonts w:cs="Arial"/>
        </w:rPr>
        <w:lastRenderedPageBreak/>
        <w:t xml:space="preserve">Der Oberste Rat vertrat die Auffassung, dass gemäß Artikel 75 der Grundverordnung die Entscheidungen des Amtes ausschließlich auf der Grundlage schriftlicher Unterlagen getroffen werden können, wobei das Amt nicht verpflichtet ist, eine mündliche Anhörung zu organisieren. Ferner erkennt Art. 78(3) der Grundverordnung das Ermessen des Amtes, eine solche mündliche Anhörung durchzuführen ("wenn das Amt dies für erforderlich hält"). </w:t>
      </w:r>
    </w:p>
    <w:p w14:paraId="2DB4C278" w14:textId="77777777" w:rsidR="00424F87" w:rsidRPr="00A43EA1" w:rsidRDefault="00424F87" w:rsidP="00424F87">
      <w:pPr>
        <w:rPr>
          <w:rFonts w:cs="Arial"/>
        </w:rPr>
      </w:pPr>
    </w:p>
    <w:p w14:paraId="0A954A6B" w14:textId="77777777" w:rsidR="00424F87" w:rsidRPr="00A43EA1" w:rsidRDefault="00424F87" w:rsidP="00424F87">
      <w:pPr>
        <w:rPr>
          <w:rFonts w:cs="Arial"/>
        </w:rPr>
      </w:pPr>
      <w:r w:rsidRPr="00A43EA1">
        <w:rPr>
          <w:rFonts w:cs="Arial"/>
        </w:rPr>
        <w:t xml:space="preserve">Ähnlich argumentierte die Beschwerdekammer in Bezug auf den Antrag des Beschwerdeführers, dass das Amt seinem Antrag auf Ladung von Prof. Bergamini als Sachverständigen hätte stattgeben müssen. Auch hier erkannte die Beschwerdekammer das Ermessen des Amtes gemäß Art. 78 Absatz 3 der Grundverordnung und stellt fest, dass der Beschwerdeführer nicht begründet hat, warum die Anhörung des Sachverständigen für den Erlass der betreffenden Entscheidung erforderlich war. Die Beschwerdekammer stellte ferner fest, dass der Beschwerdeführer während der gesamten Dauer der Anmeldung und im Anschluss an das Gerichtsverfahren zahlreiche Gelegenheiten hatte, Stellungnahmen des genannten Sachverständigen abzugeben. </w:t>
      </w:r>
    </w:p>
    <w:p w14:paraId="1C548FAA" w14:textId="77777777" w:rsidR="00424F87" w:rsidRPr="00A43EA1" w:rsidRDefault="00424F87" w:rsidP="00424F87">
      <w:pPr>
        <w:rPr>
          <w:rFonts w:cs="Arial"/>
        </w:rPr>
      </w:pPr>
    </w:p>
    <w:p w14:paraId="73182759" w14:textId="77777777" w:rsidR="00424F87" w:rsidRPr="00A43EA1" w:rsidRDefault="00424F87" w:rsidP="00424F87">
      <w:pPr>
        <w:rPr>
          <w:rFonts w:cs="Arial"/>
        </w:rPr>
      </w:pPr>
      <w:r w:rsidRPr="00A43EA1">
        <w:rPr>
          <w:rFonts w:cs="Arial"/>
        </w:rPr>
        <w:t xml:space="preserve">Die Kammer sah es als widersprüchlich an, dass der Beschwerdeführer sich darüber beschwerte, dass das Amt seinen Antrag auf Durchführung einer mündlichen Anhörung und auf Vorladung von Prof. Bergamini (in erster Instanz) ablehnte, während er, als ihm die Möglichkeit einer mündlichen Anhörung vor der Kammer (in zweiter Instanz) eingeräumt wurde, in letzter Minute von dieser Möglichkeit zurücktrat. </w:t>
      </w:r>
    </w:p>
    <w:p w14:paraId="00AA8330" w14:textId="77777777" w:rsidR="00424F87" w:rsidRPr="00A43EA1" w:rsidRDefault="00424F87" w:rsidP="00424F87">
      <w:pPr>
        <w:rPr>
          <w:rFonts w:cs="Arial"/>
        </w:rPr>
      </w:pPr>
    </w:p>
    <w:p w14:paraId="287773AC" w14:textId="77777777" w:rsidR="00424F87" w:rsidRPr="00A43EA1" w:rsidRDefault="00424F87" w:rsidP="00424F87">
      <w:pPr>
        <w:rPr>
          <w:rFonts w:cs="Arial"/>
        </w:rPr>
      </w:pPr>
      <w:r w:rsidRPr="00A43EA1">
        <w:rPr>
          <w:rFonts w:cs="Arial"/>
        </w:rPr>
        <w:t>Schließlich erkannte der Oberste Rat die langjährige Erfahrung der Prüfer des EB an und hält ihre Feststellungen auf dieser Grundlage für zuverlässig.</w:t>
      </w:r>
    </w:p>
    <w:p w14:paraId="099D5FE9" w14:textId="77777777" w:rsidR="00424F87" w:rsidRPr="00A43EA1" w:rsidRDefault="00424F87" w:rsidP="00424F87">
      <w:pPr>
        <w:rPr>
          <w:rFonts w:cs="Arial"/>
        </w:rPr>
      </w:pPr>
    </w:p>
    <w:p w14:paraId="75752520" w14:textId="77777777" w:rsidR="00424F87" w:rsidRPr="00A43EA1" w:rsidRDefault="00424F87" w:rsidP="00424F87">
      <w:pPr>
        <w:rPr>
          <w:rFonts w:cs="Arial"/>
        </w:rPr>
      </w:pPr>
      <w:r w:rsidRPr="00A43EA1">
        <w:rPr>
          <w:rFonts w:cs="Arial"/>
        </w:rPr>
        <w:t>Abschließend wurde das Rechtsmittel für zulässig, aber nicht begründet erklärt. Der Rechtsmittelführerin wurden gemäß Artikel 85 Absatz 1 der Grundverordnung die Kosten des Verfahrens auferlegt.</w:t>
      </w:r>
    </w:p>
    <w:p w14:paraId="2A1E3D04" w14:textId="77777777" w:rsidR="00424F87" w:rsidRPr="00A43EA1" w:rsidRDefault="00424F87" w:rsidP="00424F87">
      <w:pPr>
        <w:rPr>
          <w:rFonts w:eastAsia="Cambria" w:cs="Arial"/>
          <w:b/>
          <w:spacing w:val="-3"/>
        </w:rPr>
      </w:pPr>
    </w:p>
    <w:p w14:paraId="65179266" w14:textId="77777777" w:rsidR="00424F87" w:rsidRPr="00A43EA1" w:rsidRDefault="00424F87" w:rsidP="00424F87">
      <w:pPr>
        <w:rPr>
          <w:rFonts w:eastAsia="Cambria" w:cs="Arial"/>
          <w:b/>
          <w:spacing w:val="-3"/>
        </w:rPr>
      </w:pPr>
    </w:p>
    <w:p w14:paraId="54584BFD" w14:textId="77777777" w:rsidR="00424F87" w:rsidRPr="00A43EA1" w:rsidRDefault="00424F87" w:rsidP="00424F87">
      <w:pPr>
        <w:rPr>
          <w:rFonts w:cs="Arial"/>
          <w:bCs/>
          <w:u w:val="single"/>
        </w:rPr>
      </w:pPr>
      <w:r w:rsidRPr="00A43EA1">
        <w:rPr>
          <w:rFonts w:cs="Arial"/>
          <w:bCs/>
          <w:u w:val="single"/>
        </w:rPr>
        <w:t>2)</w:t>
      </w:r>
      <w:r w:rsidRPr="00A43EA1">
        <w:rPr>
          <w:rFonts w:cs="Arial"/>
          <w:bCs/>
          <w:u w:val="single"/>
        </w:rPr>
        <w:tab/>
        <w:t xml:space="preserve">Zusammenarbeit bei der Prüfung  </w:t>
      </w:r>
    </w:p>
    <w:p w14:paraId="5A680931" w14:textId="77777777" w:rsidR="00424F87" w:rsidRPr="00A43EA1" w:rsidRDefault="00424F87" w:rsidP="00424F87">
      <w:pPr>
        <w:rPr>
          <w:rFonts w:cs="Arial"/>
          <w:u w:val="single"/>
        </w:rPr>
      </w:pPr>
    </w:p>
    <w:p w14:paraId="6435864C" w14:textId="77777777" w:rsidR="00424F87" w:rsidRPr="00A43EA1" w:rsidRDefault="00424F87" w:rsidP="00424F87">
      <w:pPr>
        <w:rPr>
          <w:rFonts w:cs="Arial"/>
        </w:rPr>
      </w:pPr>
      <w:r w:rsidRPr="00A43EA1">
        <w:rPr>
          <w:rFonts w:cs="Arial"/>
          <w:u w:val="single"/>
        </w:rPr>
        <w:t>2.1 Abschluss neuer Vereinbarungen</w:t>
      </w:r>
      <w:r w:rsidRPr="00A43EA1">
        <w:rPr>
          <w:rFonts w:cs="Arial"/>
        </w:rPr>
        <w:t>:  Es gibt nichts zu berichten.</w:t>
      </w:r>
    </w:p>
    <w:p w14:paraId="746E0838" w14:textId="77777777" w:rsidR="00424F87" w:rsidRPr="00A43EA1" w:rsidRDefault="00424F87" w:rsidP="00424F87">
      <w:pPr>
        <w:rPr>
          <w:rFonts w:cs="Arial"/>
        </w:rPr>
      </w:pPr>
    </w:p>
    <w:p w14:paraId="3C3E3ACA" w14:textId="77777777" w:rsidR="00424F87" w:rsidRPr="00A43EA1" w:rsidRDefault="00424F87" w:rsidP="00424F87">
      <w:pPr>
        <w:rPr>
          <w:rFonts w:cs="Arial"/>
        </w:rPr>
      </w:pPr>
      <w:r w:rsidRPr="00A43EA1">
        <w:rPr>
          <w:rFonts w:cs="Arial"/>
          <w:u w:val="single"/>
        </w:rPr>
        <w:t>2.2 Änderung der bestehenden Vereinbarungen</w:t>
      </w:r>
      <w:r w:rsidRPr="00A43EA1">
        <w:rPr>
          <w:rFonts w:cs="Arial"/>
        </w:rPr>
        <w:t>:  Es gibt nichts zu berichten.</w:t>
      </w:r>
    </w:p>
    <w:p w14:paraId="3A622755" w14:textId="77777777" w:rsidR="00424F87" w:rsidRPr="00A43EA1" w:rsidRDefault="00424F87" w:rsidP="00424F87">
      <w:pPr>
        <w:rPr>
          <w:rFonts w:cs="Arial"/>
        </w:rPr>
      </w:pPr>
    </w:p>
    <w:p w14:paraId="628BBA73" w14:textId="77777777" w:rsidR="00424F87" w:rsidRPr="00A43EA1" w:rsidRDefault="00424F87" w:rsidP="00424F87">
      <w:pPr>
        <w:rPr>
          <w:rFonts w:cs="Arial"/>
        </w:rPr>
      </w:pPr>
      <w:r w:rsidRPr="00A43EA1">
        <w:rPr>
          <w:rFonts w:cs="Arial"/>
          <w:u w:val="single"/>
        </w:rPr>
        <w:t>2.3 Gemeinsame Absichtserklärung mit Drittländern</w:t>
      </w:r>
      <w:r w:rsidRPr="00A43EA1">
        <w:rPr>
          <w:rFonts w:cs="Arial"/>
        </w:rPr>
        <w:t>:  Nichts zu berichten.</w:t>
      </w:r>
    </w:p>
    <w:p w14:paraId="257CAE10" w14:textId="77777777" w:rsidR="00424F87" w:rsidRPr="00A43EA1" w:rsidRDefault="00424F87" w:rsidP="00424F87">
      <w:pPr>
        <w:rPr>
          <w:rFonts w:cs="Arial"/>
          <w:u w:val="single"/>
        </w:rPr>
      </w:pPr>
    </w:p>
    <w:p w14:paraId="3B2E5EF3" w14:textId="77777777" w:rsidR="00424F87" w:rsidRPr="00A43EA1" w:rsidRDefault="00424F87" w:rsidP="00424F87">
      <w:pPr>
        <w:rPr>
          <w:rFonts w:cs="Arial"/>
          <w:b/>
          <w:u w:val="single"/>
        </w:rPr>
      </w:pPr>
    </w:p>
    <w:p w14:paraId="7CFD6086" w14:textId="77777777" w:rsidR="00424F87" w:rsidRPr="00A43EA1" w:rsidRDefault="00424F87" w:rsidP="00424F87">
      <w:pPr>
        <w:rPr>
          <w:rFonts w:cs="Arial"/>
        </w:rPr>
      </w:pPr>
      <w:r w:rsidRPr="00A43EA1">
        <w:rPr>
          <w:rFonts w:cs="Arial"/>
          <w:bCs/>
          <w:u w:val="single"/>
        </w:rPr>
        <w:t>3)</w:t>
      </w:r>
      <w:r w:rsidRPr="00A43EA1">
        <w:rPr>
          <w:rFonts w:cs="Arial"/>
          <w:bCs/>
          <w:u w:val="single"/>
        </w:rPr>
        <w:tab/>
        <w:t>Lage auf dem Gebiet der Verwaltung</w:t>
      </w:r>
      <w:r w:rsidRPr="00A43EA1">
        <w:rPr>
          <w:rFonts w:cs="Arial"/>
          <w:bCs/>
        </w:rPr>
        <w:t xml:space="preserve">:  </w:t>
      </w:r>
      <w:r w:rsidRPr="00A43EA1">
        <w:rPr>
          <w:rFonts w:cs="Arial"/>
        </w:rPr>
        <w:t>Es gibt nichts zu berichten.</w:t>
      </w:r>
    </w:p>
    <w:p w14:paraId="1F6CE320" w14:textId="77777777" w:rsidR="00424F87" w:rsidRPr="00A43EA1" w:rsidRDefault="00424F87" w:rsidP="00424F87">
      <w:pPr>
        <w:autoSpaceDE w:val="0"/>
        <w:autoSpaceDN w:val="0"/>
        <w:adjustRightInd w:val="0"/>
        <w:rPr>
          <w:rFonts w:cs="Arial"/>
        </w:rPr>
      </w:pPr>
    </w:p>
    <w:p w14:paraId="2F521293" w14:textId="77777777" w:rsidR="00424F87" w:rsidRPr="00A43EA1" w:rsidRDefault="00424F87" w:rsidP="00424F87">
      <w:pPr>
        <w:autoSpaceDE w:val="0"/>
        <w:autoSpaceDN w:val="0"/>
        <w:adjustRightInd w:val="0"/>
        <w:rPr>
          <w:rFonts w:cs="Arial"/>
        </w:rPr>
      </w:pPr>
    </w:p>
    <w:p w14:paraId="7A9F63F8" w14:textId="77777777" w:rsidR="00424F87" w:rsidRPr="00A43EA1" w:rsidRDefault="00424F87" w:rsidP="00424F87">
      <w:pPr>
        <w:keepNext/>
        <w:rPr>
          <w:rFonts w:cs="Arial"/>
          <w:bCs/>
          <w:u w:val="single"/>
        </w:rPr>
      </w:pPr>
      <w:r w:rsidRPr="00A43EA1">
        <w:rPr>
          <w:rFonts w:cs="Arial"/>
          <w:bCs/>
          <w:u w:val="single"/>
        </w:rPr>
        <w:t>4)</w:t>
      </w:r>
      <w:r w:rsidRPr="00A43EA1">
        <w:rPr>
          <w:rFonts w:cs="Arial"/>
          <w:bCs/>
          <w:u w:val="single"/>
        </w:rPr>
        <w:tab/>
        <w:t>Lage auf dem Gebiet der Technik</w:t>
      </w:r>
    </w:p>
    <w:p w14:paraId="4FCB27BD" w14:textId="77777777" w:rsidR="00424F87" w:rsidRPr="00A43EA1" w:rsidRDefault="00424F87" w:rsidP="00424F87">
      <w:pPr>
        <w:keepNext/>
        <w:rPr>
          <w:rFonts w:cs="Arial"/>
          <w:bCs/>
          <w:u w:val="single"/>
        </w:rPr>
      </w:pPr>
    </w:p>
    <w:p w14:paraId="3FC0673C" w14:textId="77777777" w:rsidR="00424F87" w:rsidRPr="00A43EA1" w:rsidRDefault="00424F87" w:rsidP="00424F87">
      <w:pPr>
        <w:keepNext/>
        <w:rPr>
          <w:rFonts w:cs="Arial"/>
          <w:u w:val="single"/>
        </w:rPr>
      </w:pPr>
      <w:r w:rsidRPr="00A43EA1">
        <w:rPr>
          <w:rFonts w:cs="Arial"/>
          <w:u w:val="single"/>
        </w:rPr>
        <w:t xml:space="preserve">4.1 Informationen über die Funktionsweise des EU-Sortenschutzes </w:t>
      </w:r>
    </w:p>
    <w:p w14:paraId="53454003" w14:textId="77777777" w:rsidR="00424F87" w:rsidRPr="00A43EA1" w:rsidRDefault="00424F87" w:rsidP="00424F87">
      <w:pPr>
        <w:keepNext/>
        <w:rPr>
          <w:rFonts w:cs="Arial"/>
          <w:bCs/>
          <w:u w:val="single"/>
        </w:rPr>
      </w:pPr>
    </w:p>
    <w:p w14:paraId="22B59D6A" w14:textId="77777777" w:rsidR="00424F87" w:rsidRPr="00A43EA1" w:rsidRDefault="00424F87" w:rsidP="00424F87">
      <w:pPr>
        <w:keepNext/>
        <w:rPr>
          <w:rFonts w:cs="Arial"/>
          <w:bCs/>
          <w:u w:val="single"/>
        </w:rPr>
      </w:pPr>
      <w:r w:rsidRPr="00A43EA1">
        <w:rPr>
          <w:rFonts w:cs="Arial"/>
          <w:bCs/>
          <w:u w:val="single"/>
        </w:rPr>
        <w:t>a. Beziehung zu den Prüfungsämtern (Eos)</w:t>
      </w:r>
    </w:p>
    <w:p w14:paraId="2C64BBAF" w14:textId="77777777" w:rsidR="00424F87" w:rsidRPr="00A43EA1" w:rsidRDefault="00424F87" w:rsidP="00424F87">
      <w:pPr>
        <w:keepNext/>
        <w:rPr>
          <w:rFonts w:cs="Arial"/>
        </w:rPr>
      </w:pPr>
    </w:p>
    <w:p w14:paraId="2F80E9B0" w14:textId="2468D9C4" w:rsidR="00424F87" w:rsidRPr="00A43EA1" w:rsidRDefault="00424F87" w:rsidP="00424F87">
      <w:pPr>
        <w:rPr>
          <w:rFonts w:cs="Arial"/>
        </w:rPr>
      </w:pPr>
      <w:r w:rsidRPr="00A43EA1">
        <w:rPr>
          <w:rFonts w:cs="Arial"/>
        </w:rPr>
        <w:t>Im Dezember 2022 hielt das CPVO seine 26 Jahrestagung mit seinen EBs aus den EU-Mitgliedstaaten ab, an der auch Vertreter der Europäischen Kommission, des UPOV-Büros und der Züchterorganisationen (CIOPORA, Euroseeds, Plantum und ECO-PB) sowie Vertreter aus der Schweiz und Norwegen als Nicht-EU-BVR-Büros teilnahmen. Die Sitzung wurde als Videokonferenz abgehalten. Die wichtigsten Diskussionsthemen waren die folgenden:</w:t>
      </w:r>
    </w:p>
    <w:p w14:paraId="7F91D8DB" w14:textId="77777777" w:rsidR="00424F87" w:rsidRPr="00A43EA1" w:rsidRDefault="00424F87" w:rsidP="00424F87">
      <w:pPr>
        <w:rPr>
          <w:rFonts w:cs="Arial"/>
        </w:rPr>
      </w:pPr>
    </w:p>
    <w:p w14:paraId="1939342F"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color w:val="000000"/>
        </w:rPr>
        <w:t>Informationen, die in Prüfungsberichten enthalten sein müssen, und deren Gestaltung</w:t>
      </w:r>
    </w:p>
    <w:p w14:paraId="4293B4D5"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color w:val="000000"/>
        </w:rPr>
        <w:t>Fragen zum technischen Fragebogen</w:t>
      </w:r>
    </w:p>
    <w:p w14:paraId="378D2D57"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rPr>
        <w:t>Nichtverfügbarkeit von Vergleichssorten</w:t>
      </w:r>
    </w:p>
    <w:p w14:paraId="3E1133E7"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rPr>
        <w:t>Einzelbeobachtungen bei mehrjährigen Tests</w:t>
      </w:r>
    </w:p>
    <w:p w14:paraId="350101D4"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rPr>
        <w:t>Anleitung zur Umsetzung der UPOV-Prüfungsrichtlinien in die Technischen Protokolle des CPVO</w:t>
      </w:r>
    </w:p>
    <w:p w14:paraId="02B004DA"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rPr>
        <w:t>DNA-Proben</w:t>
      </w:r>
    </w:p>
    <w:p w14:paraId="35B6C2B6"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color w:val="000000"/>
        </w:rPr>
      </w:pPr>
      <w:r w:rsidRPr="00A43EA1">
        <w:rPr>
          <w:rFonts w:cs="Arial"/>
        </w:rPr>
        <w:t>Einreichungsanforderungen für den Pflanzenpass</w:t>
      </w:r>
    </w:p>
    <w:p w14:paraId="3F589DB5" w14:textId="77777777" w:rsidR="00424F87" w:rsidRPr="00A43EA1" w:rsidRDefault="00424F87" w:rsidP="00424F87">
      <w:pPr>
        <w:numPr>
          <w:ilvl w:val="0"/>
          <w:numId w:val="31"/>
        </w:numPr>
        <w:shd w:val="clear" w:color="auto" w:fill="FFFFFF"/>
        <w:autoSpaceDE w:val="0"/>
        <w:autoSpaceDN w:val="0"/>
        <w:adjustRightInd w:val="0"/>
        <w:textAlignment w:val="center"/>
        <w:rPr>
          <w:rFonts w:cs="Arial"/>
          <w:color w:val="000000"/>
        </w:rPr>
      </w:pPr>
      <w:r w:rsidRPr="00A43EA1">
        <w:rPr>
          <w:rFonts w:cs="Arial"/>
        </w:rPr>
        <w:t>Verschiedene Fragen im Zusammenhang mit dem Qualitätsbewertungsdienst</w:t>
      </w:r>
    </w:p>
    <w:p w14:paraId="45A6EE36" w14:textId="77777777" w:rsidR="00424F87" w:rsidRPr="00A43EA1" w:rsidRDefault="00424F87" w:rsidP="00424F87">
      <w:pPr>
        <w:shd w:val="clear" w:color="auto" w:fill="FFFFFF"/>
        <w:tabs>
          <w:tab w:val="left" w:pos="567"/>
          <w:tab w:val="left" w:pos="9072"/>
          <w:tab w:val="left" w:pos="9214"/>
        </w:tabs>
        <w:rPr>
          <w:rFonts w:cs="Arial"/>
        </w:rPr>
      </w:pPr>
    </w:p>
    <w:p w14:paraId="300D7612" w14:textId="77777777" w:rsidR="00424F87" w:rsidRPr="00A43EA1" w:rsidRDefault="00424F87" w:rsidP="00424F87">
      <w:pPr>
        <w:shd w:val="clear" w:color="auto" w:fill="FFFFFF"/>
        <w:tabs>
          <w:tab w:val="left" w:pos="567"/>
          <w:tab w:val="left" w:pos="9072"/>
          <w:tab w:val="left" w:pos="9214"/>
        </w:tabs>
        <w:rPr>
          <w:rFonts w:cs="Arial"/>
        </w:rPr>
      </w:pPr>
      <w:r w:rsidRPr="00A43EA1">
        <w:rPr>
          <w:rFonts w:cs="Arial"/>
        </w:rPr>
        <w:lastRenderedPageBreak/>
        <w:t>Darüber hinaus wurden die Teilnehmer über die Rechtsprechung, den Stand der Dinge bei FuE-Projekten, IT-Projekten und die Berechnung der Kosten durch die EBs informiert.</w:t>
      </w:r>
    </w:p>
    <w:p w14:paraId="0F774BF6" w14:textId="77777777" w:rsidR="00424F87" w:rsidRPr="00A43EA1" w:rsidRDefault="00424F87" w:rsidP="00424F87">
      <w:pPr>
        <w:shd w:val="clear" w:color="auto" w:fill="FFFFFF"/>
        <w:tabs>
          <w:tab w:val="left" w:pos="567"/>
          <w:tab w:val="left" w:pos="9072"/>
          <w:tab w:val="left" w:pos="9214"/>
        </w:tabs>
        <w:rPr>
          <w:rFonts w:cs="Arial"/>
        </w:rPr>
      </w:pPr>
    </w:p>
    <w:p w14:paraId="6EA9D16A" w14:textId="77777777" w:rsidR="00424F87" w:rsidRPr="00A43EA1" w:rsidRDefault="00424F87" w:rsidP="00424F87">
      <w:pPr>
        <w:rPr>
          <w:rFonts w:cs="Arial"/>
          <w:u w:val="single"/>
        </w:rPr>
      </w:pPr>
      <w:r w:rsidRPr="00A43EA1">
        <w:rPr>
          <w:rFonts w:cs="Arial"/>
          <w:u w:val="single"/>
        </w:rPr>
        <w:t xml:space="preserve">b. Erstellung von CPVO-Protokollen  </w:t>
      </w:r>
    </w:p>
    <w:p w14:paraId="03D3C06E" w14:textId="77777777" w:rsidR="00424F87" w:rsidRPr="00A43EA1" w:rsidRDefault="00424F87" w:rsidP="00424F87">
      <w:pPr>
        <w:ind w:right="43"/>
        <w:rPr>
          <w:rFonts w:cs="Arial"/>
        </w:rPr>
      </w:pPr>
    </w:p>
    <w:p w14:paraId="6D89E53E" w14:textId="77777777" w:rsidR="00424F87" w:rsidRPr="00A43EA1" w:rsidRDefault="00424F87" w:rsidP="00424F87">
      <w:pPr>
        <w:ind w:right="43"/>
        <w:rPr>
          <w:rFonts w:cs="Arial"/>
        </w:rPr>
      </w:pPr>
      <w:r w:rsidRPr="00A43EA1">
        <w:rPr>
          <w:rFonts w:cs="Arial"/>
        </w:rPr>
        <w:t>Im Jahre 2022 wurden Sachverständige aus den Prüfungsämtern der EU-Mitgliedstaaten zur Teilnahme an der Ausarbeitung oder Überarbeitung technischer Protokolle für die DUS-Prüfung eingeladen, die entweder anschließend vom Verwaltungsrat gebilligt wurden oder voraussichtlich im Jahre 2023 gebilligt werden können. Es wurden Sachverständigensitzungen abgehalten, um die technischen Protokolle zu erörtern:</w:t>
      </w:r>
    </w:p>
    <w:p w14:paraId="5E2C7EF2" w14:textId="77777777" w:rsidR="00424F87" w:rsidRPr="00A43EA1" w:rsidRDefault="00424F87" w:rsidP="00424F87">
      <w:pPr>
        <w:ind w:right="43"/>
        <w:rPr>
          <w:rFonts w:cs="Arial"/>
        </w:rPr>
      </w:pPr>
    </w:p>
    <w:p w14:paraId="6C0EFAD4"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rPr>
      </w:pPr>
      <w:r w:rsidRPr="00A43EA1">
        <w:rPr>
          <w:rFonts w:cs="Arial"/>
        </w:rPr>
        <w:t xml:space="preserve">Landwirtschaftliche Nutzpflanzen: </w:t>
      </w:r>
      <w:r w:rsidRPr="00A43EA1">
        <w:rPr>
          <w:rFonts w:cs="Arial"/>
          <w:color w:val="000000"/>
        </w:rPr>
        <w:t>Hanf, Triticale und Roggen</w:t>
      </w:r>
    </w:p>
    <w:p w14:paraId="15B98CF5"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rPr>
      </w:pPr>
      <w:r w:rsidRPr="00A43EA1">
        <w:rPr>
          <w:rFonts w:cs="Arial"/>
        </w:rPr>
        <w:t xml:space="preserve">Gemüsekulturen: Wilde Rauke, Gartenrauke, Blatt-Zichorie, </w:t>
      </w:r>
      <w:r w:rsidRPr="00A43EA1">
        <w:rPr>
          <w:rFonts w:cs="Arial"/>
          <w:color w:val="000000"/>
        </w:rPr>
        <w:t>Wassermelone, Kohlrabi und Knoblauch</w:t>
      </w:r>
    </w:p>
    <w:p w14:paraId="0A6142E3" w14:textId="77777777" w:rsidR="00424F87" w:rsidRPr="00A43EA1" w:rsidRDefault="00424F87" w:rsidP="00424F87">
      <w:pPr>
        <w:numPr>
          <w:ilvl w:val="0"/>
          <w:numId w:val="31"/>
        </w:numPr>
        <w:shd w:val="clear" w:color="auto" w:fill="FFFFFF"/>
        <w:autoSpaceDE w:val="0"/>
        <w:autoSpaceDN w:val="0"/>
        <w:adjustRightInd w:val="0"/>
        <w:spacing w:after="40"/>
        <w:ind w:left="357" w:hanging="357"/>
        <w:textAlignment w:val="center"/>
        <w:rPr>
          <w:rFonts w:cs="Arial"/>
          <w:i/>
          <w:iCs/>
          <w:u w:val="single"/>
        </w:rPr>
      </w:pPr>
      <w:r w:rsidRPr="00A43EA1">
        <w:rPr>
          <w:rFonts w:cs="Arial"/>
        </w:rPr>
        <w:t xml:space="preserve">Zierpflanzen: </w:t>
      </w:r>
      <w:bookmarkStart w:id="5" w:name="_Toc25329854"/>
      <w:r w:rsidRPr="00A43EA1">
        <w:rPr>
          <w:rFonts w:cs="Arial"/>
          <w:i/>
          <w:iCs/>
          <w:color w:val="000000"/>
        </w:rPr>
        <w:t xml:space="preserve">Eustoma exaltatum </w:t>
      </w:r>
      <w:r w:rsidRPr="00A43EA1">
        <w:rPr>
          <w:rFonts w:cs="Arial"/>
          <w:i/>
          <w:color w:val="000000"/>
        </w:rPr>
        <w:t xml:space="preserve">(L.) Salisb. ex G. Don subsp. </w:t>
      </w:r>
      <w:r w:rsidRPr="00A43EA1">
        <w:rPr>
          <w:rFonts w:cs="Arial"/>
          <w:i/>
          <w:iCs/>
          <w:color w:val="000000"/>
        </w:rPr>
        <w:t xml:space="preserve">russellianum </w:t>
      </w:r>
      <w:r w:rsidRPr="00A43EA1">
        <w:rPr>
          <w:rFonts w:cs="Arial"/>
          <w:i/>
          <w:color w:val="000000"/>
        </w:rPr>
        <w:t>(Hook.) Kartesz</w:t>
      </w:r>
      <w:r w:rsidRPr="00A43EA1">
        <w:rPr>
          <w:rFonts w:cs="Arial"/>
          <w:color w:val="000000"/>
        </w:rPr>
        <w:t xml:space="preserve">, </w:t>
      </w:r>
      <w:r w:rsidRPr="00A43EA1">
        <w:rPr>
          <w:rFonts w:cs="Arial"/>
          <w:i/>
          <w:iCs/>
          <w:color w:val="000000"/>
        </w:rPr>
        <w:t xml:space="preserve">Echinacea </w:t>
      </w:r>
      <w:r w:rsidRPr="00A43EA1">
        <w:rPr>
          <w:rFonts w:cs="Arial"/>
          <w:i/>
          <w:color w:val="000000"/>
        </w:rPr>
        <w:t xml:space="preserve">Moench </w:t>
      </w:r>
      <w:r w:rsidRPr="00A43EA1">
        <w:rPr>
          <w:rFonts w:cs="Arial"/>
          <w:bCs/>
        </w:rPr>
        <w:t xml:space="preserve">und </w:t>
      </w:r>
      <w:r w:rsidRPr="00A43EA1">
        <w:rPr>
          <w:rFonts w:cs="Arial"/>
          <w:bCs/>
          <w:i/>
          <w:iCs/>
        </w:rPr>
        <w:t xml:space="preserve">Lagerstroemia </w:t>
      </w:r>
      <w:r w:rsidRPr="00A43EA1">
        <w:rPr>
          <w:rFonts w:cs="Arial"/>
          <w:bCs/>
          <w:i/>
        </w:rPr>
        <w:t>L.</w:t>
      </w:r>
      <w:bookmarkEnd w:id="5"/>
    </w:p>
    <w:p w14:paraId="504FB490" w14:textId="77777777" w:rsidR="00424F87" w:rsidRPr="00A43EA1" w:rsidRDefault="00424F87" w:rsidP="00424F87">
      <w:pPr>
        <w:numPr>
          <w:ilvl w:val="0"/>
          <w:numId w:val="31"/>
        </w:numPr>
        <w:shd w:val="clear" w:color="auto" w:fill="FFFFFF"/>
        <w:autoSpaceDE w:val="0"/>
        <w:autoSpaceDN w:val="0"/>
        <w:adjustRightInd w:val="0"/>
        <w:textAlignment w:val="center"/>
        <w:rPr>
          <w:rFonts w:cs="Arial"/>
        </w:rPr>
      </w:pPr>
      <w:r w:rsidRPr="00A43EA1">
        <w:rPr>
          <w:rFonts w:cs="Arial"/>
        </w:rPr>
        <w:t xml:space="preserve">Obstkulturen: </w:t>
      </w:r>
      <w:r w:rsidRPr="00A43EA1">
        <w:rPr>
          <w:rFonts w:cs="Arial"/>
          <w:color w:val="000000"/>
        </w:rPr>
        <w:t>Aprikose</w:t>
      </w:r>
    </w:p>
    <w:p w14:paraId="1CCED7B3" w14:textId="77777777" w:rsidR="00424F87" w:rsidRPr="00A43EA1" w:rsidRDefault="00424F87" w:rsidP="00424F87"/>
    <w:p w14:paraId="4635AA45" w14:textId="77777777" w:rsidR="00424F87" w:rsidRPr="00A43EA1" w:rsidRDefault="00424F87" w:rsidP="00424F87">
      <w:pPr>
        <w:rPr>
          <w:rFonts w:cs="Arial"/>
          <w:u w:val="single"/>
        </w:rPr>
      </w:pPr>
      <w:r w:rsidRPr="00A43EA1">
        <w:rPr>
          <w:rFonts w:cs="Arial"/>
          <w:u w:val="single"/>
        </w:rPr>
        <w:t xml:space="preserve">c. Weitere Entwicklung des CPVO Variety Finder </w:t>
      </w:r>
    </w:p>
    <w:p w14:paraId="13D1F468" w14:textId="77777777" w:rsidR="00424F87" w:rsidRPr="00A43EA1" w:rsidRDefault="00424F87" w:rsidP="00424F87">
      <w:pPr>
        <w:rPr>
          <w:rFonts w:cs="Arial"/>
          <w:color w:val="222222"/>
        </w:rPr>
      </w:pPr>
    </w:p>
    <w:p w14:paraId="7899FD5D" w14:textId="77777777" w:rsidR="00424F87" w:rsidRPr="00A43EA1" w:rsidRDefault="00424F87" w:rsidP="00424F87">
      <w:pPr>
        <w:rPr>
          <w:rFonts w:cs="Arial"/>
          <w:color w:val="222222"/>
        </w:rPr>
      </w:pPr>
      <w:r w:rsidRPr="00A43EA1">
        <w:rPr>
          <w:rFonts w:cs="Arial"/>
          <w:color w:val="222222"/>
        </w:rPr>
        <w:t xml:space="preserve">Der CPVO Variety Finder ist eine Webanwendung, die Informationen über Register von mehr als 70 Ländern mit einem allgemeinen Suchwerkzeug enthält. </w:t>
      </w:r>
    </w:p>
    <w:p w14:paraId="4699D2D8" w14:textId="77777777" w:rsidR="00424F87" w:rsidRPr="00A43EA1" w:rsidRDefault="00424F87" w:rsidP="00424F87">
      <w:pPr>
        <w:rPr>
          <w:rFonts w:cs="Arial"/>
          <w:color w:val="222222"/>
        </w:rPr>
      </w:pPr>
    </w:p>
    <w:p w14:paraId="163A7E44" w14:textId="77777777" w:rsidR="00424F87" w:rsidRPr="00A43EA1" w:rsidRDefault="00424F87" w:rsidP="00424F87">
      <w:pPr>
        <w:rPr>
          <w:rFonts w:eastAsia="Calibri" w:cs="Arial"/>
          <w:color w:val="222222"/>
        </w:rPr>
      </w:pPr>
      <w:r w:rsidRPr="00A43EA1">
        <w:rPr>
          <w:rFonts w:cs="Arial"/>
          <w:color w:val="222222"/>
        </w:rPr>
        <w:t xml:space="preserve">Das CPVO zentralisiert Daten aus verschiedenen Registern wie Züchterrechtsämtern (einschließlich des CPVO-Registers), nationalen Sortenverzeichnissen, Pflanzenpatentregistern, dem EUIPO-Markenregister (in Klasse 31 eingetragene Marken) und Handelsregistern. </w:t>
      </w:r>
    </w:p>
    <w:p w14:paraId="5D0AA95A" w14:textId="77777777" w:rsidR="00424F87" w:rsidRPr="00A43EA1" w:rsidRDefault="00424F87" w:rsidP="00424F87">
      <w:pPr>
        <w:rPr>
          <w:rFonts w:cs="Arial"/>
          <w:color w:val="222222"/>
        </w:rPr>
      </w:pPr>
    </w:p>
    <w:p w14:paraId="7D0FD9CD" w14:textId="77777777" w:rsidR="00424F87" w:rsidRPr="00A43EA1" w:rsidRDefault="00424F87" w:rsidP="00424F87">
      <w:pPr>
        <w:rPr>
          <w:rFonts w:cs="Arial"/>
          <w:color w:val="222222"/>
        </w:rPr>
      </w:pPr>
      <w:r w:rsidRPr="00A43EA1">
        <w:rPr>
          <w:rFonts w:cs="Arial"/>
          <w:color w:val="222222"/>
        </w:rPr>
        <w:t xml:space="preserve">Ziel ist es, Züchtern, nationalen Behörden und der Öffentlichkeit im Allgemeinen einen zentralisierten Suchdienst anzubieten. </w:t>
      </w:r>
    </w:p>
    <w:p w14:paraId="64239431" w14:textId="77777777" w:rsidR="00424F87" w:rsidRPr="00A43EA1" w:rsidRDefault="00424F87" w:rsidP="00424F87">
      <w:pPr>
        <w:rPr>
          <w:rFonts w:cs="Arial"/>
          <w:color w:val="222222"/>
        </w:rPr>
      </w:pPr>
    </w:p>
    <w:p w14:paraId="43F90C6B" w14:textId="77777777" w:rsidR="00424F87" w:rsidRPr="00A43EA1" w:rsidRDefault="00424F87" w:rsidP="00424F87">
      <w:pPr>
        <w:rPr>
          <w:rFonts w:cs="Arial"/>
          <w:color w:val="222222"/>
        </w:rPr>
      </w:pPr>
      <w:r w:rsidRPr="00A43EA1">
        <w:rPr>
          <w:rFonts w:cs="Arial"/>
          <w:color w:val="222222"/>
        </w:rPr>
        <w:t xml:space="preserve">Ein effizientes Tool zur Ähnlichkeitssuche wird zur Verfügung gestellt, um die Eignung von Sortenbezeichnungen zu testen. </w:t>
      </w:r>
    </w:p>
    <w:p w14:paraId="445E3EEF" w14:textId="77777777" w:rsidR="00424F87" w:rsidRPr="00A43EA1" w:rsidRDefault="00424F87" w:rsidP="00424F87">
      <w:pPr>
        <w:autoSpaceDE w:val="0"/>
        <w:autoSpaceDN w:val="0"/>
        <w:adjustRightInd w:val="0"/>
        <w:textAlignment w:val="center"/>
        <w:rPr>
          <w:rFonts w:cs="Arial"/>
        </w:rPr>
      </w:pPr>
    </w:p>
    <w:p w14:paraId="6EA13D66" w14:textId="77777777" w:rsidR="00424F87" w:rsidRPr="00A43EA1" w:rsidRDefault="00424F87" w:rsidP="00424F87">
      <w:pPr>
        <w:autoSpaceDE w:val="0"/>
        <w:autoSpaceDN w:val="0"/>
        <w:adjustRightInd w:val="0"/>
        <w:textAlignment w:val="center"/>
        <w:rPr>
          <w:rFonts w:cs="Arial"/>
          <w:lang w:eastAsia="zh-CN"/>
        </w:rPr>
      </w:pPr>
      <w:r w:rsidRPr="00A43EA1">
        <w:rPr>
          <w:rFonts w:cs="Arial"/>
        </w:rPr>
        <w:t xml:space="preserve">Die verschiedenen Mitwirkenden aktualisieren die Datenbank, sobald die Daten offiziell veröffentlicht werden, und </w:t>
      </w:r>
      <w:r w:rsidRPr="00A43EA1">
        <w:rPr>
          <w:rFonts w:cs="Arial"/>
          <w:lang w:eastAsia="zh-CN"/>
        </w:rPr>
        <w:t xml:space="preserve">mit dem UPOV-Büro wurde eine Absichtserklärung unterzeichnet, um die Aufgabe der Datenerfassung von EU-Mitgliedstaaten und Nicht-EU-Ländern zu teilen und einen regelmäßigen Datenaustausch zu gewährleisten. </w:t>
      </w:r>
    </w:p>
    <w:p w14:paraId="3ABD6572" w14:textId="77777777" w:rsidR="00424F87" w:rsidRPr="00A43EA1" w:rsidRDefault="00424F87" w:rsidP="00424F87">
      <w:pPr>
        <w:autoSpaceDE w:val="0"/>
        <w:autoSpaceDN w:val="0"/>
        <w:adjustRightInd w:val="0"/>
        <w:textAlignment w:val="center"/>
        <w:rPr>
          <w:rFonts w:cs="Arial"/>
          <w:color w:val="000000"/>
        </w:rPr>
      </w:pPr>
    </w:p>
    <w:p w14:paraId="0EE995C4" w14:textId="77777777" w:rsidR="00424F87" w:rsidRPr="00A43EA1" w:rsidRDefault="00424F87" w:rsidP="00424F87">
      <w:pPr>
        <w:autoSpaceDE w:val="0"/>
        <w:autoSpaceDN w:val="0"/>
        <w:adjustRightInd w:val="0"/>
        <w:textAlignment w:val="center"/>
        <w:rPr>
          <w:rFonts w:cs="Arial"/>
        </w:rPr>
      </w:pPr>
      <w:r w:rsidRPr="00A43EA1">
        <w:rPr>
          <w:rFonts w:cs="Arial"/>
          <w:color w:val="000000"/>
        </w:rPr>
        <w:t xml:space="preserve">Insgesamt wurden bisher mehr als 1,3 Millionen </w:t>
      </w:r>
      <w:r w:rsidRPr="00A43EA1">
        <w:rPr>
          <w:rFonts w:eastAsia="Tahoma" w:cs="Arial"/>
        </w:rPr>
        <w:t>Einträge aus EU- und Nicht-EU-Ländern in den Variety Finder aufgenommen</w:t>
      </w:r>
      <w:r w:rsidRPr="00A43EA1">
        <w:rPr>
          <w:rFonts w:cs="Arial"/>
        </w:rPr>
        <w:t xml:space="preserve">. </w:t>
      </w:r>
    </w:p>
    <w:p w14:paraId="32234164" w14:textId="77777777" w:rsidR="00424F87" w:rsidRPr="00A43EA1" w:rsidRDefault="00424F87" w:rsidP="00424F87">
      <w:pPr>
        <w:autoSpaceDE w:val="0"/>
        <w:autoSpaceDN w:val="0"/>
        <w:adjustRightInd w:val="0"/>
        <w:textAlignment w:val="center"/>
        <w:rPr>
          <w:rFonts w:cs="Arial"/>
          <w:lang w:eastAsia="zh-CN"/>
        </w:rPr>
      </w:pPr>
    </w:p>
    <w:p w14:paraId="0D907438" w14:textId="77777777" w:rsidR="00424F87" w:rsidRPr="00A43EA1" w:rsidRDefault="00424F87" w:rsidP="00424F87">
      <w:pPr>
        <w:autoSpaceDE w:val="0"/>
        <w:autoSpaceDN w:val="0"/>
        <w:adjustRightInd w:val="0"/>
        <w:textAlignment w:val="center"/>
        <w:rPr>
          <w:rFonts w:cs="Arial"/>
        </w:rPr>
      </w:pPr>
      <w:r w:rsidRPr="00A43EA1">
        <w:rPr>
          <w:rFonts w:cs="Arial"/>
          <w:lang w:eastAsia="zh-CN"/>
        </w:rPr>
        <w:t xml:space="preserve">Die Nutzung des Variety Finders hat in den letzten Jahren ständig zugenommen. CPVO-Antragsteller und Titelinhaber stellen mit mehr als 50 % der eingeleiteten Ähnlichkeitsprüfungen die größte Gruppe von Nutzern dar. </w:t>
      </w:r>
    </w:p>
    <w:p w14:paraId="79C7487B" w14:textId="77777777" w:rsidR="00424F87" w:rsidRPr="00A43EA1" w:rsidRDefault="00424F87" w:rsidP="00424F87">
      <w:pPr>
        <w:autoSpaceDE w:val="0"/>
        <w:autoSpaceDN w:val="0"/>
        <w:adjustRightInd w:val="0"/>
        <w:textAlignment w:val="center"/>
        <w:rPr>
          <w:rFonts w:cs="Arial"/>
        </w:rPr>
      </w:pPr>
    </w:p>
    <w:p w14:paraId="6D34831A" w14:textId="77777777" w:rsidR="00424F87" w:rsidRPr="00A43EA1" w:rsidRDefault="00424F87" w:rsidP="00424F87">
      <w:pPr>
        <w:autoSpaceDE w:val="0"/>
        <w:autoSpaceDN w:val="0"/>
        <w:adjustRightInd w:val="0"/>
        <w:textAlignment w:val="center"/>
        <w:rPr>
          <w:rFonts w:cs="Arial"/>
        </w:rPr>
      </w:pPr>
      <w:r w:rsidRPr="00A43EA1">
        <w:rPr>
          <w:rFonts w:cs="Arial"/>
        </w:rPr>
        <w:t xml:space="preserve">Das CPVO und die Generaldirektion für Gesundheit und Lebensmittelsicherheit (DG SANTE) haben in den Jahren 2022 und 2023 intensiv an dem gemeinsamen Projekt mit dem Namen "EU Plant Variety Portal (EUPVP)" gearbeitet. </w:t>
      </w:r>
    </w:p>
    <w:p w14:paraId="1296765B" w14:textId="77777777" w:rsidR="00424F87" w:rsidRPr="00A43EA1" w:rsidRDefault="00424F87" w:rsidP="00424F87">
      <w:pPr>
        <w:autoSpaceDE w:val="0"/>
        <w:autoSpaceDN w:val="0"/>
        <w:adjustRightInd w:val="0"/>
        <w:textAlignment w:val="center"/>
        <w:rPr>
          <w:rFonts w:cs="Arial"/>
        </w:rPr>
      </w:pPr>
    </w:p>
    <w:p w14:paraId="314748EB" w14:textId="77777777" w:rsidR="00424F87" w:rsidRPr="00A43EA1" w:rsidRDefault="00424F87" w:rsidP="00424F87">
      <w:pPr>
        <w:autoSpaceDE w:val="0"/>
        <w:autoSpaceDN w:val="0"/>
        <w:adjustRightInd w:val="0"/>
        <w:textAlignment w:val="center"/>
        <w:rPr>
          <w:rFonts w:cs="Arial"/>
        </w:rPr>
      </w:pPr>
      <w:r w:rsidRPr="00A43EA1">
        <w:rPr>
          <w:rFonts w:cs="Arial"/>
        </w:rPr>
        <w:t xml:space="preserve">Das Portal wurde eingerichtet und wird derzeit nur für die Zwecke der gemeinsamen Kataloge von </w:t>
      </w:r>
      <w:r w:rsidRPr="00A43EA1">
        <w:rPr>
          <w:rFonts w:cs="Arial"/>
          <w:color w:val="404040"/>
        </w:rPr>
        <w:t xml:space="preserve">Sorten landwirtschaftlicher Pflanzen und Gemüse </w:t>
      </w:r>
      <w:r w:rsidRPr="00A43EA1">
        <w:rPr>
          <w:rFonts w:cs="Arial"/>
        </w:rPr>
        <w:t>verwendet</w:t>
      </w:r>
      <w:r w:rsidRPr="00A43EA1">
        <w:rPr>
          <w:rFonts w:cs="Arial"/>
          <w:color w:val="404040"/>
        </w:rPr>
        <w:t>, die in der EU vermarktet werden können.</w:t>
      </w:r>
      <w:r w:rsidRPr="00A43EA1">
        <w:rPr>
          <w:rFonts w:cs="Arial"/>
        </w:rPr>
        <w:t xml:space="preserve"> Die nächsten Schritte sollten die Ausweitung des Inhalts auf andere Arten und Register sein, um den Bedarf des CPVO für den Variety Finder zu decken.</w:t>
      </w:r>
    </w:p>
    <w:p w14:paraId="16C51A44" w14:textId="77777777" w:rsidR="00424F87" w:rsidRPr="00A43EA1" w:rsidRDefault="00424F87" w:rsidP="00424F87">
      <w:pPr>
        <w:autoSpaceDE w:val="0"/>
        <w:autoSpaceDN w:val="0"/>
        <w:adjustRightInd w:val="0"/>
        <w:textAlignment w:val="center"/>
        <w:rPr>
          <w:rFonts w:cs="Arial"/>
        </w:rPr>
      </w:pPr>
    </w:p>
    <w:p w14:paraId="228D73B4" w14:textId="77777777" w:rsidR="00424F87" w:rsidRPr="00A43EA1" w:rsidRDefault="00424F87" w:rsidP="00424F87">
      <w:pPr>
        <w:autoSpaceDE w:val="0"/>
        <w:autoSpaceDN w:val="0"/>
        <w:adjustRightInd w:val="0"/>
        <w:textAlignment w:val="center"/>
        <w:rPr>
          <w:rFonts w:cs="Arial"/>
        </w:rPr>
      </w:pPr>
      <w:r w:rsidRPr="00A43EA1">
        <w:rPr>
          <w:rFonts w:cs="Arial"/>
        </w:rPr>
        <w:t xml:space="preserve">Das Projekt zielt auf eine einmalige Einreichung für die Mitgliedstaaten ab, die Informationen für einen Beitrag zu den verschiedenen Datenbanken (CPVO Variety Finder und Datenbanken der Kommission) enthalten wird. </w:t>
      </w:r>
    </w:p>
    <w:p w14:paraId="279C816E" w14:textId="77777777" w:rsidR="00424F87" w:rsidRPr="00A43EA1" w:rsidRDefault="00424F87" w:rsidP="00424F87">
      <w:pPr>
        <w:rPr>
          <w:rFonts w:cs="Arial"/>
        </w:rPr>
      </w:pPr>
    </w:p>
    <w:p w14:paraId="3A1E25EA" w14:textId="77777777" w:rsidR="00424F87" w:rsidRPr="00A43EA1" w:rsidRDefault="00424F87" w:rsidP="00424F87">
      <w:pPr>
        <w:tabs>
          <w:tab w:val="left" w:pos="142"/>
        </w:tabs>
        <w:autoSpaceDE w:val="0"/>
        <w:autoSpaceDN w:val="0"/>
        <w:adjustRightInd w:val="0"/>
        <w:rPr>
          <w:rFonts w:cs="Arial"/>
          <w:u w:val="single"/>
        </w:rPr>
      </w:pPr>
      <w:r w:rsidRPr="00A43EA1">
        <w:rPr>
          <w:rFonts w:cs="Arial"/>
          <w:u w:val="single"/>
        </w:rPr>
        <w:t xml:space="preserve">d. Zusammenarbeit mit den EU-Mitgliedstaaten bei der Prüfung von Stückelungen </w:t>
      </w:r>
    </w:p>
    <w:p w14:paraId="31A14A64" w14:textId="77777777" w:rsidR="00424F87" w:rsidRPr="00A43EA1" w:rsidRDefault="00424F87" w:rsidP="00424F87">
      <w:pPr>
        <w:rPr>
          <w:rFonts w:cs="Arial"/>
        </w:rPr>
      </w:pPr>
    </w:p>
    <w:p w14:paraId="13AFA3A4" w14:textId="77777777" w:rsidR="00424F87" w:rsidRPr="00A43EA1" w:rsidRDefault="00424F87" w:rsidP="00424F87">
      <w:pPr>
        <w:rPr>
          <w:rFonts w:cs="Arial"/>
        </w:rPr>
      </w:pPr>
      <w:r w:rsidRPr="00A43EA1">
        <w:rPr>
          <w:rFonts w:cs="Arial"/>
        </w:rPr>
        <w:t xml:space="preserve">Die Zusammenarbeit zwischen den EU-Mitgliedstaaten ist von entscheidender Bedeutung, um eine einheitliche und konsistente Auslegung von Artikel 63 der Grundverordnung zu gewährleisten, der auf dem UPOV-Übereinkommen von 1991 beruht. Die Dienststelle für die Zusammenarbeit bei der Prüfung von Sortenbezeichnungen verkörpert diese Zusammenarbeit, indem sie den regelmäßigen Austausch zwischen den 27 teilnehmenden Ländern und dem Amt fördert, was zu rund 7000 Stellungnahmen pro Jahr führt. Diese </w:t>
      </w:r>
      <w:r w:rsidRPr="00A43EA1">
        <w:rPr>
          <w:rFonts w:cs="Arial"/>
        </w:rPr>
        <w:lastRenderedPageBreak/>
        <w:t>Stellungnahmen ermöglichen es, über Entwicklungen, Trends und Veränderungen auf dem Laufenden zu bleiben. Es handelt sich um ein kollaboratives Überwachungsinstrument, das nicht nur Informationen in den frühesten Stadien von Benennungsvorschlägen liefert, sondern auch proaktiv bestimmte Probleme aufzeigt. Dieser Ansatz ermöglicht es, transparente und koordinierte Maßnahmen zu ergreifen, um Verwaltungsaufwand zu vermeiden, der sich nachteilig auf die Züchter auswirken kann.</w:t>
      </w:r>
    </w:p>
    <w:p w14:paraId="54257EBA" w14:textId="77777777" w:rsidR="00424F87" w:rsidRPr="00A43EA1" w:rsidRDefault="00424F87" w:rsidP="00424F87">
      <w:pPr>
        <w:rPr>
          <w:rFonts w:cs="Arial"/>
        </w:rPr>
      </w:pPr>
    </w:p>
    <w:p w14:paraId="3D7B8F98" w14:textId="77777777" w:rsidR="00424F87" w:rsidRPr="00A43EA1" w:rsidRDefault="00424F87" w:rsidP="00424F87">
      <w:pPr>
        <w:rPr>
          <w:rFonts w:cs="Arial"/>
        </w:rPr>
      </w:pPr>
      <w:r w:rsidRPr="00A43EA1">
        <w:rPr>
          <w:rFonts w:cs="Arial"/>
        </w:rPr>
        <w:t>Darüber hinaus zielt der Kooperationsdienst darauf ab, Regelungsaspekte, die zu unterschiedlichen Auslegungen führen können, aufzuzeigen und die notwendigen Klarstellungen vorzunehmen.</w:t>
      </w:r>
    </w:p>
    <w:p w14:paraId="484094E2" w14:textId="77777777" w:rsidR="00424F87" w:rsidRPr="00A43EA1" w:rsidRDefault="00424F87" w:rsidP="00424F87">
      <w:pPr>
        <w:rPr>
          <w:rFonts w:cs="Arial"/>
        </w:rPr>
      </w:pPr>
    </w:p>
    <w:p w14:paraId="709C73B2" w14:textId="77777777" w:rsidR="00424F87" w:rsidRPr="00A43EA1" w:rsidRDefault="00424F87" w:rsidP="00424F87">
      <w:pPr>
        <w:rPr>
          <w:rFonts w:cs="Arial"/>
        </w:rPr>
      </w:pPr>
      <w:r w:rsidRPr="00A43EA1">
        <w:rPr>
          <w:rFonts w:cs="Arial"/>
        </w:rPr>
        <w:t>Seit der Einrichtung des Dienstes für die Zusammenarbeit bei der Prüfung von Sortenbezeichnungen im Jahr 2010 haben sich die Leitlinien für Sortenbezeichnungen und ihre Erläuterungen erheblich weiterentwickelt. Diese Änderungen sind das direkte Ergebnis der täglichen Interaktion zwischen den Nutzern der Dienstleistung und dem Amt. Die jüngste Version der Richtlinien und Erläuterungen, die seit Januar 2022 in Kraft ist, hat bemerkenswerte Änderungen eingeführt, deren Auswirkungen im ersten Jahr ihrer Einführung bewertet wurden. Im Laufe des Jahres 2022 haben bestimmte Aspekte, unabhängig davon, ob sie mit den jüngsten Änderungen zusammenhängen oder nicht, Fragen zu ihrem Verständnis und ihrer praktischen Umsetzung aufgeworfen. Dazu gehören die Verwaltung von Widersprüchen im Zusammenhang mit älteren Rechten und die vom Amt angewandte zehnjährige Wartezeit für die Wiederverwendung von Bezeichnungen.</w:t>
      </w:r>
    </w:p>
    <w:p w14:paraId="3D0F6C73" w14:textId="77777777" w:rsidR="00424F87" w:rsidRPr="00A43EA1" w:rsidRDefault="00424F87" w:rsidP="00424F87">
      <w:pPr>
        <w:tabs>
          <w:tab w:val="left" w:pos="142"/>
        </w:tabs>
        <w:autoSpaceDE w:val="0"/>
        <w:autoSpaceDN w:val="0"/>
        <w:adjustRightInd w:val="0"/>
        <w:rPr>
          <w:rFonts w:cs="Arial"/>
        </w:rPr>
      </w:pPr>
    </w:p>
    <w:p w14:paraId="13C04A20" w14:textId="77777777" w:rsidR="00424F87" w:rsidRPr="00A43EA1" w:rsidRDefault="00424F87" w:rsidP="00424F87">
      <w:pPr>
        <w:tabs>
          <w:tab w:val="left" w:pos="142"/>
        </w:tabs>
        <w:autoSpaceDE w:val="0"/>
        <w:autoSpaceDN w:val="0"/>
        <w:adjustRightInd w:val="0"/>
        <w:rPr>
          <w:rFonts w:cs="Arial"/>
        </w:rPr>
      </w:pPr>
      <w:r w:rsidRPr="00A43EA1">
        <w:rPr>
          <w:rFonts w:cs="Arial"/>
        </w:rPr>
        <w:t>Daher berief das Amt im Februar 2023 die Arbeitsgruppe der Konfession ein, um diese Fragen zu erörtern und einen fortlaufenden Prozess der Überarbeitung einzuleiten.</w:t>
      </w:r>
    </w:p>
    <w:p w14:paraId="52E87901" w14:textId="77777777" w:rsidR="00424F87" w:rsidRPr="00A43EA1" w:rsidRDefault="00424F87" w:rsidP="00424F87">
      <w:pPr>
        <w:tabs>
          <w:tab w:val="left" w:pos="142"/>
        </w:tabs>
        <w:autoSpaceDE w:val="0"/>
        <w:autoSpaceDN w:val="0"/>
        <w:adjustRightInd w:val="0"/>
        <w:rPr>
          <w:rFonts w:cs="Arial"/>
        </w:rPr>
      </w:pPr>
    </w:p>
    <w:p w14:paraId="3B76EADD" w14:textId="77777777" w:rsidR="00424F87" w:rsidRPr="00A43EA1" w:rsidRDefault="00424F87" w:rsidP="00424F87">
      <w:pPr>
        <w:rPr>
          <w:rFonts w:cs="Arial"/>
          <w:u w:val="single"/>
        </w:rPr>
      </w:pPr>
      <w:r w:rsidRPr="00A43EA1">
        <w:rPr>
          <w:rFonts w:cs="Arial"/>
          <w:u w:val="single"/>
        </w:rPr>
        <w:t>4.2 Tagung der Pflanzensachverständigen</w:t>
      </w:r>
    </w:p>
    <w:p w14:paraId="5C1CEF68" w14:textId="77777777" w:rsidR="00424F87" w:rsidRPr="00A43EA1" w:rsidRDefault="00424F87" w:rsidP="00424F87">
      <w:pPr>
        <w:autoSpaceDE w:val="0"/>
        <w:autoSpaceDN w:val="0"/>
        <w:adjustRightInd w:val="0"/>
        <w:rPr>
          <w:rFonts w:cs="Arial"/>
          <w:color w:val="000000"/>
          <w:lang w:eastAsia="en-GB"/>
        </w:rPr>
      </w:pPr>
    </w:p>
    <w:p w14:paraId="5D1961CA" w14:textId="77777777" w:rsidR="00424F87" w:rsidRPr="00A43EA1" w:rsidRDefault="00424F87" w:rsidP="00424F87">
      <w:pPr>
        <w:autoSpaceDE w:val="0"/>
        <w:autoSpaceDN w:val="0"/>
        <w:adjustRightInd w:val="0"/>
        <w:rPr>
          <w:rFonts w:cs="Arial"/>
          <w:webHidden/>
          <w:color w:val="000000"/>
          <w:lang w:eastAsia="en-GB"/>
        </w:rPr>
      </w:pPr>
      <w:r w:rsidRPr="00A43EA1">
        <w:rPr>
          <w:rFonts w:cs="Arial"/>
          <w:color w:val="000000"/>
          <w:lang w:eastAsia="en-GB"/>
        </w:rPr>
        <w:t>Im September 2022 fand ein Treffen von Landwirtschaftsexperten statt, um darüber zu diskutieren:</w:t>
      </w:r>
    </w:p>
    <w:p w14:paraId="31C969A3" w14:textId="77777777" w:rsidR="00424F87" w:rsidRPr="00A43EA1" w:rsidRDefault="00424F87" w:rsidP="00424F87">
      <w:pPr>
        <w:autoSpaceDE w:val="0"/>
        <w:autoSpaceDN w:val="0"/>
        <w:adjustRightInd w:val="0"/>
        <w:rPr>
          <w:rFonts w:cs="Arial"/>
          <w:color w:val="000000"/>
          <w:lang w:eastAsia="en-GB"/>
        </w:rPr>
      </w:pPr>
    </w:p>
    <w:p w14:paraId="16E6513B"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Beobachtung bestimmter Merkmale in mehrjährigen Tests nur einmal</w:t>
      </w:r>
    </w:p>
    <w:p w14:paraId="1CC7150F"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Echte Saatgutsorten für Kartoffeln und Mais in Prüfsystemen mit Beteiligung von Züchtern in Frankreich und Italien</w:t>
      </w:r>
    </w:p>
    <w:p w14:paraId="1C7FA503"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Weizen: Prüfung von Weizenhybriden, synthetischen Weizensorten</w:t>
      </w:r>
    </w:p>
    <w:p w14:paraId="67EA1F48"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Sommergerste: Probleme bei der Erfassung der Unterscheidbarkeit</w:t>
      </w:r>
    </w:p>
    <w:p w14:paraId="1BBEFA08"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Probleme im Zusammenhang mit der Nichtverfügbarkeit von Referenzmaterial</w:t>
      </w:r>
    </w:p>
    <w:p w14:paraId="088AB577"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2023 sollen technische Workshops organisiert werden</w:t>
      </w:r>
    </w:p>
    <w:p w14:paraId="4C603E51" w14:textId="77777777" w:rsidR="00424F87" w:rsidRPr="00A43EA1" w:rsidRDefault="00424F87" w:rsidP="00424F87">
      <w:pPr>
        <w:numPr>
          <w:ilvl w:val="0"/>
          <w:numId w:val="31"/>
        </w:numPr>
        <w:shd w:val="clear" w:color="auto" w:fill="FFFFFF"/>
        <w:autoSpaceDE w:val="0"/>
        <w:autoSpaceDN w:val="0"/>
        <w:adjustRightInd w:val="0"/>
        <w:ind w:left="567"/>
        <w:textAlignment w:val="center"/>
        <w:rPr>
          <w:rFonts w:cs="Arial"/>
          <w:color w:val="000000"/>
          <w:lang w:eastAsia="en-GB"/>
        </w:rPr>
      </w:pPr>
      <w:r w:rsidRPr="00A43EA1">
        <w:rPr>
          <w:rFonts w:cs="Arial"/>
          <w:color w:val="000000"/>
          <w:lang w:eastAsia="en-GB"/>
        </w:rPr>
        <w:t>Überarbeitung mehrerer technischer Protokolle und neue technische Protokolle</w:t>
      </w:r>
    </w:p>
    <w:p w14:paraId="23438A16" w14:textId="77777777" w:rsidR="00424F87" w:rsidRPr="00A43EA1" w:rsidRDefault="00424F87" w:rsidP="00424F87"/>
    <w:p w14:paraId="71152D9B" w14:textId="77777777" w:rsidR="00424F87" w:rsidRPr="00A43EA1" w:rsidRDefault="00424F87" w:rsidP="00424F87">
      <w:pPr>
        <w:autoSpaceDE w:val="0"/>
        <w:autoSpaceDN w:val="0"/>
        <w:adjustRightInd w:val="0"/>
        <w:rPr>
          <w:rFonts w:cs="Arial"/>
          <w:color w:val="000000"/>
          <w:lang w:eastAsia="en-GB"/>
        </w:rPr>
      </w:pPr>
      <w:r w:rsidRPr="00A43EA1">
        <w:rPr>
          <w:rFonts w:cs="Arial"/>
          <w:color w:val="000000"/>
          <w:lang w:eastAsia="en-GB"/>
        </w:rPr>
        <w:t>Am 10. November 2022 fand ein Treffen von Gemüsesachverständigen statt, auf dem unter anderem folgende Themen erörtert wurden</w:t>
      </w:r>
    </w:p>
    <w:p w14:paraId="54837550" w14:textId="77777777" w:rsidR="00424F87" w:rsidRPr="00A43EA1" w:rsidRDefault="00424F87" w:rsidP="00424F87">
      <w:pPr>
        <w:autoSpaceDE w:val="0"/>
        <w:autoSpaceDN w:val="0"/>
        <w:adjustRightInd w:val="0"/>
        <w:rPr>
          <w:rFonts w:cs="Arial"/>
          <w:color w:val="000000"/>
          <w:lang w:eastAsia="en-GB"/>
        </w:rPr>
      </w:pPr>
    </w:p>
    <w:p w14:paraId="52386E61"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das neue Verfahren über die Merkmale mit einer einzigen Erfassung bei Sorten, die für mehr als eine Wachstumsperiode geprüft werden</w:t>
      </w:r>
    </w:p>
    <w:p w14:paraId="59EF63CA"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die Organisation der Erörterungen über Krankheitsmerkmale auf CPVO- und UPOV-Ebene</w:t>
      </w:r>
    </w:p>
    <w:p w14:paraId="4FD43371"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Harmonisierung der Art und Weise, wie die Saatgutbestände für die Referenzsammlungen gesammelt und überwacht werden</w:t>
      </w:r>
    </w:p>
    <w:p w14:paraId="1AC667F2" w14:textId="77777777" w:rsidR="00424F87" w:rsidRPr="00A43EA1" w:rsidRDefault="00424F87" w:rsidP="00424F87">
      <w:pPr>
        <w:numPr>
          <w:ilvl w:val="0"/>
          <w:numId w:val="31"/>
        </w:numPr>
        <w:shd w:val="clear" w:color="auto" w:fill="FFFFFF"/>
        <w:autoSpaceDE w:val="0"/>
        <w:autoSpaceDN w:val="0"/>
        <w:adjustRightInd w:val="0"/>
        <w:ind w:left="567"/>
        <w:textAlignment w:val="center"/>
        <w:rPr>
          <w:rFonts w:cs="Arial"/>
          <w:color w:val="000000"/>
          <w:lang w:eastAsia="en-GB"/>
        </w:rPr>
      </w:pPr>
      <w:r w:rsidRPr="00A43EA1">
        <w:rPr>
          <w:rFonts w:cs="Arial"/>
          <w:color w:val="000000"/>
          <w:lang w:eastAsia="en-GB"/>
        </w:rPr>
        <w:t>die Überarbeitung mehrerer technischer Protokolle über Gemüse</w:t>
      </w:r>
    </w:p>
    <w:p w14:paraId="488E65FC" w14:textId="77777777" w:rsidR="00424F87" w:rsidRPr="00A43EA1" w:rsidRDefault="00424F87" w:rsidP="00424F87">
      <w:pPr>
        <w:autoSpaceDE w:val="0"/>
        <w:autoSpaceDN w:val="0"/>
        <w:adjustRightInd w:val="0"/>
        <w:ind w:left="720"/>
        <w:rPr>
          <w:rFonts w:cs="Arial"/>
          <w:color w:val="000000"/>
          <w:lang w:eastAsia="en-GB"/>
        </w:rPr>
      </w:pPr>
    </w:p>
    <w:p w14:paraId="19EB61CC" w14:textId="77777777" w:rsidR="00424F87" w:rsidRPr="00A43EA1" w:rsidRDefault="00424F87" w:rsidP="00424F87">
      <w:pPr>
        <w:rPr>
          <w:rFonts w:cs="Arial"/>
          <w:color w:val="000000"/>
          <w:lang w:eastAsia="en-GB"/>
        </w:rPr>
      </w:pPr>
      <w:r w:rsidRPr="00A43EA1">
        <w:rPr>
          <w:rFonts w:cs="Arial"/>
          <w:color w:val="000000"/>
          <w:lang w:eastAsia="en-GB"/>
        </w:rPr>
        <w:t>Am 8. November 2022 fand ein Treffen von Obstsachverständigen statt (Fortsetzung am 13. Januar 2023), bei dem u. a. die Frage erörtert wurde:</w:t>
      </w:r>
    </w:p>
    <w:p w14:paraId="76137C23" w14:textId="77777777" w:rsidR="00424F87" w:rsidRPr="00A43EA1" w:rsidRDefault="00424F87" w:rsidP="00424F87"/>
    <w:p w14:paraId="648E5149"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Prüfung von Apfelmutationsgruppen</w:t>
      </w:r>
    </w:p>
    <w:p w14:paraId="42D1400D"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Einreichung von Proben</w:t>
      </w:r>
    </w:p>
    <w:p w14:paraId="70930717"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Anforderungen an die Pflanzengesundheit</w:t>
      </w:r>
    </w:p>
    <w:p w14:paraId="5383EB6D"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color w:val="000000"/>
          <w:lang w:eastAsia="en-GB"/>
        </w:rPr>
        <w:t>Birnenversuche vom Birnenrückgang betroffen</w:t>
      </w:r>
    </w:p>
    <w:p w14:paraId="06EB87FF"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A43EA1">
        <w:rPr>
          <w:rFonts w:cs="Arial"/>
        </w:rPr>
        <w:t>Dauer der Prüfung für Prunus-Unterlagen</w:t>
      </w:r>
    </w:p>
    <w:p w14:paraId="14CCFB7C"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zusätzliche Informationen in Verbindung mit dem UPOV-Code zur Gruppierung von Sorten</w:t>
      </w:r>
    </w:p>
    <w:p w14:paraId="16D88038"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Niederländisches Zertifizierungssystem für Erdbeeren</w:t>
      </w:r>
    </w:p>
    <w:p w14:paraId="0ABB925A"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FuE-Projekte im Obstsektor</w:t>
      </w:r>
    </w:p>
    <w:p w14:paraId="58EA4E67"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Aktueller Stand der Entwicklungen bei der automatisierten Phänotypisierung</w:t>
      </w:r>
    </w:p>
    <w:p w14:paraId="2FCE98BD"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IT-Fragen</w:t>
      </w:r>
    </w:p>
    <w:p w14:paraId="23C663E7" w14:textId="77777777" w:rsidR="00424F87" w:rsidRPr="00A43EA1" w:rsidRDefault="00424F87" w:rsidP="00424F87">
      <w:pPr>
        <w:numPr>
          <w:ilvl w:val="0"/>
          <w:numId w:val="31"/>
        </w:numPr>
        <w:shd w:val="clear" w:color="auto" w:fill="FFFFFF"/>
        <w:autoSpaceDE w:val="0"/>
        <w:autoSpaceDN w:val="0"/>
        <w:adjustRightInd w:val="0"/>
        <w:ind w:left="567"/>
        <w:textAlignment w:val="center"/>
        <w:rPr>
          <w:rFonts w:cs="Arial"/>
        </w:rPr>
      </w:pPr>
      <w:r w:rsidRPr="00A43EA1">
        <w:rPr>
          <w:rFonts w:cs="Arial"/>
        </w:rPr>
        <w:t>Fonds zur Unterstützung von KMU</w:t>
      </w:r>
    </w:p>
    <w:p w14:paraId="0CF35536" w14:textId="77777777" w:rsidR="00424F87" w:rsidRPr="00A43EA1" w:rsidRDefault="00424F87" w:rsidP="00424F87"/>
    <w:p w14:paraId="6E18A63F" w14:textId="77777777" w:rsidR="00424F87" w:rsidRPr="00A43EA1" w:rsidRDefault="00424F87" w:rsidP="00424F87">
      <w:pPr>
        <w:autoSpaceDE w:val="0"/>
        <w:autoSpaceDN w:val="0"/>
        <w:adjustRightInd w:val="0"/>
        <w:rPr>
          <w:rFonts w:cs="Arial"/>
          <w:color w:val="000000"/>
          <w:lang w:eastAsia="en-GB"/>
        </w:rPr>
      </w:pPr>
      <w:r w:rsidRPr="00A43EA1">
        <w:rPr>
          <w:rFonts w:cs="Arial"/>
          <w:color w:val="000000"/>
          <w:lang w:eastAsia="en-GB"/>
        </w:rPr>
        <w:t>Am 13. September 2022 fand eine Sitzung von Ziersachverständigen statt, um unter anderem eine Reihe von Themen zu erörtern oder Informationen zu geben:</w:t>
      </w:r>
    </w:p>
    <w:p w14:paraId="42AEB07A" w14:textId="77777777" w:rsidR="00424F87" w:rsidRPr="00A43EA1" w:rsidRDefault="00424F87" w:rsidP="00424F87">
      <w:pPr>
        <w:autoSpaceDE w:val="0"/>
        <w:autoSpaceDN w:val="0"/>
        <w:adjustRightInd w:val="0"/>
        <w:rPr>
          <w:rFonts w:cs="Arial"/>
          <w:color w:val="000000"/>
          <w:lang w:eastAsia="en-GB"/>
        </w:rPr>
      </w:pPr>
    </w:p>
    <w:p w14:paraId="42B5203F"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 xml:space="preserve">Informationen, </w:t>
      </w:r>
      <w:r w:rsidRPr="00A43EA1">
        <w:rPr>
          <w:rFonts w:cs="Arial"/>
          <w:color w:val="000000"/>
        </w:rPr>
        <w:t>die in Prüfungsberichten enthalten sein müssen, und deren Gestaltung</w:t>
      </w:r>
    </w:p>
    <w:p w14:paraId="39A2E841"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die Möglichkeit für Antragsteller, im Technischen Fragebogen Referenzsorten und Rohmessungen anzugeben</w:t>
      </w:r>
    </w:p>
    <w:p w14:paraId="39B4D783"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Anforderungen an die Vorlage des Pflanzenpasses</w:t>
      </w:r>
    </w:p>
    <w:p w14:paraId="69BC8485"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 xml:space="preserve">Phytoplasma in Sorten von </w:t>
      </w:r>
      <w:r w:rsidRPr="00A43EA1">
        <w:rPr>
          <w:rFonts w:cs="Arial"/>
          <w:i/>
          <w:iCs/>
        </w:rPr>
        <w:t>Euphorbia pulcherrima</w:t>
      </w:r>
    </w:p>
    <w:p w14:paraId="0034CA8C"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Gleichmäßigkeitsschwellenwerte für kleine abweichende Farbabschnitte</w:t>
      </w:r>
    </w:p>
    <w:p w14:paraId="044B0360" w14:textId="77777777" w:rsidR="00424F87" w:rsidRPr="00A43EA1" w:rsidRDefault="00424F87" w:rsidP="00424F87">
      <w:pPr>
        <w:numPr>
          <w:ilvl w:val="0"/>
          <w:numId w:val="31"/>
        </w:numPr>
        <w:shd w:val="clear" w:color="auto" w:fill="FFFFFF"/>
        <w:autoSpaceDE w:val="0"/>
        <w:autoSpaceDN w:val="0"/>
        <w:adjustRightInd w:val="0"/>
        <w:spacing w:after="40"/>
        <w:ind w:left="567" w:hanging="357"/>
        <w:textAlignment w:val="center"/>
        <w:rPr>
          <w:rFonts w:cs="Arial"/>
        </w:rPr>
      </w:pPr>
      <w:r w:rsidRPr="00A43EA1">
        <w:rPr>
          <w:rFonts w:cs="Arial"/>
        </w:rPr>
        <w:t>Schwierigkeiten bei der Beschaffung von Vergleichssorten</w:t>
      </w:r>
    </w:p>
    <w:p w14:paraId="4CCD3B4A" w14:textId="77777777" w:rsidR="00424F87" w:rsidRPr="00A43EA1" w:rsidRDefault="00424F87" w:rsidP="00424F87">
      <w:pPr>
        <w:numPr>
          <w:ilvl w:val="0"/>
          <w:numId w:val="31"/>
        </w:numPr>
        <w:shd w:val="clear" w:color="auto" w:fill="FFFFFF"/>
        <w:autoSpaceDE w:val="0"/>
        <w:autoSpaceDN w:val="0"/>
        <w:adjustRightInd w:val="0"/>
        <w:ind w:left="567"/>
        <w:textAlignment w:val="center"/>
        <w:rPr>
          <w:rFonts w:cs="Arial"/>
        </w:rPr>
      </w:pPr>
      <w:r w:rsidRPr="00A43EA1">
        <w:rPr>
          <w:rFonts w:cs="Arial"/>
        </w:rPr>
        <w:t>neue oder überarbeitete technische Protokolle für Lagerstroemia, Eustoma, Echinacea</w:t>
      </w:r>
    </w:p>
    <w:p w14:paraId="78685DAE" w14:textId="77777777" w:rsidR="00424F87" w:rsidRPr="00A43EA1" w:rsidRDefault="00424F87" w:rsidP="00424F87">
      <w:pPr>
        <w:rPr>
          <w:rFonts w:cs="Arial"/>
          <w:u w:val="single"/>
        </w:rPr>
      </w:pPr>
    </w:p>
    <w:p w14:paraId="56DEE76D" w14:textId="77777777" w:rsidR="00424F87" w:rsidRPr="00A43EA1" w:rsidRDefault="00424F87" w:rsidP="00424F87">
      <w:pPr>
        <w:rPr>
          <w:rFonts w:cs="Arial"/>
          <w:u w:val="single"/>
        </w:rPr>
      </w:pPr>
      <w:r w:rsidRPr="00A43EA1">
        <w:rPr>
          <w:rFonts w:cs="Arial"/>
          <w:u w:val="single"/>
        </w:rPr>
        <w:t>4.3 Qualitätsauditdienst (QAS)</w:t>
      </w:r>
    </w:p>
    <w:p w14:paraId="40612D52" w14:textId="77777777" w:rsidR="00424F87" w:rsidRPr="00A43EA1" w:rsidRDefault="00424F87" w:rsidP="00424F87">
      <w:pPr>
        <w:autoSpaceDE w:val="0"/>
        <w:autoSpaceDN w:val="0"/>
        <w:adjustRightInd w:val="0"/>
        <w:rPr>
          <w:rFonts w:cs="Arial"/>
        </w:rPr>
      </w:pPr>
    </w:p>
    <w:p w14:paraId="6B146BC4" w14:textId="77777777" w:rsidR="00424F87" w:rsidRPr="00A43EA1" w:rsidRDefault="00424F87" w:rsidP="00424F87">
      <w:pPr>
        <w:autoSpaceDE w:val="0"/>
        <w:autoSpaceDN w:val="0"/>
        <w:adjustRightInd w:val="0"/>
        <w:rPr>
          <w:rFonts w:cs="Arial"/>
        </w:rPr>
      </w:pPr>
      <w:r w:rsidRPr="00A43EA1">
        <w:rPr>
          <w:rFonts w:cs="Arial"/>
        </w:rPr>
        <w:t>In den zwölf Monaten bis Juli 2023 führte der QAS insgesamt neun Vor-Ort-Bewertungen bei beauftragten Prüfungsämtern in der EU durch. Die vier in der zweiten Jahreshälfte 2022 durchgeführten Bewertungen erfolgten nach den "alten" Betrauungsanforderungen des CPVO, während die fünf in der ersten Jahreshälfte 2023 durchgeführten Bewertungen nach den kürzlich überarbeiteten Betrauungsanforderungen erfolgten.</w:t>
      </w:r>
    </w:p>
    <w:p w14:paraId="09773B43" w14:textId="77777777" w:rsidR="00424F87" w:rsidRPr="00A43EA1" w:rsidRDefault="00424F87" w:rsidP="00424F87">
      <w:pPr>
        <w:autoSpaceDE w:val="0"/>
        <w:autoSpaceDN w:val="0"/>
        <w:adjustRightInd w:val="0"/>
        <w:rPr>
          <w:rFonts w:cs="Arial"/>
        </w:rPr>
      </w:pPr>
    </w:p>
    <w:p w14:paraId="3E2932F6" w14:textId="77777777" w:rsidR="00424F87" w:rsidRPr="00A43EA1" w:rsidRDefault="00424F87" w:rsidP="00424F87">
      <w:pPr>
        <w:autoSpaceDE w:val="0"/>
        <w:autoSpaceDN w:val="0"/>
        <w:adjustRightInd w:val="0"/>
        <w:rPr>
          <w:rFonts w:cs="Arial"/>
        </w:rPr>
      </w:pPr>
      <w:r w:rsidRPr="00A43EA1">
        <w:rPr>
          <w:rFonts w:cs="Arial"/>
        </w:rPr>
        <w:t>Nach einem zweijährigen Konsultationsprozess mit seinen Interessenvertretern traten die überarbeiteten Betrauungsanforderungen des CPVO am 1. Januar 2023 in Kraft, zeitgleich mit dem Beginn des neuen QAS-Prüfungszyklus 2023-2025. Die wichtigsten Verbesserungen der Betrauungsanforderungen im Vergleich zur vorherigen Version betreffen: Ausbildung, Führung von Aufzeichnungen, Fortschritte bei den DUS-Prüfungsverfahren, Aktualisierung der Sortensammlungen und Maßnahmen, die vom EU-Prüfungsamt zu ergreifen sind, um die Auswirkungen des Klimawandels auf die DUS-Prüfungen abzumildern.</w:t>
      </w:r>
    </w:p>
    <w:p w14:paraId="4D94D4FE" w14:textId="77777777" w:rsidR="00424F87" w:rsidRPr="00A43EA1" w:rsidRDefault="00424F87" w:rsidP="00424F87">
      <w:pPr>
        <w:autoSpaceDE w:val="0"/>
        <w:autoSpaceDN w:val="0"/>
        <w:adjustRightInd w:val="0"/>
        <w:rPr>
          <w:rFonts w:cs="Arial"/>
        </w:rPr>
      </w:pPr>
    </w:p>
    <w:p w14:paraId="61BBF501" w14:textId="77777777" w:rsidR="00424F87" w:rsidRPr="00A43EA1" w:rsidRDefault="00424F87" w:rsidP="00424F87">
      <w:pPr>
        <w:autoSpaceDE w:val="0"/>
        <w:autoSpaceDN w:val="0"/>
        <w:adjustRightInd w:val="0"/>
        <w:rPr>
          <w:rFonts w:cs="Arial"/>
        </w:rPr>
      </w:pPr>
      <w:r w:rsidRPr="00A43EA1">
        <w:rPr>
          <w:rFonts w:cs="Arial"/>
        </w:rPr>
        <w:t>Im Februar 2023 genehmigte der Verwaltungsrat des CPVO die Auswahl von 32 neuen technischen QAS-Experten aus der gesamten EU, die am Bewertungszyklus 2023-2025 teilnehmen sollen. Um die QAS-Experten über die Entwicklungen bei den überarbeiteten Betrauungsanforderungen auf den neuesten Stand zu bringen, wurde am 16. und 17. März 2023 in Paris eine QAS-Generalversammlung in Verbindung mit einer Fachschulung zu Audittechniken abgehalten.</w:t>
      </w:r>
    </w:p>
    <w:p w14:paraId="02B31450" w14:textId="77777777" w:rsidR="00424F87" w:rsidRPr="00A43EA1" w:rsidRDefault="00424F87" w:rsidP="00424F87">
      <w:pPr>
        <w:autoSpaceDE w:val="0"/>
        <w:autoSpaceDN w:val="0"/>
        <w:adjustRightInd w:val="0"/>
        <w:rPr>
          <w:rFonts w:cs="Arial"/>
        </w:rPr>
      </w:pPr>
    </w:p>
    <w:p w14:paraId="2B1EF896" w14:textId="77777777" w:rsidR="00424F87" w:rsidRPr="00A43EA1" w:rsidRDefault="00424F87" w:rsidP="00424F87">
      <w:pPr>
        <w:rPr>
          <w:rFonts w:cs="Arial"/>
          <w:bCs/>
          <w:u w:val="single"/>
        </w:rPr>
      </w:pPr>
      <w:r w:rsidRPr="00A43EA1">
        <w:rPr>
          <w:rFonts w:cs="Arial"/>
          <w:bCs/>
          <w:u w:val="single"/>
        </w:rPr>
        <w:t xml:space="preserve">5) Tätigkeiten zur Förderung des Sortenschutzes </w:t>
      </w:r>
    </w:p>
    <w:p w14:paraId="5E335CD2" w14:textId="77777777" w:rsidR="00424F87" w:rsidRPr="00A43EA1" w:rsidRDefault="00424F87" w:rsidP="00424F87">
      <w:pPr>
        <w:rPr>
          <w:rFonts w:cs="Arial"/>
          <w:bCs/>
          <w:u w:val="single"/>
        </w:rPr>
      </w:pPr>
    </w:p>
    <w:p w14:paraId="737CDC52"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u w:val="single"/>
          <w:lang w:val="de-DE"/>
        </w:rPr>
      </w:pPr>
      <w:r w:rsidRPr="00A43EA1">
        <w:rPr>
          <w:rFonts w:ascii="Arial" w:hAnsi="Arial" w:cs="Arial"/>
          <w:sz w:val="20"/>
          <w:szCs w:val="20"/>
          <w:u w:val="single"/>
          <w:lang w:val="de-DE"/>
        </w:rPr>
        <w:t>5.1 Internationale Zusammenarbeit</w:t>
      </w:r>
    </w:p>
    <w:p w14:paraId="181D358B"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339BE3CC"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 xml:space="preserve">Die Zusammenarbeit des Amtes hat sich in den letzten Jahren erheblich ausgeweitet, um mit der sich ständig weiterentwickelnden EU-Handelspolitik und der Politik zum Schutz des geistigen Eigentums Schritt zu halten, die auch den Pflanzenzuchtsektor einbezieht. </w:t>
      </w:r>
    </w:p>
    <w:p w14:paraId="7E7EDBD4" w14:textId="77777777" w:rsidR="00424F87" w:rsidRPr="00A43EA1" w:rsidRDefault="00424F87" w:rsidP="00424F87">
      <w:pPr>
        <w:rPr>
          <w:rFonts w:cs="Arial"/>
        </w:rPr>
      </w:pPr>
    </w:p>
    <w:p w14:paraId="63C4423C" w14:textId="77777777" w:rsidR="00424F87" w:rsidRPr="00A43EA1" w:rsidRDefault="00424F87" w:rsidP="00424F87">
      <w:pPr>
        <w:rPr>
          <w:rFonts w:cs="Arial"/>
        </w:rPr>
      </w:pPr>
      <w:r w:rsidRPr="00A43EA1">
        <w:rPr>
          <w:rFonts w:cs="Arial"/>
        </w:rPr>
        <w:t xml:space="preserve">Das CPVO stellt sein Fachwissen weiterhin im Rahmen der bilateralen und multilateralen Zusammenarbeit (mit strategischen Partnern wie dem Amt der Europäischen Union für geistiges Eigentum (EUIPO), dem Europäischen Patentamt (EPA) und der UPOV, den Prüfungsämtern der EU-Mitgliedstaaten und sektoralen Organisationen) zur Verfügung, ungeachtet der laufenden bilateralen Beziehungen zu wichtigen Zielländern und regionalen Organisationen, wie z. B. den langjährigen Dialogen mit China, Japan, der </w:t>
      </w:r>
      <w:r w:rsidRPr="00A43EA1">
        <w:rPr>
          <w:rFonts w:cs="Arial"/>
          <w:i/>
          <w:iCs/>
        </w:rPr>
        <w:t xml:space="preserve">Organisation Africaine de la Propriété Intellectuelle </w:t>
      </w:r>
      <w:r w:rsidRPr="00A43EA1">
        <w:rPr>
          <w:rFonts w:cs="Arial"/>
        </w:rPr>
        <w:t xml:space="preserve">(OAPI) und der </w:t>
      </w:r>
      <w:r w:rsidRPr="00A43EA1">
        <w:rPr>
          <w:rStyle w:val="Emphasis"/>
          <w:rFonts w:cs="Arial"/>
          <w:i w:val="0"/>
          <w:iCs w:val="0"/>
          <w:shd w:val="clear" w:color="auto" w:fill="FFFFFF"/>
        </w:rPr>
        <w:t xml:space="preserve">Afrikanischen Regionalorganisation für geistiges Eigentum </w:t>
      </w:r>
      <w:r w:rsidRPr="00A43EA1">
        <w:rPr>
          <w:rFonts w:cs="Arial"/>
        </w:rPr>
        <w:t>(ARIPO).</w:t>
      </w:r>
    </w:p>
    <w:p w14:paraId="7B2DD920"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28EF9EF5"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Die internationalen IP Key-Kooperationsprojekte werden von der Europäischen Kommission geleitet und in Zusammenarbeit mit dem EUIPO durchgeführt, um den Schutz geistigen Eigentums in China, Lateinamerika und den ASEAN-Ländern zu stärken. Zusätzlich zu den IP Key-Projekten führt das EUIPO im Auftrag der Europäischen Kommission ein Projekt in der Karibik (CarIPI), eines in Afrika (AfrIPI) und eines in den Mercosur-Ländern (AL-INVEST PI) durch. Die im Rahmen dieser Projekte durchgeführten Aktivitäten umfassen die Organisation von Seminaren und gegenseitigen Schulungen sowie die Bereitstellung von Studien und rechtlicher Unterstützung für die begünstigten Länder.</w:t>
      </w:r>
    </w:p>
    <w:p w14:paraId="0BB1DA13"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4107BFCD"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r w:rsidRPr="00A43EA1">
        <w:rPr>
          <w:rFonts w:ascii="Arial" w:hAnsi="Arial" w:cs="Arial"/>
          <w:b/>
          <w:sz w:val="20"/>
          <w:szCs w:val="20"/>
          <w:lang w:val="de-DE"/>
        </w:rPr>
        <w:t xml:space="preserve">IPKey China: </w:t>
      </w:r>
      <w:r w:rsidRPr="00A43EA1">
        <w:rPr>
          <w:rFonts w:ascii="Arial" w:hAnsi="Arial" w:cs="Arial"/>
          <w:bCs/>
          <w:sz w:val="20"/>
          <w:szCs w:val="20"/>
          <w:lang w:val="de-DE"/>
        </w:rPr>
        <w:t>Zwischen Juli 2022 und Juli 2023 wurden im Rahmen des IPKey China-Projekts keine Aktivitäten durchgeführt.</w:t>
      </w:r>
    </w:p>
    <w:p w14:paraId="6155FE74"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p>
    <w:p w14:paraId="3B0F7FF5"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r w:rsidRPr="00A43EA1">
        <w:rPr>
          <w:rFonts w:ascii="Arial" w:hAnsi="Arial" w:cs="Arial"/>
          <w:b/>
          <w:sz w:val="20"/>
          <w:szCs w:val="20"/>
          <w:lang w:val="de-DE"/>
        </w:rPr>
        <w:lastRenderedPageBreak/>
        <w:t xml:space="preserve">IPKey Südostasien: </w:t>
      </w:r>
      <w:r w:rsidRPr="00A43EA1">
        <w:rPr>
          <w:rFonts w:ascii="Arial" w:hAnsi="Arial" w:cs="Arial"/>
          <w:bCs/>
          <w:sz w:val="20"/>
          <w:szCs w:val="20"/>
          <w:lang w:val="de-DE"/>
        </w:rPr>
        <w:t>Zwei Aktivitäten, die im Januar 2022 im Rahmen der Verlängerung des Jahresarbeitsplans 2021 durchgeführt wurden, wurden im Rahmen des IPKey SEA-Projekts für 2022 genehmigt.</w:t>
      </w:r>
    </w:p>
    <w:p w14:paraId="5CACAF59"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p>
    <w:p w14:paraId="67CFBEE6" w14:textId="070AC7F6"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r w:rsidRPr="00A43EA1">
        <w:rPr>
          <w:rFonts w:ascii="Arial" w:hAnsi="Arial" w:cs="Arial"/>
          <w:b/>
          <w:sz w:val="20"/>
          <w:szCs w:val="20"/>
          <w:lang w:val="de-DE"/>
        </w:rPr>
        <w:t>IPKey Lateinamerika</w:t>
      </w:r>
      <w:r w:rsidRPr="00A43EA1">
        <w:rPr>
          <w:rFonts w:ascii="Arial" w:hAnsi="Arial" w:cs="Arial"/>
          <w:bCs/>
          <w:sz w:val="20"/>
          <w:szCs w:val="20"/>
          <w:lang w:val="de-DE"/>
        </w:rPr>
        <w:t xml:space="preserve">. Am 20. Oktober 2022 organisierte das Projekt in Zusammenarbeit mit dem Projekt AL-INVEST Verde ein Webinar über die Lizenzierung von Sortenschutzrechten. Die Veranstaltung wurde von fast 500 Personen besucht. Das Webinar wurde anschließend in einen Kurs übersetzt, der mit Zertifikat auf dem Academy Learning Portal des EUIPO verfügbar ist (hier der Link zur Information. Video auf Spanisch: </w:t>
      </w:r>
      <w:hyperlink r:id="rId50" w:history="1">
        <w:r w:rsidR="004127E8" w:rsidRPr="005856D4">
          <w:rPr>
            <w:rStyle w:val="Hyperlink"/>
            <w:rFonts w:cs="Arial"/>
            <w:bCs/>
            <w:sz w:val="20"/>
            <w:szCs w:val="20"/>
            <w:lang w:val="de-DE"/>
          </w:rPr>
          <w:t>https://euipo.europa.eu/knowledge/course/view.php?id=4849</w:t>
        </w:r>
      </w:hyperlink>
      <w:r w:rsidRPr="00A43EA1">
        <w:rPr>
          <w:rFonts w:ascii="Arial" w:hAnsi="Arial" w:cs="Arial"/>
          <w:bCs/>
          <w:sz w:val="20"/>
          <w:szCs w:val="20"/>
          <w:lang w:val="de-DE"/>
        </w:rPr>
        <w:t xml:space="preserve">). </w:t>
      </w:r>
    </w:p>
    <w:p w14:paraId="27DB6808"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p>
    <w:p w14:paraId="2732B2A8"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b/>
          <w:sz w:val="20"/>
          <w:szCs w:val="20"/>
          <w:lang w:val="de-DE"/>
        </w:rPr>
        <w:t>CarIPI</w:t>
      </w:r>
      <w:r w:rsidRPr="00A43EA1">
        <w:rPr>
          <w:rFonts w:ascii="Arial" w:hAnsi="Arial" w:cs="Arial"/>
          <w:sz w:val="20"/>
          <w:szCs w:val="20"/>
          <w:lang w:val="de-DE"/>
        </w:rPr>
        <w:t xml:space="preserve">: Am 20. September 2022 nahm das CPVO an der vom CarIPI organisierten Online-Veranstaltung zum Thema "Austausch bewährter Verfahren zum Schutz pflanzengenetischer Ressourcen, traditionellen Wissens und Folklore" teil. Im Jahr 2023 arbeiten das CPVO und die UPOV auf Initiative der </w:t>
      </w:r>
      <w:r w:rsidRPr="00A43EA1">
        <w:rPr>
          <w:rFonts w:ascii="Arial" w:hAnsi="Arial" w:cs="Arial"/>
          <w:sz w:val="20"/>
          <w:szCs w:val="20"/>
          <w:shd w:val="clear" w:color="auto" w:fill="FFFFFF"/>
          <w:lang w:val="de-DE"/>
        </w:rPr>
        <w:t xml:space="preserve">Karibischen Gemeinschaft </w:t>
      </w:r>
      <w:r w:rsidRPr="00A43EA1">
        <w:rPr>
          <w:rFonts w:ascii="Arial" w:hAnsi="Arial" w:cs="Arial"/>
          <w:sz w:val="20"/>
          <w:szCs w:val="20"/>
          <w:lang w:val="de-DE"/>
        </w:rPr>
        <w:t>(CARICOM),</w:t>
      </w:r>
      <w:bookmarkStart w:id="6" w:name="_Hlk145946042"/>
      <w:r w:rsidRPr="00A43EA1">
        <w:rPr>
          <w:rFonts w:ascii="Arial" w:hAnsi="Arial" w:cs="Arial"/>
          <w:sz w:val="20"/>
          <w:szCs w:val="20"/>
          <w:lang w:val="de-DE"/>
        </w:rPr>
        <w:t xml:space="preserve"> , an einem Projekt zur Entwicklung einer regionalen Saatgutpolitik für die CARICOM-Staaten zusammen.</w:t>
      </w:r>
      <w:bookmarkStart w:id="7" w:name="_Hlk145946108"/>
      <w:bookmarkEnd w:id="6"/>
    </w:p>
    <w:p w14:paraId="5EFC8FE6" w14:textId="77777777" w:rsidR="00424F87" w:rsidRPr="00A43EA1" w:rsidRDefault="00424F87" w:rsidP="00424F87">
      <w:pPr>
        <w:pStyle w:val="NormalWeb"/>
        <w:spacing w:before="0" w:beforeAutospacing="0" w:after="0" w:afterAutospacing="0" w:line="240" w:lineRule="auto"/>
        <w:jc w:val="both"/>
        <w:rPr>
          <w:rFonts w:ascii="Arial" w:hAnsi="Arial" w:cs="Arial"/>
          <w:bCs/>
          <w:sz w:val="20"/>
          <w:szCs w:val="20"/>
          <w:lang w:val="de-DE"/>
        </w:rPr>
      </w:pPr>
    </w:p>
    <w:p w14:paraId="1A296597"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eastAsia="en-IE"/>
        </w:rPr>
      </w:pPr>
      <w:r w:rsidRPr="00A43EA1">
        <w:rPr>
          <w:rFonts w:ascii="Arial" w:hAnsi="Arial" w:cs="Arial"/>
          <w:bCs/>
          <w:sz w:val="20"/>
          <w:szCs w:val="20"/>
          <w:lang w:val="de-DE"/>
        </w:rPr>
        <w:t xml:space="preserve">Im Rahmen des </w:t>
      </w:r>
      <w:r w:rsidRPr="00A43EA1">
        <w:rPr>
          <w:rFonts w:ascii="Arial" w:hAnsi="Arial" w:cs="Arial"/>
          <w:sz w:val="20"/>
          <w:szCs w:val="20"/>
          <w:lang w:val="de-DE"/>
        </w:rPr>
        <w:t xml:space="preserve">AfrIPI-Projekts unterstützte das CPVO zusammen mit nationalen Sachverständigen im Jahr 2022 das Projekt bei der Durchführung von Tätigkeiten zur technischen Unterstützung. Die Aktivitäten, die 2023 fortgesetzt werden, sind eine Folge der Ergebnisse des </w:t>
      </w:r>
      <w:hyperlink r:id="rId51" w:history="1">
        <w:r w:rsidRPr="00A43EA1">
          <w:rPr>
            <w:rStyle w:val="Hyperlink"/>
            <w:rFonts w:cs="Arial"/>
            <w:sz w:val="20"/>
            <w:szCs w:val="20"/>
            <w:lang w:val="de-DE"/>
          </w:rPr>
          <w:t>OAPI-Projekts "Projet de Renforcement et Promotion du Système de Protection des Obtentions Végétales" (</w:t>
        </w:r>
        <w:r w:rsidRPr="00A43EA1">
          <w:rPr>
            <w:rStyle w:val="Hyperlink"/>
            <w:rFonts w:cs="Arial"/>
            <w:b/>
            <w:bCs/>
            <w:sz w:val="20"/>
            <w:szCs w:val="20"/>
            <w:lang w:val="de-DE"/>
          </w:rPr>
          <w:t xml:space="preserve">PPOV) </w:t>
        </w:r>
      </w:hyperlink>
      <w:r w:rsidRPr="00A43EA1">
        <w:rPr>
          <w:rFonts w:ascii="Arial" w:hAnsi="Arial" w:cs="Arial"/>
          <w:sz w:val="20"/>
          <w:szCs w:val="20"/>
          <w:lang w:val="de-DE"/>
        </w:rPr>
        <w:t xml:space="preserve">und betreffen die Referenzsammlung von akkreditierten Zentren und Prüfungszentren in OAPI-Ländern. Das PPOV-Projekt mit der OAPI wurde im Dezember 2022 abgeschlossen. </w:t>
      </w:r>
    </w:p>
    <w:bookmarkEnd w:id="7"/>
    <w:p w14:paraId="412B0F12"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2BEE0EBD"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Das CPVO führte weiterhin die folgenden Aktivitäten im Rahmen des TAIEX-Instruments durch:</w:t>
      </w:r>
    </w:p>
    <w:p w14:paraId="66B84365"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45FE789F" w14:textId="77777777" w:rsidR="00424F87" w:rsidRPr="00A43EA1" w:rsidRDefault="00424F87" w:rsidP="00424F87">
      <w:pPr>
        <w:pStyle w:val="NormalWeb"/>
        <w:numPr>
          <w:ilvl w:val="0"/>
          <w:numId w:val="30"/>
        </w:numPr>
        <w:spacing w:before="0" w:beforeAutospacing="0" w:after="120" w:afterAutospacing="0" w:line="240" w:lineRule="auto"/>
        <w:ind w:left="714" w:hanging="357"/>
        <w:jc w:val="both"/>
        <w:rPr>
          <w:rFonts w:ascii="Arial" w:hAnsi="Arial" w:cs="Arial"/>
          <w:sz w:val="20"/>
          <w:szCs w:val="20"/>
          <w:lang w:val="de-DE"/>
        </w:rPr>
      </w:pPr>
      <w:r w:rsidRPr="00A43EA1">
        <w:rPr>
          <w:rFonts w:ascii="Arial" w:hAnsi="Arial" w:cs="Arial"/>
          <w:sz w:val="20"/>
          <w:szCs w:val="20"/>
          <w:lang w:val="de-DE"/>
        </w:rPr>
        <w:t>14.-15. November 2022: Expertenmission zur Umsetzung des UPOV-Sortenschutzsystems in St. Vincent und den Grenadinen, gefolgt von einem regionalen Seminar am 16. November.</w:t>
      </w:r>
    </w:p>
    <w:p w14:paraId="4E663A10" w14:textId="77777777" w:rsidR="00424F87" w:rsidRPr="00A43EA1" w:rsidRDefault="00424F87" w:rsidP="00424F87">
      <w:pPr>
        <w:pStyle w:val="NormalWeb"/>
        <w:numPr>
          <w:ilvl w:val="0"/>
          <w:numId w:val="29"/>
        </w:numPr>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3.-7. Oktober 2022: Experteneinsatz in Chile zum Kapazitätsaufbau des chilenischen Sortenschutzamtes.</w:t>
      </w:r>
    </w:p>
    <w:p w14:paraId="42CE4A89"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7F0E319F"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Weitere TAIEX-Initiativen wurden 2023 genehmigt und werden im Laufe des Jahres durchgeführt; die beteiligten Länder sind: Japan, Bosnien und Herzegowina, Kolumbien, Follow-up-Aktivitäten zu den Missionen in Chile im Jahr 2022, und auch Ägypten, Albanien und Serbien haben ihr Interesse an Unterstützungs- und Kapazitätsaufbaumaßnahmen bekundet.</w:t>
      </w:r>
    </w:p>
    <w:p w14:paraId="5E92A861" w14:textId="77777777" w:rsidR="00424F87" w:rsidRPr="00A43EA1" w:rsidRDefault="00424F87" w:rsidP="00424F87">
      <w:pPr>
        <w:autoSpaceDE w:val="0"/>
        <w:autoSpaceDN w:val="0"/>
        <w:adjustRightInd w:val="0"/>
        <w:rPr>
          <w:rFonts w:cs="Arial"/>
        </w:rPr>
      </w:pPr>
    </w:p>
    <w:p w14:paraId="3B5288C0" w14:textId="77777777" w:rsidR="00424F87" w:rsidRPr="00A43EA1" w:rsidRDefault="00424F87" w:rsidP="00424F87">
      <w:pPr>
        <w:autoSpaceDE w:val="0"/>
        <w:autoSpaceDN w:val="0"/>
        <w:adjustRightInd w:val="0"/>
        <w:rPr>
          <w:rFonts w:cs="Arial"/>
          <w:b/>
          <w:bCs/>
        </w:rPr>
      </w:pPr>
      <w:r w:rsidRPr="00A43EA1">
        <w:rPr>
          <w:rFonts w:cs="Arial"/>
          <w:b/>
          <w:bCs/>
        </w:rPr>
        <w:t>UPOV-Tagungen</w:t>
      </w:r>
    </w:p>
    <w:p w14:paraId="6854FCB9"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Die Kommission und die CPVO-Vertreter, die Teil der EU-Delegation sind, nahmen an den Tagungen des Rates der UPOV, des Beratenden Ausschusses, des Rechts- und Verwaltungsausschusses und des Technischen Ausschusses teil. Das CPVO nahm an allen TWP teil. Außerdem nahmen die Kommission und/oder das CPVO an Arbeitsgruppen zum elektronischen Antragsformular, zur DUS-Unterstützung (WG-DUS), zu Erntegut und unerlaubter Verwendung von Vermehrungsmaterial (WG-HRV), zur Anleitung für Kleinbauern in Bezug auf die private und nichtgewerbliche Nutzung (WG-SHF) sowie zu im Wesentlichen abgeleiteten Sorten (WG-EDV) teil und leisteten Beiträge dazu.</w:t>
      </w:r>
    </w:p>
    <w:p w14:paraId="1F703048" w14:textId="77777777" w:rsidR="00424F87" w:rsidRPr="00A43EA1" w:rsidRDefault="00424F87" w:rsidP="00424F87">
      <w:pPr>
        <w:autoSpaceDE w:val="0"/>
        <w:autoSpaceDN w:val="0"/>
        <w:adjustRightInd w:val="0"/>
        <w:rPr>
          <w:rFonts w:cs="Arial"/>
        </w:rPr>
      </w:pPr>
    </w:p>
    <w:p w14:paraId="2DF9034A" w14:textId="77777777" w:rsidR="00424F87" w:rsidRPr="00A43EA1" w:rsidRDefault="00424F87" w:rsidP="00424F87">
      <w:pPr>
        <w:autoSpaceDE w:val="0"/>
        <w:autoSpaceDN w:val="0"/>
        <w:adjustRightInd w:val="0"/>
        <w:rPr>
          <w:rFonts w:cs="Arial"/>
          <w:b/>
          <w:bCs/>
        </w:rPr>
      </w:pPr>
      <w:r w:rsidRPr="00A43EA1">
        <w:rPr>
          <w:rFonts w:cs="Arial"/>
          <w:b/>
          <w:bCs/>
        </w:rPr>
        <w:t>EAPVP</w:t>
      </w:r>
    </w:p>
    <w:p w14:paraId="44FFEC26" w14:textId="657700A1" w:rsidR="00424F87" w:rsidRPr="00A43EA1" w:rsidRDefault="00424F87" w:rsidP="00424F87">
      <w:pPr>
        <w:rPr>
          <w:rFonts w:cs="Arial"/>
        </w:rPr>
      </w:pPr>
      <w:r w:rsidRPr="00A43EA1">
        <w:rPr>
          <w:rFonts w:cs="Arial"/>
        </w:rPr>
        <w:t xml:space="preserve">Teilnahme am "Seminar über die Vorteile des UPOV-Sortenschutzsystems für Landwirte und Pflanzer" des Ostasiatischen Sortenschutzforums (EAPVP) am 28. März 2023, auf dem das CPVO das Thema "Struktur und Nutzen des regionalen Sortenschutzsystems" vorstellte (16 Sitzung, die am 2. August 2023 stattfand und vom CPVO online verfolgt wurde). Die EAPVP-Jahrestagung dient dem Zweck, über die Tätigkeiten des Vorjahres zu berichten und künftige Kooperationsinitiativen zu planen, einschließlich aktueller Informationen über das EAPVP-Pilotprojekt zur Einrichtung einer e-Sortenschutzplattform.  </w:t>
      </w:r>
    </w:p>
    <w:p w14:paraId="29134579" w14:textId="77777777" w:rsidR="00424F87" w:rsidRPr="00A43EA1" w:rsidRDefault="00424F87" w:rsidP="00424F87">
      <w:pPr>
        <w:autoSpaceDE w:val="0"/>
        <w:autoSpaceDN w:val="0"/>
        <w:adjustRightInd w:val="0"/>
        <w:rPr>
          <w:rFonts w:cs="Arial"/>
        </w:rPr>
      </w:pPr>
    </w:p>
    <w:p w14:paraId="635CFA5D" w14:textId="77777777" w:rsidR="00424F87" w:rsidRPr="00A43EA1" w:rsidRDefault="00424F87" w:rsidP="00424F87">
      <w:pPr>
        <w:autoSpaceDE w:val="0"/>
        <w:autoSpaceDN w:val="0"/>
        <w:adjustRightInd w:val="0"/>
        <w:rPr>
          <w:rFonts w:cs="Arial"/>
          <w:b/>
          <w:bCs/>
        </w:rPr>
      </w:pPr>
      <w:r w:rsidRPr="00A43EA1">
        <w:rPr>
          <w:rFonts w:cs="Arial"/>
          <w:b/>
          <w:bCs/>
        </w:rPr>
        <w:t xml:space="preserve">Europäisches Patentamt (EPA)  </w:t>
      </w:r>
    </w:p>
    <w:p w14:paraId="00FD9F99"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 xml:space="preserve">Am 31. März 2022 erneuerte das CPVO seine Kooperationsvereinbarung mit dem EPA für eine Dauer von fünf Jahren durch die "Verwaltungsvereinbarung Nr. 2022/01373 über die bilaterale Zusammenarbeit zwischen dem EPA und dem CPVO", die zwei Durchführungswerke umfasst. </w:t>
      </w:r>
    </w:p>
    <w:p w14:paraId="1CE073F2"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69CCC9B4"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Die Verwaltungsvereinbarung Nr. 2022/01373 knüpft somit an die vorherige (und erste) Verwaltungsvereinbarung über die Zusammenarbeit zwischen dem CPVO und dem EPA (Verwaltungsvereinbarung Nr. 2016/0009) an, die im Februar 2016 unterzeichnet wurde und eine größere Transparenz und einen besseren Wissensaustausch zwischen den beiden Organisationen im Bereich der pflanzenbezogenen Patente bzw. des Sortenschutzes ermöglichte.</w:t>
      </w:r>
    </w:p>
    <w:p w14:paraId="7062EBF8"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1E038F11"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Die Kooperationspläne, die sich in der neuen Verwaltungsvereinbarung Nr. 2022/01373 widerspiegeln, konzentrieren sich auf den Datenaustausch und die gemeinsame Nutzung von Datenbanken und anderen Arbeitsinstrumenten. Der Datenaustausch ermöglicht es den Prüfern, durch Zertifikate geschützte Pflanzensorten zu recherchieren und so die Gültigkeit der europäischen Patente weiter zu erhöhen. Die entsprechenden Datenbanken wurden auch den Mitgliedsstaaten der Europäischen Patentorganisation zur Verfügung gestellt.</w:t>
      </w:r>
    </w:p>
    <w:p w14:paraId="09945054"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19DA4F21"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 xml:space="preserve">Am 9. März 2023 fand ein erster Workshop zwischen EPA und CPVO statt. Die Diskussionen umfassten mehrere relevante Themen, darunter den Datenaustausch, das Einheitspatentsystem und seine Auswirkungen auf die Rechteinhaber sowie die Beziehung zwischen Patenten und CPVRs. </w:t>
      </w:r>
    </w:p>
    <w:p w14:paraId="671A69B2" w14:textId="77777777" w:rsidR="00424F87" w:rsidRPr="00A43EA1" w:rsidRDefault="00424F87" w:rsidP="00424F87">
      <w:pPr>
        <w:autoSpaceDE w:val="0"/>
        <w:autoSpaceDN w:val="0"/>
        <w:adjustRightInd w:val="0"/>
        <w:rPr>
          <w:rFonts w:cs="Arial"/>
        </w:rPr>
      </w:pPr>
    </w:p>
    <w:p w14:paraId="7B55C127" w14:textId="77777777" w:rsidR="00424F87" w:rsidRPr="00A43EA1" w:rsidRDefault="00424F87" w:rsidP="00424F87">
      <w:pPr>
        <w:autoSpaceDE w:val="0"/>
        <w:autoSpaceDN w:val="0"/>
        <w:adjustRightInd w:val="0"/>
        <w:rPr>
          <w:rFonts w:cs="Arial"/>
          <w:b/>
          <w:bCs/>
        </w:rPr>
      </w:pPr>
      <w:r w:rsidRPr="00A43EA1">
        <w:rPr>
          <w:rFonts w:cs="Arial"/>
          <w:b/>
          <w:bCs/>
        </w:rPr>
        <w:t>OAPI</w:t>
      </w:r>
    </w:p>
    <w:p w14:paraId="23E00029"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 xml:space="preserve">Anfang Juli 2019 unterzeichnete die EU-Kommission einen Vertrag mit dem Afrikanischen Amt für geistiges Eigentum (OAPI) in Genf, in dem Mittel für eine sogenannte Road Map bereitgestellt werden, die auf die Förderung des geistigen Eigentums abzielt, um die Schaffung neuer, an den afrikanischen Markt angepasster Sorten zu unterstützen und einen Anreiz zu schaffen, um überlegene Sorten, die anderswo existieren, im OAPI-Gebiet verfügbar zu machen. </w:t>
      </w:r>
    </w:p>
    <w:p w14:paraId="6372FCA2"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4D52C797"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 xml:space="preserve">Das Projekt wird von der OAPI geleitet, das CPVO ist zusammen mit der UPOV, GEVES, GNIS und Naktuinbouw ein Partner. </w:t>
      </w:r>
    </w:p>
    <w:p w14:paraId="7BBFC58B"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p>
    <w:p w14:paraId="070A4F99" w14:textId="77777777" w:rsidR="00424F87" w:rsidRPr="00A43EA1" w:rsidRDefault="00424F87" w:rsidP="00424F87">
      <w:pPr>
        <w:pStyle w:val="NormalWeb"/>
        <w:spacing w:before="0" w:beforeAutospacing="0" w:after="0" w:afterAutospacing="0" w:line="240" w:lineRule="auto"/>
        <w:jc w:val="both"/>
        <w:rPr>
          <w:rFonts w:ascii="Arial" w:hAnsi="Arial" w:cs="Arial"/>
          <w:sz w:val="20"/>
          <w:szCs w:val="20"/>
          <w:lang w:val="de-DE"/>
        </w:rPr>
      </w:pPr>
      <w:r w:rsidRPr="00A43EA1">
        <w:rPr>
          <w:rFonts w:ascii="Arial" w:hAnsi="Arial" w:cs="Arial"/>
          <w:sz w:val="20"/>
          <w:szCs w:val="20"/>
          <w:lang w:val="de-DE"/>
        </w:rPr>
        <w:t>Das Projekt endete im Dezember 2022 mit einer Abschlussveranstaltung vom 13. bis 15. Dezember 2022 am Sitz der OAPI in Yaoundé (Kamerun). Zweck dieser Tätigkeit war es, die Folgemaßnahmen zur ersten Bewertung und die Empfehlungen von 2019 zu bewerten und Aufgaben für eine weitere Verbesserung des Systems zu formulieren. Wie oben erwähnt, werden die Tätigkeiten bezüglich der DUS-Prüfungszentren der OAPI-Länder im Rahmen des AfrIPI-Projekts durchgeführt.</w:t>
      </w:r>
    </w:p>
    <w:p w14:paraId="319C5BDA" w14:textId="77777777" w:rsidR="00424F87" w:rsidRPr="00A43EA1" w:rsidRDefault="00424F87" w:rsidP="00424F87">
      <w:pPr>
        <w:autoSpaceDE w:val="0"/>
        <w:autoSpaceDN w:val="0"/>
        <w:adjustRightInd w:val="0"/>
        <w:rPr>
          <w:rFonts w:cs="Arial"/>
        </w:rPr>
      </w:pPr>
    </w:p>
    <w:p w14:paraId="567C87AC" w14:textId="77777777" w:rsidR="00424F87" w:rsidRPr="00A43EA1" w:rsidRDefault="00424F87" w:rsidP="00424F87">
      <w:pPr>
        <w:autoSpaceDE w:val="0"/>
        <w:autoSpaceDN w:val="0"/>
        <w:adjustRightInd w:val="0"/>
        <w:rPr>
          <w:rFonts w:cs="Arial"/>
          <w:u w:val="single"/>
        </w:rPr>
      </w:pPr>
      <w:r w:rsidRPr="00A43EA1">
        <w:rPr>
          <w:rFonts w:cs="Arial"/>
          <w:u w:val="single"/>
        </w:rPr>
        <w:t>5.2 Ausbildung</w:t>
      </w:r>
    </w:p>
    <w:p w14:paraId="026DA449" w14:textId="77777777" w:rsidR="00424F87" w:rsidRPr="00A43EA1" w:rsidRDefault="00424F87" w:rsidP="00424F87">
      <w:pPr>
        <w:autoSpaceDE w:val="0"/>
        <w:autoSpaceDN w:val="0"/>
        <w:adjustRightInd w:val="0"/>
        <w:rPr>
          <w:rFonts w:cs="Arial"/>
        </w:rPr>
      </w:pPr>
    </w:p>
    <w:p w14:paraId="43442CFB" w14:textId="77777777" w:rsidR="00424F87" w:rsidRPr="00A43EA1" w:rsidRDefault="00424F87" w:rsidP="00424F87">
      <w:pPr>
        <w:autoSpaceDE w:val="0"/>
        <w:autoSpaceDN w:val="0"/>
        <w:adjustRightInd w:val="0"/>
        <w:rPr>
          <w:rFonts w:cs="Arial"/>
        </w:rPr>
      </w:pPr>
      <w:r w:rsidRPr="00A43EA1">
        <w:rPr>
          <w:rFonts w:cs="Arial"/>
        </w:rPr>
        <w:t xml:space="preserve">In den Jahren 2022-2023 nahm das CPVO einige Präsentationsveranstaltungen wieder auf, hielt aber auch weiterhin Online-Präsentationen, Webinare und Meisterkurse für verschiedene Bildungseinrichtungen und Interessengruppen ab: </w:t>
      </w:r>
    </w:p>
    <w:p w14:paraId="297E7653" w14:textId="77777777" w:rsidR="00424F87" w:rsidRPr="00A43EA1" w:rsidRDefault="00424F87" w:rsidP="00424F87">
      <w:pPr>
        <w:autoSpaceDE w:val="0"/>
        <w:autoSpaceDN w:val="0"/>
        <w:adjustRightInd w:val="0"/>
        <w:rPr>
          <w:rFonts w:cs="Arial"/>
        </w:rPr>
      </w:pPr>
    </w:p>
    <w:p w14:paraId="738E1029" w14:textId="77777777" w:rsidR="00424F87" w:rsidRPr="00A43EA1" w:rsidRDefault="00424F87" w:rsidP="00424F87">
      <w:pPr>
        <w:numPr>
          <w:ilvl w:val="0"/>
          <w:numId w:val="28"/>
        </w:numPr>
        <w:autoSpaceDE w:val="0"/>
        <w:autoSpaceDN w:val="0"/>
        <w:adjustRightInd w:val="0"/>
        <w:spacing w:after="40"/>
        <w:ind w:left="714" w:hanging="357"/>
        <w:rPr>
          <w:rFonts w:cs="Arial"/>
        </w:rPr>
      </w:pPr>
      <w:r w:rsidRPr="00A43EA1">
        <w:rPr>
          <w:rFonts w:cs="Arial"/>
        </w:rPr>
        <w:t>Vortrag vor Studenten der Pflanzenzüchtung der UniLaSalle über das gemeinschaftliche Sortenschutzsystem am 31. März 2022</w:t>
      </w:r>
    </w:p>
    <w:p w14:paraId="2C0EF613"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Konferenz zum IP-Recht beim EUIPO am 7. und 8. Juli 2022</w:t>
      </w:r>
    </w:p>
    <w:p w14:paraId="5502F012"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Schulung für die Handelskammer Mailand über NGTs - 19. Juli 2022</w:t>
      </w:r>
    </w:p>
    <w:p w14:paraId="6CC0D314"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Das EU-System und das CPVO - Vortrag beim COBORU (Polen) am 10. August 2022</w:t>
      </w:r>
    </w:p>
    <w:p w14:paraId="3C6E9FBA"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EUIPO-Studie über die sozioökonomischen Auswirkungen der CPVR in der EU im Rahmen des IHC-Kongresses 2022 - 16. August 2022</w:t>
      </w:r>
    </w:p>
    <w:p w14:paraId="7AF266FA"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Webinar über CPVR und Patente in Zusammenarbeit mit IPR Helpdesk - 8. September 2022</w:t>
      </w:r>
    </w:p>
    <w:p w14:paraId="40657ECE"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Vortrag vor Studenten der Pflanzenzüchtung der UniLaSalle über das gemeinschaftliche Sortenschutzsystem am 29. September 2022</w:t>
      </w:r>
    </w:p>
    <w:p w14:paraId="10BE7397"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Vortrag über die Organisation von Prüfungen in der EU aus der Sicht der CH am 5. Oktober 2022 - Besucher vom australischen Züchterrechtsamt</w:t>
      </w:r>
    </w:p>
    <w:p w14:paraId="756517A8"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CPVR und Klimawandel auf dem UPOV-Seminar - 12. Oktober 2022</w:t>
      </w:r>
    </w:p>
    <w:p w14:paraId="424983E3"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Präsentation des CPVO und des EU-Sortenschutzsystems vor der koreanischen Delegation am 16. November 2022</w:t>
      </w:r>
    </w:p>
    <w:p w14:paraId="19557F0C"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Webinar zur EUIPO-Studie über die sozioökonomischen Auswirkungen des CPVR in der EU in Zusammenarbeit mit dem IPR Helpdesk - 6. Dezember 2022</w:t>
      </w:r>
    </w:p>
    <w:p w14:paraId="7FF7B231"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Unterricht für ESSCA-Studenten - 23. November 2022 und 6. Dezember 2022</w:t>
      </w:r>
    </w:p>
    <w:p w14:paraId="5C7C02E7"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bookmarkStart w:id="8" w:name="_Hlk146022638"/>
      <w:r w:rsidRPr="00A43EA1">
        <w:rPr>
          <w:rFonts w:cs="Arial"/>
          <w:color w:val="000000"/>
        </w:rPr>
        <w:t>Präsentation des CPVR-Systems im Rahmen des Master of Law (LLM) in Intellectual Property der Universität Maastricht am 17. Januar 2023</w:t>
      </w:r>
    </w:p>
    <w:bookmarkEnd w:id="8"/>
    <w:p w14:paraId="1C883090"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Vorstellung des CPVR-Systems im Rahmen des Masterstudiengangs Lebensmittelrecht, Universität LUISS, Rom - 31. März 2023</w:t>
      </w:r>
    </w:p>
    <w:p w14:paraId="2FBBB338"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t>Vorstellung des CPVR-Systems im Rahmen des Magister Lvcentinvs (IP LLM) der Universität von Alicante - 5. Mai 2023</w:t>
      </w:r>
    </w:p>
    <w:p w14:paraId="4ED739F1" w14:textId="77777777" w:rsidR="00424F87" w:rsidRPr="00A43EA1" w:rsidRDefault="00424F87" w:rsidP="00424F87">
      <w:pPr>
        <w:numPr>
          <w:ilvl w:val="0"/>
          <w:numId w:val="28"/>
        </w:numPr>
        <w:autoSpaceDE w:val="0"/>
        <w:autoSpaceDN w:val="0"/>
        <w:adjustRightInd w:val="0"/>
        <w:spacing w:after="40"/>
        <w:ind w:left="714" w:hanging="357"/>
        <w:rPr>
          <w:rFonts w:cs="Arial"/>
          <w:color w:val="000000"/>
        </w:rPr>
      </w:pPr>
      <w:r w:rsidRPr="00A43EA1">
        <w:rPr>
          <w:rFonts w:cs="Arial"/>
          <w:color w:val="000000"/>
        </w:rPr>
        <w:lastRenderedPageBreak/>
        <w:t xml:space="preserve">Meisterkurs an der Scuola Superiore Sant'Anna (Pisa) zum Thema </w:t>
      </w:r>
      <w:r w:rsidRPr="00A43EA1">
        <w:rPr>
          <w:rFonts w:cs="Arial"/>
          <w:i/>
          <w:iCs/>
          <w:color w:val="000000"/>
        </w:rPr>
        <w:t>Die Rolle der Pflanzenzüchtung bei der Stärkung des Instrumentariums der Landwirte und bei der Unterstützung widerstandsfähigerer und nachhaltigerer Lebensmittelsysteme in Europa Fallstudie - Das gemeinschaftliche Sortenschutzsystem als Anreiz für Pflanzeninnovationen</w:t>
      </w:r>
    </w:p>
    <w:p w14:paraId="31D6C125" w14:textId="77777777" w:rsidR="00424F87" w:rsidRPr="00A43EA1" w:rsidRDefault="00424F87" w:rsidP="00424F87">
      <w:pPr>
        <w:keepNext/>
        <w:numPr>
          <w:ilvl w:val="0"/>
          <w:numId w:val="28"/>
        </w:numPr>
        <w:autoSpaceDE w:val="0"/>
        <w:autoSpaceDN w:val="0"/>
        <w:adjustRightInd w:val="0"/>
        <w:spacing w:after="40"/>
        <w:ind w:left="714" w:hanging="357"/>
        <w:rPr>
          <w:rFonts w:cs="Arial"/>
          <w:color w:val="000000"/>
        </w:rPr>
      </w:pPr>
      <w:r w:rsidRPr="00A43EA1">
        <w:rPr>
          <w:rFonts w:cs="Arial"/>
          <w:color w:val="000000"/>
        </w:rPr>
        <w:t>Seminar an der Universität von Kalabrien über PVR, 3. Juli 2023</w:t>
      </w:r>
    </w:p>
    <w:p w14:paraId="16BC862E" w14:textId="77777777" w:rsidR="00424F87" w:rsidRPr="00A43EA1" w:rsidRDefault="00424F87" w:rsidP="00424F87">
      <w:pPr>
        <w:numPr>
          <w:ilvl w:val="0"/>
          <w:numId w:val="28"/>
        </w:numPr>
        <w:autoSpaceDE w:val="0"/>
        <w:autoSpaceDN w:val="0"/>
        <w:adjustRightInd w:val="0"/>
        <w:rPr>
          <w:rFonts w:cs="Arial"/>
          <w:color w:val="000000"/>
        </w:rPr>
      </w:pPr>
      <w:r w:rsidRPr="00A43EA1">
        <w:rPr>
          <w:rFonts w:cs="Arial"/>
          <w:color w:val="000000"/>
        </w:rPr>
        <w:t>Seminar mit Assosementi (in Angers und online) über die Initiative Smartseed und PVR, 15. Dezember 2022</w:t>
      </w:r>
    </w:p>
    <w:p w14:paraId="59744F1A" w14:textId="77777777" w:rsidR="00424F87" w:rsidRPr="00A43EA1" w:rsidRDefault="00424F87" w:rsidP="00424F87"/>
    <w:p w14:paraId="5E0B81B8" w14:textId="77777777" w:rsidR="00424F87" w:rsidRPr="00A43EA1" w:rsidRDefault="00424F87" w:rsidP="00424F87">
      <w:pPr>
        <w:autoSpaceDE w:val="0"/>
        <w:autoSpaceDN w:val="0"/>
        <w:adjustRightInd w:val="0"/>
        <w:rPr>
          <w:rFonts w:cs="Arial"/>
          <w:u w:val="single"/>
        </w:rPr>
      </w:pPr>
      <w:r w:rsidRPr="00A43EA1">
        <w:rPr>
          <w:rFonts w:cs="Arial"/>
          <w:u w:val="single"/>
        </w:rPr>
        <w:t>5.3 Treffen mit Interessenvertretungen</w:t>
      </w:r>
    </w:p>
    <w:p w14:paraId="7A7C518C" w14:textId="77777777" w:rsidR="00424F87" w:rsidRPr="00A43EA1" w:rsidRDefault="00424F87" w:rsidP="00424F87">
      <w:pPr>
        <w:autoSpaceDE w:val="0"/>
        <w:autoSpaceDN w:val="0"/>
        <w:adjustRightInd w:val="0"/>
        <w:rPr>
          <w:rFonts w:cs="Arial"/>
        </w:rPr>
      </w:pPr>
    </w:p>
    <w:p w14:paraId="0E5162AC" w14:textId="77777777" w:rsidR="00424F87" w:rsidRPr="00A43EA1" w:rsidRDefault="00424F87" w:rsidP="00424F87">
      <w:pPr>
        <w:autoSpaceDE w:val="0"/>
        <w:autoSpaceDN w:val="0"/>
        <w:adjustRightInd w:val="0"/>
        <w:rPr>
          <w:rFonts w:cs="Arial"/>
        </w:rPr>
      </w:pPr>
      <w:r w:rsidRPr="00A43EA1">
        <w:rPr>
          <w:rFonts w:cs="Arial"/>
        </w:rPr>
        <w:t>Das CPVO nahm im Oktober 2022 an der Euroseeds-Jahrestagung in Berlin teil.</w:t>
      </w:r>
    </w:p>
    <w:p w14:paraId="634308DE" w14:textId="77777777" w:rsidR="00424F87" w:rsidRPr="00A43EA1" w:rsidRDefault="00424F87" w:rsidP="00424F87">
      <w:pPr>
        <w:autoSpaceDE w:val="0"/>
        <w:autoSpaceDN w:val="0"/>
        <w:adjustRightInd w:val="0"/>
        <w:rPr>
          <w:rFonts w:cs="Arial"/>
        </w:rPr>
      </w:pPr>
    </w:p>
    <w:p w14:paraId="1DB8292F" w14:textId="77777777" w:rsidR="00424F87" w:rsidRPr="00A43EA1" w:rsidRDefault="00424F87" w:rsidP="00424F87">
      <w:pPr>
        <w:autoSpaceDE w:val="0"/>
        <w:autoSpaceDN w:val="0"/>
        <w:adjustRightInd w:val="0"/>
        <w:rPr>
          <w:rFonts w:cs="Arial"/>
        </w:rPr>
      </w:pPr>
      <w:r w:rsidRPr="00A43EA1">
        <w:rPr>
          <w:rFonts w:cs="Arial"/>
        </w:rPr>
        <w:t xml:space="preserve">Das CPVO traf auch mit den Züchterorganisationen auf bilateraler Basis zusammen: </w:t>
      </w:r>
    </w:p>
    <w:p w14:paraId="3D109F34" w14:textId="77777777" w:rsidR="00424F87" w:rsidRPr="00A43EA1" w:rsidRDefault="00424F87" w:rsidP="00424F87">
      <w:pPr>
        <w:autoSpaceDE w:val="0"/>
        <w:autoSpaceDN w:val="0"/>
        <w:adjustRightInd w:val="0"/>
        <w:rPr>
          <w:rFonts w:cs="Arial"/>
        </w:rPr>
      </w:pPr>
    </w:p>
    <w:p w14:paraId="41B87165" w14:textId="77777777" w:rsidR="00424F87" w:rsidRPr="00A43EA1" w:rsidRDefault="00424F87" w:rsidP="00424F87">
      <w:pPr>
        <w:numPr>
          <w:ilvl w:val="0"/>
          <w:numId w:val="24"/>
        </w:numPr>
        <w:autoSpaceDE w:val="0"/>
        <w:autoSpaceDN w:val="0"/>
        <w:adjustRightInd w:val="0"/>
        <w:ind w:left="426"/>
        <w:rPr>
          <w:rFonts w:cs="Arial"/>
        </w:rPr>
      </w:pPr>
      <w:r w:rsidRPr="00A43EA1">
        <w:rPr>
          <w:rFonts w:cs="Arial"/>
        </w:rPr>
        <w:t>Euroseeds &amp; Plantum 13/03/2023;</w:t>
      </w:r>
    </w:p>
    <w:p w14:paraId="5BE311EC" w14:textId="77777777" w:rsidR="00424F87" w:rsidRPr="00A43EA1" w:rsidRDefault="00424F87" w:rsidP="00424F87">
      <w:pPr>
        <w:numPr>
          <w:ilvl w:val="0"/>
          <w:numId w:val="24"/>
        </w:numPr>
        <w:autoSpaceDE w:val="0"/>
        <w:autoSpaceDN w:val="0"/>
        <w:adjustRightInd w:val="0"/>
        <w:ind w:left="426"/>
        <w:rPr>
          <w:rFonts w:cs="Arial"/>
        </w:rPr>
      </w:pPr>
      <w:r w:rsidRPr="00A43EA1">
        <w:rPr>
          <w:rFonts w:cs="Arial"/>
        </w:rPr>
        <w:t>CIOPORA 15/05/2023</w:t>
      </w:r>
    </w:p>
    <w:p w14:paraId="31336998" w14:textId="77777777" w:rsidR="00424F87" w:rsidRPr="00A43EA1" w:rsidRDefault="00424F87" w:rsidP="00424F87">
      <w:pPr>
        <w:autoSpaceDE w:val="0"/>
        <w:autoSpaceDN w:val="0"/>
        <w:adjustRightInd w:val="0"/>
        <w:rPr>
          <w:rFonts w:cs="Arial"/>
        </w:rPr>
      </w:pPr>
    </w:p>
    <w:p w14:paraId="1C66C469" w14:textId="77777777" w:rsidR="00424F87" w:rsidRPr="00A43EA1" w:rsidRDefault="00424F87" w:rsidP="00424F87">
      <w:pPr>
        <w:autoSpaceDE w:val="0"/>
        <w:autoSpaceDN w:val="0"/>
        <w:adjustRightInd w:val="0"/>
        <w:rPr>
          <w:rFonts w:cs="Arial"/>
        </w:rPr>
      </w:pPr>
      <w:r w:rsidRPr="00A43EA1">
        <w:rPr>
          <w:rFonts w:cs="Arial"/>
        </w:rPr>
        <w:t xml:space="preserve">Darüber hinaus fanden im Berichtszeitraum folgende Studienbesuche in den EU-Mitgliedstaaten statt: in der Tschechischen Republik im November 2022, in Polen (April 2023) und in Österreich im Juni 2023). </w:t>
      </w:r>
    </w:p>
    <w:p w14:paraId="2D89C1F8" w14:textId="77777777" w:rsidR="00424F87" w:rsidRPr="00A43EA1" w:rsidRDefault="00424F87" w:rsidP="00424F87">
      <w:pPr>
        <w:autoSpaceDE w:val="0"/>
        <w:autoSpaceDN w:val="0"/>
        <w:adjustRightInd w:val="0"/>
        <w:rPr>
          <w:rFonts w:cs="Arial"/>
        </w:rPr>
      </w:pPr>
    </w:p>
    <w:p w14:paraId="18E3080F" w14:textId="77777777" w:rsidR="00424F87" w:rsidRPr="00A43EA1" w:rsidRDefault="00424F87" w:rsidP="00424F87">
      <w:pPr>
        <w:ind w:left="720" w:hanging="720"/>
        <w:rPr>
          <w:rFonts w:cs="Arial"/>
          <w:u w:val="single"/>
        </w:rPr>
      </w:pPr>
      <w:r w:rsidRPr="00A43EA1">
        <w:rPr>
          <w:rFonts w:cs="Arial"/>
          <w:u w:val="single"/>
        </w:rPr>
        <w:t>5.4 Teilnahme an internationalen Messen und Tagen der offenen Tür</w:t>
      </w:r>
    </w:p>
    <w:p w14:paraId="58B8ED6E" w14:textId="77777777" w:rsidR="00424F87" w:rsidRPr="00A43EA1" w:rsidRDefault="00424F87" w:rsidP="00424F87">
      <w:pPr>
        <w:pStyle w:val="ListParagraph"/>
        <w:ind w:left="0"/>
        <w:contextualSpacing w:val="0"/>
        <w:rPr>
          <w:rFonts w:cs="Arial"/>
          <w:szCs w:val="20"/>
          <w:lang w:val="de-DE"/>
        </w:rPr>
      </w:pPr>
    </w:p>
    <w:p w14:paraId="497987D3" w14:textId="77777777" w:rsidR="00424F87" w:rsidRPr="00A43EA1" w:rsidRDefault="00424F87" w:rsidP="00424F87">
      <w:pPr>
        <w:pStyle w:val="ListParagraph"/>
        <w:ind w:left="0"/>
        <w:contextualSpacing w:val="0"/>
        <w:rPr>
          <w:rFonts w:cs="Arial"/>
          <w:szCs w:val="20"/>
          <w:lang w:val="de-DE"/>
        </w:rPr>
      </w:pPr>
      <w:r w:rsidRPr="00A43EA1">
        <w:rPr>
          <w:rFonts w:cs="Arial"/>
          <w:szCs w:val="20"/>
          <w:lang w:val="de-DE"/>
        </w:rPr>
        <w:t>Das CPVO betrachtet seine Teilnahme an internationalen Messen und Tagen der offenen Tür bei Prüfungsämtern als nützliches Instrument zur Förderung des CPVR-Systems, um direkten Kontakt mit Antragstellern zu haben und Informationen für Züchter bereitzustellen. Die IPM Essen (DE) wurde jedoch aufgrund der sanitären Einschränkungen im Zusammenhang mit der Covid-19-Pandemie abgesagt. Der "Salon Sival" in Angers (FR) wurde beibehalten und das CPVO präsentierte das CPVR-System im Forumsbereich.  Das CPVO besuchte auch die Fruitlogistica im April in Berlin-Deutschland sowie die Floriade Expo in den Niederlanden im Mai 2022.</w:t>
      </w:r>
    </w:p>
    <w:p w14:paraId="565C94F3" w14:textId="77777777" w:rsidR="00424F87" w:rsidRPr="00A43EA1" w:rsidRDefault="00424F87" w:rsidP="00424F87">
      <w:pPr>
        <w:pStyle w:val="ListParagraph"/>
        <w:ind w:left="0"/>
        <w:contextualSpacing w:val="0"/>
        <w:rPr>
          <w:rFonts w:cs="Arial"/>
          <w:szCs w:val="20"/>
          <w:lang w:val="de-DE"/>
        </w:rPr>
      </w:pPr>
    </w:p>
    <w:p w14:paraId="38CB0C50" w14:textId="77777777" w:rsidR="00424F87" w:rsidRPr="00A43EA1" w:rsidRDefault="00424F87" w:rsidP="00424F87">
      <w:pPr>
        <w:rPr>
          <w:rFonts w:cs="Arial"/>
          <w:u w:val="single"/>
        </w:rPr>
      </w:pPr>
      <w:r w:rsidRPr="00A43EA1">
        <w:rPr>
          <w:rFonts w:cs="Arial"/>
          <w:u w:val="single"/>
        </w:rPr>
        <w:t xml:space="preserve">5.5 IT-Entwicklungen </w:t>
      </w:r>
    </w:p>
    <w:p w14:paraId="60A43154" w14:textId="77777777" w:rsidR="00424F87" w:rsidRPr="00A43EA1" w:rsidRDefault="00424F87" w:rsidP="00424F87">
      <w:pPr>
        <w:rPr>
          <w:rFonts w:cs="Arial"/>
        </w:rPr>
      </w:pPr>
      <w:bookmarkStart w:id="9" w:name="content"/>
      <w:bookmarkEnd w:id="9"/>
    </w:p>
    <w:p w14:paraId="16053C4F" w14:textId="77777777" w:rsidR="00424F87" w:rsidRPr="00A43EA1" w:rsidRDefault="00424F87" w:rsidP="00424F87">
      <w:pPr>
        <w:rPr>
          <w:rFonts w:cs="Arial"/>
        </w:rPr>
      </w:pPr>
      <w:r w:rsidRPr="00A43EA1">
        <w:rPr>
          <w:rFonts w:cs="Arial"/>
        </w:rPr>
        <w:t xml:space="preserve">Die Anwendungsmanagement-Plattformen des CPVO (insbesondere die Online-Anwendung) wurden grundlegend überarbeitet, um die Wartbarkeit zu verbessern, die Entwicklung neuer Funktionen zu erleichtern, sie besser für Cloud-Umgebungen geeignet und widerstandsfähiger gegen Cyber-Bedrohungen zu machen. Eine weitere Integration zusätzlicher EU-Mitgliedstaaten ist weiterhin möglich, da die Harmonisierung der technischen Fragebögen innerhalb der EU kontinuierlich voranschreitet. </w:t>
      </w:r>
    </w:p>
    <w:p w14:paraId="61E75F8A" w14:textId="77777777" w:rsidR="00424F87" w:rsidRPr="00A43EA1" w:rsidRDefault="00424F87" w:rsidP="00424F87">
      <w:pPr>
        <w:rPr>
          <w:rFonts w:cs="Arial"/>
        </w:rPr>
      </w:pPr>
    </w:p>
    <w:p w14:paraId="04491DDC" w14:textId="77777777" w:rsidR="00424F87" w:rsidRPr="00A43EA1" w:rsidRDefault="00424F87" w:rsidP="00424F87">
      <w:pPr>
        <w:rPr>
          <w:rFonts w:cs="Arial"/>
        </w:rPr>
      </w:pPr>
      <w:r w:rsidRPr="00A43EA1">
        <w:rPr>
          <w:rFonts w:cs="Arial"/>
        </w:rPr>
        <w:t>Das CPVO hat seine Zusammenarbeit mit UPOV PRISMA verstärkt und bereits zwei der vier ursprünglichen Projekte durchgeführt, die sich mit mehreren Einschränkungen befassen, die bei der ursprünglichen Zusammenarbeit festgestellt wurden.</w:t>
      </w:r>
    </w:p>
    <w:p w14:paraId="040B238B" w14:textId="77777777" w:rsidR="00424F87" w:rsidRPr="00A43EA1" w:rsidRDefault="00424F87" w:rsidP="00424F87">
      <w:pPr>
        <w:rPr>
          <w:rFonts w:cs="Arial"/>
        </w:rPr>
      </w:pPr>
    </w:p>
    <w:p w14:paraId="3A5F3BD3" w14:textId="77777777" w:rsidR="00424F87" w:rsidRPr="00A43EA1" w:rsidRDefault="00424F87" w:rsidP="00424F87">
      <w:pPr>
        <w:rPr>
          <w:rFonts w:cs="Arial"/>
        </w:rPr>
      </w:pPr>
      <w:r w:rsidRPr="00A43EA1">
        <w:rPr>
          <w:rFonts w:cs="Arial"/>
        </w:rPr>
        <w:t>Es wurden Verbesserungen des Datenaustauschs mit der CPVO-Plattform für die Verwaltung von Bezeichnungen ermittelt und kürzlich gebilligt. Das Ziel ist der Übergang von manuellen Uploads von Aktualisierungen des Züchterrechtskatalogs und der nationalen Beiträge in die UPOV zu einer Maschine-zu-Maschine-Integration, die Aktualisierungen nahezu in Echtzeit und eine effizientere Verarbeitung gewährleistet.</w:t>
      </w:r>
    </w:p>
    <w:p w14:paraId="7286ED8F" w14:textId="77777777" w:rsidR="00424F87" w:rsidRPr="00A43EA1" w:rsidRDefault="00424F87" w:rsidP="00424F87">
      <w:pPr>
        <w:rPr>
          <w:rFonts w:cs="Arial"/>
        </w:rPr>
      </w:pPr>
    </w:p>
    <w:p w14:paraId="3D5473F8" w14:textId="77777777" w:rsidR="00424F87" w:rsidRPr="00A43EA1" w:rsidRDefault="00424F87" w:rsidP="00424F87">
      <w:pPr>
        <w:rPr>
          <w:rFonts w:cs="Arial"/>
        </w:rPr>
      </w:pPr>
      <w:r w:rsidRPr="00A43EA1">
        <w:rPr>
          <w:rFonts w:cs="Arial"/>
        </w:rPr>
        <w:t>In diesem Sinne wurde auch ein Pilotprojekt zum Austausch strukturierter Daten zwischen dem CPVO und den Prüfungsämtern der EU-Mitgliedstaaten im Rahmen der technischen Prüfung eingeleitet. Dies umfasst die ursprünglichen Antragsdaten, Zwischen- und Abschlussberichte sowie die Sortenbeschreibung. Eine solche Kommunikation von Maschine zu Maschine wird die Gesamteffizienz des Verfahrens zur Erteilung des Sortenschutzes erhöhen.</w:t>
      </w:r>
    </w:p>
    <w:p w14:paraId="6BF1D605" w14:textId="77777777" w:rsidR="00424F87" w:rsidRPr="00A43EA1" w:rsidRDefault="00424F87" w:rsidP="00424F87">
      <w:pPr>
        <w:rPr>
          <w:rFonts w:cs="Arial"/>
        </w:rPr>
      </w:pPr>
    </w:p>
    <w:p w14:paraId="37AC715B" w14:textId="77777777" w:rsidR="00424F87" w:rsidRPr="00A43EA1" w:rsidRDefault="00424F87" w:rsidP="00424F87">
      <w:pPr>
        <w:rPr>
          <w:u w:val="single"/>
        </w:rPr>
      </w:pPr>
      <w:r w:rsidRPr="00A43EA1">
        <w:rPr>
          <w:u w:val="single"/>
        </w:rPr>
        <w:t xml:space="preserve">6. F &amp; E </w:t>
      </w:r>
    </w:p>
    <w:p w14:paraId="6D858D7E" w14:textId="77777777" w:rsidR="00424F87" w:rsidRPr="00A43EA1" w:rsidRDefault="00424F87" w:rsidP="00424F87">
      <w:pPr>
        <w:rPr>
          <w:u w:val="single"/>
        </w:rPr>
      </w:pPr>
    </w:p>
    <w:p w14:paraId="37920805" w14:textId="77777777" w:rsidR="00424F87" w:rsidRPr="00A43EA1" w:rsidRDefault="00424F87" w:rsidP="00424F87">
      <w:pPr>
        <w:pStyle w:val="ListBullet"/>
        <w:numPr>
          <w:ilvl w:val="0"/>
          <w:numId w:val="0"/>
        </w:numPr>
        <w:tabs>
          <w:tab w:val="left" w:pos="720"/>
        </w:tabs>
        <w:spacing w:after="0" w:line="240" w:lineRule="auto"/>
        <w:ind w:left="283" w:hanging="283"/>
        <w:jc w:val="both"/>
        <w:rPr>
          <w:rFonts w:ascii="Arial" w:hAnsi="Arial" w:cs="Arial"/>
          <w:sz w:val="20"/>
          <w:szCs w:val="20"/>
          <w:u w:val="single"/>
          <w:lang w:val="de-DE"/>
        </w:rPr>
      </w:pPr>
      <w:r w:rsidRPr="00A43EA1">
        <w:rPr>
          <w:rFonts w:ascii="Arial" w:hAnsi="Arial" w:cs="Arial"/>
          <w:sz w:val="20"/>
          <w:szCs w:val="20"/>
          <w:u w:val="single"/>
          <w:lang w:val="de-DE"/>
        </w:rPr>
        <w:t>6.1 Ad-hoc-Arbeitsgruppe IMODDUS</w:t>
      </w:r>
    </w:p>
    <w:p w14:paraId="784A7B5C" w14:textId="77777777" w:rsidR="00424F87" w:rsidRPr="00A43EA1" w:rsidRDefault="00424F87" w:rsidP="00424F87">
      <w:pPr>
        <w:rPr>
          <w:rFonts w:cs="Arial"/>
        </w:rPr>
      </w:pPr>
    </w:p>
    <w:p w14:paraId="5C6B6691" w14:textId="77777777" w:rsidR="00424F87" w:rsidRPr="00A43EA1" w:rsidRDefault="00424F87" w:rsidP="00424F87">
      <w:pPr>
        <w:rPr>
          <w:rFonts w:cs="Arial"/>
        </w:rPr>
      </w:pPr>
      <w:r w:rsidRPr="00A43EA1">
        <w:rPr>
          <w:rFonts w:cs="Arial"/>
        </w:rPr>
        <w:t xml:space="preserve">Als Teil der F&amp;E-Strategie des CPVO richtete der Verwaltungsrat im Jahr 2016 (bestätigt im Jahr 2021) die Ad-hoc-Arbeitsgruppe des CPVO für biomolekulare Verfahren ein. Diese Arbeitsgruppe trägt den Namen IMODDUS, was für "Integration von molekularen Daten in die DUS-Prüfung" steht. Ziel der Gruppe ist es, die Entwicklung biomolekularer Verfahren zu verfolgen und zu erörtern und F&amp;E-Projekte für die Anwendung </w:t>
      </w:r>
      <w:r w:rsidRPr="00A43EA1">
        <w:rPr>
          <w:rFonts w:cs="Arial"/>
        </w:rPr>
        <w:lastRenderedPageBreak/>
        <w:t>dieser Verfahren bei DUS-Prüfungen aller Pflanzensektoren zu bewerten, wo sie zur Verbesserung der Effizienz und Qualität der Prüfung beitragen könnten.</w:t>
      </w:r>
    </w:p>
    <w:p w14:paraId="1F4AA31E" w14:textId="77777777" w:rsidR="00424F87" w:rsidRPr="00A43EA1" w:rsidRDefault="00424F87" w:rsidP="00424F87">
      <w:pPr>
        <w:rPr>
          <w:rFonts w:cs="Arial"/>
        </w:rPr>
      </w:pPr>
    </w:p>
    <w:p w14:paraId="0D607298" w14:textId="77777777" w:rsidR="00424F87" w:rsidRPr="00A43EA1" w:rsidRDefault="00424F87" w:rsidP="00424F87">
      <w:pPr>
        <w:rPr>
          <w:rFonts w:cs="Arial"/>
        </w:rPr>
      </w:pPr>
      <w:r w:rsidRPr="00A43EA1">
        <w:rPr>
          <w:rFonts w:cs="Arial"/>
        </w:rPr>
        <w:t>Die Gruppe setzt sich aus BMT-Sachverständigen aus interessierten Prüfungsämtern und Züchterorganisationen zusammen. Die Teilnahme ist auf Sachverständige beschränkt, die aktiv an der Ausarbeitung von Dokumenten und Präsentationen mitwirken können. Der Vorsitzende der Arbeitsgruppe kann auch Sachverständige aus Laboratorien, Universitäten, der Industrie usw. einladen.</w:t>
      </w:r>
    </w:p>
    <w:p w14:paraId="4818E9A4" w14:textId="77777777" w:rsidR="00424F87" w:rsidRPr="00A43EA1" w:rsidRDefault="00424F87" w:rsidP="00424F87">
      <w:pPr>
        <w:rPr>
          <w:rFonts w:cs="Arial"/>
        </w:rPr>
      </w:pPr>
    </w:p>
    <w:p w14:paraId="7EC809CC" w14:textId="77777777" w:rsidR="00424F87" w:rsidRPr="00A43EA1" w:rsidRDefault="00424F87" w:rsidP="00424F87">
      <w:pPr>
        <w:rPr>
          <w:rFonts w:cs="Arial"/>
        </w:rPr>
      </w:pPr>
      <w:r w:rsidRPr="00A43EA1">
        <w:rPr>
          <w:rFonts w:cs="Arial"/>
        </w:rPr>
        <w:t>Im Mai 2023 wurde eine Online-Sitzung organisiert. Auf der Tagesordnung standen Präsentationen und Diskussionen zu den folgenden Themen:</w:t>
      </w:r>
    </w:p>
    <w:p w14:paraId="5B2CD36A" w14:textId="77777777" w:rsidR="00424F87" w:rsidRPr="00A43EA1" w:rsidRDefault="00424F87" w:rsidP="00424F87">
      <w:pPr>
        <w:rPr>
          <w:rFonts w:cs="Arial"/>
        </w:rPr>
      </w:pPr>
    </w:p>
    <w:p w14:paraId="61B77088" w14:textId="77777777" w:rsidR="00424F87" w:rsidRPr="00A43EA1" w:rsidRDefault="00424F87" w:rsidP="00424F87">
      <w:pPr>
        <w:ind w:left="567" w:hanging="283"/>
        <w:rPr>
          <w:rFonts w:cs="Arial"/>
        </w:rPr>
      </w:pPr>
      <w:r w:rsidRPr="00A43EA1">
        <w:rPr>
          <w:rFonts w:cs="Arial"/>
        </w:rPr>
        <w:t>-</w:t>
      </w:r>
      <w:r w:rsidRPr="00A43EA1">
        <w:rPr>
          <w:rFonts w:cs="Arial"/>
        </w:rPr>
        <w:tab/>
        <w:t>Abgeschlossene und laufende IMODDUS-F&amp;E-Projekte</w:t>
      </w:r>
    </w:p>
    <w:p w14:paraId="5565083E" w14:textId="43A5CB5C" w:rsidR="00424F87" w:rsidRPr="00A43EA1" w:rsidRDefault="00424F87" w:rsidP="00424F87">
      <w:pPr>
        <w:ind w:left="567" w:hanging="283"/>
        <w:rPr>
          <w:rFonts w:cs="Arial"/>
        </w:rPr>
      </w:pPr>
      <w:r w:rsidRPr="00A43EA1">
        <w:rPr>
          <w:rFonts w:cs="Arial"/>
        </w:rPr>
        <w:t>-</w:t>
      </w:r>
      <w:r w:rsidR="004127E8">
        <w:rPr>
          <w:rFonts w:cs="Arial"/>
        </w:rPr>
        <w:tab/>
      </w:r>
      <w:r w:rsidRPr="00A43EA1">
        <w:rPr>
          <w:rFonts w:cs="Arial"/>
        </w:rPr>
        <w:t>Herausforderungen der molekularen DUS-Datenbanken für die Zukunft</w:t>
      </w:r>
    </w:p>
    <w:p w14:paraId="1FFA0F83" w14:textId="4A775B98" w:rsidR="00424F87" w:rsidRPr="00A43EA1" w:rsidRDefault="00424F87" w:rsidP="00424F87">
      <w:pPr>
        <w:ind w:left="567" w:hanging="283"/>
        <w:rPr>
          <w:rFonts w:cs="Arial"/>
        </w:rPr>
      </w:pPr>
      <w:r w:rsidRPr="00A43EA1">
        <w:rPr>
          <w:rFonts w:cs="Arial"/>
        </w:rPr>
        <w:t>-</w:t>
      </w:r>
      <w:r w:rsidR="004127E8">
        <w:rPr>
          <w:rFonts w:cs="Arial"/>
        </w:rPr>
        <w:tab/>
      </w:r>
      <w:r w:rsidRPr="00A43EA1">
        <w:rPr>
          <w:rFonts w:cs="Arial"/>
        </w:rPr>
        <w:t>molekulare Arbeiten in INVITE (Schwerpunkt auf markerbasierter Bewertung von D und U)</w:t>
      </w:r>
    </w:p>
    <w:p w14:paraId="5731D806" w14:textId="6001A185" w:rsidR="00424F87" w:rsidRPr="00A43EA1" w:rsidRDefault="00424F87" w:rsidP="00424F87">
      <w:pPr>
        <w:ind w:left="567" w:hanging="283"/>
        <w:rPr>
          <w:rFonts w:cs="Arial"/>
        </w:rPr>
      </w:pPr>
      <w:r w:rsidRPr="00A43EA1">
        <w:rPr>
          <w:rFonts w:cs="Arial"/>
        </w:rPr>
        <w:t>-</w:t>
      </w:r>
      <w:r w:rsidR="004127E8">
        <w:rPr>
          <w:rFonts w:cs="Arial"/>
        </w:rPr>
        <w:tab/>
      </w:r>
      <w:r w:rsidRPr="00A43EA1">
        <w:rPr>
          <w:rFonts w:cs="Arial"/>
        </w:rPr>
        <w:t>Genomik zur Unterstützung der Sortenprüfung in Italien (2 Beiträge der Universitäten Udine und Padua)</w:t>
      </w:r>
    </w:p>
    <w:p w14:paraId="2E394A4D" w14:textId="77777777" w:rsidR="00424F87" w:rsidRPr="00A43EA1" w:rsidRDefault="00424F87" w:rsidP="00424F87">
      <w:pPr>
        <w:ind w:left="567" w:hanging="283"/>
        <w:rPr>
          <w:rFonts w:cs="Arial"/>
        </w:rPr>
      </w:pPr>
      <w:r w:rsidRPr="00A43EA1">
        <w:rPr>
          <w:rFonts w:cs="Arial"/>
        </w:rPr>
        <w:t>-</w:t>
      </w:r>
      <w:r w:rsidRPr="00A43EA1">
        <w:rPr>
          <w:rFonts w:cs="Arial"/>
        </w:rPr>
        <w:tab/>
        <w:t>Neue Programme für Gerste und Himbeere in Großbritannien</w:t>
      </w:r>
    </w:p>
    <w:p w14:paraId="66E449EE" w14:textId="77777777" w:rsidR="00424F87" w:rsidRPr="00A43EA1" w:rsidRDefault="00424F87" w:rsidP="00424F87">
      <w:pPr>
        <w:ind w:left="567" w:hanging="283"/>
        <w:rPr>
          <w:rFonts w:cs="Arial"/>
        </w:rPr>
      </w:pPr>
      <w:r w:rsidRPr="00A43EA1">
        <w:rPr>
          <w:rFonts w:cs="Arial"/>
        </w:rPr>
        <w:t>-</w:t>
      </w:r>
      <w:r w:rsidRPr="00A43EA1">
        <w:rPr>
          <w:rFonts w:cs="Arial"/>
        </w:rPr>
        <w:tab/>
        <w:t>Verwendung molekularer Hilfsmittel für die DUS-Prüfung in Kanada</w:t>
      </w:r>
    </w:p>
    <w:p w14:paraId="5EF5271F" w14:textId="77777777" w:rsidR="00424F87" w:rsidRPr="00A43EA1" w:rsidRDefault="00424F87" w:rsidP="00424F87">
      <w:pPr>
        <w:rPr>
          <w:rFonts w:cs="Arial"/>
        </w:rPr>
      </w:pPr>
    </w:p>
    <w:p w14:paraId="7DEAAD2B" w14:textId="77777777" w:rsidR="00424F87" w:rsidRPr="00A43EA1" w:rsidRDefault="00424F87" w:rsidP="00424F87">
      <w:pPr>
        <w:rPr>
          <w:rFonts w:cs="Arial"/>
        </w:rPr>
      </w:pPr>
      <w:r w:rsidRPr="00A43EA1">
        <w:rPr>
          <w:rFonts w:cs="Arial"/>
        </w:rPr>
        <w:t>Im Jahr 2023 trug IMODDUS zur Bewertung von zwei neuen FuE-Projektvorschlägen bei.</w:t>
      </w:r>
    </w:p>
    <w:p w14:paraId="2F0253D1" w14:textId="77777777" w:rsidR="00424F87" w:rsidRPr="00A43EA1" w:rsidRDefault="00424F87" w:rsidP="00424F87">
      <w:pPr>
        <w:rPr>
          <w:rFonts w:cs="Arial"/>
        </w:rPr>
      </w:pPr>
    </w:p>
    <w:p w14:paraId="075642E2" w14:textId="77777777" w:rsidR="00424F87" w:rsidRPr="00A43EA1" w:rsidRDefault="00424F87" w:rsidP="00424F87">
      <w:pPr>
        <w:rPr>
          <w:rFonts w:cs="Arial"/>
        </w:rPr>
      </w:pPr>
      <w:r w:rsidRPr="00A43EA1">
        <w:rPr>
          <w:rFonts w:cs="Arial"/>
        </w:rPr>
        <w:t>Ein FuE-Projekt, das zuvor von IMODDUS positiv bewertet wurde und für das eine Kofinanzierung gewährt wurde, wurde abgeschlossen:</w:t>
      </w:r>
    </w:p>
    <w:p w14:paraId="1350964C" w14:textId="77777777" w:rsidR="00424F87" w:rsidRPr="00A43EA1" w:rsidRDefault="00424F87" w:rsidP="00424F87">
      <w:pPr>
        <w:rPr>
          <w:rFonts w:cs="Arial"/>
        </w:rPr>
      </w:pPr>
    </w:p>
    <w:p w14:paraId="15A28BF2" w14:textId="77777777" w:rsidR="00424F87" w:rsidRPr="00A43EA1" w:rsidRDefault="00424F87" w:rsidP="00424F87">
      <w:pPr>
        <w:ind w:left="284"/>
        <w:rPr>
          <w:rFonts w:cs="Arial"/>
          <w:i/>
          <w:iCs/>
        </w:rPr>
      </w:pPr>
      <w:r w:rsidRPr="00A43EA1">
        <w:rPr>
          <w:rFonts w:cs="Arial"/>
          <w:i/>
          <w:iCs/>
        </w:rPr>
        <w:t>DurdusTools</w:t>
      </w:r>
    </w:p>
    <w:p w14:paraId="17DF8E72" w14:textId="77777777" w:rsidR="00424F87" w:rsidRPr="00A43EA1" w:rsidRDefault="00424F87" w:rsidP="00424F87">
      <w:pPr>
        <w:ind w:left="284"/>
        <w:rPr>
          <w:rFonts w:cs="Arial"/>
        </w:rPr>
      </w:pPr>
      <w:r w:rsidRPr="00A43EA1">
        <w:rPr>
          <w:rFonts w:cs="Arial"/>
        </w:rPr>
        <w:t>"Integration molekularer Daten in die DUS-Prüfung von Hartweizen - Entwicklung einer gemeinsamen molekularen Online-Datenbank und eines Tools zur Berechnung des genetischen Abstands".</w:t>
      </w:r>
    </w:p>
    <w:p w14:paraId="7668627C" w14:textId="77777777" w:rsidR="00424F87" w:rsidRPr="00A43EA1" w:rsidRDefault="00424F87" w:rsidP="00424F87">
      <w:pPr>
        <w:ind w:left="284"/>
        <w:rPr>
          <w:rFonts w:cs="Arial"/>
        </w:rPr>
      </w:pPr>
    </w:p>
    <w:p w14:paraId="1D971C4B" w14:textId="77777777" w:rsidR="00424F87" w:rsidRPr="00A43EA1" w:rsidRDefault="00424F87" w:rsidP="00424F87">
      <w:pPr>
        <w:rPr>
          <w:rFonts w:cs="Arial"/>
        </w:rPr>
      </w:pPr>
      <w:r w:rsidRPr="00A43EA1">
        <w:rPr>
          <w:rFonts w:cs="Arial"/>
        </w:rPr>
        <w:t>Drei weitere von IMODDUS validierte FuE-Projekte machten im Berichtszeitraum stetige Fortschritte:</w:t>
      </w:r>
    </w:p>
    <w:p w14:paraId="49253CCA" w14:textId="77777777" w:rsidR="00424F87" w:rsidRPr="00A43EA1" w:rsidRDefault="00424F87" w:rsidP="00424F87">
      <w:pPr>
        <w:rPr>
          <w:rFonts w:cs="Arial"/>
        </w:rPr>
      </w:pPr>
    </w:p>
    <w:p w14:paraId="3499FF87" w14:textId="77777777" w:rsidR="00424F87" w:rsidRPr="00A43EA1" w:rsidRDefault="00424F87" w:rsidP="00424F87">
      <w:pPr>
        <w:ind w:left="284"/>
        <w:rPr>
          <w:rFonts w:cs="Arial"/>
          <w:bCs/>
          <w:i/>
        </w:rPr>
      </w:pPr>
      <w:r w:rsidRPr="00A43EA1">
        <w:rPr>
          <w:rFonts w:cs="Arial"/>
          <w:bCs/>
          <w:i/>
        </w:rPr>
        <w:t>Tomate</w:t>
      </w:r>
    </w:p>
    <w:p w14:paraId="12ECB856" w14:textId="77777777" w:rsidR="00424F87" w:rsidRPr="00A43EA1" w:rsidRDefault="00424F87" w:rsidP="00424F87">
      <w:pPr>
        <w:ind w:left="284"/>
        <w:rPr>
          <w:rFonts w:cs="Arial"/>
        </w:rPr>
      </w:pPr>
      <w:r w:rsidRPr="00A43EA1">
        <w:rPr>
          <w:rFonts w:cs="Arial"/>
        </w:rPr>
        <w:t>"Internationale Validierung eines SNP-Satzes zur Bestimmung genetischer Distanzen für die Verwaltung einer Referenzsammlung von Tomaten".</w:t>
      </w:r>
    </w:p>
    <w:p w14:paraId="1E686A00" w14:textId="77777777" w:rsidR="00424F87" w:rsidRPr="00A43EA1" w:rsidRDefault="00424F87" w:rsidP="00424F87">
      <w:pPr>
        <w:ind w:left="284"/>
        <w:rPr>
          <w:rFonts w:cs="Arial"/>
        </w:rPr>
      </w:pPr>
    </w:p>
    <w:p w14:paraId="26B742AA" w14:textId="77777777" w:rsidR="00424F87" w:rsidRPr="00A43EA1" w:rsidRDefault="00424F87" w:rsidP="00424F87">
      <w:pPr>
        <w:ind w:left="284"/>
        <w:rPr>
          <w:rFonts w:cs="Arial"/>
          <w:bCs/>
          <w:i/>
        </w:rPr>
      </w:pPr>
      <w:r w:rsidRPr="00A43EA1">
        <w:rPr>
          <w:rFonts w:cs="Arial"/>
          <w:bCs/>
          <w:i/>
        </w:rPr>
        <w:t>Hortensie</w:t>
      </w:r>
    </w:p>
    <w:p w14:paraId="5F85443B" w14:textId="77777777" w:rsidR="00424F87" w:rsidRPr="00A43EA1" w:rsidRDefault="00424F87" w:rsidP="00424F87">
      <w:pPr>
        <w:ind w:left="284"/>
        <w:rPr>
          <w:rFonts w:cs="Arial"/>
        </w:rPr>
      </w:pPr>
      <w:r w:rsidRPr="00A43EA1">
        <w:rPr>
          <w:rFonts w:cs="Arial"/>
        </w:rPr>
        <w:t xml:space="preserve">Nutzung molekularer Daten zur Unterstützung der DUS-Prüfung bei Zierpflanzen: eine Fallstudie über Hortensien. </w:t>
      </w:r>
    </w:p>
    <w:p w14:paraId="1697686C" w14:textId="77777777" w:rsidR="00424F87" w:rsidRPr="00A43EA1" w:rsidRDefault="00424F87" w:rsidP="00424F87">
      <w:pPr>
        <w:ind w:left="284"/>
        <w:rPr>
          <w:rFonts w:cs="Arial"/>
        </w:rPr>
      </w:pPr>
    </w:p>
    <w:p w14:paraId="498DBAAB" w14:textId="77777777" w:rsidR="00424F87" w:rsidRPr="00A43EA1" w:rsidRDefault="00424F87" w:rsidP="00424F87">
      <w:pPr>
        <w:ind w:left="284"/>
        <w:rPr>
          <w:rFonts w:cs="Arial"/>
          <w:bCs/>
          <w:i/>
        </w:rPr>
      </w:pPr>
      <w:r w:rsidRPr="00A43EA1">
        <w:rPr>
          <w:rFonts w:cs="Arial"/>
          <w:bCs/>
          <w:i/>
        </w:rPr>
        <w:t>Tomate - Paprika - Melone</w:t>
      </w:r>
    </w:p>
    <w:p w14:paraId="5D3F1E3E" w14:textId="77777777" w:rsidR="00424F87" w:rsidRPr="00A43EA1" w:rsidRDefault="00424F87" w:rsidP="00424F87">
      <w:pPr>
        <w:ind w:left="284"/>
        <w:rPr>
          <w:rFonts w:cs="Arial"/>
          <w:b/>
          <w:i/>
        </w:rPr>
      </w:pPr>
      <w:r w:rsidRPr="00A43EA1">
        <w:rPr>
          <w:rFonts w:cs="Arial"/>
        </w:rPr>
        <w:t>Aktualisierung der DUS-Resistenzprüfungen entsprechend der Entwicklung der Schädlinge:</w:t>
      </w:r>
    </w:p>
    <w:p w14:paraId="59780E7B" w14:textId="77777777" w:rsidR="00424F87" w:rsidRPr="00A43EA1" w:rsidRDefault="00424F87" w:rsidP="00424F87">
      <w:pPr>
        <w:ind w:left="426"/>
        <w:rPr>
          <w:rFonts w:cs="Arial"/>
        </w:rPr>
      </w:pPr>
      <w:r w:rsidRPr="00A43EA1">
        <w:rPr>
          <w:rFonts w:cs="Arial"/>
        </w:rPr>
        <w:t>- Einrichtung von Resistenztests gegen ToBRFV für Tomaten und Paprika</w:t>
      </w:r>
    </w:p>
    <w:p w14:paraId="6DD07C57" w14:textId="77777777" w:rsidR="00424F87" w:rsidRPr="00A43EA1" w:rsidRDefault="00424F87" w:rsidP="00424F87">
      <w:pPr>
        <w:ind w:left="426"/>
        <w:rPr>
          <w:rFonts w:cs="Arial"/>
        </w:rPr>
      </w:pPr>
      <w:r w:rsidRPr="00A43EA1">
        <w:rPr>
          <w:rFonts w:cs="Arial"/>
        </w:rPr>
        <w:t>- Verbesserung des Resistenztests 'Melone/Aphis gossypii'</w:t>
      </w:r>
    </w:p>
    <w:p w14:paraId="723F18E1" w14:textId="77777777" w:rsidR="00424F87" w:rsidRPr="00A43EA1" w:rsidRDefault="00424F87" w:rsidP="00424F87">
      <w:pPr>
        <w:ind w:left="284"/>
        <w:rPr>
          <w:rFonts w:cs="Arial"/>
        </w:rPr>
      </w:pPr>
    </w:p>
    <w:p w14:paraId="79AA5291" w14:textId="77777777" w:rsidR="00424F87" w:rsidRPr="00A43EA1" w:rsidRDefault="00424F87" w:rsidP="00424F87">
      <w:pPr>
        <w:rPr>
          <w:rFonts w:cs="Arial"/>
        </w:rPr>
      </w:pPr>
      <w:r w:rsidRPr="00A43EA1">
        <w:rPr>
          <w:rFonts w:cs="Arial"/>
          <w:u w:val="single"/>
        </w:rPr>
        <w:t>6.2 INVITE</w:t>
      </w:r>
    </w:p>
    <w:p w14:paraId="162E74FF" w14:textId="77777777" w:rsidR="00424F87" w:rsidRPr="00A43EA1" w:rsidRDefault="00424F87" w:rsidP="00424F87">
      <w:pPr>
        <w:rPr>
          <w:rFonts w:cs="Arial"/>
        </w:rPr>
      </w:pPr>
    </w:p>
    <w:p w14:paraId="0F4B18E8" w14:textId="77777777" w:rsidR="00424F87" w:rsidRPr="00A43EA1" w:rsidRDefault="00424F87" w:rsidP="00424F87">
      <w:pPr>
        <w:rPr>
          <w:rFonts w:cs="Arial"/>
        </w:rPr>
      </w:pPr>
      <w:r w:rsidRPr="00A43EA1">
        <w:rPr>
          <w:rFonts w:cs="Arial"/>
        </w:rPr>
        <w:t>INVITE steht für "INnovations in plant VarIety Testing in Europe to foster the introduction of new varieties better adapted to varying biotic and abiotic conditions and to more sustainable crop management practices". INVITE ist eines der beiden Preisträgerprojekte der Aufforderung SFS-29-2018 "Innovations in plant variety testing" des Programms Horizont 2020. Es zielt darauf ab, die Effizienz der Sortenprüfung und die Verfügbarkeit von Informationen für Interessengruppen über die Leistung von Sorten unter verschiedenen Produktionsbedingungen und biotischen und abiotischen Stressfaktoren für 10 Kulturen zu verbessern (7 "Modell"-Kulturen: Mais, Weizen, Roggengras, Sonnenblume, Kartoffel, Tomate, Apfel und 3 "Anwendungspflanzen": Luzerne, Sojabohne, Raps). Es befasst sich in ausgewogener Weise mit der DUS- und der Leistungsprüfung und beabsichtigt, die Synergien zwischen ihnen durch verwandte Tätigkeiten auf der Grundlage von Phänotypisierung, Genotypisierung, Modellierung und Datenbankverwaltung zu maximieren.</w:t>
      </w:r>
    </w:p>
    <w:p w14:paraId="4F072D95" w14:textId="77777777" w:rsidR="00424F87" w:rsidRPr="00A43EA1" w:rsidRDefault="00424F87" w:rsidP="00424F87">
      <w:pPr>
        <w:rPr>
          <w:rFonts w:cs="Arial"/>
        </w:rPr>
      </w:pPr>
    </w:p>
    <w:p w14:paraId="616C9AE6" w14:textId="77777777" w:rsidR="00424F87" w:rsidRPr="00A43EA1" w:rsidRDefault="00424F87" w:rsidP="00424F87">
      <w:pPr>
        <w:rPr>
          <w:rFonts w:cs="Arial"/>
        </w:rPr>
      </w:pPr>
      <w:r w:rsidRPr="00A43EA1">
        <w:rPr>
          <w:rFonts w:cs="Arial"/>
        </w:rPr>
        <w:t>Der Gesamtbetrag, der den 29 Partnern zugesprochen wurde, beläuft sich auf etwa 8 Millionen Euro, die in einem Zeitraum von 5 Jahren ab Juli 2019 ausgegeben werden sollen. Das CPVO wird keine Mittel erhalten.</w:t>
      </w:r>
    </w:p>
    <w:p w14:paraId="1E7F475E" w14:textId="77777777" w:rsidR="00424F87" w:rsidRPr="00A43EA1" w:rsidRDefault="00424F87" w:rsidP="00424F87">
      <w:pPr>
        <w:rPr>
          <w:rFonts w:cs="Arial"/>
        </w:rPr>
      </w:pPr>
    </w:p>
    <w:p w14:paraId="13E1A483" w14:textId="216004D2" w:rsidR="00424F87" w:rsidRPr="00A43EA1" w:rsidRDefault="00424F87" w:rsidP="00424F87">
      <w:pPr>
        <w:rPr>
          <w:rFonts w:cs="Arial"/>
        </w:rPr>
      </w:pPr>
      <w:r w:rsidRPr="00A43EA1">
        <w:rPr>
          <w:rFonts w:cs="Arial"/>
        </w:rPr>
        <w:t xml:space="preserve">Das CPVO ist für die Verwaltung aller Fragen im Zusammenhang mit dem Zugang zu historischen Daten und Referenzmaterialien zuständig, die sich im Besitz der Prüfungsämter der EU-Mitgliedstaaten befinden. Es nimmt an technischen Sitzungen teil, leitet das Arbeitspaket 5, das sich mit der Prüfung und Validierung der von allen Arbeitspaketen entwickelten neuen Instrumente befasst, und ist Mitglied des Exekutivausschusses </w:t>
      </w:r>
      <w:r w:rsidRPr="00A43EA1">
        <w:rPr>
          <w:rFonts w:cs="Arial"/>
        </w:rPr>
        <w:lastRenderedPageBreak/>
        <w:t>des Projekts. Im Jahr 2022 wurde die technische Arbeit für alle Kulturpflanzen kontinuierlich fortgesetzt. Die 4 Jahrestagung wurde im Juni 2023 in Barcelona organisiert. Bei dieser Gelegenheit wurden Workshops organisiert, die sich auf die Festlegung einer Kommunikationsstrategie auf der Grundlage der bisher erzielten Ergebnisse konzentrierten.</w:t>
      </w:r>
    </w:p>
    <w:p w14:paraId="5270F461" w14:textId="77777777" w:rsidR="00424F87" w:rsidRPr="00A43EA1" w:rsidRDefault="00424F87" w:rsidP="00424F87">
      <w:pPr>
        <w:rPr>
          <w:rFonts w:cs="Arial"/>
        </w:rPr>
      </w:pPr>
    </w:p>
    <w:p w14:paraId="525C0F52" w14:textId="77777777" w:rsidR="00424F87" w:rsidRPr="00A43EA1" w:rsidRDefault="00424F87" w:rsidP="00424F87">
      <w:pPr>
        <w:rPr>
          <w:rFonts w:cs="Arial"/>
        </w:rPr>
      </w:pPr>
      <w:r w:rsidRPr="00A43EA1">
        <w:rPr>
          <w:rFonts w:cs="Arial"/>
        </w:rPr>
        <w:t>Die Zusammenarbeit mit INNOVAR (zweites Preisträgerkonsortium der Aufforderung SFS-29-2018, das sich auf die Optimierung der Sortenprüfung bei Weizen konzentriert) wurde fortgesetzt. Im Rahmen der gemeinsamen Weizenversuche wurden Daten gesammelt und analysiert. Die Vertreter wurden zur Teilnahme an der Tagung in Barcelona eingeladen.</w:t>
      </w:r>
    </w:p>
    <w:p w14:paraId="30C48DB6" w14:textId="77777777" w:rsidR="00424F87" w:rsidRPr="00A43EA1" w:rsidRDefault="00424F87" w:rsidP="00424F87">
      <w:pPr>
        <w:rPr>
          <w:rFonts w:cs="Arial"/>
        </w:rPr>
      </w:pPr>
    </w:p>
    <w:p w14:paraId="07C7754D" w14:textId="77777777" w:rsidR="00424F87" w:rsidRPr="00A43EA1" w:rsidRDefault="00424F87" w:rsidP="00424F87">
      <w:pPr>
        <w:pStyle w:val="ListBullet"/>
        <w:numPr>
          <w:ilvl w:val="0"/>
          <w:numId w:val="0"/>
        </w:numPr>
        <w:tabs>
          <w:tab w:val="left" w:pos="720"/>
        </w:tabs>
        <w:spacing w:after="0" w:line="240" w:lineRule="auto"/>
        <w:ind w:left="283" w:hanging="283"/>
        <w:jc w:val="both"/>
        <w:rPr>
          <w:rFonts w:ascii="Arial" w:hAnsi="Arial" w:cs="Arial"/>
          <w:sz w:val="20"/>
          <w:szCs w:val="20"/>
          <w:u w:val="single"/>
          <w:lang w:val="de-DE"/>
        </w:rPr>
      </w:pPr>
      <w:r w:rsidRPr="00A43EA1">
        <w:rPr>
          <w:rFonts w:ascii="Arial" w:hAnsi="Arial" w:cs="Arial"/>
          <w:sz w:val="20"/>
          <w:szCs w:val="20"/>
          <w:u w:val="single"/>
          <w:lang w:val="de-DE"/>
        </w:rPr>
        <w:t>6.3 Sonstige FuE-Projekte</w:t>
      </w:r>
    </w:p>
    <w:p w14:paraId="09EBACC5" w14:textId="77777777" w:rsidR="00424F87" w:rsidRPr="00A43EA1" w:rsidRDefault="00424F87" w:rsidP="00424F87">
      <w:pPr>
        <w:rPr>
          <w:rFonts w:cs="Arial"/>
          <w:bCs/>
          <w:i/>
        </w:rPr>
      </w:pPr>
    </w:p>
    <w:p w14:paraId="314FB1F9" w14:textId="77777777" w:rsidR="00424F87" w:rsidRPr="00A43EA1" w:rsidRDefault="00424F87" w:rsidP="00424F87">
      <w:pPr>
        <w:rPr>
          <w:rFonts w:cs="Arial"/>
          <w:bCs/>
          <w:i/>
        </w:rPr>
      </w:pPr>
      <w:r w:rsidRPr="00A43EA1">
        <w:rPr>
          <w:rFonts w:cs="Arial"/>
          <w:bCs/>
          <w:i/>
        </w:rPr>
        <w:t>Harmorescoll</w:t>
      </w:r>
    </w:p>
    <w:p w14:paraId="596B5DF8" w14:textId="77777777" w:rsidR="00424F87" w:rsidRPr="00A43EA1" w:rsidRDefault="00424F87" w:rsidP="00424F87">
      <w:pPr>
        <w:rPr>
          <w:rFonts w:cs="Arial"/>
        </w:rPr>
      </w:pPr>
      <w:r w:rsidRPr="00A43EA1">
        <w:rPr>
          <w:rFonts w:cs="Arial"/>
        </w:rPr>
        <w:t>HARMORESCOLL zielt darauf ab, auf europäischer Ebene ein koordiniertes System für den Zugang zu Referenzmaterial für die Durchführung von DUS-Krankheitsprüfungen gemäß den CPVO-Protokollen und den UPOV-Richtlinien einzurichten. Daran beteiligt sind Prüfungsämter und Saatgutunternehmen, die Mitglied von Euroseeds sind. Das Projekt wird von GEVES und Naktuinbouw koordiniert. Ursprünglich auf drei Jahre angelegt, wurde es um ein Jahr verlängert und soll nun am 31. Dezember 2023 enden.</w:t>
      </w:r>
    </w:p>
    <w:p w14:paraId="0700DBFF" w14:textId="77777777" w:rsidR="00424F87" w:rsidRPr="00A43EA1" w:rsidRDefault="00424F87" w:rsidP="00424F87">
      <w:pPr>
        <w:rPr>
          <w:rFonts w:cs="Arial"/>
        </w:rPr>
      </w:pPr>
    </w:p>
    <w:p w14:paraId="47048480" w14:textId="77777777" w:rsidR="00424F87" w:rsidRPr="00A43EA1" w:rsidRDefault="00424F87" w:rsidP="00424F87">
      <w:pPr>
        <w:rPr>
          <w:rFonts w:cs="Arial"/>
        </w:rPr>
      </w:pPr>
    </w:p>
    <w:p w14:paraId="135C0B8D" w14:textId="77777777" w:rsidR="00424F87" w:rsidRPr="00A43EA1" w:rsidRDefault="00424F87" w:rsidP="00424F87">
      <w:pPr>
        <w:rPr>
          <w:rFonts w:cs="Arial"/>
        </w:rPr>
      </w:pPr>
    </w:p>
    <w:p w14:paraId="4D33ED06" w14:textId="77777777" w:rsidR="00424F87" w:rsidRPr="00A43EA1" w:rsidRDefault="00424F87" w:rsidP="00424F87">
      <w:pPr>
        <w:jc w:val="left"/>
      </w:pPr>
    </w:p>
    <w:p w14:paraId="5C18DFFC" w14:textId="77777777" w:rsidR="00424F87" w:rsidRPr="00A43EA1" w:rsidRDefault="00424F87" w:rsidP="00424F87">
      <w:pPr>
        <w:jc w:val="center"/>
        <w:sectPr w:rsidR="00424F87" w:rsidRPr="00A43EA1" w:rsidSect="00CE5C5C">
          <w:headerReference w:type="default" r:id="rId52"/>
          <w:pgSz w:w="11907" w:h="16840" w:code="9"/>
          <w:pgMar w:top="510" w:right="1134" w:bottom="1134" w:left="1134" w:header="510" w:footer="680" w:gutter="0"/>
          <w:pgNumType w:start="1"/>
          <w:cols w:space="720"/>
          <w:titlePg/>
          <w:docGrid w:linePitch="272"/>
        </w:sectPr>
      </w:pPr>
    </w:p>
    <w:p w14:paraId="4155BA76" w14:textId="77777777" w:rsidR="00424F87" w:rsidRPr="00A43EA1" w:rsidRDefault="00424F87" w:rsidP="00424F87">
      <w:pPr>
        <w:jc w:val="center"/>
      </w:pPr>
      <w:r w:rsidRPr="00A43EA1">
        <w:lastRenderedPageBreak/>
        <w:t>C/57/13</w:t>
      </w:r>
    </w:p>
    <w:p w14:paraId="10DF1AA2" w14:textId="77777777" w:rsidR="00424F87" w:rsidRPr="00A43EA1" w:rsidRDefault="00424F87" w:rsidP="00424F87">
      <w:pPr>
        <w:jc w:val="center"/>
      </w:pPr>
    </w:p>
    <w:p w14:paraId="5A0D838E" w14:textId="5DDB86C9" w:rsidR="00424F87" w:rsidRPr="00A43EA1" w:rsidRDefault="009E6E5A" w:rsidP="00424F87">
      <w:pPr>
        <w:jc w:val="center"/>
      </w:pPr>
      <w:r>
        <w:t>ANLAGE</w:t>
      </w:r>
      <w:r w:rsidR="00424F87" w:rsidRPr="00A43EA1">
        <w:t xml:space="preserve"> XIX</w:t>
      </w:r>
    </w:p>
    <w:p w14:paraId="537CBC18" w14:textId="77777777" w:rsidR="00424F87" w:rsidRPr="00A43EA1" w:rsidRDefault="00424F87" w:rsidP="00424F87">
      <w:pPr>
        <w:jc w:val="center"/>
      </w:pPr>
    </w:p>
    <w:p w14:paraId="7348D8EE" w14:textId="77777777" w:rsidR="00424F87" w:rsidRPr="00A43EA1" w:rsidRDefault="00424F87" w:rsidP="00424F87">
      <w:pPr>
        <w:jc w:val="center"/>
      </w:pPr>
    </w:p>
    <w:p w14:paraId="4CB71819" w14:textId="77777777" w:rsidR="00424F87" w:rsidRPr="00A43EA1" w:rsidRDefault="00424F87" w:rsidP="00424F87">
      <w:pPr>
        <w:jc w:val="center"/>
      </w:pPr>
      <w:r w:rsidRPr="00A43EA1">
        <w:t>MYANMAR</w:t>
      </w:r>
    </w:p>
    <w:p w14:paraId="5A477A5A" w14:textId="77777777" w:rsidR="00424F87" w:rsidRPr="00A43EA1" w:rsidRDefault="00424F87" w:rsidP="00424F87">
      <w:pPr>
        <w:jc w:val="center"/>
      </w:pPr>
      <w:r w:rsidRPr="00A43EA1">
        <w:t>(Originalsprache: englisch)</w:t>
      </w:r>
    </w:p>
    <w:p w14:paraId="032DB6C6" w14:textId="77777777" w:rsidR="00424F87" w:rsidRPr="00A43EA1" w:rsidRDefault="00424F87" w:rsidP="00424F87"/>
    <w:p w14:paraId="0BC988DF" w14:textId="77777777" w:rsidR="00424F87" w:rsidRPr="00A43EA1" w:rsidRDefault="00424F87" w:rsidP="000B254F">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7E78601C" w14:textId="77777777" w:rsidR="00424F87" w:rsidRPr="00A43EA1" w:rsidRDefault="00424F87" w:rsidP="00424F87">
      <w:r w:rsidRPr="00A43EA1">
        <w:t>SORTENSCHUTZ</w:t>
      </w:r>
    </w:p>
    <w:p w14:paraId="6B0C02DD" w14:textId="77777777" w:rsidR="00424F87" w:rsidRPr="00A43EA1" w:rsidRDefault="00424F87" w:rsidP="00424F87"/>
    <w:p w14:paraId="46D6B951" w14:textId="77777777" w:rsidR="00424F87" w:rsidRPr="00A43EA1" w:rsidRDefault="00424F87" w:rsidP="00424F87">
      <w:r w:rsidRPr="00A43EA1">
        <w:t>1.</w:t>
      </w:r>
      <w:r w:rsidRPr="00A43EA1">
        <w:tab/>
      </w:r>
      <w:r w:rsidRPr="00A43EA1">
        <w:rPr>
          <w:u w:val="single"/>
        </w:rPr>
        <w:t>Lage auf dem Gebiet der Gesetzgebung</w:t>
      </w:r>
    </w:p>
    <w:p w14:paraId="36903AF5" w14:textId="77777777" w:rsidR="00424F87" w:rsidRPr="00A43EA1" w:rsidRDefault="00424F87" w:rsidP="00424F87"/>
    <w:p w14:paraId="56329D5F" w14:textId="50903FC6" w:rsidR="00424F87" w:rsidRPr="00A43EA1" w:rsidRDefault="00424F87" w:rsidP="00424F87">
      <w:r w:rsidRPr="00A43EA1">
        <w:t>1.1</w:t>
      </w:r>
      <w:r w:rsidR="00D31C10">
        <w:tab/>
      </w:r>
      <w:r w:rsidRPr="00A43EA1">
        <w:t>Änderungen des Gesetzes und der Durchführungsverordnungen</w:t>
      </w:r>
    </w:p>
    <w:p w14:paraId="6ECC3394" w14:textId="77777777" w:rsidR="00424F87" w:rsidRPr="00A43EA1" w:rsidRDefault="00424F87" w:rsidP="00424F87"/>
    <w:p w14:paraId="2AE3AE73" w14:textId="77777777" w:rsidR="00424F87" w:rsidRPr="00A43EA1" w:rsidRDefault="00424F87" w:rsidP="00424F87">
      <w:r w:rsidRPr="00A43EA1">
        <w:t>Im Jahr 2016 wurde ein neues Sortenschutzgesetz in Kraft gesetzt. Einige Artikel des Sortenschutzgesetzes (2016) standen nicht vollständig im Einklang mit der Akte von 1991 des Übereinkommens. Daher wurde am 24. September 2019 ein neues Gesetz erlassen. Das Verfahren für das Sortenschutzgesetz (2019) wurde ebenfalls am 24.9.2021 eingeleitet.  Die UPOV traf auf der 53. Tagung des Rates am 1. November 2019 in Genf, Schweiz, eine positive Entscheidung über das Sortenschutzgesetz von Myanmar (2019).</w:t>
      </w:r>
    </w:p>
    <w:p w14:paraId="7BA84B03" w14:textId="77777777" w:rsidR="00424F87" w:rsidRPr="00A43EA1" w:rsidRDefault="00424F87" w:rsidP="00424F87"/>
    <w:p w14:paraId="0252BF1C" w14:textId="48EB6FD0" w:rsidR="00424F87" w:rsidRPr="00A43EA1" w:rsidRDefault="00424F87" w:rsidP="00424F87">
      <w:r w:rsidRPr="00A43EA1">
        <w:t>1.2</w:t>
      </w:r>
      <w:r w:rsidR="00D31C10">
        <w:tab/>
      </w:r>
      <w:r w:rsidRPr="00A43EA1">
        <w:t>Ausdehnung des Schutzes auf weitere Gattungen und Arten (erfolgt oder geplant)</w:t>
      </w:r>
    </w:p>
    <w:p w14:paraId="3B7A42F4" w14:textId="77777777" w:rsidR="00424F87" w:rsidRPr="00A43EA1" w:rsidRDefault="00424F87" w:rsidP="00424F87"/>
    <w:p w14:paraId="5C6763CE" w14:textId="77777777" w:rsidR="00424F87" w:rsidRPr="00A43EA1" w:rsidRDefault="00424F87" w:rsidP="00424F87">
      <w:r w:rsidRPr="00A43EA1">
        <w:t xml:space="preserve">Der Pflanzenzüchter kann die Erteilung des Züchterrechts für alle Pflanzengattungen und -arten gemäß Artikel 16 des Sortenschutzgesetzes (2019) beantragen. </w:t>
      </w:r>
    </w:p>
    <w:p w14:paraId="056CCC87" w14:textId="77777777" w:rsidR="00424F87" w:rsidRPr="00A43EA1" w:rsidRDefault="00424F87" w:rsidP="00424F87"/>
    <w:p w14:paraId="39EEFFBB" w14:textId="77777777" w:rsidR="00424F87" w:rsidRPr="00A43EA1" w:rsidRDefault="00424F87" w:rsidP="00424F87">
      <w:pPr>
        <w:rPr>
          <w:u w:val="single"/>
        </w:rPr>
      </w:pPr>
      <w:r w:rsidRPr="00A43EA1">
        <w:t>2.</w:t>
      </w:r>
      <w:r w:rsidRPr="00A43EA1">
        <w:tab/>
      </w:r>
      <w:r w:rsidRPr="00A43EA1">
        <w:rPr>
          <w:u w:val="single"/>
        </w:rPr>
        <w:t>Zusammenarbeit bei der Prüfung</w:t>
      </w:r>
    </w:p>
    <w:p w14:paraId="20D5749D" w14:textId="77777777" w:rsidR="00424F87" w:rsidRPr="00A43EA1" w:rsidRDefault="00424F87" w:rsidP="00424F87"/>
    <w:p w14:paraId="37E7700C" w14:textId="77777777" w:rsidR="00424F87" w:rsidRPr="00A43EA1" w:rsidRDefault="00424F87" w:rsidP="00424F87">
      <w:r w:rsidRPr="00A43EA1">
        <w:t>Es gibt keine Zusammenarbeit bei Prüfungen mit anderen im Rahmen von MOU-Vereinbarungen.</w:t>
      </w:r>
    </w:p>
    <w:p w14:paraId="44C23B00" w14:textId="77777777" w:rsidR="00424F87" w:rsidRPr="00A43EA1" w:rsidRDefault="00424F87" w:rsidP="00424F87"/>
    <w:p w14:paraId="6A5E4324" w14:textId="77777777" w:rsidR="00424F87" w:rsidRPr="00A43EA1" w:rsidRDefault="00424F87" w:rsidP="00424F87">
      <w:r w:rsidRPr="00A43EA1">
        <w:t>3.</w:t>
      </w:r>
      <w:r w:rsidRPr="00A43EA1">
        <w:tab/>
      </w:r>
      <w:r w:rsidRPr="00A43EA1">
        <w:rPr>
          <w:u w:val="single"/>
        </w:rPr>
        <w:t>Lage auf dem Gebiet der Verwaltung</w:t>
      </w:r>
    </w:p>
    <w:p w14:paraId="3D42BB9B" w14:textId="77777777" w:rsidR="00424F87" w:rsidRPr="00A43EA1" w:rsidRDefault="00424F87" w:rsidP="00424F87"/>
    <w:p w14:paraId="442408FE" w14:textId="77777777" w:rsidR="00424F87" w:rsidRPr="00A43EA1" w:rsidRDefault="00424F87" w:rsidP="00424F87">
      <w:r w:rsidRPr="00A43EA1">
        <w:t>An der Verwaltungsstruktur und den Büroverfahren und -systemen ändert sich nichts.</w:t>
      </w:r>
    </w:p>
    <w:p w14:paraId="3579D064" w14:textId="77777777" w:rsidR="00424F87" w:rsidRPr="00A43EA1" w:rsidRDefault="00424F87" w:rsidP="00424F87"/>
    <w:p w14:paraId="1D3C572F" w14:textId="77777777" w:rsidR="00424F87" w:rsidRPr="00A43EA1" w:rsidRDefault="00424F87" w:rsidP="00424F87">
      <w:r w:rsidRPr="00A43EA1">
        <w:t>4.</w:t>
      </w:r>
      <w:r w:rsidRPr="00A43EA1">
        <w:tab/>
      </w:r>
      <w:r w:rsidRPr="00A43EA1">
        <w:rPr>
          <w:u w:val="single"/>
        </w:rPr>
        <w:t>Lage auf dem Gebiet der Technik</w:t>
      </w:r>
    </w:p>
    <w:p w14:paraId="2EE96B29" w14:textId="77777777" w:rsidR="00424F87" w:rsidRPr="00A43EA1" w:rsidRDefault="00424F87" w:rsidP="00424F87"/>
    <w:p w14:paraId="4BC0C981" w14:textId="77777777" w:rsidR="00424F87" w:rsidRPr="00A43EA1" w:rsidRDefault="00424F87" w:rsidP="00424F87">
      <w:r w:rsidRPr="00A43EA1">
        <w:t>Gemäß den Sortenschutzverfahren wurden die DUS-Prüfungen von örtlich ausgebildeten DUS-Prüfern durchgeführt, die Mitglieder des Unterausschusses und des Ausschusses für die technische Sortenschutzprüfung sind. Bislang wurden 46 neue Pflanzensorten angemeldet, und 8 Sorten wurden für Züchterrechte erteilt.</w:t>
      </w:r>
    </w:p>
    <w:p w14:paraId="3DFF29E3" w14:textId="77777777" w:rsidR="00424F87" w:rsidRPr="00A43EA1" w:rsidRDefault="00424F87" w:rsidP="00424F87"/>
    <w:p w14:paraId="00F6C302" w14:textId="77777777" w:rsidR="00424F87" w:rsidRPr="00A43EA1" w:rsidRDefault="00424F87" w:rsidP="00424F87">
      <w:pPr>
        <w:rPr>
          <w:u w:val="single"/>
        </w:rPr>
      </w:pPr>
      <w:r w:rsidRPr="00A43EA1">
        <w:t>5.</w:t>
      </w:r>
      <w:r w:rsidRPr="00A43EA1">
        <w:tab/>
      </w:r>
      <w:r w:rsidRPr="00A43EA1">
        <w:rPr>
          <w:u w:val="single"/>
        </w:rPr>
        <w:t>Tätigkeiten zur Förderung des Sortenschutzes</w:t>
      </w:r>
    </w:p>
    <w:p w14:paraId="15A3D987" w14:textId="77777777" w:rsidR="00424F87" w:rsidRPr="00A43EA1" w:rsidRDefault="00424F87" w:rsidP="00424F87"/>
    <w:p w14:paraId="49DCD38E" w14:textId="77777777" w:rsidR="00424F87" w:rsidRPr="00A43EA1" w:rsidRDefault="00424F87" w:rsidP="00424F87">
      <w:r w:rsidRPr="00A43EA1">
        <w:t>Vor der COVID-19-Krise wurden in Zusammenarbeit mit EAPVP, Japan, UPOV und Naktuinbouw (Niederlande) ein Sensibilisierungsseminar über die Aktivitäten des Sortenschutzsystems und technische Schulungen durchgeführt.</w:t>
      </w:r>
    </w:p>
    <w:p w14:paraId="37ACC6D1" w14:textId="77777777" w:rsidR="00424F87" w:rsidRPr="00A43EA1" w:rsidRDefault="00424F87" w:rsidP="00424F87"/>
    <w:tbl>
      <w:tblPr>
        <w:tblStyle w:val="TableGrid"/>
        <w:tblW w:w="9917" w:type="dxa"/>
        <w:tblLayout w:type="fixed"/>
        <w:tblCellMar>
          <w:top w:w="28" w:type="dxa"/>
          <w:left w:w="57" w:type="dxa"/>
          <w:bottom w:w="28" w:type="dxa"/>
          <w:right w:w="57" w:type="dxa"/>
        </w:tblCellMar>
        <w:tblLook w:val="01E0" w:firstRow="1" w:lastRow="1" w:firstColumn="1" w:lastColumn="1" w:noHBand="0" w:noVBand="0"/>
      </w:tblPr>
      <w:tblGrid>
        <w:gridCol w:w="1696"/>
        <w:gridCol w:w="992"/>
        <w:gridCol w:w="1134"/>
        <w:gridCol w:w="1701"/>
        <w:gridCol w:w="2410"/>
        <w:gridCol w:w="1984"/>
      </w:tblGrid>
      <w:tr w:rsidR="00424F87" w:rsidRPr="00A43EA1" w14:paraId="23BBB2CB" w14:textId="77777777" w:rsidTr="00D31C10">
        <w:trPr>
          <w:tblHeader/>
        </w:trPr>
        <w:tc>
          <w:tcPr>
            <w:tcW w:w="1696" w:type="dxa"/>
          </w:tcPr>
          <w:p w14:paraId="7A540202" w14:textId="77777777" w:rsidR="00424F87" w:rsidRPr="00A43EA1" w:rsidRDefault="00424F87" w:rsidP="00C30F9D">
            <w:pPr>
              <w:jc w:val="left"/>
              <w:rPr>
                <w:rFonts w:cs="Arial"/>
                <w:bCs/>
                <w:sz w:val="16"/>
                <w:szCs w:val="16"/>
              </w:rPr>
            </w:pPr>
            <w:r w:rsidRPr="00A43EA1">
              <w:rPr>
                <w:rFonts w:cs="Arial"/>
                <w:bCs/>
                <w:sz w:val="16"/>
                <w:szCs w:val="16"/>
              </w:rPr>
              <w:t>Titel der Aktivität</w:t>
            </w:r>
          </w:p>
        </w:tc>
        <w:tc>
          <w:tcPr>
            <w:tcW w:w="992" w:type="dxa"/>
          </w:tcPr>
          <w:p w14:paraId="03DE0EE0" w14:textId="77777777" w:rsidR="00424F87" w:rsidRPr="00A43EA1" w:rsidRDefault="00424F87" w:rsidP="00C30F9D">
            <w:pPr>
              <w:jc w:val="left"/>
              <w:rPr>
                <w:rFonts w:cs="Arial"/>
                <w:bCs/>
                <w:sz w:val="16"/>
                <w:szCs w:val="16"/>
              </w:rPr>
            </w:pPr>
            <w:r w:rsidRPr="00A43EA1">
              <w:rPr>
                <w:rFonts w:cs="Arial"/>
                <w:bCs/>
                <w:sz w:val="16"/>
                <w:szCs w:val="16"/>
              </w:rPr>
              <w:t>Datum</w:t>
            </w:r>
          </w:p>
        </w:tc>
        <w:tc>
          <w:tcPr>
            <w:tcW w:w="1134" w:type="dxa"/>
          </w:tcPr>
          <w:p w14:paraId="78ED5C7F" w14:textId="77777777" w:rsidR="00424F87" w:rsidRPr="00A43EA1" w:rsidRDefault="00424F87" w:rsidP="00C30F9D">
            <w:pPr>
              <w:jc w:val="left"/>
              <w:rPr>
                <w:rFonts w:cs="Arial"/>
                <w:bCs/>
                <w:sz w:val="16"/>
                <w:szCs w:val="16"/>
              </w:rPr>
            </w:pPr>
            <w:r w:rsidRPr="00A43EA1">
              <w:rPr>
                <w:rFonts w:cs="Arial"/>
                <w:bCs/>
                <w:sz w:val="16"/>
                <w:szCs w:val="16"/>
              </w:rPr>
              <w:t>Standort</w:t>
            </w:r>
          </w:p>
        </w:tc>
        <w:tc>
          <w:tcPr>
            <w:tcW w:w="1701" w:type="dxa"/>
          </w:tcPr>
          <w:p w14:paraId="45026C06" w14:textId="77777777" w:rsidR="00424F87" w:rsidRPr="00A43EA1" w:rsidRDefault="00424F87" w:rsidP="00C30F9D">
            <w:pPr>
              <w:jc w:val="left"/>
              <w:rPr>
                <w:rFonts w:cs="Arial"/>
                <w:bCs/>
                <w:sz w:val="16"/>
                <w:szCs w:val="16"/>
              </w:rPr>
            </w:pPr>
            <w:r w:rsidRPr="00A43EA1">
              <w:rPr>
                <w:rFonts w:cs="Arial"/>
                <w:bCs/>
                <w:sz w:val="16"/>
                <w:szCs w:val="16"/>
              </w:rPr>
              <w:t>Organisator(en)</w:t>
            </w:r>
          </w:p>
        </w:tc>
        <w:tc>
          <w:tcPr>
            <w:tcW w:w="2410" w:type="dxa"/>
          </w:tcPr>
          <w:p w14:paraId="08F6EDA3" w14:textId="77777777" w:rsidR="00424F87" w:rsidRPr="00A43EA1" w:rsidRDefault="00424F87" w:rsidP="00C30F9D">
            <w:pPr>
              <w:jc w:val="left"/>
              <w:rPr>
                <w:rFonts w:cs="Arial"/>
                <w:bCs/>
                <w:sz w:val="16"/>
                <w:szCs w:val="16"/>
              </w:rPr>
            </w:pPr>
            <w:r w:rsidRPr="00A43EA1">
              <w:rPr>
                <w:rFonts w:cs="Arial"/>
                <w:bCs/>
                <w:sz w:val="16"/>
                <w:szCs w:val="16"/>
              </w:rPr>
              <w:t>Zweck der Tätigkeit</w:t>
            </w:r>
          </w:p>
        </w:tc>
        <w:tc>
          <w:tcPr>
            <w:tcW w:w="1984" w:type="dxa"/>
          </w:tcPr>
          <w:p w14:paraId="04073653" w14:textId="77777777" w:rsidR="00424F87" w:rsidRPr="00A43EA1" w:rsidRDefault="00424F87" w:rsidP="00C30F9D">
            <w:pPr>
              <w:jc w:val="left"/>
              <w:rPr>
                <w:rFonts w:cs="Arial"/>
                <w:bCs/>
                <w:sz w:val="16"/>
                <w:szCs w:val="16"/>
              </w:rPr>
            </w:pPr>
            <w:r w:rsidRPr="00A43EA1">
              <w:rPr>
                <w:rFonts w:cs="Arial"/>
                <w:bCs/>
                <w:sz w:val="16"/>
                <w:szCs w:val="16"/>
              </w:rPr>
              <w:t>Teilnehmende Länder/Organisationen (Anzahl der Teilnehmer aus jedem Land)</w:t>
            </w:r>
          </w:p>
        </w:tc>
      </w:tr>
      <w:tr w:rsidR="00424F87" w:rsidRPr="00A43EA1" w14:paraId="4B18D735" w14:textId="77777777" w:rsidTr="00D31C10">
        <w:tc>
          <w:tcPr>
            <w:tcW w:w="1696" w:type="dxa"/>
          </w:tcPr>
          <w:p w14:paraId="72C6E8C4" w14:textId="77777777" w:rsidR="00424F87" w:rsidRPr="00A43EA1" w:rsidRDefault="00424F87" w:rsidP="00C30F9D">
            <w:pPr>
              <w:jc w:val="left"/>
              <w:rPr>
                <w:rFonts w:cs="Arial"/>
                <w:sz w:val="16"/>
                <w:szCs w:val="16"/>
              </w:rPr>
            </w:pPr>
            <w:r w:rsidRPr="00A43EA1">
              <w:rPr>
                <w:rFonts w:cs="Arial"/>
                <w:sz w:val="16"/>
                <w:szCs w:val="16"/>
              </w:rPr>
              <w:t>1. Seminar zur Sensibilisierung für Sortenschutz</w:t>
            </w:r>
          </w:p>
        </w:tc>
        <w:tc>
          <w:tcPr>
            <w:tcW w:w="992" w:type="dxa"/>
          </w:tcPr>
          <w:p w14:paraId="53DC8AEF" w14:textId="77777777" w:rsidR="00424F87" w:rsidRPr="00A43EA1" w:rsidRDefault="00424F87" w:rsidP="00C30F9D">
            <w:pPr>
              <w:jc w:val="left"/>
              <w:rPr>
                <w:rFonts w:cs="Arial"/>
                <w:sz w:val="16"/>
                <w:szCs w:val="16"/>
              </w:rPr>
            </w:pPr>
            <w:r w:rsidRPr="00A43EA1">
              <w:rPr>
                <w:rFonts w:cs="Arial"/>
                <w:bCs/>
                <w:sz w:val="16"/>
                <w:szCs w:val="16"/>
              </w:rPr>
              <w:t>19.12.2012</w:t>
            </w:r>
          </w:p>
        </w:tc>
        <w:tc>
          <w:tcPr>
            <w:tcW w:w="1134" w:type="dxa"/>
          </w:tcPr>
          <w:p w14:paraId="4ECAC3AC" w14:textId="77777777" w:rsidR="00424F87" w:rsidRPr="00A43EA1" w:rsidRDefault="00424F87" w:rsidP="00C30F9D">
            <w:pPr>
              <w:jc w:val="left"/>
              <w:rPr>
                <w:rFonts w:cs="Arial"/>
                <w:sz w:val="16"/>
                <w:szCs w:val="16"/>
              </w:rPr>
            </w:pPr>
            <w:r w:rsidRPr="00A43EA1">
              <w:rPr>
                <w:rFonts w:cs="Arial"/>
                <w:sz w:val="16"/>
                <w:szCs w:val="16"/>
              </w:rPr>
              <w:t>DAR, Yezin, Naypyitaw, Myanmar</w:t>
            </w:r>
          </w:p>
        </w:tc>
        <w:tc>
          <w:tcPr>
            <w:tcW w:w="1701" w:type="dxa"/>
          </w:tcPr>
          <w:p w14:paraId="53C176F3" w14:textId="77777777" w:rsidR="00424F87" w:rsidRPr="00A43EA1" w:rsidRDefault="00424F87" w:rsidP="00C30F9D">
            <w:pPr>
              <w:jc w:val="left"/>
              <w:rPr>
                <w:rFonts w:cs="Arial"/>
                <w:sz w:val="16"/>
                <w:szCs w:val="16"/>
              </w:rPr>
            </w:pPr>
            <w:r w:rsidRPr="00A43EA1">
              <w:rPr>
                <w:rFonts w:cs="Arial"/>
                <w:bCs/>
                <w:sz w:val="16"/>
                <w:szCs w:val="16"/>
              </w:rPr>
              <w:t>gemeinsam organisiert von UPOV, MAFF Japan, MOAI Myanmar</w:t>
            </w:r>
          </w:p>
        </w:tc>
        <w:tc>
          <w:tcPr>
            <w:tcW w:w="2410" w:type="dxa"/>
          </w:tcPr>
          <w:p w14:paraId="3FFD1D79" w14:textId="77777777" w:rsidR="00424F87" w:rsidRPr="00A43EA1" w:rsidRDefault="00424F87" w:rsidP="00C30F9D">
            <w:pPr>
              <w:jc w:val="left"/>
              <w:rPr>
                <w:rFonts w:cs="Arial"/>
                <w:sz w:val="16"/>
                <w:szCs w:val="16"/>
              </w:rPr>
            </w:pPr>
            <w:r w:rsidRPr="00A43EA1">
              <w:rPr>
                <w:rFonts w:cs="Arial"/>
                <w:sz w:val="16"/>
                <w:szCs w:val="16"/>
              </w:rPr>
              <w:t>Sensibilisierung der verschiedenen Interessengruppen in Myanmar für das Sortenschutzsystem</w:t>
            </w:r>
          </w:p>
        </w:tc>
        <w:tc>
          <w:tcPr>
            <w:tcW w:w="1984" w:type="dxa"/>
          </w:tcPr>
          <w:p w14:paraId="6C607296" w14:textId="77777777" w:rsidR="00424F87" w:rsidRPr="00A43EA1" w:rsidRDefault="00424F87" w:rsidP="00C30F9D">
            <w:pPr>
              <w:jc w:val="left"/>
              <w:rPr>
                <w:rFonts w:cs="Arial"/>
                <w:sz w:val="16"/>
                <w:szCs w:val="16"/>
              </w:rPr>
            </w:pPr>
            <w:r w:rsidRPr="00A43EA1">
              <w:rPr>
                <w:rFonts w:cs="Arial"/>
                <w:sz w:val="16"/>
                <w:szCs w:val="16"/>
              </w:rPr>
              <w:t>Japan, UPOV-Büro und örtliche Teilnehmer (100)</w:t>
            </w:r>
          </w:p>
        </w:tc>
      </w:tr>
      <w:tr w:rsidR="00424F87" w:rsidRPr="00A43EA1" w14:paraId="409FE7F3" w14:textId="77777777" w:rsidTr="00D31C10">
        <w:tc>
          <w:tcPr>
            <w:tcW w:w="1696" w:type="dxa"/>
          </w:tcPr>
          <w:p w14:paraId="1304E9B1" w14:textId="77777777" w:rsidR="00424F87" w:rsidRPr="00A43EA1" w:rsidRDefault="00424F87" w:rsidP="00C30F9D">
            <w:pPr>
              <w:jc w:val="left"/>
              <w:rPr>
                <w:rFonts w:cs="Arial"/>
                <w:sz w:val="16"/>
                <w:szCs w:val="16"/>
              </w:rPr>
            </w:pPr>
            <w:r w:rsidRPr="00A43EA1">
              <w:rPr>
                <w:rFonts w:cs="Arial"/>
                <w:sz w:val="16"/>
                <w:szCs w:val="16"/>
              </w:rPr>
              <w:t>2. Seminar zur Sensibilisierung für Sortenschutz</w:t>
            </w:r>
          </w:p>
        </w:tc>
        <w:tc>
          <w:tcPr>
            <w:tcW w:w="992" w:type="dxa"/>
          </w:tcPr>
          <w:p w14:paraId="3E85F22F" w14:textId="77777777" w:rsidR="00424F87" w:rsidRPr="00A43EA1" w:rsidRDefault="00424F87" w:rsidP="00C30F9D">
            <w:pPr>
              <w:jc w:val="left"/>
              <w:rPr>
                <w:rFonts w:cs="Arial"/>
                <w:sz w:val="16"/>
                <w:szCs w:val="16"/>
              </w:rPr>
            </w:pPr>
            <w:r w:rsidRPr="00A43EA1">
              <w:rPr>
                <w:rFonts w:cs="Arial"/>
                <w:bCs/>
                <w:sz w:val="16"/>
                <w:szCs w:val="16"/>
              </w:rPr>
              <w:t>5.12.2016</w:t>
            </w:r>
          </w:p>
        </w:tc>
        <w:tc>
          <w:tcPr>
            <w:tcW w:w="1134" w:type="dxa"/>
          </w:tcPr>
          <w:p w14:paraId="33A8C878" w14:textId="77777777" w:rsidR="00424F87" w:rsidRPr="00A43EA1" w:rsidRDefault="00424F87" w:rsidP="00C30F9D">
            <w:pPr>
              <w:jc w:val="left"/>
              <w:rPr>
                <w:rFonts w:cs="Arial"/>
                <w:sz w:val="16"/>
                <w:szCs w:val="16"/>
              </w:rPr>
            </w:pPr>
            <w:r w:rsidRPr="00A43EA1">
              <w:rPr>
                <w:rFonts w:cs="Arial"/>
                <w:sz w:val="16"/>
                <w:szCs w:val="16"/>
              </w:rPr>
              <w:t>DAR, Yezin, Naypyitaw, Myanmar</w:t>
            </w:r>
          </w:p>
        </w:tc>
        <w:tc>
          <w:tcPr>
            <w:tcW w:w="1701" w:type="dxa"/>
          </w:tcPr>
          <w:p w14:paraId="6D1F83CD" w14:textId="77777777" w:rsidR="00424F87" w:rsidRPr="00A43EA1" w:rsidRDefault="00424F87" w:rsidP="00C30F9D">
            <w:pPr>
              <w:jc w:val="left"/>
              <w:rPr>
                <w:rFonts w:cs="Arial"/>
                <w:sz w:val="16"/>
                <w:szCs w:val="16"/>
              </w:rPr>
            </w:pPr>
            <w:r w:rsidRPr="00A43EA1">
              <w:rPr>
                <w:rFonts w:cs="Arial"/>
                <w:bCs/>
                <w:sz w:val="16"/>
                <w:szCs w:val="16"/>
              </w:rPr>
              <w:t>gemeinsam organisiert von UPOV, MAFF Japan, MOAI Myanmar</w:t>
            </w:r>
          </w:p>
        </w:tc>
        <w:tc>
          <w:tcPr>
            <w:tcW w:w="2410" w:type="dxa"/>
          </w:tcPr>
          <w:p w14:paraId="6D103200" w14:textId="77777777" w:rsidR="00424F87" w:rsidRPr="00A43EA1" w:rsidRDefault="00424F87" w:rsidP="00C30F9D">
            <w:pPr>
              <w:jc w:val="left"/>
              <w:rPr>
                <w:rFonts w:cs="Arial"/>
                <w:sz w:val="16"/>
                <w:szCs w:val="16"/>
              </w:rPr>
            </w:pPr>
            <w:r w:rsidRPr="00A43EA1">
              <w:rPr>
                <w:rFonts w:cs="Arial"/>
                <w:sz w:val="16"/>
                <w:szCs w:val="16"/>
              </w:rPr>
              <w:t>Sensibilisierung der verschiedenen Interessengruppen in Myanmar für das Sortenschutzsystem</w:t>
            </w:r>
          </w:p>
        </w:tc>
        <w:tc>
          <w:tcPr>
            <w:tcW w:w="1984" w:type="dxa"/>
          </w:tcPr>
          <w:p w14:paraId="215B24CF" w14:textId="77777777" w:rsidR="00424F87" w:rsidRPr="00A43EA1" w:rsidRDefault="00424F87" w:rsidP="00C30F9D">
            <w:pPr>
              <w:jc w:val="left"/>
              <w:rPr>
                <w:rFonts w:cs="Arial"/>
                <w:sz w:val="16"/>
                <w:szCs w:val="16"/>
              </w:rPr>
            </w:pPr>
            <w:r w:rsidRPr="00A43EA1">
              <w:rPr>
                <w:rFonts w:cs="Arial"/>
                <w:sz w:val="16"/>
                <w:szCs w:val="16"/>
              </w:rPr>
              <w:t>Japan, UPOV-Büro und örtliche Teilnehmer (100)</w:t>
            </w:r>
          </w:p>
        </w:tc>
      </w:tr>
      <w:tr w:rsidR="00424F87" w:rsidRPr="00A43EA1" w14:paraId="29C483D7" w14:textId="77777777" w:rsidTr="00D31C10">
        <w:tc>
          <w:tcPr>
            <w:tcW w:w="1696" w:type="dxa"/>
          </w:tcPr>
          <w:p w14:paraId="51922B72" w14:textId="77777777" w:rsidR="00424F87" w:rsidRPr="00A43EA1" w:rsidRDefault="00424F87" w:rsidP="00C30F9D">
            <w:pPr>
              <w:jc w:val="left"/>
              <w:rPr>
                <w:rFonts w:cs="Arial"/>
                <w:sz w:val="16"/>
                <w:szCs w:val="16"/>
              </w:rPr>
            </w:pPr>
            <w:r w:rsidRPr="00A43EA1">
              <w:rPr>
                <w:rFonts w:cs="Arial"/>
                <w:sz w:val="16"/>
                <w:szCs w:val="16"/>
              </w:rPr>
              <w:t>3. Zehnte Sitzung des EAPVP-Forums</w:t>
            </w:r>
          </w:p>
        </w:tc>
        <w:tc>
          <w:tcPr>
            <w:tcW w:w="992" w:type="dxa"/>
          </w:tcPr>
          <w:p w14:paraId="6F9989E8" w14:textId="77777777" w:rsidR="00424F87" w:rsidRPr="00A43EA1" w:rsidRDefault="00424F87" w:rsidP="00C30F9D">
            <w:pPr>
              <w:jc w:val="left"/>
              <w:rPr>
                <w:rFonts w:cs="Arial"/>
                <w:sz w:val="16"/>
                <w:szCs w:val="16"/>
              </w:rPr>
            </w:pPr>
            <w:r w:rsidRPr="00A43EA1">
              <w:rPr>
                <w:rFonts w:cs="Arial"/>
                <w:bCs/>
                <w:sz w:val="16"/>
                <w:szCs w:val="16"/>
              </w:rPr>
              <w:t>10.9.2017</w:t>
            </w:r>
          </w:p>
        </w:tc>
        <w:tc>
          <w:tcPr>
            <w:tcW w:w="1134" w:type="dxa"/>
          </w:tcPr>
          <w:p w14:paraId="704C6CC9" w14:textId="77777777" w:rsidR="00424F87" w:rsidRPr="00A43EA1" w:rsidRDefault="00424F87" w:rsidP="00C30F9D">
            <w:pPr>
              <w:jc w:val="left"/>
              <w:rPr>
                <w:rFonts w:cs="Arial"/>
                <w:sz w:val="16"/>
                <w:szCs w:val="16"/>
              </w:rPr>
            </w:pPr>
            <w:r w:rsidRPr="00A43EA1">
              <w:rPr>
                <w:rFonts w:cs="Arial"/>
                <w:sz w:val="16"/>
                <w:szCs w:val="16"/>
              </w:rPr>
              <w:t>DAR, Yezin, Naypyitaw, Myanmar</w:t>
            </w:r>
          </w:p>
        </w:tc>
        <w:tc>
          <w:tcPr>
            <w:tcW w:w="1701" w:type="dxa"/>
          </w:tcPr>
          <w:p w14:paraId="3EF63D40" w14:textId="77777777" w:rsidR="00424F87" w:rsidRPr="00A43EA1" w:rsidRDefault="00424F87" w:rsidP="00C30F9D">
            <w:pPr>
              <w:jc w:val="left"/>
              <w:rPr>
                <w:rFonts w:cs="Arial"/>
                <w:sz w:val="16"/>
                <w:szCs w:val="16"/>
              </w:rPr>
            </w:pPr>
            <w:r w:rsidRPr="00A43EA1">
              <w:rPr>
                <w:rFonts w:cs="Arial"/>
                <w:bCs/>
                <w:sz w:val="16"/>
                <w:szCs w:val="16"/>
              </w:rPr>
              <w:t>gemeinsam organisiert von UPOV, MAFF Japan, MOAI Myanmar</w:t>
            </w:r>
          </w:p>
        </w:tc>
        <w:tc>
          <w:tcPr>
            <w:tcW w:w="2410" w:type="dxa"/>
          </w:tcPr>
          <w:p w14:paraId="07989F30" w14:textId="7BA5A814" w:rsidR="00424F87" w:rsidRPr="00A43EA1" w:rsidRDefault="00424F87" w:rsidP="00C30F9D">
            <w:pPr>
              <w:jc w:val="left"/>
              <w:rPr>
                <w:rFonts w:cs="Arial"/>
                <w:sz w:val="16"/>
                <w:szCs w:val="16"/>
              </w:rPr>
            </w:pPr>
            <w:r w:rsidRPr="00A43EA1">
              <w:rPr>
                <w:rFonts w:cs="Arial"/>
                <w:sz w:val="16"/>
                <w:szCs w:val="16"/>
              </w:rPr>
              <w:t>10 Treffen des EAPVP-Forums als Gastgeber</w:t>
            </w:r>
          </w:p>
          <w:p w14:paraId="051FAD3D" w14:textId="77777777" w:rsidR="00424F87" w:rsidRPr="00A43EA1" w:rsidRDefault="00424F87" w:rsidP="00C30F9D">
            <w:pPr>
              <w:jc w:val="left"/>
              <w:rPr>
                <w:rFonts w:cs="Arial"/>
                <w:sz w:val="16"/>
                <w:szCs w:val="16"/>
              </w:rPr>
            </w:pPr>
          </w:p>
        </w:tc>
        <w:tc>
          <w:tcPr>
            <w:tcW w:w="1984" w:type="dxa"/>
          </w:tcPr>
          <w:p w14:paraId="2B45A480" w14:textId="77777777" w:rsidR="00424F87" w:rsidRPr="00A43EA1" w:rsidRDefault="00424F87" w:rsidP="00C30F9D">
            <w:pPr>
              <w:jc w:val="left"/>
              <w:rPr>
                <w:rFonts w:cs="Arial"/>
                <w:sz w:val="16"/>
                <w:szCs w:val="16"/>
              </w:rPr>
            </w:pPr>
            <w:r w:rsidRPr="00A43EA1">
              <w:rPr>
                <w:rFonts w:cs="Arial"/>
                <w:sz w:val="16"/>
                <w:szCs w:val="16"/>
              </w:rPr>
              <w:t xml:space="preserve">Alle EAPVP-Delegierten, UPOV, CPVO, Naktuinbouw und lokale Teilnehmer (100) </w:t>
            </w:r>
          </w:p>
        </w:tc>
      </w:tr>
      <w:tr w:rsidR="00424F87" w:rsidRPr="00A43EA1" w14:paraId="16987A36" w14:textId="77777777" w:rsidTr="00D31C10">
        <w:tc>
          <w:tcPr>
            <w:tcW w:w="1696" w:type="dxa"/>
          </w:tcPr>
          <w:p w14:paraId="73029190" w14:textId="77777777" w:rsidR="00424F87" w:rsidRPr="00A43EA1" w:rsidRDefault="00424F87" w:rsidP="00C30F9D">
            <w:pPr>
              <w:jc w:val="left"/>
              <w:rPr>
                <w:rFonts w:cs="Arial"/>
                <w:sz w:val="16"/>
                <w:szCs w:val="16"/>
              </w:rPr>
            </w:pPr>
            <w:r w:rsidRPr="00A43EA1">
              <w:rPr>
                <w:rFonts w:cs="Arial"/>
                <w:sz w:val="16"/>
                <w:szCs w:val="16"/>
              </w:rPr>
              <w:t>4. Seminar zur Sensibilisierung für Sortenschutz</w:t>
            </w:r>
          </w:p>
        </w:tc>
        <w:tc>
          <w:tcPr>
            <w:tcW w:w="992" w:type="dxa"/>
          </w:tcPr>
          <w:p w14:paraId="449745F0" w14:textId="77777777" w:rsidR="00424F87" w:rsidRPr="00A43EA1" w:rsidRDefault="00424F87" w:rsidP="00C30F9D">
            <w:pPr>
              <w:jc w:val="left"/>
              <w:rPr>
                <w:rFonts w:cs="Arial"/>
                <w:sz w:val="16"/>
                <w:szCs w:val="16"/>
              </w:rPr>
            </w:pPr>
            <w:r w:rsidRPr="00A43EA1">
              <w:rPr>
                <w:rFonts w:cs="Arial"/>
                <w:sz w:val="16"/>
                <w:szCs w:val="16"/>
              </w:rPr>
              <w:t>11.9.2017</w:t>
            </w:r>
          </w:p>
        </w:tc>
        <w:tc>
          <w:tcPr>
            <w:tcW w:w="1134" w:type="dxa"/>
          </w:tcPr>
          <w:p w14:paraId="7A62CF24" w14:textId="77777777" w:rsidR="00424F87" w:rsidRPr="00A43EA1" w:rsidRDefault="00424F87" w:rsidP="00C30F9D">
            <w:pPr>
              <w:jc w:val="left"/>
              <w:rPr>
                <w:rFonts w:cs="Arial"/>
                <w:sz w:val="16"/>
                <w:szCs w:val="16"/>
              </w:rPr>
            </w:pPr>
            <w:r w:rsidRPr="00A43EA1">
              <w:rPr>
                <w:rFonts w:cs="Arial"/>
                <w:sz w:val="16"/>
                <w:szCs w:val="16"/>
              </w:rPr>
              <w:t>DAR, Yezin Naypyitaw, Myanmar</w:t>
            </w:r>
          </w:p>
        </w:tc>
        <w:tc>
          <w:tcPr>
            <w:tcW w:w="1701" w:type="dxa"/>
          </w:tcPr>
          <w:p w14:paraId="3BB198CE" w14:textId="77777777" w:rsidR="00424F87" w:rsidRPr="00A43EA1" w:rsidRDefault="00424F87" w:rsidP="00C30F9D">
            <w:pPr>
              <w:jc w:val="left"/>
              <w:rPr>
                <w:rFonts w:cs="Arial"/>
                <w:sz w:val="16"/>
                <w:szCs w:val="16"/>
              </w:rPr>
            </w:pPr>
            <w:r w:rsidRPr="00A43EA1">
              <w:rPr>
                <w:rFonts w:cs="Arial"/>
                <w:bCs/>
                <w:sz w:val="16"/>
                <w:szCs w:val="16"/>
              </w:rPr>
              <w:t>gemeinsam organisiert von UPOV, MAFF Japan, MOAI Myanmar</w:t>
            </w:r>
          </w:p>
        </w:tc>
        <w:tc>
          <w:tcPr>
            <w:tcW w:w="2410" w:type="dxa"/>
          </w:tcPr>
          <w:p w14:paraId="273FF313" w14:textId="77777777" w:rsidR="00424F87" w:rsidRPr="00A43EA1" w:rsidRDefault="00424F87" w:rsidP="00C30F9D">
            <w:pPr>
              <w:jc w:val="left"/>
              <w:rPr>
                <w:rFonts w:cs="Arial"/>
                <w:sz w:val="16"/>
                <w:szCs w:val="16"/>
              </w:rPr>
            </w:pPr>
            <w:r w:rsidRPr="00A43EA1">
              <w:rPr>
                <w:rFonts w:cs="Arial"/>
                <w:sz w:val="16"/>
                <w:szCs w:val="16"/>
              </w:rPr>
              <w:t>Sensibilisierung der verschiedenen Interessengruppen in Myanmar für das Sortenschutzsystem</w:t>
            </w:r>
          </w:p>
        </w:tc>
        <w:tc>
          <w:tcPr>
            <w:tcW w:w="1984" w:type="dxa"/>
          </w:tcPr>
          <w:p w14:paraId="5B5CEA61" w14:textId="77777777" w:rsidR="00424F87" w:rsidRPr="00A43EA1" w:rsidRDefault="00424F87" w:rsidP="00C30F9D">
            <w:pPr>
              <w:jc w:val="left"/>
              <w:rPr>
                <w:rFonts w:cs="Arial"/>
                <w:sz w:val="16"/>
                <w:szCs w:val="16"/>
              </w:rPr>
            </w:pPr>
            <w:r w:rsidRPr="00A43EA1">
              <w:rPr>
                <w:rFonts w:cs="Arial"/>
                <w:sz w:val="16"/>
                <w:szCs w:val="16"/>
              </w:rPr>
              <w:t>Alle EAPVP-Delegierten, UPOV, CPVO, Naktuinbouw und lokale Teilnehmer (100)</w:t>
            </w:r>
          </w:p>
        </w:tc>
      </w:tr>
      <w:tr w:rsidR="00424F87" w:rsidRPr="00A43EA1" w14:paraId="67DA9BE5" w14:textId="77777777" w:rsidTr="00D31C10">
        <w:tc>
          <w:tcPr>
            <w:tcW w:w="1696" w:type="dxa"/>
          </w:tcPr>
          <w:p w14:paraId="72951D77" w14:textId="77777777" w:rsidR="00424F87" w:rsidRPr="00A43EA1" w:rsidRDefault="00424F87" w:rsidP="00C30F9D">
            <w:pPr>
              <w:jc w:val="left"/>
              <w:rPr>
                <w:rFonts w:cs="Arial"/>
                <w:sz w:val="16"/>
                <w:szCs w:val="16"/>
              </w:rPr>
            </w:pPr>
            <w:r w:rsidRPr="00A43EA1">
              <w:rPr>
                <w:rFonts w:cs="Arial"/>
                <w:sz w:val="16"/>
                <w:szCs w:val="16"/>
              </w:rPr>
              <w:lastRenderedPageBreak/>
              <w:t xml:space="preserve">5. </w:t>
            </w:r>
            <w:r w:rsidRPr="00A43EA1">
              <w:rPr>
                <w:rFonts w:cs="Arial"/>
                <w:bCs/>
                <w:sz w:val="16"/>
                <w:szCs w:val="16"/>
              </w:rPr>
              <w:t>Landesspezifischer Ausbildungslehrgang über TG für Mais</w:t>
            </w:r>
          </w:p>
        </w:tc>
        <w:tc>
          <w:tcPr>
            <w:tcW w:w="992" w:type="dxa"/>
          </w:tcPr>
          <w:p w14:paraId="5D9852BE" w14:textId="77777777" w:rsidR="00424F87" w:rsidRPr="00A43EA1" w:rsidRDefault="00424F87" w:rsidP="00C30F9D">
            <w:pPr>
              <w:jc w:val="left"/>
              <w:rPr>
                <w:rFonts w:cs="Arial"/>
                <w:bCs/>
                <w:sz w:val="16"/>
                <w:szCs w:val="16"/>
              </w:rPr>
            </w:pPr>
            <w:r w:rsidRPr="00A43EA1">
              <w:rPr>
                <w:rFonts w:cs="Arial"/>
                <w:bCs/>
                <w:sz w:val="16"/>
                <w:szCs w:val="16"/>
              </w:rPr>
              <w:t>22.1.2018-</w:t>
            </w:r>
          </w:p>
          <w:p w14:paraId="37AB2E3F" w14:textId="77777777" w:rsidR="00424F87" w:rsidRPr="00A43EA1" w:rsidRDefault="00424F87" w:rsidP="00C30F9D">
            <w:pPr>
              <w:jc w:val="left"/>
              <w:rPr>
                <w:rFonts w:cs="Arial"/>
                <w:sz w:val="16"/>
                <w:szCs w:val="16"/>
              </w:rPr>
            </w:pPr>
            <w:r w:rsidRPr="00A43EA1">
              <w:rPr>
                <w:rFonts w:cs="Arial"/>
                <w:bCs/>
                <w:sz w:val="16"/>
                <w:szCs w:val="16"/>
              </w:rPr>
              <w:t>26.1.2018</w:t>
            </w:r>
          </w:p>
        </w:tc>
        <w:tc>
          <w:tcPr>
            <w:tcW w:w="1134" w:type="dxa"/>
          </w:tcPr>
          <w:p w14:paraId="3D19FDF4" w14:textId="77777777" w:rsidR="00424F87" w:rsidRPr="00A43EA1" w:rsidRDefault="00424F87" w:rsidP="00C30F9D">
            <w:pPr>
              <w:jc w:val="left"/>
              <w:rPr>
                <w:rFonts w:cs="Arial"/>
                <w:sz w:val="16"/>
                <w:szCs w:val="16"/>
              </w:rPr>
            </w:pPr>
            <w:r w:rsidRPr="00A43EA1">
              <w:rPr>
                <w:rFonts w:cs="Arial"/>
                <w:bCs/>
                <w:sz w:val="16"/>
                <w:szCs w:val="16"/>
              </w:rPr>
              <w:t>DAR, Yezin, Naypyitaw, Myanmar</w:t>
            </w:r>
          </w:p>
        </w:tc>
        <w:tc>
          <w:tcPr>
            <w:tcW w:w="1701" w:type="dxa"/>
          </w:tcPr>
          <w:p w14:paraId="29305607" w14:textId="77777777" w:rsidR="00424F87" w:rsidRPr="00A43EA1" w:rsidRDefault="00424F87" w:rsidP="00C30F9D">
            <w:pPr>
              <w:jc w:val="left"/>
              <w:rPr>
                <w:rFonts w:cs="Arial"/>
                <w:sz w:val="16"/>
                <w:szCs w:val="16"/>
              </w:rPr>
            </w:pPr>
            <w:r w:rsidRPr="00A43EA1">
              <w:rPr>
                <w:rFonts w:cs="Arial"/>
                <w:bCs/>
                <w:sz w:val="16"/>
                <w:szCs w:val="16"/>
              </w:rPr>
              <w:t xml:space="preserve">organisiert von </w:t>
            </w:r>
            <w:r w:rsidRPr="00A43EA1">
              <w:rPr>
                <w:rFonts w:cs="Arial"/>
                <w:bCs/>
                <w:sz w:val="16"/>
                <w:szCs w:val="16"/>
              </w:rPr>
              <w:br/>
              <w:t xml:space="preserve">DAR, MOALI, Myanmar </w:t>
            </w:r>
            <w:r w:rsidRPr="00A43EA1">
              <w:rPr>
                <w:rFonts w:cs="Arial"/>
                <w:bCs/>
                <w:sz w:val="16"/>
                <w:szCs w:val="16"/>
              </w:rPr>
              <w:br/>
              <w:t xml:space="preserve">in Zusammenarbeit mit </w:t>
            </w:r>
            <w:r w:rsidRPr="00A43EA1">
              <w:rPr>
                <w:rFonts w:cs="Arial"/>
                <w:bCs/>
                <w:sz w:val="16"/>
                <w:szCs w:val="16"/>
              </w:rPr>
              <w:br/>
              <w:t>(MAFF), Japan</w:t>
            </w:r>
          </w:p>
        </w:tc>
        <w:tc>
          <w:tcPr>
            <w:tcW w:w="2410" w:type="dxa"/>
          </w:tcPr>
          <w:p w14:paraId="3E6122F5" w14:textId="77777777" w:rsidR="00424F87" w:rsidRPr="00A43EA1" w:rsidRDefault="00424F87" w:rsidP="00C30F9D">
            <w:pPr>
              <w:jc w:val="left"/>
              <w:rPr>
                <w:rFonts w:cs="Arial"/>
                <w:sz w:val="16"/>
                <w:szCs w:val="16"/>
              </w:rPr>
            </w:pPr>
            <w:r w:rsidRPr="00A43EA1">
              <w:rPr>
                <w:rFonts w:cs="Arial"/>
                <w:sz w:val="16"/>
                <w:szCs w:val="16"/>
              </w:rPr>
              <w:t>Wissen über die Vorbereitung von TG für die DUS-Prüfung</w:t>
            </w:r>
          </w:p>
        </w:tc>
        <w:tc>
          <w:tcPr>
            <w:tcW w:w="1984" w:type="dxa"/>
          </w:tcPr>
          <w:p w14:paraId="2F86F7BB" w14:textId="77777777" w:rsidR="00424F87" w:rsidRPr="00A43EA1" w:rsidRDefault="00424F87" w:rsidP="00C30F9D">
            <w:pPr>
              <w:jc w:val="left"/>
              <w:rPr>
                <w:rFonts w:cs="Arial"/>
                <w:sz w:val="16"/>
                <w:szCs w:val="16"/>
              </w:rPr>
            </w:pPr>
            <w:r w:rsidRPr="00A43EA1">
              <w:rPr>
                <w:rFonts w:cs="Arial"/>
                <w:sz w:val="16"/>
                <w:szCs w:val="16"/>
              </w:rPr>
              <w:t>Vietnamesische und japanische Experten und lokale Teilnehmer (30)</w:t>
            </w:r>
          </w:p>
        </w:tc>
      </w:tr>
      <w:tr w:rsidR="00424F87" w:rsidRPr="00A43EA1" w14:paraId="6764A1EA" w14:textId="77777777" w:rsidTr="00D31C10">
        <w:tc>
          <w:tcPr>
            <w:tcW w:w="1696" w:type="dxa"/>
          </w:tcPr>
          <w:p w14:paraId="489B8DA9" w14:textId="77777777" w:rsidR="00424F87" w:rsidRPr="00A43EA1" w:rsidRDefault="00424F87" w:rsidP="00C30F9D">
            <w:pPr>
              <w:jc w:val="left"/>
              <w:rPr>
                <w:rFonts w:cs="Arial"/>
                <w:sz w:val="16"/>
                <w:szCs w:val="16"/>
              </w:rPr>
            </w:pPr>
            <w:r w:rsidRPr="00A43EA1">
              <w:rPr>
                <w:rFonts w:cs="Arial"/>
                <w:bCs/>
                <w:sz w:val="16"/>
                <w:szCs w:val="16"/>
              </w:rPr>
              <w:t xml:space="preserve">6. Ausbildung im Sortenschutz (PVP) </w:t>
            </w:r>
          </w:p>
        </w:tc>
        <w:tc>
          <w:tcPr>
            <w:tcW w:w="992" w:type="dxa"/>
          </w:tcPr>
          <w:p w14:paraId="129674B3" w14:textId="77777777" w:rsidR="00424F87" w:rsidRPr="00A43EA1" w:rsidRDefault="00424F87" w:rsidP="00C30F9D">
            <w:pPr>
              <w:jc w:val="left"/>
              <w:rPr>
                <w:rFonts w:cs="Arial"/>
                <w:bCs/>
                <w:sz w:val="16"/>
                <w:szCs w:val="16"/>
              </w:rPr>
            </w:pPr>
            <w:r w:rsidRPr="00A43EA1">
              <w:rPr>
                <w:rFonts w:cs="Arial"/>
                <w:bCs/>
                <w:sz w:val="16"/>
                <w:szCs w:val="16"/>
              </w:rPr>
              <w:t>16.1.2017-</w:t>
            </w:r>
          </w:p>
          <w:p w14:paraId="3107A483" w14:textId="77777777" w:rsidR="00424F87" w:rsidRPr="00A43EA1" w:rsidRDefault="00424F87" w:rsidP="00C30F9D">
            <w:pPr>
              <w:jc w:val="left"/>
              <w:rPr>
                <w:rFonts w:cs="Arial"/>
                <w:bCs/>
                <w:sz w:val="16"/>
                <w:szCs w:val="16"/>
              </w:rPr>
            </w:pPr>
            <w:r w:rsidRPr="00A43EA1">
              <w:rPr>
                <w:rFonts w:cs="Arial"/>
                <w:bCs/>
                <w:sz w:val="16"/>
                <w:szCs w:val="16"/>
              </w:rPr>
              <w:t>27.1.2027</w:t>
            </w:r>
          </w:p>
        </w:tc>
        <w:tc>
          <w:tcPr>
            <w:tcW w:w="1134" w:type="dxa"/>
          </w:tcPr>
          <w:p w14:paraId="0D3EF2E2" w14:textId="77777777" w:rsidR="00424F87" w:rsidRPr="00A43EA1" w:rsidRDefault="00424F87" w:rsidP="00C30F9D">
            <w:pPr>
              <w:jc w:val="left"/>
              <w:rPr>
                <w:rFonts w:cs="Arial"/>
                <w:bCs/>
                <w:sz w:val="16"/>
                <w:szCs w:val="16"/>
              </w:rPr>
            </w:pPr>
            <w:r w:rsidRPr="00A43EA1">
              <w:rPr>
                <w:rFonts w:cs="Arial"/>
                <w:bCs/>
                <w:sz w:val="16"/>
                <w:szCs w:val="16"/>
              </w:rPr>
              <w:t>DAR, Yezin, Naypyiaw, Myanmar</w:t>
            </w:r>
          </w:p>
        </w:tc>
        <w:tc>
          <w:tcPr>
            <w:tcW w:w="1701" w:type="dxa"/>
          </w:tcPr>
          <w:p w14:paraId="42F891E8" w14:textId="77777777" w:rsidR="00424F87" w:rsidRPr="00A43EA1" w:rsidRDefault="00424F87" w:rsidP="00C30F9D">
            <w:pPr>
              <w:jc w:val="left"/>
              <w:rPr>
                <w:rFonts w:cs="Arial"/>
                <w:bCs/>
                <w:sz w:val="16"/>
                <w:szCs w:val="16"/>
              </w:rPr>
            </w:pPr>
            <w:r w:rsidRPr="00A43EA1">
              <w:rPr>
                <w:rFonts w:cs="Arial"/>
                <w:bCs/>
                <w:sz w:val="16"/>
                <w:szCs w:val="16"/>
              </w:rPr>
              <w:t xml:space="preserve">organisiert von </w:t>
            </w:r>
            <w:r w:rsidRPr="00A43EA1">
              <w:rPr>
                <w:rFonts w:cs="Arial"/>
                <w:bCs/>
                <w:sz w:val="16"/>
                <w:szCs w:val="16"/>
              </w:rPr>
              <w:br/>
              <w:t xml:space="preserve">DAR, MOALI, Myanmar </w:t>
            </w:r>
            <w:r w:rsidRPr="00A43EA1">
              <w:rPr>
                <w:rFonts w:cs="Arial"/>
                <w:bCs/>
                <w:sz w:val="16"/>
                <w:szCs w:val="16"/>
              </w:rPr>
              <w:br/>
              <w:t>in Zusammenarbeit mit Naktuinbouw (Niederlande)</w:t>
            </w:r>
          </w:p>
        </w:tc>
        <w:tc>
          <w:tcPr>
            <w:tcW w:w="2410" w:type="dxa"/>
          </w:tcPr>
          <w:p w14:paraId="550247E6" w14:textId="77777777" w:rsidR="00424F87" w:rsidRPr="00A43EA1" w:rsidRDefault="00424F87" w:rsidP="00C30F9D">
            <w:pPr>
              <w:jc w:val="left"/>
              <w:rPr>
                <w:rFonts w:cs="Arial"/>
                <w:sz w:val="16"/>
                <w:szCs w:val="16"/>
              </w:rPr>
            </w:pPr>
            <w:r w:rsidRPr="00A43EA1">
              <w:rPr>
                <w:rFonts w:cs="Arial"/>
                <w:sz w:val="16"/>
                <w:szCs w:val="16"/>
              </w:rPr>
              <w:t>Erwerb von Kenntnissen über das administrative und technische System des Sortenschutzes</w:t>
            </w:r>
          </w:p>
        </w:tc>
        <w:tc>
          <w:tcPr>
            <w:tcW w:w="1984" w:type="dxa"/>
          </w:tcPr>
          <w:p w14:paraId="538D1B7E" w14:textId="77777777" w:rsidR="00424F87" w:rsidRPr="00A43EA1" w:rsidRDefault="00424F87" w:rsidP="00C30F9D">
            <w:pPr>
              <w:jc w:val="left"/>
              <w:rPr>
                <w:rFonts w:cs="Arial"/>
                <w:sz w:val="16"/>
                <w:szCs w:val="16"/>
              </w:rPr>
            </w:pPr>
            <w:r w:rsidRPr="00A43EA1">
              <w:rPr>
                <w:rFonts w:cs="Arial"/>
                <w:sz w:val="16"/>
                <w:szCs w:val="16"/>
              </w:rPr>
              <w:t>Niederländische und lokale Experten und Teilnehmer (25)</w:t>
            </w:r>
          </w:p>
        </w:tc>
      </w:tr>
      <w:tr w:rsidR="00424F87" w:rsidRPr="00A43EA1" w14:paraId="7F81125E" w14:textId="77777777" w:rsidTr="00D31C10">
        <w:tc>
          <w:tcPr>
            <w:tcW w:w="1696" w:type="dxa"/>
          </w:tcPr>
          <w:p w14:paraId="1AA4727D" w14:textId="77777777" w:rsidR="00424F87" w:rsidRPr="00A43EA1" w:rsidRDefault="00424F87" w:rsidP="00C30F9D">
            <w:pPr>
              <w:jc w:val="left"/>
              <w:rPr>
                <w:rFonts w:cs="Arial"/>
                <w:bCs/>
                <w:sz w:val="16"/>
                <w:szCs w:val="16"/>
              </w:rPr>
            </w:pPr>
            <w:r w:rsidRPr="00A43EA1">
              <w:rPr>
                <w:rFonts w:cs="Arial"/>
                <w:bCs/>
                <w:sz w:val="16"/>
                <w:szCs w:val="16"/>
              </w:rPr>
              <w:t xml:space="preserve">7. Workshop zur umfassenden Sensibilisierung der Beteiligten für </w:t>
            </w:r>
            <w:r w:rsidRPr="00A43EA1">
              <w:rPr>
                <w:rFonts w:cs="Arial"/>
                <w:bCs/>
                <w:sz w:val="16"/>
                <w:szCs w:val="16"/>
              </w:rPr>
              <w:br/>
              <w:t xml:space="preserve">Sortenschutz - Fortschritte in Myanmar </w:t>
            </w:r>
          </w:p>
        </w:tc>
        <w:tc>
          <w:tcPr>
            <w:tcW w:w="992" w:type="dxa"/>
          </w:tcPr>
          <w:p w14:paraId="31C8EF24" w14:textId="77777777" w:rsidR="00424F87" w:rsidRPr="00A43EA1" w:rsidRDefault="00424F87" w:rsidP="00C30F9D">
            <w:pPr>
              <w:jc w:val="left"/>
              <w:rPr>
                <w:rFonts w:cs="Arial"/>
                <w:bCs/>
                <w:sz w:val="16"/>
                <w:szCs w:val="16"/>
              </w:rPr>
            </w:pPr>
            <w:r w:rsidRPr="00A43EA1">
              <w:rPr>
                <w:rFonts w:cs="Arial"/>
                <w:bCs/>
                <w:sz w:val="16"/>
                <w:szCs w:val="16"/>
              </w:rPr>
              <w:t>12.3.2019</w:t>
            </w:r>
          </w:p>
        </w:tc>
        <w:tc>
          <w:tcPr>
            <w:tcW w:w="1134" w:type="dxa"/>
          </w:tcPr>
          <w:p w14:paraId="048B07BB" w14:textId="77777777" w:rsidR="00424F87" w:rsidRPr="00A43EA1" w:rsidRDefault="00424F87" w:rsidP="00C30F9D">
            <w:pPr>
              <w:jc w:val="left"/>
              <w:rPr>
                <w:rFonts w:cs="Arial"/>
                <w:bCs/>
                <w:sz w:val="16"/>
                <w:szCs w:val="16"/>
              </w:rPr>
            </w:pPr>
            <w:r w:rsidRPr="00A43EA1">
              <w:rPr>
                <w:rFonts w:cs="Arial"/>
                <w:bCs/>
                <w:sz w:val="16"/>
                <w:szCs w:val="16"/>
              </w:rPr>
              <w:t>Royal Classis Hotel, Naypyitaw, Myanmar</w:t>
            </w:r>
          </w:p>
        </w:tc>
        <w:tc>
          <w:tcPr>
            <w:tcW w:w="1701" w:type="dxa"/>
          </w:tcPr>
          <w:p w14:paraId="64B447A1" w14:textId="77777777" w:rsidR="00424F87" w:rsidRPr="00A43EA1" w:rsidRDefault="00424F87" w:rsidP="00C30F9D">
            <w:pPr>
              <w:jc w:val="left"/>
              <w:rPr>
                <w:rFonts w:cs="Arial"/>
                <w:bCs/>
                <w:sz w:val="16"/>
                <w:szCs w:val="16"/>
              </w:rPr>
            </w:pPr>
            <w:r w:rsidRPr="00A43EA1">
              <w:rPr>
                <w:rFonts w:cs="Arial"/>
                <w:bCs/>
                <w:sz w:val="16"/>
                <w:szCs w:val="16"/>
              </w:rPr>
              <w:t xml:space="preserve">gemeinsam organisiert von DAR &amp; Singenta Stiftung </w:t>
            </w:r>
          </w:p>
        </w:tc>
        <w:tc>
          <w:tcPr>
            <w:tcW w:w="2410" w:type="dxa"/>
          </w:tcPr>
          <w:p w14:paraId="732CDC41" w14:textId="77777777" w:rsidR="00424F87" w:rsidRPr="00A43EA1" w:rsidRDefault="00424F87" w:rsidP="00C30F9D">
            <w:pPr>
              <w:jc w:val="left"/>
              <w:rPr>
                <w:rFonts w:cs="Arial"/>
                <w:sz w:val="16"/>
                <w:szCs w:val="16"/>
              </w:rPr>
            </w:pPr>
            <w:r w:rsidRPr="00A43EA1">
              <w:rPr>
                <w:rFonts w:cs="Arial"/>
                <w:sz w:val="16"/>
                <w:szCs w:val="16"/>
              </w:rPr>
              <w:t>Sensibilisierung der verschiedenen Interessengruppen in Myanmar für das Sortenschutzsystem</w:t>
            </w:r>
          </w:p>
        </w:tc>
        <w:tc>
          <w:tcPr>
            <w:tcW w:w="1984" w:type="dxa"/>
          </w:tcPr>
          <w:p w14:paraId="1B0A919E" w14:textId="77777777" w:rsidR="00424F87" w:rsidRPr="00A43EA1" w:rsidRDefault="00424F87" w:rsidP="00C30F9D">
            <w:pPr>
              <w:jc w:val="left"/>
              <w:rPr>
                <w:rFonts w:cs="Arial"/>
                <w:sz w:val="16"/>
                <w:szCs w:val="16"/>
              </w:rPr>
            </w:pPr>
            <w:r w:rsidRPr="00A43EA1">
              <w:rPr>
                <w:rFonts w:cs="Arial"/>
                <w:sz w:val="16"/>
                <w:szCs w:val="16"/>
              </w:rPr>
              <w:t>Vietnamesische und einheimische Experten und lokale Teilnehmer (70)</w:t>
            </w:r>
          </w:p>
        </w:tc>
      </w:tr>
      <w:tr w:rsidR="00424F87" w:rsidRPr="00A43EA1" w14:paraId="20BBBA5A" w14:textId="77777777" w:rsidTr="00D31C10">
        <w:tc>
          <w:tcPr>
            <w:tcW w:w="1696" w:type="dxa"/>
          </w:tcPr>
          <w:p w14:paraId="15AA944A" w14:textId="77777777" w:rsidR="00424F87" w:rsidRPr="00A43EA1" w:rsidRDefault="00424F87" w:rsidP="00C30F9D">
            <w:pPr>
              <w:jc w:val="left"/>
              <w:rPr>
                <w:rFonts w:cs="Arial"/>
                <w:bCs/>
                <w:sz w:val="16"/>
                <w:szCs w:val="16"/>
              </w:rPr>
            </w:pPr>
            <w:r w:rsidRPr="00A43EA1">
              <w:rPr>
                <w:rFonts w:cs="Arial"/>
                <w:bCs/>
                <w:sz w:val="16"/>
                <w:szCs w:val="16"/>
              </w:rPr>
              <w:t>8. Ausbildung im Lande zur Aufstellung von Vergleichssorten für 14 ausgewählte Pflanzen im Rahmen des EAPVP-Pilotprojekts</w:t>
            </w:r>
          </w:p>
        </w:tc>
        <w:tc>
          <w:tcPr>
            <w:tcW w:w="992" w:type="dxa"/>
          </w:tcPr>
          <w:p w14:paraId="4C07A357" w14:textId="77777777" w:rsidR="00424F87" w:rsidRPr="00A43EA1" w:rsidRDefault="00424F87" w:rsidP="00C30F9D">
            <w:pPr>
              <w:jc w:val="left"/>
              <w:rPr>
                <w:rFonts w:cs="Arial"/>
                <w:bCs/>
                <w:sz w:val="16"/>
                <w:szCs w:val="16"/>
              </w:rPr>
            </w:pPr>
            <w:r w:rsidRPr="00A43EA1">
              <w:rPr>
                <w:rFonts w:cs="Arial"/>
                <w:bCs/>
                <w:sz w:val="16"/>
                <w:szCs w:val="16"/>
              </w:rPr>
              <w:t>17.7. 2020-</w:t>
            </w:r>
          </w:p>
          <w:p w14:paraId="5C120CE2" w14:textId="77777777" w:rsidR="00424F87" w:rsidRPr="00A43EA1" w:rsidRDefault="00424F87" w:rsidP="00C30F9D">
            <w:pPr>
              <w:jc w:val="left"/>
              <w:rPr>
                <w:rFonts w:cs="Arial"/>
                <w:bCs/>
                <w:sz w:val="16"/>
                <w:szCs w:val="16"/>
              </w:rPr>
            </w:pPr>
            <w:r w:rsidRPr="00A43EA1">
              <w:rPr>
                <w:rFonts w:cs="Arial"/>
                <w:bCs/>
                <w:sz w:val="16"/>
                <w:szCs w:val="16"/>
              </w:rPr>
              <w:t>19.7.2020</w:t>
            </w:r>
          </w:p>
        </w:tc>
        <w:tc>
          <w:tcPr>
            <w:tcW w:w="1134" w:type="dxa"/>
          </w:tcPr>
          <w:p w14:paraId="3B85107F" w14:textId="77777777" w:rsidR="00424F87" w:rsidRPr="00A43EA1" w:rsidRDefault="00424F87" w:rsidP="00C30F9D">
            <w:pPr>
              <w:jc w:val="left"/>
              <w:rPr>
                <w:rFonts w:cs="Arial"/>
                <w:bCs/>
                <w:sz w:val="16"/>
                <w:szCs w:val="16"/>
              </w:rPr>
            </w:pPr>
            <w:r w:rsidRPr="00A43EA1">
              <w:rPr>
                <w:rFonts w:cs="Arial"/>
                <w:bCs/>
                <w:sz w:val="16"/>
                <w:szCs w:val="16"/>
              </w:rPr>
              <w:t>DAR, Yezin, Naypyiaw, Myanmar</w:t>
            </w:r>
          </w:p>
        </w:tc>
        <w:tc>
          <w:tcPr>
            <w:tcW w:w="1701" w:type="dxa"/>
          </w:tcPr>
          <w:p w14:paraId="7AD69C2B" w14:textId="77777777" w:rsidR="00424F87" w:rsidRPr="00A43EA1" w:rsidRDefault="00424F87" w:rsidP="00C30F9D">
            <w:pPr>
              <w:jc w:val="left"/>
              <w:rPr>
                <w:rFonts w:cs="Arial"/>
                <w:bCs/>
                <w:sz w:val="16"/>
                <w:szCs w:val="16"/>
              </w:rPr>
            </w:pPr>
            <w:r w:rsidRPr="00A43EA1">
              <w:rPr>
                <w:rFonts w:cs="Arial"/>
                <w:bCs/>
                <w:sz w:val="16"/>
                <w:szCs w:val="16"/>
              </w:rPr>
              <w:t>gemeinsam organisiert von DAR &amp; Singenta Stiftung</w:t>
            </w:r>
          </w:p>
        </w:tc>
        <w:tc>
          <w:tcPr>
            <w:tcW w:w="2410" w:type="dxa"/>
          </w:tcPr>
          <w:p w14:paraId="16321B21" w14:textId="66D7A42F" w:rsidR="00424F87" w:rsidRPr="00A43EA1" w:rsidRDefault="00424F87" w:rsidP="00C30F9D">
            <w:pPr>
              <w:jc w:val="left"/>
              <w:rPr>
                <w:rFonts w:cs="Arial"/>
                <w:sz w:val="16"/>
                <w:szCs w:val="16"/>
              </w:rPr>
            </w:pPr>
            <w:r w:rsidRPr="00A43EA1">
              <w:rPr>
                <w:rFonts w:cs="Arial"/>
                <w:bCs/>
                <w:sz w:val="16"/>
                <w:szCs w:val="16"/>
              </w:rPr>
              <w:t>Aufstellung von Vergleichssorten für 14 ausgewählte Kulturpflanzen</w:t>
            </w:r>
          </w:p>
        </w:tc>
        <w:tc>
          <w:tcPr>
            <w:tcW w:w="1984" w:type="dxa"/>
          </w:tcPr>
          <w:p w14:paraId="1B477E0F" w14:textId="77777777" w:rsidR="00424F87" w:rsidRPr="00A43EA1" w:rsidRDefault="00424F87" w:rsidP="00C30F9D">
            <w:pPr>
              <w:jc w:val="left"/>
              <w:rPr>
                <w:rFonts w:cs="Arial"/>
                <w:sz w:val="16"/>
                <w:szCs w:val="16"/>
              </w:rPr>
            </w:pPr>
            <w:r w:rsidRPr="00A43EA1">
              <w:rPr>
                <w:rFonts w:cs="Arial"/>
                <w:sz w:val="16"/>
                <w:szCs w:val="16"/>
              </w:rPr>
              <w:t>Lokale Experten und lokale Teilnehmer (50)</w:t>
            </w:r>
          </w:p>
        </w:tc>
      </w:tr>
    </w:tbl>
    <w:p w14:paraId="5CE8CB50" w14:textId="77777777" w:rsidR="00424F87" w:rsidRPr="00A43EA1" w:rsidRDefault="00424F87" w:rsidP="00424F87"/>
    <w:p w14:paraId="69CC93E0" w14:textId="77777777" w:rsidR="00424F87" w:rsidRPr="00A43EA1" w:rsidRDefault="00424F87" w:rsidP="00424F87">
      <w:pPr>
        <w:jc w:val="left"/>
      </w:pPr>
    </w:p>
    <w:p w14:paraId="6851F414" w14:textId="77777777" w:rsidR="00424F87" w:rsidRPr="00A43EA1" w:rsidRDefault="00424F87" w:rsidP="00424F87">
      <w:pPr>
        <w:jc w:val="left"/>
      </w:pPr>
    </w:p>
    <w:p w14:paraId="2B0D9F33" w14:textId="6ECF4C66" w:rsidR="00424F87" w:rsidRPr="00A43EA1" w:rsidRDefault="00424F87" w:rsidP="00424F87">
      <w:pPr>
        <w:jc w:val="right"/>
      </w:pPr>
      <w:r w:rsidRPr="00A43EA1">
        <w:t>[</w:t>
      </w:r>
      <w:r w:rsidR="009E6E5A">
        <w:t>Anlage</w:t>
      </w:r>
      <w:r w:rsidRPr="00A43EA1">
        <w:t xml:space="preserve"> XX folgt]</w:t>
      </w:r>
    </w:p>
    <w:p w14:paraId="44A12BA3" w14:textId="77777777" w:rsidR="00424F87" w:rsidRPr="00A43EA1" w:rsidRDefault="00424F87" w:rsidP="00424F87">
      <w:pPr>
        <w:jc w:val="center"/>
        <w:sectPr w:rsidR="00424F87" w:rsidRPr="00A43EA1" w:rsidSect="00ED43FD">
          <w:headerReference w:type="default" r:id="rId53"/>
          <w:pgSz w:w="11907" w:h="16840" w:code="9"/>
          <w:pgMar w:top="510" w:right="1134" w:bottom="709" w:left="1134" w:header="510" w:footer="680" w:gutter="0"/>
          <w:pgNumType w:start="1"/>
          <w:cols w:space="720"/>
          <w:titlePg/>
          <w:docGrid w:linePitch="272"/>
        </w:sectPr>
      </w:pPr>
    </w:p>
    <w:p w14:paraId="7613EA52" w14:textId="77777777" w:rsidR="00424F87" w:rsidRPr="00A43EA1" w:rsidRDefault="00424F87" w:rsidP="00424F87">
      <w:pPr>
        <w:jc w:val="center"/>
      </w:pPr>
      <w:r w:rsidRPr="00A43EA1">
        <w:lastRenderedPageBreak/>
        <w:t>C/57/13</w:t>
      </w:r>
    </w:p>
    <w:p w14:paraId="75115162" w14:textId="77777777" w:rsidR="00424F87" w:rsidRPr="00A43EA1" w:rsidRDefault="00424F87" w:rsidP="00424F87">
      <w:pPr>
        <w:jc w:val="center"/>
      </w:pPr>
    </w:p>
    <w:p w14:paraId="346C17B6" w14:textId="17517E31" w:rsidR="00424F87" w:rsidRPr="00A43EA1" w:rsidRDefault="009E6E5A" w:rsidP="00424F87">
      <w:pPr>
        <w:jc w:val="center"/>
      </w:pPr>
      <w:r>
        <w:t>ANLAGE</w:t>
      </w:r>
      <w:r w:rsidR="00424F87" w:rsidRPr="00A43EA1">
        <w:t xml:space="preserve"> XX</w:t>
      </w:r>
    </w:p>
    <w:p w14:paraId="31D66561" w14:textId="77777777" w:rsidR="00424F87" w:rsidRPr="00A43EA1" w:rsidRDefault="00424F87" w:rsidP="00424F87">
      <w:pPr>
        <w:jc w:val="center"/>
      </w:pPr>
    </w:p>
    <w:p w14:paraId="08FBFFED" w14:textId="77777777" w:rsidR="00424F87" w:rsidRPr="00A43EA1" w:rsidRDefault="00424F87" w:rsidP="00424F87">
      <w:pPr>
        <w:jc w:val="center"/>
      </w:pPr>
    </w:p>
    <w:p w14:paraId="4695D7BA" w14:textId="3EB0FA50" w:rsidR="00424F87" w:rsidRPr="00A43EA1" w:rsidRDefault="00D972B7" w:rsidP="00424F87">
      <w:pPr>
        <w:jc w:val="center"/>
      </w:pPr>
      <w:r w:rsidRPr="00D972B7">
        <w:t>SIMBABWE</w:t>
      </w:r>
    </w:p>
    <w:p w14:paraId="4D949CAB" w14:textId="77777777" w:rsidR="00424F87" w:rsidRPr="00A43EA1" w:rsidRDefault="00424F87" w:rsidP="00424F87">
      <w:pPr>
        <w:jc w:val="center"/>
      </w:pPr>
      <w:r w:rsidRPr="00A43EA1">
        <w:t>(Originalsprache: englisch)</w:t>
      </w:r>
    </w:p>
    <w:p w14:paraId="594B2BCB" w14:textId="77777777" w:rsidR="00424F87" w:rsidRPr="00A43EA1" w:rsidRDefault="00424F87" w:rsidP="00424F87"/>
    <w:p w14:paraId="33DBF9F1" w14:textId="77777777" w:rsidR="00424F87" w:rsidRPr="00A43EA1" w:rsidRDefault="00424F87" w:rsidP="006678D2">
      <w:pPr>
        <w:pStyle w:val="Disclaimer"/>
        <w:spacing w:after="360"/>
        <w:jc w:val="center"/>
        <w:rPr>
          <w:sz w:val="18"/>
          <w:szCs w:val="18"/>
        </w:rPr>
      </w:pPr>
      <w:r w:rsidRPr="00A43EA1">
        <w:rPr>
          <w:sz w:val="18"/>
          <w:szCs w:val="18"/>
        </w:rPr>
        <w:t>Diese Übersetzung wurde mit Hilfe einer maschinellen Übersetzung erstellt, und die Genauigkeit kann nicht garantiert werden. Daher ist der Text in der Originalsprache die einzige authentische Version.</w:t>
      </w:r>
    </w:p>
    <w:p w14:paraId="57B270D7" w14:textId="77777777" w:rsidR="00424F87" w:rsidRPr="00A43EA1" w:rsidRDefault="00424F87" w:rsidP="00424F87">
      <w:r w:rsidRPr="00A43EA1">
        <w:t>SORTENSCHUTZ</w:t>
      </w:r>
    </w:p>
    <w:p w14:paraId="739FCDA1" w14:textId="77777777" w:rsidR="00424F87" w:rsidRPr="00A43EA1" w:rsidRDefault="00424F87" w:rsidP="00424F87"/>
    <w:p w14:paraId="54A09E69" w14:textId="77777777" w:rsidR="00424F87" w:rsidRPr="00A43EA1" w:rsidRDefault="00424F87" w:rsidP="00424F87">
      <w:pPr>
        <w:rPr>
          <w:u w:val="single"/>
        </w:rPr>
      </w:pPr>
      <w:r w:rsidRPr="00A43EA1">
        <w:t>1.</w:t>
      </w:r>
      <w:r w:rsidRPr="00A43EA1">
        <w:tab/>
      </w:r>
      <w:r w:rsidRPr="00A43EA1">
        <w:rPr>
          <w:u w:val="single"/>
        </w:rPr>
        <w:t>Lage auf dem Gebiet der Gesetzgebung</w:t>
      </w:r>
    </w:p>
    <w:p w14:paraId="30EA04FA" w14:textId="77777777" w:rsidR="00424F87" w:rsidRPr="00A43EA1" w:rsidRDefault="00424F87" w:rsidP="00424F87"/>
    <w:p w14:paraId="1CCDB4B4" w14:textId="77777777" w:rsidR="00424F87" w:rsidRPr="00A43EA1" w:rsidRDefault="00424F87" w:rsidP="00424F87">
      <w:r w:rsidRPr="00A43EA1">
        <w:t>1.1</w:t>
      </w:r>
      <w:r w:rsidRPr="00A43EA1">
        <w:tab/>
        <w:t xml:space="preserve">Änderung des Gesetzes und der Durchführungsbestimmungen </w:t>
      </w:r>
    </w:p>
    <w:p w14:paraId="1A9A149E" w14:textId="77777777" w:rsidR="00424F87" w:rsidRPr="00A43EA1" w:rsidRDefault="00424F87" w:rsidP="00424F87"/>
    <w:p w14:paraId="24159FDB" w14:textId="77777777" w:rsidR="00424F87" w:rsidRPr="00A43EA1" w:rsidRDefault="00424F87" w:rsidP="00424F87">
      <w:pPr>
        <w:pStyle w:val="ListParagraph"/>
        <w:numPr>
          <w:ilvl w:val="0"/>
          <w:numId w:val="38"/>
        </w:numPr>
        <w:spacing w:after="120"/>
        <w:ind w:left="714" w:hanging="357"/>
        <w:contextualSpacing w:val="0"/>
        <w:rPr>
          <w:lang w:val="de-DE"/>
        </w:rPr>
      </w:pPr>
      <w:r w:rsidRPr="00A43EA1">
        <w:rPr>
          <w:lang w:val="de-DE"/>
        </w:rPr>
        <w:t>Die Durchführungsverordnung ist der Plant Breeders Rights Act [Kapitel 18 :16]</w:t>
      </w:r>
    </w:p>
    <w:p w14:paraId="6CA25FB6" w14:textId="77777777" w:rsidR="00424F87" w:rsidRPr="00A43EA1" w:rsidRDefault="00424F87" w:rsidP="00424F87">
      <w:pPr>
        <w:pStyle w:val="ListParagraph"/>
        <w:numPr>
          <w:ilvl w:val="0"/>
          <w:numId w:val="38"/>
        </w:numPr>
        <w:spacing w:after="120"/>
        <w:ind w:left="714" w:hanging="357"/>
        <w:contextualSpacing w:val="0"/>
        <w:rPr>
          <w:lang w:val="de-DE"/>
        </w:rPr>
      </w:pPr>
      <w:r w:rsidRPr="00A43EA1">
        <w:rPr>
          <w:lang w:val="de-DE"/>
        </w:rPr>
        <w:t xml:space="preserve">Das Kabinett billigte die vorgeschlagenen Änderungen des Züchterrechtsgesetzes [Kapitel 18: 16], um der Akte des Internationalen Verbands zum Schutz von Pflanzenzüchtungen (UPOV) von 1991 zu entsprechen. </w:t>
      </w:r>
    </w:p>
    <w:p w14:paraId="2C3EAA13" w14:textId="77777777" w:rsidR="00424F87" w:rsidRPr="00A43EA1" w:rsidRDefault="00424F87" w:rsidP="00424F87">
      <w:pPr>
        <w:pStyle w:val="ListParagraph"/>
        <w:numPr>
          <w:ilvl w:val="0"/>
          <w:numId w:val="38"/>
        </w:numPr>
        <w:spacing w:after="120"/>
        <w:ind w:left="714" w:hanging="357"/>
        <w:contextualSpacing w:val="0"/>
        <w:rPr>
          <w:lang w:val="de-DE"/>
        </w:rPr>
      </w:pPr>
      <w:r w:rsidRPr="00A43EA1">
        <w:rPr>
          <w:lang w:val="de-DE"/>
        </w:rPr>
        <w:t xml:space="preserve">Die Ausarbeitung der Änderungen des Züchterrechtsgesetzes ist im Gange. </w:t>
      </w:r>
    </w:p>
    <w:p w14:paraId="7B0F7689" w14:textId="77777777" w:rsidR="00424F87" w:rsidRPr="00A43EA1" w:rsidRDefault="00424F87" w:rsidP="00424F87">
      <w:pPr>
        <w:pStyle w:val="ListParagraph"/>
        <w:numPr>
          <w:ilvl w:val="0"/>
          <w:numId w:val="38"/>
        </w:numPr>
        <w:rPr>
          <w:lang w:val="de-DE"/>
        </w:rPr>
      </w:pPr>
      <w:r w:rsidRPr="00A43EA1">
        <w:rPr>
          <w:lang w:val="de-DE"/>
        </w:rPr>
        <w:t xml:space="preserve">Die Änderungen des Züchterrechtsgesetzes werden es Simbabwe ermöglichen, dem UPOV-Übereinkommen beizutreten. </w:t>
      </w:r>
    </w:p>
    <w:p w14:paraId="1B436B98" w14:textId="77777777" w:rsidR="00424F87" w:rsidRPr="00A43EA1" w:rsidRDefault="00424F87" w:rsidP="00424F87"/>
    <w:p w14:paraId="04836995" w14:textId="77777777" w:rsidR="00424F87" w:rsidRPr="00A43EA1" w:rsidRDefault="00424F87" w:rsidP="00424F87">
      <w:r w:rsidRPr="00A43EA1">
        <w:t>1.2</w:t>
      </w:r>
      <w:r w:rsidRPr="00A43EA1">
        <w:tab/>
        <w:t xml:space="preserve">Die Ausweitung des Schutzes auf weitere Gattungen und Arten ist geplant. </w:t>
      </w:r>
    </w:p>
    <w:p w14:paraId="407637EB" w14:textId="77777777" w:rsidR="00424F87" w:rsidRPr="00A43EA1" w:rsidRDefault="00424F87" w:rsidP="00424F87"/>
    <w:p w14:paraId="124C1475" w14:textId="77777777" w:rsidR="00424F87" w:rsidRPr="00A43EA1" w:rsidRDefault="00424F87" w:rsidP="00424F87">
      <w:r w:rsidRPr="00A43EA1">
        <w:t>Wird als Teil der Änderungen berücksichtigt.</w:t>
      </w:r>
    </w:p>
    <w:p w14:paraId="0BB97711" w14:textId="77777777" w:rsidR="00424F87" w:rsidRPr="00A43EA1" w:rsidRDefault="00424F87" w:rsidP="00424F87"/>
    <w:p w14:paraId="6519813E" w14:textId="77777777" w:rsidR="00424F87" w:rsidRPr="00A43EA1" w:rsidRDefault="00424F87" w:rsidP="00424F87"/>
    <w:p w14:paraId="1E801EF6" w14:textId="77777777" w:rsidR="00424F87" w:rsidRPr="00A43EA1" w:rsidRDefault="00424F87" w:rsidP="00424F87">
      <w:r w:rsidRPr="00A43EA1">
        <w:t>2.</w:t>
      </w:r>
      <w:r w:rsidRPr="00A43EA1">
        <w:tab/>
      </w:r>
      <w:r w:rsidRPr="00A43EA1">
        <w:rPr>
          <w:u w:val="single"/>
        </w:rPr>
        <w:t>Zusammenarbeit bei der Prüfung</w:t>
      </w:r>
      <w:r w:rsidRPr="00A43EA1">
        <w:t>: Nichts zu berichten.</w:t>
      </w:r>
    </w:p>
    <w:p w14:paraId="34308B60" w14:textId="77777777" w:rsidR="00424F87" w:rsidRPr="00A43EA1" w:rsidRDefault="00424F87" w:rsidP="00424F87"/>
    <w:p w14:paraId="455FAAB5" w14:textId="77777777" w:rsidR="00424F87" w:rsidRPr="00A43EA1" w:rsidRDefault="00424F87" w:rsidP="00424F87"/>
    <w:p w14:paraId="0224AA83" w14:textId="77777777" w:rsidR="00424F87" w:rsidRPr="00A43EA1" w:rsidRDefault="00424F87" w:rsidP="00424F87">
      <w:pPr>
        <w:rPr>
          <w:u w:val="single"/>
        </w:rPr>
      </w:pPr>
      <w:r w:rsidRPr="00A43EA1">
        <w:t>3.</w:t>
      </w:r>
      <w:r w:rsidRPr="00A43EA1">
        <w:tab/>
      </w:r>
      <w:r w:rsidRPr="00A43EA1">
        <w:rPr>
          <w:u w:val="single"/>
        </w:rPr>
        <w:t>Lage auf dem Gebiet der Verwaltung</w:t>
      </w:r>
    </w:p>
    <w:p w14:paraId="53AE2560" w14:textId="77777777" w:rsidR="00424F87" w:rsidRPr="00A43EA1" w:rsidRDefault="00424F87" w:rsidP="00424F87"/>
    <w:p w14:paraId="5ADCC026" w14:textId="77777777" w:rsidR="00424F87" w:rsidRPr="00A43EA1" w:rsidRDefault="00424F87" w:rsidP="00424F87">
      <w:pPr>
        <w:rPr>
          <w:i/>
          <w:iCs/>
        </w:rPr>
      </w:pPr>
      <w:r w:rsidRPr="00A43EA1">
        <w:rPr>
          <w:i/>
          <w:iCs/>
        </w:rPr>
        <w:t>Änderungen in der Verwaltungsstruktur</w:t>
      </w:r>
    </w:p>
    <w:p w14:paraId="61C44E57" w14:textId="77777777" w:rsidR="00424F87" w:rsidRPr="00A43EA1" w:rsidRDefault="00424F87" w:rsidP="00424F87"/>
    <w:p w14:paraId="42FE45F5" w14:textId="77777777" w:rsidR="00424F87" w:rsidRPr="00A43EA1" w:rsidRDefault="00424F87" w:rsidP="00424F87">
      <w:r w:rsidRPr="00A43EA1">
        <w:t>Dr. Claid Mujaju wird zum Direktor der Abteilung Forschungsdienste ernannt, bleibt aber weiterhin Registerführer für Züchterrechte.</w:t>
      </w:r>
    </w:p>
    <w:p w14:paraId="2FCEA67D" w14:textId="77777777" w:rsidR="00424F87" w:rsidRPr="00A43EA1" w:rsidRDefault="00424F87" w:rsidP="00424F87"/>
    <w:p w14:paraId="25D5E520" w14:textId="77777777" w:rsidR="00424F87" w:rsidRPr="00A43EA1" w:rsidRDefault="00424F87" w:rsidP="00424F87">
      <w:r w:rsidRPr="00A43EA1">
        <w:t>Herr Edmore Mtetwa wurde mit Wirkung vom Juli 2023 zum Leiter der Saatgutdienste ernannt und wird das Amt des Registerführers für Züchterrechte übernehmen, sobald die Namensänderungen rechtlich vollzogen sind.</w:t>
      </w:r>
    </w:p>
    <w:p w14:paraId="19C3BCB1" w14:textId="77777777" w:rsidR="00424F87" w:rsidRPr="00A43EA1" w:rsidRDefault="00424F87" w:rsidP="00424F87"/>
    <w:p w14:paraId="052A9165" w14:textId="77777777" w:rsidR="00424F87" w:rsidRPr="00A43EA1" w:rsidRDefault="00424F87" w:rsidP="00424F87">
      <w:r w:rsidRPr="00A43EA1">
        <w:t>Frau Tambudzai Chikutuma - Beauftragte für Pflanzenzüchterrechte.</w:t>
      </w:r>
    </w:p>
    <w:p w14:paraId="4D1880EB" w14:textId="77777777" w:rsidR="00424F87" w:rsidRPr="00A43EA1" w:rsidRDefault="00424F87" w:rsidP="00424F87"/>
    <w:p w14:paraId="40169E2C" w14:textId="77777777" w:rsidR="00424F87" w:rsidRPr="00A43EA1" w:rsidRDefault="00424F87" w:rsidP="00424F87">
      <w:pPr>
        <w:rPr>
          <w:i/>
          <w:iCs/>
        </w:rPr>
      </w:pPr>
      <w:r w:rsidRPr="00A43EA1">
        <w:rPr>
          <w:i/>
          <w:iCs/>
        </w:rPr>
        <w:t>Änderungen der Büroverfahren und -systeme</w:t>
      </w:r>
    </w:p>
    <w:p w14:paraId="3EBEDFEB" w14:textId="77777777" w:rsidR="00424F87" w:rsidRPr="00A43EA1" w:rsidRDefault="00424F87" w:rsidP="00424F87"/>
    <w:p w14:paraId="3BA0FD5C" w14:textId="77777777" w:rsidR="00424F87" w:rsidRPr="00A43EA1" w:rsidRDefault="00424F87" w:rsidP="00424F87">
      <w:r w:rsidRPr="00A43EA1">
        <w:t>Es wurden keine Änderungen vorgenommen, es gelten weiterhin das nationale Gesetz und die Verordnungen.</w:t>
      </w:r>
    </w:p>
    <w:p w14:paraId="2A2474BC" w14:textId="77777777" w:rsidR="00424F87" w:rsidRPr="00A43EA1" w:rsidRDefault="00424F87" w:rsidP="00424F87"/>
    <w:p w14:paraId="539F209E" w14:textId="77777777" w:rsidR="00424F87" w:rsidRPr="00A43EA1" w:rsidRDefault="00424F87" w:rsidP="00424F87"/>
    <w:p w14:paraId="1AB342D0" w14:textId="77777777" w:rsidR="00424F87" w:rsidRPr="00A43EA1" w:rsidRDefault="00424F87" w:rsidP="00424F87">
      <w:r w:rsidRPr="00A43EA1">
        <w:t>4.</w:t>
      </w:r>
      <w:r w:rsidRPr="00A43EA1">
        <w:tab/>
      </w:r>
      <w:r w:rsidRPr="00A43EA1">
        <w:rPr>
          <w:u w:val="single"/>
        </w:rPr>
        <w:t>Lage auf dem Gebiet der Technik</w:t>
      </w:r>
    </w:p>
    <w:p w14:paraId="6A16F13D" w14:textId="77777777" w:rsidR="00424F87" w:rsidRPr="00A43EA1" w:rsidRDefault="00424F87" w:rsidP="00424F87"/>
    <w:p w14:paraId="0D319C89" w14:textId="77777777" w:rsidR="00424F87" w:rsidRPr="00A43EA1" w:rsidRDefault="00424F87" w:rsidP="00424F87">
      <w:r w:rsidRPr="00A43EA1">
        <w:t>Simbabwe hat 3 UPOV-Ausbilder, nämlich:</w:t>
      </w:r>
    </w:p>
    <w:p w14:paraId="434EF269" w14:textId="77777777" w:rsidR="00424F87" w:rsidRPr="00A43EA1" w:rsidRDefault="00424F87" w:rsidP="00424F87"/>
    <w:p w14:paraId="46B67A4A" w14:textId="77777777" w:rsidR="00424F87" w:rsidRPr="00A43EA1" w:rsidRDefault="00424F87" w:rsidP="00424F87">
      <w:r w:rsidRPr="00A43EA1">
        <w:t>1. Dr. Claid Mujaju</w:t>
      </w:r>
    </w:p>
    <w:p w14:paraId="617E420C" w14:textId="77777777" w:rsidR="00424F87" w:rsidRPr="00A43EA1" w:rsidRDefault="00424F87" w:rsidP="00424F87">
      <w:r w:rsidRPr="00A43EA1">
        <w:t>2. Frau Tambudzai Chikutuma</w:t>
      </w:r>
    </w:p>
    <w:p w14:paraId="43B8A60B" w14:textId="77777777" w:rsidR="00424F87" w:rsidRPr="00A43EA1" w:rsidRDefault="00424F87" w:rsidP="00424F87">
      <w:r w:rsidRPr="00A43EA1">
        <w:t>3. Herr Jonathan Chieza</w:t>
      </w:r>
    </w:p>
    <w:p w14:paraId="1DC6CC1D" w14:textId="77777777" w:rsidR="00424F87" w:rsidRPr="00A43EA1" w:rsidRDefault="00424F87" w:rsidP="00424F87"/>
    <w:p w14:paraId="6E913F63" w14:textId="77777777" w:rsidR="00424F87" w:rsidRPr="00A43EA1" w:rsidRDefault="00424F87" w:rsidP="00424F87"/>
    <w:p w14:paraId="5539A469" w14:textId="77777777" w:rsidR="00424F87" w:rsidRPr="00A43EA1" w:rsidRDefault="00424F87" w:rsidP="00424F87">
      <w:r w:rsidRPr="00A43EA1">
        <w:t>5.</w:t>
      </w:r>
      <w:r w:rsidRPr="00A43EA1">
        <w:tab/>
      </w:r>
      <w:r w:rsidRPr="00A43EA1">
        <w:rPr>
          <w:u w:val="single"/>
        </w:rPr>
        <w:t>Tätigkeiten zur Förderung des Sortenschutzes</w:t>
      </w:r>
    </w:p>
    <w:p w14:paraId="1F653C45" w14:textId="77777777" w:rsidR="00424F87" w:rsidRPr="00A43EA1" w:rsidRDefault="00424F87" w:rsidP="00424F87"/>
    <w:p w14:paraId="09C5DAAB" w14:textId="77777777" w:rsidR="00424F87" w:rsidRPr="00A43EA1" w:rsidRDefault="00424F87" w:rsidP="00424F87">
      <w:r w:rsidRPr="00A43EA1">
        <w:t>Keine.</w:t>
      </w:r>
    </w:p>
    <w:p w14:paraId="06627D0F" w14:textId="77777777" w:rsidR="00424F87" w:rsidRPr="00A43EA1" w:rsidRDefault="00424F87" w:rsidP="00424F87"/>
    <w:p w14:paraId="0B645F00" w14:textId="77777777" w:rsidR="00424F87" w:rsidRPr="00A43EA1" w:rsidRDefault="00424F87" w:rsidP="00424F87"/>
    <w:p w14:paraId="22FF5F07" w14:textId="0367ED4D" w:rsidR="00050E16" w:rsidRPr="00A43EA1" w:rsidRDefault="00424F87" w:rsidP="006678D2">
      <w:pPr>
        <w:jc w:val="right"/>
      </w:pPr>
      <w:r w:rsidRPr="00A43EA1">
        <w:t xml:space="preserve">[Ende von </w:t>
      </w:r>
      <w:r w:rsidR="009E6E5A">
        <w:t>Anlage</w:t>
      </w:r>
      <w:r w:rsidRPr="00A43EA1">
        <w:t xml:space="preserve"> XX und des Dokuments]</w:t>
      </w:r>
    </w:p>
    <w:sectPr w:rsidR="00050E16" w:rsidRPr="00A43EA1" w:rsidSect="006678D2">
      <w:headerReference w:type="default" r:id="rId54"/>
      <w:pgSz w:w="11907" w:h="16840" w:code="9"/>
      <w:pgMar w:top="510" w:right="1134" w:bottom="567"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CA97" w14:textId="77777777" w:rsidR="00E10873" w:rsidRDefault="00E10873" w:rsidP="004127E8">
      <w:pPr>
        <w:spacing w:after="120"/>
      </w:pPr>
      <w:r>
        <w:separator/>
      </w:r>
    </w:p>
  </w:endnote>
  <w:endnote w:type="continuationSeparator" w:id="0">
    <w:p w14:paraId="274F2CC6" w14:textId="77777777" w:rsidR="00E10873" w:rsidRDefault="00E10873" w:rsidP="006655D3">
      <w:r>
        <w:separator/>
      </w:r>
    </w:p>
    <w:p w14:paraId="23757149" w14:textId="77777777" w:rsidR="00E10873" w:rsidRPr="00294751" w:rsidRDefault="00E10873">
      <w:pPr>
        <w:pStyle w:val="Footer"/>
        <w:spacing w:after="60"/>
        <w:rPr>
          <w:sz w:val="18"/>
          <w:lang w:val="fr-FR"/>
        </w:rPr>
      </w:pPr>
      <w:r w:rsidRPr="00294751">
        <w:rPr>
          <w:sz w:val="18"/>
          <w:lang w:val="fr-FR"/>
        </w:rPr>
        <w:t>[Suite de la note de la page précédente]</w:t>
      </w:r>
    </w:p>
    <w:p w14:paraId="6B87D0B0" w14:textId="77777777" w:rsidR="00E10873" w:rsidRPr="00294751" w:rsidRDefault="00E10873" w:rsidP="006655D3">
      <w:pPr>
        <w:rPr>
          <w:lang w:val="fr-FR"/>
        </w:rPr>
      </w:pPr>
    </w:p>
    <w:p w14:paraId="545DE19A" w14:textId="77777777" w:rsidR="00E10873" w:rsidRPr="00294751" w:rsidRDefault="00E10873" w:rsidP="006655D3">
      <w:pPr>
        <w:rPr>
          <w:lang w:val="fr-FR"/>
        </w:rPr>
      </w:pPr>
    </w:p>
  </w:endnote>
  <w:endnote w:type="continuationNotice" w:id="1">
    <w:p w14:paraId="3B634E39" w14:textId="77777777" w:rsidR="00E10873" w:rsidRPr="00294751" w:rsidRDefault="00E10873" w:rsidP="006655D3">
      <w:pPr>
        <w:rPr>
          <w:lang w:val="fr-FR"/>
        </w:rPr>
      </w:pPr>
      <w:r w:rsidRPr="00294751">
        <w:rPr>
          <w:lang w:val="fr-FR"/>
        </w:rPr>
        <w:t>[Suite de la note page suivante]</w:t>
      </w:r>
    </w:p>
    <w:p w14:paraId="6BBCAEDB" w14:textId="77777777" w:rsidR="00E10873" w:rsidRPr="00294751" w:rsidRDefault="00E10873" w:rsidP="006655D3">
      <w:pPr>
        <w:rPr>
          <w:lang w:val="fr-FR"/>
        </w:rPr>
      </w:pPr>
    </w:p>
    <w:p w14:paraId="408CF2B5" w14:textId="77777777" w:rsidR="00E10873" w:rsidRPr="00294751" w:rsidRDefault="00E10873" w:rsidP="006655D3">
      <w:pPr>
        <w:rPr>
          <w:lang w:val="fr-FR"/>
        </w:rPr>
      </w:pPr>
    </w:p>
  </w:endnote>
  <w:endnote w:id="2">
    <w:p w14:paraId="1300374C" w14:textId="77777777" w:rsidR="00424F87" w:rsidRDefault="00424F87" w:rsidP="00424F87">
      <w:pPr>
        <w:pStyle w:val="EndnoteText"/>
        <w:tabs>
          <w:tab w:val="left" w:pos="284"/>
        </w:tabs>
        <w:rPr>
          <w:sz w:val="18"/>
          <w:szCs w:val="22"/>
        </w:rPr>
      </w:pPr>
      <w:r>
        <w:rPr>
          <w:rStyle w:val="EndnoteReference"/>
        </w:rPr>
        <w:endnoteRef/>
      </w:r>
      <w:r>
        <w:tab/>
      </w:r>
      <w:r w:rsidRPr="003E672A">
        <w:rPr>
          <w:sz w:val="18"/>
          <w:szCs w:val="22"/>
        </w:rPr>
        <w:t>In diesem Bericht wird die Terminologie der Vereinten Nationen verwendet.</w:t>
      </w:r>
    </w:p>
    <w:p w14:paraId="0A56299E" w14:textId="77777777" w:rsidR="00424F87" w:rsidRPr="00013F55" w:rsidRDefault="00424F87" w:rsidP="00424F87"/>
    <w:p w14:paraId="26873F0F" w14:textId="77777777" w:rsidR="00424F87" w:rsidRDefault="00424F87" w:rsidP="00424F87"/>
    <w:p w14:paraId="2D8ADFD1" w14:textId="77777777" w:rsidR="00424F87" w:rsidRPr="00013F55" w:rsidRDefault="00424F87" w:rsidP="00424F87"/>
    <w:p w14:paraId="43B925B3" w14:textId="7B81D671" w:rsidR="00424F87" w:rsidRDefault="00424F87" w:rsidP="00424F87">
      <w:pPr>
        <w:jc w:val="right"/>
      </w:pPr>
      <w:r>
        <w:t>[</w:t>
      </w:r>
      <w:r w:rsidR="009E6E5A">
        <w:t>Anlage</w:t>
      </w:r>
      <w:r>
        <w:t xml:space="preserve"> XIX folgt]</w:t>
      </w:r>
    </w:p>
    <w:p w14:paraId="30E81686" w14:textId="77777777" w:rsidR="00424F87" w:rsidRPr="00E53703" w:rsidRDefault="00424F87" w:rsidP="00424F87">
      <w:pPr>
        <w:pStyle w:val="EndnoteText"/>
        <w:tabs>
          <w:tab w:val="left" w:pos="284"/>
        </w:tabs>
        <w:spacing w:before="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79C7" w14:textId="77777777" w:rsidR="00E10873" w:rsidRDefault="00E10873" w:rsidP="006655D3">
      <w:r>
        <w:separator/>
      </w:r>
    </w:p>
  </w:footnote>
  <w:footnote w:type="continuationSeparator" w:id="0">
    <w:p w14:paraId="4AD70EBE" w14:textId="77777777" w:rsidR="00E10873" w:rsidRDefault="00E10873" w:rsidP="006655D3">
      <w:r>
        <w:separator/>
      </w:r>
    </w:p>
  </w:footnote>
  <w:footnote w:type="continuationNotice" w:id="1">
    <w:p w14:paraId="1814EAD6" w14:textId="77777777" w:rsidR="00E10873" w:rsidRPr="00AB530F" w:rsidRDefault="00E1087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2072" w14:textId="5072C0E1" w:rsidR="00182B99" w:rsidRPr="00202E38" w:rsidRDefault="003E57A0" w:rsidP="00EB048E">
    <w:pPr>
      <w:pStyle w:val="Header"/>
      <w:rPr>
        <w:rStyle w:val="PageNumber"/>
      </w:rPr>
    </w:pPr>
    <w:r>
      <w:rPr>
        <w:rStyle w:val="PageNumber"/>
      </w:rPr>
      <w:t>C/57/13</w:t>
    </w:r>
  </w:p>
  <w:p w14:paraId="0E80855E"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C4208">
      <w:rPr>
        <w:rStyle w:val="PageNumber"/>
        <w:noProof/>
      </w:rPr>
      <w:t>2</w:t>
    </w:r>
    <w:r w:rsidR="00182B99" w:rsidRPr="00202E38">
      <w:rPr>
        <w:rStyle w:val="PageNumber"/>
      </w:rPr>
      <w:fldChar w:fldCharType="end"/>
    </w:r>
  </w:p>
  <w:p w14:paraId="7389135A" w14:textId="77777777" w:rsidR="00182B99" w:rsidRPr="00202E38"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2737" w14:textId="77777777" w:rsidR="00424F87" w:rsidRDefault="00424F87">
    <w:pPr>
      <w:pStyle w:val="Header"/>
      <w:rPr>
        <w:rStyle w:val="PageNumber"/>
        <w:lang w:val="en-US"/>
      </w:rPr>
    </w:pPr>
    <w:r>
      <w:rPr>
        <w:rStyle w:val="PageNumber"/>
        <w:lang w:val="en-US"/>
      </w:rPr>
      <w:t>C/57/13</w:t>
    </w:r>
  </w:p>
  <w:p w14:paraId="2A6623A7" w14:textId="169EBCB3" w:rsidR="00424F87" w:rsidRDefault="009E6E5A">
    <w:pPr>
      <w:pStyle w:val="Header"/>
      <w:rPr>
        <w:lang w:val="en-US"/>
      </w:rPr>
    </w:pPr>
    <w:r>
      <w:rPr>
        <w:lang w:val="en-US"/>
      </w:rPr>
      <w:t>Anlage</w:t>
    </w:r>
    <w:r w:rsidR="00424F87">
      <w:rPr>
        <w:lang w:val="en-US"/>
      </w:rPr>
      <w:t xml:space="preserve"> X,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2B7279C3" w14:textId="77777777" w:rsidR="00424F87" w:rsidRPr="00C5280D" w:rsidRDefault="00424F87"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455A" w14:textId="77777777" w:rsidR="00424F87" w:rsidRDefault="00424F87">
    <w:pPr>
      <w:pStyle w:val="Header"/>
      <w:rPr>
        <w:rStyle w:val="PageNumber"/>
        <w:lang w:val="en-US"/>
      </w:rPr>
    </w:pPr>
    <w:r>
      <w:rPr>
        <w:rStyle w:val="PageNumber"/>
        <w:lang w:val="en-US"/>
      </w:rPr>
      <w:t>C/57/13</w:t>
    </w:r>
  </w:p>
  <w:p w14:paraId="109560A5" w14:textId="0EB64610" w:rsidR="00424F87" w:rsidRDefault="009E6E5A">
    <w:pPr>
      <w:pStyle w:val="Header"/>
      <w:rPr>
        <w:lang w:val="en-US"/>
      </w:rPr>
    </w:pPr>
    <w:r>
      <w:rPr>
        <w:lang w:val="en-US"/>
      </w:rPr>
      <w:t>Anlage</w:t>
    </w:r>
    <w:r w:rsidR="00424F87">
      <w:rPr>
        <w:lang w:val="en-US"/>
      </w:rPr>
      <w:t xml:space="preserve"> XII,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4DA95057" w14:textId="77777777" w:rsidR="00424F87" w:rsidRPr="00C5280D" w:rsidRDefault="00424F87"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769E" w14:textId="77777777" w:rsidR="00424F87" w:rsidRDefault="00424F87">
    <w:pPr>
      <w:pStyle w:val="Header"/>
      <w:rPr>
        <w:rStyle w:val="PageNumber"/>
        <w:lang w:val="en-US"/>
      </w:rPr>
    </w:pPr>
    <w:r>
      <w:rPr>
        <w:rStyle w:val="PageNumber"/>
        <w:lang w:val="en-US"/>
      </w:rPr>
      <w:t>C/57/13</w:t>
    </w:r>
  </w:p>
  <w:p w14:paraId="72C88E98" w14:textId="07BB808C" w:rsidR="00424F87" w:rsidRDefault="009E6E5A">
    <w:pPr>
      <w:pStyle w:val="Header"/>
      <w:rPr>
        <w:lang w:val="en-US"/>
      </w:rPr>
    </w:pPr>
    <w:r>
      <w:rPr>
        <w:lang w:val="en-US"/>
      </w:rPr>
      <w:t>Anlage</w:t>
    </w:r>
    <w:r w:rsidR="00424F87">
      <w:rPr>
        <w:lang w:val="en-US"/>
      </w:rPr>
      <w:t xml:space="preserve"> XIII,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13135F86" w14:textId="77777777" w:rsidR="00424F87" w:rsidRPr="00C5280D" w:rsidRDefault="00424F87" w:rsidP="006655D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177A" w14:textId="77777777" w:rsidR="00424F87" w:rsidRDefault="00424F87">
    <w:pPr>
      <w:pStyle w:val="Header"/>
      <w:rPr>
        <w:rStyle w:val="PageNumber"/>
        <w:lang w:val="en-US"/>
      </w:rPr>
    </w:pPr>
    <w:r>
      <w:rPr>
        <w:rStyle w:val="PageNumber"/>
        <w:lang w:val="en-US"/>
      </w:rPr>
      <w:t>C/57/13</w:t>
    </w:r>
  </w:p>
  <w:p w14:paraId="312D9E47" w14:textId="7703D4D8" w:rsidR="00424F87" w:rsidRDefault="009E6E5A">
    <w:pPr>
      <w:pStyle w:val="Header"/>
      <w:rPr>
        <w:lang w:val="en-US"/>
      </w:rPr>
    </w:pPr>
    <w:r>
      <w:rPr>
        <w:lang w:val="en-US"/>
      </w:rPr>
      <w:t>Anlage</w:t>
    </w:r>
    <w:r w:rsidR="00424F87">
      <w:rPr>
        <w:lang w:val="en-US"/>
      </w:rPr>
      <w:t xml:space="preserve"> XIV,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3E1DE67B" w14:textId="77777777" w:rsidR="00424F87" w:rsidRPr="00C5280D" w:rsidRDefault="00424F87" w:rsidP="006655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98EB" w14:textId="77777777" w:rsidR="00424F87" w:rsidRDefault="00424F87">
    <w:pPr>
      <w:pStyle w:val="Header"/>
      <w:rPr>
        <w:rStyle w:val="PageNumber"/>
        <w:lang w:val="en-US"/>
      </w:rPr>
    </w:pPr>
    <w:r>
      <w:rPr>
        <w:rStyle w:val="PageNumber"/>
        <w:lang w:val="en-US"/>
      </w:rPr>
      <w:t>C/57/13</w:t>
    </w:r>
  </w:p>
  <w:p w14:paraId="1A732579" w14:textId="25411315" w:rsidR="00424F87" w:rsidRDefault="009E6E5A">
    <w:pPr>
      <w:pStyle w:val="Header"/>
      <w:rPr>
        <w:lang w:val="en-US"/>
      </w:rPr>
    </w:pPr>
    <w:r>
      <w:rPr>
        <w:lang w:val="en-US"/>
      </w:rPr>
      <w:t>Anlage</w:t>
    </w:r>
    <w:r w:rsidR="00424F87">
      <w:rPr>
        <w:lang w:val="en-US"/>
      </w:rPr>
      <w:t xml:space="preserve"> XV,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4E714BFA" w14:textId="77777777" w:rsidR="00424F87" w:rsidRPr="00C5280D" w:rsidRDefault="00424F87" w:rsidP="006655D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68F0" w14:textId="77777777" w:rsidR="00424F87" w:rsidRDefault="00424F87">
    <w:pPr>
      <w:pStyle w:val="Header"/>
      <w:rPr>
        <w:rStyle w:val="PageNumber"/>
        <w:lang w:val="en-US"/>
      </w:rPr>
    </w:pPr>
    <w:r>
      <w:rPr>
        <w:rStyle w:val="PageNumber"/>
        <w:lang w:val="en-US"/>
      </w:rPr>
      <w:t>C/57/13</w:t>
    </w:r>
  </w:p>
  <w:p w14:paraId="12F682DA" w14:textId="44C55F59" w:rsidR="00424F87" w:rsidRDefault="009E6E5A">
    <w:pPr>
      <w:pStyle w:val="Header"/>
      <w:rPr>
        <w:lang w:val="en-US"/>
      </w:rPr>
    </w:pPr>
    <w:r>
      <w:rPr>
        <w:lang w:val="en-US"/>
      </w:rPr>
      <w:t>Anlage</w:t>
    </w:r>
    <w:r w:rsidR="00424F87">
      <w:rPr>
        <w:lang w:val="en-US"/>
      </w:rPr>
      <w:t xml:space="preserve"> XVII,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16069980" w14:textId="77777777" w:rsidR="00424F87" w:rsidRPr="00C5280D" w:rsidRDefault="00424F87" w:rsidP="006655D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F4B9" w14:textId="77777777" w:rsidR="00424F87" w:rsidRDefault="00424F87">
    <w:pPr>
      <w:pStyle w:val="Header"/>
      <w:rPr>
        <w:rStyle w:val="PageNumber"/>
        <w:lang w:val="en-US"/>
      </w:rPr>
    </w:pPr>
    <w:r>
      <w:rPr>
        <w:rStyle w:val="PageNumber"/>
        <w:lang w:val="en-US"/>
      </w:rPr>
      <w:t>C/57/13</w:t>
    </w:r>
  </w:p>
  <w:p w14:paraId="75A00930" w14:textId="6D95135F" w:rsidR="00424F87" w:rsidRDefault="009E6E5A">
    <w:pPr>
      <w:pStyle w:val="Header"/>
      <w:rPr>
        <w:lang w:val="en-US"/>
      </w:rPr>
    </w:pPr>
    <w:r>
      <w:rPr>
        <w:lang w:val="en-US"/>
      </w:rPr>
      <w:t>Anlage</w:t>
    </w:r>
    <w:r w:rsidR="00424F87">
      <w:rPr>
        <w:lang w:val="en-US"/>
      </w:rPr>
      <w:t xml:space="preserve"> XVIII,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178D682F" w14:textId="77777777" w:rsidR="00424F87" w:rsidRPr="00C5280D" w:rsidRDefault="00424F87" w:rsidP="006655D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9ED3" w14:textId="77777777" w:rsidR="00424F87" w:rsidRDefault="00424F87">
    <w:pPr>
      <w:pStyle w:val="Header"/>
      <w:rPr>
        <w:rStyle w:val="PageNumber"/>
        <w:lang w:val="en-US"/>
      </w:rPr>
    </w:pPr>
    <w:r>
      <w:rPr>
        <w:rStyle w:val="PageNumber"/>
        <w:lang w:val="en-US"/>
      </w:rPr>
      <w:t>C/57/13</w:t>
    </w:r>
  </w:p>
  <w:p w14:paraId="239FE8D5" w14:textId="40AF8734" w:rsidR="00424F87" w:rsidRDefault="009E6E5A">
    <w:pPr>
      <w:pStyle w:val="Header"/>
      <w:rPr>
        <w:lang w:val="en-US"/>
      </w:rPr>
    </w:pPr>
    <w:r>
      <w:rPr>
        <w:lang w:val="en-US"/>
      </w:rPr>
      <w:t>Anlage</w:t>
    </w:r>
    <w:r w:rsidR="00424F87">
      <w:rPr>
        <w:lang w:val="en-US"/>
      </w:rPr>
      <w:t xml:space="preserve"> XIX,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48B40799" w14:textId="77777777" w:rsidR="00424F87" w:rsidRPr="00C5280D" w:rsidRDefault="00424F87" w:rsidP="006655D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400A" w14:textId="77777777" w:rsidR="000C7103" w:rsidRDefault="004701E6">
    <w:pPr>
      <w:pStyle w:val="Header"/>
      <w:rPr>
        <w:rStyle w:val="PageNumber"/>
        <w:lang w:val="en-US"/>
      </w:rPr>
    </w:pPr>
    <w:r>
      <w:rPr>
        <w:rStyle w:val="PageNumber"/>
        <w:lang w:val="en-US"/>
      </w:rPr>
      <w:t>C/57/13</w:t>
    </w:r>
  </w:p>
  <w:p w14:paraId="79D1BE7C" w14:textId="18F5A7B5" w:rsidR="000C7103" w:rsidRDefault="009E6E5A">
    <w:pPr>
      <w:pStyle w:val="Header"/>
      <w:rPr>
        <w:lang w:val="en-US"/>
      </w:rPr>
    </w:pPr>
    <w:r>
      <w:rPr>
        <w:lang w:val="en-US"/>
      </w:rPr>
      <w:t>Anlage</w:t>
    </w:r>
    <w:r w:rsidR="004701E6">
      <w:rPr>
        <w:lang w:val="en-US"/>
      </w:rPr>
      <w:t xml:space="preserve"> XX, </w:t>
    </w:r>
    <w:proofErr w:type="spellStart"/>
    <w:r w:rsidR="004701E6" w:rsidRPr="00C5280D">
      <w:rPr>
        <w:lang w:val="en-US"/>
      </w:rPr>
      <w:t>Seite</w:t>
    </w:r>
    <w:proofErr w:type="spellEnd"/>
    <w:r w:rsidR="004701E6" w:rsidRPr="00C5280D">
      <w:rPr>
        <w:lang w:val="en-US"/>
      </w:rPr>
      <w:t xml:space="preserve"> </w:t>
    </w:r>
    <w:r w:rsidR="004701E6" w:rsidRPr="00C5280D">
      <w:rPr>
        <w:rStyle w:val="PageNumber"/>
        <w:lang w:val="en-US"/>
      </w:rPr>
      <w:fldChar w:fldCharType="begin"/>
    </w:r>
    <w:r w:rsidR="004701E6" w:rsidRPr="00C5280D">
      <w:rPr>
        <w:rStyle w:val="PageNumber"/>
        <w:lang w:val="en-US"/>
      </w:rPr>
      <w:instrText xml:space="preserve"> PAGE </w:instrText>
    </w:r>
    <w:r w:rsidR="004701E6" w:rsidRPr="00C5280D">
      <w:rPr>
        <w:rStyle w:val="PageNumber"/>
        <w:lang w:val="en-US"/>
      </w:rPr>
      <w:fldChar w:fldCharType="separate"/>
    </w:r>
    <w:r w:rsidR="004701E6">
      <w:rPr>
        <w:rStyle w:val="PageNumber"/>
        <w:noProof/>
        <w:lang w:val="en-US"/>
      </w:rPr>
      <w:t>2</w:t>
    </w:r>
    <w:r w:rsidR="004701E6" w:rsidRPr="00C5280D">
      <w:rPr>
        <w:rStyle w:val="PageNumber"/>
        <w:lang w:val="en-US"/>
      </w:rPr>
      <w:fldChar w:fldCharType="end"/>
    </w:r>
  </w:p>
  <w:p w14:paraId="7E8588D0" w14:textId="77777777" w:rsidR="000C222E" w:rsidRPr="00C5280D" w:rsidRDefault="004701E6"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EBFE" w14:textId="77777777" w:rsidR="00424F87" w:rsidRDefault="00424F87">
    <w:pPr>
      <w:pStyle w:val="Header"/>
      <w:rPr>
        <w:rStyle w:val="PageNumber"/>
        <w:lang w:val="en-US"/>
      </w:rPr>
    </w:pPr>
    <w:r>
      <w:rPr>
        <w:rStyle w:val="PageNumber"/>
        <w:lang w:val="en-US"/>
      </w:rPr>
      <w:t>C/57/13</w:t>
    </w:r>
  </w:p>
  <w:p w14:paraId="01CE5CE6" w14:textId="639ED0F3" w:rsidR="00424F87" w:rsidRDefault="009E6E5A">
    <w:pPr>
      <w:pStyle w:val="Header"/>
      <w:rPr>
        <w:lang w:val="en-US"/>
      </w:rPr>
    </w:pPr>
    <w:r>
      <w:rPr>
        <w:lang w:val="en-US"/>
      </w:rPr>
      <w:t>Anlage</w:t>
    </w:r>
    <w:r w:rsidR="00424F87">
      <w:rPr>
        <w:lang w:val="en-US"/>
      </w:rPr>
      <w:t xml:space="preserve"> 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64CE8D10" w14:textId="77777777" w:rsidR="00424F87" w:rsidRPr="00C5280D" w:rsidRDefault="00424F8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1DB4" w14:textId="77777777" w:rsidR="00424F87" w:rsidRDefault="00424F87">
    <w:pPr>
      <w:pStyle w:val="Header"/>
      <w:rPr>
        <w:rStyle w:val="PageNumber"/>
        <w:lang w:val="en-US"/>
      </w:rPr>
    </w:pPr>
    <w:r>
      <w:rPr>
        <w:rStyle w:val="PageNumber"/>
        <w:lang w:val="en-US"/>
      </w:rPr>
      <w:t>C/57/13</w:t>
    </w:r>
  </w:p>
  <w:p w14:paraId="5C993C16" w14:textId="74616848" w:rsidR="00424F87" w:rsidRDefault="009E6E5A">
    <w:pPr>
      <w:pStyle w:val="Header"/>
      <w:rPr>
        <w:lang w:val="en-US"/>
      </w:rPr>
    </w:pPr>
    <w:r>
      <w:rPr>
        <w:lang w:val="en-US"/>
      </w:rPr>
      <w:t>Anlage</w:t>
    </w:r>
    <w:r w:rsidR="00424F87">
      <w:rPr>
        <w:lang w:val="en-US"/>
      </w:rPr>
      <w:t xml:space="preserve"> 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7DA2EC95" w14:textId="77777777" w:rsidR="00424F87" w:rsidRPr="00C5280D" w:rsidRDefault="00424F87"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B9C4" w14:textId="77777777" w:rsidR="00424F87" w:rsidRDefault="00424F87">
    <w:pPr>
      <w:pStyle w:val="Header"/>
      <w:rPr>
        <w:rStyle w:val="PageNumber"/>
        <w:lang w:val="en-US"/>
      </w:rPr>
    </w:pPr>
    <w:r>
      <w:rPr>
        <w:rStyle w:val="PageNumber"/>
        <w:lang w:val="en-US"/>
      </w:rPr>
      <w:t>C/57/13</w:t>
    </w:r>
  </w:p>
  <w:p w14:paraId="7EFB6EA3" w14:textId="5BBE9373" w:rsidR="00424F87" w:rsidRDefault="009E6E5A">
    <w:pPr>
      <w:pStyle w:val="Header"/>
      <w:rPr>
        <w:lang w:val="en-US"/>
      </w:rPr>
    </w:pPr>
    <w:r>
      <w:rPr>
        <w:lang w:val="en-US"/>
      </w:rPr>
      <w:t>Anlage</w:t>
    </w:r>
    <w:r w:rsidR="00424F87">
      <w:rPr>
        <w:lang w:val="en-US"/>
      </w:rPr>
      <w:t xml:space="preserve"> III,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0ED06CA3" w14:textId="77777777" w:rsidR="00424F87" w:rsidRPr="00C5280D" w:rsidRDefault="00424F87"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B2F" w14:textId="77777777" w:rsidR="00424F87" w:rsidRDefault="00424F87">
    <w:pPr>
      <w:pStyle w:val="Header"/>
      <w:rPr>
        <w:rStyle w:val="PageNumber"/>
        <w:lang w:val="en-US"/>
      </w:rPr>
    </w:pPr>
    <w:r>
      <w:rPr>
        <w:rStyle w:val="PageNumber"/>
        <w:lang w:val="en-US"/>
      </w:rPr>
      <w:t>C/57/13</w:t>
    </w:r>
  </w:p>
  <w:p w14:paraId="5553218F" w14:textId="53D730E4" w:rsidR="00424F87" w:rsidRDefault="009E6E5A">
    <w:pPr>
      <w:pStyle w:val="Header"/>
      <w:rPr>
        <w:lang w:val="en-US"/>
      </w:rPr>
    </w:pPr>
    <w:r>
      <w:rPr>
        <w:lang w:val="en-US"/>
      </w:rPr>
      <w:t>Anlage</w:t>
    </w:r>
    <w:r w:rsidR="00424F87">
      <w:rPr>
        <w:lang w:val="en-US"/>
      </w:rPr>
      <w:t xml:space="preserve"> IV,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713B6095" w14:textId="77777777" w:rsidR="00424F87" w:rsidRPr="00C5280D" w:rsidRDefault="00424F87"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26FD" w14:textId="77777777" w:rsidR="00424F87" w:rsidRDefault="00424F87">
    <w:pPr>
      <w:pStyle w:val="Header"/>
      <w:rPr>
        <w:rStyle w:val="PageNumber"/>
        <w:lang w:val="en-US"/>
      </w:rPr>
    </w:pPr>
    <w:r>
      <w:rPr>
        <w:rStyle w:val="PageNumber"/>
        <w:lang w:val="en-US"/>
      </w:rPr>
      <w:t>C/57/13</w:t>
    </w:r>
  </w:p>
  <w:p w14:paraId="4C2C7EA4" w14:textId="7732018F" w:rsidR="00424F87" w:rsidRDefault="009E6E5A">
    <w:pPr>
      <w:pStyle w:val="Header"/>
      <w:rPr>
        <w:lang w:val="en-US"/>
      </w:rPr>
    </w:pPr>
    <w:r>
      <w:rPr>
        <w:lang w:val="en-US"/>
      </w:rPr>
      <w:t>Anlage</w:t>
    </w:r>
    <w:r w:rsidR="00424F87">
      <w:rPr>
        <w:lang w:val="en-US"/>
      </w:rPr>
      <w:t xml:space="preserve"> V,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62034566" w14:textId="77777777" w:rsidR="00424F87" w:rsidRPr="00C5280D" w:rsidRDefault="00424F87"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30A4" w14:textId="77777777" w:rsidR="00424F87" w:rsidRDefault="00424F87">
    <w:pPr>
      <w:pStyle w:val="Header"/>
      <w:rPr>
        <w:rStyle w:val="PageNumber"/>
        <w:lang w:val="en-US"/>
      </w:rPr>
    </w:pPr>
    <w:r>
      <w:rPr>
        <w:rStyle w:val="PageNumber"/>
        <w:lang w:val="en-US"/>
      </w:rPr>
      <w:t>C/57/13</w:t>
    </w:r>
  </w:p>
  <w:p w14:paraId="3D25055B" w14:textId="518CA407" w:rsidR="00424F87" w:rsidRDefault="009E6E5A">
    <w:pPr>
      <w:pStyle w:val="Header"/>
      <w:rPr>
        <w:lang w:val="en-US"/>
      </w:rPr>
    </w:pPr>
    <w:r>
      <w:rPr>
        <w:lang w:val="en-US"/>
      </w:rPr>
      <w:t>Anlage</w:t>
    </w:r>
    <w:r w:rsidR="00424F87">
      <w:rPr>
        <w:lang w:val="en-US"/>
      </w:rPr>
      <w:t xml:space="preserve"> VII,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504B3E9D" w14:textId="77777777" w:rsidR="00424F87" w:rsidRPr="00C5280D" w:rsidRDefault="00424F87"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22C4" w14:textId="77777777" w:rsidR="00424F87" w:rsidRDefault="00424F87">
    <w:pPr>
      <w:pStyle w:val="Header"/>
      <w:rPr>
        <w:rStyle w:val="PageNumber"/>
        <w:lang w:val="en-US"/>
      </w:rPr>
    </w:pPr>
    <w:r>
      <w:rPr>
        <w:rStyle w:val="PageNumber"/>
        <w:lang w:val="en-US"/>
      </w:rPr>
      <w:t>C/57/13</w:t>
    </w:r>
  </w:p>
  <w:p w14:paraId="184387CE" w14:textId="379075FD" w:rsidR="00424F87" w:rsidRDefault="009E6E5A">
    <w:pPr>
      <w:pStyle w:val="Header"/>
      <w:rPr>
        <w:lang w:val="en-US"/>
      </w:rPr>
    </w:pPr>
    <w:r>
      <w:rPr>
        <w:lang w:val="en-US"/>
      </w:rPr>
      <w:t>Anlage</w:t>
    </w:r>
    <w:r w:rsidR="00424F87">
      <w:rPr>
        <w:lang w:val="en-US"/>
      </w:rPr>
      <w:t xml:space="preserve"> VIII,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71BDB210" w14:textId="77777777" w:rsidR="00424F87" w:rsidRPr="00C5280D" w:rsidRDefault="00424F87"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B479" w14:textId="77777777" w:rsidR="00424F87" w:rsidRDefault="00424F87">
    <w:pPr>
      <w:pStyle w:val="Header"/>
      <w:rPr>
        <w:rStyle w:val="PageNumber"/>
        <w:lang w:val="en-US"/>
      </w:rPr>
    </w:pPr>
    <w:r>
      <w:rPr>
        <w:rStyle w:val="PageNumber"/>
        <w:lang w:val="en-US"/>
      </w:rPr>
      <w:t>C/57/13</w:t>
    </w:r>
  </w:p>
  <w:p w14:paraId="2C4D7633" w14:textId="18C09B42" w:rsidR="00424F87" w:rsidRDefault="009E6E5A">
    <w:pPr>
      <w:pStyle w:val="Header"/>
      <w:rPr>
        <w:lang w:val="en-US"/>
      </w:rPr>
    </w:pPr>
    <w:r>
      <w:rPr>
        <w:lang w:val="en-US"/>
      </w:rPr>
      <w:t>Anlage</w:t>
    </w:r>
    <w:r w:rsidR="00424F87">
      <w:rPr>
        <w:lang w:val="en-US"/>
      </w:rPr>
      <w:t xml:space="preserve"> IX, </w:t>
    </w:r>
    <w:proofErr w:type="spellStart"/>
    <w:r w:rsidR="00424F87" w:rsidRPr="00C5280D">
      <w:rPr>
        <w:lang w:val="en-US"/>
      </w:rPr>
      <w:t>Seite</w:t>
    </w:r>
    <w:proofErr w:type="spellEnd"/>
    <w:r w:rsidR="00424F87" w:rsidRPr="00C5280D">
      <w:rPr>
        <w:lang w:val="en-US"/>
      </w:rPr>
      <w:t xml:space="preserve"> </w:t>
    </w:r>
    <w:r w:rsidR="00424F87" w:rsidRPr="00C5280D">
      <w:rPr>
        <w:rStyle w:val="PageNumber"/>
        <w:lang w:val="en-US"/>
      </w:rPr>
      <w:fldChar w:fldCharType="begin"/>
    </w:r>
    <w:r w:rsidR="00424F87" w:rsidRPr="00C5280D">
      <w:rPr>
        <w:rStyle w:val="PageNumber"/>
        <w:lang w:val="en-US"/>
      </w:rPr>
      <w:instrText xml:space="preserve"> PAGE </w:instrText>
    </w:r>
    <w:r w:rsidR="00424F87" w:rsidRPr="00C5280D">
      <w:rPr>
        <w:rStyle w:val="PageNumber"/>
        <w:lang w:val="en-US"/>
      </w:rPr>
      <w:fldChar w:fldCharType="separate"/>
    </w:r>
    <w:r w:rsidR="00424F87">
      <w:rPr>
        <w:rStyle w:val="PageNumber"/>
        <w:noProof/>
        <w:lang w:val="en-US"/>
      </w:rPr>
      <w:t>2</w:t>
    </w:r>
    <w:r w:rsidR="00424F87" w:rsidRPr="00C5280D">
      <w:rPr>
        <w:rStyle w:val="PageNumber"/>
        <w:lang w:val="en-US"/>
      </w:rPr>
      <w:fldChar w:fldCharType="end"/>
    </w:r>
  </w:p>
  <w:p w14:paraId="32BC601D" w14:textId="77777777" w:rsidR="00424F87" w:rsidRPr="00C5280D" w:rsidRDefault="00424F8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9" type="#_x0000_t75" style="width:9.15pt;height:9.15pt" o:bullet="t">
        <v:imagedata r:id="rId1" o:title="j0115868"/>
      </v:shape>
    </w:pict>
  </w:numPicBullet>
  <w:abstractNum w:abstractNumId="0" w15:restartNumberingAfterBreak="0">
    <w:nsid w:val="00CF3A6C"/>
    <w:multiLevelType w:val="hybridMultilevel"/>
    <w:tmpl w:val="052CDFFC"/>
    <w:lvl w:ilvl="0" w:tplc="D098F610">
      <w:start w:val="1"/>
      <w:numFmt w:val="bullet"/>
      <w:lvlText w:val=""/>
      <w:lvlPicBulletId w:val="0"/>
      <w:lvlJc w:val="left"/>
      <w:pPr>
        <w:ind w:left="360" w:hanging="360"/>
      </w:pPr>
      <w:rPr>
        <w:rFonts w:ascii="Symbol" w:hAnsi="Symbol" w:hint="default"/>
        <w:color w:val="auto"/>
        <w:u w:color="00B050"/>
      </w:rPr>
    </w:lvl>
    <w:lvl w:ilvl="1" w:tplc="04090003" w:tentative="1">
      <w:start w:val="1"/>
      <w:numFmt w:val="bullet"/>
      <w:lvlText w:val="o"/>
      <w:lvlJc w:val="left"/>
      <w:pPr>
        <w:ind w:left="1079" w:hanging="360"/>
      </w:pPr>
      <w:rPr>
        <w:rFonts w:ascii="Courier New" w:hAnsi="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016A7EDE"/>
    <w:multiLevelType w:val="hybridMultilevel"/>
    <w:tmpl w:val="AF04D544"/>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33173"/>
    <w:multiLevelType w:val="hybridMultilevel"/>
    <w:tmpl w:val="C36ECF76"/>
    <w:lvl w:ilvl="0" w:tplc="59CC7F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5285"/>
    <w:multiLevelType w:val="hybridMultilevel"/>
    <w:tmpl w:val="7C1E29D4"/>
    <w:lvl w:ilvl="0" w:tplc="EDCA0E1A">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72720AE"/>
    <w:multiLevelType w:val="hybridMultilevel"/>
    <w:tmpl w:val="B57E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82E8A"/>
    <w:multiLevelType w:val="hybridMultilevel"/>
    <w:tmpl w:val="1EA622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D1367"/>
    <w:multiLevelType w:val="hybridMultilevel"/>
    <w:tmpl w:val="79FE8DD2"/>
    <w:lvl w:ilvl="0" w:tplc="CDEC938A">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466446C"/>
    <w:multiLevelType w:val="multilevel"/>
    <w:tmpl w:val="E6E6A6E0"/>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9" w15:restartNumberingAfterBreak="0">
    <w:nsid w:val="1AD926F1"/>
    <w:multiLevelType w:val="hybridMultilevel"/>
    <w:tmpl w:val="665A21F8"/>
    <w:lvl w:ilvl="0" w:tplc="572227A6">
      <w:start w:val="1"/>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5EA41AC"/>
    <w:multiLevelType w:val="hybridMultilevel"/>
    <w:tmpl w:val="3F760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C904DD"/>
    <w:multiLevelType w:val="hybridMultilevel"/>
    <w:tmpl w:val="DB6AE96C"/>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3" w15:restartNumberingAfterBreak="0">
    <w:nsid w:val="2BB50783"/>
    <w:multiLevelType w:val="hybridMultilevel"/>
    <w:tmpl w:val="105048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B5870"/>
    <w:multiLevelType w:val="hybridMultilevel"/>
    <w:tmpl w:val="0D48DD82"/>
    <w:lvl w:ilvl="0" w:tplc="5712DD6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9F6BCA"/>
    <w:multiLevelType w:val="hybridMultilevel"/>
    <w:tmpl w:val="105AB652"/>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6" w15:restartNumberingAfterBreak="0">
    <w:nsid w:val="32F81FDB"/>
    <w:multiLevelType w:val="multilevel"/>
    <w:tmpl w:val="69F2EB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667CC6"/>
    <w:multiLevelType w:val="hybridMultilevel"/>
    <w:tmpl w:val="17324FA4"/>
    <w:lvl w:ilvl="0" w:tplc="00FAED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B230A"/>
    <w:multiLevelType w:val="hybridMultilevel"/>
    <w:tmpl w:val="D8025C12"/>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65751"/>
    <w:multiLevelType w:val="hybridMultilevel"/>
    <w:tmpl w:val="243ED0D4"/>
    <w:lvl w:ilvl="0" w:tplc="20326618">
      <w:start w:val="1"/>
      <w:numFmt w:val="upp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417016FE"/>
    <w:multiLevelType w:val="hybridMultilevel"/>
    <w:tmpl w:val="722EDDA8"/>
    <w:lvl w:ilvl="0" w:tplc="4CEEB07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C739D"/>
    <w:multiLevelType w:val="hybridMultilevel"/>
    <w:tmpl w:val="6E6ECC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7F66706"/>
    <w:multiLevelType w:val="hybridMultilevel"/>
    <w:tmpl w:val="2D60358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93105E"/>
    <w:multiLevelType w:val="hybridMultilevel"/>
    <w:tmpl w:val="2348C6F6"/>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8" w15:restartNumberingAfterBreak="0">
    <w:nsid w:val="551C56EA"/>
    <w:multiLevelType w:val="hybridMultilevel"/>
    <w:tmpl w:val="21AC2A40"/>
    <w:lvl w:ilvl="0" w:tplc="F20C44F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F14E9A"/>
    <w:multiLevelType w:val="hybridMultilevel"/>
    <w:tmpl w:val="70DE50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91ECB"/>
    <w:multiLevelType w:val="hybridMultilevel"/>
    <w:tmpl w:val="F6FE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5E7727"/>
    <w:multiLevelType w:val="multilevel"/>
    <w:tmpl w:val="E4401F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CEF11C4"/>
    <w:multiLevelType w:val="hybridMultilevel"/>
    <w:tmpl w:val="1706A316"/>
    <w:lvl w:ilvl="0" w:tplc="EE0CEC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6"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60F33"/>
    <w:multiLevelType w:val="hybridMultilevel"/>
    <w:tmpl w:val="13C27262"/>
    <w:lvl w:ilvl="0" w:tplc="76507D3E">
      <w:start w:val="1"/>
      <w:numFmt w:val="decimal"/>
      <w:lvlText w:val="%1."/>
      <w:lvlJc w:val="left"/>
      <w:pPr>
        <w:ind w:left="442" w:hanging="360"/>
      </w:pPr>
      <w:rPr>
        <w:rFonts w:hint="default"/>
      </w:rPr>
    </w:lvl>
    <w:lvl w:ilvl="1" w:tplc="1C090019" w:tentative="1">
      <w:start w:val="1"/>
      <w:numFmt w:val="lowerLetter"/>
      <w:lvlText w:val="%2."/>
      <w:lvlJc w:val="left"/>
      <w:pPr>
        <w:ind w:left="1162" w:hanging="360"/>
      </w:pPr>
    </w:lvl>
    <w:lvl w:ilvl="2" w:tplc="1C09001B" w:tentative="1">
      <w:start w:val="1"/>
      <w:numFmt w:val="lowerRoman"/>
      <w:lvlText w:val="%3."/>
      <w:lvlJc w:val="right"/>
      <w:pPr>
        <w:ind w:left="1882" w:hanging="180"/>
      </w:pPr>
    </w:lvl>
    <w:lvl w:ilvl="3" w:tplc="1C09000F" w:tentative="1">
      <w:start w:val="1"/>
      <w:numFmt w:val="decimal"/>
      <w:lvlText w:val="%4."/>
      <w:lvlJc w:val="left"/>
      <w:pPr>
        <w:ind w:left="2602" w:hanging="360"/>
      </w:pPr>
    </w:lvl>
    <w:lvl w:ilvl="4" w:tplc="1C090019" w:tentative="1">
      <w:start w:val="1"/>
      <w:numFmt w:val="lowerLetter"/>
      <w:lvlText w:val="%5."/>
      <w:lvlJc w:val="left"/>
      <w:pPr>
        <w:ind w:left="3322" w:hanging="360"/>
      </w:pPr>
    </w:lvl>
    <w:lvl w:ilvl="5" w:tplc="1C09001B" w:tentative="1">
      <w:start w:val="1"/>
      <w:numFmt w:val="lowerRoman"/>
      <w:lvlText w:val="%6."/>
      <w:lvlJc w:val="right"/>
      <w:pPr>
        <w:ind w:left="4042" w:hanging="180"/>
      </w:pPr>
    </w:lvl>
    <w:lvl w:ilvl="6" w:tplc="1C09000F" w:tentative="1">
      <w:start w:val="1"/>
      <w:numFmt w:val="decimal"/>
      <w:lvlText w:val="%7."/>
      <w:lvlJc w:val="left"/>
      <w:pPr>
        <w:ind w:left="4762" w:hanging="360"/>
      </w:pPr>
    </w:lvl>
    <w:lvl w:ilvl="7" w:tplc="1C090019" w:tentative="1">
      <w:start w:val="1"/>
      <w:numFmt w:val="lowerLetter"/>
      <w:lvlText w:val="%8."/>
      <w:lvlJc w:val="left"/>
      <w:pPr>
        <w:ind w:left="5482" w:hanging="360"/>
      </w:pPr>
    </w:lvl>
    <w:lvl w:ilvl="8" w:tplc="1C09001B" w:tentative="1">
      <w:start w:val="1"/>
      <w:numFmt w:val="lowerRoman"/>
      <w:lvlText w:val="%9."/>
      <w:lvlJc w:val="right"/>
      <w:pPr>
        <w:ind w:left="6202" w:hanging="180"/>
      </w:pPr>
    </w:lvl>
  </w:abstractNum>
  <w:abstractNum w:abstractNumId="38"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C71"/>
    <w:multiLevelType w:val="hybridMultilevel"/>
    <w:tmpl w:val="8B0004A4"/>
    <w:lvl w:ilvl="0" w:tplc="040C0001">
      <w:start w:val="1"/>
      <w:numFmt w:val="bullet"/>
      <w:lvlText w:val=""/>
      <w:lvlJc w:val="left"/>
      <w:pPr>
        <w:ind w:left="783" w:hanging="360"/>
      </w:pPr>
      <w:rPr>
        <w:rFonts w:ascii="Symbol" w:hAnsi="Symbol" w:hint="default"/>
        <w:sz w:val="24"/>
      </w:rPr>
    </w:lvl>
    <w:lvl w:ilvl="1" w:tplc="FFFFFFFF">
      <w:numFmt w:val="bullet"/>
      <w:lvlText w:val="-"/>
      <w:lvlJc w:val="left"/>
      <w:pPr>
        <w:ind w:left="1503" w:hanging="360"/>
      </w:pPr>
      <w:rPr>
        <w:rFonts w:ascii="Times New Roman" w:eastAsia="Times New Roman" w:hAnsi="Times New Roman" w:cs="Times New Roman" w:hint="default"/>
      </w:rPr>
    </w:lvl>
    <w:lvl w:ilvl="2" w:tplc="FFFFFFFF">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40"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1" w15:restartNumberingAfterBreak="0">
    <w:nsid w:val="7DC705A1"/>
    <w:multiLevelType w:val="hybridMultilevel"/>
    <w:tmpl w:val="AEF45F1A"/>
    <w:lvl w:ilvl="0" w:tplc="04090001">
      <w:start w:val="1"/>
      <w:numFmt w:val="bullet"/>
      <w:lvlText w:val=""/>
      <w:lvlJc w:val="left"/>
      <w:pPr>
        <w:ind w:left="360" w:hanging="360"/>
      </w:pPr>
      <w:rPr>
        <w:rFonts w:ascii="Symbol" w:hAnsi="Symbol" w:hint="default"/>
        <w:color w:val="auto"/>
        <w:u w:color="00B050"/>
      </w:rPr>
    </w:lvl>
    <w:lvl w:ilvl="1" w:tplc="FFFFFFFF">
      <w:start w:val="1"/>
      <w:numFmt w:val="bullet"/>
      <w:lvlText w:val="o"/>
      <w:lvlJc w:val="left"/>
      <w:pPr>
        <w:ind w:left="1079" w:hanging="360"/>
      </w:pPr>
      <w:rPr>
        <w:rFonts w:ascii="Courier New" w:hAnsi="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42" w15:restartNumberingAfterBreak="0">
    <w:nsid w:val="7F553FC6"/>
    <w:multiLevelType w:val="hybridMultilevel"/>
    <w:tmpl w:val="C2E44858"/>
    <w:lvl w:ilvl="0" w:tplc="59CC7F5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3608327">
    <w:abstractNumId w:val="34"/>
  </w:num>
  <w:num w:numId="2" w16cid:durableId="568657834">
    <w:abstractNumId w:val="37"/>
  </w:num>
  <w:num w:numId="3" w16cid:durableId="773092243">
    <w:abstractNumId w:val="35"/>
  </w:num>
  <w:num w:numId="4" w16cid:durableId="645356635">
    <w:abstractNumId w:val="40"/>
  </w:num>
  <w:num w:numId="5" w16cid:durableId="1551962600">
    <w:abstractNumId w:val="27"/>
  </w:num>
  <w:num w:numId="6" w16cid:durableId="363332945">
    <w:abstractNumId w:val="5"/>
  </w:num>
  <w:num w:numId="7" w16cid:durableId="431319310">
    <w:abstractNumId w:val="11"/>
  </w:num>
  <w:num w:numId="8" w16cid:durableId="454907928">
    <w:abstractNumId w:val="14"/>
  </w:num>
  <w:num w:numId="9" w16cid:durableId="1351641753">
    <w:abstractNumId w:val="29"/>
  </w:num>
  <w:num w:numId="10" w16cid:durableId="1235580234">
    <w:abstractNumId w:val="6"/>
  </w:num>
  <w:num w:numId="11" w16cid:durableId="1645546010">
    <w:abstractNumId w:val="1"/>
  </w:num>
  <w:num w:numId="12" w16cid:durableId="9357933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120357">
    <w:abstractNumId w:val="22"/>
  </w:num>
  <w:num w:numId="14" w16cid:durableId="1146624556">
    <w:abstractNumId w:val="17"/>
  </w:num>
  <w:num w:numId="15" w16cid:durableId="871385871">
    <w:abstractNumId w:val="20"/>
  </w:num>
  <w:num w:numId="16" w16cid:durableId="1119105415">
    <w:abstractNumId w:val="24"/>
  </w:num>
  <w:num w:numId="17" w16cid:durableId="1464352392">
    <w:abstractNumId w:val="19"/>
  </w:num>
  <w:num w:numId="18" w16cid:durableId="933364204">
    <w:abstractNumId w:val="26"/>
  </w:num>
  <w:num w:numId="19" w16cid:durableId="1824078188">
    <w:abstractNumId w:val="36"/>
  </w:num>
  <w:num w:numId="20" w16cid:durableId="690301296">
    <w:abstractNumId w:val="10"/>
  </w:num>
  <w:num w:numId="21" w16cid:durableId="2024549724">
    <w:abstractNumId w:val="4"/>
  </w:num>
  <w:num w:numId="22" w16cid:durableId="1734500046">
    <w:abstractNumId w:val="18"/>
  </w:num>
  <w:num w:numId="23" w16cid:durableId="1537308711">
    <w:abstractNumId w:val="28"/>
  </w:num>
  <w:num w:numId="24" w16cid:durableId="1435516474">
    <w:abstractNumId w:val="9"/>
  </w:num>
  <w:num w:numId="25" w16cid:durableId="1961298068">
    <w:abstractNumId w:val="0"/>
  </w:num>
  <w:num w:numId="26" w16cid:durableId="1094714322">
    <w:abstractNumId w:val="33"/>
  </w:num>
  <w:num w:numId="27" w16cid:durableId="988553772">
    <w:abstractNumId w:val="39"/>
  </w:num>
  <w:num w:numId="28" w16cid:durableId="917248665">
    <w:abstractNumId w:val="13"/>
  </w:num>
  <w:num w:numId="29" w16cid:durableId="641085171">
    <w:abstractNumId w:val="2"/>
  </w:num>
  <w:num w:numId="30" w16cid:durableId="1768765938">
    <w:abstractNumId w:val="42"/>
  </w:num>
  <w:num w:numId="31" w16cid:durableId="1064723665">
    <w:abstractNumId w:val="41"/>
  </w:num>
  <w:num w:numId="32" w16cid:durableId="2065059785">
    <w:abstractNumId w:val="15"/>
  </w:num>
  <w:num w:numId="33" w16cid:durableId="476268061">
    <w:abstractNumId w:val="12"/>
  </w:num>
  <w:num w:numId="34" w16cid:durableId="475924781">
    <w:abstractNumId w:val="3"/>
  </w:num>
  <w:num w:numId="35" w16cid:durableId="739597806">
    <w:abstractNumId w:val="23"/>
  </w:num>
  <w:num w:numId="36" w16cid:durableId="1019116619">
    <w:abstractNumId w:val="21"/>
  </w:num>
  <w:num w:numId="37" w16cid:durableId="300157377">
    <w:abstractNumId w:val="7"/>
  </w:num>
  <w:num w:numId="38" w16cid:durableId="1610240012">
    <w:abstractNumId w:val="25"/>
  </w:num>
  <w:num w:numId="39" w16cid:durableId="870843535">
    <w:abstractNumId w:val="30"/>
  </w:num>
  <w:num w:numId="40" w16cid:durableId="199636400">
    <w:abstractNumId w:val="32"/>
  </w:num>
  <w:num w:numId="41" w16cid:durableId="1919097389">
    <w:abstractNumId w:val="16"/>
  </w:num>
  <w:num w:numId="42" w16cid:durableId="1706054841">
    <w:abstractNumId w:val="8"/>
  </w:num>
  <w:num w:numId="43" w16cid:durableId="351107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73"/>
    <w:rsid w:val="0000241A"/>
    <w:rsid w:val="00010CF3"/>
    <w:rsid w:val="00011E27"/>
    <w:rsid w:val="000148BC"/>
    <w:rsid w:val="00024AB8"/>
    <w:rsid w:val="00030854"/>
    <w:rsid w:val="00036028"/>
    <w:rsid w:val="00044642"/>
    <w:rsid w:val="000446B9"/>
    <w:rsid w:val="00047E21"/>
    <w:rsid w:val="00050E16"/>
    <w:rsid w:val="000567F7"/>
    <w:rsid w:val="00083093"/>
    <w:rsid w:val="00085505"/>
    <w:rsid w:val="00094FE1"/>
    <w:rsid w:val="000B254F"/>
    <w:rsid w:val="000C4E25"/>
    <w:rsid w:val="000C7021"/>
    <w:rsid w:val="000D6BBC"/>
    <w:rsid w:val="000D7780"/>
    <w:rsid w:val="000E636A"/>
    <w:rsid w:val="000F2F11"/>
    <w:rsid w:val="00101AAC"/>
    <w:rsid w:val="00105929"/>
    <w:rsid w:val="00110C36"/>
    <w:rsid w:val="001131D5"/>
    <w:rsid w:val="001233D5"/>
    <w:rsid w:val="00141DB8"/>
    <w:rsid w:val="00172084"/>
    <w:rsid w:val="0017474A"/>
    <w:rsid w:val="001758C6"/>
    <w:rsid w:val="00182B99"/>
    <w:rsid w:val="00200578"/>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305A7F"/>
    <w:rsid w:val="003152FE"/>
    <w:rsid w:val="00327436"/>
    <w:rsid w:val="00344BD6"/>
    <w:rsid w:val="0035528D"/>
    <w:rsid w:val="00361821"/>
    <w:rsid w:val="00361E9E"/>
    <w:rsid w:val="00376C5F"/>
    <w:rsid w:val="003B031A"/>
    <w:rsid w:val="003C7FBE"/>
    <w:rsid w:val="003D227C"/>
    <w:rsid w:val="003D2B4D"/>
    <w:rsid w:val="003E57A0"/>
    <w:rsid w:val="0040557F"/>
    <w:rsid w:val="004127E8"/>
    <w:rsid w:val="00424F87"/>
    <w:rsid w:val="00444A88"/>
    <w:rsid w:val="004701E6"/>
    <w:rsid w:val="00474DA4"/>
    <w:rsid w:val="00476B4D"/>
    <w:rsid w:val="004805FA"/>
    <w:rsid w:val="004935D2"/>
    <w:rsid w:val="004B1215"/>
    <w:rsid w:val="004D047D"/>
    <w:rsid w:val="004F1E9E"/>
    <w:rsid w:val="004F305A"/>
    <w:rsid w:val="00503AF0"/>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678D2"/>
    <w:rsid w:val="0067202F"/>
    <w:rsid w:val="00687EB4"/>
    <w:rsid w:val="00695C56"/>
    <w:rsid w:val="006A3AAD"/>
    <w:rsid w:val="006A5CDE"/>
    <w:rsid w:val="006A644A"/>
    <w:rsid w:val="006B0BE0"/>
    <w:rsid w:val="006B17D2"/>
    <w:rsid w:val="006C224E"/>
    <w:rsid w:val="006D780A"/>
    <w:rsid w:val="0071271E"/>
    <w:rsid w:val="00732DEC"/>
    <w:rsid w:val="00735BD5"/>
    <w:rsid w:val="00751613"/>
    <w:rsid w:val="007556F6"/>
    <w:rsid w:val="00760EEF"/>
    <w:rsid w:val="00766AF5"/>
    <w:rsid w:val="00777EE5"/>
    <w:rsid w:val="00784836"/>
    <w:rsid w:val="0079023E"/>
    <w:rsid w:val="007A2854"/>
    <w:rsid w:val="007C1A30"/>
    <w:rsid w:val="007C1D92"/>
    <w:rsid w:val="007C4CB9"/>
    <w:rsid w:val="007C595A"/>
    <w:rsid w:val="007D0B9D"/>
    <w:rsid w:val="007D19B0"/>
    <w:rsid w:val="007D612E"/>
    <w:rsid w:val="007F0281"/>
    <w:rsid w:val="007F498F"/>
    <w:rsid w:val="00804248"/>
    <w:rsid w:val="0080679D"/>
    <w:rsid w:val="00810759"/>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0B2"/>
    <w:rsid w:val="00940D46"/>
    <w:rsid w:val="00952DD4"/>
    <w:rsid w:val="00965AE7"/>
    <w:rsid w:val="00970FED"/>
    <w:rsid w:val="00992D82"/>
    <w:rsid w:val="00997029"/>
    <w:rsid w:val="009A651B"/>
    <w:rsid w:val="009A7339"/>
    <w:rsid w:val="009B440E"/>
    <w:rsid w:val="009D690D"/>
    <w:rsid w:val="009E65B6"/>
    <w:rsid w:val="009E6E5A"/>
    <w:rsid w:val="00A136B3"/>
    <w:rsid w:val="00A24C10"/>
    <w:rsid w:val="00A42AC3"/>
    <w:rsid w:val="00A430CF"/>
    <w:rsid w:val="00A43EA1"/>
    <w:rsid w:val="00A45671"/>
    <w:rsid w:val="00A54309"/>
    <w:rsid w:val="00A706D3"/>
    <w:rsid w:val="00A7227F"/>
    <w:rsid w:val="00AA46ED"/>
    <w:rsid w:val="00AB2B93"/>
    <w:rsid w:val="00AB530F"/>
    <w:rsid w:val="00AB7E5B"/>
    <w:rsid w:val="00AC2883"/>
    <w:rsid w:val="00AC4A06"/>
    <w:rsid w:val="00AE0EF1"/>
    <w:rsid w:val="00AE2937"/>
    <w:rsid w:val="00B07301"/>
    <w:rsid w:val="00B11F3E"/>
    <w:rsid w:val="00B224DE"/>
    <w:rsid w:val="00B25CFD"/>
    <w:rsid w:val="00B324D4"/>
    <w:rsid w:val="00B46575"/>
    <w:rsid w:val="00B61777"/>
    <w:rsid w:val="00B84BBD"/>
    <w:rsid w:val="00BA43FB"/>
    <w:rsid w:val="00BA6E5D"/>
    <w:rsid w:val="00BB2CD9"/>
    <w:rsid w:val="00BC0BD4"/>
    <w:rsid w:val="00BC127D"/>
    <w:rsid w:val="00BC1FE6"/>
    <w:rsid w:val="00C061B6"/>
    <w:rsid w:val="00C2446C"/>
    <w:rsid w:val="00C36AE5"/>
    <w:rsid w:val="00C41F17"/>
    <w:rsid w:val="00C527FA"/>
    <w:rsid w:val="00C5280D"/>
    <w:rsid w:val="00C53EB3"/>
    <w:rsid w:val="00C56878"/>
    <w:rsid w:val="00C5791C"/>
    <w:rsid w:val="00C6140B"/>
    <w:rsid w:val="00C66290"/>
    <w:rsid w:val="00C72B7A"/>
    <w:rsid w:val="00C973F2"/>
    <w:rsid w:val="00CA304C"/>
    <w:rsid w:val="00CA5438"/>
    <w:rsid w:val="00CA774A"/>
    <w:rsid w:val="00CB70D8"/>
    <w:rsid w:val="00CC11B0"/>
    <w:rsid w:val="00CC2841"/>
    <w:rsid w:val="00CC5D20"/>
    <w:rsid w:val="00CC6951"/>
    <w:rsid w:val="00CF1330"/>
    <w:rsid w:val="00CF7E36"/>
    <w:rsid w:val="00D31C10"/>
    <w:rsid w:val="00D3708D"/>
    <w:rsid w:val="00D40426"/>
    <w:rsid w:val="00D55294"/>
    <w:rsid w:val="00D57C96"/>
    <w:rsid w:val="00D57D18"/>
    <w:rsid w:val="00D91203"/>
    <w:rsid w:val="00D95174"/>
    <w:rsid w:val="00D972B7"/>
    <w:rsid w:val="00DA3C12"/>
    <w:rsid w:val="00DA4973"/>
    <w:rsid w:val="00DA6F36"/>
    <w:rsid w:val="00DB596E"/>
    <w:rsid w:val="00DB7773"/>
    <w:rsid w:val="00DC00EA"/>
    <w:rsid w:val="00DC3802"/>
    <w:rsid w:val="00DE5973"/>
    <w:rsid w:val="00E07D87"/>
    <w:rsid w:val="00E10873"/>
    <w:rsid w:val="00E32F7E"/>
    <w:rsid w:val="00E50FB5"/>
    <w:rsid w:val="00E5267B"/>
    <w:rsid w:val="00E63C0E"/>
    <w:rsid w:val="00E72D49"/>
    <w:rsid w:val="00E7593C"/>
    <w:rsid w:val="00E7678A"/>
    <w:rsid w:val="00E935F1"/>
    <w:rsid w:val="00E94A81"/>
    <w:rsid w:val="00EA1FFB"/>
    <w:rsid w:val="00EB048E"/>
    <w:rsid w:val="00EB4E9C"/>
    <w:rsid w:val="00EC00B2"/>
    <w:rsid w:val="00EC4208"/>
    <w:rsid w:val="00ED657B"/>
    <w:rsid w:val="00EE34DF"/>
    <w:rsid w:val="00EF2F89"/>
    <w:rsid w:val="00F03E98"/>
    <w:rsid w:val="00F1237A"/>
    <w:rsid w:val="00F22CBD"/>
    <w:rsid w:val="00F272F1"/>
    <w:rsid w:val="00F45372"/>
    <w:rsid w:val="00F560F7"/>
    <w:rsid w:val="00F6334D"/>
    <w:rsid w:val="00FA49AB"/>
    <w:rsid w:val="00FD2A4D"/>
    <w:rsid w:val="00FD3F87"/>
    <w:rsid w:val="00FE39C7"/>
    <w:rsid w:val="00FF262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F645B"/>
  <w15:docId w15:val="{1B23BD0D-E4FE-4129-A730-21C27FCE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424F87"/>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424F87"/>
    <w:rPr>
      <w:sz w:val="24"/>
      <w:u w:val="single"/>
      <w:lang w:val="en-GB" w:eastAsia="pl-PL"/>
    </w:rPr>
  </w:style>
  <w:style w:type="table" w:styleId="TableGrid">
    <w:name w:val="Table Grid"/>
    <w:basedOn w:val="TableNormal"/>
    <w:qFormat/>
    <w:rsid w:val="0042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F87"/>
    <w:pPr>
      <w:ind w:left="720"/>
      <w:contextualSpacing/>
    </w:pPr>
    <w:rPr>
      <w:rFonts w:cs="Mangal"/>
      <w:szCs w:val="26"/>
      <w:lang w:val="en-US" w:bidi="ne-NP"/>
    </w:rPr>
  </w:style>
  <w:style w:type="character" w:styleId="Strong">
    <w:name w:val="Strong"/>
    <w:uiPriority w:val="22"/>
    <w:qFormat/>
    <w:rsid w:val="00424F87"/>
    <w:rPr>
      <w:b/>
      <w:bCs/>
    </w:rPr>
  </w:style>
  <w:style w:type="character" w:customStyle="1" w:styleId="Heading4Char">
    <w:name w:val="Heading 4 Char"/>
    <w:link w:val="Heading4"/>
    <w:rsid w:val="00424F87"/>
    <w:rPr>
      <w:rFonts w:ascii="Arial" w:hAnsi="Arial"/>
      <w:u w:val="single"/>
      <w:lang w:val="fr-FR"/>
    </w:rPr>
  </w:style>
  <w:style w:type="paragraph" w:styleId="BodyTextIndent2">
    <w:name w:val="Body Text Indent 2"/>
    <w:basedOn w:val="Normal"/>
    <w:link w:val="BodyTextIndent2Char"/>
    <w:rsid w:val="00424F87"/>
    <w:pPr>
      <w:ind w:left="851" w:hanging="425"/>
    </w:pPr>
    <w:rPr>
      <w:rFonts w:cs="Mangal"/>
      <w:sz w:val="22"/>
      <w:szCs w:val="22"/>
      <w:lang w:bidi="ne-NP"/>
    </w:rPr>
  </w:style>
  <w:style w:type="character" w:customStyle="1" w:styleId="BodyTextIndent2Char">
    <w:name w:val="Body Text Indent 2 Char"/>
    <w:basedOn w:val="DefaultParagraphFont"/>
    <w:link w:val="BodyTextIndent2"/>
    <w:rsid w:val="00424F87"/>
    <w:rPr>
      <w:rFonts w:ascii="Arial" w:hAnsi="Arial" w:cs="Mangal"/>
      <w:sz w:val="22"/>
      <w:szCs w:val="22"/>
      <w:lang w:val="de-DE" w:bidi="ne-NP"/>
    </w:rPr>
  </w:style>
  <w:style w:type="paragraph" w:styleId="NoSpacing">
    <w:name w:val="No Spacing"/>
    <w:uiPriority w:val="1"/>
    <w:qFormat/>
    <w:rsid w:val="00424F87"/>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424F87"/>
    <w:rPr>
      <w:color w:val="605E5C"/>
      <w:shd w:val="clear" w:color="auto" w:fill="E1DFDD"/>
    </w:rPr>
  </w:style>
  <w:style w:type="paragraph" w:styleId="BodyText3">
    <w:name w:val="Body Text 3"/>
    <w:basedOn w:val="Normal"/>
    <w:link w:val="BodyText3Char"/>
    <w:unhideWhenUsed/>
    <w:rsid w:val="00424F87"/>
    <w:pPr>
      <w:spacing w:after="120"/>
    </w:pPr>
    <w:rPr>
      <w:sz w:val="16"/>
      <w:szCs w:val="16"/>
      <w:lang w:val="en-US"/>
    </w:rPr>
  </w:style>
  <w:style w:type="character" w:customStyle="1" w:styleId="BodyText3Char">
    <w:name w:val="Body Text 3 Char"/>
    <w:basedOn w:val="DefaultParagraphFont"/>
    <w:link w:val="BodyText3"/>
    <w:rsid w:val="00424F87"/>
    <w:rPr>
      <w:rFonts w:ascii="Arial" w:hAnsi="Arial"/>
      <w:sz w:val="16"/>
      <w:szCs w:val="16"/>
    </w:rPr>
  </w:style>
  <w:style w:type="paragraph" w:styleId="BodyText2">
    <w:name w:val="Body Text 2"/>
    <w:basedOn w:val="Normal"/>
    <w:link w:val="BodyText2Char"/>
    <w:semiHidden/>
    <w:unhideWhenUsed/>
    <w:rsid w:val="00424F87"/>
    <w:pPr>
      <w:spacing w:after="120" w:line="480" w:lineRule="auto"/>
    </w:pPr>
    <w:rPr>
      <w:lang w:val="en-US"/>
    </w:rPr>
  </w:style>
  <w:style w:type="character" w:customStyle="1" w:styleId="BodyText2Char">
    <w:name w:val="Body Text 2 Char"/>
    <w:basedOn w:val="DefaultParagraphFont"/>
    <w:link w:val="BodyText2"/>
    <w:semiHidden/>
    <w:rsid w:val="00424F87"/>
    <w:rPr>
      <w:rFonts w:ascii="Arial" w:hAnsi="Arial"/>
    </w:rPr>
  </w:style>
  <w:style w:type="character" w:customStyle="1" w:styleId="FooterChar">
    <w:name w:val="Footer Char"/>
    <w:aliases w:val="doc_path_name Char"/>
    <w:basedOn w:val="DefaultParagraphFont"/>
    <w:link w:val="Footer"/>
    <w:uiPriority w:val="99"/>
    <w:rsid w:val="00424F87"/>
    <w:rPr>
      <w:rFonts w:ascii="Arial" w:hAnsi="Arial"/>
      <w:sz w:val="14"/>
    </w:rPr>
  </w:style>
  <w:style w:type="character" w:customStyle="1" w:styleId="BodyTextChar">
    <w:name w:val="Body Text Char"/>
    <w:basedOn w:val="DefaultParagraphFont"/>
    <w:link w:val="BodyText"/>
    <w:rsid w:val="00424F87"/>
    <w:rPr>
      <w:rFonts w:ascii="Arial" w:hAnsi="Arial"/>
      <w:lang w:val="de-DE"/>
    </w:rPr>
  </w:style>
  <w:style w:type="character" w:customStyle="1" w:styleId="normaltextrun">
    <w:name w:val="normaltextrun"/>
    <w:basedOn w:val="DefaultParagraphFont"/>
    <w:rsid w:val="00424F87"/>
  </w:style>
  <w:style w:type="character" w:customStyle="1" w:styleId="eop">
    <w:name w:val="eop"/>
    <w:basedOn w:val="DefaultParagraphFont"/>
    <w:rsid w:val="00424F87"/>
  </w:style>
  <w:style w:type="paragraph" w:customStyle="1" w:styleId="paragraph">
    <w:name w:val="paragraph"/>
    <w:basedOn w:val="Normal"/>
    <w:rsid w:val="00424F87"/>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424F87"/>
    <w:pPr>
      <w:numPr>
        <w:numId w:val="18"/>
      </w:numPr>
      <w:spacing w:after="160" w:line="300" w:lineRule="auto"/>
      <w:jc w:val="left"/>
    </w:pPr>
    <w:rPr>
      <w:rFonts w:ascii="Calibri" w:hAnsi="Calibri"/>
      <w:sz w:val="21"/>
      <w:szCs w:val="21"/>
      <w:lang w:val="fr-FR" w:eastAsia="fr-FR"/>
    </w:rPr>
  </w:style>
  <w:style w:type="paragraph" w:styleId="NormalIndent">
    <w:name w:val="Normal Indent"/>
    <w:aliases w:val="Text Indent"/>
    <w:basedOn w:val="Normal"/>
    <w:link w:val="NormalIndentChar"/>
    <w:rsid w:val="00424F87"/>
    <w:pPr>
      <w:spacing w:after="160" w:line="300" w:lineRule="auto"/>
      <w:ind w:left="720"/>
      <w:jc w:val="left"/>
    </w:pPr>
    <w:rPr>
      <w:rFonts w:ascii="Calibri" w:hAnsi="Calibri"/>
      <w:sz w:val="21"/>
      <w:szCs w:val="21"/>
      <w:lang w:val="fr-FR" w:eastAsia="fr-FR"/>
    </w:rPr>
  </w:style>
  <w:style w:type="character" w:styleId="Emphasis">
    <w:name w:val="Emphasis"/>
    <w:uiPriority w:val="20"/>
    <w:qFormat/>
    <w:rsid w:val="00424F87"/>
    <w:rPr>
      <w:i/>
      <w:iCs/>
      <w:color w:val="000000"/>
    </w:rPr>
  </w:style>
  <w:style w:type="paragraph" w:styleId="NormalWeb">
    <w:name w:val="Normal (Web)"/>
    <w:basedOn w:val="Normal"/>
    <w:uiPriority w:val="99"/>
    <w:rsid w:val="00424F87"/>
    <w:pPr>
      <w:spacing w:before="100" w:beforeAutospacing="1" w:after="100" w:afterAutospacing="1" w:line="300" w:lineRule="auto"/>
      <w:jc w:val="left"/>
    </w:pPr>
    <w:rPr>
      <w:rFonts w:ascii="Calibri" w:eastAsia="Calibri" w:hAnsi="Calibri"/>
      <w:sz w:val="21"/>
      <w:szCs w:val="24"/>
      <w:lang w:val="en-US" w:eastAsia="fr-FR"/>
    </w:rPr>
  </w:style>
  <w:style w:type="character" w:customStyle="1" w:styleId="Heading5Char">
    <w:name w:val="Heading 5 Char"/>
    <w:link w:val="Heading5"/>
    <w:uiPriority w:val="9"/>
    <w:rsid w:val="00424F87"/>
    <w:rPr>
      <w:rFonts w:ascii="Arial" w:hAnsi="Arial"/>
      <w:i/>
    </w:rPr>
  </w:style>
  <w:style w:type="character" w:customStyle="1" w:styleId="NormalIndentChar">
    <w:name w:val="Normal Indent Char"/>
    <w:aliases w:val="Text Indent Char"/>
    <w:link w:val="NormalIndent"/>
    <w:rsid w:val="00424F87"/>
    <w:rPr>
      <w:rFonts w:ascii="Calibri" w:hAnsi="Calibri"/>
      <w:sz w:val="21"/>
      <w:szCs w:val="21"/>
      <w:lang w:val="fr-FR" w:eastAsia="fr-FR"/>
    </w:rPr>
  </w:style>
  <w:style w:type="table" w:customStyle="1" w:styleId="TableNormal1">
    <w:name w:val="Table Normal1"/>
    <w:uiPriority w:val="2"/>
    <w:semiHidden/>
    <w:unhideWhenUsed/>
    <w:qFormat/>
    <w:rsid w:val="006A3AA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mailto:director@kephis.org" TargetMode="External"/><Relationship Id="rId39" Type="http://schemas.openxmlformats.org/officeDocument/2006/relationships/hyperlink" Target="http://www.agepi.gov.md" TargetMode="External"/><Relationship Id="rId21" Type="http://schemas.openxmlformats.org/officeDocument/2006/relationships/hyperlink" Target="http://eapvp.org/report-data/thailand/meeting-to-intro-actual-info-about-the-upov-system/" TargetMode="External"/><Relationship Id="rId34" Type="http://schemas.openxmlformats.org/officeDocument/2006/relationships/hyperlink" Target="http://www.coboru.pl/Polska/Podstawy_prawne/DU20152166.pdf" TargetMode="External"/><Relationship Id="rId42" Type="http://schemas.openxmlformats.org/officeDocument/2006/relationships/header" Target="header14.xml"/><Relationship Id="rId47" Type="http://schemas.openxmlformats.org/officeDocument/2006/relationships/hyperlink" Target="http://confer.uiesr.sops.gov.ua/miron2022/schedConf/presentations" TargetMode="External"/><Relationship Id="rId50" Type="http://schemas.openxmlformats.org/officeDocument/2006/relationships/hyperlink" Target="https://euipo.europa.eu/knowledge/course/view.php?id=4849"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tiff"/><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yperlink" Target="http://eapvp.org/report-data/lao/international-seminar-held-in-lao-pdr/" TargetMode="Externa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yperlink" Target="http://journal.sops.gov.ua/issue/archive" TargetMode="External"/><Relationship Id="rId53" Type="http://schemas.openxmlformats.org/officeDocument/2006/relationships/header" Target="header1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naro.go.jp/english/laboratory/ncss/dus_growing_test/index.html" TargetMode="External"/><Relationship Id="rId31" Type="http://schemas.openxmlformats.org/officeDocument/2006/relationships/hyperlink" Target="https://www.iponz.govt.nz/about-ip/pvr/fees/" TargetMode="External"/><Relationship Id="rId44" Type="http://schemas.openxmlformats.org/officeDocument/2006/relationships/header" Target="header15.xm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igiteataja.ee/en/eli/530122021003/consolide" TargetMode="External"/><Relationship Id="rId22" Type="http://schemas.openxmlformats.org/officeDocument/2006/relationships/hyperlink" Target="http://eapvp.org/report-data/lao/lao-seminar/" TargetMode="External"/><Relationship Id="rId27" Type="http://schemas.openxmlformats.org/officeDocument/2006/relationships/hyperlink" Target="http://www.kephis.org" TargetMode="External"/><Relationship Id="rId30" Type="http://schemas.openxmlformats.org/officeDocument/2006/relationships/hyperlink" Target="http://www.legislation.govt.nz" TargetMode="External"/><Relationship Id="rId35" Type="http://schemas.openxmlformats.org/officeDocument/2006/relationships/image" Target="media/image5.png"/><Relationship Id="rId43" Type="http://schemas.openxmlformats.org/officeDocument/2006/relationships/hyperlink" Target="mailto:upov.mail@upov.int" TargetMode="External"/><Relationship Id="rId48" Type="http://schemas.openxmlformats.org/officeDocument/2006/relationships/hyperlink" Target="https://conference.ukragroexpert.com.ua/"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urldefense.com/v3/__https:/oapippov.org/__;!!DOxrgLBm!GA10UI3y05h4tPoB5xuUfeMshnmOQdTuF3l__hamHxWinJZOgA7OtrQlJrB0z5qJm4dDyTu2DG6gWVyVDgOUi0_C4pAM$"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yperlink" Target="http://www.coboru.pl/Polska/Podstawy_prawne/D20040567.pdf" TargetMode="External"/><Relationship Id="rId38" Type="http://schemas.openxmlformats.org/officeDocument/2006/relationships/hyperlink" Target="http://www.agepi.gov.md" TargetMode="External"/><Relationship Id="rId46" Type="http://schemas.openxmlformats.org/officeDocument/2006/relationships/hyperlink" Target="https://sops.gov.ua/publication/buleten-3" TargetMode="External"/><Relationship Id="rId20" Type="http://schemas.openxmlformats.org/officeDocument/2006/relationships/hyperlink" Target="http://eapvp.org/report-data/indonesia/ministry-of-agriculture-of-indonesia-held-eapvpf-international-seminar-on-pvp-system/" TargetMode="External"/><Relationship Id="rId41" Type="http://schemas.openxmlformats.org/officeDocument/2006/relationships/hyperlink" Target="https://www.gov.uk/guidance/fees-for-national-listing-and-plant-breeders-rights" TargetMode="Externa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eapvp.org/report-data/lao/the-16th-east-asia-plant-variety-protection-forum-meeting/" TargetMode="External"/><Relationship Id="rId28" Type="http://schemas.openxmlformats.org/officeDocument/2006/relationships/header" Target="header9.xml"/><Relationship Id="rId36" Type="http://schemas.openxmlformats.org/officeDocument/2006/relationships/hyperlink" Target="http://www.coboru.gov.pl" TargetMode="External"/><Relationship Id="rId49" Type="http://schemas.openxmlformats.org/officeDocument/2006/relationships/hyperlink" Target="http://confer.uiesr.sops.gov.ua/3newagr/schedConf/presenta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537F-0017-4E7D-BFFC-3CC35396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c_57_DE.dotx</Template>
  <TotalTime>166</TotalTime>
  <Pages>49</Pages>
  <Words>16025</Words>
  <Characters>110166</Characters>
  <Application>Microsoft Office Word</Application>
  <DocSecurity>0</DocSecurity>
  <Lines>918</Lines>
  <Paragraphs>251</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125940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SANCHEZ VIZCAINO GOMEZ Rosa Maria</dc:creator>
  <cp:lastModifiedBy>SANCHEZ VIZCAINO GOMEZ Rosa Maria</cp:lastModifiedBy>
  <cp:revision>36</cp:revision>
  <cp:lastPrinted>2016-11-22T15:41:00Z</cp:lastPrinted>
  <dcterms:created xsi:type="dcterms:W3CDTF">2023-10-04T11:20:00Z</dcterms:created>
  <dcterms:modified xsi:type="dcterms:W3CDTF">2023-10-04T17:48:00Z</dcterms:modified>
</cp:coreProperties>
</file>