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67709B8" w14:textId="77777777" w:rsidTr="00EB4E9C">
        <w:tc>
          <w:tcPr>
            <w:tcW w:w="6522" w:type="dxa"/>
          </w:tcPr>
          <w:p w14:paraId="29DBA540" w14:textId="77777777" w:rsidR="00DC3802" w:rsidRPr="00AC2883" w:rsidRDefault="00DC3802" w:rsidP="00AC2883">
            <w:r w:rsidRPr="00D250C5">
              <w:rPr>
                <w:noProof/>
                <w:lang w:val="en-US" w:eastAsia="en-US"/>
              </w:rPr>
              <w:drawing>
                <wp:inline distT="0" distB="0" distL="0" distR="0" wp14:anchorId="31A4814D" wp14:editId="0F01329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A5F561A" w14:textId="77777777" w:rsidR="00DC3802" w:rsidRPr="007C1D92" w:rsidRDefault="00DC3802" w:rsidP="00AC2883">
            <w:pPr>
              <w:pStyle w:val="Lettrine"/>
            </w:pPr>
            <w:r>
              <w:t>G</w:t>
            </w:r>
          </w:p>
        </w:tc>
      </w:tr>
      <w:tr w:rsidR="00DC3802" w:rsidRPr="00DA4973" w14:paraId="1F0837C3" w14:textId="77777777" w:rsidTr="00645CA8">
        <w:trPr>
          <w:trHeight w:val="219"/>
        </w:trPr>
        <w:tc>
          <w:tcPr>
            <w:tcW w:w="6522" w:type="dxa"/>
          </w:tcPr>
          <w:p w14:paraId="7FBCD5B8" w14:textId="77777777" w:rsidR="00DC3802" w:rsidRPr="00AC2883" w:rsidRDefault="00DC3802" w:rsidP="00AC2883">
            <w:pPr>
              <w:pStyle w:val="upove"/>
            </w:pPr>
            <w:r>
              <w:t>Internationaler Verband zum Schutz von Pflanzenzüchtungen</w:t>
            </w:r>
          </w:p>
        </w:tc>
        <w:tc>
          <w:tcPr>
            <w:tcW w:w="3117" w:type="dxa"/>
          </w:tcPr>
          <w:p w14:paraId="0A5FFA0B" w14:textId="77777777" w:rsidR="00DC3802" w:rsidRPr="00DA4973" w:rsidRDefault="00DC3802" w:rsidP="00DA4973"/>
        </w:tc>
      </w:tr>
    </w:tbl>
    <w:p w14:paraId="194FFD6C" w14:textId="77777777" w:rsidR="00DC3802" w:rsidRDefault="00DC3802" w:rsidP="00DC3802"/>
    <w:p w14:paraId="2CB9D9F3" w14:textId="77777777"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056167" w14:paraId="56BF3887" w14:textId="77777777" w:rsidTr="00115400">
        <w:tc>
          <w:tcPr>
            <w:tcW w:w="6512" w:type="dxa"/>
          </w:tcPr>
          <w:p w14:paraId="70EAFE37" w14:textId="77777777" w:rsidR="001D736D" w:rsidRPr="00056167" w:rsidRDefault="001D736D" w:rsidP="00115400">
            <w:pPr>
              <w:pStyle w:val="Sessiontc"/>
              <w:spacing w:line="240" w:lineRule="auto"/>
            </w:pPr>
            <w:r>
              <w:t>Der Rat</w:t>
            </w:r>
          </w:p>
          <w:p w14:paraId="02277401" w14:textId="77777777" w:rsidR="007546B2" w:rsidRPr="00056167" w:rsidRDefault="001D736D" w:rsidP="00EF6D30">
            <w:pPr>
              <w:pStyle w:val="Sessiontcplacedate"/>
            </w:pPr>
            <w:r>
              <w:t>Sechsundfünfzigste ordentliche Tagung</w:t>
            </w:r>
          </w:p>
          <w:p w14:paraId="3E99ECC1" w14:textId="77777777" w:rsidR="001D736D" w:rsidRPr="00056167" w:rsidRDefault="001D736D" w:rsidP="00EF6D30">
            <w:pPr>
              <w:pStyle w:val="Sessiontcplacedate"/>
              <w:rPr>
                <w:sz w:val="22"/>
              </w:rPr>
            </w:pPr>
            <w:r>
              <w:t>Genf, 28. Oktober 2022</w:t>
            </w:r>
          </w:p>
        </w:tc>
        <w:tc>
          <w:tcPr>
            <w:tcW w:w="3127" w:type="dxa"/>
          </w:tcPr>
          <w:p w14:paraId="321C9044" w14:textId="77777777" w:rsidR="001D736D" w:rsidRPr="00056167" w:rsidRDefault="00BE3659" w:rsidP="00115400">
            <w:pPr>
              <w:pStyle w:val="Doccode"/>
            </w:pPr>
            <w:r>
              <w:t>C/56/3</w:t>
            </w:r>
          </w:p>
          <w:p w14:paraId="0CD75D9E" w14:textId="77777777" w:rsidR="001D736D" w:rsidRPr="00056167" w:rsidRDefault="001D736D" w:rsidP="00115400">
            <w:pPr>
              <w:pStyle w:val="Docoriginal"/>
            </w:pPr>
            <w:r>
              <w:t>Original:</w:t>
            </w:r>
            <w:r>
              <w:rPr>
                <w:b w:val="0"/>
                <w:spacing w:val="0"/>
              </w:rPr>
              <w:t xml:space="preserve">  englisch</w:t>
            </w:r>
          </w:p>
          <w:p w14:paraId="3D2F32DE" w14:textId="05999A29" w:rsidR="001D736D" w:rsidRPr="00056167" w:rsidRDefault="001D736D" w:rsidP="00DE41B0">
            <w:pPr>
              <w:pStyle w:val="Docoriginal"/>
            </w:pPr>
            <w:r>
              <w:t>Datum:</w:t>
            </w:r>
            <w:r>
              <w:rPr>
                <w:b w:val="0"/>
                <w:spacing w:val="0"/>
              </w:rPr>
              <w:t xml:space="preserve">  </w:t>
            </w:r>
            <w:r w:rsidR="00DE41B0">
              <w:rPr>
                <w:b w:val="0"/>
                <w:spacing w:val="0"/>
              </w:rPr>
              <w:t>15</w:t>
            </w:r>
            <w:r>
              <w:rPr>
                <w:b w:val="0"/>
                <w:spacing w:val="0"/>
              </w:rPr>
              <w:t>. Juli 2022</w:t>
            </w:r>
          </w:p>
        </w:tc>
      </w:tr>
    </w:tbl>
    <w:p w14:paraId="00E870A2" w14:textId="77777777" w:rsidR="001D736D" w:rsidRPr="00056167" w:rsidRDefault="00BE3659" w:rsidP="001D736D">
      <w:pPr>
        <w:pStyle w:val="Titleofdoc0"/>
      </w:pPr>
      <w:r>
        <w:t>Annahme von Dokumenten</w:t>
      </w:r>
    </w:p>
    <w:p w14:paraId="7035A54E" w14:textId="7187F870" w:rsidR="001D736D" w:rsidRPr="00056167" w:rsidRDefault="00DE41B0" w:rsidP="001D736D">
      <w:pPr>
        <w:pStyle w:val="preparedby1"/>
        <w:jc w:val="left"/>
      </w:pPr>
      <w:r>
        <w:t>vom Verbandsbüro erstell</w:t>
      </w:r>
      <w:r w:rsidR="001D736D">
        <w:t>t</w:t>
      </w:r>
      <w:r>
        <w:t>es Dokument</w:t>
      </w:r>
    </w:p>
    <w:p w14:paraId="551392DA" w14:textId="77777777" w:rsidR="001D736D" w:rsidRPr="00056167" w:rsidRDefault="001D736D" w:rsidP="001D736D">
      <w:pPr>
        <w:pStyle w:val="Disclaimer"/>
      </w:pPr>
      <w:r>
        <w:t>Haftungsausschluss:  Dieses Dokument gibt nicht die Grundsätze oder eine Anleitung der UPOV wieder</w:t>
      </w:r>
    </w:p>
    <w:p w14:paraId="6AF5A1C4" w14:textId="77777777" w:rsidR="00BE3659" w:rsidRPr="00056167" w:rsidRDefault="00BE3659" w:rsidP="00BE3659">
      <w:pPr>
        <w:rPr>
          <w:spacing w:val="-2"/>
        </w:rPr>
      </w:pPr>
      <w:r>
        <w:fldChar w:fldCharType="begin"/>
      </w:r>
      <w:r>
        <w:instrText xml:space="preserve"> AUTONUM  </w:instrText>
      </w:r>
      <w:r>
        <w:fldChar w:fldCharType="end"/>
      </w:r>
      <w:r>
        <w:tab/>
        <w:t>Dieses Dokument informiert über folgende Dokumente, um deren Annahme der Rat ersucht werden wird:</w:t>
      </w:r>
    </w:p>
    <w:p w14:paraId="6C4BBD9C" w14:textId="77777777" w:rsidR="00BE3659" w:rsidRPr="00056167" w:rsidRDefault="00BE3659" w:rsidP="00BE3659">
      <w:pPr>
        <w:ind w:left="2268" w:hanging="1701"/>
        <w:rPr>
          <w:bCs/>
          <w:snapToGrid w:val="0"/>
        </w:rPr>
      </w:pPr>
    </w:p>
    <w:p w14:paraId="30B5E89B" w14:textId="77777777" w:rsidR="00BE3659" w:rsidRPr="00056167" w:rsidRDefault="00BE3659" w:rsidP="000A132D">
      <w:pPr>
        <w:ind w:left="567"/>
        <w:rPr>
          <w:bCs/>
          <w:snapToGrid w:val="0"/>
          <w:u w:val="single"/>
        </w:rPr>
      </w:pPr>
      <w:r>
        <w:rPr>
          <w:bCs/>
          <w:snapToGrid w:val="0"/>
          <w:u w:val="single"/>
        </w:rPr>
        <w:t>Informationsdokumente:</w:t>
      </w:r>
    </w:p>
    <w:p w14:paraId="4DA9618B" w14:textId="77777777" w:rsidR="00BE3659" w:rsidRPr="00056167" w:rsidRDefault="00BE3659" w:rsidP="00BE3659"/>
    <w:p w14:paraId="760FE629" w14:textId="4F2DA0D3" w:rsidR="00BE3659" w:rsidRPr="00056167" w:rsidRDefault="00BE3659" w:rsidP="000A132D">
      <w:pPr>
        <w:ind w:left="2880" w:hanging="1710"/>
        <w:jc w:val="left"/>
      </w:pPr>
      <w:r>
        <w:t>UPOV/INF/16</w:t>
      </w:r>
      <w:r>
        <w:tab/>
        <w:t xml:space="preserve">Austauschbare Software (Überarbeitung) (Dokument UPOV/INF/16/11 Draft </w:t>
      </w:r>
      <w:r w:rsidR="003E7112">
        <w:t> </w:t>
      </w:r>
      <w:r>
        <w:t>1)</w:t>
      </w:r>
    </w:p>
    <w:p w14:paraId="5AFDBCD6" w14:textId="77777777" w:rsidR="00BE3659" w:rsidRPr="00056167" w:rsidRDefault="00BE3659" w:rsidP="000A132D">
      <w:pPr>
        <w:jc w:val="left"/>
      </w:pPr>
    </w:p>
    <w:p w14:paraId="53424704" w14:textId="77777777" w:rsidR="00BE3659" w:rsidRPr="00056167" w:rsidRDefault="00BE3659" w:rsidP="000A132D">
      <w:pPr>
        <w:ind w:left="2880" w:hanging="1710"/>
        <w:jc w:val="left"/>
      </w:pPr>
      <w:r>
        <w:t>UPOV/INF/22</w:t>
      </w:r>
      <w:r>
        <w:tab/>
        <w:t>Von Verbandsmitgliedern verwendete Software und Ausrüstung (Überarbeitung)</w:t>
      </w:r>
    </w:p>
    <w:p w14:paraId="30AB4629" w14:textId="77777777" w:rsidR="00BE3659" w:rsidRPr="00056167" w:rsidRDefault="000A132D" w:rsidP="000A132D">
      <w:pPr>
        <w:ind w:left="2880"/>
        <w:jc w:val="left"/>
      </w:pPr>
      <w:r>
        <w:t>(Dokument UPOV/INF/22/9 Draft 1)</w:t>
      </w:r>
    </w:p>
    <w:p w14:paraId="35AF6757" w14:textId="77777777" w:rsidR="00BE3659" w:rsidRPr="00056167" w:rsidRDefault="00BE3659" w:rsidP="000A132D">
      <w:pPr>
        <w:jc w:val="left"/>
      </w:pPr>
    </w:p>
    <w:p w14:paraId="251C4348" w14:textId="77777777" w:rsidR="00BE3659" w:rsidRPr="00056167" w:rsidRDefault="00BE3659" w:rsidP="000A132D">
      <w:pPr>
        <w:ind w:left="2835" w:hanging="1701"/>
        <w:jc w:val="left"/>
      </w:pPr>
      <w:r>
        <w:t>UPOV/INF-EXN</w:t>
      </w:r>
      <w:r>
        <w:tab/>
        <w:t>Liste der UPOV/INF-EXN-Dokumente und Datum der jüngsten Ausgabe (Überarbeitung)</w:t>
      </w:r>
      <w:r>
        <w:br/>
        <w:t>(Dokument UPOV/INF-EXN/16 Draft 1)</w:t>
      </w:r>
    </w:p>
    <w:p w14:paraId="484DF05B" w14:textId="77777777" w:rsidR="00BE3659" w:rsidRPr="00056167" w:rsidRDefault="00BE3659" w:rsidP="000A132D">
      <w:pPr>
        <w:ind w:left="2835" w:hanging="1701"/>
        <w:jc w:val="left"/>
        <w:rPr>
          <w:bCs/>
          <w:snapToGrid w:val="0"/>
        </w:rPr>
      </w:pPr>
    </w:p>
    <w:p w14:paraId="710AACAC" w14:textId="77777777" w:rsidR="00BE3659" w:rsidRPr="00056167" w:rsidRDefault="00BE3659" w:rsidP="00BE3659">
      <w:pPr>
        <w:ind w:left="567"/>
        <w:rPr>
          <w:bCs/>
          <w:snapToGrid w:val="0"/>
          <w:u w:val="single"/>
        </w:rPr>
      </w:pPr>
      <w:r>
        <w:rPr>
          <w:bCs/>
          <w:snapToGrid w:val="0"/>
          <w:u w:val="single"/>
        </w:rPr>
        <w:t xml:space="preserve">Erläuterungen </w:t>
      </w:r>
    </w:p>
    <w:p w14:paraId="418F259D" w14:textId="77777777" w:rsidR="00BE3659" w:rsidRPr="00056167" w:rsidRDefault="00BE3659" w:rsidP="00BE3659">
      <w:pPr>
        <w:ind w:left="1985" w:hanging="851"/>
        <w:jc w:val="left"/>
      </w:pPr>
    </w:p>
    <w:p w14:paraId="2BA2DDDD" w14:textId="77777777" w:rsidR="00BE3659" w:rsidRPr="00056167" w:rsidRDefault="00BE3659" w:rsidP="00DE41B0">
      <w:pPr>
        <w:ind w:left="2880" w:hanging="1710"/>
      </w:pPr>
      <w:r>
        <w:t>UPOV/EXN/DEN</w:t>
      </w:r>
      <w:r>
        <w:tab/>
        <w:t>Erläuterungen zu Sortenbezeichnungen nach dem UPOV-Übereinkommen (Überarbeitung) (Dokument C/56/3, Anlage I)</w:t>
      </w:r>
    </w:p>
    <w:p w14:paraId="22263B5B" w14:textId="77777777" w:rsidR="00BE3659" w:rsidRPr="00056167" w:rsidRDefault="00BE3659" w:rsidP="00DE41B0">
      <w:pPr>
        <w:ind w:left="2880" w:hanging="1710"/>
      </w:pPr>
    </w:p>
    <w:p w14:paraId="2FBFE442" w14:textId="77777777" w:rsidR="00BE3659" w:rsidRPr="00056167" w:rsidRDefault="00BE3659" w:rsidP="00DE41B0">
      <w:pPr>
        <w:ind w:left="2835" w:hanging="1701"/>
      </w:pPr>
      <w:r>
        <w:t>UPOV/EXN/EDV</w:t>
      </w:r>
      <w:r>
        <w:rPr>
          <w:b/>
        </w:rPr>
        <w:tab/>
      </w:r>
      <w:r>
        <w:t>Erläuterungen zu den im wesentlichen abgeleiteten Sorten nach der Akte von 1991 des UPOV-Übereinkommens (Überarbeitung)</w:t>
      </w:r>
      <w:r>
        <w:br/>
        <w:t>(Dokumente C/56/9 und UPOV/EXN/EDV/3 Draft 3)</w:t>
      </w:r>
    </w:p>
    <w:p w14:paraId="6FA4756A" w14:textId="77777777" w:rsidR="00BE3659" w:rsidRPr="00056167" w:rsidRDefault="00BE3659" w:rsidP="00DE41B0">
      <w:pPr>
        <w:ind w:left="2268" w:hanging="1701"/>
        <w:rPr>
          <w:bCs/>
          <w:snapToGrid w:val="0"/>
        </w:rPr>
      </w:pPr>
    </w:p>
    <w:p w14:paraId="1339619D" w14:textId="77777777" w:rsidR="00BE3659" w:rsidRPr="00056167" w:rsidRDefault="00BE3659" w:rsidP="00DE41B0">
      <w:pPr>
        <w:ind w:left="567"/>
        <w:rPr>
          <w:bCs/>
          <w:snapToGrid w:val="0"/>
        </w:rPr>
      </w:pPr>
      <w:r>
        <w:rPr>
          <w:bCs/>
          <w:snapToGrid w:val="0"/>
          <w:u w:val="single"/>
        </w:rPr>
        <w:t>TGP-Dokumente</w:t>
      </w:r>
      <w:r>
        <w:rPr>
          <w:bCs/>
          <w:snapToGrid w:val="0"/>
        </w:rPr>
        <w:t>:</w:t>
      </w:r>
    </w:p>
    <w:p w14:paraId="1B62927D" w14:textId="77777777" w:rsidR="00BE3659" w:rsidRPr="00056167" w:rsidRDefault="00BE3659" w:rsidP="00DE41B0">
      <w:pPr>
        <w:ind w:left="1985" w:hanging="851"/>
      </w:pPr>
    </w:p>
    <w:p w14:paraId="2F9A7FB5" w14:textId="77777777" w:rsidR="00BE3659" w:rsidRPr="00056167" w:rsidRDefault="00BE3659" w:rsidP="00DE41B0">
      <w:pPr>
        <w:ind w:left="1985" w:hanging="851"/>
      </w:pPr>
      <w:r>
        <w:t>TGP/5</w:t>
      </w:r>
      <w:r>
        <w:tab/>
        <w:t>Erfahrung und Zusammenarbeit bei der DUS-Prüfung</w:t>
      </w:r>
    </w:p>
    <w:p w14:paraId="5522025E" w14:textId="77777777" w:rsidR="00BE3659" w:rsidRPr="00056167" w:rsidRDefault="00BE3659" w:rsidP="00DE41B0">
      <w:pPr>
        <w:ind w:left="1985" w:hanging="851"/>
      </w:pPr>
    </w:p>
    <w:p w14:paraId="14C1B228" w14:textId="74976A40" w:rsidR="00BE3659" w:rsidRPr="00056167" w:rsidRDefault="00BE3659" w:rsidP="00DE41B0">
      <w:pPr>
        <w:ind w:left="1985" w:hanging="851"/>
      </w:pPr>
      <w:r>
        <w:tab/>
        <w:t xml:space="preserve">Abschnitt 6: UPOV-Bericht über die technische Prüfung und </w:t>
      </w:r>
      <w:r w:rsidR="00DE41B0">
        <w:br/>
      </w:r>
      <w:r>
        <w:t>UPOV-Sortenbeschreibung (Überarbeitung) (Dokument TGP/5 Abschnitt 6/4 Draft 1)</w:t>
      </w:r>
    </w:p>
    <w:p w14:paraId="65DC727C" w14:textId="77777777" w:rsidR="00BE3659" w:rsidRPr="00056167" w:rsidRDefault="00BE3659" w:rsidP="00DE41B0">
      <w:pPr>
        <w:ind w:left="1985" w:hanging="851"/>
        <w:rPr>
          <w:bCs/>
          <w:snapToGrid w:val="0"/>
        </w:rPr>
      </w:pPr>
    </w:p>
    <w:p w14:paraId="5520E39A" w14:textId="77777777" w:rsidR="00BE3659" w:rsidRPr="00056167" w:rsidRDefault="00BE3659" w:rsidP="00DE41B0">
      <w:pPr>
        <w:ind w:left="1985" w:hanging="851"/>
        <w:rPr>
          <w:rFonts w:cs="Arial"/>
        </w:rPr>
      </w:pPr>
      <w:r>
        <w:t>TGP/8</w:t>
      </w:r>
      <w:r>
        <w:tab/>
        <w:t xml:space="preserve">Prüfungsanlage und Verfahren für die Prüfung der Unterscheidbarkeit, der Homogenität und der Beständigkeit (Überarbeitung) </w:t>
      </w:r>
      <w:r>
        <w:rPr>
          <w:rFonts w:cs="Arial"/>
        </w:rPr>
        <w:t xml:space="preserve">(Dokument </w:t>
      </w:r>
      <w:r>
        <w:rPr>
          <w:bCs/>
          <w:snapToGrid w:val="0"/>
        </w:rPr>
        <w:t>C/56/3, Anlage III)</w:t>
      </w:r>
    </w:p>
    <w:p w14:paraId="69C85BA4" w14:textId="77777777" w:rsidR="00BE3659" w:rsidRPr="00056167" w:rsidRDefault="00BE3659" w:rsidP="00DE41B0">
      <w:pPr>
        <w:ind w:left="2127" w:hanging="993"/>
      </w:pPr>
    </w:p>
    <w:p w14:paraId="46709478" w14:textId="6FD412A2" w:rsidR="00BE3659" w:rsidRPr="00056167" w:rsidRDefault="00BE3659" w:rsidP="00DE41B0">
      <w:pPr>
        <w:ind w:left="1985" w:right="-142" w:hanging="851"/>
        <w:rPr>
          <w:rFonts w:cs="Arial"/>
        </w:rPr>
      </w:pPr>
      <w:r>
        <w:t>TGP/12</w:t>
      </w:r>
      <w:r>
        <w:tab/>
        <w:t xml:space="preserve">Anleitung zu </w:t>
      </w:r>
      <w:bookmarkStart w:id="0" w:name="_GoBack"/>
      <w:bookmarkEnd w:id="0"/>
      <w:r>
        <w:t xml:space="preserve">bestimmten physiologischen Merkmalen (Überarbeitung) </w:t>
      </w:r>
      <w:r w:rsidR="00DE41B0">
        <w:br/>
      </w:r>
      <w:r>
        <w:rPr>
          <w:rFonts w:cs="Arial"/>
        </w:rPr>
        <w:t xml:space="preserve">(Dokument </w:t>
      </w:r>
      <w:r>
        <w:rPr>
          <w:bCs/>
          <w:snapToGrid w:val="0"/>
        </w:rPr>
        <w:t>C/56/3, Anlage  III)</w:t>
      </w:r>
    </w:p>
    <w:p w14:paraId="67FC9D07" w14:textId="77777777" w:rsidR="00BE3659" w:rsidRPr="00056167" w:rsidRDefault="00BE3659" w:rsidP="00DE41B0">
      <w:pPr>
        <w:ind w:left="2127" w:hanging="993"/>
      </w:pPr>
    </w:p>
    <w:p w14:paraId="612102C9" w14:textId="77777777" w:rsidR="000A132D" w:rsidRPr="00D34488" w:rsidRDefault="00BE3659" w:rsidP="00DE41B0">
      <w:pPr>
        <w:ind w:left="1985" w:hanging="851"/>
        <w:rPr>
          <w:bCs/>
          <w:snapToGrid w:val="0"/>
        </w:rPr>
      </w:pPr>
      <w:r>
        <w:t>TGP</w:t>
      </w:r>
      <w:r>
        <w:rPr>
          <w:bCs/>
          <w:snapToGrid w:val="0"/>
        </w:rPr>
        <w:t>/0:</w:t>
      </w:r>
      <w:r>
        <w:rPr>
          <w:bCs/>
          <w:snapToGrid w:val="0"/>
        </w:rPr>
        <w:tab/>
        <w:t>Liste der TGP-Dokumente und Datum der jüngsten Ausgabe (Überarbeitung) (Dokument TGP/0/14 Draft 1)</w:t>
      </w:r>
    </w:p>
    <w:p w14:paraId="4A74D2C7" w14:textId="77777777" w:rsidR="00BE3659" w:rsidRPr="00056167" w:rsidRDefault="00BE3659" w:rsidP="00DE41B0">
      <w:pPr>
        <w:ind w:left="1985" w:hanging="851"/>
        <w:rPr>
          <w:bCs/>
          <w:snapToGrid w:val="0"/>
        </w:rPr>
      </w:pPr>
    </w:p>
    <w:p w14:paraId="7EC6FC7F" w14:textId="504B44B7" w:rsidR="00BE3659" w:rsidRPr="00056167" w:rsidRDefault="00DE41B0" w:rsidP="00BE3659">
      <w:pPr>
        <w:keepNext/>
        <w:rPr>
          <w:color w:val="000000"/>
        </w:rPr>
      </w:pPr>
      <w:r>
        <w:fldChar w:fldCharType="begin"/>
      </w:r>
      <w:r>
        <w:instrText xml:space="preserve"> AUTONUM  </w:instrText>
      </w:r>
      <w:r>
        <w:fldChar w:fldCharType="end"/>
      </w:r>
      <w:r>
        <w:tab/>
      </w:r>
      <w:r w:rsidR="00BE3659">
        <w:t>In diesem Dokument werden folgende Abkürzungen verwendet</w:t>
      </w:r>
      <w:r w:rsidR="00BE3659">
        <w:rPr>
          <w:color w:val="000000"/>
        </w:rPr>
        <w:t>:</w:t>
      </w:r>
    </w:p>
    <w:p w14:paraId="32D19D08" w14:textId="77777777" w:rsidR="00BE3659" w:rsidRPr="00056167" w:rsidRDefault="00BE3659" w:rsidP="00BE3659">
      <w:pPr>
        <w:keepNext/>
        <w:ind w:left="1692" w:hanging="1125"/>
        <w:jc w:val="left"/>
        <w:rPr>
          <w:color w:val="000000"/>
        </w:rPr>
      </w:pPr>
    </w:p>
    <w:p w14:paraId="2E82105A" w14:textId="77777777" w:rsidR="00BE3659" w:rsidRPr="00056167" w:rsidRDefault="00BE3659" w:rsidP="00BE3659">
      <w:pPr>
        <w:keepNext/>
        <w:tabs>
          <w:tab w:val="left" w:pos="567"/>
          <w:tab w:val="left" w:pos="1701"/>
        </w:tabs>
      </w:pPr>
      <w:r>
        <w:tab/>
        <w:t>CAJ:</w:t>
      </w:r>
      <w:r>
        <w:tab/>
        <w:t>Verwaltungs- und Rechtsausschuss</w:t>
      </w:r>
    </w:p>
    <w:p w14:paraId="54B8DAB6" w14:textId="4D567758" w:rsidR="00BE3659" w:rsidRPr="00056167" w:rsidRDefault="00BE3659" w:rsidP="00BE3659">
      <w:pPr>
        <w:tabs>
          <w:tab w:val="left" w:pos="567"/>
          <w:tab w:val="left" w:pos="1701"/>
        </w:tabs>
      </w:pPr>
      <w:r>
        <w:tab/>
        <w:t>TC:</w:t>
      </w:r>
      <w:r>
        <w:tab/>
        <w:t>Technischer Ausschuss</w:t>
      </w:r>
    </w:p>
    <w:p w14:paraId="52AB51BB" w14:textId="2F40ACE8" w:rsidR="00BE3659" w:rsidRDefault="008C6EF6" w:rsidP="008C6EF6">
      <w:pPr>
        <w:tabs>
          <w:tab w:val="left" w:pos="567"/>
          <w:tab w:val="left" w:pos="1701"/>
        </w:tabs>
        <w:jc w:val="center"/>
      </w:pPr>
      <w:r>
        <w:lastRenderedPageBreak/>
        <w:t>C/56/3</w:t>
      </w:r>
    </w:p>
    <w:p w14:paraId="116B5611" w14:textId="44332C64" w:rsidR="00BE3659" w:rsidRDefault="008C6EF6" w:rsidP="008C6EF6">
      <w:pPr>
        <w:tabs>
          <w:tab w:val="left" w:pos="567"/>
          <w:tab w:val="left" w:pos="1701"/>
        </w:tabs>
        <w:jc w:val="center"/>
      </w:pPr>
      <w:r>
        <w:t>page 2</w:t>
      </w:r>
    </w:p>
    <w:p w14:paraId="2B5A54DB" w14:textId="43761745" w:rsidR="008C6EF6" w:rsidRDefault="008C6EF6" w:rsidP="00BE3659">
      <w:pPr>
        <w:tabs>
          <w:tab w:val="left" w:pos="567"/>
          <w:tab w:val="left" w:pos="1701"/>
        </w:tabs>
      </w:pPr>
    </w:p>
    <w:p w14:paraId="2467975F" w14:textId="77777777" w:rsidR="008C6EF6" w:rsidRPr="00056167" w:rsidRDefault="008C6EF6" w:rsidP="00BE3659">
      <w:pPr>
        <w:tabs>
          <w:tab w:val="left" w:pos="567"/>
          <w:tab w:val="left" w:pos="1701"/>
        </w:tabs>
      </w:pPr>
    </w:p>
    <w:p w14:paraId="5DD18990" w14:textId="77777777" w:rsidR="00BE3659" w:rsidRPr="00056167" w:rsidRDefault="00BE3659" w:rsidP="00DE41B0">
      <w:pPr>
        <w:pStyle w:val="Heading1"/>
        <w:rPr>
          <w:snapToGrid w:val="0"/>
        </w:rPr>
      </w:pPr>
      <w:r>
        <w:rPr>
          <w:snapToGrid w:val="0"/>
        </w:rPr>
        <w:t>Informationsdokumente:</w:t>
      </w:r>
    </w:p>
    <w:p w14:paraId="4A974CC7" w14:textId="77777777" w:rsidR="00BE3659" w:rsidRPr="00056167" w:rsidRDefault="00BE3659" w:rsidP="000A132D">
      <w:pPr>
        <w:keepNext/>
        <w:rPr>
          <w:bCs/>
          <w:snapToGrid w:val="0"/>
          <w:u w:val="single"/>
        </w:rPr>
      </w:pPr>
    </w:p>
    <w:p w14:paraId="2969449D" w14:textId="77777777" w:rsidR="00BE3659" w:rsidRPr="00056167" w:rsidRDefault="00BE3659" w:rsidP="00DE41B0">
      <w:pPr>
        <w:pStyle w:val="Heading2"/>
      </w:pPr>
      <w:r>
        <w:t>UPOV/INF/16:  Austauschbare Software (Überarbeitung) (Dokument UPOV/INF/16/11 Draft 1)</w:t>
      </w:r>
    </w:p>
    <w:p w14:paraId="4679F81A" w14:textId="77777777" w:rsidR="00BE3659" w:rsidRPr="00056167" w:rsidRDefault="00BE3659" w:rsidP="00BE3659">
      <w:pPr>
        <w:rPr>
          <w:snapToGrid w:val="0"/>
        </w:rPr>
      </w:pPr>
    </w:p>
    <w:p w14:paraId="502FD8B5" w14:textId="77777777" w:rsidR="00BE3659" w:rsidRPr="00056167" w:rsidRDefault="00BE3659" w:rsidP="00DE41B0">
      <w:r>
        <w:fldChar w:fldCharType="begin"/>
      </w:r>
      <w:r>
        <w:instrText xml:space="preserve"> AUTONUM  </w:instrText>
      </w:r>
      <w:r>
        <w:fldChar w:fldCharType="end"/>
      </w:r>
      <w:r>
        <w:tab/>
        <w:t>Der TC und der CAJ werden ersucht werden, den Vorschlägen zur Überarbeitung von Dokument UPOV/INF/16/10 „Austauschbare Software“, wie in Dokument UPOV/INF/16/11 Draft 1 dargelegt, zuzustimmen.</w:t>
      </w:r>
    </w:p>
    <w:p w14:paraId="56997ABC" w14:textId="77777777" w:rsidR="00BE3659" w:rsidRPr="00056167" w:rsidRDefault="00BE3659" w:rsidP="00BE3659"/>
    <w:p w14:paraId="5906561D" w14:textId="77777777" w:rsidR="00BE3659" w:rsidRPr="00056167" w:rsidRDefault="00BE3659" w:rsidP="00DE41B0">
      <w:pPr>
        <w:pStyle w:val="DecisionParagraphs"/>
        <w:rPr>
          <w:spacing w:val="-2"/>
        </w:rPr>
      </w:pPr>
      <w:r w:rsidRPr="00056167">
        <w:fldChar w:fldCharType="begin"/>
      </w:r>
      <w:r w:rsidRPr="00056167">
        <w:rPr>
          <w:lang w:eastAsia="zh-CN"/>
        </w:rPr>
        <w:instrText xml:space="preserve"> AUTONUM  </w:instrText>
      </w:r>
      <w:r w:rsidRPr="00056167">
        <w:rPr>
          <w:lang w:eastAsia="zh-CN"/>
        </w:rPr>
        <w:fldChar w:fldCharType="end"/>
      </w:r>
      <w:r>
        <w:tab/>
        <w:t xml:space="preserve">Der Rat wird ersucht, die Überarbeitung von Dokument UPOV/INF/16/10 „Austauschbare Software“ auf der Grundlage von Dokument UPOV/INF/16/11 Draft 1 vorbehaltlich der Zustimmung des TC und des </w:t>
      </w:r>
      <w:r>
        <w:rPr>
          <w:spacing w:val="-2"/>
        </w:rPr>
        <w:t>CAJ</w:t>
      </w:r>
      <w:r>
        <w:t xml:space="preserve"> anzunehmen.</w:t>
      </w:r>
    </w:p>
    <w:p w14:paraId="63226BE0" w14:textId="77777777" w:rsidR="00BE3659" w:rsidRPr="00056167" w:rsidRDefault="00BE3659" w:rsidP="00BE3659"/>
    <w:p w14:paraId="3A916C4F" w14:textId="77777777" w:rsidR="00BE3659" w:rsidRPr="00056167" w:rsidRDefault="00BE3659" w:rsidP="004D4C36">
      <w:pPr>
        <w:tabs>
          <w:tab w:val="left" w:pos="5387"/>
          <w:tab w:val="left" w:pos="5954"/>
        </w:tabs>
        <w:rPr>
          <w:i/>
          <w:spacing w:val="-2"/>
        </w:rPr>
      </w:pPr>
    </w:p>
    <w:p w14:paraId="77F4D6CE" w14:textId="77777777" w:rsidR="00BE3659" w:rsidRPr="00DE41B0" w:rsidRDefault="00B06733" w:rsidP="00DE41B0">
      <w:pPr>
        <w:pStyle w:val="Heading2"/>
      </w:pPr>
      <w:r w:rsidRPr="00DE41B0">
        <w:t xml:space="preserve">UPOV/INF/22:  Von Verbandsmitgliedern verwendete Software und Ausrüstung (Überarbeitung) </w:t>
      </w:r>
      <w:r w:rsidRPr="00DE41B0">
        <w:br/>
        <w:t>(Dokument UPOV/INF/22/9 Draft 1)</w:t>
      </w:r>
    </w:p>
    <w:p w14:paraId="06E1A150" w14:textId="77777777" w:rsidR="00BE3659" w:rsidRPr="00056167" w:rsidRDefault="00BE3659" w:rsidP="00BE3659">
      <w:pPr>
        <w:keepNext/>
        <w:keepLines/>
        <w:jc w:val="left"/>
        <w:rPr>
          <w:bCs/>
          <w:snapToGrid w:val="0"/>
          <w:spacing w:val="-4"/>
          <w:u w:val="single"/>
        </w:rPr>
      </w:pPr>
    </w:p>
    <w:p w14:paraId="18F632F0" w14:textId="3C4694AC" w:rsidR="00BE3659" w:rsidRPr="00056167" w:rsidRDefault="00BE3659" w:rsidP="00DE41B0">
      <w:r>
        <w:fldChar w:fldCharType="begin"/>
      </w:r>
      <w:r>
        <w:instrText xml:space="preserve"> AUTONUM  </w:instrText>
      </w:r>
      <w:r>
        <w:fldChar w:fldCharType="end"/>
      </w:r>
      <w:r>
        <w:tab/>
        <w:t xml:space="preserve">Der TC und der CAJ werden ersucht werden, den Vorschlägen zur </w:t>
      </w:r>
      <w:r>
        <w:rPr>
          <w:spacing w:val="-2"/>
        </w:rPr>
        <w:t xml:space="preserve">Überarbeitung von </w:t>
      </w:r>
      <w:r w:rsidR="00DE41B0">
        <w:rPr>
          <w:spacing w:val="-2"/>
        </w:rPr>
        <w:br/>
      </w:r>
      <w:r>
        <w:rPr>
          <w:spacing w:val="-2"/>
        </w:rPr>
        <w:t>Dokument UPOV</w:t>
      </w:r>
      <w:r>
        <w:t xml:space="preserve">/INF/22/8 „Von Verbandsmitgliedern verwendete Software und Ausrüstung“, wie in </w:t>
      </w:r>
      <w:r w:rsidR="00DE41B0">
        <w:br/>
      </w:r>
      <w:r>
        <w:t>Dokument UPOV/INF/22/9 Draft 1 dargelegt, zuzustimmen.</w:t>
      </w:r>
    </w:p>
    <w:p w14:paraId="380CCF7E" w14:textId="77777777" w:rsidR="00BE3659" w:rsidRPr="00056167" w:rsidRDefault="00BE3659" w:rsidP="00BE3659">
      <w:pPr>
        <w:keepNext/>
      </w:pPr>
    </w:p>
    <w:p w14:paraId="5E80F85A" w14:textId="77777777" w:rsidR="00BE3659" w:rsidRPr="00056167" w:rsidRDefault="00BE3659" w:rsidP="00DE41B0">
      <w:pPr>
        <w:pStyle w:val="DecisionParagraphs"/>
      </w:pPr>
      <w:r w:rsidRPr="00056167">
        <w:fldChar w:fldCharType="begin"/>
      </w:r>
      <w:r w:rsidRPr="00056167">
        <w:rPr>
          <w:lang w:eastAsia="zh-CN"/>
        </w:rPr>
        <w:instrText xml:space="preserve"> AUTONUM  </w:instrText>
      </w:r>
      <w:r w:rsidRPr="00056167">
        <w:rPr>
          <w:lang w:eastAsia="zh-CN"/>
        </w:rPr>
        <w:fldChar w:fldCharType="end"/>
      </w:r>
      <w:r>
        <w:tab/>
        <w:t>Der Rat wird ersucht, die Überarbeitung von Dokument UPOV/INF/22/8 „Von Verbandsmitgliedern verwendete Software und Ausrüstung“ auf der Grundlage von Dokument UPOV/INF/22/9 Draft 1 vorbehaltlich der Zustimmung des TC und des CAJ anzunehmen.</w:t>
      </w:r>
    </w:p>
    <w:p w14:paraId="14C47DE6" w14:textId="77777777" w:rsidR="00BE3659" w:rsidRPr="00056167" w:rsidRDefault="00BE3659" w:rsidP="00BE3659"/>
    <w:p w14:paraId="511E94EE" w14:textId="77777777" w:rsidR="00BE3659" w:rsidRPr="00056167" w:rsidRDefault="00BE3659" w:rsidP="00BE3659"/>
    <w:p w14:paraId="1D444707" w14:textId="77777777" w:rsidR="00BE3659" w:rsidRPr="00056167" w:rsidRDefault="00B06733" w:rsidP="00DE41B0">
      <w:pPr>
        <w:pStyle w:val="Heading2"/>
      </w:pPr>
      <w:r>
        <w:t xml:space="preserve">UPOV/INF-EXN:  Liste der UPOV/INF-EXN-Dokumente und Datum der jüngsten Ausgabe (Überarbeitung) </w:t>
      </w:r>
      <w:r>
        <w:br/>
        <w:t xml:space="preserve">(Dokument UPOV/INF-EXN/15 Draft 1) </w:t>
      </w:r>
    </w:p>
    <w:p w14:paraId="5F65A5D7" w14:textId="77777777" w:rsidR="00BE3659" w:rsidRPr="00056167" w:rsidRDefault="00BE3659" w:rsidP="00BE3659">
      <w:pPr>
        <w:keepNext/>
      </w:pPr>
    </w:p>
    <w:p w14:paraId="59982230" w14:textId="77777777" w:rsidR="00BE3659" w:rsidRPr="00056167" w:rsidRDefault="00BE3659" w:rsidP="00DE41B0">
      <w:r>
        <w:fldChar w:fldCharType="begin"/>
      </w:r>
      <w:r>
        <w:instrText xml:space="preserve"> AUTONUM  </w:instrText>
      </w:r>
      <w:r>
        <w:fldChar w:fldCharType="end"/>
      </w:r>
      <w:r>
        <w:tab/>
        <w:t xml:space="preserve">In Verbindung mit den Informationsdokumenten, </w:t>
      </w:r>
      <w:r>
        <w:rPr>
          <w:spacing w:val="-2"/>
        </w:rPr>
        <w:t>um deren</w:t>
      </w:r>
      <w:r>
        <w:t xml:space="preserve"> Annahme der Rat im Jahr 2022 ersucht wird, wird vorgeschlagen, eine Überarbeitung des Dokuments UPOV/INF-EXN/15 „Liste der UPOV/INF</w:t>
      </w:r>
      <w:r>
        <w:noBreakHyphen/>
        <w:t>EXN</w:t>
      </w:r>
      <w:r>
        <w:noBreakHyphen/>
        <w:t>Dokumente und Datum der jüngsten Fassungen“, auf der Grundlage des Dokuments UPOV/INF-EXN/16 Draft 1, anzunehmen.</w:t>
      </w:r>
    </w:p>
    <w:p w14:paraId="3C6479A8" w14:textId="77777777" w:rsidR="00BE3659" w:rsidRPr="00056167" w:rsidRDefault="00BE3659" w:rsidP="00BE3659"/>
    <w:p w14:paraId="7D36FEE0" w14:textId="0077D8E0" w:rsidR="00BE3659" w:rsidRPr="00056167" w:rsidRDefault="00BE3659" w:rsidP="00DE41B0">
      <w:pPr>
        <w:tabs>
          <w:tab w:val="left" w:pos="5387"/>
          <w:tab w:val="left" w:pos="5954"/>
        </w:tabs>
        <w:ind w:left="4820"/>
      </w:pPr>
      <w:r w:rsidRPr="00056167">
        <w:rPr>
          <w:i/>
        </w:rPr>
        <w:fldChar w:fldCharType="begin"/>
      </w:r>
      <w:r w:rsidRPr="00056167">
        <w:rPr>
          <w:i/>
        </w:rPr>
        <w:instrText xml:space="preserve"> AUTONUM  </w:instrText>
      </w:r>
      <w:r w:rsidRPr="00056167">
        <w:rPr>
          <w:i/>
        </w:rPr>
        <w:fldChar w:fldCharType="end"/>
      </w:r>
      <w:r>
        <w:rPr>
          <w:i/>
        </w:rPr>
        <w:tab/>
        <w:t>Der Rat wird ersucht, Dokument UPOV/INF</w:t>
      </w:r>
      <w:r>
        <w:rPr>
          <w:i/>
        </w:rPr>
        <w:noBreakHyphen/>
        <w:t xml:space="preserve">EXN/16 auf der Grundlage von Dokument UPOV/INF-EXN/16 Draft 1 </w:t>
      </w:r>
      <w:r>
        <w:rPr>
          <w:rFonts w:cs="Arial"/>
          <w:i/>
        </w:rPr>
        <w:t>vorbehaltlich der Annahme der betreffenden Dokumente anzunehmen.</w:t>
      </w:r>
      <w:r>
        <w:t xml:space="preserve"> </w:t>
      </w:r>
    </w:p>
    <w:p w14:paraId="41DCE537" w14:textId="77777777" w:rsidR="00BE3659" w:rsidRPr="00056167" w:rsidRDefault="00BE3659" w:rsidP="00BE3659"/>
    <w:p w14:paraId="525242F9" w14:textId="77777777" w:rsidR="00BE3659" w:rsidRPr="00056167" w:rsidRDefault="00BE3659" w:rsidP="00BE3659"/>
    <w:p w14:paraId="38E03C0D" w14:textId="77777777" w:rsidR="00BE3659" w:rsidRPr="00056167" w:rsidRDefault="00BE3659" w:rsidP="00DE41B0">
      <w:pPr>
        <w:pStyle w:val="Heading1"/>
        <w:rPr>
          <w:snapToGrid w:val="0"/>
        </w:rPr>
      </w:pPr>
      <w:r>
        <w:rPr>
          <w:snapToGrid w:val="0"/>
        </w:rPr>
        <w:t>Erläuterungen</w:t>
      </w:r>
    </w:p>
    <w:p w14:paraId="0D6C804A" w14:textId="77777777" w:rsidR="00BE3659" w:rsidRPr="00056167" w:rsidRDefault="00BE3659" w:rsidP="00BE3659">
      <w:pPr>
        <w:keepNext/>
        <w:rPr>
          <w:snapToGrid w:val="0"/>
        </w:rPr>
      </w:pPr>
    </w:p>
    <w:p w14:paraId="168247E4" w14:textId="12006CD4" w:rsidR="00BE3659" w:rsidRPr="00056167" w:rsidRDefault="00B06733" w:rsidP="00DE41B0">
      <w:pPr>
        <w:pStyle w:val="Heading2"/>
      </w:pPr>
      <w:r>
        <w:t>UPOV/EXN/DEN:  Erläuterungen zu Sortenbezeichnungen nach dem UPO</w:t>
      </w:r>
      <w:r w:rsidR="00DE41B0">
        <w:t>V-Übereinkommen (Überarbeitung</w:t>
      </w:r>
      <w:r w:rsidR="00DE41B0" w:rsidRPr="00DE41B0">
        <w:t xml:space="preserve">) </w:t>
      </w:r>
      <w:r w:rsidRPr="00DE41B0">
        <w:t>(Dokument C/56/3, Anlage I)</w:t>
      </w:r>
    </w:p>
    <w:p w14:paraId="1F0CA15D" w14:textId="77777777" w:rsidR="00BE3659" w:rsidRPr="00056167" w:rsidRDefault="00BE3659" w:rsidP="00BE3659">
      <w:pPr>
        <w:rPr>
          <w:strike/>
          <w:snapToGrid w:val="0"/>
        </w:rPr>
      </w:pPr>
    </w:p>
    <w:p w14:paraId="429734B7" w14:textId="77777777" w:rsidR="00632A44" w:rsidRPr="00056167" w:rsidRDefault="00632A44" w:rsidP="00DE41B0">
      <w:r>
        <w:fldChar w:fldCharType="begin"/>
      </w:r>
      <w:r>
        <w:instrText xml:space="preserve"> AUTONUM  </w:instrText>
      </w:r>
      <w:r>
        <w:fldChar w:fldCharType="end"/>
      </w:r>
      <w:r>
        <w:tab/>
        <w:t xml:space="preserve">Der CAJ wird ersucht werden, den Vorschlägen zur </w:t>
      </w:r>
      <w:r>
        <w:rPr>
          <w:spacing w:val="-2"/>
        </w:rPr>
        <w:t>Überarbeitung von Dokument UPOV/EXN/DEN/1 „Erläuterungen zu Sortenbezeichnungen nach dem UPOV-Übereinkommen“,</w:t>
      </w:r>
      <w:r>
        <w:t xml:space="preserve"> wie in Anlage I dieses Dokuments dargelegt, zuzustimmen.</w:t>
      </w:r>
    </w:p>
    <w:p w14:paraId="3DCE38B5" w14:textId="77777777" w:rsidR="00632A44" w:rsidRPr="00056167" w:rsidRDefault="00632A44" w:rsidP="00632A44">
      <w:pPr>
        <w:keepNext/>
      </w:pPr>
    </w:p>
    <w:p w14:paraId="2B6244A2" w14:textId="355BA9A1" w:rsidR="00632A44" w:rsidRPr="00056167" w:rsidRDefault="00632A44" w:rsidP="00DE41B0">
      <w:pPr>
        <w:pStyle w:val="DecisionParagraphs"/>
      </w:pPr>
      <w:r w:rsidRPr="00056167">
        <w:fldChar w:fldCharType="begin"/>
      </w:r>
      <w:r w:rsidRPr="00056167">
        <w:rPr>
          <w:lang w:eastAsia="zh-CN"/>
        </w:rPr>
        <w:instrText xml:space="preserve"> AUTONUM  </w:instrText>
      </w:r>
      <w:r w:rsidRPr="00056167">
        <w:rPr>
          <w:lang w:eastAsia="zh-CN"/>
        </w:rPr>
        <w:fldChar w:fldCharType="end"/>
      </w:r>
      <w:r>
        <w:tab/>
        <w:t xml:space="preserve">Der Rat wird ersucht, eine Überarbeitung des Dokuments UPOV/EXN/DEN/1 „Erläuterungen zu Sortenbezeichnungen nach dem </w:t>
      </w:r>
      <w:r w:rsidR="00DE41B0">
        <w:br/>
      </w:r>
      <w:r>
        <w:t>UPOV-Übereinkommen“ auf der Grundlage der vorgeschlagenen Änderungen, wie in Anlage I dieses Dokuments dargelegt, vorbehaltlich der Zustimmung des CAJ anzunehmen.</w:t>
      </w:r>
    </w:p>
    <w:p w14:paraId="73EFBC43" w14:textId="77777777" w:rsidR="00CC04F2" w:rsidRPr="00056167" w:rsidRDefault="00CC04F2" w:rsidP="00632A44">
      <w:pPr>
        <w:ind w:left="1843" w:hanging="1843"/>
        <w:jc w:val="left"/>
        <w:rPr>
          <w:u w:val="single"/>
        </w:rPr>
      </w:pPr>
    </w:p>
    <w:p w14:paraId="4F164622" w14:textId="77777777" w:rsidR="00CC04F2" w:rsidRPr="00056167" w:rsidRDefault="00CC04F2" w:rsidP="00632A44">
      <w:pPr>
        <w:ind w:left="1843" w:hanging="1843"/>
        <w:jc w:val="left"/>
        <w:rPr>
          <w:u w:val="single"/>
        </w:rPr>
      </w:pPr>
    </w:p>
    <w:p w14:paraId="248D607E" w14:textId="77777777" w:rsidR="004D4C36" w:rsidRPr="00056167" w:rsidRDefault="00632A44" w:rsidP="00DE41B0">
      <w:pPr>
        <w:pStyle w:val="Heading2"/>
      </w:pPr>
      <w:r>
        <w:lastRenderedPageBreak/>
        <w:t>UPOV/EXN/EDV:  Erläuterungen zu den im wesentlichen abgeleiteten Sorten nach der Akte von 1991 des UPOV-Übereinkommens (Überarbeitung) (Dokumente C/56/9 und UPOV/EXN/EDV/3 Draft 3)</w:t>
      </w:r>
    </w:p>
    <w:p w14:paraId="5EBB88F4" w14:textId="77777777" w:rsidR="00BE3659" w:rsidRPr="00056167" w:rsidRDefault="00BE3659" w:rsidP="008277D0"/>
    <w:p w14:paraId="5B81E7E8" w14:textId="77777777" w:rsidR="00C61CCC" w:rsidRPr="00056167" w:rsidRDefault="008277D0" w:rsidP="00DE41B0">
      <w:r w:rsidRPr="00056167">
        <w:fldChar w:fldCharType="begin"/>
      </w:r>
      <w:r w:rsidRPr="00056167">
        <w:instrText xml:space="preserve"> AUTONUM  </w:instrText>
      </w:r>
      <w:r w:rsidRPr="00056167">
        <w:fldChar w:fldCharType="end"/>
      </w:r>
      <w:r>
        <w:tab/>
        <w:t>Dokument C/56/9 „Erläuterungen zu den im Wesentlichen abgeleiteten Sorten nach der Akte von 1991 des UPOV-Übereinkommens” erteilt Informationen zur Unterstützung des Rats bei der Prüfung der überarbeiteten Fassung von Dokument UPOV/EXN/EDV2 (UPOV/EXN/EDV/3 Draft 3).</w:t>
      </w:r>
      <w:r>
        <w:tab/>
      </w:r>
    </w:p>
    <w:p w14:paraId="21AAA55F" w14:textId="77777777" w:rsidR="00C61CCC" w:rsidRPr="00056167" w:rsidRDefault="00C61CCC" w:rsidP="004F5CE1">
      <w:pPr>
        <w:pStyle w:val="DecisionParagraphs"/>
      </w:pPr>
    </w:p>
    <w:p w14:paraId="2A96EB2E" w14:textId="73775F0F" w:rsidR="00CC04F2" w:rsidRPr="00056167" w:rsidRDefault="00C61CCC" w:rsidP="00DE41B0">
      <w:pPr>
        <w:pStyle w:val="DecisionParagraphs"/>
        <w:rPr>
          <w:caps/>
          <w:snapToGrid w:val="0"/>
        </w:rPr>
      </w:pPr>
      <w:r>
        <w:fldChar w:fldCharType="begin"/>
      </w:r>
      <w:r>
        <w:instrText xml:space="preserve"> AUTONUM  </w:instrText>
      </w:r>
      <w:r>
        <w:fldChar w:fldCharType="end"/>
      </w:r>
      <w:r>
        <w:tab/>
        <w:t xml:space="preserve">Der Rat wird ersucht, zur Kenntnis zu nehmen, dass Dokument C/56/9 Informationen zur Unterstützung des Rats bei der Prüfung der überarbeiteten Fassung von </w:t>
      </w:r>
      <w:r w:rsidR="00DE41B0">
        <w:br/>
        <w:t xml:space="preserve">Dokument UPOV/EXN/EDV2 erteilt </w:t>
      </w:r>
      <w:r>
        <w:t>(UPOV/EXN/EDV/3 Draft 3).</w:t>
      </w:r>
    </w:p>
    <w:p w14:paraId="7AC909FE" w14:textId="4586B038" w:rsidR="00CC04F2" w:rsidRDefault="00CC04F2" w:rsidP="00DE41B0">
      <w:pPr>
        <w:pStyle w:val="DecisionParagraphs"/>
        <w:rPr>
          <w:caps/>
          <w:snapToGrid w:val="0"/>
        </w:rPr>
      </w:pPr>
    </w:p>
    <w:p w14:paraId="5B23323A" w14:textId="77777777" w:rsidR="00DE41B0" w:rsidRPr="00056167" w:rsidRDefault="00DE41B0" w:rsidP="00DE41B0">
      <w:pPr>
        <w:pStyle w:val="DecisionParagraphs"/>
        <w:rPr>
          <w:caps/>
          <w:snapToGrid w:val="0"/>
        </w:rPr>
      </w:pPr>
    </w:p>
    <w:p w14:paraId="0D913DA7" w14:textId="77777777" w:rsidR="00BE3659" w:rsidRPr="00056167" w:rsidRDefault="00BE3659" w:rsidP="00DE41B0">
      <w:pPr>
        <w:pStyle w:val="Heading1"/>
        <w:rPr>
          <w:snapToGrid w:val="0"/>
        </w:rPr>
      </w:pPr>
      <w:r>
        <w:rPr>
          <w:snapToGrid w:val="0"/>
        </w:rPr>
        <w:t>TGP-Dokumente</w:t>
      </w:r>
    </w:p>
    <w:p w14:paraId="17F6E432" w14:textId="77777777" w:rsidR="00BE3659" w:rsidRPr="00056167" w:rsidRDefault="00BE3659" w:rsidP="00BE3659">
      <w:pPr>
        <w:keepNext/>
      </w:pPr>
    </w:p>
    <w:p w14:paraId="759D124D" w14:textId="77777777" w:rsidR="00BE3659" w:rsidRPr="00056167" w:rsidRDefault="008277D0" w:rsidP="00DE41B0">
      <w:pPr>
        <w:pStyle w:val="Heading2"/>
      </w:pPr>
      <w:r>
        <w:t>TGP/5:  Erfahrung und Zusammenarbeit bei der DUS-Prüfung, Abschnitt 6: UPOV-Bericht über die technische Prüfung und UPOV-Sortenbeschreibung (Überarbeitung) (Dokument TGP/5: Abschnitt 6/4 Draft 1)</w:t>
      </w:r>
    </w:p>
    <w:p w14:paraId="25D40065" w14:textId="77777777" w:rsidR="00BE3659" w:rsidRPr="00056167" w:rsidRDefault="00BE3659" w:rsidP="00BE3659">
      <w:pPr>
        <w:keepNext/>
        <w:jc w:val="left"/>
        <w:rPr>
          <w:u w:val="single"/>
        </w:rPr>
      </w:pPr>
    </w:p>
    <w:p w14:paraId="511FF63C" w14:textId="77777777" w:rsidR="008277D0" w:rsidRPr="00056167" w:rsidRDefault="008277D0" w:rsidP="00DE41B0">
      <w:r>
        <w:fldChar w:fldCharType="begin"/>
      </w:r>
      <w:r>
        <w:instrText xml:space="preserve"> AUTONUM  </w:instrText>
      </w:r>
      <w:r>
        <w:fldChar w:fldCharType="end"/>
      </w:r>
      <w:r>
        <w:tab/>
        <w:t>Der TC und der CAJ werden ersucht werden, den Vorschlägen zur Überarbeitung von Dokument TGP/5 „Erfahrung und Zusammenarbeit bei der DUS-Prüfung“, Abschnitt  6 „UPOV-Bericht über die technische Prüfung und UPOV-Sortenbeschreibung”, wie in Dokument TGP/5: Abschnitt 6/4 Draft 1 dargelegt, zuzustimmen.</w:t>
      </w:r>
    </w:p>
    <w:p w14:paraId="523649F1" w14:textId="77777777" w:rsidR="008277D0" w:rsidRPr="00056167" w:rsidRDefault="008277D0" w:rsidP="00DE41B0"/>
    <w:p w14:paraId="07BF7CD8" w14:textId="10C7C58C" w:rsidR="008277D0" w:rsidRPr="00056167" w:rsidRDefault="008277D0" w:rsidP="00DE41B0">
      <w:pPr>
        <w:pStyle w:val="DecisionParagraphs"/>
      </w:pPr>
      <w:r w:rsidRPr="00056167">
        <w:fldChar w:fldCharType="begin"/>
      </w:r>
      <w:r w:rsidRPr="00056167">
        <w:rPr>
          <w:lang w:eastAsia="zh-CN"/>
        </w:rPr>
        <w:instrText xml:space="preserve"> AUTONUM  </w:instrText>
      </w:r>
      <w:r w:rsidRPr="00056167">
        <w:rPr>
          <w:lang w:eastAsia="zh-CN"/>
        </w:rPr>
        <w:fldChar w:fldCharType="end"/>
      </w:r>
      <w:r>
        <w:tab/>
        <w:t xml:space="preserve">Der Rat wird ersucht, die Überarbeitung von Dokument TGP/5 „Erfahrung und Zusammenarbeit bei der DUS-Prüfung“, Abschnitt 6/3 „UPOV-Bericht über die technische Prüfung und </w:t>
      </w:r>
      <w:r w:rsidR="00DE41B0">
        <w:br/>
      </w:r>
      <w:r>
        <w:t>UPOV-Sortenbeschreibung”, auf der Grundlage von Dokument TGP/5: Abschnitt 6/4 Draft 1 vorbehaltlich der Zustimmung des TC und des CAJ anzunehmen.</w:t>
      </w:r>
    </w:p>
    <w:p w14:paraId="58251939" w14:textId="77777777" w:rsidR="00BE3659" w:rsidRPr="00056167" w:rsidRDefault="00BE3659" w:rsidP="00BE3659">
      <w:pPr>
        <w:jc w:val="left"/>
        <w:rPr>
          <w:bCs/>
          <w:snapToGrid w:val="0"/>
          <w:szCs w:val="24"/>
          <w:u w:val="single"/>
        </w:rPr>
      </w:pPr>
    </w:p>
    <w:p w14:paraId="224586BC" w14:textId="77777777" w:rsidR="004D4C36" w:rsidRPr="00056167" w:rsidRDefault="004D4C36" w:rsidP="00BE3659">
      <w:pPr>
        <w:jc w:val="left"/>
        <w:rPr>
          <w:bCs/>
          <w:snapToGrid w:val="0"/>
          <w:szCs w:val="24"/>
          <w:u w:val="single"/>
        </w:rPr>
      </w:pPr>
    </w:p>
    <w:p w14:paraId="604EAAC5" w14:textId="77777777" w:rsidR="004D4C36" w:rsidRPr="00056167" w:rsidRDefault="00DF1DE6" w:rsidP="00DE41B0">
      <w:pPr>
        <w:pStyle w:val="Heading2"/>
        <w:rPr>
          <w:rFonts w:cs="Arial"/>
        </w:rPr>
      </w:pPr>
      <w:r>
        <w:t xml:space="preserve">TGP/8:  Prüfungsanlage und Verfahren für die Prüfung der Unterscheidbarkeit, der Homogenität und der Beständigkeit (Überarbeitung) </w:t>
      </w:r>
      <w:r>
        <w:rPr>
          <w:rFonts w:cs="Arial"/>
        </w:rPr>
        <w:t xml:space="preserve">(Dokument </w:t>
      </w:r>
      <w:r>
        <w:rPr>
          <w:bCs/>
          <w:szCs w:val="24"/>
        </w:rPr>
        <w:t>C/56/3, Anlage III</w:t>
      </w:r>
      <w:r>
        <w:t>)</w:t>
      </w:r>
    </w:p>
    <w:p w14:paraId="44FA248D" w14:textId="77777777" w:rsidR="004D4C36" w:rsidRPr="00056167" w:rsidRDefault="004D4C36" w:rsidP="00DE41B0">
      <w:pPr>
        <w:pStyle w:val="Heading2"/>
      </w:pPr>
    </w:p>
    <w:p w14:paraId="4B591F05" w14:textId="5AF239DD" w:rsidR="00D0044C" w:rsidRPr="00056167" w:rsidRDefault="00DF1DE6" w:rsidP="00DE41B0">
      <w:r w:rsidRPr="00056167">
        <w:rPr>
          <w:rFonts w:cs="Arial"/>
        </w:rPr>
        <w:fldChar w:fldCharType="begin"/>
      </w:r>
      <w:r w:rsidRPr="00056167">
        <w:rPr>
          <w:rFonts w:cs="Arial"/>
        </w:rPr>
        <w:instrText xml:space="preserve"> AUTONUM  </w:instrText>
      </w:r>
      <w:r w:rsidRPr="00056167">
        <w:rPr>
          <w:rFonts w:cs="Arial"/>
        </w:rPr>
        <w:fldChar w:fldCharType="end"/>
      </w:r>
      <w:r>
        <w:rPr>
          <w:rFonts w:cs="Arial"/>
        </w:rPr>
        <w:tab/>
      </w:r>
      <w:r>
        <w:t xml:space="preserve">Der CAJ wird ersucht werden, den Vorschlägen des TC zur Änderung von </w:t>
      </w:r>
      <w:r w:rsidR="00DE41B0">
        <w:br/>
      </w:r>
      <w:r>
        <w:t xml:space="preserve">Dokument TGP/8/4 „Prüfungsanlage und Verfahren für die Prüfung der Unterscheidbarkeit, der Homogenität und der Beständigkeit”, wie in Anlage III dieses Dokuments dargelegt, zuzustimmen. </w:t>
      </w:r>
    </w:p>
    <w:p w14:paraId="3507EEF0" w14:textId="77777777" w:rsidR="00D0044C" w:rsidRPr="00056167" w:rsidRDefault="00D0044C" w:rsidP="00D0044C">
      <w:pPr>
        <w:keepNext/>
      </w:pPr>
    </w:p>
    <w:p w14:paraId="0C664B27" w14:textId="77777777" w:rsidR="00DF1DE6" w:rsidRPr="00056167" w:rsidRDefault="00DF1DE6" w:rsidP="00DF1DE6"/>
    <w:p w14:paraId="4B5DC21A" w14:textId="77777777" w:rsidR="00D0044C" w:rsidRPr="00DE41B0" w:rsidRDefault="00D0044C" w:rsidP="00DE41B0">
      <w:pPr>
        <w:pStyle w:val="DecisionParagraphs"/>
      </w:pPr>
      <w:r w:rsidRPr="00DE41B0">
        <w:fldChar w:fldCharType="begin"/>
      </w:r>
      <w:r w:rsidRPr="00DE41B0">
        <w:instrText xml:space="preserve"> AUTONUM  </w:instrText>
      </w:r>
      <w:r w:rsidRPr="00DE41B0">
        <w:fldChar w:fldCharType="end"/>
      </w:r>
      <w:r w:rsidRPr="00DE41B0">
        <w:tab/>
        <w:t>Der Rat wird ersucht, die Überarbeitung von Dokument TGP/8/4 „Prüfungsanlage und Verfahren für die Prüfung der Unterscheidbarkeit, der Homogenität und der Beständigkeit”, wie in Anlage III dieses Dokuments dargelegt, vorbehaltlich der Zustimmung des CAJ anzunehmen.</w:t>
      </w:r>
    </w:p>
    <w:p w14:paraId="0FD451E4" w14:textId="19A2CCDC" w:rsidR="004D4C36" w:rsidRPr="00056167" w:rsidRDefault="004D4C36" w:rsidP="00DF1DE6"/>
    <w:p w14:paraId="5F5661B5" w14:textId="77777777" w:rsidR="00DF1DE6" w:rsidRPr="00056167" w:rsidRDefault="00DF1DE6" w:rsidP="00DF1DE6"/>
    <w:p w14:paraId="0FEF3A58" w14:textId="77777777" w:rsidR="004D4C36" w:rsidRPr="00056167" w:rsidRDefault="004D4C36" w:rsidP="00DE41B0">
      <w:pPr>
        <w:pStyle w:val="Heading2"/>
      </w:pPr>
      <w:r>
        <w:t>TGP/12:  Anleitung zu bestimmten physiologischen Merkmalen (Überarbeitung) (Dokument C/56/3, Anlage III)</w:t>
      </w:r>
    </w:p>
    <w:p w14:paraId="679DF06C" w14:textId="77777777" w:rsidR="004D4C36" w:rsidRPr="00056167" w:rsidRDefault="004D4C36" w:rsidP="004D4C36">
      <w:pPr>
        <w:jc w:val="left"/>
      </w:pPr>
    </w:p>
    <w:p w14:paraId="311D50C1" w14:textId="77777777" w:rsidR="00DF1DE6" w:rsidRPr="00DE41B0" w:rsidRDefault="00D05685" w:rsidP="00D05685">
      <w:pPr>
        <w:keepNext/>
      </w:pPr>
      <w:r>
        <w:fldChar w:fldCharType="begin"/>
      </w:r>
      <w:r>
        <w:instrText xml:space="preserve"> AUTONUM  </w:instrText>
      </w:r>
      <w:r>
        <w:fldChar w:fldCharType="end"/>
      </w:r>
      <w:r w:rsidRPr="00DE41B0">
        <w:tab/>
        <w:t xml:space="preserve">Der CAJ wird ersucht werden, den Vorschlägen des TC zur Änderung von Dokument TGP/12/2 „Anleitung zu bestimmten physiologischen Merkmalen”, wie in Anlage III dieses Dokuments dargelegt, zuzustimmen. </w:t>
      </w:r>
    </w:p>
    <w:p w14:paraId="4CAFB6B5" w14:textId="77777777" w:rsidR="00D05685" w:rsidRPr="00056167" w:rsidRDefault="00D05685" w:rsidP="00D05685">
      <w:pPr>
        <w:keepNext/>
      </w:pPr>
    </w:p>
    <w:p w14:paraId="0C01193F" w14:textId="77777777" w:rsidR="00D05685" w:rsidRPr="00056167" w:rsidRDefault="00D05685" w:rsidP="00D05685">
      <w:pPr>
        <w:keepNext/>
      </w:pPr>
    </w:p>
    <w:p w14:paraId="47785608" w14:textId="130B5E73" w:rsidR="00DF1DE6" w:rsidRPr="008C6EF6" w:rsidRDefault="00DF1DE6" w:rsidP="008C6EF6">
      <w:pPr>
        <w:pStyle w:val="DecisionParagraphs"/>
      </w:pPr>
      <w:r w:rsidRPr="00DE41B0">
        <w:fldChar w:fldCharType="begin"/>
      </w:r>
      <w:r w:rsidRPr="00DE41B0">
        <w:instrText xml:space="preserve"> AUTONUM  </w:instrText>
      </w:r>
      <w:r w:rsidRPr="00DE41B0">
        <w:fldChar w:fldCharType="end"/>
      </w:r>
      <w:r w:rsidRPr="00DE41B0">
        <w:tab/>
        <w:t>Der Rat wird ersucht, die Überarbeitung von Dokument TGP/12/2 „Anleitung zu bestimmten physiologischen Merkmalen”, wie in Anlage III dieses Dokuments dargelegt, vorbehaltlich der Zustimmung des CAJ anzunehmen.</w:t>
      </w:r>
    </w:p>
    <w:p w14:paraId="4BFD6F28" w14:textId="77777777" w:rsidR="008C6EF6" w:rsidRDefault="00DE41B0" w:rsidP="008C6EF6">
      <w:pPr>
        <w:jc w:val="center"/>
        <w:rPr>
          <w:bCs/>
          <w:snapToGrid w:val="0"/>
          <w:szCs w:val="24"/>
          <w:u w:val="single"/>
        </w:rPr>
      </w:pPr>
      <w:r>
        <w:rPr>
          <w:bCs/>
          <w:snapToGrid w:val="0"/>
          <w:szCs w:val="24"/>
          <w:u w:val="single"/>
        </w:rPr>
        <w:br w:type="page"/>
      </w:r>
      <w:r w:rsidR="008C6EF6" w:rsidRPr="008C6EF6">
        <w:lastRenderedPageBreak/>
        <w:t>C/56/3</w:t>
      </w:r>
      <w:r w:rsidR="008C6EF6" w:rsidRPr="008C6EF6">
        <w:br/>
        <w:t>page 4</w:t>
      </w:r>
      <w:r w:rsidR="008C6EF6">
        <w:rPr>
          <w:bCs/>
          <w:snapToGrid w:val="0"/>
          <w:szCs w:val="24"/>
          <w:u w:val="single"/>
        </w:rPr>
        <w:br/>
      </w:r>
    </w:p>
    <w:p w14:paraId="555CB161" w14:textId="77777777" w:rsidR="008C6EF6" w:rsidRDefault="008C6EF6" w:rsidP="008C6EF6">
      <w:pPr>
        <w:jc w:val="center"/>
        <w:rPr>
          <w:bCs/>
          <w:snapToGrid w:val="0"/>
          <w:szCs w:val="24"/>
          <w:u w:val="single"/>
        </w:rPr>
      </w:pPr>
    </w:p>
    <w:p w14:paraId="6E893BE8" w14:textId="600DABF4" w:rsidR="00BE3659" w:rsidRPr="008C6EF6" w:rsidRDefault="00DF1DE6" w:rsidP="008C6EF6">
      <w:pPr>
        <w:pStyle w:val="Heading2"/>
        <w:rPr>
          <w:bCs/>
          <w:szCs w:val="24"/>
        </w:rPr>
      </w:pPr>
      <w:r>
        <w:t>TGP/0:  Liste der TGP-Dokumente und Datum der jüngsten Ausgabe (Überarbeitung) (Dokument TGP/0/14 Draft 1)</w:t>
      </w:r>
    </w:p>
    <w:p w14:paraId="21CC2CAB" w14:textId="77777777" w:rsidR="00BE3659" w:rsidRPr="00E13B27" w:rsidRDefault="00BE3659" w:rsidP="00DE41B0">
      <w:pPr>
        <w:pStyle w:val="Heading2"/>
      </w:pPr>
    </w:p>
    <w:p w14:paraId="30DA597D" w14:textId="77777777" w:rsidR="00BE3659" w:rsidRPr="00E13B27" w:rsidRDefault="00BE3659" w:rsidP="00DE41B0">
      <w:pPr>
        <w:rPr>
          <w:rFonts w:cs="Arial"/>
        </w:rPr>
      </w:pPr>
      <w:r>
        <w:fldChar w:fldCharType="begin"/>
      </w:r>
      <w:r>
        <w:instrText xml:space="preserve"> AUTONUM  </w:instrText>
      </w:r>
      <w:r>
        <w:fldChar w:fldCharType="end"/>
      </w:r>
      <w:r>
        <w:tab/>
        <w:t>In Verbindung mit der Annahme des überarbeiteten TGP-Dokuments durch den Rat im Jahr 2022 wird vorgeschlagen, die Überarbeitung von Dokument TGP/0 „Liste der TGP-Dokumente und Datum der jüngsten Ausgabe“ (Dokument TGP/0/13) auf der Grundlage von Dokument TGP/0/14 Draft 1 anzunehmen.</w:t>
      </w:r>
    </w:p>
    <w:p w14:paraId="43A7E12F" w14:textId="77777777" w:rsidR="00BE3659" w:rsidRPr="00E13B27" w:rsidRDefault="00BE3659" w:rsidP="00BE3659"/>
    <w:p w14:paraId="1A769A93" w14:textId="7DBEB31B" w:rsidR="00BE3659" w:rsidRPr="00E13B27" w:rsidRDefault="00BE3659" w:rsidP="00DE41B0">
      <w:pPr>
        <w:pStyle w:val="DecisionParagraphs"/>
      </w:pPr>
      <w:r w:rsidRPr="00E13B27">
        <w:fldChar w:fldCharType="begin"/>
      </w:r>
      <w:r w:rsidRPr="00E13B27">
        <w:instrText xml:space="preserve"> AUTONUM  </w:instrText>
      </w:r>
      <w:r w:rsidRPr="00E13B27">
        <w:fldChar w:fldCharType="end"/>
      </w:r>
      <w:r>
        <w:tab/>
        <w:t xml:space="preserve">Der Rat wird ersucht, Dokument TGP/0/14 </w:t>
      </w:r>
      <w:r w:rsidR="00DE41B0">
        <w:br/>
      </w:r>
      <w:r>
        <w:t xml:space="preserve">Draft 1 „Liste der TGP-Dokumente und Datum der jüngsten Ausgabe“ vorbehaltlich der Annahme der betreffenden Dokumente anzunehmen. </w:t>
      </w:r>
    </w:p>
    <w:p w14:paraId="5314AC5A" w14:textId="17EA0C6C" w:rsidR="00BE3659" w:rsidRDefault="00BE3659" w:rsidP="00BE3659"/>
    <w:p w14:paraId="08EB3739" w14:textId="77777777" w:rsidR="00DE41B0" w:rsidRPr="00E13B27" w:rsidRDefault="00DE41B0" w:rsidP="00BE3659"/>
    <w:p w14:paraId="5B24E650" w14:textId="4E9D8A34" w:rsidR="00E156CD" w:rsidRDefault="00BE3659" w:rsidP="00056167">
      <w:pPr>
        <w:jc w:val="right"/>
      </w:pPr>
      <w:r>
        <w:t>[Anlagen folgen]</w:t>
      </w:r>
    </w:p>
    <w:p w14:paraId="0CCBBC8B" w14:textId="7F0CD731" w:rsidR="00DE41B0" w:rsidRDefault="00DE41B0" w:rsidP="00056167">
      <w:pPr>
        <w:jc w:val="right"/>
      </w:pPr>
    </w:p>
    <w:p w14:paraId="2AA86392" w14:textId="190099C1" w:rsidR="00DE41B0" w:rsidRDefault="00DE41B0" w:rsidP="00056167">
      <w:pPr>
        <w:jc w:val="right"/>
      </w:pPr>
    </w:p>
    <w:p w14:paraId="3FC82993" w14:textId="77777777" w:rsidR="00DE41B0" w:rsidRDefault="00DE41B0" w:rsidP="00056167">
      <w:pPr>
        <w:jc w:val="right"/>
        <w:sectPr w:rsidR="00DE41B0" w:rsidSect="008C6EF6">
          <w:headerReference w:type="default" r:id="rId9"/>
          <w:pgSz w:w="11907" w:h="16840" w:code="9"/>
          <w:pgMar w:top="510" w:right="1134" w:bottom="1134" w:left="1134" w:header="510" w:footer="680" w:gutter="0"/>
          <w:pgNumType w:start="1"/>
          <w:cols w:space="720"/>
          <w:titlePg/>
          <w:docGrid w:linePitch="272"/>
        </w:sectPr>
      </w:pPr>
    </w:p>
    <w:p w14:paraId="2DABB2B3" w14:textId="65A3F5DE" w:rsidR="00DE41B0" w:rsidRDefault="00DE41B0" w:rsidP="00DE41B0">
      <w:pPr>
        <w:jc w:val="center"/>
      </w:pPr>
      <w:r>
        <w:lastRenderedPageBreak/>
        <w:t>C/56/3</w:t>
      </w:r>
    </w:p>
    <w:p w14:paraId="5E1C384A" w14:textId="77777777" w:rsidR="00DE41B0" w:rsidRPr="00171CB2" w:rsidRDefault="00DE41B0" w:rsidP="00DE41B0">
      <w:pPr>
        <w:jc w:val="center"/>
      </w:pPr>
    </w:p>
    <w:p w14:paraId="2EF34FE6" w14:textId="77777777" w:rsidR="00DE41B0" w:rsidRPr="00171CB2" w:rsidRDefault="00DE41B0" w:rsidP="00DE41B0">
      <w:pPr>
        <w:jc w:val="center"/>
      </w:pPr>
      <w:r w:rsidRPr="00171CB2">
        <w:t>ANLAGE I</w:t>
      </w:r>
    </w:p>
    <w:p w14:paraId="474D0059" w14:textId="77777777" w:rsidR="00DE41B0" w:rsidRPr="00171CB2" w:rsidRDefault="00DE41B0" w:rsidP="00DE41B0"/>
    <w:p w14:paraId="70132F58" w14:textId="77777777" w:rsidR="00DE41B0" w:rsidRPr="00171CB2" w:rsidRDefault="00DE41B0" w:rsidP="00DE41B0"/>
    <w:p w14:paraId="2B0C3B15" w14:textId="77777777" w:rsidR="00DE41B0" w:rsidRPr="00171CB2" w:rsidRDefault="00DE41B0" w:rsidP="00DE41B0">
      <w:pPr>
        <w:rPr>
          <w:u w:val="single"/>
        </w:rPr>
      </w:pPr>
      <w:r w:rsidRPr="00171CB2">
        <w:rPr>
          <w:u w:val="single"/>
        </w:rPr>
        <w:t>Dokument UPOV/EXN/DEN: Erläuterungen zu Sortenbezeichnungen nach dem UPOV-Übereinkommen (Überarbeitung)</w:t>
      </w:r>
    </w:p>
    <w:p w14:paraId="0F434EB4" w14:textId="77777777" w:rsidR="00DE41B0" w:rsidRPr="00171CB2" w:rsidRDefault="00DE41B0" w:rsidP="00DE41B0"/>
    <w:p w14:paraId="242EFA1A" w14:textId="77777777" w:rsidR="00DE41B0" w:rsidRPr="00171CB2" w:rsidRDefault="00DE41B0" w:rsidP="00DE41B0">
      <w:pPr>
        <w:rPr>
          <w:i/>
        </w:rPr>
      </w:pPr>
      <w:r w:rsidRPr="00171CB2">
        <w:rPr>
          <w:i/>
        </w:rPr>
        <w:t xml:space="preserve">Überarbeitung der Sortenbezeichnungsklasse 201 </w:t>
      </w:r>
    </w:p>
    <w:p w14:paraId="393D7F74" w14:textId="77777777" w:rsidR="00DE41B0" w:rsidRPr="00171CB2" w:rsidRDefault="00DE41B0" w:rsidP="00DE41B0"/>
    <w:p w14:paraId="074F4DFA" w14:textId="77777777" w:rsidR="00DE41B0" w:rsidRPr="00171CB2" w:rsidRDefault="00DE41B0" w:rsidP="00DE41B0">
      <w:r w:rsidRPr="00171CB2">
        <w:t>Der TC prüfte auf seiner siebenundfünfzigsten Tagung, die am 25. und 26. Oktober 2021 auf elektronischem Wege abgehalten wurde, einen Vorschlag zur Überarbeitung von Dokument UPOV/EXN/DEN/1, Anlage I, Teil II „Klassen, die mehr als eine Gattung umfassen“, und vereinbarte, die Gattung „</w:t>
      </w:r>
      <w:r w:rsidRPr="00171CB2">
        <w:rPr>
          <w:i/>
          <w:iCs/>
        </w:rPr>
        <w:t>×Trititrigia</w:t>
      </w:r>
      <w:r w:rsidRPr="00171CB2">
        <w:t>“ mit folgendem Wortlaut in Sortenbezeichnungsklasse 201 aufzunehmen (vergleiche Dokument TC/57/25 „Bericht“, Absatz 34):</w:t>
      </w:r>
    </w:p>
    <w:p w14:paraId="086F1237" w14:textId="77777777" w:rsidR="00DE41B0" w:rsidRPr="00171CB2" w:rsidRDefault="00DE41B0" w:rsidP="00DE41B0">
      <w:pPr>
        <w:rPr>
          <w:rFonts w:cs="Arial"/>
        </w:rPr>
      </w:pPr>
    </w:p>
    <w:p w14:paraId="281A89C5" w14:textId="77777777" w:rsidR="00DE41B0" w:rsidRPr="00171CB2" w:rsidRDefault="00DE41B0" w:rsidP="00DE41B0">
      <w:pPr>
        <w:jc w:val="center"/>
        <w:rPr>
          <w:u w:val="single"/>
        </w:rPr>
      </w:pPr>
      <w:r w:rsidRPr="00171CB2">
        <w:t>KLASSENLISTE (Teil II)</w:t>
      </w:r>
    </w:p>
    <w:p w14:paraId="1D24107A" w14:textId="77777777" w:rsidR="00DE41B0" w:rsidRPr="00171CB2" w:rsidRDefault="00DE41B0" w:rsidP="00DE41B0"/>
    <w:p w14:paraId="0B98DDDB" w14:textId="77777777" w:rsidR="00DE41B0" w:rsidRPr="00171CB2" w:rsidRDefault="00DE41B0" w:rsidP="00DE41B0">
      <w:pPr>
        <w:jc w:val="center"/>
        <w:rPr>
          <w:i/>
        </w:rPr>
      </w:pPr>
      <w:r w:rsidRPr="00171CB2">
        <w:rPr>
          <w:i/>
        </w:rPr>
        <w:t>Klassen, die mehr als eine Gattung umfassen</w:t>
      </w:r>
      <w:r w:rsidRPr="00171CB2">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DE41B0" w:rsidRPr="00171CB2" w14:paraId="4EFC9B2D" w14:textId="77777777" w:rsidTr="002002EE">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3E39E" w14:textId="77777777" w:rsidR="00DE41B0" w:rsidRPr="00171CB2" w:rsidRDefault="00DE41B0" w:rsidP="002002EE">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FDBB3" w14:textId="77777777" w:rsidR="00DE41B0" w:rsidRPr="00171CB2" w:rsidRDefault="00DE41B0" w:rsidP="002002EE">
            <w:pPr>
              <w:spacing w:before="40" w:after="40"/>
              <w:jc w:val="center"/>
              <w:rPr>
                <w:sz w:val="18"/>
                <w:szCs w:val="18"/>
              </w:rPr>
            </w:pPr>
            <w:r w:rsidRPr="00171CB2">
              <w:rPr>
                <w:sz w:val="18"/>
                <w:szCs w:val="18"/>
              </w:rPr>
              <w:t>Botanische Namen</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5C1775" w14:textId="77777777" w:rsidR="00DE41B0" w:rsidRPr="00171CB2" w:rsidRDefault="00DE41B0" w:rsidP="002002EE">
            <w:pPr>
              <w:spacing w:before="40" w:after="40"/>
              <w:jc w:val="center"/>
              <w:rPr>
                <w:sz w:val="18"/>
                <w:szCs w:val="18"/>
              </w:rPr>
            </w:pPr>
            <w:r w:rsidRPr="00171CB2">
              <w:rPr>
                <w:sz w:val="18"/>
                <w:szCs w:val="18"/>
              </w:rPr>
              <w:t>UPOV-Codes</w:t>
            </w:r>
          </w:p>
        </w:tc>
      </w:tr>
      <w:tr w:rsidR="00DE41B0" w:rsidRPr="00171CB2" w14:paraId="1559AB49" w14:textId="77777777" w:rsidTr="002002EE">
        <w:trPr>
          <w:cantSplit/>
          <w:tblHeader/>
        </w:trPr>
        <w:tc>
          <w:tcPr>
            <w:tcW w:w="1277" w:type="dxa"/>
            <w:tcBorders>
              <w:top w:val="nil"/>
              <w:left w:val="nil"/>
              <w:bottom w:val="nil"/>
              <w:right w:val="nil"/>
            </w:tcBorders>
          </w:tcPr>
          <w:p w14:paraId="4BD9E59D" w14:textId="77777777" w:rsidR="00DE41B0" w:rsidRPr="00171CB2" w:rsidRDefault="00DE41B0" w:rsidP="002002EE">
            <w:pPr>
              <w:keepNext/>
              <w:spacing w:before="40" w:after="40"/>
              <w:jc w:val="left"/>
              <w:rPr>
                <w:sz w:val="10"/>
                <w:szCs w:val="18"/>
              </w:rPr>
            </w:pPr>
          </w:p>
        </w:tc>
        <w:tc>
          <w:tcPr>
            <w:tcW w:w="4473" w:type="dxa"/>
            <w:tcBorders>
              <w:top w:val="nil"/>
              <w:left w:val="nil"/>
              <w:bottom w:val="nil"/>
              <w:right w:val="nil"/>
            </w:tcBorders>
          </w:tcPr>
          <w:p w14:paraId="014A90D4" w14:textId="77777777" w:rsidR="00DE41B0" w:rsidRPr="00171CB2" w:rsidRDefault="00DE41B0" w:rsidP="002002EE">
            <w:pPr>
              <w:keepNext/>
              <w:spacing w:before="40" w:after="40"/>
              <w:jc w:val="left"/>
              <w:rPr>
                <w:sz w:val="10"/>
                <w:szCs w:val="18"/>
              </w:rPr>
            </w:pPr>
          </w:p>
        </w:tc>
        <w:tc>
          <w:tcPr>
            <w:tcW w:w="4034" w:type="dxa"/>
            <w:tcBorders>
              <w:top w:val="nil"/>
              <w:left w:val="nil"/>
              <w:bottom w:val="nil"/>
              <w:right w:val="nil"/>
            </w:tcBorders>
          </w:tcPr>
          <w:p w14:paraId="24A2D1DC" w14:textId="77777777" w:rsidR="00DE41B0" w:rsidRPr="00171CB2" w:rsidRDefault="00DE41B0" w:rsidP="002002EE">
            <w:pPr>
              <w:keepNext/>
              <w:spacing w:before="40" w:after="40"/>
              <w:jc w:val="left"/>
              <w:rPr>
                <w:sz w:val="10"/>
                <w:szCs w:val="18"/>
              </w:rPr>
            </w:pPr>
          </w:p>
        </w:tc>
      </w:tr>
      <w:tr w:rsidR="00DE41B0" w:rsidRPr="00171CB2" w14:paraId="2B20DC1F" w14:textId="77777777" w:rsidTr="002002EE">
        <w:trPr>
          <w:cantSplit/>
        </w:trPr>
        <w:tc>
          <w:tcPr>
            <w:tcW w:w="1277" w:type="dxa"/>
            <w:tcBorders>
              <w:top w:val="single" w:sz="4" w:space="0" w:color="auto"/>
              <w:left w:val="single" w:sz="4" w:space="0" w:color="auto"/>
              <w:bottom w:val="single" w:sz="4" w:space="0" w:color="auto"/>
              <w:right w:val="single" w:sz="4" w:space="0" w:color="auto"/>
            </w:tcBorders>
            <w:hideMark/>
          </w:tcPr>
          <w:p w14:paraId="2C0CBDA4" w14:textId="77777777" w:rsidR="00DE41B0" w:rsidRPr="00171CB2" w:rsidRDefault="00DE41B0" w:rsidP="002002EE">
            <w:pPr>
              <w:spacing w:before="40" w:after="40"/>
              <w:jc w:val="left"/>
              <w:rPr>
                <w:sz w:val="18"/>
                <w:szCs w:val="18"/>
              </w:rPr>
            </w:pPr>
            <w:r w:rsidRPr="00171CB2">
              <w:rPr>
                <w:sz w:val="18"/>
                <w:szCs w:val="18"/>
              </w:rPr>
              <w:t>Klasse 201</w:t>
            </w:r>
          </w:p>
        </w:tc>
        <w:tc>
          <w:tcPr>
            <w:tcW w:w="4473" w:type="dxa"/>
            <w:tcBorders>
              <w:top w:val="single" w:sz="4" w:space="0" w:color="auto"/>
              <w:left w:val="single" w:sz="4" w:space="0" w:color="auto"/>
              <w:bottom w:val="single" w:sz="4" w:space="0" w:color="auto"/>
              <w:right w:val="single" w:sz="4" w:space="0" w:color="auto"/>
            </w:tcBorders>
            <w:hideMark/>
          </w:tcPr>
          <w:p w14:paraId="7FD3FB8D" w14:textId="77777777" w:rsidR="00DE41B0" w:rsidRPr="00171CB2" w:rsidRDefault="00DE41B0" w:rsidP="002002EE">
            <w:pPr>
              <w:keepNext/>
              <w:spacing w:before="40" w:after="40"/>
              <w:jc w:val="left"/>
              <w:rPr>
                <w:sz w:val="18"/>
                <w:szCs w:val="18"/>
              </w:rPr>
            </w:pPr>
            <w:r w:rsidRPr="00171CB2">
              <w:rPr>
                <w:i/>
                <w:sz w:val="18"/>
                <w:szCs w:val="18"/>
              </w:rPr>
              <w:t>Secale</w:t>
            </w:r>
            <w:r w:rsidRPr="00171CB2">
              <w:rPr>
                <w:sz w:val="18"/>
                <w:szCs w:val="18"/>
              </w:rPr>
              <w:t xml:space="preserve">, </w:t>
            </w:r>
            <w:r w:rsidRPr="00171CB2">
              <w:rPr>
                <w:i/>
                <w:sz w:val="18"/>
                <w:szCs w:val="18"/>
              </w:rPr>
              <w:t>Triticale</w:t>
            </w:r>
            <w:r w:rsidRPr="00171CB2">
              <w:rPr>
                <w:iCs/>
                <w:sz w:val="18"/>
                <w:szCs w:val="18"/>
              </w:rPr>
              <w:t xml:space="preserve">, </w:t>
            </w:r>
            <w:r w:rsidRPr="00171CB2">
              <w:rPr>
                <w:i/>
                <w:sz w:val="18"/>
                <w:szCs w:val="18"/>
              </w:rPr>
              <w:t xml:space="preserve">Triticum, </w:t>
            </w:r>
            <w:r w:rsidRPr="00171CB2">
              <w:rPr>
                <w:rFonts w:cs="Arial"/>
                <w:i/>
                <w:sz w:val="18"/>
                <w:u w:val="single"/>
                <w:shd w:val="pct15" w:color="auto" w:fill="FFFFFF"/>
              </w:rPr>
              <w:t>×Trititrigia</w:t>
            </w:r>
          </w:p>
        </w:tc>
        <w:tc>
          <w:tcPr>
            <w:tcW w:w="4034" w:type="dxa"/>
            <w:tcBorders>
              <w:top w:val="single" w:sz="4" w:space="0" w:color="auto"/>
              <w:left w:val="single" w:sz="4" w:space="0" w:color="auto"/>
              <w:bottom w:val="single" w:sz="4" w:space="0" w:color="auto"/>
              <w:right w:val="single" w:sz="4" w:space="0" w:color="auto"/>
            </w:tcBorders>
            <w:hideMark/>
          </w:tcPr>
          <w:p w14:paraId="026656E9" w14:textId="77777777" w:rsidR="00DE41B0" w:rsidRPr="00171CB2" w:rsidRDefault="00DE41B0" w:rsidP="002002EE">
            <w:pPr>
              <w:keepNext/>
              <w:spacing w:before="40" w:after="40"/>
              <w:jc w:val="left"/>
              <w:rPr>
                <w:sz w:val="18"/>
                <w:szCs w:val="18"/>
              </w:rPr>
            </w:pPr>
            <w:r w:rsidRPr="00171CB2">
              <w:rPr>
                <w:sz w:val="18"/>
                <w:szCs w:val="18"/>
              </w:rPr>
              <w:t xml:space="preserve">SECAL; TRITL; TRITI; </w:t>
            </w:r>
            <w:r w:rsidRPr="00171CB2">
              <w:rPr>
                <w:sz w:val="18"/>
                <w:szCs w:val="18"/>
                <w:u w:val="single"/>
                <w:shd w:val="pct15" w:color="auto" w:fill="FFFFFF"/>
              </w:rPr>
              <w:t>TRITT</w:t>
            </w:r>
          </w:p>
        </w:tc>
      </w:tr>
    </w:tbl>
    <w:p w14:paraId="26A962F0" w14:textId="77777777" w:rsidR="00DE41B0" w:rsidRPr="00171CB2" w:rsidRDefault="00DE41B0" w:rsidP="00DE41B0">
      <w:pPr>
        <w:ind w:left="1134" w:hanging="567"/>
      </w:pPr>
    </w:p>
    <w:p w14:paraId="4B455B37" w14:textId="77777777" w:rsidR="00DE41B0" w:rsidRPr="00171CB2" w:rsidRDefault="00DE41B0" w:rsidP="00DE41B0">
      <w:pPr>
        <w:ind w:left="-142" w:right="312"/>
        <w:jc w:val="right"/>
      </w:pPr>
    </w:p>
    <w:p w14:paraId="3EC93881" w14:textId="77777777" w:rsidR="00DE41B0" w:rsidRPr="00171CB2" w:rsidRDefault="00DE41B0" w:rsidP="00DE41B0">
      <w:pPr>
        <w:jc w:val="left"/>
      </w:pPr>
    </w:p>
    <w:p w14:paraId="48897971" w14:textId="77777777" w:rsidR="00DE41B0" w:rsidRPr="00171CB2" w:rsidRDefault="00DE41B0" w:rsidP="00DE41B0">
      <w:pPr>
        <w:jc w:val="left"/>
      </w:pPr>
    </w:p>
    <w:p w14:paraId="5D04AFF4" w14:textId="77777777" w:rsidR="00DE41B0" w:rsidRPr="00171CB2" w:rsidRDefault="00DE41B0" w:rsidP="00DE41B0">
      <w:pPr>
        <w:jc w:val="left"/>
      </w:pPr>
    </w:p>
    <w:p w14:paraId="17DEFD8F" w14:textId="77777777" w:rsidR="00DE41B0" w:rsidRPr="00171CB2" w:rsidRDefault="00DE41B0" w:rsidP="00DE41B0">
      <w:pPr>
        <w:jc w:val="left"/>
      </w:pPr>
    </w:p>
    <w:p w14:paraId="60B20939" w14:textId="77777777" w:rsidR="00DE41B0" w:rsidRPr="00171CB2" w:rsidRDefault="00DE41B0" w:rsidP="00DE41B0">
      <w:pPr>
        <w:jc w:val="right"/>
      </w:pPr>
      <w:r w:rsidRPr="00171CB2">
        <w:t>[Anlage II folgt]</w:t>
      </w:r>
    </w:p>
    <w:p w14:paraId="2918CB57" w14:textId="77777777" w:rsidR="00DE41B0" w:rsidRPr="00171CB2" w:rsidRDefault="00DE41B0" w:rsidP="00DE41B0">
      <w:pPr>
        <w:sectPr w:rsidR="00DE41B0" w:rsidRPr="00171CB2" w:rsidSect="0004198B">
          <w:pgSz w:w="11907" w:h="16840" w:code="9"/>
          <w:pgMar w:top="510" w:right="1134" w:bottom="1134" w:left="1134" w:header="510" w:footer="680" w:gutter="0"/>
          <w:pgNumType w:start="1"/>
          <w:cols w:space="720"/>
          <w:titlePg/>
        </w:sectPr>
      </w:pPr>
    </w:p>
    <w:p w14:paraId="373D9735" w14:textId="458607AC" w:rsidR="00DE41B0" w:rsidRPr="00171CB2" w:rsidRDefault="00DE41B0" w:rsidP="00DE41B0">
      <w:pPr>
        <w:jc w:val="center"/>
      </w:pPr>
      <w:r>
        <w:lastRenderedPageBreak/>
        <w:t>C/56/3</w:t>
      </w:r>
    </w:p>
    <w:p w14:paraId="50DE947C" w14:textId="77777777" w:rsidR="00DE41B0" w:rsidRPr="00171CB2" w:rsidRDefault="00DE41B0" w:rsidP="00DE41B0">
      <w:pPr>
        <w:jc w:val="center"/>
      </w:pPr>
    </w:p>
    <w:p w14:paraId="05F336C9" w14:textId="77777777" w:rsidR="00DE41B0" w:rsidRPr="00171CB2" w:rsidRDefault="00DE41B0" w:rsidP="00DE41B0">
      <w:pPr>
        <w:jc w:val="center"/>
      </w:pPr>
      <w:r w:rsidRPr="00171CB2">
        <w:t>ANLAGE II</w:t>
      </w:r>
    </w:p>
    <w:p w14:paraId="5B039A6B" w14:textId="703F5BDF" w:rsidR="00DE41B0" w:rsidRPr="00171CB2" w:rsidRDefault="00DE41B0" w:rsidP="00DE41B0"/>
    <w:p w14:paraId="3447DC94" w14:textId="77777777" w:rsidR="00DE41B0" w:rsidRPr="00171CB2" w:rsidRDefault="00DE41B0" w:rsidP="00DE41B0">
      <w:pPr>
        <w:rPr>
          <w:u w:val="single"/>
        </w:rPr>
      </w:pPr>
      <w:r w:rsidRPr="00171CB2">
        <w:rPr>
          <w:u w:val="single"/>
        </w:rPr>
        <w:t>Dokument TGP/8: Prüfungsanlage und Verfahren für die Prüfung der Unterscheidbarkeit, der Homogenität und der Beständigkeit (Überarbeitung)</w:t>
      </w:r>
    </w:p>
    <w:p w14:paraId="43E5EE36" w14:textId="77777777" w:rsidR="00DE41B0" w:rsidRPr="00171CB2" w:rsidRDefault="00DE41B0" w:rsidP="00DE41B0">
      <w:pPr>
        <w:keepNext/>
      </w:pPr>
    </w:p>
    <w:p w14:paraId="66F05C4A" w14:textId="77777777" w:rsidR="00DE41B0" w:rsidRPr="00171CB2" w:rsidRDefault="00DE41B0" w:rsidP="00DE41B0">
      <w:pPr>
        <w:rPr>
          <w:rFonts w:eastAsia="MS Mincho"/>
          <w:i/>
        </w:rPr>
      </w:pPr>
      <w:bookmarkStart w:id="1" w:name="_Toc95126324"/>
      <w:r w:rsidRPr="00171CB2">
        <w:rPr>
          <w:rFonts w:eastAsia="MS Mincho"/>
          <w:i/>
        </w:rPr>
        <w:t xml:space="preserve">Datenverarbeitung zur Erstellung von Sortenbeschreibungen für gemessene quantitative Merkmale </w:t>
      </w:r>
      <w:bookmarkEnd w:id="1"/>
    </w:p>
    <w:p w14:paraId="2E117872" w14:textId="77777777" w:rsidR="00DE41B0" w:rsidRPr="00171CB2" w:rsidRDefault="00DE41B0" w:rsidP="00DE41B0"/>
    <w:p w14:paraId="6F468707" w14:textId="77777777" w:rsidR="00DE41B0" w:rsidRPr="00171CB2" w:rsidRDefault="00DE41B0" w:rsidP="00DE41B0">
      <w:r w:rsidRPr="00171CB2">
        <w:t xml:space="preserve">Der TC stimmte auf seiner siebenundfünfzigsten Tagung, die am 25. und 26. Oktober 2021 auf elektronischem Wege abgehalten wurde, zu, dass die Anleitung zu „Verschiedene Formen, die Sortenbeschreibungen annehmen könnten, und die Bedeutung von Skalenniveaus“ in Dokument TGP/8 </w:t>
      </w:r>
      <w:r w:rsidRPr="00171CB2">
        <w:rPr>
          <w:rFonts w:cs="Arial"/>
        </w:rPr>
        <w:t xml:space="preserve">Teil I Abschnitt 2 „Zu erfassende Daten“ als neuer Abschnitt 2.5 </w:t>
      </w:r>
      <w:r w:rsidRPr="00171CB2">
        <w:t>wie folgt aufgenommen werden soll (vergleiche Dokument TC/57/25 „Bericht“, Absatz 27):</w:t>
      </w:r>
    </w:p>
    <w:p w14:paraId="7FB6FAAB" w14:textId="77777777" w:rsidR="00DE41B0" w:rsidRPr="00171CB2" w:rsidRDefault="00DE41B0" w:rsidP="00DE41B0">
      <w:pPr>
        <w:keepNext/>
      </w:pPr>
    </w:p>
    <w:p w14:paraId="29BB7E50" w14:textId="77777777" w:rsidR="00DE41B0" w:rsidRPr="00171CB2" w:rsidRDefault="00DE41B0" w:rsidP="00DE41B0">
      <w:pPr>
        <w:jc w:val="center"/>
      </w:pPr>
    </w:p>
    <w:p w14:paraId="18E99736" w14:textId="77777777" w:rsidR="00DE41B0" w:rsidRPr="00171CB2" w:rsidRDefault="00DE41B0" w:rsidP="00DE41B0">
      <w:pPr>
        <w:jc w:val="center"/>
        <w:rPr>
          <w:sz w:val="18"/>
        </w:rPr>
      </w:pPr>
      <w:r w:rsidRPr="00171CB2">
        <w:rPr>
          <w:sz w:val="18"/>
        </w:rPr>
        <w:t>„VERSCHIEDENE FORMEN, DIE SORTENBESCHREIBUNGEN ANNEHMEN KÖNNTEN, UND DIE BEDEUTUNG VON SKALENNIVEAUS</w:t>
      </w:r>
    </w:p>
    <w:p w14:paraId="545AA56B" w14:textId="77777777" w:rsidR="00DE41B0" w:rsidRPr="00171CB2" w:rsidRDefault="00DE41B0" w:rsidP="00DE41B0">
      <w:pPr>
        <w:rPr>
          <w:sz w:val="18"/>
        </w:rPr>
      </w:pPr>
    </w:p>
    <w:p w14:paraId="3488D98E" w14:textId="77777777" w:rsidR="00DE41B0" w:rsidRPr="00171CB2" w:rsidRDefault="00DE41B0" w:rsidP="00DE41B0">
      <w:pPr>
        <w:ind w:left="709" w:right="567"/>
        <w:rPr>
          <w:rFonts w:cs="Arial"/>
          <w:sz w:val="18"/>
        </w:rPr>
      </w:pPr>
      <w:r w:rsidRPr="00171CB2">
        <w:rPr>
          <w:rFonts w:cs="Arial"/>
          <w:sz w:val="18"/>
        </w:rPr>
        <w:t>„Sortenbeschreibungen können je nach Zweck der Beschreibung auf verschiedenen Daten basieren. Für die Prüfung der Unterscheidbarkeit oder im amtlichen Dokument, das die Grundlage für die Erteilung des Schutzes bildet, können verschiedene Sortenbeschreibungen verwendet werden. Wenn Sortenbeschreibungen für die Prüfung der Unterscheidbarkeit verwendet werden, ist es wichtig zu berücksichtigen, auf welchen Daten die Beschreibungen für verschiedene Sorten basieren. Besondere Beachtung ist dem potentiellen Einfluss der Jahre und Standorte beizumessen.</w:t>
      </w:r>
    </w:p>
    <w:p w14:paraId="010EF4B5" w14:textId="77777777" w:rsidR="00DE41B0" w:rsidRPr="00171CB2" w:rsidRDefault="00DE41B0" w:rsidP="00DE41B0">
      <w:pPr>
        <w:ind w:left="709" w:right="567"/>
        <w:rPr>
          <w:rFonts w:cs="Arial"/>
          <w:sz w:val="18"/>
        </w:rPr>
      </w:pPr>
    </w:p>
    <w:p w14:paraId="35CE683F" w14:textId="77777777" w:rsidR="00DE41B0" w:rsidRPr="00171CB2" w:rsidRDefault="00DE41B0" w:rsidP="00DE41B0">
      <w:pPr>
        <w:ind w:left="709" w:right="567"/>
        <w:rPr>
          <w:rFonts w:cs="Arial"/>
          <w:sz w:val="18"/>
        </w:rPr>
      </w:pPr>
      <w:r w:rsidRPr="00171CB2">
        <w:rPr>
          <w:rFonts w:cs="Arial"/>
          <w:sz w:val="18"/>
        </w:rPr>
        <w:t>„Die verschiedenen Formen von Sortenbeschreibungen und ihre Bedeutung für die Prüfung der Unterscheidbarkeit lassen sich gemäß den verschiedenen Verfahrensebenen für die Beobachtung eines Merkmals einstufen. Die Verfahrensebenen sind in Dokument TGP/8: Teil I: DUS-Prüfungsanlage und Datenanalyse, Abschnitt 2: Zu erfassende Daten wie folgt definiert:</w:t>
      </w:r>
    </w:p>
    <w:p w14:paraId="4A81FDF9" w14:textId="77777777" w:rsidR="00DE41B0" w:rsidRPr="00171CB2" w:rsidRDefault="00DE41B0" w:rsidP="00DE41B0">
      <w:pPr>
        <w:rPr>
          <w:rFonts w:cs="Arial"/>
        </w:rPr>
      </w:pPr>
    </w:p>
    <w:p w14:paraId="77F90A87" w14:textId="77777777" w:rsidR="00DE41B0" w:rsidRPr="00171CB2" w:rsidRDefault="00DE41B0" w:rsidP="00DE41B0">
      <w:pPr>
        <w:tabs>
          <w:tab w:val="left" w:pos="9072"/>
        </w:tabs>
        <w:autoSpaceDE w:val="0"/>
        <w:autoSpaceDN w:val="0"/>
        <w:adjustRightInd w:val="0"/>
        <w:ind w:left="567"/>
        <w:rPr>
          <w:rFonts w:cs="Arial"/>
          <w:sz w:val="18"/>
        </w:rPr>
      </w:pPr>
      <w:r w:rsidRPr="00171CB2">
        <w:rPr>
          <w:rFonts w:cs="Arial"/>
          <w:i/>
          <w:iCs/>
          <w:position w:val="-1"/>
          <w:sz w:val="18"/>
        </w:rPr>
        <w:t>Tabelle 5: Definition verschiedener Verfahrensebenen zur Betrachtung von Merkmalen</w:t>
      </w:r>
    </w:p>
    <w:p w14:paraId="2815CB6A" w14:textId="77777777" w:rsidR="00DE41B0" w:rsidRPr="00171CB2" w:rsidRDefault="00DE41B0" w:rsidP="00DE41B0">
      <w:pPr>
        <w:autoSpaceDE w:val="0"/>
        <w:autoSpaceDN w:val="0"/>
        <w:adjustRightInd w:val="0"/>
        <w:spacing w:before="2"/>
        <w:rPr>
          <w:rFonts w:cs="Arial"/>
          <w:sz w:val="18"/>
          <w:highlight w:val="lightGray"/>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DE41B0" w:rsidRPr="00171CB2" w14:paraId="5FB49F76"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14:paraId="67296A69" w14:textId="77777777" w:rsidR="00DE41B0" w:rsidRPr="00171CB2" w:rsidRDefault="00DE41B0" w:rsidP="002002EE">
            <w:pPr>
              <w:autoSpaceDE w:val="0"/>
              <w:autoSpaceDN w:val="0"/>
              <w:adjustRightInd w:val="0"/>
              <w:spacing w:before="37"/>
              <w:ind w:left="35"/>
              <w:jc w:val="center"/>
              <w:rPr>
                <w:rFonts w:cs="Arial"/>
                <w:sz w:val="18"/>
                <w:highlight w:val="lightGray"/>
              </w:rPr>
            </w:pPr>
            <w:r w:rsidRPr="00171CB2">
              <w:rPr>
                <w:rFonts w:cs="Arial"/>
                <w:sz w:val="18"/>
                <w:highlight w:val="lightGray"/>
              </w:rPr>
              <w:t>Verfahrensebene</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14:paraId="3AE4343B" w14:textId="77777777" w:rsidR="00DE41B0" w:rsidRPr="00171CB2" w:rsidRDefault="00DE41B0" w:rsidP="002002EE">
            <w:pPr>
              <w:autoSpaceDE w:val="0"/>
              <w:autoSpaceDN w:val="0"/>
              <w:adjustRightInd w:val="0"/>
              <w:spacing w:before="37"/>
              <w:ind w:left="231"/>
              <w:rPr>
                <w:rFonts w:cs="Arial"/>
                <w:sz w:val="18"/>
                <w:highlight w:val="lightGray"/>
              </w:rPr>
            </w:pPr>
            <w:r w:rsidRPr="00171CB2">
              <w:rPr>
                <w:rFonts w:cs="Arial"/>
                <w:sz w:val="18"/>
                <w:highlight w:val="lightGray"/>
              </w:rPr>
              <w:t>Beschreibung der Verfahrensebene</w:t>
            </w:r>
          </w:p>
        </w:tc>
      </w:tr>
      <w:tr w:rsidR="00DE41B0" w:rsidRPr="00E40394" w14:paraId="5A8F718B" w14:textId="77777777" w:rsidTr="002002EE">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14:paraId="2F565E84" w14:textId="77777777" w:rsidR="00DE41B0" w:rsidRPr="00171CB2" w:rsidRDefault="00DE41B0" w:rsidP="002002EE">
            <w:pPr>
              <w:autoSpaceDE w:val="0"/>
              <w:autoSpaceDN w:val="0"/>
              <w:adjustRightInd w:val="0"/>
              <w:spacing w:before="37"/>
              <w:ind w:left="60"/>
              <w:jc w:val="center"/>
              <w:rPr>
                <w:rFonts w:cs="Arial"/>
                <w:sz w:val="18"/>
              </w:rPr>
            </w:pPr>
            <w:r w:rsidRPr="00171CB2">
              <w:rPr>
                <w:rFonts w:cs="Arial"/>
                <w:sz w:val="18"/>
              </w:rPr>
              <w:t>1</w:t>
            </w:r>
          </w:p>
        </w:tc>
        <w:tc>
          <w:tcPr>
            <w:tcW w:w="5245" w:type="dxa"/>
            <w:tcBorders>
              <w:top w:val="single" w:sz="4" w:space="0" w:color="auto"/>
              <w:left w:val="single" w:sz="4" w:space="0" w:color="auto"/>
              <w:bottom w:val="single" w:sz="4" w:space="0" w:color="auto"/>
              <w:right w:val="single" w:sz="4" w:space="0" w:color="auto"/>
            </w:tcBorders>
            <w:hideMark/>
          </w:tcPr>
          <w:p w14:paraId="1F74AFF8" w14:textId="77777777" w:rsidR="00DE41B0" w:rsidRPr="00171CB2" w:rsidRDefault="00DE41B0" w:rsidP="002002EE">
            <w:pPr>
              <w:autoSpaceDE w:val="0"/>
              <w:autoSpaceDN w:val="0"/>
              <w:adjustRightInd w:val="0"/>
              <w:spacing w:before="37"/>
              <w:ind w:left="231"/>
              <w:rPr>
                <w:rFonts w:cs="Arial"/>
                <w:sz w:val="18"/>
              </w:rPr>
            </w:pPr>
            <w:r w:rsidRPr="00171CB2">
              <w:rPr>
                <w:rFonts w:cs="Arial"/>
                <w:sz w:val="18"/>
              </w:rPr>
              <w:t>Merkmale, wie sie sich in der Anbauprüfung ausprägen</w:t>
            </w:r>
          </w:p>
        </w:tc>
      </w:tr>
      <w:tr w:rsidR="00DE41B0" w:rsidRPr="00E40394" w14:paraId="76229116"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4C03C107" w14:textId="77777777" w:rsidR="00DE41B0" w:rsidRPr="00171CB2" w:rsidRDefault="00DE41B0" w:rsidP="002002EE">
            <w:pPr>
              <w:autoSpaceDE w:val="0"/>
              <w:autoSpaceDN w:val="0"/>
              <w:adjustRightInd w:val="0"/>
              <w:spacing w:before="37"/>
              <w:ind w:left="60"/>
              <w:jc w:val="center"/>
              <w:rPr>
                <w:rFonts w:cs="Arial"/>
                <w:sz w:val="18"/>
              </w:rPr>
            </w:pPr>
            <w:r w:rsidRPr="00171CB2">
              <w:rPr>
                <w:rFonts w:cs="Arial"/>
                <w:sz w:val="18"/>
              </w:rPr>
              <w:t>2</w:t>
            </w:r>
          </w:p>
        </w:tc>
        <w:tc>
          <w:tcPr>
            <w:tcW w:w="5245" w:type="dxa"/>
            <w:tcBorders>
              <w:top w:val="single" w:sz="4" w:space="0" w:color="auto"/>
              <w:left w:val="single" w:sz="4" w:space="0" w:color="auto"/>
              <w:bottom w:val="single" w:sz="4" w:space="0" w:color="auto"/>
              <w:right w:val="single" w:sz="4" w:space="0" w:color="auto"/>
            </w:tcBorders>
            <w:hideMark/>
          </w:tcPr>
          <w:p w14:paraId="47111A16" w14:textId="77777777" w:rsidR="00DE41B0" w:rsidRPr="00171CB2" w:rsidRDefault="00DE41B0" w:rsidP="002002EE">
            <w:pPr>
              <w:autoSpaceDE w:val="0"/>
              <w:autoSpaceDN w:val="0"/>
              <w:adjustRightInd w:val="0"/>
              <w:spacing w:before="37"/>
              <w:ind w:left="231"/>
              <w:rPr>
                <w:rFonts w:cs="Arial"/>
                <w:sz w:val="18"/>
              </w:rPr>
            </w:pPr>
            <w:r w:rsidRPr="00171CB2">
              <w:rPr>
                <w:rFonts w:cs="Arial"/>
                <w:sz w:val="18"/>
              </w:rPr>
              <w:t>Daten für die Auswertung von Merkmalen</w:t>
            </w:r>
          </w:p>
        </w:tc>
      </w:tr>
      <w:tr w:rsidR="00DE41B0" w:rsidRPr="00171CB2" w14:paraId="23336883" w14:textId="77777777" w:rsidTr="002002EE">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2724E3B1" w14:textId="77777777" w:rsidR="00DE41B0" w:rsidRPr="00171CB2" w:rsidRDefault="00DE41B0" w:rsidP="002002EE">
            <w:pPr>
              <w:autoSpaceDE w:val="0"/>
              <w:autoSpaceDN w:val="0"/>
              <w:adjustRightInd w:val="0"/>
              <w:spacing w:before="37"/>
              <w:ind w:left="60"/>
              <w:jc w:val="center"/>
              <w:rPr>
                <w:rFonts w:cs="Arial"/>
                <w:sz w:val="18"/>
              </w:rPr>
            </w:pPr>
            <w:r w:rsidRPr="00171CB2">
              <w:rPr>
                <w:rFonts w:cs="Arial"/>
                <w:sz w:val="18"/>
              </w:rPr>
              <w:t>3</w:t>
            </w:r>
          </w:p>
        </w:tc>
        <w:tc>
          <w:tcPr>
            <w:tcW w:w="5245" w:type="dxa"/>
            <w:tcBorders>
              <w:top w:val="single" w:sz="4" w:space="0" w:color="auto"/>
              <w:left w:val="single" w:sz="4" w:space="0" w:color="auto"/>
              <w:bottom w:val="single" w:sz="4" w:space="0" w:color="auto"/>
              <w:right w:val="single" w:sz="4" w:space="0" w:color="auto"/>
            </w:tcBorders>
            <w:hideMark/>
          </w:tcPr>
          <w:p w14:paraId="4D3FC9F4" w14:textId="77777777" w:rsidR="00DE41B0" w:rsidRPr="00171CB2" w:rsidRDefault="00DE41B0" w:rsidP="002002EE">
            <w:pPr>
              <w:autoSpaceDE w:val="0"/>
              <w:autoSpaceDN w:val="0"/>
              <w:adjustRightInd w:val="0"/>
              <w:spacing w:before="37"/>
              <w:ind w:left="231"/>
              <w:rPr>
                <w:rFonts w:cs="Arial"/>
                <w:sz w:val="18"/>
              </w:rPr>
            </w:pPr>
            <w:r w:rsidRPr="00171CB2">
              <w:rPr>
                <w:rFonts w:cs="Arial"/>
                <w:sz w:val="18"/>
              </w:rPr>
              <w:t>Sortenbeschreibung</w:t>
            </w:r>
          </w:p>
        </w:tc>
      </w:tr>
    </w:tbl>
    <w:p w14:paraId="063D3F63" w14:textId="77777777" w:rsidR="00DE41B0" w:rsidRPr="00171CB2" w:rsidRDefault="00DE41B0" w:rsidP="00DE41B0">
      <w:pPr>
        <w:autoSpaceDE w:val="0"/>
        <w:autoSpaceDN w:val="0"/>
        <w:adjustRightInd w:val="0"/>
        <w:spacing w:before="18"/>
        <w:ind w:left="7797"/>
        <w:rPr>
          <w:rFonts w:cs="Arial"/>
          <w:sz w:val="18"/>
        </w:rPr>
      </w:pPr>
    </w:p>
    <w:p w14:paraId="76B56B9D" w14:textId="77777777" w:rsidR="00DE41B0" w:rsidRPr="00171CB2" w:rsidRDefault="00DE41B0" w:rsidP="00DE41B0">
      <w:pPr>
        <w:autoSpaceDE w:val="0"/>
        <w:autoSpaceDN w:val="0"/>
        <w:adjustRightInd w:val="0"/>
        <w:spacing w:before="18"/>
        <w:rPr>
          <w:rFonts w:cs="Arial"/>
        </w:rPr>
      </w:pPr>
    </w:p>
    <w:p w14:paraId="28EE5E26" w14:textId="77777777" w:rsidR="00DE41B0" w:rsidRPr="00171CB2" w:rsidRDefault="00DE41B0" w:rsidP="00DE41B0">
      <w:pPr>
        <w:ind w:left="567" w:right="567"/>
        <w:rPr>
          <w:rFonts w:cs="Arial"/>
          <w:sz w:val="18"/>
        </w:rPr>
      </w:pPr>
      <w:r w:rsidRPr="00171CB2">
        <w:rPr>
          <w:rFonts w:cs="Arial"/>
          <w:sz w:val="18"/>
        </w:rPr>
        <w:t>„Die für die Prüfung der Unterscheidbarkeit maßgeblichenen Verfahrensebenen sind 2 und 3. Ein Vergleich zwischen Sorten in derselben Anbauprüfung (gleiche(s) Jahr(e), gleicher Standort) wird an den in der Anbauprüfung erfassten tatsächlichen Daten durchgeführt. Dieser Ansatz bezieht sich auf die Verfahrensebene 2. Wenn Sorten nicht in derselben Anbauprüfung angebaut werden, müssen sie auf der Grundlage von Sortenbeschreibungen verglichen werden, die sich auf die Verfahrensebene 3 beziehen. Die Identifikation ähnlicher Sorten, die in den Anbauversuch einbezogen werden sollen („Verwaltung der Sortensammlung“), bezieht sich in der Regel auf die Verfahrensebene 3, während sich die Auswertung der Daten innerhalb des Anbauversuchs auf die Verfahrensebene 2 bezieht.</w:t>
      </w:r>
    </w:p>
    <w:p w14:paraId="5B9E91DF" w14:textId="77777777" w:rsidR="00DE41B0" w:rsidRPr="00171CB2" w:rsidRDefault="00DE41B0" w:rsidP="00DE41B0">
      <w:pPr>
        <w:rPr>
          <w:rFonts w:cs="Arial"/>
        </w:rPr>
      </w:pPr>
    </w:p>
    <w:tbl>
      <w:tblPr>
        <w:tblStyle w:val="TableGrid"/>
        <w:tblW w:w="0" w:type="auto"/>
        <w:tblInd w:w="108" w:type="dxa"/>
        <w:tblLook w:val="04A0" w:firstRow="1" w:lastRow="0" w:firstColumn="1" w:lastColumn="0" w:noHBand="0" w:noVBand="1"/>
      </w:tblPr>
      <w:tblGrid>
        <w:gridCol w:w="1598"/>
        <w:gridCol w:w="2231"/>
        <w:gridCol w:w="3004"/>
        <w:gridCol w:w="2688"/>
      </w:tblGrid>
      <w:tr w:rsidR="00DE41B0" w:rsidRPr="00171CB2" w14:paraId="4AF11AEA" w14:textId="77777777" w:rsidTr="002002EE">
        <w:tc>
          <w:tcPr>
            <w:tcW w:w="1598" w:type="dxa"/>
            <w:tcBorders>
              <w:top w:val="single" w:sz="4" w:space="0" w:color="auto"/>
              <w:left w:val="single" w:sz="4" w:space="0" w:color="auto"/>
              <w:bottom w:val="single" w:sz="4" w:space="0" w:color="auto"/>
              <w:right w:val="single" w:sz="4" w:space="0" w:color="auto"/>
            </w:tcBorders>
            <w:hideMark/>
          </w:tcPr>
          <w:p w14:paraId="6D4F0F72" w14:textId="77777777" w:rsidR="00DE41B0" w:rsidRPr="00171CB2" w:rsidRDefault="00DE41B0" w:rsidP="002002EE">
            <w:pPr>
              <w:jc w:val="center"/>
              <w:rPr>
                <w:rFonts w:cs="Arial"/>
                <w:sz w:val="18"/>
              </w:rPr>
            </w:pPr>
            <w:r w:rsidRPr="00171CB2">
              <w:rPr>
                <w:rFonts w:cs="Arial"/>
                <w:sz w:val="18"/>
              </w:rPr>
              <w:t>Verfahrensebene</w:t>
            </w:r>
          </w:p>
        </w:tc>
        <w:tc>
          <w:tcPr>
            <w:tcW w:w="2231" w:type="dxa"/>
            <w:tcBorders>
              <w:top w:val="single" w:sz="4" w:space="0" w:color="auto"/>
              <w:left w:val="single" w:sz="4" w:space="0" w:color="auto"/>
              <w:bottom w:val="single" w:sz="4" w:space="0" w:color="auto"/>
              <w:right w:val="single" w:sz="4" w:space="0" w:color="auto"/>
            </w:tcBorders>
            <w:hideMark/>
          </w:tcPr>
          <w:p w14:paraId="0D1076C9" w14:textId="77777777" w:rsidR="00DE41B0" w:rsidRPr="00171CB2" w:rsidRDefault="00DE41B0" w:rsidP="002002EE">
            <w:pPr>
              <w:jc w:val="center"/>
              <w:rPr>
                <w:rFonts w:cs="Arial"/>
                <w:sz w:val="18"/>
              </w:rPr>
            </w:pPr>
            <w:r w:rsidRPr="00171CB2">
              <w:rPr>
                <w:rFonts w:cs="Arial"/>
                <w:sz w:val="18"/>
              </w:rPr>
              <w:t>Messungen</w:t>
            </w:r>
          </w:p>
          <w:p w14:paraId="4BA9C5ED" w14:textId="77777777" w:rsidR="00DE41B0" w:rsidRPr="00171CB2" w:rsidRDefault="00DE41B0" w:rsidP="002002EE">
            <w:pPr>
              <w:jc w:val="center"/>
              <w:rPr>
                <w:rFonts w:cs="Arial"/>
                <w:sz w:val="18"/>
              </w:rPr>
            </w:pPr>
            <w:r w:rsidRPr="00171CB2">
              <w:rPr>
                <w:rFonts w:cs="Arial"/>
                <w:sz w:val="18"/>
              </w:rPr>
              <w:t>(QN)</w:t>
            </w:r>
          </w:p>
        </w:tc>
        <w:tc>
          <w:tcPr>
            <w:tcW w:w="3004" w:type="dxa"/>
            <w:tcBorders>
              <w:top w:val="single" w:sz="4" w:space="0" w:color="auto"/>
              <w:left w:val="single" w:sz="4" w:space="0" w:color="auto"/>
              <w:bottom w:val="single" w:sz="4" w:space="0" w:color="auto"/>
              <w:right w:val="single" w:sz="4" w:space="0" w:color="auto"/>
            </w:tcBorders>
            <w:hideMark/>
          </w:tcPr>
          <w:p w14:paraId="4B1AE4D2" w14:textId="77777777" w:rsidR="00DE41B0" w:rsidRPr="00171CB2" w:rsidRDefault="00DE41B0" w:rsidP="002002EE">
            <w:pPr>
              <w:jc w:val="center"/>
              <w:rPr>
                <w:rFonts w:cs="Arial"/>
                <w:sz w:val="18"/>
              </w:rPr>
            </w:pPr>
            <w:r w:rsidRPr="00171CB2">
              <w:rPr>
                <w:rFonts w:cs="Arial"/>
                <w:sz w:val="18"/>
              </w:rPr>
              <w:t>Visuelle Erfassung</w:t>
            </w:r>
          </w:p>
          <w:p w14:paraId="61C93051" w14:textId="77777777" w:rsidR="00DE41B0" w:rsidRPr="00171CB2" w:rsidRDefault="00DE41B0" w:rsidP="002002EE">
            <w:pPr>
              <w:jc w:val="center"/>
              <w:rPr>
                <w:rFonts w:cs="Arial"/>
                <w:sz w:val="18"/>
              </w:rPr>
            </w:pPr>
            <w:r w:rsidRPr="00171CB2">
              <w:rPr>
                <w:rFonts w:cs="Arial"/>
                <w:sz w:val="18"/>
              </w:rPr>
              <w:t>(QN/QL/PQ)</w:t>
            </w:r>
          </w:p>
        </w:tc>
        <w:tc>
          <w:tcPr>
            <w:tcW w:w="2688" w:type="dxa"/>
            <w:tcBorders>
              <w:top w:val="single" w:sz="4" w:space="0" w:color="auto"/>
              <w:left w:val="single" w:sz="4" w:space="0" w:color="auto"/>
              <w:bottom w:val="single" w:sz="4" w:space="0" w:color="auto"/>
              <w:right w:val="single" w:sz="4" w:space="0" w:color="auto"/>
            </w:tcBorders>
            <w:hideMark/>
          </w:tcPr>
          <w:p w14:paraId="7E4F8011" w14:textId="77777777" w:rsidR="00DE41B0" w:rsidRPr="00171CB2" w:rsidRDefault="00DE41B0" w:rsidP="002002EE">
            <w:pPr>
              <w:rPr>
                <w:rFonts w:cs="Arial"/>
                <w:sz w:val="18"/>
              </w:rPr>
            </w:pPr>
            <w:r w:rsidRPr="00171CB2">
              <w:rPr>
                <w:rFonts w:cs="Arial"/>
                <w:sz w:val="18"/>
              </w:rPr>
              <w:t>Bemerkung</w:t>
            </w:r>
          </w:p>
        </w:tc>
      </w:tr>
      <w:tr w:rsidR="00DE41B0" w:rsidRPr="00E40394" w14:paraId="1FF0EE97" w14:textId="77777777" w:rsidTr="002002EE">
        <w:tc>
          <w:tcPr>
            <w:tcW w:w="1598" w:type="dxa"/>
            <w:tcBorders>
              <w:top w:val="single" w:sz="4" w:space="0" w:color="auto"/>
              <w:left w:val="single" w:sz="4" w:space="0" w:color="auto"/>
              <w:bottom w:val="single" w:sz="4" w:space="0" w:color="auto"/>
              <w:right w:val="single" w:sz="4" w:space="0" w:color="auto"/>
            </w:tcBorders>
            <w:hideMark/>
          </w:tcPr>
          <w:p w14:paraId="1EA25DE6" w14:textId="77777777" w:rsidR="00DE41B0" w:rsidRPr="00171CB2" w:rsidRDefault="00DE41B0" w:rsidP="002002EE">
            <w:pPr>
              <w:spacing w:before="240"/>
              <w:jc w:val="center"/>
              <w:rPr>
                <w:rFonts w:cs="Arial"/>
                <w:sz w:val="18"/>
              </w:rPr>
            </w:pPr>
            <w:r w:rsidRPr="00171CB2">
              <w:rPr>
                <w:rFonts w:cs="Arial"/>
                <w:sz w:val="18"/>
              </w:rPr>
              <w:t>2</w:t>
            </w:r>
          </w:p>
        </w:tc>
        <w:tc>
          <w:tcPr>
            <w:tcW w:w="2231" w:type="dxa"/>
            <w:tcBorders>
              <w:top w:val="single" w:sz="4" w:space="0" w:color="auto"/>
              <w:left w:val="single" w:sz="4" w:space="0" w:color="auto"/>
              <w:bottom w:val="single" w:sz="4" w:space="0" w:color="auto"/>
              <w:right w:val="single" w:sz="4" w:space="0" w:color="auto"/>
            </w:tcBorders>
            <w:hideMark/>
          </w:tcPr>
          <w:p w14:paraId="55F900B1" w14:textId="77777777" w:rsidR="00DE41B0" w:rsidRPr="00171CB2" w:rsidRDefault="00DE41B0" w:rsidP="002002EE">
            <w:pPr>
              <w:rPr>
                <w:rFonts w:cs="Arial"/>
                <w:sz w:val="18"/>
              </w:rPr>
            </w:pPr>
            <w:r w:rsidRPr="00171CB2">
              <w:rPr>
                <w:noProof/>
                <w:lang w:val="en-US" w:eastAsia="en-US"/>
              </w:rPr>
              <mc:AlternateContent>
                <mc:Choice Requires="wps">
                  <w:drawing>
                    <wp:anchor distT="0" distB="0" distL="114300" distR="114300" simplePos="0" relativeHeight="251659264" behindDoc="0" locked="0" layoutInCell="1" allowOverlap="1" wp14:anchorId="71539E5B" wp14:editId="2FEEEFDD">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2EB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Yz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" adj="19562" fillcolor="#4f81bd" strokecolor="#385d8a" strokeweight="2pt"/>
                  </w:pict>
                </mc:Fallback>
              </mc:AlternateContent>
            </w:r>
            <w:r w:rsidRPr="00171CB2">
              <w:rPr>
                <w:rFonts w:cs="Arial"/>
                <w:sz w:val="18"/>
              </w:rPr>
              <w:t>Werte</w:t>
            </w:r>
          </w:p>
        </w:tc>
        <w:tc>
          <w:tcPr>
            <w:tcW w:w="3004" w:type="dxa"/>
            <w:tcBorders>
              <w:top w:val="single" w:sz="4" w:space="0" w:color="auto"/>
              <w:left w:val="single" w:sz="4" w:space="0" w:color="auto"/>
              <w:bottom w:val="single" w:sz="4" w:space="0" w:color="auto"/>
              <w:right w:val="single" w:sz="4" w:space="0" w:color="auto"/>
            </w:tcBorders>
            <w:hideMark/>
          </w:tcPr>
          <w:p w14:paraId="4C9C72B9" w14:textId="77777777" w:rsidR="00DE41B0" w:rsidRPr="00171CB2" w:rsidRDefault="00DE41B0" w:rsidP="002002EE">
            <w:pPr>
              <w:rPr>
                <w:rFonts w:cs="Arial"/>
                <w:sz w:val="18"/>
              </w:rPr>
            </w:pPr>
            <w:r w:rsidRPr="00171CB2">
              <w:rPr>
                <w:noProof/>
                <w:lang w:val="en-US" w:eastAsia="en-US"/>
              </w:rPr>
              <mc:AlternateContent>
                <mc:Choice Requires="wps">
                  <w:drawing>
                    <wp:anchor distT="0" distB="0" distL="114300" distR="114300" simplePos="0" relativeHeight="251660288" behindDoc="0" locked="0" layoutInCell="1" allowOverlap="1" wp14:anchorId="7C74ACDA" wp14:editId="2318108C">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D632"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w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" adj="19562" fillcolor="#4f81bd" strokecolor="#385d8a" strokeweight="2pt"/>
                  </w:pict>
                </mc:Fallback>
              </mc:AlternateContent>
            </w:r>
            <w:r w:rsidRPr="00171CB2">
              <w:rPr>
                <w:rFonts w:cs="Arial"/>
                <w:sz w:val="18"/>
              </w:rPr>
              <w:t>Noten</w:t>
            </w:r>
          </w:p>
        </w:tc>
        <w:tc>
          <w:tcPr>
            <w:tcW w:w="2688" w:type="dxa"/>
            <w:tcBorders>
              <w:top w:val="single" w:sz="4" w:space="0" w:color="auto"/>
              <w:left w:val="single" w:sz="4" w:space="0" w:color="auto"/>
              <w:bottom w:val="single" w:sz="4" w:space="0" w:color="auto"/>
              <w:right w:val="single" w:sz="4" w:space="0" w:color="auto"/>
            </w:tcBorders>
          </w:tcPr>
          <w:p w14:paraId="28E9F6AE" w14:textId="77777777" w:rsidR="00DE41B0" w:rsidRPr="00171CB2" w:rsidRDefault="00DE41B0" w:rsidP="002002EE">
            <w:pPr>
              <w:spacing w:before="240"/>
              <w:jc w:val="left"/>
              <w:rPr>
                <w:rFonts w:cs="Arial"/>
                <w:sz w:val="18"/>
              </w:rPr>
            </w:pPr>
            <w:r w:rsidRPr="00171CB2">
              <w:rPr>
                <w:rFonts w:cs="Arial"/>
                <w:sz w:val="18"/>
              </w:rPr>
              <w:t>Grundlage für den Vergleich innerhalb desselben Anbauversuchs</w:t>
            </w:r>
          </w:p>
          <w:p w14:paraId="32A93206" w14:textId="77777777" w:rsidR="00DE41B0" w:rsidRPr="00171CB2" w:rsidRDefault="00DE41B0" w:rsidP="002002EE">
            <w:pPr>
              <w:rPr>
                <w:rFonts w:cs="Arial"/>
                <w:sz w:val="18"/>
              </w:rPr>
            </w:pPr>
          </w:p>
        </w:tc>
      </w:tr>
      <w:tr w:rsidR="00DE41B0" w:rsidRPr="00E40394" w14:paraId="0DF4DAF1" w14:textId="77777777" w:rsidTr="002002EE">
        <w:tc>
          <w:tcPr>
            <w:tcW w:w="1598" w:type="dxa"/>
            <w:tcBorders>
              <w:top w:val="single" w:sz="4" w:space="0" w:color="auto"/>
              <w:left w:val="single" w:sz="4" w:space="0" w:color="auto"/>
              <w:bottom w:val="nil"/>
              <w:right w:val="single" w:sz="4" w:space="0" w:color="auto"/>
            </w:tcBorders>
            <w:hideMark/>
          </w:tcPr>
          <w:p w14:paraId="78FDEB99" w14:textId="77777777" w:rsidR="00DE41B0" w:rsidRPr="00171CB2" w:rsidRDefault="00DE41B0" w:rsidP="002002EE">
            <w:pPr>
              <w:spacing w:before="240"/>
              <w:jc w:val="center"/>
              <w:rPr>
                <w:rFonts w:cs="Arial"/>
                <w:sz w:val="18"/>
              </w:rPr>
            </w:pPr>
            <w:r w:rsidRPr="00171CB2">
              <w:rPr>
                <w:rFonts w:cs="Arial"/>
                <w:sz w:val="18"/>
              </w:rPr>
              <w:t>3</w:t>
            </w:r>
          </w:p>
        </w:tc>
        <w:tc>
          <w:tcPr>
            <w:tcW w:w="2231" w:type="dxa"/>
            <w:tcBorders>
              <w:top w:val="single" w:sz="4" w:space="0" w:color="auto"/>
              <w:left w:val="single" w:sz="4" w:space="0" w:color="auto"/>
              <w:bottom w:val="nil"/>
              <w:right w:val="single" w:sz="4" w:space="0" w:color="auto"/>
            </w:tcBorders>
            <w:hideMark/>
          </w:tcPr>
          <w:p w14:paraId="40443721" w14:textId="77777777" w:rsidR="00DE41B0" w:rsidRPr="00171CB2" w:rsidRDefault="00DE41B0" w:rsidP="002002EE">
            <w:pPr>
              <w:spacing w:before="120"/>
              <w:ind w:left="600"/>
              <w:jc w:val="left"/>
              <w:rPr>
                <w:rFonts w:cs="Arial"/>
                <w:sz w:val="18"/>
              </w:rPr>
            </w:pPr>
            <w:r w:rsidRPr="00171CB2">
              <w:rPr>
                <w:rFonts w:cs="Arial"/>
                <w:sz w:val="18"/>
              </w:rPr>
              <w:t xml:space="preserve">Umsetzung in Noten </w:t>
            </w:r>
          </w:p>
          <w:p w14:paraId="1403D238" w14:textId="77777777" w:rsidR="00DE41B0" w:rsidRPr="00171CB2" w:rsidRDefault="00DE41B0" w:rsidP="002002EE">
            <w:pPr>
              <w:spacing w:before="120"/>
              <w:rPr>
                <w:rFonts w:cs="Arial"/>
                <w:sz w:val="18"/>
              </w:rPr>
            </w:pPr>
            <w:r w:rsidRPr="00171CB2">
              <w:rPr>
                <w:rFonts w:cs="Arial"/>
                <w:sz w:val="18"/>
              </w:rPr>
              <w:t>Noten</w:t>
            </w:r>
          </w:p>
        </w:tc>
        <w:tc>
          <w:tcPr>
            <w:tcW w:w="3004" w:type="dxa"/>
            <w:tcBorders>
              <w:top w:val="single" w:sz="4" w:space="0" w:color="auto"/>
              <w:left w:val="single" w:sz="4" w:space="0" w:color="auto"/>
              <w:bottom w:val="nil"/>
              <w:right w:val="single" w:sz="4" w:space="0" w:color="auto"/>
            </w:tcBorders>
          </w:tcPr>
          <w:p w14:paraId="71A47107" w14:textId="77777777" w:rsidR="00DE41B0" w:rsidRPr="00171CB2" w:rsidRDefault="00DE41B0" w:rsidP="002002EE">
            <w:pPr>
              <w:spacing w:before="120"/>
              <w:ind w:left="459"/>
              <w:jc w:val="left"/>
              <w:rPr>
                <w:rFonts w:cs="Arial"/>
                <w:sz w:val="18"/>
              </w:rPr>
            </w:pPr>
            <w:r w:rsidRPr="00171CB2">
              <w:rPr>
                <w:rFonts w:cs="Arial"/>
                <w:sz w:val="18"/>
              </w:rPr>
              <w:t>Gleiche Noten wie in Verfahrensebene 1</w:t>
            </w:r>
          </w:p>
          <w:p w14:paraId="4C910CB5" w14:textId="77777777" w:rsidR="00DE41B0" w:rsidRPr="00171CB2" w:rsidRDefault="00DE41B0" w:rsidP="002002EE">
            <w:pPr>
              <w:spacing w:before="120"/>
              <w:ind w:left="34"/>
              <w:rPr>
                <w:rFonts w:cs="Arial"/>
                <w:sz w:val="18"/>
              </w:rPr>
            </w:pPr>
          </w:p>
          <w:p w14:paraId="73A15CA2" w14:textId="77777777" w:rsidR="00DE41B0" w:rsidRPr="00171CB2" w:rsidRDefault="00DE41B0" w:rsidP="002002EE">
            <w:pPr>
              <w:ind w:left="34"/>
              <w:rPr>
                <w:rFonts w:cs="Arial"/>
                <w:sz w:val="18"/>
              </w:rPr>
            </w:pPr>
            <w:r w:rsidRPr="00171CB2">
              <w:rPr>
                <w:rFonts w:cs="Arial"/>
                <w:sz w:val="18"/>
              </w:rPr>
              <w:t>Noten</w:t>
            </w:r>
          </w:p>
        </w:tc>
        <w:tc>
          <w:tcPr>
            <w:tcW w:w="2688" w:type="dxa"/>
            <w:tcBorders>
              <w:top w:val="single" w:sz="4" w:space="0" w:color="auto"/>
              <w:left w:val="single" w:sz="4" w:space="0" w:color="auto"/>
              <w:bottom w:val="nil"/>
              <w:right w:val="single" w:sz="4" w:space="0" w:color="auto"/>
            </w:tcBorders>
            <w:hideMark/>
          </w:tcPr>
          <w:p w14:paraId="106BADBD" w14:textId="77777777" w:rsidR="00DE41B0" w:rsidRPr="00171CB2" w:rsidRDefault="00DE41B0" w:rsidP="002002EE">
            <w:pPr>
              <w:spacing w:before="240"/>
              <w:jc w:val="left"/>
              <w:rPr>
                <w:rFonts w:cs="Arial"/>
                <w:sz w:val="18"/>
              </w:rPr>
            </w:pPr>
            <w:r w:rsidRPr="00171CB2">
              <w:rPr>
                <w:rFonts w:cs="Arial"/>
                <w:sz w:val="18"/>
              </w:rPr>
              <w:t>Noten, die sich aus einem Jahr und einem Standort ergeben</w:t>
            </w:r>
          </w:p>
        </w:tc>
      </w:tr>
      <w:tr w:rsidR="00DE41B0" w:rsidRPr="00E40394" w14:paraId="50F47495" w14:textId="77777777" w:rsidTr="002002EE">
        <w:tc>
          <w:tcPr>
            <w:tcW w:w="1598" w:type="dxa"/>
            <w:tcBorders>
              <w:top w:val="nil"/>
              <w:left w:val="single" w:sz="4" w:space="0" w:color="auto"/>
              <w:bottom w:val="single" w:sz="4" w:space="0" w:color="auto"/>
              <w:right w:val="single" w:sz="4" w:space="0" w:color="auto"/>
            </w:tcBorders>
          </w:tcPr>
          <w:p w14:paraId="05801AA2" w14:textId="77777777" w:rsidR="00DE41B0" w:rsidRPr="00171CB2" w:rsidRDefault="00DE41B0" w:rsidP="002002EE">
            <w:pPr>
              <w:jc w:val="center"/>
              <w:rPr>
                <w:rFonts w:cs="Arial"/>
                <w:sz w:val="18"/>
              </w:rPr>
            </w:pPr>
          </w:p>
        </w:tc>
        <w:tc>
          <w:tcPr>
            <w:tcW w:w="5235" w:type="dxa"/>
            <w:gridSpan w:val="2"/>
            <w:tcBorders>
              <w:top w:val="nil"/>
              <w:left w:val="single" w:sz="4" w:space="0" w:color="auto"/>
              <w:bottom w:val="single" w:sz="4" w:space="0" w:color="auto"/>
              <w:right w:val="single" w:sz="4" w:space="0" w:color="auto"/>
            </w:tcBorders>
            <w:hideMark/>
          </w:tcPr>
          <w:p w14:paraId="1E8A6C7B" w14:textId="77777777" w:rsidR="00DE41B0" w:rsidRPr="00171CB2" w:rsidRDefault="00DE41B0" w:rsidP="002002EE">
            <w:pPr>
              <w:jc w:val="center"/>
              <w:rPr>
                <w:rFonts w:cs="Arial"/>
                <w:sz w:val="18"/>
              </w:rPr>
            </w:pPr>
            <w:r w:rsidRPr="00171CB2">
              <w:rPr>
                <w:noProof/>
                <w:lang w:val="en-US" w:eastAsia="en-US"/>
              </w:rPr>
              <mc:AlternateContent>
                <mc:Choice Requires="wps">
                  <w:drawing>
                    <wp:anchor distT="0" distB="0" distL="114300" distR="114300" simplePos="0" relativeHeight="251661312" behindDoc="0" locked="0" layoutInCell="1" allowOverlap="1" wp14:anchorId="6D3F8D51" wp14:editId="3A1D610D">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E7500"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" adj="17585" fillcolor="#4f81bd" strokecolor="#385d8a" strokeweight="2pt"/>
                  </w:pict>
                </mc:Fallback>
              </mc:AlternateContent>
            </w:r>
          </w:p>
          <w:p w14:paraId="3F7063EE" w14:textId="77777777" w:rsidR="00DE41B0" w:rsidRPr="00171CB2" w:rsidRDefault="00DE41B0" w:rsidP="002002EE">
            <w:pPr>
              <w:spacing w:before="240"/>
              <w:jc w:val="center"/>
              <w:rPr>
                <w:rFonts w:cs="Arial"/>
                <w:sz w:val="18"/>
              </w:rPr>
            </w:pPr>
            <w:r w:rsidRPr="00171CB2">
              <w:rPr>
                <w:rFonts w:cs="Arial"/>
                <w:b/>
                <w:sz w:val="18"/>
              </w:rPr>
              <w:t>„Mittlere Sortenbeschreibung</w:t>
            </w:r>
            <w:r w:rsidRPr="00171CB2">
              <w:rPr>
                <w:rFonts w:cs="Arial"/>
                <w:sz w:val="18"/>
              </w:rPr>
              <w:t xml:space="preserve">“ </w:t>
            </w:r>
          </w:p>
          <w:p w14:paraId="55B6729B" w14:textId="77777777" w:rsidR="00DE41B0" w:rsidRPr="00171CB2" w:rsidRDefault="00DE41B0" w:rsidP="002002EE">
            <w:pPr>
              <w:spacing w:before="120"/>
              <w:jc w:val="center"/>
              <w:rPr>
                <w:rFonts w:cs="Arial"/>
                <w:sz w:val="18"/>
              </w:rPr>
            </w:pPr>
            <w:r w:rsidRPr="00171CB2">
              <w:rPr>
                <w:rFonts w:cs="Arial"/>
                <w:sz w:val="18"/>
              </w:rPr>
              <w:t>Wenn Sorten in mehreren Anbauversuchen/Jahren/Standorten geprüft werden, können mittlere Sortenbeschreibungen erstellt werden.</w:t>
            </w:r>
          </w:p>
        </w:tc>
        <w:tc>
          <w:tcPr>
            <w:tcW w:w="2688" w:type="dxa"/>
            <w:tcBorders>
              <w:top w:val="nil"/>
              <w:left w:val="single" w:sz="4" w:space="0" w:color="auto"/>
              <w:bottom w:val="single" w:sz="4" w:space="0" w:color="auto"/>
              <w:right w:val="single" w:sz="4" w:space="0" w:color="auto"/>
            </w:tcBorders>
          </w:tcPr>
          <w:p w14:paraId="535799A5" w14:textId="77777777" w:rsidR="00DE41B0" w:rsidRPr="00171CB2" w:rsidRDefault="00DE41B0" w:rsidP="002002EE">
            <w:pPr>
              <w:spacing w:before="240"/>
              <w:rPr>
                <w:rFonts w:cs="Arial"/>
                <w:sz w:val="18"/>
              </w:rPr>
            </w:pPr>
          </w:p>
          <w:p w14:paraId="62AE3A03" w14:textId="77777777" w:rsidR="00DE41B0" w:rsidRPr="00171CB2" w:rsidRDefault="00DE41B0" w:rsidP="002002EE">
            <w:pPr>
              <w:spacing w:before="240"/>
              <w:jc w:val="left"/>
              <w:rPr>
                <w:rFonts w:cs="Arial"/>
                <w:sz w:val="18"/>
              </w:rPr>
            </w:pPr>
            <w:r w:rsidRPr="00171CB2">
              <w:rPr>
                <w:rFonts w:cs="Arial"/>
                <w:sz w:val="18"/>
              </w:rPr>
              <w:t>Grundlage für die Verwaltung der Sortensammlung</w:t>
            </w:r>
          </w:p>
        </w:tc>
      </w:tr>
    </w:tbl>
    <w:p w14:paraId="4D295CC2" w14:textId="77777777" w:rsidR="00DE41B0" w:rsidRPr="00171CB2" w:rsidRDefault="00DE41B0" w:rsidP="00DE41B0">
      <w:pPr>
        <w:rPr>
          <w:rFonts w:cs="Arial"/>
          <w:sz w:val="18"/>
          <w:highlight w:val="lightGray"/>
        </w:rPr>
      </w:pPr>
    </w:p>
    <w:p w14:paraId="46D85624" w14:textId="77777777" w:rsidR="00DE41B0" w:rsidRPr="00171CB2" w:rsidRDefault="00DE41B0" w:rsidP="00DE41B0">
      <w:pPr>
        <w:keepLines/>
        <w:ind w:left="567" w:right="567"/>
        <w:rPr>
          <w:rFonts w:cs="Arial"/>
          <w:sz w:val="18"/>
        </w:rPr>
      </w:pPr>
      <w:r w:rsidRPr="00171CB2">
        <w:rPr>
          <w:rFonts w:cs="Arial"/>
          <w:sz w:val="18"/>
        </w:rPr>
        <w:t>„Quantitative Merkmale werden in der Regel durch die Umwelt beeinflusst. Ein effizientes Mittel zur Verringerung des Umwelteinflusses ist die Umsetzung der tatsächlichen Messungen in Noten. Die Noten stellen eine standardisierte Beschreibung von Sorten in Bezug auf die Beispielssorten dar (vergleiche Dokument TGP/7). Zudem kann die Vergleichbarkeit von Sortenbeschreibungen für Sorten, die nicht im selben Anbauversuch geprüft werden, verbessert werden, indem eine mittlere Beschreibung über mehrere Wachstumsperioden ermittelt wird. Die mittlere Beschreibung über mehrere Wachstumsperioden am selben Standort kann insbesondere eine repräsentative Beschreibung in Bezug auf den Standort bereitstellen. Die Ermittlung einer mittleren Sortenbeschreibung über verschiedene Standorte sollte nur erwogen werden, wenn die Auswirkungen der Standorte gut bekannt sind und Interaktionen Sorte x Standort für alle Merkmale ausgeschlossen werden können. Die Ermittlung mittlerer Beschreibungen über Standorte sollte sich auf Fälle beschränken, in denen diese Bedingungen erfüllt sind.</w:t>
      </w:r>
    </w:p>
    <w:p w14:paraId="746D90D8" w14:textId="77777777" w:rsidR="00DE41B0" w:rsidRPr="00171CB2" w:rsidRDefault="00DE41B0" w:rsidP="00DE41B0">
      <w:pPr>
        <w:keepLines/>
        <w:ind w:left="567" w:right="567"/>
        <w:rPr>
          <w:rFonts w:cs="Arial"/>
          <w:sz w:val="18"/>
        </w:rPr>
      </w:pPr>
    </w:p>
    <w:p w14:paraId="2A5AB2A5" w14:textId="77777777" w:rsidR="00DE41B0" w:rsidRPr="00171CB2" w:rsidRDefault="00DE41B0" w:rsidP="00DE41B0">
      <w:pPr>
        <w:keepLines/>
        <w:ind w:left="567" w:right="567"/>
        <w:rPr>
          <w:rFonts w:cs="Arial"/>
          <w:sz w:val="18"/>
        </w:rPr>
      </w:pPr>
      <w:r w:rsidRPr="00171CB2">
        <w:rPr>
          <w:rFonts w:cs="Arial"/>
          <w:sz w:val="18"/>
        </w:rPr>
        <w:t>„Wenn Sortenbeschreibungen aus verschiedenen Anbauversuchen für die Prüfung der Unterscheidbarkeit verwendet werden – das heißt für die Verwaltung von Sortensammlungen –, ist es wichtig, die Herkunft der unterschiedlichen Sortenbeschreibungen der Kandidatensorte und der allgemein bekannten Sorten zu berücksichtigen. Die Vergleichbarkeit von Sorteneschreibungen wird durch zahlreiche Faktoren beeinflusst, beispielsweise:</w:t>
      </w:r>
    </w:p>
    <w:p w14:paraId="7484274D" w14:textId="77777777" w:rsidR="00DE41B0" w:rsidRPr="00171CB2" w:rsidRDefault="00DE41B0" w:rsidP="00DE41B0">
      <w:pPr>
        <w:ind w:left="567" w:right="567"/>
        <w:rPr>
          <w:rFonts w:cs="Arial"/>
          <w:sz w:val="18"/>
        </w:rPr>
      </w:pPr>
    </w:p>
    <w:p w14:paraId="0CE49A21" w14:textId="77777777" w:rsidR="00DE41B0" w:rsidRPr="00171CB2" w:rsidRDefault="00DE41B0" w:rsidP="00DE41B0">
      <w:pPr>
        <w:numPr>
          <w:ilvl w:val="0"/>
          <w:numId w:val="2"/>
        </w:numPr>
        <w:ind w:left="567" w:right="567"/>
        <w:rPr>
          <w:rFonts w:cs="Arial"/>
          <w:sz w:val="18"/>
        </w:rPr>
      </w:pPr>
      <w:r w:rsidRPr="00171CB2">
        <w:rPr>
          <w:rFonts w:cs="Arial"/>
          <w:sz w:val="18"/>
        </w:rPr>
        <w:t>Auf einem einzigen Jahr oder einem Mittelwert über mehrere Jahr basierende Beschreibung?</w:t>
      </w:r>
    </w:p>
    <w:p w14:paraId="38F99FDB" w14:textId="77777777" w:rsidR="00DE41B0" w:rsidRPr="00171CB2" w:rsidRDefault="00DE41B0" w:rsidP="00DE41B0">
      <w:pPr>
        <w:numPr>
          <w:ilvl w:val="0"/>
          <w:numId w:val="2"/>
        </w:numPr>
        <w:ind w:left="567" w:right="567"/>
        <w:rPr>
          <w:rFonts w:cs="Arial"/>
          <w:sz w:val="18"/>
        </w:rPr>
      </w:pPr>
      <w:r w:rsidRPr="00171CB2">
        <w:rPr>
          <w:rFonts w:cs="Arial"/>
          <w:sz w:val="18"/>
        </w:rPr>
        <w:t>Auf demselben Standort oder verschiedenen Standorten basierende Beschreibung?</w:t>
      </w:r>
    </w:p>
    <w:p w14:paraId="5B76736B" w14:textId="77777777" w:rsidR="00DE41B0" w:rsidRPr="00171CB2" w:rsidRDefault="00DE41B0" w:rsidP="00DE41B0">
      <w:pPr>
        <w:numPr>
          <w:ilvl w:val="0"/>
          <w:numId w:val="2"/>
        </w:numPr>
        <w:ind w:left="567" w:right="567"/>
        <w:rPr>
          <w:rFonts w:cs="Arial"/>
          <w:sz w:val="18"/>
        </w:rPr>
      </w:pPr>
      <w:r w:rsidRPr="00171CB2">
        <w:rPr>
          <w:rFonts w:cs="Arial"/>
          <w:sz w:val="18"/>
        </w:rPr>
        <w:t>Sind die Auswirkungen des unterschiedlichen Standortes bekannt?</w:t>
      </w:r>
    </w:p>
    <w:p w14:paraId="6A36A80F" w14:textId="77777777" w:rsidR="00DE41B0" w:rsidRPr="00171CB2" w:rsidRDefault="00DE41B0" w:rsidP="00DE41B0">
      <w:pPr>
        <w:numPr>
          <w:ilvl w:val="0"/>
          <w:numId w:val="2"/>
        </w:numPr>
        <w:ind w:left="567" w:right="567"/>
        <w:rPr>
          <w:rFonts w:cs="Arial"/>
          <w:sz w:val="18"/>
        </w:rPr>
      </w:pPr>
      <w:r w:rsidRPr="00171CB2">
        <w:rPr>
          <w:rFonts w:cs="Arial"/>
          <w:sz w:val="18"/>
        </w:rPr>
        <w:t>In Bezug auf dieselbe Sortensammlung oder eine Sortensammlung, die eine unterschiedliche Variationsbreite umfasst, beschriebene Sorten?</w:t>
      </w:r>
    </w:p>
    <w:p w14:paraId="4DDA3FA2" w14:textId="77777777" w:rsidR="00DE41B0" w:rsidRPr="00171CB2" w:rsidRDefault="00DE41B0" w:rsidP="00DE41B0">
      <w:pPr>
        <w:ind w:left="567" w:right="567"/>
        <w:rPr>
          <w:rFonts w:cs="Arial"/>
          <w:sz w:val="18"/>
        </w:rPr>
      </w:pPr>
    </w:p>
    <w:p w14:paraId="48C8112D" w14:textId="77777777" w:rsidR="00DE41B0" w:rsidRPr="00171CB2" w:rsidRDefault="00DE41B0" w:rsidP="00DE41B0">
      <w:pPr>
        <w:ind w:left="567" w:right="567"/>
        <w:rPr>
          <w:rFonts w:cs="Arial"/>
          <w:sz w:val="18"/>
        </w:rPr>
      </w:pPr>
      <w:r w:rsidRPr="00171CB2">
        <w:rPr>
          <w:rFonts w:cs="Arial"/>
          <w:sz w:val="18"/>
        </w:rPr>
        <w:t>„Die potentielle Verzerrung von Sortenbeschreibungen infolge von Umwelteffekten zwischen Kandidatensorten und Sorten in der Sortensammlung muss im Verfahren der Unterscheidbarkeitsprüfung und insbesondere für die Identifikation allgemein bekannter Sorten, die in den Anbauversuch einzubeziehen sind, berücksichtigt werden.“</w:t>
      </w:r>
    </w:p>
    <w:p w14:paraId="3E47D7B2" w14:textId="77777777" w:rsidR="00DE41B0" w:rsidRPr="00171CB2" w:rsidRDefault="00DE41B0" w:rsidP="00DE41B0">
      <w:pPr>
        <w:ind w:left="567" w:right="567"/>
        <w:rPr>
          <w:rFonts w:cs="Arial"/>
          <w:sz w:val="18"/>
        </w:rPr>
      </w:pPr>
    </w:p>
    <w:p w14:paraId="652A942A" w14:textId="77777777" w:rsidR="00DE41B0" w:rsidRPr="00171CB2" w:rsidRDefault="00DE41B0" w:rsidP="00DE41B0">
      <w:pPr>
        <w:ind w:left="567" w:right="567"/>
        <w:rPr>
          <w:rFonts w:cs="Arial"/>
          <w:sz w:val="18"/>
        </w:rPr>
      </w:pPr>
    </w:p>
    <w:p w14:paraId="2D82FA8E" w14:textId="77777777" w:rsidR="00DE41B0" w:rsidRPr="00171CB2" w:rsidRDefault="00DE41B0" w:rsidP="00DE41B0">
      <w:pPr>
        <w:ind w:left="567" w:right="567"/>
        <w:rPr>
          <w:rFonts w:cs="Arial"/>
          <w:sz w:val="18"/>
        </w:rPr>
      </w:pPr>
    </w:p>
    <w:p w14:paraId="14D2F7A0" w14:textId="77777777" w:rsidR="00DE41B0" w:rsidRPr="00171CB2" w:rsidRDefault="00DE41B0" w:rsidP="00DE41B0">
      <w:pPr>
        <w:jc w:val="right"/>
      </w:pPr>
      <w:r w:rsidRPr="00171CB2">
        <w:t>[Anlage III folgt]</w:t>
      </w:r>
    </w:p>
    <w:p w14:paraId="7C726706" w14:textId="77777777" w:rsidR="00DE41B0" w:rsidRPr="00171CB2" w:rsidRDefault="00DE41B0" w:rsidP="00DE41B0">
      <w:pPr>
        <w:jc w:val="right"/>
        <w:sectPr w:rsidR="00DE41B0" w:rsidRPr="00171CB2" w:rsidSect="0004198B">
          <w:headerReference w:type="even" r:id="rId10"/>
          <w:headerReference w:type="default" r:id="rId11"/>
          <w:headerReference w:type="first" r:id="rId12"/>
          <w:pgSz w:w="11907" w:h="16840" w:code="9"/>
          <w:pgMar w:top="510" w:right="1134" w:bottom="1134" w:left="1134" w:header="510" w:footer="680" w:gutter="0"/>
          <w:pgNumType w:start="1"/>
          <w:cols w:space="720"/>
          <w:titlePg/>
        </w:sectPr>
      </w:pPr>
    </w:p>
    <w:p w14:paraId="4BE75055" w14:textId="77777777" w:rsidR="00DE41B0" w:rsidRPr="00171CB2" w:rsidRDefault="00DE41B0" w:rsidP="00DE41B0">
      <w:pPr>
        <w:jc w:val="right"/>
      </w:pPr>
    </w:p>
    <w:p w14:paraId="0401B02A" w14:textId="1DAE46B4" w:rsidR="00DE41B0" w:rsidRPr="00171CB2" w:rsidRDefault="00DE41B0" w:rsidP="00DE41B0">
      <w:pPr>
        <w:jc w:val="center"/>
      </w:pPr>
      <w:r>
        <w:t>C/56/3</w:t>
      </w:r>
    </w:p>
    <w:p w14:paraId="4FCFE238" w14:textId="77777777" w:rsidR="00DE41B0" w:rsidRPr="00171CB2" w:rsidRDefault="00DE41B0" w:rsidP="00DE41B0">
      <w:pPr>
        <w:jc w:val="center"/>
      </w:pPr>
    </w:p>
    <w:p w14:paraId="75266990" w14:textId="77777777" w:rsidR="00DE41B0" w:rsidRPr="00171CB2" w:rsidRDefault="00DE41B0" w:rsidP="00DE41B0">
      <w:pPr>
        <w:jc w:val="center"/>
      </w:pPr>
      <w:r w:rsidRPr="00171CB2">
        <w:t>ANLAGE III</w:t>
      </w:r>
    </w:p>
    <w:p w14:paraId="5DACB6BE" w14:textId="77777777" w:rsidR="00DE41B0" w:rsidRPr="00171CB2" w:rsidRDefault="00DE41B0" w:rsidP="00DE41B0"/>
    <w:p w14:paraId="45EB738F" w14:textId="77777777" w:rsidR="00DE41B0" w:rsidRPr="00171CB2" w:rsidRDefault="00DE41B0" w:rsidP="00DE41B0"/>
    <w:p w14:paraId="74BD1B4C" w14:textId="77777777" w:rsidR="00DE41B0" w:rsidRPr="00171CB2" w:rsidRDefault="00DE41B0" w:rsidP="00DE41B0">
      <w:pPr>
        <w:rPr>
          <w:u w:val="single"/>
        </w:rPr>
      </w:pPr>
      <w:r w:rsidRPr="00171CB2">
        <w:rPr>
          <w:u w:val="single"/>
        </w:rPr>
        <w:t xml:space="preserve">Dokument TGP/12: Anleitung zu bestimmten physiologischen Merkmalen (Überarbeitung) </w:t>
      </w:r>
    </w:p>
    <w:p w14:paraId="15CD3776" w14:textId="77777777" w:rsidR="00DE41B0" w:rsidRPr="00171CB2" w:rsidRDefault="00DE41B0" w:rsidP="00DE41B0">
      <w:pPr>
        <w:rPr>
          <w:u w:val="single"/>
        </w:rPr>
      </w:pPr>
    </w:p>
    <w:p w14:paraId="7CD55F4A" w14:textId="77777777" w:rsidR="00DE41B0" w:rsidRPr="00171CB2" w:rsidRDefault="00DE41B0" w:rsidP="00DE41B0"/>
    <w:p w14:paraId="20B58748" w14:textId="77777777" w:rsidR="00DE41B0" w:rsidRPr="00171CB2" w:rsidRDefault="00DE41B0" w:rsidP="00DE41B0">
      <w:pPr>
        <w:rPr>
          <w:snapToGrid w:val="0"/>
        </w:rPr>
      </w:pPr>
      <w:r w:rsidRPr="00171CB2">
        <w:t>Der TC vereinbarte auf seiner siebenundfünfzigsten Tagung, die am 25. und 26. Oktober 2021 auf elektronischem Wege abgehalten wurde, Dokument TGP/12/2, Abschnitt 2.3.2, so abzuändern</w:t>
      </w:r>
      <w:r w:rsidRPr="00171CB2">
        <w:rPr>
          <w:snapToGrid w:val="0"/>
        </w:rPr>
        <w:t>, dass im Beispiel von Krankheitsresistenzmerkmalen mit einer Skala von „1-3“ die Ausprägungsstufe „mäßig resistent“ durch „mittel“ ersetzt wird und folgenden Wortlaut erhält (vergleiche Dokument TC/57/25 „Bericht“, Absätze 44 und 45):</w:t>
      </w:r>
    </w:p>
    <w:p w14:paraId="6F13901F" w14:textId="77777777" w:rsidR="00DE41B0" w:rsidRPr="00171CB2" w:rsidRDefault="00DE41B0" w:rsidP="00DE41B0">
      <w:pPr>
        <w:rPr>
          <w:snapToGrid w:val="0"/>
        </w:rPr>
      </w:pPr>
    </w:p>
    <w:p w14:paraId="5C8CF397" w14:textId="77777777" w:rsidR="00DE41B0" w:rsidRPr="00171CB2" w:rsidRDefault="00DE41B0" w:rsidP="00DE41B0">
      <w:pPr>
        <w:keepNext/>
        <w:keepLines/>
        <w:ind w:left="567"/>
        <w:jc w:val="left"/>
      </w:pPr>
      <w:r w:rsidRPr="00171CB2">
        <w:rPr>
          <w:u w:val="single"/>
        </w:rPr>
        <w:t>Beispiel mit einer Skala „1-3“</w:t>
      </w:r>
      <w:r w:rsidRPr="00171CB2">
        <w:t xml:space="preserve">: </w:t>
      </w:r>
      <w:r w:rsidRPr="00171CB2">
        <w:tab/>
        <w:t xml:space="preserve">Resistenz gegen </w:t>
      </w:r>
      <w:r w:rsidRPr="00171CB2">
        <w:rPr>
          <w:i/>
          <w:iCs/>
        </w:rPr>
        <w:t xml:space="preserve">Sphaerotheca fuliginea </w:t>
      </w:r>
      <w:r w:rsidRPr="00171CB2">
        <w:t>(</w:t>
      </w:r>
      <w:r w:rsidRPr="00171CB2">
        <w:rPr>
          <w:i/>
          <w:iCs/>
        </w:rPr>
        <w:t>Podosphaera xanthii</w:t>
      </w:r>
      <w:r w:rsidRPr="00171CB2">
        <w:t>) (Echter Mehltau) bei Melone (UPOV-Prüfungsrichtlinien: TG/104/5)</w:t>
      </w:r>
    </w:p>
    <w:p w14:paraId="2669CB4A" w14:textId="77777777" w:rsidR="00DE41B0" w:rsidRPr="00171CB2" w:rsidRDefault="00DE41B0" w:rsidP="00DE41B0">
      <w:pPr>
        <w:keepNext/>
        <w:keepLines/>
        <w:rPr>
          <w:sz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DE41B0" w:rsidRPr="00171CB2" w14:paraId="6550AB7D" w14:textId="77777777" w:rsidTr="002002EE">
        <w:trPr>
          <w:cantSplit/>
          <w:tblHeader/>
          <w:jc w:val="center"/>
        </w:trPr>
        <w:tc>
          <w:tcPr>
            <w:tcW w:w="578" w:type="dxa"/>
            <w:tcBorders>
              <w:top w:val="single" w:sz="6" w:space="0" w:color="auto"/>
              <w:left w:val="nil"/>
              <w:bottom w:val="single" w:sz="4" w:space="0" w:color="auto"/>
              <w:right w:val="nil"/>
            </w:tcBorders>
            <w:vAlign w:val="center"/>
          </w:tcPr>
          <w:p w14:paraId="43A88AC8" w14:textId="77777777" w:rsidR="00DE41B0" w:rsidRPr="00171CB2" w:rsidRDefault="00DE41B0" w:rsidP="002002EE">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14:paraId="33E0FDA3" w14:textId="77777777" w:rsidR="00DE41B0" w:rsidRPr="00171CB2" w:rsidRDefault="00DE41B0" w:rsidP="002002EE">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hideMark/>
          </w:tcPr>
          <w:p w14:paraId="596F2E08" w14:textId="77777777" w:rsidR="00DE41B0" w:rsidRPr="00171CB2" w:rsidRDefault="00DE41B0" w:rsidP="002002EE">
            <w:pPr>
              <w:keepNext/>
              <w:keepLines/>
              <w:spacing w:before="120" w:after="120"/>
              <w:jc w:val="left"/>
              <w:rPr>
                <w:sz w:val="16"/>
              </w:rPr>
            </w:pPr>
            <w:r w:rsidRPr="00171CB2">
              <w:rPr>
                <w:sz w:val="16"/>
              </w:rPr>
              <w:t>Deutsch</w:t>
            </w:r>
          </w:p>
        </w:tc>
        <w:tc>
          <w:tcPr>
            <w:tcW w:w="1734" w:type="dxa"/>
            <w:tcBorders>
              <w:top w:val="single" w:sz="6" w:space="0" w:color="auto"/>
              <w:left w:val="nil"/>
              <w:bottom w:val="single" w:sz="4" w:space="0" w:color="auto"/>
              <w:right w:val="nil"/>
            </w:tcBorders>
            <w:vAlign w:val="center"/>
          </w:tcPr>
          <w:p w14:paraId="1945BE41" w14:textId="77777777" w:rsidR="00DE41B0" w:rsidRPr="00171CB2" w:rsidRDefault="00DE41B0" w:rsidP="002002EE">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14:paraId="23A072D2" w14:textId="77777777" w:rsidR="00DE41B0" w:rsidRPr="00171CB2" w:rsidRDefault="00DE41B0" w:rsidP="002002EE">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hideMark/>
          </w:tcPr>
          <w:p w14:paraId="5D61A666" w14:textId="77777777" w:rsidR="00DE41B0" w:rsidRPr="00171CB2" w:rsidRDefault="00DE41B0" w:rsidP="002002EE">
            <w:pPr>
              <w:keepNext/>
              <w:keepLines/>
              <w:spacing w:before="120" w:after="120"/>
              <w:jc w:val="left"/>
              <w:rPr>
                <w:sz w:val="16"/>
              </w:rPr>
            </w:pPr>
            <w:r w:rsidRPr="00171CB2">
              <w:rPr>
                <w:sz w:val="16"/>
              </w:rPr>
              <w:t>Beispiels-sorten</w:t>
            </w:r>
          </w:p>
        </w:tc>
        <w:tc>
          <w:tcPr>
            <w:tcW w:w="567" w:type="dxa"/>
            <w:tcBorders>
              <w:top w:val="single" w:sz="6" w:space="0" w:color="auto"/>
              <w:left w:val="nil"/>
              <w:bottom w:val="single" w:sz="4" w:space="0" w:color="auto"/>
              <w:right w:val="nil"/>
            </w:tcBorders>
            <w:vAlign w:val="center"/>
            <w:hideMark/>
          </w:tcPr>
          <w:p w14:paraId="0639752B" w14:textId="77777777" w:rsidR="00DE41B0" w:rsidRPr="00171CB2" w:rsidRDefault="00DE41B0" w:rsidP="002002EE">
            <w:pPr>
              <w:keepNext/>
              <w:keepLines/>
              <w:spacing w:before="120" w:after="120"/>
              <w:jc w:val="left"/>
              <w:rPr>
                <w:sz w:val="16"/>
              </w:rPr>
            </w:pPr>
            <w:r w:rsidRPr="00171CB2">
              <w:rPr>
                <w:sz w:val="16"/>
              </w:rPr>
              <w:t>Note</w:t>
            </w:r>
          </w:p>
        </w:tc>
      </w:tr>
      <w:tr w:rsidR="00DE41B0" w:rsidRPr="00E40394" w14:paraId="51BCD389" w14:textId="77777777" w:rsidTr="002002EE">
        <w:trPr>
          <w:cantSplit/>
          <w:jc w:val="center"/>
        </w:trPr>
        <w:tc>
          <w:tcPr>
            <w:tcW w:w="578" w:type="dxa"/>
            <w:tcBorders>
              <w:top w:val="single" w:sz="4" w:space="0" w:color="auto"/>
              <w:left w:val="nil"/>
              <w:bottom w:val="nil"/>
              <w:right w:val="nil"/>
            </w:tcBorders>
            <w:hideMark/>
          </w:tcPr>
          <w:p w14:paraId="62CFD571" w14:textId="77777777" w:rsidR="00DE41B0" w:rsidRPr="00171CB2" w:rsidRDefault="00DE41B0" w:rsidP="002002EE">
            <w:pPr>
              <w:keepNext/>
              <w:keepLines/>
              <w:spacing w:before="120" w:after="120"/>
              <w:jc w:val="left"/>
              <w:rPr>
                <w:b/>
                <w:bCs/>
                <w:sz w:val="16"/>
              </w:rPr>
            </w:pPr>
            <w:r w:rsidRPr="00171CB2">
              <w:rPr>
                <w:b/>
                <w:bCs/>
                <w:sz w:val="16"/>
              </w:rPr>
              <w:t>70.</w:t>
            </w:r>
            <w:r w:rsidRPr="00171CB2">
              <w:rPr>
                <w:b/>
                <w:bCs/>
                <w:sz w:val="16"/>
              </w:rPr>
              <w:br/>
            </w:r>
            <w:r w:rsidRPr="00171CB2">
              <w:rPr>
                <w:b/>
                <w:bCs/>
                <w:sz w:val="16"/>
              </w:rPr>
              <w:br/>
              <w:t>(+)</w:t>
            </w:r>
          </w:p>
        </w:tc>
        <w:tc>
          <w:tcPr>
            <w:tcW w:w="425" w:type="dxa"/>
            <w:tcBorders>
              <w:top w:val="single" w:sz="4" w:space="0" w:color="auto"/>
              <w:left w:val="nil"/>
              <w:bottom w:val="nil"/>
              <w:right w:val="nil"/>
            </w:tcBorders>
            <w:hideMark/>
          </w:tcPr>
          <w:p w14:paraId="5A3C33A1" w14:textId="77777777" w:rsidR="00DE41B0" w:rsidRPr="00171CB2" w:rsidRDefault="00DE41B0" w:rsidP="002002EE">
            <w:pPr>
              <w:keepNext/>
              <w:keepLines/>
              <w:spacing w:before="120" w:after="120"/>
              <w:jc w:val="left"/>
              <w:rPr>
                <w:b/>
                <w:bCs/>
                <w:sz w:val="16"/>
              </w:rPr>
            </w:pPr>
            <w:r w:rsidRPr="00171CB2">
              <w:rPr>
                <w:b/>
                <w:bCs/>
                <w:sz w:val="16"/>
              </w:rPr>
              <w:t>VG</w:t>
            </w:r>
            <w:r w:rsidRPr="00171CB2">
              <w:rPr>
                <w:b/>
                <w:bCs/>
                <w:sz w:val="16"/>
              </w:rPr>
              <w:br/>
            </w:r>
            <w:r w:rsidRPr="00171CB2">
              <w:rPr>
                <w:b/>
                <w:bCs/>
                <w:sz w:val="16"/>
              </w:rPr>
              <w:br/>
            </w:r>
            <w:r w:rsidRPr="00171CB2">
              <w:rPr>
                <w:b/>
                <w:bCs/>
                <w:sz w:val="16"/>
              </w:rPr>
              <w:br/>
            </w:r>
            <w:r w:rsidRPr="00171CB2">
              <w:rPr>
                <w:b/>
                <w:bCs/>
                <w:sz w:val="16"/>
              </w:rPr>
              <w:br/>
            </w:r>
            <w:r w:rsidRPr="00171CB2">
              <w:rPr>
                <w:b/>
                <w:bCs/>
                <w:sz w:val="16"/>
              </w:rPr>
              <w:br/>
            </w:r>
          </w:p>
        </w:tc>
        <w:tc>
          <w:tcPr>
            <w:tcW w:w="1733" w:type="dxa"/>
            <w:tcBorders>
              <w:top w:val="single" w:sz="4" w:space="0" w:color="auto"/>
              <w:left w:val="nil"/>
              <w:bottom w:val="nil"/>
              <w:right w:val="nil"/>
            </w:tcBorders>
            <w:hideMark/>
          </w:tcPr>
          <w:p w14:paraId="529590B0" w14:textId="77777777" w:rsidR="00DE41B0" w:rsidRPr="00171CB2" w:rsidRDefault="00DE41B0" w:rsidP="002002EE">
            <w:pPr>
              <w:keepNext/>
              <w:keepLines/>
              <w:spacing w:before="120" w:after="120"/>
              <w:jc w:val="left"/>
              <w:rPr>
                <w:b/>
                <w:bCs/>
                <w:sz w:val="16"/>
              </w:rPr>
            </w:pPr>
            <w:r w:rsidRPr="00171CB2">
              <w:rPr>
                <w:b/>
                <w:sz w:val="16"/>
              </w:rPr>
              <w:t>Resistent gegen Sphaerotheca fuliginea (</w:t>
            </w:r>
            <w:r w:rsidRPr="00171CB2">
              <w:rPr>
                <w:b/>
                <w:snapToGrid w:val="0"/>
                <w:sz w:val="16"/>
              </w:rPr>
              <w:t>Podosphaera xanthii)</w:t>
            </w:r>
            <w:r w:rsidRPr="00171CB2">
              <w:rPr>
                <w:b/>
                <w:sz w:val="16"/>
              </w:rPr>
              <w:t xml:space="preserve"> </w:t>
            </w:r>
            <w:r w:rsidRPr="00171CB2">
              <w:rPr>
                <w:b/>
                <w:sz w:val="16"/>
              </w:rPr>
              <w:br/>
              <w:t>(Echter Mehltau</w:t>
            </w:r>
            <w:r w:rsidRPr="00171CB2">
              <w:rPr>
                <w:b/>
                <w:bCs/>
                <w:sz w:val="16"/>
              </w:rPr>
              <w:t>)</w:t>
            </w:r>
          </w:p>
        </w:tc>
        <w:tc>
          <w:tcPr>
            <w:tcW w:w="1734" w:type="dxa"/>
            <w:tcBorders>
              <w:top w:val="single" w:sz="4" w:space="0" w:color="auto"/>
              <w:left w:val="nil"/>
              <w:bottom w:val="nil"/>
              <w:right w:val="nil"/>
            </w:tcBorders>
          </w:tcPr>
          <w:p w14:paraId="4EDC8AAD" w14:textId="77777777" w:rsidR="00DE41B0" w:rsidRPr="00171CB2" w:rsidRDefault="00DE41B0" w:rsidP="002002EE">
            <w:pPr>
              <w:keepNext/>
              <w:keepLines/>
              <w:spacing w:before="120" w:after="120"/>
              <w:jc w:val="left"/>
              <w:rPr>
                <w:b/>
                <w:bCs/>
                <w:sz w:val="16"/>
              </w:rPr>
            </w:pPr>
          </w:p>
        </w:tc>
        <w:tc>
          <w:tcPr>
            <w:tcW w:w="1734" w:type="dxa"/>
            <w:tcBorders>
              <w:top w:val="single" w:sz="4" w:space="0" w:color="auto"/>
              <w:left w:val="nil"/>
              <w:bottom w:val="nil"/>
              <w:right w:val="nil"/>
            </w:tcBorders>
          </w:tcPr>
          <w:p w14:paraId="7DC0E769" w14:textId="77777777" w:rsidR="00DE41B0" w:rsidRPr="00171CB2" w:rsidRDefault="00DE41B0" w:rsidP="002002EE">
            <w:pPr>
              <w:keepNext/>
              <w:keepLines/>
              <w:spacing w:before="120" w:after="120"/>
              <w:jc w:val="left"/>
              <w:rPr>
                <w:b/>
                <w:bCs/>
                <w:sz w:val="16"/>
              </w:rPr>
            </w:pPr>
          </w:p>
        </w:tc>
        <w:tc>
          <w:tcPr>
            <w:tcW w:w="851" w:type="dxa"/>
            <w:tcBorders>
              <w:top w:val="single" w:sz="4" w:space="0" w:color="auto"/>
              <w:left w:val="nil"/>
              <w:bottom w:val="nil"/>
              <w:right w:val="nil"/>
            </w:tcBorders>
          </w:tcPr>
          <w:p w14:paraId="6C7A9BCE" w14:textId="77777777" w:rsidR="00DE41B0" w:rsidRPr="00171CB2" w:rsidRDefault="00DE41B0" w:rsidP="002002EE">
            <w:pPr>
              <w:keepNext/>
              <w:keepLines/>
              <w:spacing w:before="120" w:after="120"/>
              <w:jc w:val="left"/>
              <w:rPr>
                <w:b/>
                <w:bCs/>
                <w:sz w:val="16"/>
              </w:rPr>
            </w:pPr>
          </w:p>
        </w:tc>
        <w:tc>
          <w:tcPr>
            <w:tcW w:w="567" w:type="dxa"/>
            <w:tcBorders>
              <w:top w:val="single" w:sz="4" w:space="0" w:color="auto"/>
              <w:left w:val="nil"/>
              <w:bottom w:val="nil"/>
              <w:right w:val="nil"/>
            </w:tcBorders>
          </w:tcPr>
          <w:p w14:paraId="36B826FF" w14:textId="77777777" w:rsidR="00DE41B0" w:rsidRPr="00171CB2" w:rsidRDefault="00DE41B0" w:rsidP="002002EE">
            <w:pPr>
              <w:keepNext/>
              <w:keepLines/>
              <w:spacing w:before="120" w:after="120"/>
              <w:jc w:val="left"/>
              <w:rPr>
                <w:b/>
                <w:bCs/>
                <w:sz w:val="16"/>
              </w:rPr>
            </w:pPr>
          </w:p>
        </w:tc>
      </w:tr>
      <w:tr w:rsidR="00DE41B0" w:rsidRPr="00171CB2" w14:paraId="783A3F67" w14:textId="77777777" w:rsidTr="002002EE">
        <w:trPr>
          <w:cantSplit/>
          <w:jc w:val="center"/>
        </w:trPr>
        <w:tc>
          <w:tcPr>
            <w:tcW w:w="578" w:type="dxa"/>
            <w:tcBorders>
              <w:top w:val="nil"/>
              <w:left w:val="nil"/>
              <w:bottom w:val="nil"/>
              <w:right w:val="nil"/>
            </w:tcBorders>
            <w:hideMark/>
          </w:tcPr>
          <w:p w14:paraId="540C12DF" w14:textId="77777777" w:rsidR="00DE41B0" w:rsidRPr="00171CB2" w:rsidRDefault="00DE41B0" w:rsidP="002002EE">
            <w:pPr>
              <w:keepNext/>
              <w:keepLines/>
              <w:spacing w:before="120" w:after="120"/>
              <w:jc w:val="left"/>
              <w:rPr>
                <w:b/>
                <w:sz w:val="16"/>
              </w:rPr>
            </w:pPr>
            <w:r w:rsidRPr="00171CB2">
              <w:rPr>
                <w:b/>
                <w:sz w:val="16"/>
              </w:rPr>
              <w:t>70.1</w:t>
            </w:r>
          </w:p>
        </w:tc>
        <w:tc>
          <w:tcPr>
            <w:tcW w:w="425" w:type="dxa"/>
            <w:tcBorders>
              <w:top w:val="nil"/>
              <w:left w:val="nil"/>
              <w:bottom w:val="nil"/>
              <w:right w:val="nil"/>
            </w:tcBorders>
          </w:tcPr>
          <w:p w14:paraId="6E3CE8A0" w14:textId="77777777" w:rsidR="00DE41B0" w:rsidRPr="00171CB2" w:rsidRDefault="00DE41B0" w:rsidP="002002EE">
            <w:pPr>
              <w:keepNext/>
              <w:keepLines/>
              <w:spacing w:before="120" w:after="120"/>
              <w:jc w:val="left"/>
              <w:rPr>
                <w:b/>
                <w:sz w:val="16"/>
              </w:rPr>
            </w:pPr>
          </w:p>
        </w:tc>
        <w:tc>
          <w:tcPr>
            <w:tcW w:w="1733" w:type="dxa"/>
            <w:tcBorders>
              <w:top w:val="nil"/>
              <w:left w:val="nil"/>
              <w:bottom w:val="nil"/>
              <w:right w:val="nil"/>
            </w:tcBorders>
            <w:hideMark/>
          </w:tcPr>
          <w:p w14:paraId="31B52661" w14:textId="77777777" w:rsidR="00DE41B0" w:rsidRPr="00171CB2" w:rsidRDefault="00DE41B0" w:rsidP="002002EE">
            <w:pPr>
              <w:keepNext/>
              <w:keepLines/>
              <w:spacing w:before="120" w:after="120"/>
              <w:jc w:val="left"/>
              <w:rPr>
                <w:b/>
                <w:sz w:val="16"/>
              </w:rPr>
            </w:pPr>
            <w:r w:rsidRPr="00171CB2">
              <w:rPr>
                <w:b/>
                <w:sz w:val="16"/>
              </w:rPr>
              <w:t>Phenotyp 1</w:t>
            </w:r>
          </w:p>
        </w:tc>
        <w:tc>
          <w:tcPr>
            <w:tcW w:w="1734" w:type="dxa"/>
            <w:tcBorders>
              <w:top w:val="nil"/>
              <w:left w:val="nil"/>
              <w:bottom w:val="nil"/>
              <w:right w:val="nil"/>
            </w:tcBorders>
          </w:tcPr>
          <w:p w14:paraId="0D8E3294" w14:textId="77777777" w:rsidR="00DE41B0" w:rsidRPr="00171CB2" w:rsidRDefault="00DE41B0" w:rsidP="002002EE">
            <w:pPr>
              <w:keepNext/>
              <w:keepLines/>
              <w:spacing w:before="120" w:after="120"/>
              <w:jc w:val="left"/>
              <w:rPr>
                <w:b/>
                <w:sz w:val="16"/>
              </w:rPr>
            </w:pPr>
          </w:p>
        </w:tc>
        <w:tc>
          <w:tcPr>
            <w:tcW w:w="1734" w:type="dxa"/>
            <w:tcBorders>
              <w:top w:val="nil"/>
              <w:left w:val="nil"/>
              <w:bottom w:val="nil"/>
              <w:right w:val="nil"/>
            </w:tcBorders>
          </w:tcPr>
          <w:p w14:paraId="23371B5A" w14:textId="77777777" w:rsidR="00DE41B0" w:rsidRPr="00171CB2" w:rsidRDefault="00DE41B0" w:rsidP="002002EE">
            <w:pPr>
              <w:keepNext/>
              <w:keepLines/>
              <w:spacing w:before="120" w:after="120"/>
              <w:jc w:val="left"/>
              <w:rPr>
                <w:b/>
                <w:sz w:val="16"/>
              </w:rPr>
            </w:pPr>
          </w:p>
        </w:tc>
        <w:tc>
          <w:tcPr>
            <w:tcW w:w="851" w:type="dxa"/>
            <w:tcBorders>
              <w:top w:val="nil"/>
              <w:left w:val="nil"/>
              <w:bottom w:val="nil"/>
              <w:right w:val="nil"/>
            </w:tcBorders>
          </w:tcPr>
          <w:p w14:paraId="14211F65" w14:textId="77777777" w:rsidR="00DE41B0" w:rsidRPr="00171CB2" w:rsidRDefault="00DE41B0" w:rsidP="002002EE">
            <w:pPr>
              <w:keepNext/>
              <w:keepLines/>
              <w:spacing w:before="120" w:after="120"/>
              <w:jc w:val="left"/>
              <w:rPr>
                <w:sz w:val="16"/>
              </w:rPr>
            </w:pPr>
          </w:p>
        </w:tc>
        <w:tc>
          <w:tcPr>
            <w:tcW w:w="567" w:type="dxa"/>
            <w:tcBorders>
              <w:top w:val="nil"/>
              <w:left w:val="nil"/>
              <w:bottom w:val="nil"/>
              <w:right w:val="nil"/>
            </w:tcBorders>
          </w:tcPr>
          <w:p w14:paraId="55BE150C" w14:textId="77777777" w:rsidR="00DE41B0" w:rsidRPr="00171CB2" w:rsidRDefault="00DE41B0" w:rsidP="002002EE">
            <w:pPr>
              <w:keepNext/>
              <w:keepLines/>
              <w:spacing w:before="120" w:after="120"/>
              <w:jc w:val="left"/>
              <w:rPr>
                <w:sz w:val="16"/>
              </w:rPr>
            </w:pPr>
          </w:p>
        </w:tc>
      </w:tr>
      <w:tr w:rsidR="00DE41B0" w:rsidRPr="00171CB2" w14:paraId="03EA9C39" w14:textId="77777777" w:rsidTr="002002EE">
        <w:trPr>
          <w:cantSplit/>
          <w:jc w:val="center"/>
        </w:trPr>
        <w:tc>
          <w:tcPr>
            <w:tcW w:w="578" w:type="dxa"/>
            <w:tcBorders>
              <w:top w:val="nil"/>
              <w:left w:val="nil"/>
              <w:bottom w:val="nil"/>
              <w:right w:val="nil"/>
            </w:tcBorders>
            <w:hideMark/>
          </w:tcPr>
          <w:p w14:paraId="6D9F4EA6" w14:textId="77777777" w:rsidR="00DE41B0" w:rsidRPr="00171CB2" w:rsidRDefault="00DE41B0" w:rsidP="002002EE">
            <w:pPr>
              <w:keepNext/>
              <w:keepLines/>
              <w:spacing w:before="120" w:after="120"/>
              <w:jc w:val="left"/>
              <w:rPr>
                <w:sz w:val="16"/>
              </w:rPr>
            </w:pPr>
            <w:r w:rsidRPr="00171CB2">
              <w:rPr>
                <w:sz w:val="16"/>
              </w:rPr>
              <w:t>QN</w:t>
            </w:r>
          </w:p>
        </w:tc>
        <w:tc>
          <w:tcPr>
            <w:tcW w:w="425" w:type="dxa"/>
            <w:tcBorders>
              <w:top w:val="nil"/>
              <w:left w:val="nil"/>
              <w:bottom w:val="nil"/>
              <w:right w:val="nil"/>
            </w:tcBorders>
          </w:tcPr>
          <w:p w14:paraId="13991671" w14:textId="77777777" w:rsidR="00DE41B0" w:rsidRPr="00171CB2" w:rsidRDefault="00DE41B0" w:rsidP="002002EE">
            <w:pPr>
              <w:keepNext/>
              <w:keepLines/>
              <w:spacing w:before="120" w:after="120"/>
              <w:jc w:val="left"/>
              <w:rPr>
                <w:sz w:val="16"/>
              </w:rPr>
            </w:pPr>
          </w:p>
        </w:tc>
        <w:tc>
          <w:tcPr>
            <w:tcW w:w="1733" w:type="dxa"/>
            <w:tcBorders>
              <w:top w:val="nil"/>
              <w:left w:val="nil"/>
              <w:bottom w:val="nil"/>
              <w:right w:val="nil"/>
            </w:tcBorders>
            <w:hideMark/>
          </w:tcPr>
          <w:p w14:paraId="72FEA252" w14:textId="77777777" w:rsidR="00DE41B0" w:rsidRPr="00171CB2" w:rsidRDefault="00DE41B0" w:rsidP="002002EE">
            <w:pPr>
              <w:keepNext/>
              <w:keepLines/>
              <w:spacing w:before="120" w:after="120"/>
              <w:jc w:val="left"/>
              <w:rPr>
                <w:sz w:val="16"/>
              </w:rPr>
            </w:pPr>
            <w:r w:rsidRPr="00171CB2">
              <w:rPr>
                <w:sz w:val="16"/>
              </w:rPr>
              <w:t>anfällig</w:t>
            </w:r>
          </w:p>
        </w:tc>
        <w:tc>
          <w:tcPr>
            <w:tcW w:w="1734" w:type="dxa"/>
            <w:tcBorders>
              <w:top w:val="nil"/>
              <w:left w:val="nil"/>
              <w:bottom w:val="nil"/>
              <w:right w:val="nil"/>
            </w:tcBorders>
          </w:tcPr>
          <w:p w14:paraId="2DA6299D" w14:textId="77777777" w:rsidR="00DE41B0" w:rsidRPr="00171CB2" w:rsidRDefault="00DE41B0" w:rsidP="002002EE">
            <w:pPr>
              <w:keepNext/>
              <w:keepLines/>
              <w:spacing w:before="120" w:after="120"/>
              <w:jc w:val="left"/>
              <w:rPr>
                <w:sz w:val="16"/>
              </w:rPr>
            </w:pPr>
          </w:p>
        </w:tc>
        <w:tc>
          <w:tcPr>
            <w:tcW w:w="1734" w:type="dxa"/>
            <w:tcBorders>
              <w:top w:val="nil"/>
              <w:left w:val="nil"/>
              <w:bottom w:val="nil"/>
              <w:right w:val="nil"/>
            </w:tcBorders>
          </w:tcPr>
          <w:p w14:paraId="5A972F65" w14:textId="77777777" w:rsidR="00DE41B0" w:rsidRPr="00171CB2" w:rsidRDefault="00DE41B0" w:rsidP="002002EE">
            <w:pPr>
              <w:keepNext/>
              <w:keepLines/>
              <w:spacing w:before="120" w:after="120"/>
              <w:jc w:val="left"/>
              <w:rPr>
                <w:sz w:val="16"/>
              </w:rPr>
            </w:pPr>
          </w:p>
        </w:tc>
        <w:tc>
          <w:tcPr>
            <w:tcW w:w="851" w:type="dxa"/>
            <w:tcBorders>
              <w:top w:val="nil"/>
              <w:left w:val="nil"/>
              <w:bottom w:val="nil"/>
              <w:right w:val="nil"/>
            </w:tcBorders>
            <w:hideMark/>
          </w:tcPr>
          <w:p w14:paraId="75021AD7" w14:textId="77777777" w:rsidR="00DE41B0" w:rsidRPr="00171CB2" w:rsidRDefault="00DE41B0" w:rsidP="002002EE">
            <w:pPr>
              <w:keepNext/>
              <w:keepLines/>
              <w:spacing w:before="120" w:after="120"/>
              <w:jc w:val="left"/>
              <w:rPr>
                <w:sz w:val="16"/>
              </w:rPr>
            </w:pPr>
            <w:r w:rsidRPr="00171CB2">
              <w:rPr>
                <w:sz w:val="16"/>
              </w:rPr>
              <w:t>[...]</w:t>
            </w:r>
          </w:p>
        </w:tc>
        <w:tc>
          <w:tcPr>
            <w:tcW w:w="567" w:type="dxa"/>
            <w:tcBorders>
              <w:top w:val="nil"/>
              <w:left w:val="nil"/>
              <w:bottom w:val="nil"/>
              <w:right w:val="nil"/>
            </w:tcBorders>
            <w:hideMark/>
          </w:tcPr>
          <w:p w14:paraId="6CCCB28C" w14:textId="77777777" w:rsidR="00DE41B0" w:rsidRPr="00171CB2" w:rsidRDefault="00DE41B0" w:rsidP="002002EE">
            <w:pPr>
              <w:keepNext/>
              <w:keepLines/>
              <w:spacing w:before="120" w:after="120"/>
              <w:jc w:val="left"/>
              <w:rPr>
                <w:sz w:val="16"/>
              </w:rPr>
            </w:pPr>
            <w:r w:rsidRPr="00171CB2">
              <w:rPr>
                <w:sz w:val="16"/>
              </w:rPr>
              <w:t>1</w:t>
            </w:r>
          </w:p>
        </w:tc>
      </w:tr>
      <w:tr w:rsidR="00DE41B0" w:rsidRPr="00171CB2" w14:paraId="6B8786BA" w14:textId="77777777" w:rsidTr="002002EE">
        <w:trPr>
          <w:cantSplit/>
          <w:jc w:val="center"/>
        </w:trPr>
        <w:tc>
          <w:tcPr>
            <w:tcW w:w="578" w:type="dxa"/>
            <w:tcBorders>
              <w:top w:val="nil"/>
              <w:left w:val="nil"/>
              <w:bottom w:val="nil"/>
              <w:right w:val="nil"/>
            </w:tcBorders>
          </w:tcPr>
          <w:p w14:paraId="5A77F7D2" w14:textId="77777777" w:rsidR="00DE41B0" w:rsidRPr="00171CB2" w:rsidRDefault="00DE41B0" w:rsidP="002002EE">
            <w:pPr>
              <w:keepNext/>
              <w:keepLines/>
              <w:spacing w:before="120" w:after="120"/>
              <w:jc w:val="left"/>
              <w:rPr>
                <w:sz w:val="16"/>
              </w:rPr>
            </w:pPr>
          </w:p>
        </w:tc>
        <w:tc>
          <w:tcPr>
            <w:tcW w:w="425" w:type="dxa"/>
            <w:tcBorders>
              <w:top w:val="nil"/>
              <w:left w:val="nil"/>
              <w:bottom w:val="nil"/>
              <w:right w:val="nil"/>
            </w:tcBorders>
          </w:tcPr>
          <w:p w14:paraId="476B0735" w14:textId="77777777" w:rsidR="00DE41B0" w:rsidRPr="00171CB2" w:rsidRDefault="00DE41B0" w:rsidP="002002EE">
            <w:pPr>
              <w:keepNext/>
              <w:keepLines/>
              <w:spacing w:before="120" w:after="120"/>
              <w:jc w:val="left"/>
              <w:rPr>
                <w:sz w:val="16"/>
              </w:rPr>
            </w:pPr>
          </w:p>
        </w:tc>
        <w:tc>
          <w:tcPr>
            <w:tcW w:w="3467" w:type="dxa"/>
            <w:gridSpan w:val="2"/>
            <w:tcBorders>
              <w:top w:val="nil"/>
              <w:left w:val="nil"/>
              <w:bottom w:val="nil"/>
              <w:right w:val="nil"/>
            </w:tcBorders>
            <w:hideMark/>
          </w:tcPr>
          <w:p w14:paraId="700066E0" w14:textId="77777777" w:rsidR="00DE41B0" w:rsidRPr="00171CB2" w:rsidRDefault="00DE41B0" w:rsidP="002002EE">
            <w:pPr>
              <w:keepNext/>
              <w:keepLines/>
              <w:spacing w:before="120" w:after="120"/>
              <w:jc w:val="left"/>
              <w:rPr>
                <w:sz w:val="16"/>
              </w:rPr>
            </w:pPr>
            <w:r w:rsidRPr="00171CB2">
              <w:rPr>
                <w:strike/>
                <w:sz w:val="16"/>
                <w:highlight w:val="lightGray"/>
              </w:rPr>
              <w:t>Mäßig resistent</w:t>
            </w:r>
            <w:r w:rsidRPr="00171CB2">
              <w:rPr>
                <w:sz w:val="16"/>
              </w:rPr>
              <w:t xml:space="preserve"> </w:t>
            </w:r>
            <w:r w:rsidRPr="00171CB2">
              <w:rPr>
                <w:sz w:val="16"/>
                <w:highlight w:val="lightGray"/>
              </w:rPr>
              <w:t>mittel resistent</w:t>
            </w:r>
            <w:r w:rsidRPr="00171CB2">
              <w:rPr>
                <w:rStyle w:val="FootnoteReference"/>
                <w:sz w:val="16"/>
              </w:rPr>
              <w:footnoteReference w:id="2"/>
            </w:r>
          </w:p>
        </w:tc>
        <w:tc>
          <w:tcPr>
            <w:tcW w:w="1734" w:type="dxa"/>
            <w:tcBorders>
              <w:top w:val="nil"/>
              <w:left w:val="nil"/>
              <w:bottom w:val="nil"/>
              <w:right w:val="nil"/>
            </w:tcBorders>
          </w:tcPr>
          <w:p w14:paraId="5A778B6C" w14:textId="77777777" w:rsidR="00DE41B0" w:rsidRPr="00171CB2" w:rsidRDefault="00DE41B0" w:rsidP="002002EE">
            <w:pPr>
              <w:keepNext/>
              <w:keepLines/>
              <w:spacing w:before="120" w:after="120"/>
              <w:jc w:val="left"/>
              <w:rPr>
                <w:sz w:val="16"/>
              </w:rPr>
            </w:pPr>
          </w:p>
        </w:tc>
        <w:tc>
          <w:tcPr>
            <w:tcW w:w="851" w:type="dxa"/>
            <w:tcBorders>
              <w:top w:val="nil"/>
              <w:left w:val="nil"/>
              <w:bottom w:val="nil"/>
              <w:right w:val="nil"/>
            </w:tcBorders>
            <w:hideMark/>
          </w:tcPr>
          <w:p w14:paraId="372C8560" w14:textId="77777777" w:rsidR="00DE41B0" w:rsidRPr="00171CB2" w:rsidRDefault="00DE41B0" w:rsidP="002002EE">
            <w:pPr>
              <w:keepNext/>
              <w:keepLines/>
              <w:spacing w:before="120" w:after="120"/>
              <w:jc w:val="left"/>
              <w:rPr>
                <w:sz w:val="16"/>
              </w:rPr>
            </w:pPr>
            <w:r w:rsidRPr="00171CB2">
              <w:rPr>
                <w:sz w:val="16"/>
              </w:rPr>
              <w:t>[...]</w:t>
            </w:r>
          </w:p>
        </w:tc>
        <w:tc>
          <w:tcPr>
            <w:tcW w:w="567" w:type="dxa"/>
            <w:tcBorders>
              <w:top w:val="nil"/>
              <w:left w:val="nil"/>
              <w:bottom w:val="nil"/>
              <w:right w:val="nil"/>
            </w:tcBorders>
            <w:hideMark/>
          </w:tcPr>
          <w:p w14:paraId="4205973B" w14:textId="77777777" w:rsidR="00DE41B0" w:rsidRPr="00171CB2" w:rsidRDefault="00DE41B0" w:rsidP="002002EE">
            <w:pPr>
              <w:keepNext/>
              <w:keepLines/>
              <w:spacing w:before="120" w:after="120"/>
              <w:jc w:val="left"/>
              <w:rPr>
                <w:sz w:val="16"/>
              </w:rPr>
            </w:pPr>
            <w:r w:rsidRPr="00171CB2">
              <w:rPr>
                <w:sz w:val="16"/>
              </w:rPr>
              <w:t>2</w:t>
            </w:r>
          </w:p>
        </w:tc>
      </w:tr>
      <w:tr w:rsidR="00DE41B0" w:rsidRPr="00171CB2" w14:paraId="2D624E26" w14:textId="77777777" w:rsidTr="002002EE">
        <w:trPr>
          <w:cantSplit/>
          <w:jc w:val="center"/>
        </w:trPr>
        <w:tc>
          <w:tcPr>
            <w:tcW w:w="578" w:type="dxa"/>
            <w:tcBorders>
              <w:top w:val="nil"/>
              <w:left w:val="nil"/>
              <w:bottom w:val="single" w:sz="4" w:space="0" w:color="auto"/>
              <w:right w:val="nil"/>
            </w:tcBorders>
          </w:tcPr>
          <w:p w14:paraId="494874AC" w14:textId="77777777" w:rsidR="00DE41B0" w:rsidRPr="00171CB2" w:rsidRDefault="00DE41B0" w:rsidP="002002EE">
            <w:pPr>
              <w:keepNext/>
              <w:keepLines/>
              <w:spacing w:before="120" w:after="120"/>
              <w:jc w:val="left"/>
              <w:rPr>
                <w:sz w:val="16"/>
              </w:rPr>
            </w:pPr>
          </w:p>
        </w:tc>
        <w:tc>
          <w:tcPr>
            <w:tcW w:w="425" w:type="dxa"/>
            <w:tcBorders>
              <w:top w:val="nil"/>
              <w:left w:val="nil"/>
              <w:bottom w:val="single" w:sz="4" w:space="0" w:color="auto"/>
              <w:right w:val="nil"/>
            </w:tcBorders>
          </w:tcPr>
          <w:p w14:paraId="7BB0C1EC" w14:textId="77777777" w:rsidR="00DE41B0" w:rsidRPr="00171CB2" w:rsidRDefault="00DE41B0" w:rsidP="002002EE">
            <w:pPr>
              <w:keepNext/>
              <w:keepLines/>
              <w:spacing w:before="120" w:after="120"/>
              <w:jc w:val="left"/>
              <w:rPr>
                <w:sz w:val="16"/>
              </w:rPr>
            </w:pPr>
          </w:p>
        </w:tc>
        <w:tc>
          <w:tcPr>
            <w:tcW w:w="1733" w:type="dxa"/>
            <w:tcBorders>
              <w:top w:val="nil"/>
              <w:left w:val="nil"/>
              <w:bottom w:val="single" w:sz="4" w:space="0" w:color="auto"/>
              <w:right w:val="nil"/>
            </w:tcBorders>
            <w:hideMark/>
          </w:tcPr>
          <w:p w14:paraId="470C79F6" w14:textId="77777777" w:rsidR="00DE41B0" w:rsidRPr="00171CB2" w:rsidRDefault="00DE41B0" w:rsidP="002002EE">
            <w:pPr>
              <w:keepNext/>
              <w:keepLines/>
              <w:spacing w:before="120" w:after="120"/>
              <w:jc w:val="left"/>
              <w:rPr>
                <w:sz w:val="16"/>
              </w:rPr>
            </w:pPr>
            <w:r w:rsidRPr="00171CB2">
              <w:rPr>
                <w:sz w:val="16"/>
              </w:rPr>
              <w:t>hochresistent</w:t>
            </w:r>
          </w:p>
        </w:tc>
        <w:tc>
          <w:tcPr>
            <w:tcW w:w="1734" w:type="dxa"/>
            <w:tcBorders>
              <w:top w:val="nil"/>
              <w:left w:val="nil"/>
              <w:bottom w:val="single" w:sz="4" w:space="0" w:color="auto"/>
              <w:right w:val="nil"/>
            </w:tcBorders>
          </w:tcPr>
          <w:p w14:paraId="44AFBCB1" w14:textId="77777777" w:rsidR="00DE41B0" w:rsidRPr="00171CB2" w:rsidRDefault="00DE41B0" w:rsidP="002002EE">
            <w:pPr>
              <w:keepNext/>
              <w:keepLines/>
              <w:spacing w:before="120" w:after="120"/>
              <w:jc w:val="left"/>
              <w:rPr>
                <w:sz w:val="16"/>
              </w:rPr>
            </w:pPr>
          </w:p>
        </w:tc>
        <w:tc>
          <w:tcPr>
            <w:tcW w:w="1734" w:type="dxa"/>
            <w:tcBorders>
              <w:top w:val="nil"/>
              <w:left w:val="nil"/>
              <w:bottom w:val="single" w:sz="4" w:space="0" w:color="auto"/>
              <w:right w:val="nil"/>
            </w:tcBorders>
          </w:tcPr>
          <w:p w14:paraId="24E6A27A" w14:textId="77777777" w:rsidR="00DE41B0" w:rsidRPr="00171CB2" w:rsidRDefault="00DE41B0" w:rsidP="002002EE">
            <w:pPr>
              <w:keepNext/>
              <w:keepLines/>
              <w:spacing w:before="120" w:after="120"/>
              <w:jc w:val="left"/>
              <w:rPr>
                <w:sz w:val="16"/>
              </w:rPr>
            </w:pPr>
          </w:p>
        </w:tc>
        <w:tc>
          <w:tcPr>
            <w:tcW w:w="851" w:type="dxa"/>
            <w:tcBorders>
              <w:top w:val="nil"/>
              <w:left w:val="nil"/>
              <w:bottom w:val="single" w:sz="4" w:space="0" w:color="auto"/>
              <w:right w:val="nil"/>
            </w:tcBorders>
            <w:hideMark/>
          </w:tcPr>
          <w:p w14:paraId="3EF3E36F" w14:textId="77777777" w:rsidR="00DE41B0" w:rsidRPr="00171CB2" w:rsidRDefault="00DE41B0" w:rsidP="002002EE">
            <w:pPr>
              <w:keepNext/>
              <w:keepLines/>
              <w:spacing w:before="120" w:after="120"/>
              <w:jc w:val="left"/>
              <w:rPr>
                <w:sz w:val="16"/>
              </w:rPr>
            </w:pPr>
            <w:r w:rsidRPr="00171CB2">
              <w:rPr>
                <w:sz w:val="16"/>
              </w:rPr>
              <w:t>[...]</w:t>
            </w:r>
          </w:p>
        </w:tc>
        <w:tc>
          <w:tcPr>
            <w:tcW w:w="567" w:type="dxa"/>
            <w:tcBorders>
              <w:top w:val="nil"/>
              <w:left w:val="nil"/>
              <w:bottom w:val="single" w:sz="4" w:space="0" w:color="auto"/>
              <w:right w:val="nil"/>
            </w:tcBorders>
            <w:hideMark/>
          </w:tcPr>
          <w:p w14:paraId="2D68ED3F" w14:textId="77777777" w:rsidR="00DE41B0" w:rsidRPr="00171CB2" w:rsidRDefault="00DE41B0" w:rsidP="002002EE">
            <w:pPr>
              <w:keepNext/>
              <w:keepLines/>
              <w:spacing w:before="120" w:after="120"/>
              <w:jc w:val="left"/>
              <w:rPr>
                <w:sz w:val="16"/>
              </w:rPr>
            </w:pPr>
            <w:r w:rsidRPr="00171CB2">
              <w:rPr>
                <w:sz w:val="16"/>
              </w:rPr>
              <w:t>3</w:t>
            </w:r>
          </w:p>
        </w:tc>
      </w:tr>
    </w:tbl>
    <w:p w14:paraId="2F5CCD7D" w14:textId="77777777" w:rsidR="00DE41B0" w:rsidRPr="00171CB2" w:rsidRDefault="00DE41B0" w:rsidP="00DE41B0">
      <w:pPr>
        <w:ind w:left="1134" w:hanging="567"/>
      </w:pPr>
    </w:p>
    <w:p w14:paraId="16440B68" w14:textId="77777777" w:rsidR="00DE41B0" w:rsidRPr="00171CB2" w:rsidRDefault="00DE41B0" w:rsidP="00DE41B0"/>
    <w:p w14:paraId="4B7643D6" w14:textId="77777777" w:rsidR="00DE41B0" w:rsidRPr="00171CB2" w:rsidRDefault="00DE41B0" w:rsidP="00DE41B0"/>
    <w:p w14:paraId="13154548" w14:textId="77777777" w:rsidR="00DE41B0" w:rsidRPr="00171CB2" w:rsidRDefault="00DE41B0" w:rsidP="00DE41B0"/>
    <w:p w14:paraId="320F9B25" w14:textId="77777777" w:rsidR="00DE41B0" w:rsidRPr="00171CB2" w:rsidRDefault="00DE41B0" w:rsidP="00DE41B0"/>
    <w:p w14:paraId="1BBFB8EE" w14:textId="77777777" w:rsidR="00DE41B0" w:rsidRPr="00171CB2" w:rsidRDefault="00DE41B0" w:rsidP="00DE41B0">
      <w:pPr>
        <w:jc w:val="right"/>
      </w:pPr>
      <w:r w:rsidRPr="00171CB2">
        <w:t xml:space="preserve"> [Ende der Anlage III und des Dokuments]</w:t>
      </w:r>
    </w:p>
    <w:p w14:paraId="252637D0" w14:textId="77777777" w:rsidR="00DE41B0" w:rsidRPr="00171CB2" w:rsidRDefault="00DE41B0" w:rsidP="00DE41B0">
      <w:pPr>
        <w:jc w:val="left"/>
      </w:pPr>
    </w:p>
    <w:p w14:paraId="4637E6A0" w14:textId="77777777" w:rsidR="00DE41B0" w:rsidRPr="00171CB2" w:rsidRDefault="00DE41B0" w:rsidP="00DE41B0">
      <w:pPr>
        <w:jc w:val="left"/>
      </w:pPr>
    </w:p>
    <w:p w14:paraId="69976D93" w14:textId="77777777" w:rsidR="00DE41B0" w:rsidRPr="00171CB2" w:rsidRDefault="00DE41B0" w:rsidP="00DE41B0">
      <w:pPr>
        <w:jc w:val="left"/>
      </w:pPr>
    </w:p>
    <w:p w14:paraId="4717400E" w14:textId="609E9BB4" w:rsidR="00DE41B0" w:rsidRPr="00C5280D" w:rsidRDefault="00DE41B0" w:rsidP="00056167">
      <w:pPr>
        <w:jc w:val="right"/>
      </w:pPr>
    </w:p>
    <w:sectPr w:rsidR="00DE41B0"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3F0E2" w14:textId="77777777" w:rsidR="005D1EC4" w:rsidRDefault="005D1EC4" w:rsidP="006655D3">
      <w:r>
        <w:separator/>
      </w:r>
    </w:p>
    <w:p w14:paraId="6A9CF86C" w14:textId="77777777" w:rsidR="005D1EC4" w:rsidRDefault="005D1EC4" w:rsidP="006655D3"/>
    <w:p w14:paraId="22F33DC6" w14:textId="77777777" w:rsidR="005D1EC4" w:rsidRDefault="005D1EC4" w:rsidP="006655D3"/>
  </w:endnote>
  <w:endnote w:type="continuationSeparator" w:id="0">
    <w:p w14:paraId="4DA9F7EA" w14:textId="77777777" w:rsidR="005D1EC4" w:rsidRDefault="005D1EC4" w:rsidP="006655D3">
      <w:r>
        <w:separator/>
      </w:r>
    </w:p>
    <w:p w14:paraId="0C98B6A2" w14:textId="77777777" w:rsidR="005D1EC4" w:rsidRPr="00294751" w:rsidRDefault="005D1EC4">
      <w:pPr>
        <w:pStyle w:val="Footer"/>
        <w:spacing w:after="60"/>
        <w:rPr>
          <w:sz w:val="18"/>
          <w:lang w:val="fr-FR"/>
        </w:rPr>
      </w:pPr>
      <w:r w:rsidRPr="00D34488">
        <w:rPr>
          <w:sz w:val="18"/>
          <w:lang w:val="fr-FR"/>
        </w:rPr>
        <w:t>[Suite de la note de la page précédente]</w:t>
      </w:r>
    </w:p>
    <w:p w14:paraId="59A32A89" w14:textId="77777777" w:rsidR="005D1EC4" w:rsidRPr="00294751" w:rsidRDefault="005D1EC4" w:rsidP="006655D3">
      <w:pPr>
        <w:rPr>
          <w:lang w:val="fr-FR"/>
        </w:rPr>
      </w:pPr>
    </w:p>
    <w:p w14:paraId="63A3A0C2" w14:textId="77777777" w:rsidR="005D1EC4" w:rsidRPr="00294751" w:rsidRDefault="005D1EC4" w:rsidP="006655D3">
      <w:pPr>
        <w:rPr>
          <w:lang w:val="fr-FR"/>
        </w:rPr>
      </w:pPr>
    </w:p>
  </w:endnote>
  <w:endnote w:type="continuationNotice" w:id="1">
    <w:p w14:paraId="200A7684" w14:textId="77777777" w:rsidR="005D1EC4" w:rsidRPr="00294751" w:rsidRDefault="005D1EC4" w:rsidP="006655D3">
      <w:pPr>
        <w:rPr>
          <w:lang w:val="fr-FR"/>
        </w:rPr>
      </w:pPr>
      <w:r w:rsidRPr="00D34488">
        <w:rPr>
          <w:lang w:val="fr-FR"/>
        </w:rPr>
        <w:t>[Suite de la note page suivante]</w:t>
      </w:r>
    </w:p>
    <w:p w14:paraId="4C7165F1" w14:textId="77777777" w:rsidR="005D1EC4" w:rsidRPr="00294751" w:rsidRDefault="005D1EC4" w:rsidP="006655D3">
      <w:pPr>
        <w:rPr>
          <w:lang w:val="fr-FR"/>
        </w:rPr>
      </w:pPr>
    </w:p>
    <w:p w14:paraId="3560AD09" w14:textId="77777777" w:rsidR="005D1EC4" w:rsidRPr="00294751" w:rsidRDefault="005D1E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20BC4" w14:textId="77777777" w:rsidR="005D1EC4" w:rsidRDefault="005D1EC4" w:rsidP="006655D3">
      <w:r>
        <w:separator/>
      </w:r>
    </w:p>
  </w:footnote>
  <w:footnote w:type="continuationSeparator" w:id="0">
    <w:p w14:paraId="0DA909B9" w14:textId="77777777" w:rsidR="005D1EC4" w:rsidRDefault="005D1EC4" w:rsidP="006655D3">
      <w:r>
        <w:separator/>
      </w:r>
    </w:p>
  </w:footnote>
  <w:footnote w:type="continuationNotice" w:id="1">
    <w:p w14:paraId="35805525" w14:textId="77777777" w:rsidR="005D1EC4" w:rsidRPr="00AB530F" w:rsidRDefault="005D1EC4" w:rsidP="00AB530F">
      <w:pPr>
        <w:pStyle w:val="Footer"/>
      </w:pPr>
    </w:p>
  </w:footnote>
  <w:footnote w:id="2">
    <w:p w14:paraId="1420F6AF" w14:textId="77777777" w:rsidR="00DE41B0" w:rsidRPr="006739BB" w:rsidRDefault="00DE41B0" w:rsidP="00DE41B0">
      <w:pPr>
        <w:pStyle w:val="FootnoteText"/>
      </w:pPr>
      <w:r>
        <w:rPr>
          <w:rStyle w:val="FootnoteReference"/>
        </w:rPr>
        <w:footnoteRef/>
      </w:r>
      <w:r w:rsidRPr="006739BB">
        <w:tab/>
      </w:r>
      <w:r w:rsidRPr="00872F2C">
        <w:t>Die TWV vereinbarte auf ihrer sechsundfünfzigsten Tagung, die vom 18. bis 22. April 2022 auf elektronischem Wege abgehalten wurde, dass die Angabe „</w:t>
      </w:r>
      <w:r w:rsidRPr="00AE5332">
        <w:t>mittel</w:t>
      </w:r>
      <w:r w:rsidRPr="00872F2C">
        <w:t xml:space="preserve">“ in dem in </w:t>
      </w:r>
      <w:r w:rsidRPr="00235380">
        <w:t xml:space="preserve">Dokument </w:t>
      </w:r>
      <w:r w:rsidRPr="00F80C5D">
        <w:t>TWP/6/1</w:t>
      </w:r>
      <w:r w:rsidRPr="00235380">
        <w:t xml:space="preserve">, Absatz 28, angegebenen Beispiel „mittel resistent“ lauten sollte (vergleiche Dokument </w:t>
      </w:r>
      <w:r w:rsidRPr="00F80C5D">
        <w:t>TWV/56/22</w:t>
      </w:r>
      <w:r w:rsidRPr="00235380">
        <w:t xml:space="preserve"> „Report“, Absatz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78D5" w14:textId="407EACD8" w:rsidR="00DE41B0" w:rsidRDefault="00DE41B0">
    <w:pPr>
      <w:pStyle w:val="Header"/>
      <w:rPr>
        <w:lang w:val="fr-CH"/>
      </w:rPr>
    </w:pPr>
    <w:r>
      <w:rPr>
        <w:lang w:val="fr-CH"/>
      </w:rPr>
      <w:t>C/56/3</w:t>
    </w:r>
  </w:p>
  <w:p w14:paraId="56B9A698" w14:textId="7DC0E7FA" w:rsidR="00DE41B0" w:rsidRDefault="00DE41B0">
    <w:pPr>
      <w:pStyle w:val="Header"/>
      <w:rPr>
        <w:lang w:val="fr-CH"/>
      </w:rPr>
    </w:pPr>
    <w:r>
      <w:rPr>
        <w:lang w:val="fr-CH"/>
      </w:rPr>
      <w:t xml:space="preserve">page </w:t>
    </w:r>
    <w:r w:rsidR="008C6EF6">
      <w:rPr>
        <w:lang w:val="fr-CH"/>
      </w:rPr>
      <w:t>3</w:t>
    </w:r>
  </w:p>
  <w:p w14:paraId="5501DF86" w14:textId="43E9006E" w:rsidR="00DE41B0" w:rsidRDefault="00DE41B0">
    <w:pPr>
      <w:pStyle w:val="Header"/>
      <w:rPr>
        <w:lang w:val="fr-CH"/>
      </w:rPr>
    </w:pPr>
  </w:p>
  <w:p w14:paraId="5CC25340" w14:textId="77777777" w:rsidR="00DE41B0" w:rsidRPr="00DE41B0" w:rsidRDefault="00DE41B0">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3478" w14:textId="205CF750" w:rsidR="00DE41B0" w:rsidRDefault="00DE41B0" w:rsidP="00DE41B0">
    <w:pPr>
      <w:pStyle w:val="Header"/>
    </w:pPr>
    <w:r>
      <w:t>C/56/3</w:t>
    </w:r>
  </w:p>
  <w:p w14:paraId="516334D6" w14:textId="05FB9A59" w:rsidR="00DE41B0" w:rsidRDefault="00DE41B0">
    <w:pPr>
      <w:pStyle w:val="Header"/>
    </w:pPr>
    <w:r>
      <w:t>Anlage II, Siete 2</w:t>
    </w:r>
  </w:p>
  <w:p w14:paraId="1E007EBF" w14:textId="29888DA2" w:rsidR="00DE41B0" w:rsidRDefault="00DE41B0" w:rsidP="004D4C36">
    <w:pPr>
      <w:jc w:val="center"/>
      <w:rPr>
        <w:lang w:val="fr-CH"/>
      </w:rPr>
    </w:pPr>
  </w:p>
  <w:p w14:paraId="76AE43F5" w14:textId="77777777" w:rsidR="00DE41B0" w:rsidRPr="00B632A2" w:rsidRDefault="00DE41B0" w:rsidP="004D4C36">
    <w:pPr>
      <w:jc w:val="cent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4B93" w14:textId="77777777" w:rsidR="00DE41B0" w:rsidRDefault="00DE41B0">
    <w:pPr>
      <w:pStyle w:val="Header"/>
      <w:rPr>
        <w:rStyle w:val="PageNumber"/>
        <w:lang w:val="en-US"/>
      </w:rPr>
    </w:pPr>
    <w:r>
      <w:rPr>
        <w:rStyle w:val="PageNumber"/>
        <w:lang w:val="en-US"/>
      </w:rPr>
      <w:t>TC/58/4</w:t>
    </w:r>
  </w:p>
  <w:p w14:paraId="6CF4227D" w14:textId="5229E953" w:rsidR="00DE41B0" w:rsidRDefault="00DE41B0">
    <w:pPr>
      <w:pStyle w:val="Header"/>
      <w:rPr>
        <w:lang w:val="en-US"/>
      </w:rPr>
    </w:pPr>
    <w:r>
      <w:rPr>
        <w:lang w:val="en-US"/>
      </w:rPr>
      <w:t xml:space="preserve">Anlage 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6EF6">
      <w:rPr>
        <w:rStyle w:val="PageNumber"/>
        <w:noProof/>
        <w:lang w:val="en-US"/>
      </w:rPr>
      <w:t>2</w:t>
    </w:r>
    <w:r w:rsidRPr="00C5280D">
      <w:rPr>
        <w:rStyle w:val="PageNumber"/>
        <w:lang w:val="en-US"/>
      </w:rPr>
      <w:fldChar w:fldCharType="end"/>
    </w:r>
  </w:p>
  <w:p w14:paraId="6CDBF850" w14:textId="77777777" w:rsidR="00DE41B0" w:rsidRPr="00C5280D" w:rsidRDefault="00DE41B0"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DB2F9" w14:textId="77777777" w:rsidR="00DE41B0" w:rsidRPr="0004198B" w:rsidRDefault="00DE41B0"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4AB8"/>
    <w:rsid w:val="00030854"/>
    <w:rsid w:val="00036028"/>
    <w:rsid w:val="0004198B"/>
    <w:rsid w:val="00044642"/>
    <w:rsid w:val="000446B9"/>
    <w:rsid w:val="00047E21"/>
    <w:rsid w:val="00050E16"/>
    <w:rsid w:val="00056167"/>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3FD3"/>
    <w:rsid w:val="0024416D"/>
    <w:rsid w:val="00271911"/>
    <w:rsid w:val="00273187"/>
    <w:rsid w:val="002800A0"/>
    <w:rsid w:val="002801B3"/>
    <w:rsid w:val="00281060"/>
    <w:rsid w:val="00285BD0"/>
    <w:rsid w:val="002940E8"/>
    <w:rsid w:val="00294751"/>
    <w:rsid w:val="002A6E50"/>
    <w:rsid w:val="002B4298"/>
    <w:rsid w:val="002B7A36"/>
    <w:rsid w:val="002C256A"/>
    <w:rsid w:val="002D465A"/>
    <w:rsid w:val="002D5226"/>
    <w:rsid w:val="00305A7F"/>
    <w:rsid w:val="003152FE"/>
    <w:rsid w:val="00321ABA"/>
    <w:rsid w:val="00327436"/>
    <w:rsid w:val="00344BD6"/>
    <w:rsid w:val="0035528D"/>
    <w:rsid w:val="00361821"/>
    <w:rsid w:val="00361E9E"/>
    <w:rsid w:val="003753EE"/>
    <w:rsid w:val="003A0835"/>
    <w:rsid w:val="003A5AAF"/>
    <w:rsid w:val="003B700A"/>
    <w:rsid w:val="003C7FBE"/>
    <w:rsid w:val="003D227C"/>
    <w:rsid w:val="003D2B4D"/>
    <w:rsid w:val="003E7112"/>
    <w:rsid w:val="003F37F5"/>
    <w:rsid w:val="00412EBD"/>
    <w:rsid w:val="00444A88"/>
    <w:rsid w:val="0046041E"/>
    <w:rsid w:val="00474DA4"/>
    <w:rsid w:val="00476B4D"/>
    <w:rsid w:val="004805FA"/>
    <w:rsid w:val="004935D2"/>
    <w:rsid w:val="004B1215"/>
    <w:rsid w:val="004D047D"/>
    <w:rsid w:val="004D4C36"/>
    <w:rsid w:val="004F1E9E"/>
    <w:rsid w:val="004F305A"/>
    <w:rsid w:val="004F5CE1"/>
    <w:rsid w:val="00512164"/>
    <w:rsid w:val="005159E4"/>
    <w:rsid w:val="00520297"/>
    <w:rsid w:val="005338F9"/>
    <w:rsid w:val="0054281C"/>
    <w:rsid w:val="00544581"/>
    <w:rsid w:val="0055268D"/>
    <w:rsid w:val="0056466D"/>
    <w:rsid w:val="00567C6E"/>
    <w:rsid w:val="00572934"/>
    <w:rsid w:val="00575DE2"/>
    <w:rsid w:val="00576BE4"/>
    <w:rsid w:val="005779DB"/>
    <w:rsid w:val="005A400A"/>
    <w:rsid w:val="005B269D"/>
    <w:rsid w:val="005D1EC4"/>
    <w:rsid w:val="005F7B92"/>
    <w:rsid w:val="00612379"/>
    <w:rsid w:val="006153B6"/>
    <w:rsid w:val="0061555F"/>
    <w:rsid w:val="006245ED"/>
    <w:rsid w:val="00632A44"/>
    <w:rsid w:val="00636CA6"/>
    <w:rsid w:val="00641200"/>
    <w:rsid w:val="00645CA8"/>
    <w:rsid w:val="006655D3"/>
    <w:rsid w:val="00667404"/>
    <w:rsid w:val="00676EFE"/>
    <w:rsid w:val="006868F8"/>
    <w:rsid w:val="00687EB4"/>
    <w:rsid w:val="00695C56"/>
    <w:rsid w:val="006A5CDE"/>
    <w:rsid w:val="006A644A"/>
    <w:rsid w:val="006B17D2"/>
    <w:rsid w:val="006C224E"/>
    <w:rsid w:val="006C4A97"/>
    <w:rsid w:val="006D780A"/>
    <w:rsid w:val="006F5505"/>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74CC"/>
    <w:rsid w:val="008277D0"/>
    <w:rsid w:val="00827ED2"/>
    <w:rsid w:val="00846D7C"/>
    <w:rsid w:val="00867AC1"/>
    <w:rsid w:val="008751DE"/>
    <w:rsid w:val="00890DF8"/>
    <w:rsid w:val="008A0ADE"/>
    <w:rsid w:val="008A743F"/>
    <w:rsid w:val="008C0970"/>
    <w:rsid w:val="008C6EF6"/>
    <w:rsid w:val="008D0BC5"/>
    <w:rsid w:val="008D2CF7"/>
    <w:rsid w:val="00900C26"/>
    <w:rsid w:val="0090197F"/>
    <w:rsid w:val="00903264"/>
    <w:rsid w:val="00906DDC"/>
    <w:rsid w:val="009308D4"/>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099F"/>
    <w:rsid w:val="00A96C33"/>
    <w:rsid w:val="00AA13A2"/>
    <w:rsid w:val="00AB2B93"/>
    <w:rsid w:val="00AB530F"/>
    <w:rsid w:val="00AB7E5B"/>
    <w:rsid w:val="00AC2883"/>
    <w:rsid w:val="00AE0EF1"/>
    <w:rsid w:val="00AE2937"/>
    <w:rsid w:val="00AF3CC0"/>
    <w:rsid w:val="00B06733"/>
    <w:rsid w:val="00B07301"/>
    <w:rsid w:val="00B11F3E"/>
    <w:rsid w:val="00B17279"/>
    <w:rsid w:val="00B224DE"/>
    <w:rsid w:val="00B27234"/>
    <w:rsid w:val="00B324D4"/>
    <w:rsid w:val="00B46575"/>
    <w:rsid w:val="00B61777"/>
    <w:rsid w:val="00B622E6"/>
    <w:rsid w:val="00B632A2"/>
    <w:rsid w:val="00B83E82"/>
    <w:rsid w:val="00B84BBD"/>
    <w:rsid w:val="00BA43FB"/>
    <w:rsid w:val="00BC127D"/>
    <w:rsid w:val="00BC1FE6"/>
    <w:rsid w:val="00BE3659"/>
    <w:rsid w:val="00C061B6"/>
    <w:rsid w:val="00C2446C"/>
    <w:rsid w:val="00C36AE5"/>
    <w:rsid w:val="00C41F17"/>
    <w:rsid w:val="00C527FA"/>
    <w:rsid w:val="00C5280D"/>
    <w:rsid w:val="00C53EB3"/>
    <w:rsid w:val="00C5791C"/>
    <w:rsid w:val="00C61CCC"/>
    <w:rsid w:val="00C66290"/>
    <w:rsid w:val="00C72B7A"/>
    <w:rsid w:val="00C973F2"/>
    <w:rsid w:val="00CA0F03"/>
    <w:rsid w:val="00CA304C"/>
    <w:rsid w:val="00CA774A"/>
    <w:rsid w:val="00CB4921"/>
    <w:rsid w:val="00CC04F2"/>
    <w:rsid w:val="00CC11B0"/>
    <w:rsid w:val="00CC2841"/>
    <w:rsid w:val="00CF1330"/>
    <w:rsid w:val="00CF7E36"/>
    <w:rsid w:val="00D0044C"/>
    <w:rsid w:val="00D05685"/>
    <w:rsid w:val="00D34488"/>
    <w:rsid w:val="00D3708D"/>
    <w:rsid w:val="00D40426"/>
    <w:rsid w:val="00D52F5C"/>
    <w:rsid w:val="00D57C96"/>
    <w:rsid w:val="00D57D18"/>
    <w:rsid w:val="00D70E65"/>
    <w:rsid w:val="00D91203"/>
    <w:rsid w:val="00D95174"/>
    <w:rsid w:val="00DA4973"/>
    <w:rsid w:val="00DA6F36"/>
    <w:rsid w:val="00DB0C62"/>
    <w:rsid w:val="00DB10C4"/>
    <w:rsid w:val="00DB596E"/>
    <w:rsid w:val="00DB7773"/>
    <w:rsid w:val="00DC00EA"/>
    <w:rsid w:val="00DC3802"/>
    <w:rsid w:val="00DC6A83"/>
    <w:rsid w:val="00DD6208"/>
    <w:rsid w:val="00DE3773"/>
    <w:rsid w:val="00DE41B0"/>
    <w:rsid w:val="00DF1DE6"/>
    <w:rsid w:val="00DF4D0B"/>
    <w:rsid w:val="00DF7E99"/>
    <w:rsid w:val="00E07D87"/>
    <w:rsid w:val="00E156CD"/>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9C1B8"/>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E41B0"/>
    <w:pPr>
      <w:keepNext/>
      <w:jc w:val="both"/>
      <w:outlineLvl w:val="1"/>
    </w:pPr>
    <w:rPr>
      <w:rFonts w:ascii="Arial" w:hAnsi="Arial"/>
      <w:snapToGrid w:val="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uiPriority w:val="99"/>
    <w:rsid w:val="00BE3659"/>
    <w:rPr>
      <w:rFonts w:ascii="Arial" w:hAnsi="Arial"/>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EA869-FBF6-4A05-873D-0EDA7880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Template>
  <TotalTime>14</TotalTime>
  <Pages>9</Pages>
  <Words>1830</Words>
  <Characters>13180</Characters>
  <Application>Microsoft Office Word</Application>
  <DocSecurity>0</DocSecurity>
  <Lines>109</Lines>
  <Paragraphs>29</Paragraphs>
  <ScaleCrop>false</ScaleCrop>
  <HeadingPairs>
    <vt:vector size="2" baseType="variant">
      <vt:variant>
        <vt:lpstr>Title</vt:lpstr>
      </vt:variant>
      <vt:variant>
        <vt:i4>1</vt:i4>
      </vt:variant>
    </vt:vector>
  </HeadingPairs>
  <TitlesOfParts>
    <vt:vector size="1" baseType="lpstr">
      <vt:lpstr>C/56/3</vt:lpstr>
    </vt:vector>
  </TitlesOfParts>
  <Company>UPOV</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C/56/3</dc:title>
  <dc:creator>SANCHEZ VIZCAINO GOMEZ Rosa Maria</dc:creator>
  <cp:lastModifiedBy>HUERTA-CASADO Yolanda</cp:lastModifiedBy>
  <cp:revision>5</cp:revision>
  <cp:lastPrinted>2016-11-22T15:41:00Z</cp:lastPrinted>
  <dcterms:created xsi:type="dcterms:W3CDTF">2022-07-27T09:43:00Z</dcterms:created>
  <dcterms:modified xsi:type="dcterms:W3CDTF">2022-07-29T16:00:00Z</dcterms:modified>
</cp:coreProperties>
</file>