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6F3121" w:rsidTr="00EB4E9C">
        <w:tc>
          <w:tcPr>
            <w:tcW w:w="6522" w:type="dxa"/>
          </w:tcPr>
          <w:p w:rsidR="00DC3802" w:rsidRPr="006F3121" w:rsidRDefault="00DC3802" w:rsidP="00AC2883">
            <w:r w:rsidRPr="006F3121">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6F3121" w:rsidRDefault="00BC0BD4" w:rsidP="00AC2883">
            <w:pPr>
              <w:pStyle w:val="Lettrine"/>
            </w:pPr>
            <w:r w:rsidRPr="006F3121">
              <w:t>G</w:t>
            </w:r>
          </w:p>
        </w:tc>
      </w:tr>
      <w:tr w:rsidR="00DC3802" w:rsidRPr="006F3121" w:rsidTr="00645CA8">
        <w:trPr>
          <w:trHeight w:val="219"/>
        </w:trPr>
        <w:tc>
          <w:tcPr>
            <w:tcW w:w="6522" w:type="dxa"/>
          </w:tcPr>
          <w:p w:rsidR="00DC3802" w:rsidRPr="006F3121" w:rsidRDefault="00BC0BD4" w:rsidP="00BC0BD4">
            <w:pPr>
              <w:pStyle w:val="upove"/>
            </w:pPr>
            <w:r w:rsidRPr="006F3121">
              <w:t>I</w:t>
            </w:r>
            <w:r w:rsidR="00A706D3" w:rsidRPr="006F3121">
              <w:t>nternationale</w:t>
            </w:r>
            <w:r w:rsidRPr="006F3121">
              <w:t>r</w:t>
            </w:r>
            <w:r w:rsidR="00A706D3" w:rsidRPr="006F3121">
              <w:t xml:space="preserve"> </w:t>
            </w:r>
            <w:r w:rsidRPr="006F3121">
              <w:t>Verband zum Schutz von Pflanzenzüchtungen</w:t>
            </w:r>
          </w:p>
        </w:tc>
        <w:tc>
          <w:tcPr>
            <w:tcW w:w="3117" w:type="dxa"/>
          </w:tcPr>
          <w:p w:rsidR="00DC3802" w:rsidRPr="006F3121" w:rsidRDefault="00DC3802" w:rsidP="00DA4973"/>
        </w:tc>
      </w:tr>
    </w:tbl>
    <w:p w:rsidR="00DC3802" w:rsidRPr="006F3121" w:rsidRDefault="00DC3802" w:rsidP="00DC3802"/>
    <w:p w:rsidR="00DA4973" w:rsidRPr="006F312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6F3121" w:rsidTr="00EB4E9C">
        <w:tc>
          <w:tcPr>
            <w:tcW w:w="6512" w:type="dxa"/>
          </w:tcPr>
          <w:p w:rsidR="00EB4E9C" w:rsidRPr="006F3121" w:rsidRDefault="007C595A" w:rsidP="00AC2883">
            <w:pPr>
              <w:pStyle w:val="Sessiontc"/>
              <w:spacing w:line="240" w:lineRule="auto"/>
            </w:pPr>
            <w:r w:rsidRPr="006F3121">
              <w:t>Der Rat</w:t>
            </w:r>
          </w:p>
          <w:p w:rsidR="00EB4E9C" w:rsidRPr="006F3121" w:rsidRDefault="006F5780" w:rsidP="006F5780">
            <w:pPr>
              <w:pStyle w:val="Sessiontcplacedate"/>
              <w:rPr>
                <w:sz w:val="22"/>
              </w:rPr>
            </w:pPr>
            <w:r>
              <w:t>Fünf</w:t>
            </w:r>
            <w:r w:rsidR="00BC0BD4" w:rsidRPr="006F3121">
              <w:t>und</w:t>
            </w:r>
            <w:r w:rsidR="007C595A" w:rsidRPr="006F3121">
              <w:t>fünf</w:t>
            </w:r>
            <w:r w:rsidR="00BC0BD4" w:rsidRPr="006F3121">
              <w:t xml:space="preserve">zigste </w:t>
            </w:r>
            <w:r w:rsidR="007C595A" w:rsidRPr="006F3121">
              <w:t xml:space="preserve">ordentliche </w:t>
            </w:r>
            <w:r w:rsidR="00BC0BD4" w:rsidRPr="006F3121">
              <w:t>Tagung</w:t>
            </w:r>
            <w:r w:rsidR="00EB4E9C" w:rsidRPr="006F3121">
              <w:br/>
              <w:t>Gen</w:t>
            </w:r>
            <w:r w:rsidR="00BC0BD4" w:rsidRPr="006F3121">
              <w:t>f</w:t>
            </w:r>
            <w:r w:rsidR="00EB4E9C" w:rsidRPr="006F3121">
              <w:t xml:space="preserve">, </w:t>
            </w:r>
            <w:r>
              <w:t>29</w:t>
            </w:r>
            <w:r w:rsidR="00CC6951" w:rsidRPr="006F3121">
              <w:t>. Oktober 202</w:t>
            </w:r>
            <w:r>
              <w:t>1</w:t>
            </w:r>
          </w:p>
        </w:tc>
        <w:tc>
          <w:tcPr>
            <w:tcW w:w="3127" w:type="dxa"/>
          </w:tcPr>
          <w:p w:rsidR="00EB4E9C" w:rsidRPr="006F3121" w:rsidRDefault="006F5780" w:rsidP="003C7FBE">
            <w:pPr>
              <w:pStyle w:val="Doccode"/>
              <w:rPr>
                <w:lang w:val="de-DE"/>
              </w:rPr>
            </w:pPr>
            <w:r>
              <w:rPr>
                <w:lang w:val="de-DE"/>
              </w:rPr>
              <w:t>C/55/INF/4</w:t>
            </w:r>
          </w:p>
          <w:p w:rsidR="00EB4E9C" w:rsidRPr="006F3121" w:rsidRDefault="00EB4E9C" w:rsidP="003C7FBE">
            <w:pPr>
              <w:pStyle w:val="Docoriginal"/>
            </w:pPr>
            <w:r w:rsidRPr="006F3121">
              <w:t>Original:</w:t>
            </w:r>
            <w:r w:rsidR="00B41422">
              <w:rPr>
                <w:b w:val="0"/>
                <w:spacing w:val="0"/>
              </w:rPr>
              <w:t xml:space="preserve"> </w:t>
            </w:r>
            <w:r w:rsidR="00BC0BD4" w:rsidRPr="006F3121">
              <w:rPr>
                <w:b w:val="0"/>
                <w:spacing w:val="0"/>
              </w:rPr>
              <w:t>englisch</w:t>
            </w:r>
            <w:r w:rsidR="004128AB" w:rsidRPr="006F3121">
              <w:rPr>
                <w:b w:val="0"/>
                <w:spacing w:val="0"/>
              </w:rPr>
              <w:t>/deutsch</w:t>
            </w:r>
            <w:r w:rsidR="002E1243">
              <w:rPr>
                <w:b w:val="0"/>
                <w:spacing w:val="0"/>
              </w:rPr>
              <w:t>/spanisch</w:t>
            </w:r>
            <w:bookmarkStart w:id="0" w:name="_GoBack"/>
            <w:bookmarkEnd w:id="0"/>
          </w:p>
          <w:p w:rsidR="00EB4E9C" w:rsidRPr="006F3121" w:rsidRDefault="00EB4E9C" w:rsidP="006F5780">
            <w:pPr>
              <w:pStyle w:val="Docoriginal"/>
            </w:pPr>
            <w:r w:rsidRPr="006F3121">
              <w:t>Dat</w:t>
            </w:r>
            <w:r w:rsidR="00BC0BD4" w:rsidRPr="006F3121">
              <w:t>um</w:t>
            </w:r>
            <w:r w:rsidRPr="006F3121">
              <w:t>:</w:t>
            </w:r>
            <w:r w:rsidRPr="006F3121">
              <w:rPr>
                <w:b w:val="0"/>
                <w:spacing w:val="0"/>
              </w:rPr>
              <w:t xml:space="preserve"> </w:t>
            </w:r>
            <w:r w:rsidR="006F5780">
              <w:rPr>
                <w:b w:val="0"/>
                <w:spacing w:val="0"/>
              </w:rPr>
              <w:t>4</w:t>
            </w:r>
            <w:r w:rsidR="004128AB" w:rsidRPr="00E13369">
              <w:rPr>
                <w:b w:val="0"/>
                <w:spacing w:val="0"/>
              </w:rPr>
              <w:t xml:space="preserve">. Oktober </w:t>
            </w:r>
            <w:r w:rsidRPr="00E13369">
              <w:rPr>
                <w:b w:val="0"/>
                <w:spacing w:val="0"/>
              </w:rPr>
              <w:t>20</w:t>
            </w:r>
            <w:r w:rsidR="006F5780">
              <w:rPr>
                <w:b w:val="0"/>
                <w:spacing w:val="0"/>
              </w:rPr>
              <w:t>21</w:t>
            </w:r>
          </w:p>
        </w:tc>
      </w:tr>
    </w:tbl>
    <w:p w:rsidR="004128AB" w:rsidRPr="006F3121" w:rsidRDefault="004128AB" w:rsidP="004128AB">
      <w:pPr>
        <w:pStyle w:val="Titleofdoc0"/>
      </w:pPr>
      <w:r w:rsidRPr="006F3121">
        <w:t>BERICHTE DER VERTRETER VON MITGLIEDERN UND BEOBACHTERN ÜBER DIE LAGE AUF DEN GEBIETEN DER GESETZGEBUNG, DER VERWALTUNG UND DER TECHNIK</w:t>
      </w:r>
    </w:p>
    <w:p w:rsidR="004128AB" w:rsidRPr="006F3121" w:rsidRDefault="004128AB" w:rsidP="004128AB">
      <w:pPr>
        <w:pStyle w:val="preparedby1"/>
        <w:jc w:val="left"/>
      </w:pPr>
      <w:r w:rsidRPr="006F3121">
        <w:t>vom Verbandsbüro erstelltes Dokument</w:t>
      </w:r>
    </w:p>
    <w:p w:rsidR="004128AB" w:rsidRPr="006F3121" w:rsidRDefault="004128AB" w:rsidP="004128AB">
      <w:pPr>
        <w:pStyle w:val="Disclaimer"/>
      </w:pPr>
      <w:r w:rsidRPr="006F3121">
        <w:t>Haftungsausschluss: dieses Dokument gibt nicht die Grundsätze oder eine Anleitung der UPOV wieder</w:t>
      </w:r>
    </w:p>
    <w:p w:rsidR="004128AB" w:rsidRPr="006F3121" w:rsidRDefault="004128AB" w:rsidP="004128AB">
      <w:r w:rsidRPr="006F3121">
        <w:fldChar w:fldCharType="begin"/>
      </w:r>
      <w:r w:rsidRPr="006F3121">
        <w:instrText xml:space="preserve"> AUTONUM </w:instrText>
      </w:r>
      <w:r w:rsidRPr="006F3121">
        <w:fldChar w:fldCharType="separate"/>
      </w:r>
      <w:r w:rsidRPr="006F3121">
        <w:t>2.</w:t>
      </w:r>
      <w:r w:rsidRPr="006F3121">
        <w:fldChar w:fldCharType="end"/>
      </w:r>
      <w:r w:rsidRPr="006F3121">
        <w:tab/>
        <w:t>Gemäß der auf der sechsundzwanzigsten ordentlichen Tagung des Rates eingeführten Praxis werden die Vertreter von Mitgliedern und Beobachtern gebeten, ihre Berichte über die Lage auf den Gebieten der Gesetzgebung, der Verwaltung und der Technik des Sortenschutzes und in verwandten Bereichen im Voraus schriftlich vorzulegen, damit der Rat Gelegenheit hat, seine Aufgaben wirksam auszuführen.</w:t>
      </w:r>
    </w:p>
    <w:p w:rsidR="004128AB" w:rsidRPr="006F3121" w:rsidRDefault="004128AB" w:rsidP="004128AB"/>
    <w:p w:rsidR="004128AB" w:rsidRPr="006F3121" w:rsidRDefault="004128AB" w:rsidP="004128AB">
      <w:r w:rsidRPr="006F3121">
        <w:fldChar w:fldCharType="begin"/>
      </w:r>
      <w:r w:rsidRPr="006F3121">
        <w:instrText xml:space="preserve"> AUTONUM </w:instrText>
      </w:r>
      <w:r w:rsidRPr="006F3121">
        <w:fldChar w:fldCharType="separate"/>
      </w:r>
      <w:r w:rsidRPr="006F3121">
        <w:t>2.</w:t>
      </w:r>
      <w:r w:rsidRPr="006F3121">
        <w:fldChar w:fldCharType="end"/>
      </w:r>
      <w:r w:rsidRPr="006F3121">
        <w:tab/>
        <w:t>Das Verbandsbüro ersuchte in den Rundschreiben mit der Einladung zu dieser Tagung um schriftliche Berichte und schlug zu diesem Zweck ein Musterformat vor. Folgende Berichte wurden eingereicht (in der alphabetischen Reihenfolge der französischen Namen der Staaten):</w:t>
      </w:r>
    </w:p>
    <w:p w:rsidR="004128AB" w:rsidRPr="006F3121" w:rsidRDefault="004128AB" w:rsidP="004128AB"/>
    <w:p w:rsidR="004128AB" w:rsidRPr="006F3121" w:rsidRDefault="004128AB" w:rsidP="004128AB">
      <w:pPr>
        <w:ind w:left="567"/>
        <w:rPr>
          <w:szCs w:val="24"/>
        </w:rPr>
      </w:pPr>
      <w:r w:rsidRPr="006F3121">
        <w:rPr>
          <w:spacing w:val="-2"/>
          <w:u w:val="single"/>
        </w:rPr>
        <w:t>Mitglieder</w:t>
      </w:r>
      <w:r w:rsidRPr="006F3121">
        <w:rPr>
          <w:spacing w:val="-2"/>
        </w:rPr>
        <w:t xml:space="preserve">: Anlagen I bis XVI: </w:t>
      </w:r>
      <w:r w:rsidR="006F5780" w:rsidRPr="006F5780">
        <w:rPr>
          <w:szCs w:val="24"/>
        </w:rPr>
        <w:t>Deutschland, Brasilien, Dänemark, Ungarn, Litauen, Mexiko, Neuseeland, Polen, Republik Korea, Republik Moldau, Rumänien, Vereinigtes Königre</w:t>
      </w:r>
      <w:r w:rsidR="006F5780">
        <w:rPr>
          <w:szCs w:val="24"/>
        </w:rPr>
        <w:t>ich, Serbien, Singapur, Ukraine und</w:t>
      </w:r>
      <w:r w:rsidR="006F5780" w:rsidRPr="006F5780">
        <w:rPr>
          <w:szCs w:val="24"/>
        </w:rPr>
        <w:t xml:space="preserve"> Europäische Union</w:t>
      </w:r>
    </w:p>
    <w:p w:rsidR="004128AB" w:rsidRPr="006F3121" w:rsidRDefault="004128AB" w:rsidP="004128AB">
      <w:pPr>
        <w:tabs>
          <w:tab w:val="left" w:pos="2694"/>
        </w:tabs>
      </w:pPr>
    </w:p>
    <w:p w:rsidR="004128AB" w:rsidRPr="006F3121" w:rsidRDefault="004128AB" w:rsidP="004128AB">
      <w:r w:rsidRPr="006F3121">
        <w:fldChar w:fldCharType="begin"/>
      </w:r>
      <w:r w:rsidRPr="006F3121">
        <w:instrText xml:space="preserve"> AUTONUM  </w:instrText>
      </w:r>
      <w:r w:rsidRPr="006F3121">
        <w:fldChar w:fldCharType="end"/>
      </w:r>
      <w:r w:rsidRPr="006F3121">
        <w:tab/>
        <w:t>Berichte, die nach dem 2</w:t>
      </w:r>
      <w:r w:rsidR="006F5780">
        <w:t>0</w:t>
      </w:r>
      <w:r w:rsidRPr="006F3121">
        <w:t>. September 202</w:t>
      </w:r>
      <w:r w:rsidR="006F5780">
        <w:t>1</w:t>
      </w:r>
      <w:r w:rsidRPr="006F3121">
        <w:t xml:space="preserve"> eingereicht wurden, werden später als Ergänzung zu diesem Dokument aufgenommen und nach der Ratssitzung veröffentlicht.</w:t>
      </w:r>
    </w:p>
    <w:p w:rsidR="004128AB" w:rsidRPr="006F3121" w:rsidRDefault="004128AB" w:rsidP="004128AB"/>
    <w:p w:rsidR="004128AB" w:rsidRPr="006F3121" w:rsidRDefault="004128AB" w:rsidP="004128AB">
      <w:pPr>
        <w:jc w:val="left"/>
      </w:pPr>
    </w:p>
    <w:p w:rsidR="004128AB" w:rsidRPr="006F3121" w:rsidRDefault="004128AB" w:rsidP="004128AB"/>
    <w:p w:rsidR="004128AB" w:rsidRPr="006F3121" w:rsidRDefault="004128AB" w:rsidP="004128AB">
      <w:pPr>
        <w:jc w:val="right"/>
      </w:pPr>
      <w:r w:rsidRPr="006F3121">
        <w:t>[Anlagen folgen]</w:t>
      </w:r>
    </w:p>
    <w:p w:rsidR="00202E38" w:rsidRPr="006F3121" w:rsidRDefault="00202E38">
      <w:pPr>
        <w:jc w:val="left"/>
      </w:pPr>
    </w:p>
    <w:p w:rsidR="004128AB" w:rsidRPr="006F3121" w:rsidRDefault="004128AB" w:rsidP="004128AB">
      <w:pPr>
        <w:jc w:val="left"/>
      </w:pPr>
    </w:p>
    <w:p w:rsidR="004128AB" w:rsidRPr="006F3121" w:rsidRDefault="004128AB" w:rsidP="004128AB">
      <w:pPr>
        <w:sectPr w:rsidR="004128AB" w:rsidRPr="006F3121" w:rsidSect="00906DDC">
          <w:headerReference w:type="default" r:id="rId9"/>
          <w:pgSz w:w="11907" w:h="16840" w:code="9"/>
          <w:pgMar w:top="510" w:right="1134" w:bottom="1134" w:left="1134" w:header="510" w:footer="680" w:gutter="0"/>
          <w:cols w:space="720"/>
          <w:titlePg/>
        </w:sectPr>
      </w:pPr>
    </w:p>
    <w:p w:rsidR="004128AB" w:rsidRPr="006F3121" w:rsidRDefault="006F5780" w:rsidP="004128AB">
      <w:pPr>
        <w:jc w:val="center"/>
      </w:pPr>
      <w:r>
        <w:lastRenderedPageBreak/>
        <w:t>C/55/INF/4</w:t>
      </w:r>
    </w:p>
    <w:p w:rsidR="004128AB" w:rsidRPr="006F3121" w:rsidRDefault="004128AB" w:rsidP="004128AB">
      <w:pPr>
        <w:jc w:val="center"/>
      </w:pPr>
    </w:p>
    <w:p w:rsidR="004128AB" w:rsidRPr="006F3121" w:rsidRDefault="004128AB" w:rsidP="004128AB">
      <w:pPr>
        <w:jc w:val="center"/>
      </w:pPr>
      <w:r w:rsidRPr="006F3121">
        <w:t>ANLAGE I</w:t>
      </w:r>
    </w:p>
    <w:p w:rsidR="004128AB" w:rsidRPr="006F3121" w:rsidRDefault="004128AB" w:rsidP="004128AB">
      <w:pPr>
        <w:jc w:val="center"/>
      </w:pPr>
    </w:p>
    <w:p w:rsidR="004128AB" w:rsidRPr="006F3121" w:rsidRDefault="004128AB" w:rsidP="004128AB">
      <w:pPr>
        <w:jc w:val="center"/>
      </w:pPr>
    </w:p>
    <w:p w:rsidR="004128AB" w:rsidRPr="006F3121" w:rsidRDefault="00713625" w:rsidP="004128AB">
      <w:pPr>
        <w:jc w:val="center"/>
      </w:pPr>
      <w:r>
        <w:rPr>
          <w:color w:val="000000"/>
        </w:rPr>
        <w:t>DEUTSCHLAND</w:t>
      </w:r>
    </w:p>
    <w:p w:rsidR="004128AB" w:rsidRPr="006F3121" w:rsidRDefault="004128AB" w:rsidP="004128AB"/>
    <w:p w:rsidR="004128AB" w:rsidRPr="006F3121" w:rsidRDefault="004128AB" w:rsidP="004128AB"/>
    <w:p w:rsidR="0089015A" w:rsidRPr="00E07E57" w:rsidRDefault="0089015A" w:rsidP="0089015A">
      <w:r>
        <w:t>I.</w:t>
      </w:r>
      <w:r>
        <w:tab/>
      </w:r>
      <w:r w:rsidRPr="00E07E57">
        <w:t>SORTENSCHUTZ</w:t>
      </w:r>
    </w:p>
    <w:p w:rsidR="0089015A" w:rsidRPr="00E07E57" w:rsidRDefault="0089015A" w:rsidP="0089015A"/>
    <w:p w:rsidR="0089015A" w:rsidRPr="00E07E57" w:rsidRDefault="0089015A" w:rsidP="0089015A">
      <w:r>
        <w:t>1.</w:t>
      </w:r>
      <w:r>
        <w:tab/>
      </w:r>
      <w:r w:rsidRPr="00E07E57">
        <w:rPr>
          <w:u w:val="single"/>
        </w:rPr>
        <w:t>Lage auf dem Gebiet der Gesetzgebung</w:t>
      </w:r>
    </w:p>
    <w:p w:rsidR="0089015A" w:rsidRDefault="0089015A" w:rsidP="0089015A"/>
    <w:p w:rsidR="0089015A" w:rsidRDefault="0089015A" w:rsidP="0089015A">
      <w:pPr>
        <w:ind w:left="567" w:hanging="567"/>
      </w:pPr>
      <w:r>
        <w:t>1.1</w:t>
      </w:r>
      <w:r>
        <w:tab/>
      </w:r>
      <w:r w:rsidRPr="00A52417">
        <w:t>Auf der Grundlage des Bundesgebührengesetzes (BGebG) wurde eine „Besondere Gebührenverordnung des Bundesministeriums für Ernährung und Landwirtschaft für individuell zurechenbare öffentliche Leistungen in dessen Zuständigkeitsbereich (BMELBGebV)“ ausgearbeitet und am 21.07.2021 im Bundesgesetzblatt Teil I Nr. 45</w:t>
      </w:r>
      <w:r w:rsidRPr="00A52417">
        <w:rPr>
          <w:spacing w:val="-1"/>
        </w:rPr>
        <w:t xml:space="preserve"> </w:t>
      </w:r>
      <w:r w:rsidRPr="00A52417">
        <w:t>veröffentlicht.</w:t>
      </w:r>
    </w:p>
    <w:p w:rsidR="0089015A" w:rsidRPr="00A52417" w:rsidRDefault="0089015A" w:rsidP="0089015A">
      <w:pPr>
        <w:ind w:left="567" w:hanging="567"/>
      </w:pPr>
    </w:p>
    <w:p w:rsidR="0089015A" w:rsidRPr="00A52417" w:rsidRDefault="0089015A" w:rsidP="0089015A">
      <w:pPr>
        <w:pStyle w:val="BodyText"/>
        <w:ind w:left="567" w:right="108"/>
      </w:pPr>
      <w:r w:rsidRPr="00A52417">
        <w:t>Die Verordnung tritt am 01.10.2021 in Kraft und löst das bisherige Gebührenverzeichnis des Bundessortenamtes in der zurzeit gültigen Fassung vom 01.11.2019 (Nr. 20/19) ab.</w:t>
      </w:r>
    </w:p>
    <w:p w:rsidR="0089015A" w:rsidRDefault="0089015A" w:rsidP="0089015A">
      <w:pPr>
        <w:ind w:left="567" w:hanging="567"/>
      </w:pPr>
    </w:p>
    <w:p w:rsidR="0089015A" w:rsidRPr="00A52417" w:rsidRDefault="0089015A" w:rsidP="0089015A">
      <w:pPr>
        <w:ind w:left="567" w:hanging="567"/>
      </w:pPr>
      <w:r>
        <w:t>1.2</w:t>
      </w:r>
      <w:r>
        <w:tab/>
      </w:r>
      <w:r w:rsidRPr="00A52417">
        <w:t>Keine Anmerkungen</w:t>
      </w:r>
      <w:r>
        <w:t>.</w:t>
      </w:r>
    </w:p>
    <w:p w:rsidR="0089015A" w:rsidRDefault="0089015A" w:rsidP="0089015A">
      <w:pPr>
        <w:ind w:left="567" w:hanging="567"/>
      </w:pPr>
    </w:p>
    <w:p w:rsidR="0089015A" w:rsidRPr="00A52417" w:rsidRDefault="0089015A" w:rsidP="0089015A">
      <w:pPr>
        <w:ind w:left="567" w:hanging="567"/>
      </w:pPr>
      <w:r>
        <w:t>1.3</w:t>
      </w:r>
      <w:r>
        <w:tab/>
      </w:r>
      <w:r w:rsidRPr="00A52417">
        <w:t>Keine Anmerkungen</w:t>
      </w:r>
      <w:r>
        <w:t>.</w:t>
      </w:r>
    </w:p>
    <w:p w:rsidR="0089015A" w:rsidRPr="00E07E57" w:rsidRDefault="0089015A" w:rsidP="0089015A"/>
    <w:p w:rsidR="0089015A" w:rsidRPr="00E07E57" w:rsidRDefault="0089015A" w:rsidP="0089015A">
      <w:pPr>
        <w:rPr>
          <w:u w:val="single"/>
        </w:rPr>
      </w:pPr>
      <w:r>
        <w:t>2.</w:t>
      </w:r>
      <w:r>
        <w:tab/>
      </w:r>
      <w:r w:rsidRPr="00E07E57">
        <w:rPr>
          <w:u w:val="single"/>
        </w:rPr>
        <w:t>Zusammenarbeit bei der Prüfung</w:t>
      </w:r>
    </w:p>
    <w:p w:rsidR="0089015A" w:rsidRPr="00E07E57" w:rsidRDefault="0089015A" w:rsidP="0089015A"/>
    <w:p w:rsidR="0089015A" w:rsidRDefault="0089015A" w:rsidP="0089015A">
      <w:pPr>
        <w:pStyle w:val="ListParagraph"/>
        <w:ind w:left="567"/>
      </w:pPr>
      <w:r w:rsidRPr="00A52417">
        <w:t>Keine Anmerkungen</w:t>
      </w:r>
      <w:r>
        <w:t>.</w:t>
      </w:r>
    </w:p>
    <w:p w:rsidR="0089015A" w:rsidRPr="00322A61" w:rsidRDefault="0089015A" w:rsidP="0089015A"/>
    <w:p w:rsidR="0089015A" w:rsidRPr="00E07E57" w:rsidRDefault="0089015A" w:rsidP="0089015A">
      <w:pPr>
        <w:rPr>
          <w:u w:val="single"/>
        </w:rPr>
      </w:pPr>
      <w:r>
        <w:t>3.</w:t>
      </w:r>
      <w:r>
        <w:tab/>
      </w:r>
      <w:r w:rsidRPr="00E07E57">
        <w:rPr>
          <w:u w:val="single"/>
        </w:rPr>
        <w:t>Lage auf dem Gebiet der Verwaltung</w:t>
      </w:r>
    </w:p>
    <w:p w:rsidR="0089015A" w:rsidRPr="00E07E57" w:rsidRDefault="0089015A" w:rsidP="0089015A"/>
    <w:p w:rsidR="0089015A" w:rsidRDefault="0089015A" w:rsidP="0089015A">
      <w:pPr>
        <w:pStyle w:val="ListParagraph"/>
        <w:ind w:left="567"/>
      </w:pPr>
      <w:r w:rsidRPr="00A52417">
        <w:t>Keine Anmerkungen</w:t>
      </w:r>
      <w:r>
        <w:t>.</w:t>
      </w:r>
    </w:p>
    <w:p w:rsidR="0089015A" w:rsidRPr="00E07E57" w:rsidRDefault="0089015A" w:rsidP="0089015A"/>
    <w:p w:rsidR="0089015A" w:rsidRPr="00E07E57" w:rsidRDefault="0089015A" w:rsidP="0089015A">
      <w:pPr>
        <w:rPr>
          <w:u w:val="single"/>
        </w:rPr>
      </w:pPr>
      <w:r>
        <w:t>4.</w:t>
      </w:r>
      <w:r>
        <w:tab/>
      </w:r>
      <w:r w:rsidRPr="00E07E57">
        <w:rPr>
          <w:u w:val="single"/>
        </w:rPr>
        <w:t>Lage auf dem Gebiet der Technik</w:t>
      </w:r>
    </w:p>
    <w:p w:rsidR="0089015A" w:rsidRPr="00E07E57" w:rsidRDefault="0089015A" w:rsidP="0089015A"/>
    <w:p w:rsidR="0089015A" w:rsidRDefault="0089015A" w:rsidP="0089015A">
      <w:r w:rsidRPr="00222872">
        <w:t>Das Bundessortenamt modernisiert und erweitert Betrieb</w:t>
      </w:r>
      <w:r>
        <w:t>seinrichtungen für die Prüfungs</w:t>
      </w:r>
      <w:r w:rsidRPr="00222872">
        <w:t>durchführung und die Informationstechnik mit Schwerpunkt auf den Standort Hannover.</w:t>
      </w:r>
    </w:p>
    <w:p w:rsidR="0089015A" w:rsidRPr="00E07E57" w:rsidRDefault="0089015A" w:rsidP="0089015A"/>
    <w:p w:rsidR="0089015A" w:rsidRPr="00E07E57" w:rsidRDefault="0089015A" w:rsidP="0089015A">
      <w:pPr>
        <w:rPr>
          <w:u w:val="single"/>
        </w:rPr>
      </w:pPr>
      <w:r>
        <w:t>5.</w:t>
      </w:r>
      <w:r>
        <w:tab/>
      </w:r>
      <w:r w:rsidRPr="00E07E57">
        <w:rPr>
          <w:u w:val="single"/>
        </w:rPr>
        <w:t>Tätigkeiten zur Förderung des Sortenschutzes</w:t>
      </w:r>
    </w:p>
    <w:p w:rsidR="0089015A" w:rsidRPr="00E07E57" w:rsidRDefault="0089015A" w:rsidP="0089015A"/>
    <w:tbl>
      <w:tblPr>
        <w:tblW w:w="99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1134"/>
        <w:gridCol w:w="1436"/>
        <w:gridCol w:w="679"/>
        <w:gridCol w:w="3991"/>
        <w:gridCol w:w="2693"/>
      </w:tblGrid>
      <w:tr w:rsidR="0089015A" w:rsidTr="0089015A">
        <w:tc>
          <w:tcPr>
            <w:tcW w:w="1134" w:type="dxa"/>
            <w:vAlign w:val="center"/>
          </w:tcPr>
          <w:p w:rsidR="0089015A" w:rsidRPr="0089015A" w:rsidRDefault="0089015A" w:rsidP="00AA577D">
            <w:pPr>
              <w:pStyle w:val="TableParagraph"/>
              <w:ind w:left="0"/>
              <w:rPr>
                <w:sz w:val="16"/>
                <w:szCs w:val="16"/>
              </w:rPr>
            </w:pPr>
            <w:r w:rsidRPr="0089015A">
              <w:rPr>
                <w:sz w:val="16"/>
                <w:szCs w:val="16"/>
              </w:rPr>
              <w:t>Art der Tätigkeit</w:t>
            </w:r>
          </w:p>
        </w:tc>
        <w:tc>
          <w:tcPr>
            <w:tcW w:w="1436" w:type="dxa"/>
            <w:vAlign w:val="center"/>
          </w:tcPr>
          <w:p w:rsidR="0089015A" w:rsidRPr="0089015A" w:rsidRDefault="0089015A" w:rsidP="00AA577D">
            <w:pPr>
              <w:pStyle w:val="TableParagraph"/>
              <w:ind w:left="0"/>
              <w:rPr>
                <w:sz w:val="16"/>
                <w:szCs w:val="16"/>
              </w:rPr>
            </w:pPr>
            <w:r w:rsidRPr="0089015A">
              <w:rPr>
                <w:sz w:val="16"/>
                <w:szCs w:val="16"/>
              </w:rPr>
              <w:t>Datum</w:t>
            </w:r>
          </w:p>
        </w:tc>
        <w:tc>
          <w:tcPr>
            <w:tcW w:w="679" w:type="dxa"/>
            <w:vAlign w:val="center"/>
          </w:tcPr>
          <w:p w:rsidR="0089015A" w:rsidRPr="0089015A" w:rsidRDefault="0089015A" w:rsidP="00AA577D">
            <w:pPr>
              <w:pStyle w:val="TableParagraph"/>
              <w:ind w:left="0"/>
              <w:rPr>
                <w:sz w:val="16"/>
                <w:szCs w:val="16"/>
              </w:rPr>
            </w:pPr>
            <w:r w:rsidRPr="0089015A">
              <w:rPr>
                <w:sz w:val="16"/>
                <w:szCs w:val="16"/>
              </w:rPr>
              <w:t>Ort</w:t>
            </w:r>
          </w:p>
        </w:tc>
        <w:tc>
          <w:tcPr>
            <w:tcW w:w="3991" w:type="dxa"/>
            <w:vAlign w:val="center"/>
          </w:tcPr>
          <w:p w:rsidR="0089015A" w:rsidRPr="0089015A" w:rsidRDefault="0089015A" w:rsidP="00AA577D">
            <w:pPr>
              <w:pStyle w:val="TableParagraph"/>
              <w:ind w:left="0"/>
              <w:rPr>
                <w:sz w:val="16"/>
                <w:szCs w:val="16"/>
              </w:rPr>
            </w:pPr>
            <w:r w:rsidRPr="0089015A">
              <w:rPr>
                <w:sz w:val="16"/>
                <w:szCs w:val="16"/>
              </w:rPr>
              <w:t>Zweck der Tätigkeit</w:t>
            </w:r>
          </w:p>
        </w:tc>
        <w:tc>
          <w:tcPr>
            <w:tcW w:w="2693" w:type="dxa"/>
            <w:vAlign w:val="center"/>
          </w:tcPr>
          <w:p w:rsidR="0089015A" w:rsidRPr="0089015A" w:rsidRDefault="0089015A" w:rsidP="00AA577D">
            <w:pPr>
              <w:pStyle w:val="TableParagraph"/>
              <w:ind w:left="0"/>
              <w:rPr>
                <w:sz w:val="16"/>
                <w:szCs w:val="16"/>
              </w:rPr>
            </w:pPr>
            <w:r>
              <w:rPr>
                <w:sz w:val="16"/>
                <w:szCs w:val="16"/>
              </w:rPr>
              <w:t xml:space="preserve">Teilnehmende Staaten/ </w:t>
            </w:r>
            <w:r w:rsidRPr="0089015A">
              <w:rPr>
                <w:sz w:val="16"/>
                <w:szCs w:val="16"/>
              </w:rPr>
              <w:t>Organisationen (Zahl der Teilnehmer pro Staat/ Organisation)</w:t>
            </w:r>
          </w:p>
        </w:tc>
      </w:tr>
      <w:tr w:rsidR="0089015A" w:rsidTr="0089015A">
        <w:tc>
          <w:tcPr>
            <w:tcW w:w="1134" w:type="dxa"/>
          </w:tcPr>
          <w:p w:rsidR="0089015A" w:rsidRPr="0089015A" w:rsidRDefault="0089015A" w:rsidP="00AA577D">
            <w:pPr>
              <w:pStyle w:val="TableParagraph"/>
              <w:ind w:left="0"/>
              <w:rPr>
                <w:sz w:val="16"/>
                <w:szCs w:val="16"/>
              </w:rPr>
            </w:pPr>
            <w:r w:rsidRPr="0089015A">
              <w:rPr>
                <w:sz w:val="16"/>
                <w:szCs w:val="16"/>
              </w:rPr>
              <w:t>Schulung</w:t>
            </w:r>
          </w:p>
        </w:tc>
        <w:tc>
          <w:tcPr>
            <w:tcW w:w="1436" w:type="dxa"/>
          </w:tcPr>
          <w:p w:rsidR="0089015A" w:rsidRPr="0089015A" w:rsidRDefault="0089015A" w:rsidP="00AA577D">
            <w:pPr>
              <w:pStyle w:val="TableParagraph"/>
              <w:ind w:left="0"/>
              <w:rPr>
                <w:sz w:val="16"/>
                <w:szCs w:val="16"/>
              </w:rPr>
            </w:pPr>
            <w:r w:rsidRPr="0089015A">
              <w:rPr>
                <w:sz w:val="16"/>
                <w:szCs w:val="16"/>
              </w:rPr>
              <w:t>Oktober 2020</w:t>
            </w:r>
          </w:p>
        </w:tc>
        <w:tc>
          <w:tcPr>
            <w:tcW w:w="679" w:type="dxa"/>
          </w:tcPr>
          <w:p w:rsidR="0089015A" w:rsidRPr="0089015A" w:rsidRDefault="0089015A" w:rsidP="00AA577D">
            <w:pPr>
              <w:pStyle w:val="TableParagraph"/>
              <w:ind w:left="0"/>
              <w:rPr>
                <w:sz w:val="16"/>
                <w:szCs w:val="16"/>
              </w:rPr>
            </w:pPr>
            <w:r w:rsidRPr="0089015A">
              <w:rPr>
                <w:sz w:val="16"/>
                <w:szCs w:val="16"/>
              </w:rPr>
              <w:t>Online</w:t>
            </w:r>
          </w:p>
        </w:tc>
        <w:tc>
          <w:tcPr>
            <w:tcW w:w="3991" w:type="dxa"/>
          </w:tcPr>
          <w:p w:rsidR="0089015A" w:rsidRPr="0089015A" w:rsidRDefault="0089015A" w:rsidP="00AA577D">
            <w:pPr>
              <w:pStyle w:val="TableParagraph"/>
              <w:ind w:left="0"/>
              <w:rPr>
                <w:sz w:val="16"/>
                <w:szCs w:val="16"/>
              </w:rPr>
            </w:pPr>
            <w:r w:rsidRPr="0089015A">
              <w:rPr>
                <w:sz w:val="16"/>
                <w:szCs w:val="16"/>
              </w:rPr>
              <w:t>IP Key China</w:t>
            </w:r>
          </w:p>
        </w:tc>
        <w:tc>
          <w:tcPr>
            <w:tcW w:w="2693" w:type="dxa"/>
          </w:tcPr>
          <w:p w:rsidR="0089015A" w:rsidRPr="0089015A" w:rsidRDefault="0089015A" w:rsidP="00AA577D">
            <w:pPr>
              <w:pStyle w:val="TableParagraph"/>
              <w:ind w:left="0"/>
              <w:rPr>
                <w:sz w:val="16"/>
                <w:szCs w:val="16"/>
              </w:rPr>
            </w:pPr>
            <w:r w:rsidRPr="0089015A">
              <w:rPr>
                <w:sz w:val="16"/>
                <w:szCs w:val="16"/>
              </w:rPr>
              <w:t>Frankreich, Niederlande</w:t>
            </w:r>
          </w:p>
        </w:tc>
      </w:tr>
      <w:tr w:rsidR="0089015A" w:rsidTr="0089015A">
        <w:tc>
          <w:tcPr>
            <w:tcW w:w="1134" w:type="dxa"/>
          </w:tcPr>
          <w:p w:rsidR="0089015A" w:rsidRPr="0089015A" w:rsidRDefault="0089015A" w:rsidP="00AA577D">
            <w:pPr>
              <w:pStyle w:val="TableParagraph"/>
              <w:ind w:left="0"/>
              <w:rPr>
                <w:sz w:val="16"/>
                <w:szCs w:val="16"/>
              </w:rPr>
            </w:pPr>
            <w:r w:rsidRPr="0089015A">
              <w:rPr>
                <w:sz w:val="16"/>
                <w:szCs w:val="16"/>
              </w:rPr>
              <w:t>Workshop</w:t>
            </w:r>
          </w:p>
        </w:tc>
        <w:tc>
          <w:tcPr>
            <w:tcW w:w="1436" w:type="dxa"/>
          </w:tcPr>
          <w:p w:rsidR="0089015A" w:rsidRPr="0089015A" w:rsidRDefault="0089015A" w:rsidP="00AA577D">
            <w:pPr>
              <w:pStyle w:val="TableParagraph"/>
              <w:ind w:left="0"/>
              <w:rPr>
                <w:sz w:val="16"/>
                <w:szCs w:val="16"/>
              </w:rPr>
            </w:pPr>
            <w:r w:rsidRPr="0089015A">
              <w:rPr>
                <w:sz w:val="16"/>
                <w:szCs w:val="16"/>
              </w:rPr>
              <w:t>Oktober 2020</w:t>
            </w:r>
          </w:p>
        </w:tc>
        <w:tc>
          <w:tcPr>
            <w:tcW w:w="679" w:type="dxa"/>
          </w:tcPr>
          <w:p w:rsidR="0089015A" w:rsidRPr="0089015A" w:rsidRDefault="0089015A" w:rsidP="00AA577D">
            <w:pPr>
              <w:pStyle w:val="TableParagraph"/>
              <w:ind w:left="0"/>
              <w:rPr>
                <w:sz w:val="16"/>
                <w:szCs w:val="16"/>
              </w:rPr>
            </w:pPr>
            <w:r w:rsidRPr="0089015A">
              <w:rPr>
                <w:sz w:val="16"/>
                <w:szCs w:val="16"/>
              </w:rPr>
              <w:t>Online</w:t>
            </w:r>
          </w:p>
        </w:tc>
        <w:tc>
          <w:tcPr>
            <w:tcW w:w="3991" w:type="dxa"/>
          </w:tcPr>
          <w:p w:rsidR="0089015A" w:rsidRPr="0089015A" w:rsidRDefault="0089015A" w:rsidP="00AA577D">
            <w:pPr>
              <w:pStyle w:val="TableParagraph"/>
              <w:ind w:left="0"/>
              <w:rPr>
                <w:i/>
                <w:sz w:val="16"/>
                <w:szCs w:val="16"/>
              </w:rPr>
            </w:pPr>
            <w:r w:rsidRPr="0089015A">
              <w:rPr>
                <w:i/>
                <w:sz w:val="16"/>
                <w:szCs w:val="16"/>
              </w:rPr>
              <w:t>DUS testing data management</w:t>
            </w:r>
          </w:p>
        </w:tc>
        <w:tc>
          <w:tcPr>
            <w:tcW w:w="2693" w:type="dxa"/>
          </w:tcPr>
          <w:p w:rsidR="0089015A" w:rsidRPr="0089015A" w:rsidRDefault="0089015A" w:rsidP="00AA577D">
            <w:pPr>
              <w:pStyle w:val="TableParagraph"/>
              <w:ind w:left="0"/>
              <w:rPr>
                <w:sz w:val="16"/>
                <w:szCs w:val="16"/>
              </w:rPr>
            </w:pPr>
            <w:r w:rsidRPr="0089015A">
              <w:rPr>
                <w:sz w:val="16"/>
                <w:szCs w:val="16"/>
              </w:rPr>
              <w:t>Indien</w:t>
            </w:r>
          </w:p>
          <w:p w:rsidR="0089015A" w:rsidRPr="0089015A" w:rsidRDefault="0089015A" w:rsidP="00AA577D">
            <w:pPr>
              <w:pStyle w:val="TableParagraph"/>
              <w:ind w:left="0"/>
              <w:rPr>
                <w:sz w:val="16"/>
                <w:szCs w:val="16"/>
              </w:rPr>
            </w:pPr>
            <w:r w:rsidRPr="0089015A">
              <w:rPr>
                <w:sz w:val="16"/>
                <w:szCs w:val="16"/>
              </w:rPr>
              <w:t>(~ 300 Teilnehmer)</w:t>
            </w:r>
          </w:p>
        </w:tc>
      </w:tr>
      <w:tr w:rsidR="0089015A" w:rsidTr="0089015A">
        <w:tc>
          <w:tcPr>
            <w:tcW w:w="1134" w:type="dxa"/>
          </w:tcPr>
          <w:p w:rsidR="0089015A" w:rsidRPr="0089015A" w:rsidRDefault="0089015A" w:rsidP="00AA577D">
            <w:pPr>
              <w:pStyle w:val="TableParagraph"/>
              <w:ind w:left="0"/>
              <w:rPr>
                <w:sz w:val="16"/>
                <w:szCs w:val="16"/>
              </w:rPr>
            </w:pPr>
            <w:r w:rsidRPr="0089015A">
              <w:rPr>
                <w:sz w:val="16"/>
                <w:szCs w:val="16"/>
              </w:rPr>
              <w:t>Austausch</w:t>
            </w:r>
          </w:p>
        </w:tc>
        <w:tc>
          <w:tcPr>
            <w:tcW w:w="1436" w:type="dxa"/>
          </w:tcPr>
          <w:p w:rsidR="0089015A" w:rsidRPr="0089015A" w:rsidRDefault="0089015A" w:rsidP="00AA577D">
            <w:pPr>
              <w:pStyle w:val="TableParagraph"/>
              <w:ind w:left="0"/>
              <w:rPr>
                <w:sz w:val="16"/>
                <w:szCs w:val="16"/>
              </w:rPr>
            </w:pPr>
            <w:r w:rsidRPr="0089015A">
              <w:rPr>
                <w:sz w:val="16"/>
                <w:szCs w:val="16"/>
              </w:rPr>
              <w:t>November 2020</w:t>
            </w:r>
          </w:p>
        </w:tc>
        <w:tc>
          <w:tcPr>
            <w:tcW w:w="679" w:type="dxa"/>
          </w:tcPr>
          <w:p w:rsidR="0089015A" w:rsidRPr="0089015A" w:rsidRDefault="0089015A" w:rsidP="00AA577D">
            <w:pPr>
              <w:pStyle w:val="TableParagraph"/>
              <w:ind w:left="0"/>
              <w:rPr>
                <w:sz w:val="16"/>
                <w:szCs w:val="16"/>
              </w:rPr>
            </w:pPr>
            <w:r w:rsidRPr="0089015A">
              <w:rPr>
                <w:sz w:val="16"/>
                <w:szCs w:val="16"/>
              </w:rPr>
              <w:t>Online</w:t>
            </w:r>
          </w:p>
        </w:tc>
        <w:tc>
          <w:tcPr>
            <w:tcW w:w="3991" w:type="dxa"/>
          </w:tcPr>
          <w:p w:rsidR="0089015A" w:rsidRPr="0089015A" w:rsidRDefault="0089015A" w:rsidP="00AA577D">
            <w:pPr>
              <w:pStyle w:val="TableParagraph"/>
              <w:ind w:left="0"/>
              <w:rPr>
                <w:sz w:val="16"/>
                <w:szCs w:val="16"/>
              </w:rPr>
            </w:pPr>
            <w:r w:rsidRPr="0089015A">
              <w:rPr>
                <w:sz w:val="16"/>
                <w:szCs w:val="16"/>
              </w:rPr>
              <w:t>Entwurf des Sorten- und Saatgutgesetzes der Mongolei</w:t>
            </w:r>
          </w:p>
        </w:tc>
        <w:tc>
          <w:tcPr>
            <w:tcW w:w="2693" w:type="dxa"/>
          </w:tcPr>
          <w:p w:rsidR="0089015A" w:rsidRPr="0089015A" w:rsidRDefault="0089015A" w:rsidP="00AA577D">
            <w:pPr>
              <w:pStyle w:val="TableParagraph"/>
              <w:ind w:left="0"/>
              <w:rPr>
                <w:sz w:val="16"/>
                <w:szCs w:val="16"/>
              </w:rPr>
            </w:pPr>
            <w:r w:rsidRPr="0089015A">
              <w:rPr>
                <w:sz w:val="16"/>
                <w:szCs w:val="16"/>
              </w:rPr>
              <w:t>Mongolei</w:t>
            </w:r>
          </w:p>
        </w:tc>
      </w:tr>
      <w:tr w:rsidR="0089015A" w:rsidTr="0089015A">
        <w:tc>
          <w:tcPr>
            <w:tcW w:w="1134" w:type="dxa"/>
          </w:tcPr>
          <w:p w:rsidR="0089015A" w:rsidRPr="0089015A" w:rsidRDefault="0089015A" w:rsidP="00AA577D">
            <w:pPr>
              <w:pStyle w:val="TableParagraph"/>
              <w:ind w:left="0"/>
              <w:rPr>
                <w:sz w:val="16"/>
                <w:szCs w:val="16"/>
              </w:rPr>
            </w:pPr>
            <w:r w:rsidRPr="0089015A">
              <w:rPr>
                <w:sz w:val="16"/>
                <w:szCs w:val="16"/>
              </w:rPr>
              <w:t>Austausch</w:t>
            </w:r>
          </w:p>
        </w:tc>
        <w:tc>
          <w:tcPr>
            <w:tcW w:w="1436" w:type="dxa"/>
          </w:tcPr>
          <w:p w:rsidR="0089015A" w:rsidRPr="0089015A" w:rsidRDefault="0089015A" w:rsidP="00AA577D">
            <w:pPr>
              <w:pStyle w:val="TableParagraph"/>
              <w:ind w:left="0"/>
              <w:rPr>
                <w:sz w:val="16"/>
                <w:szCs w:val="16"/>
              </w:rPr>
            </w:pPr>
            <w:r w:rsidRPr="0089015A">
              <w:rPr>
                <w:sz w:val="16"/>
                <w:szCs w:val="16"/>
              </w:rPr>
              <w:t>November 2020</w:t>
            </w:r>
          </w:p>
        </w:tc>
        <w:tc>
          <w:tcPr>
            <w:tcW w:w="679" w:type="dxa"/>
          </w:tcPr>
          <w:p w:rsidR="0089015A" w:rsidRPr="0089015A" w:rsidRDefault="0089015A" w:rsidP="00AA577D">
            <w:pPr>
              <w:pStyle w:val="TableParagraph"/>
              <w:ind w:left="0"/>
              <w:rPr>
                <w:sz w:val="16"/>
                <w:szCs w:val="16"/>
              </w:rPr>
            </w:pPr>
            <w:r w:rsidRPr="0089015A">
              <w:rPr>
                <w:sz w:val="16"/>
                <w:szCs w:val="16"/>
              </w:rPr>
              <w:t>Online</w:t>
            </w:r>
          </w:p>
        </w:tc>
        <w:tc>
          <w:tcPr>
            <w:tcW w:w="3991" w:type="dxa"/>
          </w:tcPr>
          <w:p w:rsidR="0089015A" w:rsidRPr="0089015A" w:rsidRDefault="0089015A" w:rsidP="00AA577D">
            <w:pPr>
              <w:pStyle w:val="TableParagraph"/>
              <w:ind w:left="0"/>
              <w:rPr>
                <w:sz w:val="16"/>
                <w:szCs w:val="16"/>
              </w:rPr>
            </w:pPr>
            <w:r w:rsidRPr="0089015A">
              <w:rPr>
                <w:sz w:val="16"/>
                <w:szCs w:val="16"/>
              </w:rPr>
              <w:t>Entwurf der äthiopischen Richtlinie für die Durchführung von Wertprüfungen an Gerste und Weizen</w:t>
            </w:r>
          </w:p>
        </w:tc>
        <w:tc>
          <w:tcPr>
            <w:tcW w:w="2693" w:type="dxa"/>
          </w:tcPr>
          <w:p w:rsidR="0089015A" w:rsidRPr="0089015A" w:rsidRDefault="0089015A" w:rsidP="00AA577D">
            <w:pPr>
              <w:pStyle w:val="TableParagraph"/>
              <w:ind w:left="0"/>
              <w:rPr>
                <w:sz w:val="16"/>
                <w:szCs w:val="16"/>
              </w:rPr>
            </w:pPr>
            <w:r w:rsidRPr="0089015A">
              <w:rPr>
                <w:sz w:val="16"/>
                <w:szCs w:val="16"/>
              </w:rPr>
              <w:t>Äthiopien</w:t>
            </w:r>
          </w:p>
          <w:p w:rsidR="0089015A" w:rsidRPr="0089015A" w:rsidRDefault="0089015A" w:rsidP="00AA577D">
            <w:pPr>
              <w:pStyle w:val="TableParagraph"/>
              <w:ind w:left="0"/>
              <w:rPr>
                <w:sz w:val="16"/>
                <w:szCs w:val="16"/>
              </w:rPr>
            </w:pPr>
            <w:r w:rsidRPr="0089015A">
              <w:rPr>
                <w:sz w:val="16"/>
                <w:szCs w:val="16"/>
              </w:rPr>
              <w:t>(~ 10 Teilnehmer)</w:t>
            </w:r>
          </w:p>
        </w:tc>
      </w:tr>
      <w:tr w:rsidR="0089015A" w:rsidTr="0089015A">
        <w:tc>
          <w:tcPr>
            <w:tcW w:w="1134" w:type="dxa"/>
          </w:tcPr>
          <w:p w:rsidR="0089015A" w:rsidRPr="0089015A" w:rsidRDefault="0089015A" w:rsidP="00AA577D">
            <w:pPr>
              <w:pStyle w:val="TableParagraph"/>
              <w:ind w:left="0"/>
              <w:rPr>
                <w:sz w:val="16"/>
                <w:szCs w:val="16"/>
              </w:rPr>
            </w:pPr>
            <w:r w:rsidRPr="0089015A">
              <w:rPr>
                <w:sz w:val="16"/>
                <w:szCs w:val="16"/>
              </w:rPr>
              <w:t>Workshop</w:t>
            </w:r>
          </w:p>
        </w:tc>
        <w:tc>
          <w:tcPr>
            <w:tcW w:w="1436" w:type="dxa"/>
          </w:tcPr>
          <w:p w:rsidR="0089015A" w:rsidRPr="0089015A" w:rsidRDefault="0089015A" w:rsidP="00AA577D">
            <w:pPr>
              <w:pStyle w:val="TableParagraph"/>
              <w:ind w:left="0"/>
              <w:rPr>
                <w:sz w:val="16"/>
                <w:szCs w:val="16"/>
              </w:rPr>
            </w:pPr>
            <w:r w:rsidRPr="0089015A">
              <w:rPr>
                <w:sz w:val="16"/>
                <w:szCs w:val="16"/>
              </w:rPr>
              <w:t>Dezember 2020</w:t>
            </w:r>
          </w:p>
        </w:tc>
        <w:tc>
          <w:tcPr>
            <w:tcW w:w="679" w:type="dxa"/>
          </w:tcPr>
          <w:p w:rsidR="0089015A" w:rsidRPr="0089015A" w:rsidRDefault="0089015A" w:rsidP="00AA577D">
            <w:pPr>
              <w:pStyle w:val="TableParagraph"/>
              <w:ind w:left="0"/>
              <w:rPr>
                <w:sz w:val="16"/>
                <w:szCs w:val="16"/>
              </w:rPr>
            </w:pPr>
            <w:r w:rsidRPr="0089015A">
              <w:rPr>
                <w:sz w:val="16"/>
                <w:szCs w:val="16"/>
              </w:rPr>
              <w:t>Online</w:t>
            </w:r>
          </w:p>
        </w:tc>
        <w:tc>
          <w:tcPr>
            <w:tcW w:w="3991" w:type="dxa"/>
          </w:tcPr>
          <w:p w:rsidR="0089015A" w:rsidRPr="0089015A" w:rsidRDefault="0089015A" w:rsidP="00AA577D">
            <w:pPr>
              <w:pStyle w:val="TableParagraph"/>
              <w:ind w:left="0"/>
              <w:rPr>
                <w:i/>
                <w:sz w:val="16"/>
                <w:szCs w:val="16"/>
              </w:rPr>
            </w:pPr>
            <w:r w:rsidRPr="0089015A">
              <w:rPr>
                <w:i/>
                <w:sz w:val="16"/>
                <w:szCs w:val="16"/>
              </w:rPr>
              <w:t>New EU Plant Health Regulation</w:t>
            </w:r>
          </w:p>
        </w:tc>
        <w:tc>
          <w:tcPr>
            <w:tcW w:w="2693" w:type="dxa"/>
          </w:tcPr>
          <w:p w:rsidR="0089015A" w:rsidRPr="0089015A" w:rsidRDefault="0089015A" w:rsidP="00AA577D">
            <w:pPr>
              <w:pStyle w:val="TableParagraph"/>
              <w:ind w:left="0"/>
              <w:rPr>
                <w:sz w:val="16"/>
                <w:szCs w:val="16"/>
              </w:rPr>
            </w:pPr>
            <w:r w:rsidRPr="0089015A">
              <w:rPr>
                <w:sz w:val="16"/>
                <w:szCs w:val="16"/>
              </w:rPr>
              <w:t>Indien</w:t>
            </w:r>
          </w:p>
          <w:p w:rsidR="0089015A" w:rsidRPr="0089015A" w:rsidRDefault="0089015A" w:rsidP="00AA577D">
            <w:pPr>
              <w:pStyle w:val="TableParagraph"/>
              <w:ind w:left="0"/>
              <w:rPr>
                <w:sz w:val="16"/>
                <w:szCs w:val="16"/>
              </w:rPr>
            </w:pPr>
            <w:r w:rsidRPr="0089015A">
              <w:rPr>
                <w:sz w:val="16"/>
                <w:szCs w:val="16"/>
              </w:rPr>
              <w:t>(~ 70 Teilnehmer)</w:t>
            </w:r>
          </w:p>
        </w:tc>
      </w:tr>
      <w:tr w:rsidR="0089015A" w:rsidTr="0089015A">
        <w:tc>
          <w:tcPr>
            <w:tcW w:w="1134" w:type="dxa"/>
          </w:tcPr>
          <w:p w:rsidR="0089015A" w:rsidRPr="0089015A" w:rsidRDefault="0089015A" w:rsidP="00AA577D">
            <w:pPr>
              <w:pStyle w:val="TableParagraph"/>
              <w:ind w:left="0"/>
              <w:rPr>
                <w:sz w:val="16"/>
                <w:szCs w:val="16"/>
              </w:rPr>
            </w:pPr>
            <w:r w:rsidRPr="0089015A">
              <w:rPr>
                <w:sz w:val="16"/>
                <w:szCs w:val="16"/>
              </w:rPr>
              <w:t>Workshop</w:t>
            </w:r>
          </w:p>
        </w:tc>
        <w:tc>
          <w:tcPr>
            <w:tcW w:w="1436" w:type="dxa"/>
          </w:tcPr>
          <w:p w:rsidR="0089015A" w:rsidRPr="0089015A" w:rsidRDefault="0089015A" w:rsidP="00AA577D">
            <w:pPr>
              <w:pStyle w:val="TableParagraph"/>
              <w:ind w:left="0"/>
              <w:rPr>
                <w:sz w:val="16"/>
                <w:szCs w:val="16"/>
              </w:rPr>
            </w:pPr>
            <w:r w:rsidRPr="0089015A">
              <w:rPr>
                <w:sz w:val="16"/>
                <w:szCs w:val="16"/>
              </w:rPr>
              <w:t>April 2021</w:t>
            </w:r>
          </w:p>
        </w:tc>
        <w:tc>
          <w:tcPr>
            <w:tcW w:w="679" w:type="dxa"/>
          </w:tcPr>
          <w:p w:rsidR="0089015A" w:rsidRPr="0089015A" w:rsidRDefault="0089015A" w:rsidP="00AA577D">
            <w:pPr>
              <w:pStyle w:val="TableParagraph"/>
              <w:ind w:left="0"/>
              <w:rPr>
                <w:sz w:val="16"/>
                <w:szCs w:val="16"/>
              </w:rPr>
            </w:pPr>
            <w:r w:rsidRPr="0089015A">
              <w:rPr>
                <w:sz w:val="16"/>
                <w:szCs w:val="16"/>
              </w:rPr>
              <w:t>Online</w:t>
            </w:r>
          </w:p>
        </w:tc>
        <w:tc>
          <w:tcPr>
            <w:tcW w:w="3991" w:type="dxa"/>
          </w:tcPr>
          <w:p w:rsidR="0089015A" w:rsidRPr="0089015A" w:rsidRDefault="0089015A" w:rsidP="00AA577D">
            <w:pPr>
              <w:pStyle w:val="TableParagraph"/>
              <w:ind w:left="0"/>
              <w:rPr>
                <w:i/>
                <w:sz w:val="16"/>
                <w:szCs w:val="16"/>
              </w:rPr>
            </w:pPr>
            <w:r w:rsidRPr="0089015A">
              <w:rPr>
                <w:i/>
                <w:sz w:val="16"/>
                <w:szCs w:val="16"/>
              </w:rPr>
              <w:t>Exchange on PVP Post Control Measures</w:t>
            </w:r>
          </w:p>
        </w:tc>
        <w:tc>
          <w:tcPr>
            <w:tcW w:w="2693" w:type="dxa"/>
          </w:tcPr>
          <w:p w:rsidR="0089015A" w:rsidRPr="0089015A" w:rsidRDefault="0089015A" w:rsidP="00AA577D">
            <w:pPr>
              <w:pStyle w:val="TableParagraph"/>
              <w:ind w:left="0"/>
              <w:rPr>
                <w:sz w:val="16"/>
                <w:szCs w:val="16"/>
              </w:rPr>
            </w:pPr>
            <w:r w:rsidRPr="0089015A">
              <w:rPr>
                <w:sz w:val="16"/>
                <w:szCs w:val="16"/>
              </w:rPr>
              <w:t>Indien</w:t>
            </w:r>
          </w:p>
          <w:p w:rsidR="0089015A" w:rsidRPr="0089015A" w:rsidRDefault="0089015A" w:rsidP="00AA577D">
            <w:pPr>
              <w:pStyle w:val="TableParagraph"/>
              <w:ind w:left="0"/>
              <w:rPr>
                <w:sz w:val="16"/>
                <w:szCs w:val="16"/>
              </w:rPr>
            </w:pPr>
            <w:r w:rsidRPr="0089015A">
              <w:rPr>
                <w:sz w:val="16"/>
                <w:szCs w:val="16"/>
              </w:rPr>
              <w:t>(~ 200 Teilnehmer)</w:t>
            </w:r>
          </w:p>
        </w:tc>
      </w:tr>
      <w:tr w:rsidR="0089015A" w:rsidTr="0089015A">
        <w:tc>
          <w:tcPr>
            <w:tcW w:w="1134" w:type="dxa"/>
          </w:tcPr>
          <w:p w:rsidR="0089015A" w:rsidRPr="0089015A" w:rsidRDefault="0089015A" w:rsidP="00AA577D">
            <w:pPr>
              <w:pStyle w:val="TableParagraph"/>
              <w:ind w:left="0"/>
              <w:rPr>
                <w:sz w:val="16"/>
                <w:szCs w:val="16"/>
              </w:rPr>
            </w:pPr>
            <w:r w:rsidRPr="0089015A">
              <w:rPr>
                <w:sz w:val="16"/>
                <w:szCs w:val="16"/>
              </w:rPr>
              <w:t>Austausch</w:t>
            </w:r>
          </w:p>
        </w:tc>
        <w:tc>
          <w:tcPr>
            <w:tcW w:w="1436" w:type="dxa"/>
          </w:tcPr>
          <w:p w:rsidR="0089015A" w:rsidRPr="0089015A" w:rsidRDefault="0089015A" w:rsidP="00AA577D">
            <w:pPr>
              <w:pStyle w:val="TableParagraph"/>
              <w:ind w:left="0"/>
              <w:rPr>
                <w:sz w:val="16"/>
                <w:szCs w:val="16"/>
              </w:rPr>
            </w:pPr>
            <w:r w:rsidRPr="0089015A">
              <w:rPr>
                <w:sz w:val="16"/>
                <w:szCs w:val="16"/>
              </w:rPr>
              <w:t>April 2021</w:t>
            </w:r>
          </w:p>
        </w:tc>
        <w:tc>
          <w:tcPr>
            <w:tcW w:w="679" w:type="dxa"/>
          </w:tcPr>
          <w:p w:rsidR="0089015A" w:rsidRPr="0089015A" w:rsidRDefault="0089015A" w:rsidP="00AA577D">
            <w:pPr>
              <w:pStyle w:val="TableParagraph"/>
              <w:ind w:left="0"/>
              <w:rPr>
                <w:sz w:val="16"/>
                <w:szCs w:val="16"/>
              </w:rPr>
            </w:pPr>
            <w:r w:rsidRPr="0089015A">
              <w:rPr>
                <w:sz w:val="16"/>
                <w:szCs w:val="16"/>
              </w:rPr>
              <w:t>Online</w:t>
            </w:r>
          </w:p>
        </w:tc>
        <w:tc>
          <w:tcPr>
            <w:tcW w:w="3991" w:type="dxa"/>
          </w:tcPr>
          <w:p w:rsidR="0089015A" w:rsidRPr="0089015A" w:rsidRDefault="0089015A" w:rsidP="00AA577D">
            <w:pPr>
              <w:pStyle w:val="TableParagraph"/>
              <w:ind w:left="0"/>
              <w:rPr>
                <w:sz w:val="16"/>
                <w:szCs w:val="16"/>
              </w:rPr>
            </w:pPr>
            <w:r w:rsidRPr="0089015A">
              <w:rPr>
                <w:sz w:val="16"/>
                <w:szCs w:val="16"/>
              </w:rPr>
              <w:t>Durchführung von Sortenversuchen DUS + VCU</w:t>
            </w:r>
          </w:p>
        </w:tc>
        <w:tc>
          <w:tcPr>
            <w:tcW w:w="2693" w:type="dxa"/>
          </w:tcPr>
          <w:p w:rsidR="0089015A" w:rsidRPr="0089015A" w:rsidRDefault="0089015A" w:rsidP="00AA577D">
            <w:pPr>
              <w:pStyle w:val="TableParagraph"/>
              <w:ind w:left="0"/>
              <w:rPr>
                <w:sz w:val="16"/>
                <w:szCs w:val="16"/>
              </w:rPr>
            </w:pPr>
            <w:r w:rsidRPr="0089015A">
              <w:rPr>
                <w:sz w:val="16"/>
                <w:szCs w:val="16"/>
              </w:rPr>
              <w:t>Äthiopien</w:t>
            </w:r>
          </w:p>
          <w:p w:rsidR="0089015A" w:rsidRPr="0089015A" w:rsidRDefault="0089015A" w:rsidP="00AA577D">
            <w:pPr>
              <w:pStyle w:val="TableParagraph"/>
              <w:ind w:left="0"/>
              <w:rPr>
                <w:sz w:val="16"/>
                <w:szCs w:val="16"/>
              </w:rPr>
            </w:pPr>
            <w:r w:rsidRPr="0089015A">
              <w:rPr>
                <w:sz w:val="16"/>
                <w:szCs w:val="16"/>
              </w:rPr>
              <w:t>(~ 10 Teilnehmer)</w:t>
            </w:r>
          </w:p>
        </w:tc>
      </w:tr>
      <w:tr w:rsidR="0089015A" w:rsidTr="0089015A">
        <w:tc>
          <w:tcPr>
            <w:tcW w:w="1134" w:type="dxa"/>
          </w:tcPr>
          <w:p w:rsidR="0089015A" w:rsidRPr="0089015A" w:rsidRDefault="0089015A" w:rsidP="00AA577D">
            <w:pPr>
              <w:pStyle w:val="TableParagraph"/>
              <w:ind w:left="0"/>
              <w:rPr>
                <w:sz w:val="16"/>
                <w:szCs w:val="16"/>
              </w:rPr>
            </w:pPr>
            <w:r w:rsidRPr="0089015A">
              <w:rPr>
                <w:sz w:val="16"/>
                <w:szCs w:val="16"/>
              </w:rPr>
              <w:t>Austausch</w:t>
            </w:r>
          </w:p>
        </w:tc>
        <w:tc>
          <w:tcPr>
            <w:tcW w:w="1436" w:type="dxa"/>
          </w:tcPr>
          <w:p w:rsidR="0089015A" w:rsidRPr="0089015A" w:rsidRDefault="0089015A" w:rsidP="00AA577D">
            <w:pPr>
              <w:pStyle w:val="TableParagraph"/>
              <w:ind w:left="0"/>
              <w:rPr>
                <w:sz w:val="16"/>
                <w:szCs w:val="16"/>
              </w:rPr>
            </w:pPr>
            <w:r w:rsidRPr="0089015A">
              <w:rPr>
                <w:sz w:val="16"/>
                <w:szCs w:val="16"/>
              </w:rPr>
              <w:t>April 2021</w:t>
            </w:r>
          </w:p>
        </w:tc>
        <w:tc>
          <w:tcPr>
            <w:tcW w:w="679" w:type="dxa"/>
          </w:tcPr>
          <w:p w:rsidR="0089015A" w:rsidRPr="0089015A" w:rsidRDefault="0089015A" w:rsidP="00AA577D">
            <w:pPr>
              <w:pStyle w:val="TableParagraph"/>
              <w:ind w:left="0"/>
              <w:rPr>
                <w:sz w:val="16"/>
                <w:szCs w:val="16"/>
              </w:rPr>
            </w:pPr>
            <w:r w:rsidRPr="0089015A">
              <w:rPr>
                <w:sz w:val="16"/>
                <w:szCs w:val="16"/>
              </w:rPr>
              <w:t>Online</w:t>
            </w:r>
          </w:p>
        </w:tc>
        <w:tc>
          <w:tcPr>
            <w:tcW w:w="3991" w:type="dxa"/>
          </w:tcPr>
          <w:p w:rsidR="0089015A" w:rsidRPr="0089015A" w:rsidRDefault="0089015A" w:rsidP="00AA577D">
            <w:pPr>
              <w:pStyle w:val="TableParagraph"/>
              <w:ind w:left="0"/>
              <w:rPr>
                <w:sz w:val="16"/>
                <w:szCs w:val="16"/>
              </w:rPr>
            </w:pPr>
            <w:r w:rsidRPr="0089015A">
              <w:rPr>
                <w:sz w:val="16"/>
                <w:szCs w:val="16"/>
              </w:rPr>
              <w:t>Vorstellung des deutschen Sortenprüfwesens</w:t>
            </w:r>
          </w:p>
        </w:tc>
        <w:tc>
          <w:tcPr>
            <w:tcW w:w="2693" w:type="dxa"/>
          </w:tcPr>
          <w:p w:rsidR="0089015A" w:rsidRPr="0089015A" w:rsidRDefault="0089015A" w:rsidP="00AA577D">
            <w:pPr>
              <w:pStyle w:val="TableParagraph"/>
              <w:ind w:left="0"/>
              <w:rPr>
                <w:sz w:val="16"/>
                <w:szCs w:val="16"/>
              </w:rPr>
            </w:pPr>
            <w:r w:rsidRPr="0089015A">
              <w:rPr>
                <w:sz w:val="16"/>
                <w:szCs w:val="16"/>
              </w:rPr>
              <w:t>Usbekistan</w:t>
            </w:r>
          </w:p>
          <w:p w:rsidR="0089015A" w:rsidRPr="0089015A" w:rsidRDefault="0089015A" w:rsidP="00AA577D">
            <w:pPr>
              <w:pStyle w:val="TableParagraph"/>
              <w:ind w:left="0"/>
              <w:rPr>
                <w:sz w:val="16"/>
                <w:szCs w:val="16"/>
              </w:rPr>
            </w:pPr>
            <w:r w:rsidRPr="0089015A">
              <w:rPr>
                <w:sz w:val="16"/>
                <w:szCs w:val="16"/>
              </w:rPr>
              <w:t>(~ 10 Teilnehmer)</w:t>
            </w:r>
          </w:p>
        </w:tc>
      </w:tr>
      <w:tr w:rsidR="0089015A" w:rsidTr="0089015A">
        <w:tc>
          <w:tcPr>
            <w:tcW w:w="1134" w:type="dxa"/>
          </w:tcPr>
          <w:p w:rsidR="0089015A" w:rsidRPr="0089015A" w:rsidRDefault="0089015A" w:rsidP="00AA577D">
            <w:pPr>
              <w:pStyle w:val="TableParagraph"/>
              <w:ind w:left="0"/>
              <w:rPr>
                <w:sz w:val="16"/>
                <w:szCs w:val="16"/>
              </w:rPr>
            </w:pPr>
            <w:r w:rsidRPr="0089015A">
              <w:rPr>
                <w:sz w:val="16"/>
                <w:szCs w:val="16"/>
              </w:rPr>
              <w:t>Austausch</w:t>
            </w:r>
          </w:p>
        </w:tc>
        <w:tc>
          <w:tcPr>
            <w:tcW w:w="1436" w:type="dxa"/>
          </w:tcPr>
          <w:p w:rsidR="0089015A" w:rsidRPr="0089015A" w:rsidRDefault="0089015A" w:rsidP="00AA577D">
            <w:pPr>
              <w:pStyle w:val="TableParagraph"/>
              <w:ind w:left="0"/>
              <w:rPr>
                <w:sz w:val="16"/>
                <w:szCs w:val="16"/>
              </w:rPr>
            </w:pPr>
            <w:r w:rsidRPr="0089015A">
              <w:rPr>
                <w:sz w:val="16"/>
                <w:szCs w:val="16"/>
              </w:rPr>
              <w:t>Juni 2021</w:t>
            </w:r>
          </w:p>
        </w:tc>
        <w:tc>
          <w:tcPr>
            <w:tcW w:w="679" w:type="dxa"/>
          </w:tcPr>
          <w:p w:rsidR="0089015A" w:rsidRPr="0089015A" w:rsidRDefault="0089015A" w:rsidP="00AA577D">
            <w:pPr>
              <w:pStyle w:val="TableParagraph"/>
              <w:ind w:left="0"/>
              <w:rPr>
                <w:sz w:val="16"/>
                <w:szCs w:val="16"/>
              </w:rPr>
            </w:pPr>
            <w:r w:rsidRPr="0089015A">
              <w:rPr>
                <w:sz w:val="16"/>
                <w:szCs w:val="16"/>
              </w:rPr>
              <w:t>Online</w:t>
            </w:r>
          </w:p>
        </w:tc>
        <w:tc>
          <w:tcPr>
            <w:tcW w:w="3991" w:type="dxa"/>
          </w:tcPr>
          <w:p w:rsidR="0089015A" w:rsidRPr="0089015A" w:rsidRDefault="0089015A" w:rsidP="00AA577D">
            <w:pPr>
              <w:pStyle w:val="TableParagraph"/>
              <w:ind w:left="0"/>
              <w:rPr>
                <w:sz w:val="16"/>
                <w:szCs w:val="16"/>
              </w:rPr>
            </w:pPr>
            <w:r w:rsidRPr="0089015A">
              <w:rPr>
                <w:sz w:val="16"/>
                <w:szCs w:val="16"/>
              </w:rPr>
              <w:t>Vorstellung des usbekischen Sortenprüfwesens</w:t>
            </w:r>
          </w:p>
        </w:tc>
        <w:tc>
          <w:tcPr>
            <w:tcW w:w="2693" w:type="dxa"/>
          </w:tcPr>
          <w:p w:rsidR="0089015A" w:rsidRPr="0089015A" w:rsidRDefault="0089015A" w:rsidP="00AA577D">
            <w:pPr>
              <w:pStyle w:val="TableParagraph"/>
              <w:ind w:left="0"/>
              <w:rPr>
                <w:sz w:val="16"/>
                <w:szCs w:val="16"/>
              </w:rPr>
            </w:pPr>
            <w:r w:rsidRPr="0089015A">
              <w:rPr>
                <w:sz w:val="16"/>
                <w:szCs w:val="16"/>
              </w:rPr>
              <w:t>Usbekistan</w:t>
            </w:r>
          </w:p>
          <w:p w:rsidR="0089015A" w:rsidRPr="0089015A" w:rsidRDefault="0089015A" w:rsidP="00AA577D">
            <w:pPr>
              <w:pStyle w:val="TableParagraph"/>
              <w:ind w:left="0"/>
              <w:rPr>
                <w:sz w:val="16"/>
                <w:szCs w:val="16"/>
              </w:rPr>
            </w:pPr>
            <w:r w:rsidRPr="0089015A">
              <w:rPr>
                <w:sz w:val="16"/>
                <w:szCs w:val="16"/>
              </w:rPr>
              <w:t>(~ 10 Teilnehmer)</w:t>
            </w:r>
          </w:p>
        </w:tc>
      </w:tr>
      <w:tr w:rsidR="0089015A" w:rsidTr="0089015A">
        <w:tc>
          <w:tcPr>
            <w:tcW w:w="1134" w:type="dxa"/>
          </w:tcPr>
          <w:p w:rsidR="0089015A" w:rsidRPr="0089015A" w:rsidRDefault="0089015A" w:rsidP="00AA577D">
            <w:pPr>
              <w:pStyle w:val="TableParagraph"/>
              <w:ind w:left="0"/>
              <w:rPr>
                <w:sz w:val="16"/>
                <w:szCs w:val="16"/>
              </w:rPr>
            </w:pPr>
            <w:r w:rsidRPr="0089015A">
              <w:rPr>
                <w:sz w:val="16"/>
                <w:szCs w:val="16"/>
              </w:rPr>
              <w:t>Workshop</w:t>
            </w:r>
          </w:p>
        </w:tc>
        <w:tc>
          <w:tcPr>
            <w:tcW w:w="1436" w:type="dxa"/>
          </w:tcPr>
          <w:p w:rsidR="0089015A" w:rsidRPr="0089015A" w:rsidRDefault="0089015A" w:rsidP="00AA577D">
            <w:pPr>
              <w:pStyle w:val="TableParagraph"/>
              <w:ind w:left="0"/>
              <w:rPr>
                <w:sz w:val="16"/>
                <w:szCs w:val="16"/>
              </w:rPr>
            </w:pPr>
            <w:r w:rsidRPr="0089015A">
              <w:rPr>
                <w:sz w:val="16"/>
                <w:szCs w:val="16"/>
              </w:rPr>
              <w:t>Juli 2021</w:t>
            </w:r>
          </w:p>
        </w:tc>
        <w:tc>
          <w:tcPr>
            <w:tcW w:w="679" w:type="dxa"/>
          </w:tcPr>
          <w:p w:rsidR="0089015A" w:rsidRPr="0089015A" w:rsidRDefault="0089015A" w:rsidP="00AA577D">
            <w:pPr>
              <w:pStyle w:val="TableParagraph"/>
              <w:ind w:left="0"/>
              <w:rPr>
                <w:sz w:val="16"/>
                <w:szCs w:val="16"/>
              </w:rPr>
            </w:pPr>
            <w:r w:rsidRPr="0089015A">
              <w:rPr>
                <w:sz w:val="16"/>
                <w:szCs w:val="16"/>
              </w:rPr>
              <w:t>Online</w:t>
            </w:r>
          </w:p>
        </w:tc>
        <w:tc>
          <w:tcPr>
            <w:tcW w:w="3991" w:type="dxa"/>
          </w:tcPr>
          <w:p w:rsidR="0089015A" w:rsidRPr="0089015A" w:rsidRDefault="0089015A" w:rsidP="00AA577D">
            <w:pPr>
              <w:pStyle w:val="TableParagraph"/>
              <w:ind w:left="0"/>
              <w:rPr>
                <w:sz w:val="16"/>
                <w:szCs w:val="16"/>
              </w:rPr>
            </w:pPr>
            <w:r w:rsidRPr="0089015A">
              <w:rPr>
                <w:sz w:val="16"/>
                <w:szCs w:val="16"/>
              </w:rPr>
              <w:t>Sortenschutzprüfung Apfel</w:t>
            </w:r>
          </w:p>
        </w:tc>
        <w:tc>
          <w:tcPr>
            <w:tcW w:w="2693" w:type="dxa"/>
          </w:tcPr>
          <w:p w:rsidR="0089015A" w:rsidRPr="0089015A" w:rsidRDefault="0089015A" w:rsidP="00AA577D">
            <w:pPr>
              <w:pStyle w:val="TableParagraph"/>
              <w:ind w:left="0"/>
              <w:rPr>
                <w:sz w:val="16"/>
                <w:szCs w:val="16"/>
              </w:rPr>
            </w:pPr>
            <w:r w:rsidRPr="0089015A">
              <w:rPr>
                <w:sz w:val="16"/>
                <w:szCs w:val="16"/>
              </w:rPr>
              <w:t>Usbekistan</w:t>
            </w:r>
          </w:p>
          <w:p w:rsidR="0089015A" w:rsidRPr="0089015A" w:rsidRDefault="0089015A" w:rsidP="00AA577D">
            <w:pPr>
              <w:pStyle w:val="TableParagraph"/>
              <w:ind w:left="0"/>
              <w:rPr>
                <w:sz w:val="16"/>
                <w:szCs w:val="16"/>
              </w:rPr>
            </w:pPr>
            <w:r w:rsidRPr="0089015A">
              <w:rPr>
                <w:sz w:val="16"/>
                <w:szCs w:val="16"/>
              </w:rPr>
              <w:t>(~ 10 Teilnehmer)</w:t>
            </w:r>
          </w:p>
        </w:tc>
      </w:tr>
    </w:tbl>
    <w:p w:rsidR="0089015A" w:rsidRDefault="0089015A" w:rsidP="0089015A"/>
    <w:p w:rsidR="0089015A" w:rsidRPr="00E07E57" w:rsidRDefault="0089015A" w:rsidP="0089015A"/>
    <w:p w:rsidR="0089015A" w:rsidRPr="00E07E57" w:rsidRDefault="0089015A" w:rsidP="0089015A">
      <w:pPr>
        <w:keepNext/>
      </w:pPr>
      <w:r>
        <w:t>II.</w:t>
      </w:r>
      <w:r>
        <w:tab/>
      </w:r>
      <w:r w:rsidRPr="00E07E57">
        <w:t>ANDERE ENTWICKLUNGEN VON INTERESSE FÜR DIE UPOV</w:t>
      </w:r>
    </w:p>
    <w:p w:rsidR="0089015A" w:rsidRPr="00E07E57" w:rsidRDefault="0089015A" w:rsidP="0089015A">
      <w:pPr>
        <w:keepNext/>
      </w:pPr>
    </w:p>
    <w:p w:rsidR="0089015A" w:rsidRDefault="0089015A" w:rsidP="0089015A">
      <w:pPr>
        <w:pStyle w:val="ListParagraph"/>
        <w:keepNext/>
        <w:ind w:left="567"/>
      </w:pPr>
      <w:r w:rsidRPr="00A52417">
        <w:t>Keine Anmerkungen</w:t>
      </w:r>
      <w:r>
        <w:t>.</w:t>
      </w:r>
    </w:p>
    <w:p w:rsidR="00A442B7" w:rsidRPr="006F3121" w:rsidRDefault="00A442B7" w:rsidP="00A442B7"/>
    <w:p w:rsidR="004128AB" w:rsidRPr="006F3121" w:rsidRDefault="004128AB" w:rsidP="001163D1">
      <w:pPr>
        <w:jc w:val="right"/>
      </w:pPr>
      <w:r w:rsidRPr="006F3121">
        <w:t>[Anlage II folgt]</w:t>
      </w:r>
    </w:p>
    <w:p w:rsidR="004128AB" w:rsidRPr="006F3121" w:rsidRDefault="004128AB" w:rsidP="004128AB">
      <w:pPr>
        <w:jc w:val="left"/>
        <w:sectPr w:rsidR="004128AB" w:rsidRPr="006F3121" w:rsidSect="00A442B7">
          <w:headerReference w:type="default" r:id="rId10"/>
          <w:pgSz w:w="11907" w:h="16840" w:code="9"/>
          <w:pgMar w:top="510" w:right="1134" w:bottom="851" w:left="1134" w:header="510" w:footer="680" w:gutter="0"/>
          <w:pgNumType w:start="1"/>
          <w:cols w:space="720"/>
          <w:titlePg/>
        </w:sectPr>
      </w:pPr>
    </w:p>
    <w:p w:rsidR="004128AB" w:rsidRPr="006F3121" w:rsidRDefault="006F5780" w:rsidP="004128AB">
      <w:pPr>
        <w:jc w:val="center"/>
      </w:pPr>
      <w:r>
        <w:lastRenderedPageBreak/>
        <w:t>C/55/INF/4</w:t>
      </w:r>
    </w:p>
    <w:p w:rsidR="004128AB" w:rsidRPr="006F3121" w:rsidRDefault="004128AB" w:rsidP="004128AB">
      <w:pPr>
        <w:jc w:val="center"/>
      </w:pPr>
    </w:p>
    <w:p w:rsidR="004128AB" w:rsidRPr="006F3121" w:rsidRDefault="004128AB" w:rsidP="004128AB">
      <w:pPr>
        <w:jc w:val="center"/>
      </w:pPr>
      <w:r w:rsidRPr="006F3121">
        <w:t>ANLAGE II</w:t>
      </w:r>
    </w:p>
    <w:p w:rsidR="004128AB" w:rsidRPr="006F3121" w:rsidRDefault="004128AB" w:rsidP="004128AB">
      <w:pPr>
        <w:jc w:val="center"/>
      </w:pPr>
    </w:p>
    <w:p w:rsidR="004128AB" w:rsidRDefault="004128AB" w:rsidP="004128AB">
      <w:pPr>
        <w:jc w:val="center"/>
      </w:pPr>
    </w:p>
    <w:p w:rsidR="00713625" w:rsidRDefault="00713625" w:rsidP="004128AB">
      <w:pPr>
        <w:jc w:val="center"/>
      </w:pPr>
      <w:r>
        <w:t>BRASILIEN</w:t>
      </w:r>
    </w:p>
    <w:p w:rsidR="00713625" w:rsidRDefault="00713625" w:rsidP="004128AB">
      <w:pPr>
        <w:jc w:val="center"/>
      </w:pPr>
    </w:p>
    <w:p w:rsidR="00713625" w:rsidRPr="006F3121" w:rsidRDefault="00713625" w:rsidP="004128AB">
      <w:pPr>
        <w:jc w:val="center"/>
      </w:pPr>
    </w:p>
    <w:p w:rsidR="00890977" w:rsidRPr="003A771F" w:rsidRDefault="00890977" w:rsidP="00890977">
      <w:pPr>
        <w:rPr>
          <w:rFonts w:cs="Arial"/>
        </w:rPr>
      </w:pPr>
      <w:r>
        <w:rPr>
          <w:rFonts w:cs="Arial"/>
        </w:rPr>
        <w:t>I.</w:t>
      </w:r>
      <w:r>
        <w:rPr>
          <w:rFonts w:cs="Arial"/>
        </w:rPr>
        <w:tab/>
        <w:t>SORTENSCHUTZ</w:t>
      </w:r>
    </w:p>
    <w:p w:rsidR="00890977" w:rsidRPr="003A771F" w:rsidRDefault="00890977" w:rsidP="00890977">
      <w:pPr>
        <w:rPr>
          <w:rFonts w:cs="Arial"/>
        </w:rPr>
      </w:pPr>
    </w:p>
    <w:p w:rsidR="00890977" w:rsidRPr="003A771F" w:rsidRDefault="00890977" w:rsidP="00890977">
      <w:pPr>
        <w:tabs>
          <w:tab w:val="left" w:pos="426"/>
          <w:tab w:val="left" w:pos="1276"/>
        </w:tabs>
      </w:pPr>
      <w:r>
        <w:t>1.</w:t>
      </w:r>
      <w:r>
        <w:tab/>
      </w:r>
      <w:r>
        <w:rPr>
          <w:u w:val="single"/>
        </w:rPr>
        <w:t>Lage auf dem Gebiet der Gesetzgebung</w:t>
      </w:r>
    </w:p>
    <w:p w:rsidR="00890977" w:rsidRPr="003A771F" w:rsidRDefault="00890977" w:rsidP="00890977"/>
    <w:p w:rsidR="00890977" w:rsidRPr="003A771F" w:rsidRDefault="00890977" w:rsidP="00890977">
      <w:r>
        <w:tab/>
        <w:t>1.1</w:t>
      </w:r>
      <w:r>
        <w:tab/>
        <w:t>Änderungen des Gesetzes und der Ausführungsvorschriften: keine Anmerkungen.</w:t>
      </w:r>
    </w:p>
    <w:p w:rsidR="00890977" w:rsidRPr="003A771F" w:rsidRDefault="00890977" w:rsidP="00890977"/>
    <w:p w:rsidR="00890977" w:rsidRPr="003A771F" w:rsidRDefault="00890977" w:rsidP="00890977">
      <w:r>
        <w:tab/>
        <w:t>1.2</w:t>
      </w:r>
      <w:r>
        <w:tab/>
        <w:t>Erstreckung des Schutzes auf weitere Gattungen und Arten (geschehen oder geplant)</w:t>
      </w:r>
    </w:p>
    <w:p w:rsidR="00890977" w:rsidRPr="003A771F" w:rsidRDefault="00890977" w:rsidP="00890977">
      <w:pPr>
        <w:rPr>
          <w:rFonts w:cs="Arial"/>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5"/>
        <w:gridCol w:w="2269"/>
      </w:tblGrid>
      <w:tr w:rsidR="00890977" w:rsidRPr="003A771F" w:rsidTr="00AA577D">
        <w:trPr>
          <w:trHeight w:val="314"/>
        </w:trPr>
        <w:tc>
          <w:tcPr>
            <w:tcW w:w="6805" w:type="dxa"/>
            <w:vAlign w:val="center"/>
          </w:tcPr>
          <w:p w:rsidR="00890977" w:rsidRPr="003A771F" w:rsidRDefault="00890977" w:rsidP="00AA577D">
            <w:pPr>
              <w:pStyle w:val="TableParagraph"/>
              <w:spacing w:line="292" w:lineRule="exact"/>
              <w:ind w:left="3011" w:right="3005"/>
              <w:rPr>
                <w:b/>
                <w:sz w:val="20"/>
                <w:szCs w:val="20"/>
                <w:lang w:val="en-US"/>
              </w:rPr>
            </w:pPr>
            <w:r>
              <w:rPr>
                <w:b/>
                <w:sz w:val="20"/>
                <w:szCs w:val="20"/>
              </w:rPr>
              <w:t>Arten</w:t>
            </w:r>
          </w:p>
        </w:tc>
        <w:tc>
          <w:tcPr>
            <w:tcW w:w="2269" w:type="dxa"/>
            <w:vAlign w:val="center"/>
          </w:tcPr>
          <w:p w:rsidR="00890977" w:rsidRPr="003A771F" w:rsidRDefault="00890977" w:rsidP="00AA577D">
            <w:pPr>
              <w:pStyle w:val="TableParagraph"/>
              <w:spacing w:line="292" w:lineRule="exact"/>
              <w:ind w:left="530"/>
              <w:rPr>
                <w:b/>
                <w:sz w:val="20"/>
                <w:szCs w:val="20"/>
                <w:lang w:val="en-US"/>
              </w:rPr>
            </w:pPr>
            <w:r>
              <w:rPr>
                <w:b/>
                <w:sz w:val="20"/>
                <w:szCs w:val="20"/>
              </w:rPr>
              <w:t>UPOV-CODE</w:t>
            </w:r>
          </w:p>
        </w:tc>
      </w:tr>
      <w:tr w:rsidR="00890977" w:rsidRPr="003A771F" w:rsidTr="00AA577D">
        <w:trPr>
          <w:trHeight w:val="316"/>
        </w:trPr>
        <w:tc>
          <w:tcPr>
            <w:tcW w:w="6805" w:type="dxa"/>
            <w:vAlign w:val="center"/>
          </w:tcPr>
          <w:p w:rsidR="00890977" w:rsidRPr="009C53CB" w:rsidRDefault="00890977" w:rsidP="00AA577D">
            <w:pPr>
              <w:pStyle w:val="TableParagraph"/>
              <w:spacing w:before="1"/>
              <w:ind w:left="69"/>
              <w:rPr>
                <w:sz w:val="20"/>
                <w:szCs w:val="20"/>
              </w:rPr>
            </w:pPr>
            <w:r>
              <w:rPr>
                <w:i/>
                <w:sz w:val="20"/>
                <w:szCs w:val="20"/>
              </w:rPr>
              <w:t xml:space="preserve">Adenium obesum </w:t>
            </w:r>
            <w:r>
              <w:rPr>
                <w:sz w:val="20"/>
                <w:szCs w:val="20"/>
              </w:rPr>
              <w:t>(Forssk.) Roem. et Schult.].</w:t>
            </w:r>
          </w:p>
        </w:tc>
        <w:tc>
          <w:tcPr>
            <w:tcW w:w="2269" w:type="dxa"/>
            <w:vAlign w:val="center"/>
          </w:tcPr>
          <w:p w:rsidR="00890977" w:rsidRPr="003A771F" w:rsidRDefault="00890977" w:rsidP="00AA577D">
            <w:pPr>
              <w:pStyle w:val="TableParagraph"/>
              <w:spacing w:before="23" w:line="273" w:lineRule="exact"/>
              <w:ind w:left="69"/>
              <w:rPr>
                <w:sz w:val="20"/>
                <w:szCs w:val="20"/>
                <w:lang w:val="en-US"/>
              </w:rPr>
            </w:pPr>
            <w:r>
              <w:rPr>
                <w:sz w:val="20"/>
                <w:szCs w:val="20"/>
              </w:rPr>
              <w:t>ADENI_OBE</w:t>
            </w:r>
          </w:p>
        </w:tc>
      </w:tr>
      <w:tr w:rsidR="00890977" w:rsidRPr="003A771F" w:rsidTr="00AA577D">
        <w:trPr>
          <w:trHeight w:val="313"/>
        </w:trPr>
        <w:tc>
          <w:tcPr>
            <w:tcW w:w="6805" w:type="dxa"/>
            <w:vAlign w:val="center"/>
          </w:tcPr>
          <w:p w:rsidR="00890977" w:rsidRPr="003A771F" w:rsidRDefault="00890977" w:rsidP="00AA577D">
            <w:pPr>
              <w:pStyle w:val="TableParagraph"/>
              <w:spacing w:line="292" w:lineRule="exact"/>
              <w:ind w:left="69"/>
              <w:rPr>
                <w:sz w:val="20"/>
                <w:szCs w:val="20"/>
                <w:lang w:val="en-US"/>
              </w:rPr>
            </w:pPr>
            <w:r>
              <w:rPr>
                <w:i/>
                <w:sz w:val="20"/>
                <w:szCs w:val="20"/>
              </w:rPr>
              <w:t xml:space="preserve">Bouvardia </w:t>
            </w:r>
            <w:r>
              <w:rPr>
                <w:sz w:val="20"/>
                <w:szCs w:val="20"/>
              </w:rPr>
              <w:t>Salisb.</w:t>
            </w:r>
          </w:p>
        </w:tc>
        <w:tc>
          <w:tcPr>
            <w:tcW w:w="2269" w:type="dxa"/>
            <w:vAlign w:val="center"/>
          </w:tcPr>
          <w:p w:rsidR="00890977" w:rsidRPr="003A771F" w:rsidRDefault="00890977" w:rsidP="00AA577D">
            <w:pPr>
              <w:pStyle w:val="TableParagraph"/>
              <w:spacing w:line="292" w:lineRule="exact"/>
              <w:ind w:left="69"/>
              <w:rPr>
                <w:sz w:val="20"/>
                <w:szCs w:val="20"/>
                <w:lang w:val="en-US"/>
              </w:rPr>
            </w:pPr>
            <w:r>
              <w:rPr>
                <w:sz w:val="20"/>
                <w:szCs w:val="20"/>
              </w:rPr>
              <w:t>BOUVA</w:t>
            </w:r>
          </w:p>
        </w:tc>
      </w:tr>
      <w:tr w:rsidR="00890977" w:rsidRPr="003A771F" w:rsidTr="00AA577D">
        <w:trPr>
          <w:trHeight w:val="316"/>
        </w:trPr>
        <w:tc>
          <w:tcPr>
            <w:tcW w:w="6805" w:type="dxa"/>
            <w:vAlign w:val="center"/>
          </w:tcPr>
          <w:p w:rsidR="00890977" w:rsidRPr="003A771F" w:rsidRDefault="00890977" w:rsidP="00AA577D">
            <w:pPr>
              <w:pStyle w:val="TableParagraph"/>
              <w:spacing w:line="292" w:lineRule="exact"/>
              <w:ind w:left="69"/>
              <w:rPr>
                <w:sz w:val="20"/>
                <w:szCs w:val="20"/>
                <w:lang w:val="en-US"/>
              </w:rPr>
            </w:pPr>
            <w:r>
              <w:rPr>
                <w:i/>
                <w:sz w:val="20"/>
                <w:szCs w:val="20"/>
              </w:rPr>
              <w:t xml:space="preserve">Eriobotrya japonica </w:t>
            </w:r>
            <w:r>
              <w:rPr>
                <w:sz w:val="20"/>
                <w:szCs w:val="20"/>
              </w:rPr>
              <w:t>(Thunb.) Lindl.</w:t>
            </w:r>
          </w:p>
        </w:tc>
        <w:tc>
          <w:tcPr>
            <w:tcW w:w="2269" w:type="dxa"/>
            <w:vAlign w:val="center"/>
          </w:tcPr>
          <w:p w:rsidR="00890977" w:rsidRPr="003A771F" w:rsidRDefault="00890977" w:rsidP="00AA577D">
            <w:pPr>
              <w:pStyle w:val="TableParagraph"/>
              <w:spacing w:line="292" w:lineRule="exact"/>
              <w:ind w:left="69"/>
              <w:rPr>
                <w:sz w:val="20"/>
                <w:szCs w:val="20"/>
                <w:lang w:val="en-US"/>
              </w:rPr>
            </w:pPr>
            <w:r>
              <w:rPr>
                <w:sz w:val="20"/>
                <w:szCs w:val="20"/>
              </w:rPr>
              <w:t>ERIOB_JAP</w:t>
            </w:r>
          </w:p>
        </w:tc>
      </w:tr>
      <w:tr w:rsidR="00890977" w:rsidRPr="003A771F" w:rsidTr="00AA577D">
        <w:trPr>
          <w:trHeight w:val="313"/>
        </w:trPr>
        <w:tc>
          <w:tcPr>
            <w:tcW w:w="6805" w:type="dxa"/>
            <w:vAlign w:val="center"/>
          </w:tcPr>
          <w:p w:rsidR="00890977" w:rsidRPr="003A771F" w:rsidRDefault="00890977" w:rsidP="00AA577D">
            <w:pPr>
              <w:pStyle w:val="TableParagraph"/>
              <w:spacing w:line="292" w:lineRule="exact"/>
              <w:ind w:left="69"/>
              <w:rPr>
                <w:sz w:val="20"/>
                <w:szCs w:val="20"/>
                <w:lang w:val="en-US"/>
              </w:rPr>
            </w:pPr>
            <w:r>
              <w:rPr>
                <w:i/>
                <w:sz w:val="20"/>
                <w:szCs w:val="20"/>
              </w:rPr>
              <w:t xml:space="preserve">Macadamia integrifolia </w:t>
            </w:r>
            <w:r>
              <w:rPr>
                <w:sz w:val="20"/>
                <w:szCs w:val="20"/>
              </w:rPr>
              <w:t>Maiden et Betche</w:t>
            </w:r>
          </w:p>
        </w:tc>
        <w:tc>
          <w:tcPr>
            <w:tcW w:w="2269" w:type="dxa"/>
            <w:vAlign w:val="center"/>
          </w:tcPr>
          <w:p w:rsidR="00890977" w:rsidRPr="003A771F" w:rsidRDefault="00890977" w:rsidP="00AA577D">
            <w:pPr>
              <w:pStyle w:val="TableParagraph"/>
              <w:spacing w:line="292" w:lineRule="exact"/>
              <w:ind w:left="69"/>
              <w:rPr>
                <w:sz w:val="20"/>
                <w:szCs w:val="20"/>
                <w:lang w:val="en-US"/>
              </w:rPr>
            </w:pPr>
            <w:r>
              <w:rPr>
                <w:sz w:val="20"/>
                <w:szCs w:val="20"/>
              </w:rPr>
              <w:t>MACAD_INT</w:t>
            </w:r>
          </w:p>
        </w:tc>
      </w:tr>
      <w:tr w:rsidR="00890977" w:rsidRPr="003A771F" w:rsidTr="00AA577D">
        <w:trPr>
          <w:trHeight w:val="314"/>
        </w:trPr>
        <w:tc>
          <w:tcPr>
            <w:tcW w:w="6805" w:type="dxa"/>
            <w:vAlign w:val="center"/>
          </w:tcPr>
          <w:p w:rsidR="00890977" w:rsidRPr="003A771F" w:rsidRDefault="00890977" w:rsidP="00AA577D">
            <w:pPr>
              <w:pStyle w:val="TableParagraph"/>
              <w:spacing w:line="292" w:lineRule="exact"/>
              <w:ind w:left="69"/>
              <w:rPr>
                <w:sz w:val="20"/>
                <w:szCs w:val="20"/>
                <w:lang w:val="en-US"/>
              </w:rPr>
            </w:pPr>
            <w:r>
              <w:rPr>
                <w:i/>
                <w:sz w:val="20"/>
                <w:szCs w:val="20"/>
              </w:rPr>
              <w:t xml:space="preserve">Macadamia tetraphylla </w:t>
            </w:r>
            <w:r>
              <w:rPr>
                <w:sz w:val="20"/>
                <w:szCs w:val="20"/>
              </w:rPr>
              <w:t>L. Johns.</w:t>
            </w:r>
          </w:p>
        </w:tc>
        <w:tc>
          <w:tcPr>
            <w:tcW w:w="2269" w:type="dxa"/>
            <w:vAlign w:val="center"/>
          </w:tcPr>
          <w:p w:rsidR="00890977" w:rsidRPr="003A771F" w:rsidRDefault="00890977" w:rsidP="00AA577D">
            <w:pPr>
              <w:pStyle w:val="TableParagraph"/>
              <w:spacing w:line="292" w:lineRule="exact"/>
              <w:ind w:left="69"/>
              <w:rPr>
                <w:sz w:val="20"/>
                <w:szCs w:val="20"/>
                <w:lang w:val="en-US"/>
              </w:rPr>
            </w:pPr>
            <w:r>
              <w:rPr>
                <w:sz w:val="20"/>
                <w:szCs w:val="20"/>
              </w:rPr>
              <w:t>MACAD_TET</w:t>
            </w:r>
          </w:p>
        </w:tc>
      </w:tr>
      <w:tr w:rsidR="00890977" w:rsidRPr="003A771F" w:rsidTr="00AA577D">
        <w:trPr>
          <w:trHeight w:val="316"/>
        </w:trPr>
        <w:tc>
          <w:tcPr>
            <w:tcW w:w="6805" w:type="dxa"/>
            <w:vAlign w:val="center"/>
          </w:tcPr>
          <w:p w:rsidR="00890977" w:rsidRPr="003A771F" w:rsidRDefault="00890977" w:rsidP="00AA577D">
            <w:pPr>
              <w:pStyle w:val="TableParagraph"/>
              <w:spacing w:before="1"/>
              <w:ind w:left="69"/>
              <w:rPr>
                <w:sz w:val="20"/>
                <w:szCs w:val="20"/>
                <w:lang w:val="en-US"/>
              </w:rPr>
            </w:pPr>
            <w:r>
              <w:rPr>
                <w:i/>
                <w:sz w:val="20"/>
                <w:szCs w:val="20"/>
              </w:rPr>
              <w:t xml:space="preserve">Ononis alopecuroides </w:t>
            </w:r>
            <w:r>
              <w:rPr>
                <w:sz w:val="20"/>
                <w:szCs w:val="20"/>
              </w:rPr>
              <w:t>L</w:t>
            </w:r>
          </w:p>
        </w:tc>
        <w:tc>
          <w:tcPr>
            <w:tcW w:w="2269" w:type="dxa"/>
            <w:vAlign w:val="center"/>
          </w:tcPr>
          <w:p w:rsidR="00890977" w:rsidRPr="003A771F" w:rsidRDefault="00890977" w:rsidP="00AA577D">
            <w:pPr>
              <w:pStyle w:val="TableParagraph"/>
              <w:spacing w:before="1"/>
              <w:ind w:left="69"/>
              <w:rPr>
                <w:sz w:val="20"/>
                <w:szCs w:val="20"/>
                <w:lang w:val="en-US"/>
              </w:rPr>
            </w:pPr>
            <w:r>
              <w:rPr>
                <w:sz w:val="20"/>
                <w:szCs w:val="20"/>
              </w:rPr>
              <w:t>ONONI_ALO</w:t>
            </w:r>
          </w:p>
        </w:tc>
      </w:tr>
      <w:tr w:rsidR="00890977" w:rsidRPr="003A771F" w:rsidTr="00AA577D">
        <w:trPr>
          <w:trHeight w:val="313"/>
        </w:trPr>
        <w:tc>
          <w:tcPr>
            <w:tcW w:w="6805" w:type="dxa"/>
            <w:vAlign w:val="center"/>
          </w:tcPr>
          <w:p w:rsidR="00890977" w:rsidRPr="003A771F" w:rsidRDefault="00890977" w:rsidP="00AA577D">
            <w:pPr>
              <w:pStyle w:val="TableParagraph"/>
              <w:spacing w:line="292" w:lineRule="exact"/>
              <w:ind w:left="69"/>
              <w:rPr>
                <w:sz w:val="20"/>
                <w:szCs w:val="20"/>
                <w:lang w:val="en-US"/>
              </w:rPr>
            </w:pPr>
            <w:r>
              <w:rPr>
                <w:i/>
                <w:sz w:val="20"/>
                <w:szCs w:val="20"/>
              </w:rPr>
              <w:t xml:space="preserve">Linum usitatissimum </w:t>
            </w:r>
            <w:r>
              <w:rPr>
                <w:sz w:val="20"/>
                <w:szCs w:val="20"/>
              </w:rPr>
              <w:t>L.</w:t>
            </w:r>
          </w:p>
        </w:tc>
        <w:tc>
          <w:tcPr>
            <w:tcW w:w="2269" w:type="dxa"/>
            <w:vAlign w:val="center"/>
          </w:tcPr>
          <w:p w:rsidR="00890977" w:rsidRPr="003A771F" w:rsidRDefault="002E1243" w:rsidP="00AA577D">
            <w:pPr>
              <w:pStyle w:val="TableParagraph"/>
              <w:spacing w:line="292" w:lineRule="exact"/>
              <w:ind w:left="69"/>
              <w:rPr>
                <w:sz w:val="20"/>
                <w:szCs w:val="20"/>
                <w:lang w:val="en-US"/>
              </w:rPr>
            </w:pPr>
            <w:hyperlink r:id="rId11">
              <w:r w:rsidR="00890977">
                <w:rPr>
                  <w:sz w:val="20"/>
                  <w:szCs w:val="20"/>
                  <w:u w:val="single"/>
                </w:rPr>
                <w:t>LINUM_USI</w:t>
              </w:r>
            </w:hyperlink>
          </w:p>
        </w:tc>
      </w:tr>
      <w:tr w:rsidR="00890977" w:rsidRPr="003A771F" w:rsidTr="00AA577D">
        <w:trPr>
          <w:trHeight w:val="316"/>
        </w:trPr>
        <w:tc>
          <w:tcPr>
            <w:tcW w:w="6805" w:type="dxa"/>
            <w:vAlign w:val="center"/>
          </w:tcPr>
          <w:p w:rsidR="00890977" w:rsidRPr="003A771F" w:rsidRDefault="00890977" w:rsidP="00AA577D">
            <w:pPr>
              <w:pStyle w:val="TableParagraph"/>
              <w:spacing w:line="292" w:lineRule="exact"/>
              <w:ind w:left="69"/>
              <w:rPr>
                <w:sz w:val="20"/>
                <w:szCs w:val="20"/>
                <w:lang w:val="en-US"/>
              </w:rPr>
            </w:pPr>
            <w:r>
              <w:rPr>
                <w:i/>
                <w:sz w:val="20"/>
                <w:szCs w:val="20"/>
              </w:rPr>
              <w:t xml:space="preserve">Solanum glaucophyllum </w:t>
            </w:r>
            <w:r>
              <w:rPr>
                <w:sz w:val="20"/>
                <w:szCs w:val="20"/>
              </w:rPr>
              <w:t>Desf</w:t>
            </w:r>
          </w:p>
        </w:tc>
        <w:tc>
          <w:tcPr>
            <w:tcW w:w="2269" w:type="dxa"/>
            <w:vAlign w:val="center"/>
          </w:tcPr>
          <w:p w:rsidR="00890977" w:rsidRPr="003A771F" w:rsidRDefault="00890977" w:rsidP="00AA577D">
            <w:pPr>
              <w:pStyle w:val="TableParagraph"/>
              <w:spacing w:line="292" w:lineRule="exact"/>
              <w:ind w:left="69"/>
              <w:rPr>
                <w:sz w:val="20"/>
                <w:szCs w:val="20"/>
                <w:lang w:val="en-US"/>
              </w:rPr>
            </w:pPr>
            <w:r>
              <w:rPr>
                <w:sz w:val="20"/>
                <w:szCs w:val="20"/>
              </w:rPr>
              <w:t>SOLAN_GLA</w:t>
            </w:r>
          </w:p>
        </w:tc>
      </w:tr>
    </w:tbl>
    <w:p w:rsidR="00890977" w:rsidRPr="003A771F" w:rsidRDefault="00890977" w:rsidP="00890977">
      <w:pPr>
        <w:rPr>
          <w:rFonts w:cs="Arial"/>
        </w:rPr>
      </w:pPr>
    </w:p>
    <w:p w:rsidR="00890977" w:rsidRPr="00CE7DC4" w:rsidRDefault="00890977" w:rsidP="00890977">
      <w:pPr>
        <w:rPr>
          <w:rFonts w:cs="Arial"/>
        </w:rPr>
      </w:pPr>
    </w:p>
    <w:p w:rsidR="00890977" w:rsidRPr="003A771F" w:rsidRDefault="00890977" w:rsidP="00890977">
      <w:r>
        <w:t>1.3</w:t>
      </w:r>
      <w:r>
        <w:tab/>
        <w:t>Rechtsprechung: keine Anmerkungen.</w:t>
      </w:r>
    </w:p>
    <w:p w:rsidR="00890977" w:rsidRPr="003A771F" w:rsidRDefault="00890977" w:rsidP="00890977"/>
    <w:p w:rsidR="00890977" w:rsidRPr="003A771F" w:rsidRDefault="00890977" w:rsidP="00890977">
      <w:pPr>
        <w:jc w:val="left"/>
      </w:pPr>
    </w:p>
    <w:p w:rsidR="00890977" w:rsidRPr="003A771F" w:rsidRDefault="00890977" w:rsidP="00890977">
      <w:pPr>
        <w:rPr>
          <w:u w:val="single"/>
        </w:rPr>
      </w:pPr>
      <w:r>
        <w:t>2.</w:t>
      </w:r>
      <w:r>
        <w:tab/>
      </w:r>
      <w:r>
        <w:rPr>
          <w:u w:val="single"/>
        </w:rPr>
        <w:t>Zusammenarbeit bei der Prüfung</w:t>
      </w:r>
    </w:p>
    <w:p w:rsidR="00890977" w:rsidRPr="003A771F" w:rsidRDefault="00890977" w:rsidP="00890977"/>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094"/>
        <w:gridCol w:w="1560"/>
        <w:gridCol w:w="2269"/>
      </w:tblGrid>
      <w:tr w:rsidR="00890977" w:rsidRPr="003A771F" w:rsidTr="00AA577D">
        <w:trPr>
          <w:trHeight w:val="611"/>
        </w:trPr>
        <w:tc>
          <w:tcPr>
            <w:tcW w:w="5094" w:type="dxa"/>
          </w:tcPr>
          <w:p w:rsidR="00890977" w:rsidRPr="003A771F" w:rsidRDefault="00890977" w:rsidP="00AA577D">
            <w:pPr>
              <w:pStyle w:val="TableParagraph"/>
              <w:spacing w:before="186"/>
              <w:ind w:left="1784" w:right="1770"/>
              <w:jc w:val="center"/>
              <w:rPr>
                <w:b/>
                <w:sz w:val="20"/>
                <w:szCs w:val="20"/>
                <w:lang w:val="en-US"/>
              </w:rPr>
            </w:pPr>
            <w:r>
              <w:rPr>
                <w:b/>
                <w:sz w:val="20"/>
                <w:szCs w:val="20"/>
              </w:rPr>
              <w:t>Botanischer Name</w:t>
            </w:r>
          </w:p>
        </w:tc>
        <w:tc>
          <w:tcPr>
            <w:tcW w:w="1560" w:type="dxa"/>
          </w:tcPr>
          <w:p w:rsidR="00890977" w:rsidRPr="003A771F" w:rsidRDefault="00890977" w:rsidP="00AA577D">
            <w:pPr>
              <w:pStyle w:val="TableParagraph"/>
              <w:spacing w:before="186"/>
              <w:ind w:left="179"/>
              <w:rPr>
                <w:b/>
                <w:sz w:val="20"/>
                <w:szCs w:val="20"/>
                <w:lang w:val="en-US"/>
              </w:rPr>
            </w:pPr>
            <w:r>
              <w:rPr>
                <w:b/>
                <w:sz w:val="20"/>
                <w:szCs w:val="20"/>
              </w:rPr>
              <w:t>UPOV-CODE</w:t>
            </w:r>
          </w:p>
        </w:tc>
        <w:tc>
          <w:tcPr>
            <w:tcW w:w="2269" w:type="dxa"/>
          </w:tcPr>
          <w:p w:rsidR="00890977" w:rsidRPr="003A771F" w:rsidRDefault="00890977" w:rsidP="00AA577D">
            <w:pPr>
              <w:pStyle w:val="TableParagraph"/>
              <w:spacing w:before="71"/>
              <w:ind w:left="253" w:right="220" w:firstLine="7"/>
              <w:rPr>
                <w:b/>
                <w:sz w:val="20"/>
                <w:szCs w:val="20"/>
                <w:lang w:val="en-US"/>
              </w:rPr>
            </w:pPr>
            <w:r>
              <w:rPr>
                <w:b/>
                <w:sz w:val="20"/>
                <w:szCs w:val="20"/>
              </w:rPr>
              <w:t>Anbietende Behörde/ Prüfungsamt</w:t>
            </w:r>
          </w:p>
        </w:tc>
      </w:tr>
      <w:tr w:rsidR="00890977" w:rsidRPr="003A771F" w:rsidTr="00AA577D">
        <w:trPr>
          <w:trHeight w:val="256"/>
        </w:trPr>
        <w:tc>
          <w:tcPr>
            <w:tcW w:w="5094" w:type="dxa"/>
            <w:shd w:val="clear" w:color="auto" w:fill="E4B8B7"/>
          </w:tcPr>
          <w:p w:rsidR="00890977" w:rsidRPr="003A771F" w:rsidRDefault="00890977" w:rsidP="00AA577D">
            <w:pPr>
              <w:pStyle w:val="TableParagraph"/>
              <w:spacing w:line="227" w:lineRule="exact"/>
              <w:ind w:left="79"/>
              <w:rPr>
                <w:sz w:val="20"/>
                <w:szCs w:val="20"/>
                <w:lang w:val="en-US"/>
              </w:rPr>
            </w:pPr>
            <w:r>
              <w:rPr>
                <w:sz w:val="20"/>
                <w:szCs w:val="20"/>
              </w:rPr>
              <w:t>Petunia Juss.</w:t>
            </w:r>
          </w:p>
        </w:tc>
        <w:tc>
          <w:tcPr>
            <w:tcW w:w="1560" w:type="dxa"/>
            <w:shd w:val="clear" w:color="auto" w:fill="E4B8B7"/>
          </w:tcPr>
          <w:p w:rsidR="00890977" w:rsidRPr="003A771F" w:rsidRDefault="00890977" w:rsidP="00AA577D">
            <w:pPr>
              <w:pStyle w:val="TableParagraph"/>
              <w:spacing w:line="227" w:lineRule="exact"/>
              <w:ind w:left="73"/>
              <w:rPr>
                <w:sz w:val="20"/>
                <w:szCs w:val="20"/>
                <w:lang w:val="en-US"/>
              </w:rPr>
            </w:pPr>
            <w:r>
              <w:rPr>
                <w:sz w:val="20"/>
                <w:szCs w:val="20"/>
              </w:rPr>
              <w:t>PETUN</w:t>
            </w:r>
          </w:p>
        </w:tc>
        <w:tc>
          <w:tcPr>
            <w:tcW w:w="2269" w:type="dxa"/>
            <w:shd w:val="clear" w:color="auto" w:fill="E4B8B7"/>
          </w:tcPr>
          <w:p w:rsidR="00890977" w:rsidRPr="003A771F" w:rsidRDefault="00890977" w:rsidP="00AA577D">
            <w:pPr>
              <w:pStyle w:val="TableParagraph"/>
              <w:spacing w:line="227" w:lineRule="exact"/>
              <w:ind w:left="129"/>
              <w:rPr>
                <w:sz w:val="20"/>
                <w:szCs w:val="20"/>
                <w:lang w:val="en-US"/>
              </w:rPr>
            </w:pPr>
            <w:r>
              <w:rPr>
                <w:sz w:val="20"/>
                <w:szCs w:val="20"/>
              </w:rPr>
              <w:t>CPVO</w:t>
            </w:r>
          </w:p>
        </w:tc>
      </w:tr>
      <w:tr w:rsidR="00890977" w:rsidRPr="003A771F" w:rsidTr="00AA577D">
        <w:trPr>
          <w:trHeight w:val="263"/>
        </w:trPr>
        <w:tc>
          <w:tcPr>
            <w:tcW w:w="5094" w:type="dxa"/>
            <w:shd w:val="clear" w:color="auto" w:fill="E4B8B7"/>
          </w:tcPr>
          <w:p w:rsidR="00890977" w:rsidRPr="003A771F" w:rsidRDefault="00890977" w:rsidP="00AA577D">
            <w:pPr>
              <w:pStyle w:val="TableParagraph"/>
              <w:spacing w:line="244" w:lineRule="exact"/>
              <w:ind w:left="79"/>
              <w:rPr>
                <w:sz w:val="20"/>
                <w:szCs w:val="20"/>
                <w:lang w:val="en-US"/>
              </w:rPr>
            </w:pPr>
            <w:r w:rsidRPr="009C53CB">
              <w:rPr>
                <w:i/>
                <w:sz w:val="20"/>
                <w:szCs w:val="20"/>
                <w:lang w:val="fr-FR"/>
              </w:rPr>
              <w:t xml:space="preserve">Zamioculcas zamiifolia </w:t>
            </w:r>
            <w:r w:rsidRPr="009C53CB">
              <w:rPr>
                <w:sz w:val="20"/>
                <w:szCs w:val="20"/>
                <w:lang w:val="fr-FR"/>
              </w:rPr>
              <w:t xml:space="preserve">(Lodd. et al.) </w:t>
            </w:r>
            <w:r>
              <w:rPr>
                <w:sz w:val="20"/>
                <w:szCs w:val="20"/>
              </w:rPr>
              <w:t>Engl</w:t>
            </w:r>
          </w:p>
        </w:tc>
        <w:tc>
          <w:tcPr>
            <w:tcW w:w="1560" w:type="dxa"/>
            <w:shd w:val="clear" w:color="auto" w:fill="E4B8B7"/>
          </w:tcPr>
          <w:p w:rsidR="00890977" w:rsidRPr="003A771F" w:rsidRDefault="00890977" w:rsidP="00AA577D">
            <w:pPr>
              <w:pStyle w:val="TableParagraph"/>
              <w:spacing w:line="227" w:lineRule="exact"/>
              <w:ind w:left="73"/>
              <w:rPr>
                <w:sz w:val="20"/>
                <w:szCs w:val="20"/>
                <w:lang w:val="en-US"/>
              </w:rPr>
            </w:pPr>
            <w:r>
              <w:rPr>
                <w:sz w:val="20"/>
                <w:szCs w:val="20"/>
              </w:rPr>
              <w:t>ZAMIO</w:t>
            </w:r>
          </w:p>
        </w:tc>
        <w:tc>
          <w:tcPr>
            <w:tcW w:w="2269" w:type="dxa"/>
            <w:shd w:val="clear" w:color="auto" w:fill="E4B8B7"/>
          </w:tcPr>
          <w:p w:rsidR="00890977" w:rsidRPr="003A771F" w:rsidRDefault="00890977" w:rsidP="00AA577D">
            <w:pPr>
              <w:pStyle w:val="TableParagraph"/>
              <w:spacing w:line="227" w:lineRule="exact"/>
              <w:ind w:left="73"/>
              <w:rPr>
                <w:sz w:val="20"/>
                <w:szCs w:val="20"/>
                <w:lang w:val="en-US"/>
              </w:rPr>
            </w:pPr>
            <w:r>
              <w:rPr>
                <w:sz w:val="20"/>
                <w:szCs w:val="20"/>
              </w:rPr>
              <w:t>CPVO</w:t>
            </w:r>
          </w:p>
        </w:tc>
      </w:tr>
      <w:tr w:rsidR="00890977" w:rsidRPr="003A771F" w:rsidTr="00AA577D">
        <w:trPr>
          <w:trHeight w:val="242"/>
        </w:trPr>
        <w:tc>
          <w:tcPr>
            <w:tcW w:w="5094" w:type="dxa"/>
            <w:shd w:val="clear" w:color="auto" w:fill="E4B8B7"/>
          </w:tcPr>
          <w:p w:rsidR="00890977" w:rsidRPr="003A771F" w:rsidRDefault="00890977" w:rsidP="00AA577D">
            <w:pPr>
              <w:pStyle w:val="TableParagraph"/>
              <w:spacing w:line="223" w:lineRule="exact"/>
              <w:ind w:left="79"/>
              <w:rPr>
                <w:sz w:val="20"/>
                <w:szCs w:val="20"/>
                <w:lang w:val="en-US"/>
              </w:rPr>
            </w:pPr>
            <w:r>
              <w:rPr>
                <w:sz w:val="20"/>
                <w:szCs w:val="20"/>
              </w:rPr>
              <w:t>Rosa L.</w:t>
            </w:r>
          </w:p>
        </w:tc>
        <w:tc>
          <w:tcPr>
            <w:tcW w:w="1560" w:type="dxa"/>
            <w:shd w:val="clear" w:color="auto" w:fill="E4B8B7"/>
          </w:tcPr>
          <w:p w:rsidR="00890977" w:rsidRPr="003A771F" w:rsidRDefault="00890977" w:rsidP="00AA577D">
            <w:pPr>
              <w:pStyle w:val="TableParagraph"/>
              <w:spacing w:line="223" w:lineRule="exact"/>
              <w:ind w:left="73"/>
              <w:rPr>
                <w:sz w:val="20"/>
                <w:szCs w:val="20"/>
                <w:lang w:val="en-US"/>
              </w:rPr>
            </w:pPr>
            <w:r>
              <w:rPr>
                <w:sz w:val="20"/>
                <w:szCs w:val="20"/>
              </w:rPr>
              <w:t>ROSAA</w:t>
            </w:r>
          </w:p>
        </w:tc>
        <w:tc>
          <w:tcPr>
            <w:tcW w:w="2269" w:type="dxa"/>
            <w:shd w:val="clear" w:color="auto" w:fill="E4B8B7"/>
          </w:tcPr>
          <w:p w:rsidR="00890977" w:rsidRPr="003A771F" w:rsidRDefault="00890977" w:rsidP="00AA577D">
            <w:pPr>
              <w:pStyle w:val="TableParagraph"/>
              <w:spacing w:line="223" w:lineRule="exact"/>
              <w:ind w:left="73"/>
              <w:rPr>
                <w:sz w:val="20"/>
                <w:szCs w:val="20"/>
                <w:lang w:val="en-US"/>
              </w:rPr>
            </w:pPr>
            <w:r>
              <w:rPr>
                <w:sz w:val="20"/>
                <w:szCs w:val="20"/>
              </w:rPr>
              <w:t>Niederlande</w:t>
            </w:r>
          </w:p>
        </w:tc>
      </w:tr>
      <w:tr w:rsidR="00890977" w:rsidRPr="003A771F" w:rsidTr="00AA577D">
        <w:trPr>
          <w:trHeight w:val="268"/>
        </w:trPr>
        <w:tc>
          <w:tcPr>
            <w:tcW w:w="5094" w:type="dxa"/>
            <w:shd w:val="clear" w:color="auto" w:fill="E4B8B7"/>
          </w:tcPr>
          <w:p w:rsidR="00890977" w:rsidRPr="003A771F" w:rsidRDefault="00890977" w:rsidP="00AA577D">
            <w:pPr>
              <w:pStyle w:val="TableParagraph"/>
              <w:spacing w:before="8"/>
              <w:ind w:left="79"/>
              <w:rPr>
                <w:sz w:val="20"/>
                <w:szCs w:val="20"/>
                <w:lang w:val="en-US"/>
              </w:rPr>
            </w:pPr>
            <w:r>
              <w:rPr>
                <w:sz w:val="20"/>
                <w:szCs w:val="20"/>
              </w:rPr>
              <w:t>Solanum tuberosum L.</w:t>
            </w:r>
          </w:p>
        </w:tc>
        <w:tc>
          <w:tcPr>
            <w:tcW w:w="1560" w:type="dxa"/>
            <w:shd w:val="clear" w:color="auto" w:fill="E4B8B7"/>
          </w:tcPr>
          <w:p w:rsidR="00890977" w:rsidRPr="003A771F" w:rsidRDefault="00890977" w:rsidP="00AA577D">
            <w:pPr>
              <w:pStyle w:val="TableParagraph"/>
              <w:spacing w:before="8"/>
              <w:ind w:left="73"/>
              <w:rPr>
                <w:sz w:val="20"/>
                <w:szCs w:val="20"/>
                <w:lang w:val="en-US"/>
              </w:rPr>
            </w:pPr>
            <w:r>
              <w:rPr>
                <w:sz w:val="20"/>
                <w:szCs w:val="20"/>
              </w:rPr>
              <w:t>SOLAN_TUB</w:t>
            </w:r>
          </w:p>
        </w:tc>
        <w:tc>
          <w:tcPr>
            <w:tcW w:w="2269" w:type="dxa"/>
            <w:shd w:val="clear" w:color="auto" w:fill="E4B8B7"/>
          </w:tcPr>
          <w:p w:rsidR="00890977" w:rsidRPr="003A771F" w:rsidRDefault="00890977" w:rsidP="00AA577D">
            <w:pPr>
              <w:pStyle w:val="TableParagraph"/>
              <w:spacing w:before="8"/>
              <w:ind w:left="73"/>
              <w:rPr>
                <w:sz w:val="20"/>
                <w:szCs w:val="20"/>
                <w:lang w:val="en-US"/>
              </w:rPr>
            </w:pPr>
            <w:r>
              <w:rPr>
                <w:sz w:val="20"/>
                <w:szCs w:val="20"/>
              </w:rPr>
              <w:t>Australien</w:t>
            </w:r>
          </w:p>
        </w:tc>
      </w:tr>
    </w:tbl>
    <w:p w:rsidR="00890977" w:rsidRPr="003A771F" w:rsidRDefault="00890977" w:rsidP="00890977">
      <w:pPr>
        <w:rPr>
          <w:rFonts w:cs="Arial"/>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6"/>
      </w:tblGrid>
      <w:tr w:rsidR="00890977" w:rsidRPr="003A771F" w:rsidTr="00AA577D">
        <w:trPr>
          <w:trHeight w:val="230"/>
        </w:trPr>
        <w:tc>
          <w:tcPr>
            <w:tcW w:w="5396" w:type="dxa"/>
            <w:shd w:val="clear" w:color="auto" w:fill="D5E2BB"/>
          </w:tcPr>
          <w:p w:rsidR="00890977" w:rsidRPr="009C53CB" w:rsidRDefault="00890977" w:rsidP="00AA577D">
            <w:pPr>
              <w:pStyle w:val="TableParagraph"/>
              <w:spacing w:line="210" w:lineRule="exact"/>
              <w:ind w:left="107"/>
              <w:rPr>
                <w:sz w:val="20"/>
                <w:szCs w:val="20"/>
              </w:rPr>
            </w:pPr>
            <w:r>
              <w:rPr>
                <w:sz w:val="20"/>
                <w:szCs w:val="20"/>
              </w:rPr>
              <w:t>Vereinbarungen über die Zusammenarbeit bei der Prüfung</w:t>
            </w:r>
          </w:p>
        </w:tc>
      </w:tr>
      <w:tr w:rsidR="00890977" w:rsidRPr="003A771F" w:rsidTr="00AA577D">
        <w:trPr>
          <w:trHeight w:val="230"/>
        </w:trPr>
        <w:tc>
          <w:tcPr>
            <w:tcW w:w="5396" w:type="dxa"/>
            <w:shd w:val="clear" w:color="auto" w:fill="E4B8B7"/>
          </w:tcPr>
          <w:p w:rsidR="00890977" w:rsidRPr="003A771F" w:rsidRDefault="00890977" w:rsidP="00AA577D">
            <w:pPr>
              <w:pStyle w:val="TableParagraph"/>
              <w:spacing w:line="210" w:lineRule="exact"/>
              <w:ind w:left="107"/>
              <w:rPr>
                <w:sz w:val="20"/>
                <w:szCs w:val="20"/>
                <w:lang w:val="en-US"/>
              </w:rPr>
            </w:pPr>
            <w:r>
              <w:rPr>
                <w:sz w:val="20"/>
                <w:szCs w:val="20"/>
              </w:rPr>
              <w:t>Übernahme bestehender DUS-Berichte</w:t>
            </w:r>
          </w:p>
        </w:tc>
      </w:tr>
    </w:tbl>
    <w:p w:rsidR="00890977" w:rsidRPr="003A771F" w:rsidRDefault="00890977" w:rsidP="00890977">
      <w:pPr>
        <w:spacing w:before="9"/>
        <w:rPr>
          <w:rFonts w:cs="Arial"/>
        </w:rPr>
      </w:pPr>
    </w:p>
    <w:p w:rsidR="00890977" w:rsidRPr="003A771F" w:rsidRDefault="00890977" w:rsidP="00890977">
      <w:pPr>
        <w:rPr>
          <w:rFonts w:cs="Arial"/>
        </w:rPr>
      </w:pPr>
    </w:p>
    <w:p w:rsidR="00890977" w:rsidRPr="003A771F" w:rsidRDefault="00890977" w:rsidP="00890977">
      <w:r>
        <w:t>3.</w:t>
      </w:r>
      <w:r>
        <w:tab/>
      </w:r>
      <w:r>
        <w:rPr>
          <w:u w:val="single"/>
        </w:rPr>
        <w:t>Lage auf dem Gebiet der Verwaltung</w:t>
      </w:r>
      <w:r>
        <w:t>: keine Anmerkungen.</w:t>
      </w:r>
    </w:p>
    <w:p w:rsidR="00890977" w:rsidRPr="003A771F" w:rsidRDefault="00890977" w:rsidP="00890977"/>
    <w:p w:rsidR="00890977" w:rsidRPr="003A771F" w:rsidRDefault="00890977" w:rsidP="00890977"/>
    <w:p w:rsidR="00890977" w:rsidRPr="003A771F" w:rsidRDefault="00890977" w:rsidP="00890977">
      <w:r>
        <w:t>4.</w:t>
      </w:r>
      <w:r>
        <w:tab/>
      </w:r>
      <w:r>
        <w:rPr>
          <w:u w:val="single"/>
        </w:rPr>
        <w:t>Lage auf dem Gebiet der Technik</w:t>
      </w:r>
      <w:r>
        <w:t>: keine Anmerkungen.</w:t>
      </w:r>
    </w:p>
    <w:p w:rsidR="00890977" w:rsidRPr="003A771F" w:rsidRDefault="00890977" w:rsidP="00890977"/>
    <w:p w:rsidR="00890977" w:rsidRPr="003A771F" w:rsidRDefault="00890977" w:rsidP="00890977"/>
    <w:p w:rsidR="00890977" w:rsidRPr="005F69CB" w:rsidRDefault="00890977" w:rsidP="00890977">
      <w:pPr>
        <w:jc w:val="left"/>
      </w:pPr>
      <w:r w:rsidRPr="005F69CB">
        <w:br w:type="page"/>
      </w:r>
    </w:p>
    <w:p w:rsidR="00890977" w:rsidRPr="003A771F" w:rsidRDefault="00890977" w:rsidP="00890977">
      <w:pPr>
        <w:rPr>
          <w:u w:val="single"/>
        </w:rPr>
      </w:pPr>
      <w:r>
        <w:lastRenderedPageBreak/>
        <w:t>5.</w:t>
      </w:r>
      <w:r>
        <w:tab/>
      </w:r>
      <w:r>
        <w:rPr>
          <w:u w:val="single"/>
        </w:rPr>
        <w:t>Tätigkeiten zur Förderung des Sortenschutzes</w:t>
      </w:r>
    </w:p>
    <w:p w:rsidR="00890977" w:rsidRPr="003A771F" w:rsidRDefault="00890977" w:rsidP="00890977">
      <w:pPr>
        <w:rPr>
          <w:sz w:val="16"/>
          <w:szCs w:val="16"/>
        </w:rPr>
      </w:pPr>
    </w:p>
    <w:tbl>
      <w:tblPr>
        <w:tblW w:w="101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1169"/>
        <w:gridCol w:w="1317"/>
        <w:gridCol w:w="1134"/>
        <w:gridCol w:w="1418"/>
        <w:gridCol w:w="1558"/>
        <w:gridCol w:w="2051"/>
        <w:gridCol w:w="1491"/>
      </w:tblGrid>
      <w:tr w:rsidR="00890977" w:rsidRPr="003A771F" w:rsidTr="00890977">
        <w:tc>
          <w:tcPr>
            <w:tcW w:w="1169" w:type="dxa"/>
          </w:tcPr>
          <w:p w:rsidR="00890977" w:rsidRPr="00890977" w:rsidRDefault="00890977" w:rsidP="00890977">
            <w:pPr>
              <w:pStyle w:val="TableParagraph"/>
              <w:ind w:left="0"/>
              <w:rPr>
                <w:sz w:val="16"/>
                <w:szCs w:val="16"/>
                <w:lang w:val="en-US"/>
              </w:rPr>
            </w:pPr>
            <w:r w:rsidRPr="00890977">
              <w:rPr>
                <w:sz w:val="16"/>
                <w:szCs w:val="16"/>
              </w:rPr>
              <w:t>Art der Tätigkeit</w:t>
            </w:r>
          </w:p>
        </w:tc>
        <w:tc>
          <w:tcPr>
            <w:tcW w:w="1317" w:type="dxa"/>
          </w:tcPr>
          <w:p w:rsidR="00890977" w:rsidRPr="00890977" w:rsidRDefault="00890977" w:rsidP="00890977">
            <w:pPr>
              <w:pStyle w:val="TableParagraph"/>
              <w:ind w:left="0"/>
              <w:rPr>
                <w:sz w:val="16"/>
                <w:szCs w:val="16"/>
                <w:lang w:val="en-US"/>
              </w:rPr>
            </w:pPr>
            <w:r w:rsidRPr="00890977">
              <w:rPr>
                <w:sz w:val="16"/>
                <w:szCs w:val="16"/>
              </w:rPr>
              <w:t>Datum</w:t>
            </w:r>
          </w:p>
        </w:tc>
        <w:tc>
          <w:tcPr>
            <w:tcW w:w="1134" w:type="dxa"/>
          </w:tcPr>
          <w:p w:rsidR="00890977" w:rsidRPr="00890977" w:rsidRDefault="00890977" w:rsidP="00890977">
            <w:pPr>
              <w:pStyle w:val="TableParagraph"/>
              <w:ind w:left="0"/>
              <w:rPr>
                <w:sz w:val="16"/>
                <w:szCs w:val="16"/>
                <w:lang w:val="en-US"/>
              </w:rPr>
            </w:pPr>
            <w:r w:rsidRPr="00890977">
              <w:rPr>
                <w:sz w:val="16"/>
                <w:szCs w:val="16"/>
              </w:rPr>
              <w:t>Ort</w:t>
            </w:r>
          </w:p>
        </w:tc>
        <w:tc>
          <w:tcPr>
            <w:tcW w:w="1418" w:type="dxa"/>
          </w:tcPr>
          <w:p w:rsidR="00890977" w:rsidRPr="00890977" w:rsidRDefault="00890977" w:rsidP="00890977">
            <w:pPr>
              <w:pStyle w:val="TableParagraph"/>
              <w:ind w:left="0"/>
              <w:rPr>
                <w:sz w:val="16"/>
                <w:szCs w:val="16"/>
                <w:lang w:val="en-US"/>
              </w:rPr>
            </w:pPr>
            <w:r w:rsidRPr="00890977">
              <w:rPr>
                <w:sz w:val="16"/>
                <w:szCs w:val="16"/>
              </w:rPr>
              <w:t>Organisator(en)</w:t>
            </w:r>
          </w:p>
        </w:tc>
        <w:tc>
          <w:tcPr>
            <w:tcW w:w="1558" w:type="dxa"/>
          </w:tcPr>
          <w:p w:rsidR="00890977" w:rsidRPr="00890977" w:rsidRDefault="00890977" w:rsidP="00890977">
            <w:pPr>
              <w:pStyle w:val="TableParagraph"/>
              <w:ind w:left="0"/>
              <w:rPr>
                <w:sz w:val="16"/>
                <w:szCs w:val="16"/>
                <w:lang w:val="en-US"/>
              </w:rPr>
            </w:pPr>
            <w:r w:rsidRPr="00890977">
              <w:rPr>
                <w:sz w:val="16"/>
                <w:szCs w:val="16"/>
              </w:rPr>
              <w:t>Zweck der Tätigkeit</w:t>
            </w:r>
          </w:p>
        </w:tc>
        <w:tc>
          <w:tcPr>
            <w:tcW w:w="2051" w:type="dxa"/>
          </w:tcPr>
          <w:p w:rsidR="00890977" w:rsidRPr="00890977" w:rsidRDefault="00890977" w:rsidP="00890977">
            <w:pPr>
              <w:pStyle w:val="TableParagraph"/>
              <w:ind w:left="0"/>
              <w:rPr>
                <w:sz w:val="16"/>
                <w:szCs w:val="16"/>
              </w:rPr>
            </w:pPr>
            <w:r w:rsidRPr="00890977">
              <w:rPr>
                <w:sz w:val="16"/>
                <w:szCs w:val="16"/>
              </w:rPr>
              <w:t>Teilnehmende</w:t>
            </w:r>
            <w:r w:rsidRPr="00890977">
              <w:rPr>
                <w:spacing w:val="-8"/>
                <w:sz w:val="16"/>
                <w:szCs w:val="16"/>
              </w:rPr>
              <w:t xml:space="preserve"> </w:t>
            </w:r>
            <w:r w:rsidRPr="00890977">
              <w:rPr>
                <w:sz w:val="16"/>
                <w:szCs w:val="16"/>
              </w:rPr>
              <w:t>Staaten/ Organisationen (Zahl der Teilnehmer pro</w:t>
            </w:r>
            <w:r w:rsidRPr="00890977">
              <w:rPr>
                <w:spacing w:val="-3"/>
                <w:sz w:val="16"/>
                <w:szCs w:val="16"/>
              </w:rPr>
              <w:t xml:space="preserve"> </w:t>
            </w:r>
            <w:r w:rsidRPr="00890977">
              <w:rPr>
                <w:sz w:val="16"/>
                <w:szCs w:val="16"/>
              </w:rPr>
              <w:t>Staat/ Organisation)</w:t>
            </w:r>
          </w:p>
        </w:tc>
        <w:tc>
          <w:tcPr>
            <w:tcW w:w="1491" w:type="dxa"/>
          </w:tcPr>
          <w:p w:rsidR="00890977" w:rsidRPr="00890977" w:rsidRDefault="00890977" w:rsidP="00890977">
            <w:pPr>
              <w:pStyle w:val="TableParagraph"/>
              <w:ind w:left="0"/>
              <w:rPr>
                <w:sz w:val="16"/>
                <w:szCs w:val="16"/>
                <w:lang w:val="en-US"/>
              </w:rPr>
            </w:pPr>
            <w:r w:rsidRPr="00890977">
              <w:rPr>
                <w:sz w:val="16"/>
                <w:szCs w:val="16"/>
              </w:rPr>
              <w:t>Anmerkungen</w:t>
            </w:r>
          </w:p>
        </w:tc>
      </w:tr>
      <w:tr w:rsidR="00890977" w:rsidRPr="003A771F" w:rsidTr="00890977">
        <w:tc>
          <w:tcPr>
            <w:tcW w:w="1169" w:type="dxa"/>
          </w:tcPr>
          <w:p w:rsidR="00890977" w:rsidRPr="00890977" w:rsidRDefault="00890977" w:rsidP="00890977">
            <w:pPr>
              <w:pStyle w:val="TableParagraph"/>
              <w:ind w:left="0"/>
              <w:rPr>
                <w:sz w:val="16"/>
                <w:szCs w:val="16"/>
                <w:lang w:val="en-US"/>
              </w:rPr>
            </w:pPr>
            <w:r>
              <w:rPr>
                <w:sz w:val="16"/>
                <w:szCs w:val="16"/>
              </w:rPr>
              <w:t>1. Sorten</w:t>
            </w:r>
            <w:r w:rsidRPr="00890977">
              <w:rPr>
                <w:sz w:val="16"/>
                <w:szCs w:val="16"/>
              </w:rPr>
              <w:t>schutz in Brasilien</w:t>
            </w:r>
          </w:p>
        </w:tc>
        <w:tc>
          <w:tcPr>
            <w:tcW w:w="1317" w:type="dxa"/>
          </w:tcPr>
          <w:p w:rsidR="00890977" w:rsidRPr="00890977" w:rsidRDefault="00890977" w:rsidP="00890977">
            <w:pPr>
              <w:pStyle w:val="TableParagraph"/>
              <w:ind w:left="0"/>
              <w:rPr>
                <w:sz w:val="16"/>
                <w:szCs w:val="16"/>
                <w:lang w:val="en-US"/>
              </w:rPr>
            </w:pPr>
            <w:r w:rsidRPr="00890977">
              <w:rPr>
                <w:sz w:val="16"/>
                <w:szCs w:val="16"/>
              </w:rPr>
              <w:t>11. November 2020</w:t>
            </w:r>
          </w:p>
        </w:tc>
        <w:tc>
          <w:tcPr>
            <w:tcW w:w="1134" w:type="dxa"/>
          </w:tcPr>
          <w:p w:rsidR="00890977" w:rsidRPr="00890977" w:rsidRDefault="00890977" w:rsidP="00890977">
            <w:pPr>
              <w:pStyle w:val="TableParagraph"/>
              <w:ind w:left="0"/>
              <w:rPr>
                <w:sz w:val="16"/>
                <w:szCs w:val="16"/>
              </w:rPr>
            </w:pPr>
            <w:r w:rsidRPr="00890977">
              <w:rPr>
                <w:sz w:val="16"/>
                <w:szCs w:val="16"/>
              </w:rPr>
              <w:t xml:space="preserve">Online-Präsentation (verfügbar auf YouTube </w:t>
            </w:r>
            <w:hyperlink r:id="rId12">
              <w:r w:rsidRPr="00890977">
                <w:rPr>
                  <w:color w:val="800080"/>
                  <w:sz w:val="16"/>
                  <w:szCs w:val="16"/>
                  <w:u w:val="single" w:color="800080"/>
                </w:rPr>
                <w:t>https://yout</w:t>
              </w:r>
            </w:hyperlink>
            <w:r w:rsidRPr="00890977">
              <w:rPr>
                <w:sz w:val="16"/>
                <w:szCs w:val="16"/>
              </w:rPr>
              <w:t xml:space="preserve"> </w:t>
            </w:r>
            <w:hyperlink r:id="rId13">
              <w:r w:rsidRPr="00890977">
                <w:rPr>
                  <w:color w:val="800080"/>
                  <w:sz w:val="16"/>
                  <w:szCs w:val="16"/>
                  <w:u w:val="single" w:color="800080"/>
                </w:rPr>
                <w:t>u.be/S9J5</w:t>
              </w:r>
            </w:hyperlink>
            <w:r w:rsidRPr="00890977">
              <w:rPr>
                <w:sz w:val="16"/>
                <w:szCs w:val="16"/>
              </w:rPr>
              <w:t xml:space="preserve"> </w:t>
            </w:r>
            <w:hyperlink r:id="rId14">
              <w:r w:rsidRPr="00890977">
                <w:rPr>
                  <w:color w:val="800080"/>
                  <w:sz w:val="16"/>
                  <w:szCs w:val="16"/>
                  <w:u w:val="single" w:color="800080"/>
                </w:rPr>
                <w:t>atZWZYo</w:t>
              </w:r>
              <w:r w:rsidRPr="00890977">
                <w:rPr>
                  <w:color w:val="800080"/>
                  <w:sz w:val="16"/>
                  <w:szCs w:val="16"/>
                </w:rPr>
                <w:t xml:space="preserve"> </w:t>
              </w:r>
            </w:hyperlink>
            <w:r w:rsidRPr="00890977">
              <w:rPr>
                <w:sz w:val="16"/>
                <w:szCs w:val="16"/>
              </w:rPr>
              <w:t>)</w:t>
            </w:r>
          </w:p>
        </w:tc>
        <w:tc>
          <w:tcPr>
            <w:tcW w:w="1418" w:type="dxa"/>
          </w:tcPr>
          <w:p w:rsidR="00890977" w:rsidRPr="00890977" w:rsidRDefault="00890977" w:rsidP="00890977">
            <w:pPr>
              <w:pStyle w:val="TableParagraph"/>
              <w:ind w:left="0"/>
              <w:rPr>
                <w:rFonts w:ascii="Times New Roman"/>
                <w:sz w:val="16"/>
                <w:szCs w:val="16"/>
                <w:lang w:val="en-US"/>
              </w:rPr>
            </w:pPr>
            <w:r>
              <w:rPr>
                <w:sz w:val="16"/>
                <w:szCs w:val="16"/>
              </w:rPr>
              <w:t>Bundes</w:t>
            </w:r>
            <w:r w:rsidRPr="00890977">
              <w:rPr>
                <w:sz w:val="16"/>
                <w:szCs w:val="16"/>
              </w:rPr>
              <w:t>universität von Paraná</w:t>
            </w:r>
          </w:p>
        </w:tc>
        <w:tc>
          <w:tcPr>
            <w:tcW w:w="1558" w:type="dxa"/>
          </w:tcPr>
          <w:p w:rsidR="00890977" w:rsidRPr="00890977" w:rsidRDefault="00890977" w:rsidP="00890977">
            <w:pPr>
              <w:pStyle w:val="TableParagraph"/>
              <w:ind w:left="0"/>
              <w:rPr>
                <w:sz w:val="16"/>
                <w:szCs w:val="16"/>
              </w:rPr>
            </w:pPr>
            <w:r w:rsidRPr="00890977">
              <w:rPr>
                <w:sz w:val="16"/>
                <w:szCs w:val="16"/>
              </w:rPr>
              <w:t>Allgemeiner Lehrgang über Innovations-management mit einem Modul über Sortenschutz</w:t>
            </w:r>
          </w:p>
        </w:tc>
        <w:tc>
          <w:tcPr>
            <w:tcW w:w="2051" w:type="dxa"/>
          </w:tcPr>
          <w:p w:rsidR="00890977" w:rsidRPr="00890977" w:rsidRDefault="00890977" w:rsidP="00890977">
            <w:pPr>
              <w:pStyle w:val="TableParagraph"/>
              <w:ind w:left="0"/>
              <w:rPr>
                <w:sz w:val="16"/>
                <w:szCs w:val="16"/>
              </w:rPr>
            </w:pPr>
            <w:r w:rsidRPr="00890977">
              <w:rPr>
                <w:sz w:val="16"/>
                <w:szCs w:val="16"/>
              </w:rPr>
              <w:t>Brasilien (806 Aufrufe bis zum 27. August 2021)</w:t>
            </w:r>
          </w:p>
        </w:tc>
        <w:tc>
          <w:tcPr>
            <w:tcW w:w="1491" w:type="dxa"/>
          </w:tcPr>
          <w:p w:rsidR="00890977" w:rsidRPr="00890977" w:rsidRDefault="00890977" w:rsidP="00890977">
            <w:pPr>
              <w:pStyle w:val="TableParagraph"/>
              <w:ind w:left="0"/>
              <w:rPr>
                <w:rFonts w:ascii="Times New Roman"/>
                <w:sz w:val="16"/>
                <w:szCs w:val="16"/>
              </w:rPr>
            </w:pPr>
          </w:p>
        </w:tc>
      </w:tr>
      <w:tr w:rsidR="00890977" w:rsidRPr="003A771F" w:rsidTr="00890977">
        <w:tc>
          <w:tcPr>
            <w:tcW w:w="1169" w:type="dxa"/>
          </w:tcPr>
          <w:p w:rsidR="00890977" w:rsidRPr="00890977" w:rsidRDefault="00890977" w:rsidP="00890977">
            <w:pPr>
              <w:pStyle w:val="TableParagraph"/>
              <w:ind w:left="0"/>
              <w:rPr>
                <w:sz w:val="16"/>
                <w:szCs w:val="16"/>
              </w:rPr>
            </w:pPr>
            <w:r>
              <w:rPr>
                <w:sz w:val="16"/>
                <w:szCs w:val="16"/>
              </w:rPr>
              <w:t>2. Sorten</w:t>
            </w:r>
            <w:r w:rsidRPr="00890977">
              <w:rPr>
                <w:sz w:val="16"/>
                <w:szCs w:val="16"/>
              </w:rPr>
              <w:t>sc</w:t>
            </w:r>
            <w:r>
              <w:rPr>
                <w:sz w:val="16"/>
                <w:szCs w:val="16"/>
              </w:rPr>
              <w:t>hutz in Brasilien – WIPO-Sommer</w:t>
            </w:r>
            <w:r w:rsidRPr="00890977">
              <w:rPr>
                <w:sz w:val="16"/>
                <w:szCs w:val="16"/>
              </w:rPr>
              <w:t>schule - Geistiges Eigentum für den landwirt-schaftlichen Nahrungs-mittelsektor</w:t>
            </w:r>
          </w:p>
        </w:tc>
        <w:tc>
          <w:tcPr>
            <w:tcW w:w="1317" w:type="dxa"/>
          </w:tcPr>
          <w:p w:rsidR="00890977" w:rsidRPr="00890977" w:rsidRDefault="00890977" w:rsidP="00890977">
            <w:pPr>
              <w:pStyle w:val="TableParagraph"/>
              <w:ind w:left="0"/>
              <w:rPr>
                <w:sz w:val="16"/>
                <w:szCs w:val="16"/>
                <w:lang w:val="en-US"/>
              </w:rPr>
            </w:pPr>
            <w:r w:rsidRPr="00890977">
              <w:rPr>
                <w:sz w:val="16"/>
                <w:szCs w:val="16"/>
              </w:rPr>
              <w:t>14. Januar 2021</w:t>
            </w:r>
          </w:p>
        </w:tc>
        <w:tc>
          <w:tcPr>
            <w:tcW w:w="1134" w:type="dxa"/>
          </w:tcPr>
          <w:p w:rsidR="00890977" w:rsidRPr="00890977" w:rsidRDefault="00890977" w:rsidP="00890977">
            <w:pPr>
              <w:pStyle w:val="TableParagraph"/>
              <w:ind w:left="0"/>
              <w:rPr>
                <w:sz w:val="16"/>
                <w:szCs w:val="16"/>
              </w:rPr>
            </w:pPr>
            <w:r>
              <w:rPr>
                <w:sz w:val="16"/>
                <w:szCs w:val="16"/>
              </w:rPr>
              <w:t>Online-Veranstal</w:t>
            </w:r>
            <w:r w:rsidRPr="00890977">
              <w:rPr>
                <w:sz w:val="16"/>
                <w:szCs w:val="16"/>
              </w:rPr>
              <w:t xml:space="preserve">tung (verfügbar auf YouTube </w:t>
            </w:r>
            <w:hyperlink r:id="rId15">
              <w:r w:rsidRPr="00890977">
                <w:rPr>
                  <w:color w:val="800080"/>
                  <w:sz w:val="16"/>
                  <w:szCs w:val="16"/>
                  <w:u w:val="single" w:color="800080"/>
                </w:rPr>
                <w:t>https://yout</w:t>
              </w:r>
            </w:hyperlink>
            <w:r w:rsidRPr="00890977">
              <w:rPr>
                <w:sz w:val="16"/>
                <w:szCs w:val="16"/>
              </w:rPr>
              <w:t xml:space="preserve"> </w:t>
            </w:r>
            <w:hyperlink r:id="rId16">
              <w:r w:rsidRPr="00890977">
                <w:rPr>
                  <w:color w:val="800080"/>
                  <w:sz w:val="16"/>
                  <w:szCs w:val="16"/>
                  <w:u w:val="single" w:color="800080"/>
                </w:rPr>
                <w:t>u.be/ATgTt</w:t>
              </w:r>
            </w:hyperlink>
            <w:r w:rsidRPr="00890977">
              <w:rPr>
                <w:sz w:val="16"/>
                <w:szCs w:val="16"/>
              </w:rPr>
              <w:t xml:space="preserve"> </w:t>
            </w:r>
            <w:hyperlink r:id="rId17">
              <w:r w:rsidRPr="00890977">
                <w:rPr>
                  <w:color w:val="800080"/>
                  <w:sz w:val="16"/>
                  <w:szCs w:val="16"/>
                  <w:u w:val="single" w:color="800080"/>
                </w:rPr>
                <w:t>FiLAiA</w:t>
              </w:r>
              <w:r w:rsidRPr="00890977">
                <w:rPr>
                  <w:color w:val="800080"/>
                  <w:sz w:val="16"/>
                  <w:szCs w:val="16"/>
                </w:rPr>
                <w:t xml:space="preserve"> </w:t>
              </w:r>
            </w:hyperlink>
            <w:r w:rsidRPr="00890977">
              <w:rPr>
                <w:sz w:val="16"/>
                <w:szCs w:val="16"/>
              </w:rPr>
              <w:t>)</w:t>
            </w:r>
          </w:p>
        </w:tc>
        <w:tc>
          <w:tcPr>
            <w:tcW w:w="1418" w:type="dxa"/>
          </w:tcPr>
          <w:p w:rsidR="00890977" w:rsidRPr="00890977" w:rsidRDefault="00890977" w:rsidP="00890977">
            <w:pPr>
              <w:pStyle w:val="TableParagraph"/>
              <w:ind w:left="0"/>
              <w:rPr>
                <w:sz w:val="16"/>
                <w:szCs w:val="16"/>
              </w:rPr>
            </w:pPr>
            <w:r w:rsidRPr="00890977">
              <w:rPr>
                <w:sz w:val="16"/>
                <w:szCs w:val="16"/>
              </w:rPr>
              <w:t>INPI (Patent- und Markenamt)</w:t>
            </w:r>
            <w:r w:rsidRPr="00890977">
              <w:rPr>
                <w:sz w:val="16"/>
                <w:szCs w:val="16"/>
              </w:rPr>
              <w:br/>
              <w:t>WIPO Brasilianische Vereinigung für geistiges Eigentum (ABPI)</w:t>
            </w:r>
          </w:p>
        </w:tc>
        <w:tc>
          <w:tcPr>
            <w:tcW w:w="1558" w:type="dxa"/>
          </w:tcPr>
          <w:p w:rsidR="00890977" w:rsidRPr="00890977" w:rsidRDefault="00890977" w:rsidP="00890977">
            <w:pPr>
              <w:pStyle w:val="TableParagraph"/>
              <w:ind w:left="0"/>
              <w:rPr>
                <w:sz w:val="16"/>
                <w:szCs w:val="16"/>
              </w:rPr>
            </w:pPr>
            <w:r w:rsidRPr="00890977">
              <w:rPr>
                <w:sz w:val="16"/>
                <w:szCs w:val="16"/>
              </w:rPr>
              <w:t>Grundlegende Informationen über Sortenschutzan</w:t>
            </w:r>
            <w:r w:rsidRPr="00890977">
              <w:rPr>
                <w:sz w:val="16"/>
                <w:szCs w:val="16"/>
              </w:rPr>
              <w:softHyphen/>
              <w:t>gelegenheiten für Rechtsanwälte und Rechtsver</w:t>
            </w:r>
            <w:r w:rsidRPr="00890977">
              <w:rPr>
                <w:sz w:val="16"/>
                <w:szCs w:val="16"/>
              </w:rPr>
              <w:softHyphen/>
              <w:t>treter auf dem Gebiet des geistigen Eigentums sowie andere Fachleute zu diesem Thema</w:t>
            </w:r>
          </w:p>
        </w:tc>
        <w:tc>
          <w:tcPr>
            <w:tcW w:w="2051" w:type="dxa"/>
          </w:tcPr>
          <w:p w:rsidR="00890977" w:rsidRPr="00890977" w:rsidRDefault="00890977" w:rsidP="00890977">
            <w:pPr>
              <w:pStyle w:val="TableParagraph"/>
              <w:ind w:left="0"/>
              <w:rPr>
                <w:sz w:val="16"/>
                <w:szCs w:val="16"/>
              </w:rPr>
            </w:pPr>
            <w:r w:rsidRPr="00890977">
              <w:rPr>
                <w:sz w:val="16"/>
                <w:szCs w:val="16"/>
              </w:rPr>
              <w:t>Brasilien (722 Aufrufe bis zum 27. August 2021)</w:t>
            </w:r>
          </w:p>
        </w:tc>
        <w:tc>
          <w:tcPr>
            <w:tcW w:w="1491" w:type="dxa"/>
          </w:tcPr>
          <w:p w:rsidR="00890977" w:rsidRPr="00890977" w:rsidRDefault="00890977" w:rsidP="00890977">
            <w:pPr>
              <w:pStyle w:val="TableParagraph"/>
              <w:ind w:left="0"/>
              <w:rPr>
                <w:rFonts w:ascii="Times New Roman"/>
                <w:sz w:val="16"/>
                <w:szCs w:val="16"/>
              </w:rPr>
            </w:pPr>
          </w:p>
        </w:tc>
      </w:tr>
      <w:tr w:rsidR="00890977" w:rsidRPr="003A771F" w:rsidTr="00890977">
        <w:tc>
          <w:tcPr>
            <w:tcW w:w="1169" w:type="dxa"/>
          </w:tcPr>
          <w:p w:rsidR="00890977" w:rsidRPr="00890977" w:rsidRDefault="00890977" w:rsidP="00890977">
            <w:pPr>
              <w:pStyle w:val="TableParagraph"/>
              <w:ind w:left="0"/>
              <w:rPr>
                <w:sz w:val="16"/>
                <w:szCs w:val="16"/>
                <w:lang w:val="en-US"/>
              </w:rPr>
            </w:pPr>
            <w:r>
              <w:rPr>
                <w:sz w:val="16"/>
                <w:szCs w:val="16"/>
              </w:rPr>
              <w:t>3. Sorten</w:t>
            </w:r>
            <w:r w:rsidRPr="00890977">
              <w:rPr>
                <w:sz w:val="16"/>
                <w:szCs w:val="16"/>
              </w:rPr>
              <w:t>schutz</w:t>
            </w:r>
          </w:p>
        </w:tc>
        <w:tc>
          <w:tcPr>
            <w:tcW w:w="1317" w:type="dxa"/>
          </w:tcPr>
          <w:p w:rsidR="00890977" w:rsidRPr="00890977" w:rsidRDefault="00890977" w:rsidP="00890977">
            <w:pPr>
              <w:pStyle w:val="TableParagraph"/>
              <w:ind w:left="0"/>
              <w:rPr>
                <w:sz w:val="16"/>
                <w:szCs w:val="16"/>
                <w:lang w:val="en-US"/>
              </w:rPr>
            </w:pPr>
            <w:r w:rsidRPr="00890977">
              <w:rPr>
                <w:sz w:val="16"/>
                <w:szCs w:val="16"/>
              </w:rPr>
              <w:t>30. Juli 2021</w:t>
            </w:r>
          </w:p>
        </w:tc>
        <w:tc>
          <w:tcPr>
            <w:tcW w:w="1134" w:type="dxa"/>
          </w:tcPr>
          <w:p w:rsidR="00890977" w:rsidRPr="00890977" w:rsidRDefault="00890977" w:rsidP="00890977">
            <w:pPr>
              <w:pStyle w:val="TableParagraph"/>
              <w:ind w:left="0"/>
              <w:rPr>
                <w:sz w:val="16"/>
                <w:szCs w:val="16"/>
              </w:rPr>
            </w:pPr>
            <w:r>
              <w:rPr>
                <w:sz w:val="16"/>
                <w:szCs w:val="16"/>
              </w:rPr>
              <w:t>Online-Veranstal</w:t>
            </w:r>
            <w:r w:rsidRPr="00890977">
              <w:rPr>
                <w:sz w:val="16"/>
                <w:szCs w:val="16"/>
              </w:rPr>
              <w:t xml:space="preserve">tung (verfügbar auf dem YouTube-Kanal dieses Ministeriums </w:t>
            </w:r>
            <w:hyperlink r:id="rId18">
              <w:r w:rsidRPr="00890977">
                <w:rPr>
                  <w:color w:val="800080"/>
                  <w:sz w:val="16"/>
                  <w:szCs w:val="16"/>
                  <w:u w:val="single" w:color="800080"/>
                </w:rPr>
                <w:t>https://yout</w:t>
              </w:r>
            </w:hyperlink>
            <w:r w:rsidRPr="00890977">
              <w:rPr>
                <w:sz w:val="16"/>
                <w:szCs w:val="16"/>
              </w:rPr>
              <w:t xml:space="preserve"> </w:t>
            </w:r>
            <w:hyperlink r:id="rId19">
              <w:r w:rsidRPr="00890977">
                <w:rPr>
                  <w:color w:val="800080"/>
                  <w:sz w:val="16"/>
                  <w:szCs w:val="16"/>
                  <w:u w:val="single" w:color="800080"/>
                </w:rPr>
                <w:t>u.be/GRM</w:t>
              </w:r>
              <w:r w:rsidRPr="00890977">
                <w:rPr>
                  <w:color w:val="800080"/>
                  <w:sz w:val="16"/>
                  <w:szCs w:val="16"/>
                </w:rPr>
                <w:t>l</w:t>
              </w:r>
            </w:hyperlink>
            <w:r w:rsidRPr="00890977">
              <w:rPr>
                <w:sz w:val="16"/>
                <w:szCs w:val="16"/>
              </w:rPr>
              <w:t xml:space="preserve"> </w:t>
            </w:r>
            <w:hyperlink r:id="rId20">
              <w:r w:rsidRPr="00890977">
                <w:rPr>
                  <w:color w:val="800080"/>
                  <w:sz w:val="16"/>
                  <w:szCs w:val="16"/>
                  <w:u w:val="single" w:color="800080"/>
                </w:rPr>
                <w:t>PeLhLSo</w:t>
              </w:r>
            </w:hyperlink>
            <w:r w:rsidRPr="00890977">
              <w:rPr>
                <w:color w:val="800080"/>
                <w:sz w:val="16"/>
                <w:szCs w:val="16"/>
              </w:rPr>
              <w:t xml:space="preserve"> </w:t>
            </w:r>
            <w:r w:rsidRPr="00890977">
              <w:rPr>
                <w:sz w:val="16"/>
                <w:szCs w:val="16"/>
              </w:rPr>
              <w:t>)</w:t>
            </w:r>
          </w:p>
        </w:tc>
        <w:tc>
          <w:tcPr>
            <w:tcW w:w="1418" w:type="dxa"/>
          </w:tcPr>
          <w:p w:rsidR="00890977" w:rsidRPr="00890977" w:rsidRDefault="00890977" w:rsidP="00890977">
            <w:pPr>
              <w:pStyle w:val="TableParagraph"/>
              <w:ind w:left="0"/>
              <w:rPr>
                <w:sz w:val="16"/>
                <w:szCs w:val="16"/>
              </w:rPr>
            </w:pPr>
            <w:r w:rsidRPr="00890977">
              <w:rPr>
                <w:sz w:val="16"/>
                <w:szCs w:val="16"/>
              </w:rPr>
              <w:t>Ministerium für Landwirtschaft, Viehzucht und Nahrungsmittel</w:t>
            </w:r>
            <w:r w:rsidRPr="00890977">
              <w:rPr>
                <w:sz w:val="16"/>
                <w:szCs w:val="16"/>
              </w:rPr>
              <w:softHyphen/>
              <w:t>versorgung</w:t>
            </w:r>
          </w:p>
        </w:tc>
        <w:tc>
          <w:tcPr>
            <w:tcW w:w="1558" w:type="dxa"/>
          </w:tcPr>
          <w:p w:rsidR="00890977" w:rsidRPr="00890977" w:rsidRDefault="00890977" w:rsidP="00890977">
            <w:pPr>
              <w:pStyle w:val="TableParagraph"/>
              <w:ind w:left="0"/>
              <w:rPr>
                <w:sz w:val="16"/>
                <w:szCs w:val="16"/>
                <w:lang w:val="en-US"/>
              </w:rPr>
            </w:pPr>
            <w:r w:rsidRPr="00890977">
              <w:rPr>
                <w:sz w:val="16"/>
                <w:szCs w:val="16"/>
              </w:rPr>
              <w:t>Grundlegende Informationen zum Sortenschutz</w:t>
            </w:r>
          </w:p>
        </w:tc>
        <w:tc>
          <w:tcPr>
            <w:tcW w:w="2051" w:type="dxa"/>
          </w:tcPr>
          <w:p w:rsidR="00890977" w:rsidRPr="00890977" w:rsidRDefault="00890977" w:rsidP="00890977">
            <w:pPr>
              <w:pStyle w:val="TableParagraph"/>
              <w:ind w:left="0"/>
              <w:rPr>
                <w:sz w:val="16"/>
                <w:szCs w:val="16"/>
              </w:rPr>
            </w:pPr>
            <w:r w:rsidRPr="00890977">
              <w:rPr>
                <w:sz w:val="16"/>
                <w:szCs w:val="16"/>
              </w:rPr>
              <w:t>Brasilien (263 Aufrufe bis zum 27. August 2021)</w:t>
            </w:r>
          </w:p>
        </w:tc>
        <w:tc>
          <w:tcPr>
            <w:tcW w:w="1491" w:type="dxa"/>
          </w:tcPr>
          <w:p w:rsidR="00890977" w:rsidRPr="00890977" w:rsidRDefault="00890977" w:rsidP="00890977">
            <w:pPr>
              <w:pStyle w:val="TableParagraph"/>
              <w:ind w:left="0"/>
              <w:rPr>
                <w:rFonts w:ascii="Times New Roman"/>
                <w:sz w:val="16"/>
                <w:szCs w:val="16"/>
              </w:rPr>
            </w:pPr>
          </w:p>
        </w:tc>
      </w:tr>
      <w:tr w:rsidR="00890977" w:rsidRPr="003A771F" w:rsidTr="00890977">
        <w:tc>
          <w:tcPr>
            <w:tcW w:w="1169" w:type="dxa"/>
          </w:tcPr>
          <w:p w:rsidR="00890977" w:rsidRPr="00890977" w:rsidRDefault="00890977" w:rsidP="00890977">
            <w:pPr>
              <w:pStyle w:val="TableParagraph"/>
              <w:ind w:left="0"/>
              <w:rPr>
                <w:sz w:val="16"/>
                <w:szCs w:val="16"/>
              </w:rPr>
            </w:pPr>
            <w:r>
              <w:rPr>
                <w:sz w:val="16"/>
                <w:szCs w:val="16"/>
              </w:rPr>
              <w:t>4. Allgemei</w:t>
            </w:r>
            <w:r w:rsidRPr="00890977">
              <w:rPr>
                <w:sz w:val="16"/>
                <w:szCs w:val="16"/>
              </w:rPr>
              <w:t>ner Lehrgang über geistiges Eigentum</w:t>
            </w:r>
          </w:p>
        </w:tc>
        <w:tc>
          <w:tcPr>
            <w:tcW w:w="1317" w:type="dxa"/>
          </w:tcPr>
          <w:p w:rsidR="00890977" w:rsidRPr="00890977" w:rsidRDefault="00890977" w:rsidP="00890977">
            <w:pPr>
              <w:pStyle w:val="TableParagraph"/>
              <w:ind w:left="0"/>
              <w:rPr>
                <w:sz w:val="16"/>
                <w:szCs w:val="16"/>
                <w:lang w:val="en-US"/>
              </w:rPr>
            </w:pPr>
            <w:r w:rsidRPr="00890977">
              <w:rPr>
                <w:sz w:val="16"/>
                <w:szCs w:val="16"/>
              </w:rPr>
              <w:t>2. Februar bis 2. April 2021</w:t>
            </w:r>
          </w:p>
        </w:tc>
        <w:tc>
          <w:tcPr>
            <w:tcW w:w="1134" w:type="dxa"/>
          </w:tcPr>
          <w:p w:rsidR="00890977" w:rsidRPr="00890977" w:rsidRDefault="00890977" w:rsidP="00890977">
            <w:pPr>
              <w:pStyle w:val="TableParagraph"/>
              <w:ind w:left="0"/>
              <w:rPr>
                <w:sz w:val="16"/>
                <w:szCs w:val="16"/>
                <w:lang w:val="en-US"/>
              </w:rPr>
            </w:pPr>
            <w:r>
              <w:rPr>
                <w:sz w:val="16"/>
                <w:szCs w:val="16"/>
              </w:rPr>
              <w:t>Fernlehr</w:t>
            </w:r>
            <w:r w:rsidRPr="00890977">
              <w:rPr>
                <w:sz w:val="16"/>
                <w:szCs w:val="16"/>
              </w:rPr>
              <w:t>gang</w:t>
            </w:r>
          </w:p>
        </w:tc>
        <w:tc>
          <w:tcPr>
            <w:tcW w:w="1418" w:type="dxa"/>
          </w:tcPr>
          <w:p w:rsidR="00890977" w:rsidRPr="00890977" w:rsidRDefault="00890977" w:rsidP="00890977">
            <w:pPr>
              <w:pStyle w:val="TableParagraph"/>
              <w:ind w:left="0"/>
              <w:rPr>
                <w:sz w:val="16"/>
                <w:szCs w:val="16"/>
              </w:rPr>
            </w:pPr>
            <w:r w:rsidRPr="00890977">
              <w:rPr>
                <w:sz w:val="16"/>
                <w:szCs w:val="16"/>
              </w:rPr>
              <w:t>INPI (Patent- und Markenamt)</w:t>
            </w:r>
            <w:r w:rsidRPr="00890977">
              <w:rPr>
                <w:sz w:val="16"/>
                <w:szCs w:val="16"/>
              </w:rPr>
              <w:br/>
              <w:t>WIPO</w:t>
            </w:r>
          </w:p>
        </w:tc>
        <w:tc>
          <w:tcPr>
            <w:tcW w:w="1558" w:type="dxa"/>
          </w:tcPr>
          <w:p w:rsidR="00890977" w:rsidRPr="00890977" w:rsidRDefault="00890977" w:rsidP="00890977">
            <w:pPr>
              <w:pStyle w:val="TableParagraph"/>
              <w:ind w:left="0"/>
              <w:rPr>
                <w:sz w:val="16"/>
                <w:szCs w:val="16"/>
              </w:rPr>
            </w:pPr>
            <w:r w:rsidRPr="00890977">
              <w:rPr>
                <w:sz w:val="16"/>
                <w:szCs w:val="16"/>
              </w:rPr>
              <w:t>Allgemeiner Lehrgang über Rechte geistigen Eigentums mit einem Kapitel über Sortenschutz</w:t>
            </w:r>
          </w:p>
        </w:tc>
        <w:tc>
          <w:tcPr>
            <w:tcW w:w="2051" w:type="dxa"/>
          </w:tcPr>
          <w:p w:rsidR="00890977" w:rsidRPr="00890977" w:rsidRDefault="00890977" w:rsidP="00890977">
            <w:pPr>
              <w:pStyle w:val="TableParagraph"/>
              <w:ind w:left="0"/>
              <w:rPr>
                <w:sz w:val="16"/>
                <w:szCs w:val="16"/>
              </w:rPr>
            </w:pPr>
            <w:r w:rsidRPr="00890977">
              <w:rPr>
                <w:sz w:val="16"/>
                <w:szCs w:val="16"/>
              </w:rPr>
              <w:t>Rund 2000 Teilnehmer (allesamt Brasilianer), die in verschiedenen Bereichen tätig sind (Studenten, Anwälte, Rechtsvertreter, Angestellte im öffentlichen Dienst, Forscher usw.)</w:t>
            </w:r>
          </w:p>
        </w:tc>
        <w:tc>
          <w:tcPr>
            <w:tcW w:w="1491" w:type="dxa"/>
          </w:tcPr>
          <w:p w:rsidR="00890977" w:rsidRPr="00890977" w:rsidRDefault="00890977" w:rsidP="00890977">
            <w:pPr>
              <w:pStyle w:val="TableParagraph"/>
              <w:ind w:left="0"/>
              <w:rPr>
                <w:sz w:val="16"/>
                <w:szCs w:val="16"/>
              </w:rPr>
            </w:pPr>
            <w:r w:rsidRPr="00890977">
              <w:rPr>
                <w:sz w:val="16"/>
                <w:szCs w:val="16"/>
              </w:rPr>
              <w:t>Prüfer des SNPC (Sortenamt) fungierten als Tutoren bei den Erörterungen über Sortenschutz</w:t>
            </w:r>
          </w:p>
        </w:tc>
      </w:tr>
      <w:tr w:rsidR="00890977" w:rsidRPr="003A771F" w:rsidTr="00890977">
        <w:tc>
          <w:tcPr>
            <w:tcW w:w="1169" w:type="dxa"/>
          </w:tcPr>
          <w:p w:rsidR="00890977" w:rsidRPr="00890977" w:rsidRDefault="00890977" w:rsidP="00890977">
            <w:pPr>
              <w:pStyle w:val="TableParagraph"/>
              <w:ind w:left="0"/>
              <w:rPr>
                <w:sz w:val="16"/>
                <w:szCs w:val="16"/>
              </w:rPr>
            </w:pPr>
            <w:r>
              <w:rPr>
                <w:sz w:val="16"/>
                <w:szCs w:val="16"/>
              </w:rPr>
              <w:t>5. Allgemei</w:t>
            </w:r>
            <w:r w:rsidRPr="00890977">
              <w:rPr>
                <w:sz w:val="16"/>
                <w:szCs w:val="16"/>
              </w:rPr>
              <w:t>ner Lehrgang über geistiges Eigentum</w:t>
            </w:r>
          </w:p>
        </w:tc>
        <w:tc>
          <w:tcPr>
            <w:tcW w:w="1317" w:type="dxa"/>
          </w:tcPr>
          <w:p w:rsidR="00890977" w:rsidRPr="00890977" w:rsidRDefault="00890977" w:rsidP="00890977">
            <w:pPr>
              <w:pStyle w:val="TableParagraph"/>
              <w:ind w:left="0"/>
              <w:rPr>
                <w:sz w:val="16"/>
                <w:szCs w:val="16"/>
              </w:rPr>
            </w:pPr>
            <w:r w:rsidRPr="00890977">
              <w:rPr>
                <w:sz w:val="16"/>
                <w:szCs w:val="16"/>
              </w:rPr>
              <w:t>27. April bis 25. Juni 2021 (läuft noch)</w:t>
            </w:r>
          </w:p>
        </w:tc>
        <w:tc>
          <w:tcPr>
            <w:tcW w:w="1134" w:type="dxa"/>
          </w:tcPr>
          <w:p w:rsidR="00890977" w:rsidRPr="00890977" w:rsidRDefault="00890977" w:rsidP="00890977">
            <w:pPr>
              <w:pStyle w:val="TableParagraph"/>
              <w:ind w:left="0"/>
              <w:rPr>
                <w:sz w:val="16"/>
                <w:szCs w:val="16"/>
                <w:lang w:val="en-US"/>
              </w:rPr>
            </w:pPr>
            <w:r>
              <w:rPr>
                <w:sz w:val="16"/>
                <w:szCs w:val="16"/>
              </w:rPr>
              <w:t>Fernlehr</w:t>
            </w:r>
            <w:r w:rsidRPr="00890977">
              <w:rPr>
                <w:sz w:val="16"/>
                <w:szCs w:val="16"/>
              </w:rPr>
              <w:t>gang</w:t>
            </w:r>
          </w:p>
        </w:tc>
        <w:tc>
          <w:tcPr>
            <w:tcW w:w="1418" w:type="dxa"/>
          </w:tcPr>
          <w:p w:rsidR="00890977" w:rsidRPr="00890977" w:rsidRDefault="00890977" w:rsidP="00890977">
            <w:pPr>
              <w:pStyle w:val="TableParagraph"/>
              <w:ind w:left="0"/>
              <w:rPr>
                <w:sz w:val="16"/>
                <w:szCs w:val="16"/>
              </w:rPr>
            </w:pPr>
            <w:r w:rsidRPr="00890977">
              <w:rPr>
                <w:sz w:val="16"/>
                <w:szCs w:val="16"/>
              </w:rPr>
              <w:t>INPI (Patent- und Markenamt)</w:t>
            </w:r>
            <w:r w:rsidRPr="00890977">
              <w:rPr>
                <w:sz w:val="16"/>
                <w:szCs w:val="16"/>
              </w:rPr>
              <w:br/>
              <w:t>WIPO</w:t>
            </w:r>
          </w:p>
        </w:tc>
        <w:tc>
          <w:tcPr>
            <w:tcW w:w="1558" w:type="dxa"/>
          </w:tcPr>
          <w:p w:rsidR="00890977" w:rsidRPr="00890977" w:rsidRDefault="00890977" w:rsidP="00890977">
            <w:pPr>
              <w:pStyle w:val="TableParagraph"/>
              <w:ind w:left="0"/>
              <w:rPr>
                <w:sz w:val="16"/>
                <w:szCs w:val="16"/>
              </w:rPr>
            </w:pPr>
            <w:r w:rsidRPr="00890977">
              <w:rPr>
                <w:sz w:val="16"/>
                <w:szCs w:val="16"/>
              </w:rPr>
              <w:t>Allgemeiner Lehrgang über Rechte geistigen Eigentums mit einem Kapitel über Sortenschutz</w:t>
            </w:r>
          </w:p>
        </w:tc>
        <w:tc>
          <w:tcPr>
            <w:tcW w:w="2051" w:type="dxa"/>
          </w:tcPr>
          <w:p w:rsidR="00890977" w:rsidRPr="00890977" w:rsidRDefault="00890977" w:rsidP="00890977">
            <w:pPr>
              <w:pStyle w:val="TableParagraph"/>
              <w:ind w:left="0"/>
              <w:rPr>
                <w:sz w:val="16"/>
                <w:szCs w:val="16"/>
              </w:rPr>
            </w:pPr>
            <w:r w:rsidRPr="00890977">
              <w:rPr>
                <w:sz w:val="16"/>
                <w:szCs w:val="16"/>
              </w:rPr>
              <w:t>Rund 2000 Teilnehmer (allesamt Brasilianer), die in verschiedenen Bereichen tätig sind (Studenten, Anwälte, Rechtsvertreter, Angestellte im öffentlichen Dienst, Forscher usw.)</w:t>
            </w:r>
          </w:p>
        </w:tc>
        <w:tc>
          <w:tcPr>
            <w:tcW w:w="1491" w:type="dxa"/>
          </w:tcPr>
          <w:p w:rsidR="00890977" w:rsidRPr="00890977" w:rsidRDefault="00890977" w:rsidP="00890977">
            <w:pPr>
              <w:pStyle w:val="TableParagraph"/>
              <w:ind w:left="0"/>
              <w:rPr>
                <w:sz w:val="16"/>
                <w:szCs w:val="16"/>
              </w:rPr>
            </w:pPr>
            <w:r w:rsidRPr="00890977">
              <w:rPr>
                <w:sz w:val="16"/>
                <w:szCs w:val="16"/>
              </w:rPr>
              <w:t>Prüfer des SNPC (Sortenamt) fungierten als Tutoren bei den Erörterungen über Sortenschutz</w:t>
            </w:r>
          </w:p>
        </w:tc>
      </w:tr>
    </w:tbl>
    <w:p w:rsidR="00890977" w:rsidRPr="005F69CB" w:rsidRDefault="00890977" w:rsidP="00890977"/>
    <w:p w:rsidR="00890977" w:rsidRPr="00A675A5" w:rsidRDefault="00890977" w:rsidP="00890977"/>
    <w:p w:rsidR="00890977" w:rsidRPr="00A675A5" w:rsidRDefault="00890977" w:rsidP="00890977">
      <w:r>
        <w:t>II.</w:t>
      </w:r>
      <w:r>
        <w:tab/>
        <w:t>ANDERE ENTWICKLUNGEN VON BELANG FÜR DIE UPOV</w:t>
      </w:r>
    </w:p>
    <w:p w:rsidR="00890977" w:rsidRPr="00A675A5" w:rsidRDefault="00890977" w:rsidP="00890977"/>
    <w:p w:rsidR="00890977" w:rsidRPr="003A771F" w:rsidRDefault="00890977" w:rsidP="00890977">
      <w:pPr>
        <w:ind w:left="1134" w:hanging="709"/>
      </w:pPr>
      <w:r>
        <w:t>Keine Anmerkungen.</w:t>
      </w:r>
    </w:p>
    <w:p w:rsidR="00AB5DB5" w:rsidRPr="006F3121" w:rsidRDefault="00AB5DB5" w:rsidP="00AB5DB5"/>
    <w:p w:rsidR="004128AB" w:rsidRPr="006F3121" w:rsidRDefault="004128AB" w:rsidP="004128AB">
      <w:pPr>
        <w:jc w:val="left"/>
      </w:pPr>
    </w:p>
    <w:p w:rsidR="00AB5DB5" w:rsidRPr="006F3121" w:rsidRDefault="00AB5DB5" w:rsidP="004128AB">
      <w:pPr>
        <w:jc w:val="left"/>
      </w:pPr>
    </w:p>
    <w:p w:rsidR="004128AB" w:rsidRPr="006F3121" w:rsidRDefault="004128AB" w:rsidP="004128AB">
      <w:pPr>
        <w:jc w:val="right"/>
      </w:pPr>
      <w:r w:rsidRPr="006F3121">
        <w:t>[Anlage III folgt]</w:t>
      </w:r>
    </w:p>
    <w:p w:rsidR="004128AB" w:rsidRPr="006F3121" w:rsidRDefault="004128AB" w:rsidP="004128AB"/>
    <w:p w:rsidR="004128AB" w:rsidRPr="006F3121" w:rsidRDefault="004128AB" w:rsidP="004128AB">
      <w:pPr>
        <w:jc w:val="left"/>
        <w:sectPr w:rsidR="004128AB" w:rsidRPr="006F3121" w:rsidSect="00CE587F">
          <w:headerReference w:type="default" r:id="rId21"/>
          <w:pgSz w:w="11907" w:h="16840" w:code="9"/>
          <w:pgMar w:top="510" w:right="1134" w:bottom="1134" w:left="1134" w:header="510" w:footer="680" w:gutter="0"/>
          <w:pgNumType w:start="1"/>
          <w:cols w:space="720"/>
          <w:titlePg/>
        </w:sectPr>
      </w:pPr>
    </w:p>
    <w:p w:rsidR="004128AB" w:rsidRPr="006F3121" w:rsidRDefault="006F5780" w:rsidP="004128AB">
      <w:pPr>
        <w:jc w:val="center"/>
      </w:pPr>
      <w:r>
        <w:lastRenderedPageBreak/>
        <w:t>C/55/INF/4</w:t>
      </w:r>
    </w:p>
    <w:p w:rsidR="004128AB" w:rsidRPr="006F3121" w:rsidRDefault="004128AB" w:rsidP="004128AB">
      <w:pPr>
        <w:jc w:val="center"/>
      </w:pPr>
    </w:p>
    <w:p w:rsidR="004128AB" w:rsidRPr="006F3121" w:rsidRDefault="004128AB" w:rsidP="004128AB">
      <w:pPr>
        <w:jc w:val="center"/>
      </w:pPr>
      <w:r w:rsidRPr="006F3121">
        <w:t>ANLAGE III</w:t>
      </w:r>
    </w:p>
    <w:p w:rsidR="004128AB" w:rsidRPr="006F3121" w:rsidRDefault="004128AB" w:rsidP="004128AB">
      <w:pPr>
        <w:jc w:val="center"/>
      </w:pPr>
    </w:p>
    <w:p w:rsidR="004128AB" w:rsidRPr="006F3121" w:rsidRDefault="004128AB" w:rsidP="004128AB">
      <w:pPr>
        <w:jc w:val="center"/>
      </w:pPr>
    </w:p>
    <w:p w:rsidR="00E917E1" w:rsidRPr="006F3121" w:rsidRDefault="00713625" w:rsidP="00E917E1">
      <w:pPr>
        <w:jc w:val="center"/>
      </w:pPr>
      <w:r>
        <w:t>DÄNEMARK</w:t>
      </w:r>
    </w:p>
    <w:p w:rsidR="00E917E1" w:rsidRPr="006F3121" w:rsidRDefault="00E917E1" w:rsidP="00E917E1">
      <w:pPr>
        <w:jc w:val="left"/>
      </w:pPr>
    </w:p>
    <w:p w:rsidR="00E917E1" w:rsidRPr="006F3121" w:rsidRDefault="00E917E1" w:rsidP="00E917E1">
      <w:pPr>
        <w:jc w:val="left"/>
      </w:pPr>
    </w:p>
    <w:p w:rsidR="00890977" w:rsidRPr="00A0038E" w:rsidRDefault="00890977" w:rsidP="00890977">
      <w:r>
        <w:t>I.</w:t>
      </w:r>
      <w:r>
        <w:tab/>
        <w:t>SORTENSCHUTZ</w:t>
      </w:r>
    </w:p>
    <w:p w:rsidR="00890977" w:rsidRPr="00A0038E" w:rsidRDefault="00890977" w:rsidP="00890977"/>
    <w:p w:rsidR="00890977" w:rsidRPr="00A0038E" w:rsidRDefault="00890977" w:rsidP="00890977">
      <w:r>
        <w:t>1.</w:t>
      </w:r>
      <w:r>
        <w:tab/>
      </w:r>
      <w:r>
        <w:rPr>
          <w:u w:val="single"/>
        </w:rPr>
        <w:t>Lage auf dem Gebiet der Gesetzgebung</w:t>
      </w:r>
    </w:p>
    <w:p w:rsidR="00890977" w:rsidRPr="00A0038E" w:rsidRDefault="00890977" w:rsidP="00890977"/>
    <w:p w:rsidR="00890977" w:rsidRDefault="00890977" w:rsidP="00890977">
      <w:r>
        <w:tab/>
        <w:t>1.1</w:t>
      </w:r>
      <w:r>
        <w:tab/>
        <w:t>Änderungen des Gesetzes und der Ausführungsvorschriften: keine Änderungen.</w:t>
      </w:r>
    </w:p>
    <w:p w:rsidR="00890977" w:rsidRPr="00A0038E" w:rsidRDefault="00890977" w:rsidP="00890977"/>
    <w:p w:rsidR="00890977" w:rsidRDefault="00890977" w:rsidP="00890977">
      <w:r>
        <w:tab/>
        <w:t>1.2</w:t>
      </w:r>
      <w:r>
        <w:tab/>
        <w:t>Erstreckung des Schutzes auf weitere Gattungen und Arten: keine Änderungen.</w:t>
      </w:r>
    </w:p>
    <w:p w:rsidR="00890977" w:rsidRDefault="00890977" w:rsidP="00890977"/>
    <w:p w:rsidR="00890977" w:rsidRPr="00A67586" w:rsidRDefault="00890977" w:rsidP="00890977">
      <w:r>
        <w:tab/>
        <w:t>1.3</w:t>
      </w:r>
      <w:r>
        <w:tab/>
        <w:t>Rechtsprechung: keine Rechtsprechung.</w:t>
      </w:r>
    </w:p>
    <w:p w:rsidR="00890977" w:rsidRPr="00A0038E" w:rsidRDefault="00890977" w:rsidP="00890977"/>
    <w:p w:rsidR="00890977" w:rsidRPr="00A0038E" w:rsidRDefault="00890977" w:rsidP="00890977"/>
    <w:p w:rsidR="00890977" w:rsidRDefault="00890977" w:rsidP="00890977">
      <w:r>
        <w:t>2.</w:t>
      </w:r>
      <w:r>
        <w:tab/>
      </w:r>
      <w:r>
        <w:rPr>
          <w:u w:val="single"/>
        </w:rPr>
        <w:t>Zusammenarbeit bei der Prüfung</w:t>
      </w:r>
      <w:r>
        <w:t>:</w:t>
      </w:r>
    </w:p>
    <w:p w:rsidR="00890977" w:rsidRDefault="00890977" w:rsidP="00890977"/>
    <w:p w:rsidR="00890977" w:rsidRPr="00A0038E" w:rsidRDefault="00890977" w:rsidP="00890977">
      <w:pPr>
        <w:ind w:left="567"/>
      </w:pPr>
      <w:r>
        <w:t>Keine Änderungen.</w:t>
      </w:r>
    </w:p>
    <w:p w:rsidR="00890977" w:rsidRPr="00A0038E" w:rsidRDefault="00890977" w:rsidP="00890977">
      <w:pPr>
        <w:tabs>
          <w:tab w:val="left" w:pos="426"/>
          <w:tab w:val="left" w:pos="851"/>
        </w:tabs>
      </w:pPr>
    </w:p>
    <w:p w:rsidR="00890977" w:rsidRPr="00A0038E" w:rsidRDefault="00890977" w:rsidP="00890977"/>
    <w:p w:rsidR="00890977" w:rsidRPr="00A0038E" w:rsidRDefault="00890977" w:rsidP="00890977">
      <w:pPr>
        <w:rPr>
          <w:u w:val="single"/>
        </w:rPr>
      </w:pPr>
      <w:r>
        <w:t>3.</w:t>
      </w:r>
      <w:r>
        <w:tab/>
      </w:r>
      <w:r>
        <w:rPr>
          <w:u w:val="single"/>
        </w:rPr>
        <w:t>Lage auf dem Gebiet der Verwaltung</w:t>
      </w:r>
      <w:r w:rsidRPr="00A46685">
        <w:t>:</w:t>
      </w:r>
    </w:p>
    <w:p w:rsidR="00890977" w:rsidRPr="00A0038E" w:rsidRDefault="00890977" w:rsidP="00890977"/>
    <w:p w:rsidR="00890977" w:rsidRPr="00A0038E" w:rsidRDefault="00890977" w:rsidP="00890977">
      <w:pPr>
        <w:ind w:left="567"/>
      </w:pPr>
      <w:r>
        <w:t>Keine Änderungen.</w:t>
      </w:r>
    </w:p>
    <w:p w:rsidR="00890977" w:rsidRPr="00A0038E" w:rsidRDefault="00890977" w:rsidP="00890977"/>
    <w:p w:rsidR="00890977" w:rsidRPr="00A0038E" w:rsidRDefault="00890977" w:rsidP="00890977"/>
    <w:p w:rsidR="00890977" w:rsidRPr="00A0038E" w:rsidRDefault="00890977" w:rsidP="00890977">
      <w:r>
        <w:t>4.</w:t>
      </w:r>
      <w:r>
        <w:tab/>
      </w:r>
      <w:r>
        <w:rPr>
          <w:u w:val="single"/>
        </w:rPr>
        <w:t>Lage auf dem Gebiet der Technik</w:t>
      </w:r>
    </w:p>
    <w:p w:rsidR="00890977" w:rsidRPr="00A0038E" w:rsidRDefault="00890977" w:rsidP="00890977"/>
    <w:p w:rsidR="00890977" w:rsidRPr="00A0038E" w:rsidRDefault="00890977" w:rsidP="00890977">
      <w:r>
        <w:t>DUS-Prüfungen zur Überwachung der Pflanzenentwicklung durch manuelle Prüfungen, Bildanalyse, Drohnen- und Multispektralaufnahmen.</w:t>
      </w:r>
    </w:p>
    <w:p w:rsidR="00890977" w:rsidRDefault="00890977" w:rsidP="00890977"/>
    <w:p w:rsidR="00890977" w:rsidRPr="00A0038E" w:rsidRDefault="00890977" w:rsidP="00890977"/>
    <w:p w:rsidR="00890977" w:rsidRPr="00A0038E" w:rsidRDefault="00890977" w:rsidP="00890977">
      <w:r>
        <w:t>5.</w:t>
      </w:r>
      <w:r>
        <w:tab/>
      </w:r>
      <w:r>
        <w:rPr>
          <w:u w:val="single"/>
        </w:rPr>
        <w:t>Tätigkeiten zur Förderung des Sortenschutzes</w:t>
      </w:r>
      <w:r>
        <w:t>: keine Anmerkungen.</w:t>
      </w:r>
    </w:p>
    <w:p w:rsidR="00890977" w:rsidRPr="00A0038E" w:rsidRDefault="00890977" w:rsidP="00890977"/>
    <w:tbl>
      <w:tblPr>
        <w:tblStyle w:val="TableGrid"/>
        <w:tblW w:w="9918" w:type="dxa"/>
        <w:tblLayout w:type="fixed"/>
        <w:tblCellMar>
          <w:top w:w="28" w:type="dxa"/>
          <w:left w:w="28" w:type="dxa"/>
          <w:bottom w:w="28" w:type="dxa"/>
          <w:right w:w="28" w:type="dxa"/>
        </w:tblCellMar>
        <w:tblLook w:val="01E0" w:firstRow="1" w:lastRow="1" w:firstColumn="1" w:lastColumn="1" w:noHBand="0" w:noVBand="0"/>
      </w:tblPr>
      <w:tblGrid>
        <w:gridCol w:w="988"/>
        <w:gridCol w:w="1327"/>
        <w:gridCol w:w="1554"/>
        <w:gridCol w:w="3299"/>
        <w:gridCol w:w="2750"/>
      </w:tblGrid>
      <w:tr w:rsidR="00890977" w:rsidRPr="00A0038E" w:rsidTr="00890977">
        <w:tc>
          <w:tcPr>
            <w:tcW w:w="988" w:type="dxa"/>
          </w:tcPr>
          <w:p w:rsidR="00890977" w:rsidRPr="00890977" w:rsidRDefault="00890977" w:rsidP="00890977">
            <w:pPr>
              <w:jc w:val="left"/>
              <w:rPr>
                <w:sz w:val="16"/>
              </w:rPr>
            </w:pPr>
            <w:r w:rsidRPr="00890977">
              <w:rPr>
                <w:sz w:val="16"/>
              </w:rPr>
              <w:t>Datum</w:t>
            </w:r>
          </w:p>
        </w:tc>
        <w:tc>
          <w:tcPr>
            <w:tcW w:w="1327" w:type="dxa"/>
          </w:tcPr>
          <w:p w:rsidR="00890977" w:rsidRPr="00890977" w:rsidRDefault="00890977" w:rsidP="00890977">
            <w:pPr>
              <w:jc w:val="left"/>
              <w:rPr>
                <w:sz w:val="16"/>
              </w:rPr>
            </w:pPr>
            <w:r w:rsidRPr="00890977">
              <w:rPr>
                <w:sz w:val="16"/>
              </w:rPr>
              <w:t>Ort</w:t>
            </w:r>
          </w:p>
        </w:tc>
        <w:tc>
          <w:tcPr>
            <w:tcW w:w="1554" w:type="dxa"/>
          </w:tcPr>
          <w:p w:rsidR="00890977" w:rsidRPr="00890977" w:rsidRDefault="00890977" w:rsidP="00890977">
            <w:pPr>
              <w:jc w:val="left"/>
              <w:rPr>
                <w:sz w:val="16"/>
              </w:rPr>
            </w:pPr>
            <w:r w:rsidRPr="00890977">
              <w:rPr>
                <w:sz w:val="16"/>
              </w:rPr>
              <w:t>Organisator(en)</w:t>
            </w:r>
          </w:p>
        </w:tc>
        <w:tc>
          <w:tcPr>
            <w:tcW w:w="3299" w:type="dxa"/>
          </w:tcPr>
          <w:p w:rsidR="00890977" w:rsidRPr="00890977" w:rsidRDefault="00890977" w:rsidP="00890977">
            <w:pPr>
              <w:jc w:val="left"/>
              <w:rPr>
                <w:sz w:val="16"/>
              </w:rPr>
            </w:pPr>
            <w:r w:rsidRPr="00890977">
              <w:rPr>
                <w:sz w:val="16"/>
              </w:rPr>
              <w:t>Zweck der Tätigkeit</w:t>
            </w:r>
          </w:p>
        </w:tc>
        <w:tc>
          <w:tcPr>
            <w:tcW w:w="2750" w:type="dxa"/>
          </w:tcPr>
          <w:p w:rsidR="00890977" w:rsidRPr="00890977" w:rsidRDefault="00890977" w:rsidP="00890977">
            <w:pPr>
              <w:jc w:val="left"/>
              <w:rPr>
                <w:sz w:val="16"/>
              </w:rPr>
            </w:pPr>
            <w:r w:rsidRPr="00890977">
              <w:rPr>
                <w:sz w:val="16"/>
              </w:rPr>
              <w:t>Teilnehmende Staaten/ Organisationen (Zahl der Teilnehmer pro Staat/ Organisation)</w:t>
            </w:r>
          </w:p>
        </w:tc>
      </w:tr>
      <w:tr w:rsidR="00890977" w:rsidRPr="00A0038E" w:rsidTr="00890977">
        <w:tc>
          <w:tcPr>
            <w:tcW w:w="988" w:type="dxa"/>
          </w:tcPr>
          <w:p w:rsidR="00890977" w:rsidRPr="00890977" w:rsidRDefault="00890977" w:rsidP="00890977">
            <w:pPr>
              <w:jc w:val="left"/>
              <w:rPr>
                <w:sz w:val="16"/>
              </w:rPr>
            </w:pPr>
            <w:r w:rsidRPr="00890977">
              <w:rPr>
                <w:sz w:val="16"/>
              </w:rPr>
              <w:t>03.03.21</w:t>
            </w:r>
          </w:p>
        </w:tc>
        <w:tc>
          <w:tcPr>
            <w:tcW w:w="1327" w:type="dxa"/>
          </w:tcPr>
          <w:p w:rsidR="00890977" w:rsidRPr="00890977" w:rsidRDefault="00890977" w:rsidP="00890977">
            <w:pPr>
              <w:jc w:val="left"/>
              <w:rPr>
                <w:sz w:val="16"/>
              </w:rPr>
            </w:pPr>
            <w:r w:rsidRPr="00890977">
              <w:rPr>
                <w:sz w:val="16"/>
              </w:rPr>
              <w:t>Kobæk Strand</w:t>
            </w:r>
          </w:p>
        </w:tc>
        <w:tc>
          <w:tcPr>
            <w:tcW w:w="1554" w:type="dxa"/>
          </w:tcPr>
          <w:p w:rsidR="00890977" w:rsidRPr="00890977" w:rsidRDefault="00890977" w:rsidP="00890977">
            <w:pPr>
              <w:jc w:val="left"/>
              <w:rPr>
                <w:sz w:val="16"/>
              </w:rPr>
            </w:pPr>
            <w:r w:rsidRPr="00890977">
              <w:rPr>
                <w:sz w:val="16"/>
              </w:rPr>
              <w:t>DanSeed</w:t>
            </w:r>
          </w:p>
        </w:tc>
        <w:tc>
          <w:tcPr>
            <w:tcW w:w="3299" w:type="dxa"/>
          </w:tcPr>
          <w:p w:rsidR="00890977" w:rsidRPr="00890977" w:rsidRDefault="00890977" w:rsidP="00890977">
            <w:pPr>
              <w:jc w:val="left"/>
              <w:rPr>
                <w:sz w:val="16"/>
              </w:rPr>
            </w:pPr>
            <w:r w:rsidRPr="00890977">
              <w:rPr>
                <w:sz w:val="16"/>
              </w:rPr>
              <w:t>Schutzes des geistigen Eigentums an Pflanzen durch Züchterrechte oder Patente</w:t>
            </w:r>
          </w:p>
        </w:tc>
        <w:tc>
          <w:tcPr>
            <w:tcW w:w="2750" w:type="dxa"/>
          </w:tcPr>
          <w:p w:rsidR="00890977" w:rsidRPr="00890977" w:rsidRDefault="00890977" w:rsidP="00890977">
            <w:pPr>
              <w:jc w:val="left"/>
              <w:rPr>
                <w:sz w:val="16"/>
              </w:rPr>
            </w:pPr>
            <w:r w:rsidRPr="00890977">
              <w:rPr>
                <w:sz w:val="16"/>
              </w:rPr>
              <w:t>Dänische Staatsangehörige</w:t>
            </w:r>
          </w:p>
        </w:tc>
      </w:tr>
    </w:tbl>
    <w:p w:rsidR="00890977" w:rsidRDefault="00890977" w:rsidP="00890977"/>
    <w:p w:rsidR="00890977" w:rsidRPr="00A0038E" w:rsidRDefault="00890977" w:rsidP="00890977"/>
    <w:p w:rsidR="00890977" w:rsidRPr="00A0038E" w:rsidRDefault="00890977" w:rsidP="00890977">
      <w:r>
        <w:t>II.</w:t>
      </w:r>
      <w:r>
        <w:tab/>
        <w:t>ANDERE ENTWICKLUNGEN VON BELANG FÜR DIE UPOV</w:t>
      </w:r>
    </w:p>
    <w:p w:rsidR="00890977" w:rsidRDefault="00890977" w:rsidP="00890977"/>
    <w:p w:rsidR="00890977" w:rsidRPr="000A7955" w:rsidRDefault="00890977" w:rsidP="00890977">
      <w:pPr>
        <w:ind w:left="567"/>
      </w:pPr>
      <w:r>
        <w:t>Keine Anmerkungen.</w:t>
      </w:r>
    </w:p>
    <w:p w:rsidR="00D8481F" w:rsidRDefault="00D8481F" w:rsidP="00E917E1"/>
    <w:p w:rsidR="00890977" w:rsidRDefault="00890977" w:rsidP="00E917E1"/>
    <w:p w:rsidR="00890977" w:rsidRPr="006F3121" w:rsidRDefault="00890977" w:rsidP="00E917E1"/>
    <w:p w:rsidR="004128AB" w:rsidRPr="006F3121" w:rsidRDefault="004128AB" w:rsidP="00E917E1">
      <w:pPr>
        <w:jc w:val="right"/>
      </w:pPr>
      <w:r w:rsidRPr="006F3121">
        <w:t>[Anlage IV folgt]</w:t>
      </w:r>
    </w:p>
    <w:p w:rsidR="004128AB" w:rsidRPr="006F3121" w:rsidRDefault="004128AB" w:rsidP="004128AB">
      <w:pPr>
        <w:jc w:val="left"/>
        <w:sectPr w:rsidR="004128AB" w:rsidRPr="006F3121" w:rsidSect="00CE587F">
          <w:headerReference w:type="default" r:id="rId22"/>
          <w:pgSz w:w="11907" w:h="16840" w:code="9"/>
          <w:pgMar w:top="510" w:right="1134" w:bottom="1134" w:left="1134" w:header="510" w:footer="680" w:gutter="0"/>
          <w:pgNumType w:start="1"/>
          <w:cols w:space="720"/>
          <w:titlePg/>
        </w:sectPr>
      </w:pPr>
    </w:p>
    <w:p w:rsidR="004128AB" w:rsidRPr="006F3121" w:rsidRDefault="006F5780" w:rsidP="004128AB">
      <w:pPr>
        <w:jc w:val="center"/>
      </w:pPr>
      <w:r>
        <w:lastRenderedPageBreak/>
        <w:t>C/55/INF/4</w:t>
      </w:r>
    </w:p>
    <w:p w:rsidR="004128AB" w:rsidRPr="006F3121" w:rsidRDefault="004128AB" w:rsidP="004128AB">
      <w:pPr>
        <w:jc w:val="center"/>
      </w:pPr>
    </w:p>
    <w:p w:rsidR="004128AB" w:rsidRPr="006F3121" w:rsidRDefault="004128AB" w:rsidP="004128AB">
      <w:pPr>
        <w:jc w:val="center"/>
      </w:pPr>
      <w:r w:rsidRPr="006F3121">
        <w:t>ANLAGE IV</w:t>
      </w:r>
    </w:p>
    <w:p w:rsidR="004128AB" w:rsidRPr="006F3121" w:rsidRDefault="004128AB" w:rsidP="004128AB">
      <w:pPr>
        <w:jc w:val="center"/>
      </w:pPr>
    </w:p>
    <w:p w:rsidR="004128AB" w:rsidRPr="006F3121" w:rsidRDefault="004128AB" w:rsidP="004128AB">
      <w:pPr>
        <w:jc w:val="center"/>
      </w:pPr>
    </w:p>
    <w:p w:rsidR="004128AB" w:rsidRPr="006F3121" w:rsidRDefault="00713625" w:rsidP="004128AB">
      <w:pPr>
        <w:jc w:val="center"/>
      </w:pPr>
      <w:r>
        <w:t>UNGARN</w:t>
      </w:r>
    </w:p>
    <w:p w:rsidR="004128AB" w:rsidRPr="006F3121" w:rsidRDefault="004128AB" w:rsidP="004128AB"/>
    <w:p w:rsidR="004128AB" w:rsidRPr="006F3121" w:rsidRDefault="004128AB" w:rsidP="004128AB"/>
    <w:p w:rsidR="00F21BF0" w:rsidRPr="00D80EBE" w:rsidRDefault="00F21BF0" w:rsidP="00F21BF0">
      <w:r>
        <w:t>I.</w:t>
      </w:r>
      <w:r>
        <w:tab/>
        <w:t>SORTENSCHUTZ</w:t>
      </w:r>
    </w:p>
    <w:p w:rsidR="00F21BF0" w:rsidRPr="00D80EBE" w:rsidRDefault="00F21BF0" w:rsidP="00F21BF0"/>
    <w:p w:rsidR="00F21BF0" w:rsidRPr="00D80EBE" w:rsidRDefault="00F21BF0" w:rsidP="00F21BF0">
      <w:r>
        <w:t>1.</w:t>
      </w:r>
      <w:r>
        <w:tab/>
      </w:r>
      <w:r>
        <w:rPr>
          <w:u w:val="single"/>
        </w:rPr>
        <w:t>Lage auf dem Gebiet der Gesetzgebung</w:t>
      </w:r>
      <w:r>
        <w:t>:</w:t>
      </w:r>
    </w:p>
    <w:p w:rsidR="00F21BF0" w:rsidRPr="00D80EBE" w:rsidRDefault="00F21BF0" w:rsidP="00F21BF0"/>
    <w:p w:rsidR="00F21BF0" w:rsidRPr="00D80EBE" w:rsidRDefault="00F21BF0" w:rsidP="00F21BF0">
      <w:r>
        <w:tab/>
        <w:t>1.1</w:t>
      </w:r>
      <w:r>
        <w:tab/>
        <w:t>Änderungen des Gesetzes und der Ausführungsvorschriften: keine Änderungen.</w:t>
      </w:r>
    </w:p>
    <w:p w:rsidR="00F21BF0" w:rsidRPr="00D80EBE" w:rsidRDefault="00F21BF0" w:rsidP="00F21BF0"/>
    <w:p w:rsidR="00F21BF0" w:rsidRPr="00D80EBE" w:rsidRDefault="00F21BF0" w:rsidP="00F21BF0">
      <w:r>
        <w:tab/>
        <w:t>1.2</w:t>
      </w:r>
      <w:r>
        <w:tab/>
        <w:t>Erstreckung des Schutzes auf weitere Gattungen und Arten</w:t>
      </w:r>
    </w:p>
    <w:p w:rsidR="00F21BF0" w:rsidRPr="00D80EBE" w:rsidRDefault="00F21BF0" w:rsidP="00F21BF0">
      <w:pPr>
        <w:ind w:left="567"/>
      </w:pPr>
    </w:p>
    <w:p w:rsidR="00F21BF0" w:rsidRPr="00D80EBE" w:rsidRDefault="00F21BF0" w:rsidP="00F21BF0">
      <w:pPr>
        <w:ind w:left="567"/>
      </w:pPr>
      <w:r>
        <w:t>Keine Änderungen. Gemäß den geltenden Regeln erstreckt sich der Sortenschutz auf alle Gattungen und Arten.</w:t>
      </w:r>
    </w:p>
    <w:p w:rsidR="00F21BF0" w:rsidRPr="00D80EBE" w:rsidRDefault="00F21BF0" w:rsidP="00F21BF0"/>
    <w:p w:rsidR="00F21BF0" w:rsidRPr="00D80EBE" w:rsidRDefault="00F21BF0" w:rsidP="00F21BF0">
      <w:r>
        <w:tab/>
        <w:t>1.3</w:t>
      </w:r>
      <w:r>
        <w:tab/>
        <w:t>Rechtsprechung: keine Angaben.</w:t>
      </w:r>
    </w:p>
    <w:p w:rsidR="00F21BF0" w:rsidRPr="00D80EBE" w:rsidRDefault="00F21BF0" w:rsidP="00F21BF0"/>
    <w:p w:rsidR="00F21BF0" w:rsidRPr="00D80EBE" w:rsidRDefault="00F21BF0" w:rsidP="00F21BF0"/>
    <w:p w:rsidR="00F21BF0" w:rsidRPr="00D80EBE" w:rsidRDefault="00F21BF0" w:rsidP="00F21BF0">
      <w:r>
        <w:t>2.</w:t>
      </w:r>
      <w:r>
        <w:tab/>
      </w:r>
      <w:r>
        <w:rPr>
          <w:u w:val="single"/>
        </w:rPr>
        <w:t>Zusammenarbeit bei der Prüfung</w:t>
      </w:r>
    </w:p>
    <w:p w:rsidR="00F21BF0" w:rsidRPr="00D80EBE" w:rsidRDefault="00F21BF0" w:rsidP="00F21BF0">
      <w:pPr>
        <w:tabs>
          <w:tab w:val="left" w:pos="426"/>
          <w:tab w:val="left" w:pos="851"/>
        </w:tabs>
      </w:pPr>
    </w:p>
    <w:p w:rsidR="00F21BF0" w:rsidRPr="00D80EBE" w:rsidRDefault="00F21BF0" w:rsidP="00F21BF0">
      <w:pPr>
        <w:tabs>
          <w:tab w:val="left" w:pos="426"/>
          <w:tab w:val="left" w:pos="851"/>
        </w:tabs>
      </w:pPr>
      <w:r>
        <w:t>Keine Änderungen. Gemäß den Absätzen 3) und 4) des Artikels 114/R des Patentgesetzes können die Ergebnisse der von einer ausländischen zuständigen Behörde durchgeführten Anbauprüfung (DUS Prüfungsbericht) mit Zustimmung dieser Behörde berücksichtigt werden. Die Kosten für die Anbauprüfung sind vom Antragsteller zu übernehmen. Deshalb unternahm das ungarische Amt für geistiges Eigentum (HIPO) Schritte im Hinblick auf den Abschluss von Vereinbarungen mit nationalen und regionalen Ämtern über die Zustellung von Berichten über die technische DUS-Prüfung durch die entsprechenden Ämter an das HIPO.</w:t>
      </w:r>
    </w:p>
    <w:p w:rsidR="00F21BF0" w:rsidRPr="00D80EBE" w:rsidRDefault="00F21BF0" w:rsidP="00F21BF0">
      <w:pPr>
        <w:tabs>
          <w:tab w:val="left" w:pos="426"/>
          <w:tab w:val="left" w:pos="851"/>
        </w:tabs>
      </w:pPr>
    </w:p>
    <w:p w:rsidR="00F21BF0" w:rsidRPr="00D80EBE" w:rsidRDefault="00F21BF0" w:rsidP="00F21BF0">
      <w:pPr>
        <w:tabs>
          <w:tab w:val="left" w:pos="426"/>
          <w:tab w:val="left" w:pos="851"/>
        </w:tabs>
      </w:pPr>
      <w:r>
        <w:t>Das ungarische Amt für geistiges Eigentum schloss Vereinbarungen mit dem Gemeinschaftlichen Sortenamt (CPVO), dem Bundessortenamt (Deutschland) und dem Ausschuss für Züchterrechte des Ministeriums für Landwirtschaft, Umwelt und Nahrungsmittelqualität (Niederlande) über die Zustellung von Berichten über die technische DUS-Prüfung.</w:t>
      </w:r>
    </w:p>
    <w:p w:rsidR="00F21BF0" w:rsidRPr="00D80EBE" w:rsidRDefault="00F21BF0" w:rsidP="00F21BF0"/>
    <w:p w:rsidR="00F21BF0" w:rsidRPr="00D80EBE" w:rsidRDefault="00F21BF0" w:rsidP="00F21BF0"/>
    <w:p w:rsidR="00F21BF0" w:rsidRPr="00D80EBE" w:rsidRDefault="00F21BF0" w:rsidP="00F21BF0">
      <w:pPr>
        <w:rPr>
          <w:u w:val="single"/>
        </w:rPr>
      </w:pPr>
      <w:r>
        <w:t>3.</w:t>
      </w:r>
      <w:r>
        <w:tab/>
      </w:r>
      <w:r>
        <w:rPr>
          <w:u w:val="single"/>
        </w:rPr>
        <w:t>Lage auf dem Gebiet der Verwaltung</w:t>
      </w:r>
    </w:p>
    <w:p w:rsidR="00F21BF0" w:rsidRPr="00D80EBE" w:rsidRDefault="00F21BF0" w:rsidP="00F21BF0"/>
    <w:p w:rsidR="00F21BF0" w:rsidRPr="009C53CB" w:rsidRDefault="00F21BF0" w:rsidP="00F21BF0">
      <w:r>
        <w:t>Keine Änderungen. Das HIPO ist befugt, Sortenschutz zu erteilen. Im nationalen System ist das HIPO für die Prüfung der Neuheit, der Bezeichnung und der Homogenität sowie für die Eintragung von Pflanzensorten zuständig. Das Nationale Amt für Lebensmittelsicherheit ist für die biologische Prüfung (DUS-Prüfung) zuständig.</w:t>
      </w:r>
    </w:p>
    <w:p w:rsidR="00F21BF0" w:rsidRPr="00D80EBE" w:rsidRDefault="00F21BF0" w:rsidP="00F21BF0"/>
    <w:p w:rsidR="00F21BF0" w:rsidRPr="00D80EBE" w:rsidRDefault="00F21BF0" w:rsidP="00F21BF0"/>
    <w:p w:rsidR="00F21BF0" w:rsidRPr="00D80EBE" w:rsidRDefault="00F21BF0" w:rsidP="00F21BF0">
      <w:pPr>
        <w:rPr>
          <w:u w:val="single"/>
        </w:rPr>
      </w:pPr>
      <w:r>
        <w:t>4.</w:t>
      </w:r>
      <w:r>
        <w:tab/>
      </w:r>
      <w:r>
        <w:rPr>
          <w:u w:val="single"/>
        </w:rPr>
        <w:t>Lage auf dem Gebiet der Technik</w:t>
      </w:r>
    </w:p>
    <w:p w:rsidR="00F21BF0" w:rsidRPr="009C53CB" w:rsidRDefault="00F21BF0" w:rsidP="00F21BF0"/>
    <w:p w:rsidR="00F21BF0" w:rsidRPr="00D80EBE" w:rsidRDefault="00F21BF0" w:rsidP="00F21BF0">
      <w:r>
        <w:t>Die technische Prüfung wird vom Nationalen Amt für Lebensmittelsicherheit durchgeführt.</w:t>
      </w:r>
    </w:p>
    <w:p w:rsidR="00F21BF0" w:rsidRPr="00D80EBE" w:rsidRDefault="00F21BF0" w:rsidP="00F21BF0"/>
    <w:p w:rsidR="00F21FD7" w:rsidRPr="006F3121" w:rsidRDefault="00F21FD7" w:rsidP="004128AB">
      <w:pPr>
        <w:jc w:val="left"/>
      </w:pPr>
    </w:p>
    <w:p w:rsidR="00F21FD7" w:rsidRPr="006F3121" w:rsidRDefault="00F21FD7" w:rsidP="004128AB">
      <w:pPr>
        <w:jc w:val="left"/>
      </w:pPr>
    </w:p>
    <w:p w:rsidR="004128AB" w:rsidRPr="006F3121" w:rsidRDefault="004128AB" w:rsidP="004128AB">
      <w:pPr>
        <w:jc w:val="right"/>
      </w:pPr>
      <w:r w:rsidRPr="006F3121">
        <w:t>[Anlage V folgt]</w:t>
      </w:r>
    </w:p>
    <w:p w:rsidR="004128AB" w:rsidRPr="006F3121" w:rsidRDefault="004128AB" w:rsidP="004128AB"/>
    <w:p w:rsidR="004128AB" w:rsidRPr="006F3121" w:rsidRDefault="004128AB" w:rsidP="004128AB">
      <w:pPr>
        <w:jc w:val="left"/>
        <w:sectPr w:rsidR="004128AB" w:rsidRPr="006F3121" w:rsidSect="00CE587F">
          <w:headerReference w:type="default" r:id="rId23"/>
          <w:pgSz w:w="11907" w:h="16840" w:code="9"/>
          <w:pgMar w:top="510" w:right="1134" w:bottom="1134" w:left="1134" w:header="510" w:footer="680" w:gutter="0"/>
          <w:pgNumType w:start="1"/>
          <w:cols w:space="720"/>
          <w:titlePg/>
        </w:sectPr>
      </w:pPr>
    </w:p>
    <w:p w:rsidR="004128AB" w:rsidRPr="006F3121" w:rsidRDefault="006F5780" w:rsidP="004128AB">
      <w:pPr>
        <w:jc w:val="center"/>
      </w:pPr>
      <w:r>
        <w:lastRenderedPageBreak/>
        <w:t>C/55/INF/4</w:t>
      </w:r>
    </w:p>
    <w:p w:rsidR="004128AB" w:rsidRPr="006F3121" w:rsidRDefault="004128AB" w:rsidP="004128AB">
      <w:pPr>
        <w:jc w:val="center"/>
      </w:pPr>
    </w:p>
    <w:p w:rsidR="004128AB" w:rsidRPr="006F3121" w:rsidRDefault="004128AB" w:rsidP="004128AB">
      <w:pPr>
        <w:jc w:val="center"/>
      </w:pPr>
      <w:r w:rsidRPr="006F3121">
        <w:t>ANLAGE V</w:t>
      </w:r>
    </w:p>
    <w:p w:rsidR="004128AB" w:rsidRPr="006F3121" w:rsidRDefault="004128AB" w:rsidP="004128AB">
      <w:pPr>
        <w:jc w:val="center"/>
      </w:pPr>
    </w:p>
    <w:p w:rsidR="004128AB" w:rsidRPr="006F3121" w:rsidRDefault="004128AB" w:rsidP="004128AB">
      <w:pPr>
        <w:jc w:val="center"/>
      </w:pPr>
    </w:p>
    <w:p w:rsidR="00F052E2" w:rsidRPr="006F3121" w:rsidRDefault="00713625" w:rsidP="00F052E2">
      <w:pPr>
        <w:jc w:val="center"/>
      </w:pPr>
      <w:r>
        <w:t>LITAUEN</w:t>
      </w:r>
    </w:p>
    <w:p w:rsidR="00F052E2" w:rsidRPr="006F3121" w:rsidRDefault="00F052E2" w:rsidP="00F052E2">
      <w:pPr>
        <w:jc w:val="center"/>
      </w:pPr>
    </w:p>
    <w:p w:rsidR="00F052E2" w:rsidRPr="006F3121" w:rsidRDefault="00F052E2" w:rsidP="00F052E2">
      <w:pPr>
        <w:jc w:val="center"/>
      </w:pPr>
    </w:p>
    <w:p w:rsidR="00F21BF0" w:rsidRPr="00D80EBE" w:rsidRDefault="00F21BF0" w:rsidP="00F21BF0">
      <w:r>
        <w:t>I.</w:t>
      </w:r>
      <w:r>
        <w:tab/>
        <w:t>SORTENSCHUTZ</w:t>
      </w:r>
    </w:p>
    <w:p w:rsidR="00F21BF0" w:rsidRPr="00D80EBE" w:rsidRDefault="00F21BF0" w:rsidP="00F21BF0"/>
    <w:p w:rsidR="00F21BF0" w:rsidRPr="00D80EBE" w:rsidRDefault="00F21BF0" w:rsidP="00F21BF0">
      <w:pPr>
        <w:rPr>
          <w:rFonts w:cs="Arial"/>
        </w:rPr>
      </w:pPr>
      <w:r>
        <w:rPr>
          <w:rFonts w:cs="Arial"/>
        </w:rPr>
        <w:t>1.</w:t>
      </w:r>
      <w:r>
        <w:rPr>
          <w:rFonts w:cs="Arial"/>
        </w:rPr>
        <w:tab/>
      </w:r>
      <w:r>
        <w:rPr>
          <w:rFonts w:cs="Arial"/>
          <w:u w:val="single"/>
        </w:rPr>
        <w:t>Lage auf dem Gebiet der Gesetzgebung</w:t>
      </w:r>
    </w:p>
    <w:p w:rsidR="00F21BF0" w:rsidRPr="00D80EBE" w:rsidRDefault="00F21BF0" w:rsidP="00F21BF0">
      <w:pPr>
        <w:rPr>
          <w:rFonts w:cs="Arial"/>
        </w:rPr>
      </w:pPr>
    </w:p>
    <w:p w:rsidR="00F21BF0" w:rsidRPr="00D80EBE" w:rsidRDefault="00F21BF0" w:rsidP="00F21BF0">
      <w:pPr>
        <w:rPr>
          <w:rFonts w:cs="Arial"/>
        </w:rPr>
      </w:pPr>
      <w:r>
        <w:rPr>
          <w:rFonts w:cs="Arial"/>
        </w:rPr>
        <w:t>1.1</w:t>
      </w:r>
      <w:r>
        <w:rPr>
          <w:rFonts w:cs="Arial"/>
        </w:rPr>
        <w:tab/>
        <w:t>Änderungen des Gesetzes und der Ausführungsvorschriften:</w:t>
      </w:r>
    </w:p>
    <w:p w:rsidR="00F21BF0" w:rsidRPr="00D80EBE" w:rsidRDefault="00F21BF0" w:rsidP="00F21BF0">
      <w:pPr>
        <w:rPr>
          <w:rFonts w:cs="Arial"/>
        </w:rPr>
      </w:pPr>
    </w:p>
    <w:p w:rsidR="00F21BF0" w:rsidRPr="00D80EBE" w:rsidRDefault="00F21BF0" w:rsidP="00F21BF0">
      <w:pPr>
        <w:ind w:left="567" w:hanging="567"/>
      </w:pPr>
      <w:r>
        <w:t>–</w:t>
      </w:r>
      <w:r>
        <w:tab/>
        <w:t>Sortenschutzgesetz der Republik Litauen Nr. IX-618 vom 22. November 2001 in der Fassung vom 15. April 2021;</w:t>
      </w:r>
    </w:p>
    <w:p w:rsidR="00F21BF0" w:rsidRDefault="00F21BF0" w:rsidP="00F21BF0">
      <w:pPr>
        <w:ind w:left="567" w:hanging="567"/>
      </w:pPr>
    </w:p>
    <w:p w:rsidR="00F21BF0" w:rsidRPr="00D80EBE" w:rsidRDefault="00F21BF0" w:rsidP="00F21BF0">
      <w:pPr>
        <w:ind w:left="567" w:hanging="567"/>
      </w:pPr>
      <w:r>
        <w:t>–</w:t>
      </w:r>
      <w:r>
        <w:tab/>
        <w:t>Verordnung Nr. 1458 der Regierung der Republik Litauen vom 15. Dezember 2000 über die Gebührensätze;</w:t>
      </w:r>
    </w:p>
    <w:p w:rsidR="00F21BF0" w:rsidRDefault="00F21BF0" w:rsidP="00F21BF0">
      <w:pPr>
        <w:ind w:left="567" w:hanging="567"/>
      </w:pPr>
    </w:p>
    <w:p w:rsidR="00F21BF0" w:rsidRPr="00D80EBE" w:rsidRDefault="00F21BF0" w:rsidP="00F21BF0">
      <w:pPr>
        <w:ind w:left="567" w:hanging="567"/>
      </w:pPr>
      <w:r>
        <w:t>–</w:t>
      </w:r>
      <w:r>
        <w:tab/>
        <w:t>Verfügung Nr. A1-50 des Direktors des dem Landwirtschaftsministerium unterstellten staatlichen Sortenprüfungszentrums vom 8. August 2010 über die Freigabe des Antragsformulars für Sortenschutz;</w:t>
      </w:r>
    </w:p>
    <w:p w:rsidR="00F21BF0" w:rsidRDefault="00F21BF0" w:rsidP="00F21BF0">
      <w:pPr>
        <w:ind w:left="567" w:hanging="567"/>
      </w:pPr>
    </w:p>
    <w:p w:rsidR="00F21BF0" w:rsidRDefault="00F21BF0" w:rsidP="00F21BF0">
      <w:pPr>
        <w:ind w:left="567" w:hanging="567"/>
      </w:pPr>
      <w:r>
        <w:t>–</w:t>
      </w:r>
      <w:r>
        <w:tab/>
        <w:t>Verfügung Nr. 3 D–371 des Landwirtschaftsministeriums der Republik Litauen vom 23. Juni 2004 über die Vergütung.</w:t>
      </w:r>
    </w:p>
    <w:p w:rsidR="00F21BF0" w:rsidRPr="00D80EBE" w:rsidRDefault="00F21BF0" w:rsidP="00F21BF0">
      <w:pPr>
        <w:ind w:left="567" w:hanging="567"/>
      </w:pPr>
    </w:p>
    <w:p w:rsidR="00F21BF0" w:rsidRPr="00D80EBE" w:rsidRDefault="00F21BF0" w:rsidP="00F21BF0">
      <w:pPr>
        <w:rPr>
          <w:rFonts w:cs="Arial"/>
        </w:rPr>
      </w:pPr>
      <w:r>
        <w:rPr>
          <w:rFonts w:cs="Arial"/>
        </w:rPr>
        <w:t>1.2</w:t>
      </w:r>
      <w:r>
        <w:rPr>
          <w:rFonts w:cs="Arial"/>
        </w:rPr>
        <w:tab/>
        <w:t>Erstreckung des Schutzes auf weitere Gattungen und Arten (geschehen oder geplant):</w:t>
      </w:r>
    </w:p>
    <w:p w:rsidR="00F21BF0" w:rsidRPr="00D80EBE" w:rsidRDefault="00F21BF0" w:rsidP="00F21BF0">
      <w:pPr>
        <w:rPr>
          <w:rFonts w:cs="Arial"/>
        </w:rPr>
      </w:pPr>
    </w:p>
    <w:p w:rsidR="00F21BF0" w:rsidRPr="00D80EBE" w:rsidRDefault="00F21BF0" w:rsidP="00F21BF0">
      <w:pPr>
        <w:ind w:left="567" w:hanging="567"/>
        <w:rPr>
          <w:rFonts w:cs="Arial"/>
        </w:rPr>
      </w:pPr>
      <w:r>
        <w:rPr>
          <w:rFonts w:cs="Arial"/>
        </w:rPr>
        <w:t>–</w:t>
      </w:r>
      <w:r>
        <w:rPr>
          <w:rFonts w:cs="Arial"/>
        </w:rPr>
        <w:tab/>
        <w:t xml:space="preserve">Gemäß den Änderungen des Sortenschutzgesetzes der Republik Litauen am 26. April 2012 können in der Republik Litauen Sorten aller Pflanzengattungen und -arten geschützt werden. </w:t>
      </w:r>
    </w:p>
    <w:p w:rsidR="00F21BF0" w:rsidRPr="00D80EBE" w:rsidRDefault="00F21BF0" w:rsidP="00F21BF0">
      <w:pPr>
        <w:ind w:left="567" w:hanging="567"/>
        <w:rPr>
          <w:rFonts w:cs="Arial"/>
        </w:rPr>
      </w:pPr>
    </w:p>
    <w:p w:rsidR="00F21BF0" w:rsidRPr="00D80EBE" w:rsidRDefault="00F21BF0" w:rsidP="00F21BF0">
      <w:pPr>
        <w:rPr>
          <w:rFonts w:cs="Arial"/>
        </w:rPr>
      </w:pPr>
      <w:r>
        <w:rPr>
          <w:rFonts w:cs="Arial"/>
        </w:rPr>
        <w:t>1.3</w:t>
      </w:r>
      <w:r>
        <w:rPr>
          <w:rFonts w:cs="Arial"/>
        </w:rPr>
        <w:tab/>
        <w:t>Rechtsprechung:</w:t>
      </w:r>
    </w:p>
    <w:p w:rsidR="00F21BF0" w:rsidRPr="00D80EBE" w:rsidRDefault="00F21BF0" w:rsidP="00F21BF0">
      <w:pPr>
        <w:rPr>
          <w:rFonts w:cs="Arial"/>
        </w:rPr>
      </w:pPr>
    </w:p>
    <w:p w:rsidR="00F21BF0" w:rsidRPr="00D80EBE" w:rsidRDefault="00F21BF0" w:rsidP="00F21BF0">
      <w:pPr>
        <w:ind w:left="567" w:hanging="567"/>
        <w:rPr>
          <w:rFonts w:cs="Arial"/>
        </w:rPr>
      </w:pPr>
      <w:r>
        <w:rPr>
          <w:rFonts w:cs="Arial"/>
        </w:rPr>
        <w:t>–</w:t>
      </w:r>
      <w:r>
        <w:rPr>
          <w:rFonts w:cs="Arial"/>
        </w:rPr>
        <w:tab/>
        <w:t>Es gibt keine Rechtsprechung betreffend Sortenschutz in Litauen im Jahr 2020.</w:t>
      </w:r>
    </w:p>
    <w:p w:rsidR="00F21BF0" w:rsidRDefault="00F21BF0" w:rsidP="00F21BF0">
      <w:pPr>
        <w:ind w:left="567" w:hanging="567"/>
        <w:rPr>
          <w:rFonts w:cs="Arial"/>
        </w:rPr>
      </w:pPr>
    </w:p>
    <w:p w:rsidR="00F21BF0" w:rsidRPr="00D80EBE" w:rsidRDefault="00F21BF0" w:rsidP="00F21BF0">
      <w:pPr>
        <w:ind w:left="567" w:hanging="567"/>
        <w:rPr>
          <w:rFonts w:cs="Arial"/>
        </w:rPr>
      </w:pPr>
    </w:p>
    <w:p w:rsidR="00F21BF0" w:rsidRPr="00D80EBE" w:rsidRDefault="00F21BF0" w:rsidP="00F21BF0">
      <w:pPr>
        <w:rPr>
          <w:rFonts w:cs="Arial"/>
          <w:u w:val="single"/>
        </w:rPr>
      </w:pPr>
      <w:r>
        <w:rPr>
          <w:rFonts w:cs="Arial"/>
        </w:rPr>
        <w:t>2.</w:t>
      </w:r>
      <w:r>
        <w:rPr>
          <w:rFonts w:cs="Arial"/>
        </w:rPr>
        <w:tab/>
      </w:r>
      <w:r>
        <w:rPr>
          <w:rFonts w:cs="Arial"/>
          <w:u w:val="single"/>
        </w:rPr>
        <w:t>Zusammenarbeit bei der Prüfung</w:t>
      </w:r>
    </w:p>
    <w:p w:rsidR="00F21BF0" w:rsidRPr="00D80EBE" w:rsidRDefault="00F21BF0" w:rsidP="00F21BF0">
      <w:pPr>
        <w:rPr>
          <w:rFonts w:cs="Arial"/>
        </w:rPr>
      </w:pPr>
    </w:p>
    <w:p w:rsidR="00F21BF0" w:rsidRPr="00D80EBE" w:rsidRDefault="00F21BF0" w:rsidP="00F21BF0">
      <w:pPr>
        <w:rPr>
          <w:rFonts w:cs="Arial"/>
        </w:rPr>
      </w:pPr>
      <w:r>
        <w:rPr>
          <w:rFonts w:cs="Arial"/>
        </w:rPr>
        <w:t>Es gibt zwei unterzeichnete Vereinbarungen im Hinblick auf die Zusammenarbeit bei der Prüfung in Litauen:</w:t>
      </w:r>
    </w:p>
    <w:p w:rsidR="00F21BF0" w:rsidRPr="00D80EBE" w:rsidRDefault="00F21BF0" w:rsidP="00F21BF0">
      <w:pPr>
        <w:rPr>
          <w:rFonts w:cs="Arial"/>
        </w:rPr>
      </w:pPr>
    </w:p>
    <w:p w:rsidR="00F21BF0" w:rsidRPr="00D80EBE" w:rsidRDefault="00F21BF0" w:rsidP="00F21BF0">
      <w:pPr>
        <w:ind w:left="567" w:hanging="567"/>
      </w:pPr>
      <w:r>
        <w:t>–</w:t>
      </w:r>
      <w:r>
        <w:tab/>
        <w:t>Das bilaterale Abkommen mit dem polnischen Forschungszentrum für Zuchtsortenprüfung (COBORU) vom 11. August 2000 über die Durchführung der DUS-Prüfungen wurde am 14. November 2012 durch die Verwaltungsvereinbarung Nr. 1/2012/19T-247 geändert;</w:t>
      </w:r>
    </w:p>
    <w:p w:rsidR="00F21BF0" w:rsidRPr="00D80EBE" w:rsidRDefault="00F21BF0" w:rsidP="00F21BF0">
      <w:pPr>
        <w:ind w:left="567" w:hanging="567"/>
      </w:pPr>
    </w:p>
    <w:p w:rsidR="00F21BF0" w:rsidRPr="00D80EBE" w:rsidRDefault="00F21BF0" w:rsidP="00F21BF0">
      <w:pPr>
        <w:ind w:left="567" w:hanging="567"/>
      </w:pPr>
      <w:r>
        <w:t>–</w:t>
      </w:r>
      <w:r>
        <w:tab/>
        <w:t>Die Vereinbarung Nr. 10 vom 30. Juni 2006 mit dem deutschen Bundessortenamt über die Übermittlung der Ergebnisse der technischen Prüfung für die DUS-Prüfungen wurde am 18. Oktober 2010 mit Vereinbarung Nr. 19T-98 geändert.</w:t>
      </w:r>
    </w:p>
    <w:p w:rsidR="00F21BF0" w:rsidRDefault="00F21BF0" w:rsidP="00F21BF0">
      <w:pPr>
        <w:ind w:left="567" w:hanging="567"/>
      </w:pPr>
    </w:p>
    <w:p w:rsidR="00F21BF0" w:rsidRPr="00D80EBE" w:rsidRDefault="00F21BF0" w:rsidP="00F21BF0">
      <w:pPr>
        <w:ind w:left="567" w:hanging="567"/>
      </w:pPr>
    </w:p>
    <w:p w:rsidR="00F21BF0" w:rsidRPr="00D80EBE" w:rsidRDefault="00F21BF0" w:rsidP="00F21BF0">
      <w:pPr>
        <w:rPr>
          <w:rFonts w:cs="Arial"/>
          <w:u w:val="single"/>
        </w:rPr>
      </w:pPr>
      <w:r>
        <w:rPr>
          <w:rFonts w:cs="Arial"/>
        </w:rPr>
        <w:t>3.</w:t>
      </w:r>
      <w:r>
        <w:rPr>
          <w:rFonts w:cs="Arial"/>
        </w:rPr>
        <w:tab/>
      </w:r>
      <w:r>
        <w:rPr>
          <w:rFonts w:cs="Arial"/>
          <w:u w:val="single"/>
        </w:rPr>
        <w:t>Lage auf dem Gebiet der Verwaltung</w:t>
      </w:r>
    </w:p>
    <w:p w:rsidR="00F21BF0" w:rsidRPr="00D80EBE" w:rsidRDefault="00F21BF0" w:rsidP="00F21BF0">
      <w:pPr>
        <w:rPr>
          <w:rFonts w:cs="Arial"/>
        </w:rPr>
      </w:pPr>
    </w:p>
    <w:p w:rsidR="00F21BF0" w:rsidRPr="00D80EBE" w:rsidRDefault="00F21BF0" w:rsidP="00F21BF0">
      <w:pPr>
        <w:ind w:left="567" w:hanging="567"/>
        <w:rPr>
          <w:rFonts w:cs="Arial"/>
        </w:rPr>
      </w:pPr>
      <w:r>
        <w:rPr>
          <w:rFonts w:cs="Arial"/>
        </w:rPr>
        <w:t>–</w:t>
      </w:r>
      <w:r>
        <w:rPr>
          <w:rFonts w:cs="Arial"/>
        </w:rPr>
        <w:tab/>
        <w:t>Die Abteilung für Pflanzensorteneintragung der dem Landwirtschaftsministerium der Republik Litauen unterstellten staatlichen Pflanzendienststelle ist für die Prüfung von Pflanzensorten, die Listenführung und den rechtlichen Schutz zuständig;</w:t>
      </w:r>
    </w:p>
    <w:p w:rsidR="00F21BF0" w:rsidRPr="00D80EBE" w:rsidRDefault="00F21BF0" w:rsidP="00F21BF0">
      <w:pPr>
        <w:ind w:left="567" w:hanging="567"/>
        <w:rPr>
          <w:rFonts w:cs="Arial"/>
        </w:rPr>
      </w:pPr>
    </w:p>
    <w:p w:rsidR="00F21BF0" w:rsidRPr="00D80EBE" w:rsidRDefault="00F21BF0" w:rsidP="00F21BF0">
      <w:pPr>
        <w:ind w:left="567" w:hanging="567"/>
        <w:rPr>
          <w:rFonts w:cs="Arial"/>
        </w:rPr>
      </w:pPr>
      <w:r>
        <w:rPr>
          <w:rFonts w:cs="Arial"/>
        </w:rPr>
        <w:t>–</w:t>
      </w:r>
      <w:r>
        <w:rPr>
          <w:rFonts w:cs="Arial"/>
        </w:rPr>
        <w:tab/>
        <w:t xml:space="preserve">Die Kommission für die Prüfung der Anträge auf Sortenschutz, die am 6. Mai 2011 durch Verfügung Nr. A1-141 des Direktors der dem Landwirtschaftsministerium der Republik Litauen unterstellten staatlichen Pflanzendienststelle bestätigt wurde, wurde am 9. Oktober 2020 durch Verfügung </w:t>
      </w:r>
      <w:r>
        <w:rPr>
          <w:rFonts w:cs="Arial"/>
        </w:rPr>
        <w:br/>
        <w:t>Nr. A1-489 des Direktors der dem Landwirtschaftsministerium der Republik Litauen unterstellten staatlichen Pflanzendienststelle geändert;</w:t>
      </w:r>
    </w:p>
    <w:p w:rsidR="00F21BF0" w:rsidRPr="00D80EBE" w:rsidRDefault="00F21BF0" w:rsidP="00F21BF0">
      <w:pPr>
        <w:ind w:left="567" w:hanging="567"/>
        <w:rPr>
          <w:rFonts w:cs="Arial"/>
        </w:rPr>
      </w:pPr>
    </w:p>
    <w:p w:rsidR="00F21BF0" w:rsidRPr="00D80EBE" w:rsidRDefault="00F21BF0" w:rsidP="00F21BF0">
      <w:pPr>
        <w:ind w:left="567" w:hanging="567"/>
        <w:rPr>
          <w:rFonts w:cs="Arial"/>
        </w:rPr>
      </w:pPr>
      <w:r>
        <w:rPr>
          <w:rFonts w:cs="Arial"/>
        </w:rPr>
        <w:t>–</w:t>
      </w:r>
      <w:r>
        <w:rPr>
          <w:rFonts w:cs="Arial"/>
        </w:rPr>
        <w:tab/>
        <w:t>Der Sortenschutz wird durch Verfügung des Direktors der dem Landwirtschaftsministerium der Republik Litauen unterstellten staatlichen Pflanzendienststelle gebilligt;</w:t>
      </w:r>
    </w:p>
    <w:p w:rsidR="00F21BF0" w:rsidRPr="00D80EBE" w:rsidRDefault="00F21BF0" w:rsidP="00F21BF0">
      <w:pPr>
        <w:ind w:left="567" w:hanging="567"/>
        <w:rPr>
          <w:rFonts w:cs="Arial"/>
        </w:rPr>
      </w:pPr>
    </w:p>
    <w:p w:rsidR="00F21BF0" w:rsidRPr="00D80EBE" w:rsidRDefault="00F21BF0" w:rsidP="00F21BF0">
      <w:pPr>
        <w:ind w:left="567" w:hanging="567"/>
        <w:rPr>
          <w:rFonts w:cs="Arial"/>
        </w:rPr>
      </w:pPr>
      <w:r>
        <w:rPr>
          <w:rFonts w:cs="Arial"/>
        </w:rPr>
        <w:t>–</w:t>
      </w:r>
      <w:r>
        <w:rPr>
          <w:rFonts w:cs="Arial"/>
        </w:rPr>
        <w:tab/>
        <w:t>Die Verfahren und das System für den Sortenschutz sind im Sortenschutzgesetz der Republik Litauen festgelegt.</w:t>
      </w:r>
    </w:p>
    <w:p w:rsidR="00F21BF0" w:rsidRPr="00D80EBE" w:rsidRDefault="00F21BF0" w:rsidP="00F21BF0">
      <w:pPr>
        <w:ind w:left="567" w:hanging="567"/>
        <w:rPr>
          <w:rFonts w:cs="Arial"/>
        </w:rPr>
      </w:pPr>
    </w:p>
    <w:p w:rsidR="00F21BF0" w:rsidRPr="00D80EBE" w:rsidRDefault="00F21BF0" w:rsidP="00F21BF0">
      <w:pPr>
        <w:keepNext/>
        <w:rPr>
          <w:rFonts w:cs="Arial"/>
        </w:rPr>
      </w:pPr>
      <w:r>
        <w:rPr>
          <w:rFonts w:cs="Arial"/>
        </w:rPr>
        <w:t>4.</w:t>
      </w:r>
      <w:r>
        <w:rPr>
          <w:rFonts w:cs="Arial"/>
        </w:rPr>
        <w:tab/>
      </w:r>
      <w:r>
        <w:rPr>
          <w:rFonts w:cs="Arial"/>
          <w:u w:val="single"/>
        </w:rPr>
        <w:t>Lage auf dem Gebiet der Technik</w:t>
      </w:r>
    </w:p>
    <w:p w:rsidR="00F21BF0" w:rsidRPr="00D80EBE" w:rsidRDefault="00F21BF0" w:rsidP="00F21BF0">
      <w:pPr>
        <w:keepNext/>
        <w:rPr>
          <w:rFonts w:cs="Arial"/>
        </w:rPr>
      </w:pPr>
    </w:p>
    <w:p w:rsidR="00F21BF0" w:rsidRPr="00D80EBE" w:rsidRDefault="00F21BF0" w:rsidP="00F21BF0">
      <w:pPr>
        <w:ind w:left="567" w:hanging="567"/>
        <w:rPr>
          <w:rFonts w:cs="Arial"/>
        </w:rPr>
      </w:pPr>
      <w:r>
        <w:rPr>
          <w:rFonts w:cs="Arial"/>
        </w:rPr>
        <w:t>–</w:t>
      </w:r>
      <w:r>
        <w:rPr>
          <w:rFonts w:cs="Arial"/>
        </w:rPr>
        <w:tab/>
        <w:t xml:space="preserve">Die DUS-Prüfungen werden gemäß einer Verwaltungsvereinbarung Nr. 1/2012/19T-247, geändert am 14. November 2012, vom polnischen Forschungszentrum für Zuchtsortenprüfung (COBORU) oder auf Anfrage des Züchters auch von einer anderen zuständigen Prüfstelle der Europäischen Union durchgeführt. </w:t>
      </w:r>
    </w:p>
    <w:p w:rsidR="00F21BF0" w:rsidRDefault="00F21BF0" w:rsidP="00F21BF0">
      <w:pPr>
        <w:ind w:left="567" w:hanging="567"/>
        <w:rPr>
          <w:rFonts w:cs="Arial"/>
        </w:rPr>
      </w:pPr>
    </w:p>
    <w:p w:rsidR="00F21BF0" w:rsidRPr="00D80EBE" w:rsidRDefault="00F21BF0" w:rsidP="00F21BF0">
      <w:pPr>
        <w:ind w:left="567" w:hanging="567"/>
        <w:rPr>
          <w:rFonts w:cs="Arial"/>
        </w:rPr>
      </w:pPr>
    </w:p>
    <w:p w:rsidR="00F21BF0" w:rsidRPr="00D80EBE" w:rsidRDefault="00F21BF0" w:rsidP="00F21BF0">
      <w:pPr>
        <w:rPr>
          <w:rFonts w:cs="Arial"/>
          <w:u w:val="single"/>
        </w:rPr>
      </w:pPr>
      <w:r>
        <w:rPr>
          <w:rFonts w:cs="Arial"/>
        </w:rPr>
        <w:t>5.</w:t>
      </w:r>
      <w:r>
        <w:rPr>
          <w:rFonts w:cs="Arial"/>
        </w:rPr>
        <w:tab/>
      </w:r>
      <w:r>
        <w:rPr>
          <w:rFonts w:cs="Arial"/>
          <w:u w:val="single"/>
        </w:rPr>
        <w:t>Tätigkeiten zur Förderung des Sortenschutzes</w:t>
      </w:r>
    </w:p>
    <w:p w:rsidR="00F21BF0" w:rsidRPr="00D80EBE" w:rsidRDefault="00F21BF0" w:rsidP="00F21BF0">
      <w:pPr>
        <w:rPr>
          <w:rFonts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gridCol w:w="1105"/>
        <w:gridCol w:w="1446"/>
        <w:gridCol w:w="1560"/>
        <w:gridCol w:w="2551"/>
      </w:tblGrid>
      <w:tr w:rsidR="00F21BF0" w:rsidRPr="00D80EBE" w:rsidTr="00F21BF0">
        <w:tc>
          <w:tcPr>
            <w:tcW w:w="1696" w:type="dxa"/>
            <w:shd w:val="clear" w:color="auto" w:fill="auto"/>
            <w:tcMar>
              <w:top w:w="28" w:type="dxa"/>
              <w:left w:w="57" w:type="dxa"/>
              <w:bottom w:w="28" w:type="dxa"/>
              <w:right w:w="57" w:type="dxa"/>
            </w:tcMar>
          </w:tcPr>
          <w:p w:rsidR="00F21BF0" w:rsidRPr="00F21BF0" w:rsidRDefault="00F21BF0" w:rsidP="00AA577D">
            <w:pPr>
              <w:jc w:val="left"/>
              <w:rPr>
                <w:rFonts w:cs="Arial"/>
                <w:sz w:val="16"/>
              </w:rPr>
            </w:pPr>
            <w:r w:rsidRPr="00F21BF0">
              <w:rPr>
                <w:rFonts w:cs="Arial"/>
                <w:sz w:val="16"/>
              </w:rPr>
              <w:t>Art der Tätigkeit</w:t>
            </w:r>
          </w:p>
        </w:tc>
        <w:tc>
          <w:tcPr>
            <w:tcW w:w="1418" w:type="dxa"/>
            <w:shd w:val="clear" w:color="auto" w:fill="auto"/>
            <w:tcMar>
              <w:top w:w="28" w:type="dxa"/>
              <w:left w:w="57" w:type="dxa"/>
              <w:bottom w:w="28" w:type="dxa"/>
              <w:right w:w="57" w:type="dxa"/>
            </w:tcMar>
          </w:tcPr>
          <w:p w:rsidR="00F21BF0" w:rsidRPr="00F21BF0" w:rsidRDefault="00F21BF0" w:rsidP="00AA577D">
            <w:pPr>
              <w:jc w:val="left"/>
              <w:rPr>
                <w:rFonts w:cs="Arial"/>
                <w:sz w:val="16"/>
              </w:rPr>
            </w:pPr>
            <w:r w:rsidRPr="00F21BF0">
              <w:rPr>
                <w:rFonts w:cs="Arial"/>
                <w:sz w:val="16"/>
              </w:rPr>
              <w:t>Datum</w:t>
            </w:r>
          </w:p>
        </w:tc>
        <w:tc>
          <w:tcPr>
            <w:tcW w:w="1105" w:type="dxa"/>
            <w:shd w:val="clear" w:color="auto" w:fill="auto"/>
            <w:tcMar>
              <w:top w:w="28" w:type="dxa"/>
              <w:left w:w="57" w:type="dxa"/>
              <w:bottom w:w="28" w:type="dxa"/>
              <w:right w:w="57" w:type="dxa"/>
            </w:tcMar>
          </w:tcPr>
          <w:p w:rsidR="00F21BF0" w:rsidRPr="00F21BF0" w:rsidRDefault="00F21BF0" w:rsidP="00AA577D">
            <w:pPr>
              <w:jc w:val="left"/>
              <w:rPr>
                <w:rFonts w:cs="Arial"/>
                <w:sz w:val="16"/>
              </w:rPr>
            </w:pPr>
            <w:r w:rsidRPr="00F21BF0">
              <w:rPr>
                <w:rFonts w:cs="Arial"/>
                <w:sz w:val="16"/>
              </w:rPr>
              <w:t>Ort</w:t>
            </w:r>
          </w:p>
        </w:tc>
        <w:tc>
          <w:tcPr>
            <w:tcW w:w="1446" w:type="dxa"/>
            <w:shd w:val="clear" w:color="auto" w:fill="auto"/>
            <w:tcMar>
              <w:top w:w="28" w:type="dxa"/>
              <w:left w:w="57" w:type="dxa"/>
              <w:bottom w:w="28" w:type="dxa"/>
              <w:right w:w="57" w:type="dxa"/>
            </w:tcMar>
          </w:tcPr>
          <w:p w:rsidR="00F21BF0" w:rsidRPr="00F21BF0" w:rsidRDefault="00F21BF0" w:rsidP="00AA577D">
            <w:pPr>
              <w:jc w:val="left"/>
              <w:rPr>
                <w:rFonts w:cs="Arial"/>
                <w:sz w:val="16"/>
              </w:rPr>
            </w:pPr>
            <w:r w:rsidRPr="00F21BF0">
              <w:rPr>
                <w:rFonts w:cs="Arial"/>
                <w:sz w:val="16"/>
              </w:rPr>
              <w:t>Organisator(en)</w:t>
            </w:r>
          </w:p>
        </w:tc>
        <w:tc>
          <w:tcPr>
            <w:tcW w:w="1560" w:type="dxa"/>
            <w:shd w:val="clear" w:color="auto" w:fill="auto"/>
            <w:tcMar>
              <w:top w:w="28" w:type="dxa"/>
              <w:left w:w="57" w:type="dxa"/>
              <w:bottom w:w="28" w:type="dxa"/>
              <w:right w:w="57" w:type="dxa"/>
            </w:tcMar>
          </w:tcPr>
          <w:p w:rsidR="00F21BF0" w:rsidRPr="00F21BF0" w:rsidRDefault="00F21BF0" w:rsidP="00AA577D">
            <w:pPr>
              <w:jc w:val="left"/>
              <w:rPr>
                <w:rFonts w:cs="Arial"/>
                <w:sz w:val="16"/>
              </w:rPr>
            </w:pPr>
            <w:r w:rsidRPr="00F21BF0">
              <w:rPr>
                <w:rFonts w:cs="Arial"/>
                <w:sz w:val="16"/>
              </w:rPr>
              <w:t>Zweck der Tätigkeit</w:t>
            </w:r>
          </w:p>
        </w:tc>
        <w:tc>
          <w:tcPr>
            <w:tcW w:w="2551" w:type="dxa"/>
            <w:shd w:val="clear" w:color="auto" w:fill="auto"/>
            <w:tcMar>
              <w:top w:w="28" w:type="dxa"/>
              <w:left w:w="57" w:type="dxa"/>
              <w:bottom w:w="28" w:type="dxa"/>
              <w:right w:w="57" w:type="dxa"/>
            </w:tcMar>
          </w:tcPr>
          <w:p w:rsidR="00F21BF0" w:rsidRPr="00F21BF0" w:rsidRDefault="00F21BF0" w:rsidP="00AA577D">
            <w:pPr>
              <w:jc w:val="left"/>
              <w:rPr>
                <w:rFonts w:cs="Arial"/>
                <w:sz w:val="16"/>
              </w:rPr>
            </w:pPr>
            <w:r w:rsidRPr="00F21BF0">
              <w:rPr>
                <w:rFonts w:cs="Arial"/>
                <w:sz w:val="16"/>
              </w:rPr>
              <w:t>Teilnehmende Staaten/ Organisationen (Zahl der Teilnehmer pro Staat/ Organisation)</w:t>
            </w:r>
          </w:p>
        </w:tc>
      </w:tr>
      <w:tr w:rsidR="00F21BF0" w:rsidRPr="002D163A" w:rsidTr="00F21BF0">
        <w:tc>
          <w:tcPr>
            <w:tcW w:w="1696" w:type="dxa"/>
            <w:shd w:val="clear" w:color="auto" w:fill="auto"/>
            <w:tcMar>
              <w:top w:w="28" w:type="dxa"/>
              <w:left w:w="57" w:type="dxa"/>
              <w:bottom w:w="28" w:type="dxa"/>
              <w:right w:w="57" w:type="dxa"/>
            </w:tcMar>
          </w:tcPr>
          <w:p w:rsidR="00F21BF0" w:rsidRPr="00F21BF0" w:rsidRDefault="00F21BF0" w:rsidP="00AA577D">
            <w:pPr>
              <w:jc w:val="left"/>
              <w:rPr>
                <w:sz w:val="16"/>
              </w:rPr>
            </w:pPr>
            <w:r w:rsidRPr="00F21BF0">
              <w:rPr>
                <w:sz w:val="16"/>
              </w:rPr>
              <w:t>1. Virtuelle Tagung des Verwaltungsrates des CPVO</w:t>
            </w:r>
          </w:p>
        </w:tc>
        <w:tc>
          <w:tcPr>
            <w:tcW w:w="1418" w:type="dxa"/>
            <w:shd w:val="clear" w:color="auto" w:fill="auto"/>
            <w:tcMar>
              <w:top w:w="28" w:type="dxa"/>
              <w:left w:w="57" w:type="dxa"/>
              <w:bottom w:w="28" w:type="dxa"/>
              <w:right w:w="57" w:type="dxa"/>
            </w:tcMar>
          </w:tcPr>
          <w:p w:rsidR="00F21BF0" w:rsidRPr="00F21BF0" w:rsidRDefault="00F21BF0" w:rsidP="00AA577D">
            <w:pPr>
              <w:jc w:val="left"/>
              <w:rPr>
                <w:sz w:val="16"/>
              </w:rPr>
            </w:pPr>
            <w:r w:rsidRPr="00F21BF0">
              <w:rPr>
                <w:sz w:val="16"/>
              </w:rPr>
              <w:t>30. September 2020</w:t>
            </w:r>
          </w:p>
        </w:tc>
        <w:tc>
          <w:tcPr>
            <w:tcW w:w="1105" w:type="dxa"/>
            <w:shd w:val="clear" w:color="auto" w:fill="auto"/>
            <w:tcMar>
              <w:top w:w="28" w:type="dxa"/>
              <w:left w:w="57" w:type="dxa"/>
              <w:bottom w:w="28" w:type="dxa"/>
              <w:right w:w="57" w:type="dxa"/>
            </w:tcMar>
          </w:tcPr>
          <w:p w:rsidR="00F21BF0" w:rsidRPr="00F21BF0" w:rsidRDefault="00F21BF0" w:rsidP="00AA577D">
            <w:pPr>
              <w:jc w:val="left"/>
              <w:rPr>
                <w:sz w:val="16"/>
              </w:rPr>
            </w:pPr>
            <w:r w:rsidRPr="00F21BF0">
              <w:rPr>
                <w:sz w:val="16"/>
              </w:rPr>
              <w:t>Angers, Frankreich</w:t>
            </w:r>
          </w:p>
        </w:tc>
        <w:tc>
          <w:tcPr>
            <w:tcW w:w="1446" w:type="dxa"/>
            <w:shd w:val="clear" w:color="auto" w:fill="auto"/>
            <w:tcMar>
              <w:top w:w="28" w:type="dxa"/>
              <w:left w:w="57" w:type="dxa"/>
              <w:bottom w:w="28" w:type="dxa"/>
              <w:right w:w="57" w:type="dxa"/>
            </w:tcMar>
          </w:tcPr>
          <w:p w:rsidR="00F21BF0" w:rsidRPr="00F21BF0" w:rsidRDefault="00F21BF0" w:rsidP="00AA577D">
            <w:pPr>
              <w:jc w:val="left"/>
              <w:rPr>
                <w:sz w:val="16"/>
              </w:rPr>
            </w:pPr>
            <w:r w:rsidRPr="00F21BF0">
              <w:rPr>
                <w:sz w:val="16"/>
              </w:rPr>
              <w:t>CPVO</w:t>
            </w:r>
          </w:p>
        </w:tc>
        <w:tc>
          <w:tcPr>
            <w:tcW w:w="1560" w:type="dxa"/>
            <w:shd w:val="clear" w:color="auto" w:fill="auto"/>
            <w:tcMar>
              <w:top w:w="28" w:type="dxa"/>
              <w:left w:w="57" w:type="dxa"/>
              <w:bottom w:w="28" w:type="dxa"/>
              <w:right w:w="57" w:type="dxa"/>
            </w:tcMar>
          </w:tcPr>
          <w:p w:rsidR="00F21BF0" w:rsidRPr="00F21BF0" w:rsidRDefault="00F21BF0" w:rsidP="00AA577D">
            <w:pPr>
              <w:jc w:val="left"/>
              <w:rPr>
                <w:sz w:val="16"/>
              </w:rPr>
            </w:pPr>
            <w:r w:rsidRPr="00F21BF0">
              <w:rPr>
                <w:sz w:val="16"/>
              </w:rPr>
              <w:t>Erörterung wesentlicher Fragen betreffend Sortenschutz</w:t>
            </w:r>
          </w:p>
        </w:tc>
        <w:tc>
          <w:tcPr>
            <w:tcW w:w="2551" w:type="dxa"/>
            <w:shd w:val="clear" w:color="auto" w:fill="auto"/>
            <w:tcMar>
              <w:top w:w="28" w:type="dxa"/>
              <w:left w:w="57" w:type="dxa"/>
              <w:bottom w:w="28" w:type="dxa"/>
              <w:right w:w="57" w:type="dxa"/>
            </w:tcMar>
          </w:tcPr>
          <w:p w:rsidR="00F21BF0" w:rsidRPr="00F21BF0" w:rsidRDefault="00F21BF0" w:rsidP="00AA577D">
            <w:pPr>
              <w:jc w:val="left"/>
              <w:rPr>
                <w:sz w:val="16"/>
              </w:rPr>
            </w:pPr>
            <w:r w:rsidRPr="00F21BF0">
              <w:rPr>
                <w:sz w:val="16"/>
              </w:rPr>
              <w:t>Europäische Kommission (2), CPVO (7), UPOV (1), Beobachter und Mitgliedstaaten (insgesamt 32)</w:t>
            </w:r>
          </w:p>
        </w:tc>
      </w:tr>
      <w:tr w:rsidR="00F21BF0" w:rsidRPr="002D163A" w:rsidTr="00F21BF0">
        <w:tc>
          <w:tcPr>
            <w:tcW w:w="1696" w:type="dxa"/>
            <w:shd w:val="clear" w:color="auto" w:fill="auto"/>
            <w:tcMar>
              <w:top w:w="28" w:type="dxa"/>
              <w:left w:w="57" w:type="dxa"/>
              <w:bottom w:w="28" w:type="dxa"/>
              <w:right w:w="57" w:type="dxa"/>
            </w:tcMar>
          </w:tcPr>
          <w:p w:rsidR="00F21BF0" w:rsidRPr="00F21BF0" w:rsidRDefault="00F21BF0" w:rsidP="00AA577D">
            <w:pPr>
              <w:jc w:val="left"/>
              <w:rPr>
                <w:sz w:val="16"/>
              </w:rPr>
            </w:pPr>
            <w:r w:rsidRPr="00F21BF0">
              <w:rPr>
                <w:sz w:val="16"/>
              </w:rPr>
              <w:t>2. Virtuelle Tagung des Verwaltungs- und Rechts</w:t>
            </w:r>
            <w:r w:rsidRPr="00F21BF0">
              <w:rPr>
                <w:sz w:val="16"/>
              </w:rPr>
              <w:softHyphen/>
              <w:t>ausschusses der UPOV</w:t>
            </w:r>
          </w:p>
        </w:tc>
        <w:tc>
          <w:tcPr>
            <w:tcW w:w="1418" w:type="dxa"/>
            <w:shd w:val="clear" w:color="auto" w:fill="auto"/>
            <w:tcMar>
              <w:top w:w="28" w:type="dxa"/>
              <w:left w:w="57" w:type="dxa"/>
              <w:bottom w:w="28" w:type="dxa"/>
              <w:right w:w="57" w:type="dxa"/>
            </w:tcMar>
          </w:tcPr>
          <w:p w:rsidR="00F21BF0" w:rsidRPr="00F21BF0" w:rsidRDefault="00F21BF0" w:rsidP="00AA577D">
            <w:pPr>
              <w:jc w:val="left"/>
              <w:rPr>
                <w:sz w:val="16"/>
              </w:rPr>
            </w:pPr>
            <w:r w:rsidRPr="00F21BF0">
              <w:rPr>
                <w:sz w:val="16"/>
              </w:rPr>
              <w:t>28. Oktober 2020</w:t>
            </w:r>
          </w:p>
        </w:tc>
        <w:tc>
          <w:tcPr>
            <w:tcW w:w="1105" w:type="dxa"/>
            <w:shd w:val="clear" w:color="auto" w:fill="auto"/>
            <w:tcMar>
              <w:top w:w="28" w:type="dxa"/>
              <w:left w:w="57" w:type="dxa"/>
              <w:bottom w:w="28" w:type="dxa"/>
              <w:right w:w="57" w:type="dxa"/>
            </w:tcMar>
          </w:tcPr>
          <w:p w:rsidR="00F21BF0" w:rsidRPr="00F21BF0" w:rsidRDefault="00F21BF0" w:rsidP="00AA577D">
            <w:pPr>
              <w:jc w:val="left"/>
              <w:rPr>
                <w:sz w:val="16"/>
              </w:rPr>
            </w:pPr>
            <w:r w:rsidRPr="00F21BF0">
              <w:rPr>
                <w:sz w:val="16"/>
              </w:rPr>
              <w:t>Genf, Schweiz</w:t>
            </w:r>
          </w:p>
        </w:tc>
        <w:tc>
          <w:tcPr>
            <w:tcW w:w="1446" w:type="dxa"/>
            <w:shd w:val="clear" w:color="auto" w:fill="auto"/>
            <w:tcMar>
              <w:top w:w="28" w:type="dxa"/>
              <w:left w:w="57" w:type="dxa"/>
              <w:bottom w:w="28" w:type="dxa"/>
              <w:right w:w="57" w:type="dxa"/>
            </w:tcMar>
          </w:tcPr>
          <w:p w:rsidR="00F21BF0" w:rsidRPr="00F21BF0" w:rsidRDefault="00F21BF0" w:rsidP="00AA577D">
            <w:pPr>
              <w:jc w:val="left"/>
              <w:rPr>
                <w:sz w:val="16"/>
              </w:rPr>
            </w:pPr>
            <w:r w:rsidRPr="00F21BF0">
              <w:rPr>
                <w:sz w:val="16"/>
              </w:rPr>
              <w:t>UPOV</w:t>
            </w:r>
          </w:p>
        </w:tc>
        <w:tc>
          <w:tcPr>
            <w:tcW w:w="1560" w:type="dxa"/>
            <w:shd w:val="clear" w:color="auto" w:fill="auto"/>
            <w:tcMar>
              <w:top w:w="28" w:type="dxa"/>
              <w:left w:w="57" w:type="dxa"/>
              <w:bottom w:w="28" w:type="dxa"/>
              <w:right w:w="57" w:type="dxa"/>
            </w:tcMar>
          </w:tcPr>
          <w:p w:rsidR="00F21BF0" w:rsidRPr="00F21BF0" w:rsidRDefault="00F21BF0" w:rsidP="00AA577D">
            <w:pPr>
              <w:jc w:val="left"/>
              <w:rPr>
                <w:sz w:val="16"/>
              </w:rPr>
            </w:pPr>
            <w:r w:rsidRPr="00F21BF0">
              <w:rPr>
                <w:sz w:val="16"/>
              </w:rPr>
              <w:t>Erörterung wesentlicher Fragen betreffend Sortenschutz</w:t>
            </w:r>
          </w:p>
        </w:tc>
        <w:tc>
          <w:tcPr>
            <w:tcW w:w="2551" w:type="dxa"/>
            <w:shd w:val="clear" w:color="auto" w:fill="auto"/>
            <w:tcMar>
              <w:top w:w="28" w:type="dxa"/>
              <w:left w:w="57" w:type="dxa"/>
              <w:bottom w:w="28" w:type="dxa"/>
              <w:right w:w="57" w:type="dxa"/>
            </w:tcMar>
          </w:tcPr>
          <w:p w:rsidR="00F21BF0" w:rsidRPr="00F21BF0" w:rsidRDefault="00F21BF0" w:rsidP="00AA577D">
            <w:pPr>
              <w:jc w:val="left"/>
              <w:rPr>
                <w:sz w:val="16"/>
              </w:rPr>
            </w:pPr>
            <w:r w:rsidRPr="00F21BF0">
              <w:rPr>
                <w:sz w:val="16"/>
              </w:rPr>
              <w:t>UPOV (7), Europäischen Kommission (2), CPVO (3), Vertragsparteien, Beobachter und Organisationen (insgesamt 68)</w:t>
            </w:r>
          </w:p>
        </w:tc>
      </w:tr>
      <w:tr w:rsidR="00F21BF0" w:rsidRPr="002D163A" w:rsidTr="00F21BF0">
        <w:tc>
          <w:tcPr>
            <w:tcW w:w="1696" w:type="dxa"/>
            <w:shd w:val="clear" w:color="auto" w:fill="auto"/>
            <w:tcMar>
              <w:top w:w="28" w:type="dxa"/>
              <w:left w:w="57" w:type="dxa"/>
              <w:bottom w:w="28" w:type="dxa"/>
              <w:right w:w="57" w:type="dxa"/>
            </w:tcMar>
          </w:tcPr>
          <w:p w:rsidR="00F21BF0" w:rsidRPr="00F21BF0" w:rsidRDefault="00F21BF0" w:rsidP="00AA577D">
            <w:pPr>
              <w:jc w:val="left"/>
              <w:rPr>
                <w:sz w:val="16"/>
              </w:rPr>
            </w:pPr>
            <w:r w:rsidRPr="00F21BF0">
              <w:rPr>
                <w:sz w:val="16"/>
              </w:rPr>
              <w:t>3. Virtuelle Tagung des Beratenden Ausschusses der UPOV</w:t>
            </w:r>
          </w:p>
        </w:tc>
        <w:tc>
          <w:tcPr>
            <w:tcW w:w="1418" w:type="dxa"/>
            <w:shd w:val="clear" w:color="auto" w:fill="auto"/>
            <w:tcMar>
              <w:top w:w="28" w:type="dxa"/>
              <w:left w:w="57" w:type="dxa"/>
              <w:bottom w:w="28" w:type="dxa"/>
              <w:right w:w="57" w:type="dxa"/>
            </w:tcMar>
          </w:tcPr>
          <w:p w:rsidR="00F21BF0" w:rsidRPr="00F21BF0" w:rsidRDefault="00F21BF0" w:rsidP="00AA577D">
            <w:pPr>
              <w:jc w:val="left"/>
              <w:rPr>
                <w:sz w:val="16"/>
              </w:rPr>
            </w:pPr>
            <w:r w:rsidRPr="00F21BF0">
              <w:rPr>
                <w:sz w:val="16"/>
              </w:rPr>
              <w:t>29. Oktober 2020</w:t>
            </w:r>
          </w:p>
        </w:tc>
        <w:tc>
          <w:tcPr>
            <w:tcW w:w="1105" w:type="dxa"/>
            <w:shd w:val="clear" w:color="auto" w:fill="auto"/>
            <w:tcMar>
              <w:top w:w="28" w:type="dxa"/>
              <w:left w:w="57" w:type="dxa"/>
              <w:bottom w:w="28" w:type="dxa"/>
              <w:right w:w="57" w:type="dxa"/>
            </w:tcMar>
          </w:tcPr>
          <w:p w:rsidR="00F21BF0" w:rsidRPr="00F21BF0" w:rsidRDefault="00F21BF0" w:rsidP="00AA577D">
            <w:pPr>
              <w:jc w:val="left"/>
              <w:rPr>
                <w:sz w:val="16"/>
              </w:rPr>
            </w:pPr>
            <w:r w:rsidRPr="00F21BF0">
              <w:rPr>
                <w:sz w:val="16"/>
              </w:rPr>
              <w:t>Genf, Schweiz</w:t>
            </w:r>
          </w:p>
        </w:tc>
        <w:tc>
          <w:tcPr>
            <w:tcW w:w="1446" w:type="dxa"/>
            <w:shd w:val="clear" w:color="auto" w:fill="auto"/>
            <w:tcMar>
              <w:top w:w="28" w:type="dxa"/>
              <w:left w:w="57" w:type="dxa"/>
              <w:bottom w:w="28" w:type="dxa"/>
              <w:right w:w="57" w:type="dxa"/>
            </w:tcMar>
          </w:tcPr>
          <w:p w:rsidR="00F21BF0" w:rsidRPr="00F21BF0" w:rsidRDefault="00F21BF0" w:rsidP="00AA577D">
            <w:pPr>
              <w:jc w:val="left"/>
              <w:rPr>
                <w:sz w:val="16"/>
              </w:rPr>
            </w:pPr>
            <w:r w:rsidRPr="00F21BF0">
              <w:rPr>
                <w:sz w:val="16"/>
              </w:rPr>
              <w:t>UPOV</w:t>
            </w:r>
          </w:p>
        </w:tc>
        <w:tc>
          <w:tcPr>
            <w:tcW w:w="1560" w:type="dxa"/>
            <w:shd w:val="clear" w:color="auto" w:fill="auto"/>
            <w:tcMar>
              <w:top w:w="28" w:type="dxa"/>
              <w:left w:w="57" w:type="dxa"/>
              <w:bottom w:w="28" w:type="dxa"/>
              <w:right w:w="57" w:type="dxa"/>
            </w:tcMar>
          </w:tcPr>
          <w:p w:rsidR="00F21BF0" w:rsidRPr="00F21BF0" w:rsidRDefault="00F21BF0" w:rsidP="00AA577D">
            <w:pPr>
              <w:jc w:val="left"/>
              <w:rPr>
                <w:sz w:val="16"/>
              </w:rPr>
            </w:pPr>
            <w:r w:rsidRPr="00F21BF0">
              <w:rPr>
                <w:sz w:val="16"/>
              </w:rPr>
              <w:t>Erörterung wesentlicher Fragen betreffend Sortenschutz</w:t>
            </w:r>
          </w:p>
        </w:tc>
        <w:tc>
          <w:tcPr>
            <w:tcW w:w="2551" w:type="dxa"/>
            <w:shd w:val="clear" w:color="auto" w:fill="auto"/>
            <w:tcMar>
              <w:top w:w="28" w:type="dxa"/>
              <w:left w:w="57" w:type="dxa"/>
              <w:bottom w:w="28" w:type="dxa"/>
              <w:right w:w="57" w:type="dxa"/>
            </w:tcMar>
          </w:tcPr>
          <w:p w:rsidR="00F21BF0" w:rsidRPr="00F21BF0" w:rsidRDefault="00F21BF0" w:rsidP="00AA577D">
            <w:pPr>
              <w:jc w:val="left"/>
              <w:rPr>
                <w:sz w:val="16"/>
              </w:rPr>
            </w:pPr>
            <w:r w:rsidRPr="00F21BF0">
              <w:rPr>
                <w:sz w:val="16"/>
              </w:rPr>
              <w:t>UPOV (7), Europäischen Kommission (2), CPVO (3), Vertragsparteien, Beobachter und Organisationen (insgesamt 68)</w:t>
            </w:r>
          </w:p>
        </w:tc>
      </w:tr>
      <w:tr w:rsidR="00F21BF0" w:rsidRPr="002D163A" w:rsidTr="00F21BF0">
        <w:tc>
          <w:tcPr>
            <w:tcW w:w="1696" w:type="dxa"/>
            <w:shd w:val="clear" w:color="auto" w:fill="auto"/>
            <w:tcMar>
              <w:top w:w="28" w:type="dxa"/>
              <w:left w:w="57" w:type="dxa"/>
              <w:bottom w:w="28" w:type="dxa"/>
              <w:right w:w="57" w:type="dxa"/>
            </w:tcMar>
          </w:tcPr>
          <w:p w:rsidR="00F21BF0" w:rsidRPr="00F21BF0" w:rsidRDefault="00F21BF0" w:rsidP="00AA577D">
            <w:pPr>
              <w:jc w:val="left"/>
              <w:rPr>
                <w:sz w:val="16"/>
              </w:rPr>
            </w:pPr>
            <w:r w:rsidRPr="00F21BF0">
              <w:rPr>
                <w:sz w:val="16"/>
              </w:rPr>
              <w:t>4. Virtuelle Tagung des Rates der UPOV</w:t>
            </w:r>
          </w:p>
        </w:tc>
        <w:tc>
          <w:tcPr>
            <w:tcW w:w="1418" w:type="dxa"/>
            <w:shd w:val="clear" w:color="auto" w:fill="auto"/>
            <w:tcMar>
              <w:top w:w="28" w:type="dxa"/>
              <w:left w:w="57" w:type="dxa"/>
              <w:bottom w:w="28" w:type="dxa"/>
              <w:right w:w="57" w:type="dxa"/>
            </w:tcMar>
          </w:tcPr>
          <w:p w:rsidR="00F21BF0" w:rsidRPr="00F21BF0" w:rsidRDefault="00F21BF0" w:rsidP="00AA577D">
            <w:pPr>
              <w:jc w:val="left"/>
              <w:rPr>
                <w:sz w:val="16"/>
              </w:rPr>
            </w:pPr>
            <w:r w:rsidRPr="00F21BF0">
              <w:rPr>
                <w:sz w:val="16"/>
              </w:rPr>
              <w:t>30. Oktober 2020</w:t>
            </w:r>
          </w:p>
        </w:tc>
        <w:tc>
          <w:tcPr>
            <w:tcW w:w="1105" w:type="dxa"/>
            <w:shd w:val="clear" w:color="auto" w:fill="auto"/>
            <w:tcMar>
              <w:top w:w="28" w:type="dxa"/>
              <w:left w:w="57" w:type="dxa"/>
              <w:bottom w:w="28" w:type="dxa"/>
              <w:right w:w="57" w:type="dxa"/>
            </w:tcMar>
          </w:tcPr>
          <w:p w:rsidR="00F21BF0" w:rsidRPr="00F21BF0" w:rsidRDefault="00F21BF0" w:rsidP="00AA577D">
            <w:pPr>
              <w:jc w:val="left"/>
              <w:rPr>
                <w:sz w:val="16"/>
              </w:rPr>
            </w:pPr>
            <w:r w:rsidRPr="00F21BF0">
              <w:rPr>
                <w:sz w:val="16"/>
              </w:rPr>
              <w:t>Genf, Schweiz</w:t>
            </w:r>
          </w:p>
        </w:tc>
        <w:tc>
          <w:tcPr>
            <w:tcW w:w="1446" w:type="dxa"/>
            <w:shd w:val="clear" w:color="auto" w:fill="auto"/>
            <w:tcMar>
              <w:top w:w="28" w:type="dxa"/>
              <w:left w:w="57" w:type="dxa"/>
              <w:bottom w:w="28" w:type="dxa"/>
              <w:right w:w="57" w:type="dxa"/>
            </w:tcMar>
          </w:tcPr>
          <w:p w:rsidR="00F21BF0" w:rsidRPr="00F21BF0" w:rsidRDefault="00F21BF0" w:rsidP="00AA577D">
            <w:pPr>
              <w:jc w:val="left"/>
              <w:rPr>
                <w:sz w:val="16"/>
              </w:rPr>
            </w:pPr>
            <w:r w:rsidRPr="00F21BF0">
              <w:rPr>
                <w:sz w:val="16"/>
              </w:rPr>
              <w:t>UPOV</w:t>
            </w:r>
          </w:p>
        </w:tc>
        <w:tc>
          <w:tcPr>
            <w:tcW w:w="1560" w:type="dxa"/>
            <w:shd w:val="clear" w:color="auto" w:fill="auto"/>
            <w:tcMar>
              <w:top w:w="28" w:type="dxa"/>
              <w:left w:w="57" w:type="dxa"/>
              <w:bottom w:w="28" w:type="dxa"/>
              <w:right w:w="57" w:type="dxa"/>
            </w:tcMar>
          </w:tcPr>
          <w:p w:rsidR="00F21BF0" w:rsidRPr="00F21BF0" w:rsidRDefault="00F21BF0" w:rsidP="00AA577D">
            <w:pPr>
              <w:jc w:val="left"/>
              <w:rPr>
                <w:sz w:val="16"/>
              </w:rPr>
            </w:pPr>
            <w:r w:rsidRPr="00F21BF0">
              <w:rPr>
                <w:sz w:val="16"/>
              </w:rPr>
              <w:t>Erörterung wesentlicher Fragen betreffend Sortenschutz</w:t>
            </w:r>
          </w:p>
        </w:tc>
        <w:tc>
          <w:tcPr>
            <w:tcW w:w="2551" w:type="dxa"/>
            <w:shd w:val="clear" w:color="auto" w:fill="auto"/>
            <w:tcMar>
              <w:top w:w="28" w:type="dxa"/>
              <w:left w:w="57" w:type="dxa"/>
              <w:bottom w:w="28" w:type="dxa"/>
              <w:right w:w="57" w:type="dxa"/>
            </w:tcMar>
          </w:tcPr>
          <w:p w:rsidR="00F21BF0" w:rsidRPr="00F21BF0" w:rsidRDefault="00F21BF0" w:rsidP="00AA577D">
            <w:pPr>
              <w:jc w:val="left"/>
              <w:rPr>
                <w:sz w:val="16"/>
              </w:rPr>
            </w:pPr>
            <w:r w:rsidRPr="00F21BF0">
              <w:rPr>
                <w:sz w:val="16"/>
              </w:rPr>
              <w:t>UPOV (7), Europäischen Kommission (2), CPVO (3), Vertragsparteien, Beobachter und Organisationen (insgesamt 68)</w:t>
            </w:r>
          </w:p>
        </w:tc>
      </w:tr>
      <w:tr w:rsidR="00F21BF0" w:rsidRPr="002D163A" w:rsidTr="00F21BF0">
        <w:tc>
          <w:tcPr>
            <w:tcW w:w="1696" w:type="dxa"/>
            <w:shd w:val="clear" w:color="auto" w:fill="auto"/>
            <w:tcMar>
              <w:top w:w="28" w:type="dxa"/>
              <w:left w:w="57" w:type="dxa"/>
              <w:bottom w:w="28" w:type="dxa"/>
              <w:right w:w="57" w:type="dxa"/>
            </w:tcMar>
          </w:tcPr>
          <w:p w:rsidR="00F21BF0" w:rsidRPr="00F21BF0" w:rsidRDefault="00F21BF0" w:rsidP="00AA577D">
            <w:pPr>
              <w:jc w:val="left"/>
              <w:rPr>
                <w:sz w:val="16"/>
              </w:rPr>
            </w:pPr>
            <w:r w:rsidRPr="00F21BF0">
              <w:rPr>
                <w:sz w:val="16"/>
              </w:rPr>
              <w:t>5. Virtuelle CPVO-Tagung mit den Prüfungsämtern</w:t>
            </w:r>
          </w:p>
        </w:tc>
        <w:tc>
          <w:tcPr>
            <w:tcW w:w="1418" w:type="dxa"/>
            <w:shd w:val="clear" w:color="auto" w:fill="auto"/>
            <w:tcMar>
              <w:top w:w="28" w:type="dxa"/>
              <w:left w:w="57" w:type="dxa"/>
              <w:bottom w:w="28" w:type="dxa"/>
              <w:right w:w="57" w:type="dxa"/>
            </w:tcMar>
          </w:tcPr>
          <w:p w:rsidR="00F21BF0" w:rsidRPr="00F21BF0" w:rsidRDefault="00F21BF0" w:rsidP="00AA577D">
            <w:pPr>
              <w:jc w:val="left"/>
              <w:rPr>
                <w:sz w:val="16"/>
              </w:rPr>
            </w:pPr>
            <w:r w:rsidRPr="00F21BF0">
              <w:rPr>
                <w:sz w:val="16"/>
              </w:rPr>
              <w:t>23. Dezember 2020</w:t>
            </w:r>
          </w:p>
        </w:tc>
        <w:tc>
          <w:tcPr>
            <w:tcW w:w="1105" w:type="dxa"/>
            <w:shd w:val="clear" w:color="auto" w:fill="auto"/>
            <w:tcMar>
              <w:top w:w="28" w:type="dxa"/>
              <w:left w:w="57" w:type="dxa"/>
              <w:bottom w:w="28" w:type="dxa"/>
              <w:right w:w="57" w:type="dxa"/>
            </w:tcMar>
          </w:tcPr>
          <w:p w:rsidR="00F21BF0" w:rsidRPr="00F21BF0" w:rsidRDefault="00F21BF0" w:rsidP="00AA577D">
            <w:pPr>
              <w:jc w:val="left"/>
              <w:rPr>
                <w:sz w:val="16"/>
              </w:rPr>
            </w:pPr>
            <w:r w:rsidRPr="00F21BF0">
              <w:rPr>
                <w:sz w:val="16"/>
              </w:rPr>
              <w:t>Angers, Frankreich</w:t>
            </w:r>
          </w:p>
          <w:p w:rsidR="00F21BF0" w:rsidRPr="00F21BF0" w:rsidRDefault="00F21BF0" w:rsidP="00AA577D">
            <w:pPr>
              <w:jc w:val="left"/>
              <w:rPr>
                <w:sz w:val="16"/>
              </w:rPr>
            </w:pPr>
          </w:p>
        </w:tc>
        <w:tc>
          <w:tcPr>
            <w:tcW w:w="1446" w:type="dxa"/>
            <w:shd w:val="clear" w:color="auto" w:fill="auto"/>
            <w:tcMar>
              <w:top w:w="28" w:type="dxa"/>
              <w:left w:w="57" w:type="dxa"/>
              <w:bottom w:w="28" w:type="dxa"/>
              <w:right w:w="57" w:type="dxa"/>
            </w:tcMar>
          </w:tcPr>
          <w:p w:rsidR="00F21BF0" w:rsidRPr="00F21BF0" w:rsidRDefault="00F21BF0" w:rsidP="00AA577D">
            <w:pPr>
              <w:jc w:val="left"/>
              <w:rPr>
                <w:sz w:val="16"/>
              </w:rPr>
            </w:pPr>
            <w:r w:rsidRPr="00F21BF0">
              <w:rPr>
                <w:sz w:val="16"/>
              </w:rPr>
              <w:t>CPVO</w:t>
            </w:r>
          </w:p>
        </w:tc>
        <w:tc>
          <w:tcPr>
            <w:tcW w:w="1560" w:type="dxa"/>
            <w:shd w:val="clear" w:color="auto" w:fill="auto"/>
            <w:tcMar>
              <w:top w:w="28" w:type="dxa"/>
              <w:left w:w="57" w:type="dxa"/>
              <w:bottom w:w="28" w:type="dxa"/>
              <w:right w:w="57" w:type="dxa"/>
            </w:tcMar>
          </w:tcPr>
          <w:p w:rsidR="00F21BF0" w:rsidRPr="00F21BF0" w:rsidRDefault="00F21BF0" w:rsidP="00AA577D">
            <w:pPr>
              <w:jc w:val="left"/>
              <w:rPr>
                <w:sz w:val="16"/>
              </w:rPr>
            </w:pPr>
            <w:r w:rsidRPr="00F21BF0">
              <w:rPr>
                <w:sz w:val="16"/>
              </w:rPr>
              <w:t>Erörterung wesentlicher Fragen betreffend Sortenschutz</w:t>
            </w:r>
          </w:p>
        </w:tc>
        <w:tc>
          <w:tcPr>
            <w:tcW w:w="2551" w:type="dxa"/>
            <w:shd w:val="clear" w:color="auto" w:fill="auto"/>
            <w:tcMar>
              <w:top w:w="28" w:type="dxa"/>
              <w:left w:w="57" w:type="dxa"/>
              <w:bottom w:w="28" w:type="dxa"/>
              <w:right w:w="57" w:type="dxa"/>
            </w:tcMar>
          </w:tcPr>
          <w:p w:rsidR="00F21BF0" w:rsidRPr="00F21BF0" w:rsidRDefault="00F21BF0" w:rsidP="00AA577D">
            <w:pPr>
              <w:jc w:val="left"/>
              <w:rPr>
                <w:sz w:val="16"/>
              </w:rPr>
            </w:pPr>
            <w:r w:rsidRPr="00F21BF0">
              <w:rPr>
                <w:sz w:val="16"/>
              </w:rPr>
              <w:t>Europäischen Kommission (2), CPVO (7), Beobachter und Mitgliedstaaten (insgesamt 71)</w:t>
            </w:r>
          </w:p>
        </w:tc>
      </w:tr>
    </w:tbl>
    <w:p w:rsidR="00F21BF0" w:rsidRPr="005F69CB" w:rsidRDefault="00F21BF0" w:rsidP="00F21BF0">
      <w:pPr>
        <w:rPr>
          <w:rFonts w:cs="Arial"/>
        </w:rPr>
      </w:pPr>
    </w:p>
    <w:p w:rsidR="00F21BF0" w:rsidRPr="00D80EBE" w:rsidRDefault="00F21BF0" w:rsidP="00F21BF0">
      <w:pPr>
        <w:ind w:left="567" w:hanging="567"/>
        <w:rPr>
          <w:rFonts w:cs="Arial"/>
        </w:rPr>
      </w:pPr>
      <w:r>
        <w:rPr>
          <w:rFonts w:cs="Arial"/>
        </w:rPr>
        <w:t>–</w:t>
      </w:r>
      <w:r>
        <w:rPr>
          <w:rFonts w:cs="Arial"/>
        </w:rPr>
        <w:tab/>
        <w:t>Das Informationsblatt für Züchterrechte und die Nationale Sortenliste Nr. 1 (33) des dem Landwirtschaftsministerium der Republik Litauen unterstellten staatlichen Sortenprüfungszentrums wurde am 20. Januar 2020 und Nr. 2 (34) am 1. Juni 2020 herausgegeben</w:t>
      </w:r>
    </w:p>
    <w:p w:rsidR="00F21BF0" w:rsidRPr="00D80EBE" w:rsidRDefault="00F21BF0" w:rsidP="00F21BF0"/>
    <w:p w:rsidR="00F21BF0" w:rsidRPr="00D80EBE" w:rsidRDefault="00F21BF0" w:rsidP="00F21BF0"/>
    <w:p w:rsidR="00F21BF0" w:rsidRPr="00D80EBE" w:rsidRDefault="00F21BF0" w:rsidP="00F21BF0">
      <w:r>
        <w:t>II.</w:t>
      </w:r>
      <w:r>
        <w:tab/>
        <w:t>ANDERE ENTWICKLUNGEN VON BELANG FÜR DIE UPOV</w:t>
      </w:r>
    </w:p>
    <w:p w:rsidR="00F21BF0" w:rsidRPr="00D80EBE" w:rsidRDefault="00F21BF0" w:rsidP="00F21BF0"/>
    <w:p w:rsidR="00F21BF0" w:rsidRPr="00412FE7" w:rsidRDefault="00F21BF0" w:rsidP="00F21BF0">
      <w:pPr>
        <w:ind w:left="567" w:hanging="567"/>
        <w:rPr>
          <w:rFonts w:cs="Arial"/>
        </w:rPr>
      </w:pPr>
      <w:r>
        <w:rPr>
          <w:rFonts w:cs="Arial"/>
        </w:rPr>
        <w:t>–</w:t>
      </w:r>
      <w:r>
        <w:rPr>
          <w:rFonts w:cs="Arial"/>
        </w:rPr>
        <w:tab/>
        <w:t>Die litauische Nationale Sortenliste 2020 wurde auf Verfügung Nr. A1-75 des Direktors der dem Landwirtschaftsministerium der Republik Litauen unterstellten staatlichen Pflanzendienststelle am 27. Februar 2020 bestätigt. Das Vermehrungsmaterial jeder eingetragenen Sorte jeder Pflanzenart kann gemäß den im Einklang mit den entsprechenden EU-Richtlinien erarbeiteten obligatorischen Anforderungen zertifiziert werden.</w:t>
      </w:r>
    </w:p>
    <w:p w:rsidR="00F21BF0" w:rsidRPr="001C17CF" w:rsidRDefault="00F21BF0" w:rsidP="00F21BF0">
      <w:pPr>
        <w:rPr>
          <w:rFonts w:cs="Arial"/>
        </w:rPr>
      </w:pPr>
    </w:p>
    <w:p w:rsidR="004128AB" w:rsidRPr="006F3121" w:rsidRDefault="004128AB" w:rsidP="004128AB">
      <w:pPr>
        <w:jc w:val="left"/>
      </w:pPr>
    </w:p>
    <w:p w:rsidR="00F052E2" w:rsidRPr="006F3121" w:rsidRDefault="00F052E2" w:rsidP="004128AB">
      <w:pPr>
        <w:jc w:val="left"/>
      </w:pPr>
    </w:p>
    <w:p w:rsidR="004128AB" w:rsidRPr="006F3121" w:rsidRDefault="004128AB" w:rsidP="004128AB">
      <w:pPr>
        <w:jc w:val="right"/>
      </w:pPr>
      <w:r w:rsidRPr="006F3121">
        <w:t>[Anlage VI folgt]</w:t>
      </w:r>
    </w:p>
    <w:p w:rsidR="004128AB" w:rsidRPr="006F3121" w:rsidRDefault="004128AB" w:rsidP="004128AB"/>
    <w:p w:rsidR="004128AB" w:rsidRPr="006F3121" w:rsidRDefault="004128AB" w:rsidP="004128AB">
      <w:pPr>
        <w:jc w:val="left"/>
        <w:sectPr w:rsidR="004128AB" w:rsidRPr="006F3121" w:rsidSect="00CE587F">
          <w:headerReference w:type="default" r:id="rId24"/>
          <w:pgSz w:w="11907" w:h="16840" w:code="9"/>
          <w:pgMar w:top="510" w:right="1134" w:bottom="1134" w:left="1134" w:header="510" w:footer="680" w:gutter="0"/>
          <w:pgNumType w:start="1"/>
          <w:cols w:space="720"/>
          <w:titlePg/>
        </w:sectPr>
      </w:pPr>
    </w:p>
    <w:p w:rsidR="004128AB" w:rsidRPr="006F3121" w:rsidRDefault="006F5780" w:rsidP="004128AB">
      <w:pPr>
        <w:jc w:val="center"/>
      </w:pPr>
      <w:r>
        <w:lastRenderedPageBreak/>
        <w:t>C/55/INF/4</w:t>
      </w:r>
    </w:p>
    <w:p w:rsidR="004128AB" w:rsidRPr="006F3121" w:rsidRDefault="004128AB" w:rsidP="004128AB">
      <w:pPr>
        <w:jc w:val="center"/>
      </w:pPr>
    </w:p>
    <w:p w:rsidR="004128AB" w:rsidRPr="006F3121" w:rsidRDefault="004128AB" w:rsidP="004128AB">
      <w:pPr>
        <w:jc w:val="center"/>
      </w:pPr>
      <w:r w:rsidRPr="006F3121">
        <w:t>ANLAGE VI</w:t>
      </w:r>
    </w:p>
    <w:p w:rsidR="004128AB" w:rsidRPr="006F3121" w:rsidRDefault="004128AB" w:rsidP="004128AB">
      <w:pPr>
        <w:jc w:val="center"/>
      </w:pPr>
    </w:p>
    <w:p w:rsidR="004128AB" w:rsidRPr="006F3121" w:rsidRDefault="004128AB" w:rsidP="004128AB">
      <w:pPr>
        <w:jc w:val="center"/>
      </w:pPr>
    </w:p>
    <w:p w:rsidR="00011A54" w:rsidRPr="006F3121" w:rsidRDefault="00713625" w:rsidP="00011A54">
      <w:pPr>
        <w:jc w:val="center"/>
      </w:pPr>
      <w:r>
        <w:t>MEXIKO</w:t>
      </w:r>
    </w:p>
    <w:p w:rsidR="00011A54" w:rsidRPr="006F3121" w:rsidRDefault="00011A54" w:rsidP="00011A54"/>
    <w:p w:rsidR="00011A54" w:rsidRPr="006F3121" w:rsidRDefault="00011A54" w:rsidP="00011A54"/>
    <w:p w:rsidR="00F21BF0" w:rsidRPr="009161E7" w:rsidRDefault="00F21BF0" w:rsidP="00F21BF0">
      <w:pPr>
        <w:rPr>
          <w:lang w:val="de-CH"/>
        </w:rPr>
      </w:pPr>
      <w:r w:rsidRPr="009161E7">
        <w:rPr>
          <w:lang w:val="de-CH"/>
        </w:rPr>
        <w:t>SORTENSCHUTZ</w:t>
      </w:r>
    </w:p>
    <w:p w:rsidR="00F21BF0" w:rsidRPr="009161E7" w:rsidRDefault="00F21BF0" w:rsidP="00F21BF0">
      <w:pPr>
        <w:rPr>
          <w:lang w:val="de-CH"/>
        </w:rPr>
      </w:pPr>
    </w:p>
    <w:p w:rsidR="00F21BF0" w:rsidRPr="009161E7" w:rsidRDefault="00F21BF0" w:rsidP="00F21BF0">
      <w:pPr>
        <w:rPr>
          <w:u w:val="single"/>
          <w:lang w:val="de-CH"/>
        </w:rPr>
      </w:pPr>
      <w:r w:rsidRPr="009161E7">
        <w:rPr>
          <w:lang w:val="de-CH"/>
        </w:rPr>
        <w:t>1.</w:t>
      </w:r>
      <w:r w:rsidRPr="009161E7">
        <w:rPr>
          <w:lang w:val="de-CH"/>
        </w:rPr>
        <w:tab/>
      </w:r>
      <w:r w:rsidRPr="009161E7">
        <w:rPr>
          <w:u w:val="single"/>
          <w:lang w:val="de-CH"/>
        </w:rPr>
        <w:t>Lage auf dem Gebiet der Gesetzgebung</w:t>
      </w:r>
    </w:p>
    <w:p w:rsidR="00F21BF0" w:rsidRPr="009161E7" w:rsidRDefault="00F21BF0" w:rsidP="00F21BF0">
      <w:pPr>
        <w:rPr>
          <w:u w:val="single"/>
          <w:lang w:val="de-CH"/>
        </w:rPr>
      </w:pPr>
    </w:p>
    <w:p w:rsidR="00F21BF0" w:rsidRPr="009161E7" w:rsidRDefault="00F21BF0" w:rsidP="00F21BF0">
      <w:pPr>
        <w:rPr>
          <w:lang w:val="de-CH"/>
        </w:rPr>
      </w:pPr>
      <w:r w:rsidRPr="009161E7">
        <w:rPr>
          <w:lang w:val="de-CH"/>
        </w:rPr>
        <w:t>Mexiko ist seit August 1997 Vertragspartei des UPOV-Übereinkommens, und die  geltende Gesetzgebung stimmt mit der Akte von 1978 überein. In den letzten Jahren wurde</w:t>
      </w:r>
      <w:r>
        <w:rPr>
          <w:lang w:val="de-CH"/>
        </w:rPr>
        <w:t>n</w:t>
      </w:r>
      <w:r w:rsidRPr="009161E7">
        <w:rPr>
          <w:lang w:val="de-CH"/>
        </w:rPr>
        <w:t xml:space="preserve"> jedoch Vorschläge zur Änderung des mexikanischen Bundessortenschutzgesetzes von 1996 </w:t>
      </w:r>
      <w:r>
        <w:rPr>
          <w:lang w:val="de-CH"/>
        </w:rPr>
        <w:t>aus</w:t>
      </w:r>
      <w:r w:rsidRPr="009161E7">
        <w:rPr>
          <w:lang w:val="de-CH"/>
        </w:rPr>
        <w:t>gearbeitet.</w:t>
      </w:r>
    </w:p>
    <w:p w:rsidR="00F21BF0" w:rsidRPr="009161E7" w:rsidRDefault="00F21BF0" w:rsidP="00F21BF0">
      <w:pPr>
        <w:rPr>
          <w:lang w:val="de-CH"/>
        </w:rPr>
      </w:pPr>
    </w:p>
    <w:p w:rsidR="00F21BF0" w:rsidRPr="009161E7" w:rsidRDefault="00F21BF0" w:rsidP="00F21BF0">
      <w:pPr>
        <w:rPr>
          <w:lang w:val="de-CH"/>
        </w:rPr>
      </w:pPr>
      <w:r w:rsidRPr="009161E7">
        <w:rPr>
          <w:lang w:val="de-CH"/>
        </w:rPr>
        <w:t>1.1</w:t>
      </w:r>
      <w:r>
        <w:rPr>
          <w:lang w:val="de-CH"/>
        </w:rPr>
        <w:tab/>
      </w:r>
      <w:r w:rsidRPr="009161E7">
        <w:rPr>
          <w:lang w:val="de-CH"/>
        </w:rPr>
        <w:t xml:space="preserve">Änderungen des </w:t>
      </w:r>
      <w:r>
        <w:rPr>
          <w:lang w:val="de-CH"/>
        </w:rPr>
        <w:t>Bundessortenschutzg</w:t>
      </w:r>
      <w:r w:rsidRPr="009161E7">
        <w:rPr>
          <w:lang w:val="de-CH"/>
        </w:rPr>
        <w:t>esetzes und seiner Durchführungsbestimmungen</w:t>
      </w:r>
    </w:p>
    <w:p w:rsidR="00F21BF0" w:rsidRPr="009161E7" w:rsidRDefault="00F21BF0" w:rsidP="00F21BF0">
      <w:pPr>
        <w:rPr>
          <w:lang w:val="de-CH"/>
        </w:rPr>
      </w:pPr>
    </w:p>
    <w:p w:rsidR="00F21BF0" w:rsidRPr="009161E7" w:rsidRDefault="00F21BF0" w:rsidP="00F21BF0">
      <w:pPr>
        <w:jc w:val="left"/>
        <w:rPr>
          <w:lang w:val="de-CH"/>
        </w:rPr>
      </w:pPr>
      <w:r w:rsidRPr="009161E7">
        <w:rPr>
          <w:lang w:val="de-CH"/>
        </w:rPr>
        <w:t>Die Gebühren werden jährlich angepasst</w:t>
      </w:r>
      <w:r>
        <w:rPr>
          <w:lang w:val="de-CH"/>
        </w:rPr>
        <w:t>; die aktuellen Sätze</w:t>
      </w:r>
      <w:r w:rsidRPr="009161E7">
        <w:rPr>
          <w:lang w:val="de-CH"/>
        </w:rPr>
        <w:t xml:space="preserve"> sind </w:t>
      </w:r>
      <w:r>
        <w:rPr>
          <w:lang w:val="de-CH"/>
        </w:rPr>
        <w:t>folgender Website zu entnehmen</w:t>
      </w:r>
      <w:r w:rsidRPr="009161E7">
        <w:rPr>
          <w:lang w:val="de-CH"/>
        </w:rPr>
        <w:t xml:space="preserve">: </w:t>
      </w:r>
      <w:hyperlink r:id="rId25" w:history="1">
        <w:r w:rsidRPr="009161E7">
          <w:rPr>
            <w:rStyle w:val="Hyperlink"/>
            <w:rFonts w:cs="Arial"/>
            <w:lang w:val="de-CH"/>
          </w:rPr>
          <w:t>https://www.gob.mx/cms/uploads/attachment/file/606574/Cuotas-Derechos-2021.pdf</w:t>
        </w:r>
      </w:hyperlink>
    </w:p>
    <w:p w:rsidR="00F21BF0" w:rsidRPr="009161E7" w:rsidRDefault="00F21BF0" w:rsidP="00F21BF0">
      <w:pPr>
        <w:rPr>
          <w:lang w:val="de-CH"/>
        </w:rPr>
      </w:pPr>
    </w:p>
    <w:p w:rsidR="00F21BF0" w:rsidRPr="009161E7" w:rsidRDefault="00F21BF0" w:rsidP="00F21BF0">
      <w:pPr>
        <w:rPr>
          <w:lang w:val="de-CH"/>
        </w:rPr>
      </w:pPr>
      <w:r w:rsidRPr="009161E7">
        <w:rPr>
          <w:lang w:val="de-CH"/>
        </w:rPr>
        <w:t>1.2</w:t>
      </w:r>
      <w:r>
        <w:rPr>
          <w:lang w:val="de-CH"/>
        </w:rPr>
        <w:tab/>
      </w:r>
      <w:r w:rsidRPr="009161E7">
        <w:rPr>
          <w:lang w:val="de-CH"/>
        </w:rPr>
        <w:t>Ausweitung des Schutzes auf weitere Gattungen und Arten (durchgeführt oder geplant)</w:t>
      </w:r>
    </w:p>
    <w:p w:rsidR="00F21BF0" w:rsidRPr="009161E7" w:rsidRDefault="00F21BF0" w:rsidP="00F21BF0">
      <w:pPr>
        <w:rPr>
          <w:lang w:val="de-CH"/>
        </w:rPr>
      </w:pPr>
    </w:p>
    <w:p w:rsidR="00F21BF0" w:rsidRPr="009161E7" w:rsidRDefault="00F21BF0" w:rsidP="00F21BF0">
      <w:pPr>
        <w:rPr>
          <w:lang w:val="de-CH"/>
        </w:rPr>
      </w:pPr>
      <w:r w:rsidRPr="009161E7">
        <w:rPr>
          <w:lang w:val="de-CH"/>
        </w:rPr>
        <w:t>In Mexiko sind seit Verkündung des Bundessortenschutzgesetzes alle Gattungen und Arten schutzfähig.</w:t>
      </w:r>
    </w:p>
    <w:p w:rsidR="00F21BF0" w:rsidRPr="009161E7" w:rsidRDefault="00F21BF0" w:rsidP="00F21BF0">
      <w:pPr>
        <w:rPr>
          <w:lang w:val="de-CH"/>
        </w:rPr>
      </w:pPr>
    </w:p>
    <w:p w:rsidR="00F21BF0" w:rsidRPr="009161E7" w:rsidRDefault="00F21BF0" w:rsidP="00F21BF0">
      <w:pPr>
        <w:rPr>
          <w:lang w:val="de-CH"/>
        </w:rPr>
      </w:pPr>
    </w:p>
    <w:p w:rsidR="00F21BF0" w:rsidRPr="009161E7" w:rsidRDefault="00F21BF0" w:rsidP="00F21BF0">
      <w:pPr>
        <w:rPr>
          <w:u w:val="single"/>
          <w:lang w:val="de-CH"/>
        </w:rPr>
      </w:pPr>
      <w:r w:rsidRPr="009161E7">
        <w:rPr>
          <w:lang w:val="de-CH"/>
        </w:rPr>
        <w:t>2.</w:t>
      </w:r>
      <w:r w:rsidRPr="009161E7">
        <w:rPr>
          <w:lang w:val="de-CH"/>
        </w:rPr>
        <w:tab/>
      </w:r>
      <w:r w:rsidRPr="009161E7">
        <w:rPr>
          <w:u w:val="single"/>
          <w:lang w:val="de-CH"/>
        </w:rPr>
        <w:t>Zusammenarbeit bei der Prüfung</w:t>
      </w:r>
    </w:p>
    <w:p w:rsidR="00F21BF0" w:rsidRPr="009161E7" w:rsidRDefault="00F21BF0" w:rsidP="00F21BF0">
      <w:pPr>
        <w:rPr>
          <w:u w:val="single"/>
          <w:lang w:val="de-CH"/>
        </w:rPr>
      </w:pPr>
    </w:p>
    <w:p w:rsidR="00F21BF0" w:rsidRPr="009161E7" w:rsidRDefault="00F21BF0" w:rsidP="00F21BF0">
      <w:pPr>
        <w:tabs>
          <w:tab w:val="left" w:pos="851"/>
        </w:tabs>
        <w:ind w:left="426"/>
        <w:rPr>
          <w:lang w:val="de-CH"/>
        </w:rPr>
      </w:pPr>
      <w:r w:rsidRPr="009161E7">
        <w:rPr>
          <w:lang w:val="de-CH"/>
        </w:rPr>
        <w:t>Änderung bestehender Vereinbarungen</w:t>
      </w:r>
    </w:p>
    <w:p w:rsidR="00F21BF0" w:rsidRPr="009161E7" w:rsidRDefault="00F21BF0" w:rsidP="00F21BF0">
      <w:pPr>
        <w:rPr>
          <w:lang w:val="de-CH"/>
        </w:rPr>
      </w:pPr>
    </w:p>
    <w:p w:rsidR="00F21BF0" w:rsidRPr="009161E7" w:rsidRDefault="00F21BF0" w:rsidP="00F21BF0">
      <w:pPr>
        <w:ind w:left="426"/>
        <w:rPr>
          <w:lang w:val="de-CH"/>
        </w:rPr>
      </w:pPr>
      <w:r w:rsidRPr="009161E7">
        <w:rPr>
          <w:lang w:val="de-CH"/>
        </w:rPr>
        <w:t xml:space="preserve">Die 2008 zwischen dem Gemeinschaftlichen Sortenamt (CPVO) und dem Nationalen Amt für Saatgutprüfung und </w:t>
      </w:r>
      <w:r w:rsidRPr="009161E7">
        <w:rPr>
          <w:rFonts w:ascii="Cambria Math" w:hAnsi="Cambria Math" w:cs="Cambria Math"/>
          <w:lang w:val="de-CH"/>
        </w:rPr>
        <w:t>‑</w:t>
      </w:r>
      <w:r w:rsidRPr="009161E7">
        <w:rPr>
          <w:lang w:val="de-CH"/>
        </w:rPr>
        <w:t>zertifizierung (SNICS) unterzeichnete Vereinbarung über techn</w:t>
      </w:r>
      <w:r>
        <w:rPr>
          <w:lang w:val="de-CH"/>
        </w:rPr>
        <w:t>ische</w:t>
      </w:r>
      <w:r w:rsidRPr="009161E7">
        <w:rPr>
          <w:lang w:val="de-CH"/>
        </w:rPr>
        <w:t xml:space="preserve"> Zusammenarbeit wurde mehrfach </w:t>
      </w:r>
      <w:r>
        <w:rPr>
          <w:lang w:val="de-CH"/>
        </w:rPr>
        <w:t>aktualisiert</w:t>
      </w:r>
      <w:r w:rsidRPr="009161E7">
        <w:rPr>
          <w:lang w:val="de-CH"/>
        </w:rPr>
        <w:t xml:space="preserve">.  </w:t>
      </w:r>
      <w:r>
        <w:rPr>
          <w:lang w:val="de-CH"/>
        </w:rPr>
        <w:t>Die letzte Ausweitung betrifft den Zeitraum 2020-2025. Gemäß dieser</w:t>
      </w:r>
      <w:r w:rsidRPr="009161E7">
        <w:rPr>
          <w:lang w:val="de-CH"/>
        </w:rPr>
        <w:t xml:space="preserve"> Vereinbarung </w:t>
      </w:r>
      <w:r>
        <w:rPr>
          <w:lang w:val="de-CH"/>
        </w:rPr>
        <w:t>wird</w:t>
      </w:r>
      <w:r w:rsidRPr="009161E7">
        <w:rPr>
          <w:lang w:val="de-CH"/>
        </w:rPr>
        <w:t xml:space="preserve"> eine Prüfung auf Unterscheidbarkeit, Homogenität und Beständigkeit („DUS") für Avocado, Guave, </w:t>
      </w:r>
      <w:r>
        <w:rPr>
          <w:lang w:val="de-CH"/>
        </w:rPr>
        <w:t>Purgiernuss</w:t>
      </w:r>
      <w:r w:rsidRPr="009161E7">
        <w:rPr>
          <w:lang w:val="de-CH"/>
        </w:rPr>
        <w:t xml:space="preserve"> und Pitahaya</w:t>
      </w:r>
      <w:r>
        <w:rPr>
          <w:lang w:val="de-CH"/>
        </w:rPr>
        <w:t xml:space="preserve"> durchgeführt</w:t>
      </w:r>
      <w:r w:rsidRPr="009161E7">
        <w:rPr>
          <w:lang w:val="de-CH"/>
        </w:rPr>
        <w:t xml:space="preserve">. </w:t>
      </w:r>
    </w:p>
    <w:p w:rsidR="00F21BF0" w:rsidRDefault="00F21BF0" w:rsidP="00F21BF0">
      <w:pPr>
        <w:rPr>
          <w:lang w:val="de-CH"/>
        </w:rPr>
      </w:pPr>
    </w:p>
    <w:p w:rsidR="00F21BF0" w:rsidRPr="009161E7" w:rsidRDefault="00F21BF0" w:rsidP="00F21BF0">
      <w:pPr>
        <w:rPr>
          <w:lang w:val="de-CH"/>
        </w:rPr>
      </w:pPr>
    </w:p>
    <w:p w:rsidR="00F21BF0" w:rsidRPr="009161E7" w:rsidRDefault="00F21BF0" w:rsidP="00F21BF0">
      <w:pPr>
        <w:rPr>
          <w:lang w:val="de-CH"/>
        </w:rPr>
      </w:pPr>
      <w:r w:rsidRPr="009161E7">
        <w:rPr>
          <w:lang w:val="de-CH"/>
        </w:rPr>
        <w:t>3.</w:t>
      </w:r>
      <w:r w:rsidRPr="009161E7">
        <w:rPr>
          <w:lang w:val="de-CH"/>
        </w:rPr>
        <w:tab/>
      </w:r>
      <w:r w:rsidRPr="009161E7">
        <w:rPr>
          <w:u w:val="single"/>
          <w:lang w:val="de-CH"/>
        </w:rPr>
        <w:t>Lage auf dem Gebiet der Verwaltung</w:t>
      </w:r>
      <w:r w:rsidRPr="009161E7">
        <w:rPr>
          <w:lang w:val="de-CH"/>
        </w:rPr>
        <w:t>: Keine Anmerkungen.</w:t>
      </w:r>
    </w:p>
    <w:p w:rsidR="00F21BF0" w:rsidRDefault="00F21BF0" w:rsidP="00F21BF0">
      <w:pPr>
        <w:rPr>
          <w:lang w:val="de-CH"/>
        </w:rPr>
      </w:pPr>
    </w:p>
    <w:p w:rsidR="00F21BF0" w:rsidRPr="009161E7" w:rsidRDefault="00F21BF0" w:rsidP="00F21BF0">
      <w:pPr>
        <w:rPr>
          <w:lang w:val="de-CH"/>
        </w:rPr>
      </w:pPr>
    </w:p>
    <w:p w:rsidR="00F21BF0" w:rsidRPr="009161E7" w:rsidRDefault="00F21BF0" w:rsidP="00F21BF0">
      <w:pPr>
        <w:rPr>
          <w:lang w:val="de-CH"/>
        </w:rPr>
      </w:pPr>
      <w:r w:rsidRPr="009161E7">
        <w:rPr>
          <w:lang w:val="de-CH"/>
        </w:rPr>
        <w:t>4.</w:t>
      </w:r>
      <w:r w:rsidRPr="009161E7">
        <w:rPr>
          <w:lang w:val="de-CH"/>
        </w:rPr>
        <w:tab/>
      </w:r>
      <w:r w:rsidRPr="009161E7">
        <w:rPr>
          <w:u w:val="single"/>
          <w:lang w:val="de-CH"/>
        </w:rPr>
        <w:t>Lage auf dem Gebiet der Technik</w:t>
      </w:r>
      <w:r w:rsidRPr="009161E7">
        <w:rPr>
          <w:lang w:val="de-CH"/>
        </w:rPr>
        <w:t>: Keine Anmerkungen.</w:t>
      </w:r>
    </w:p>
    <w:p w:rsidR="00F21BF0" w:rsidRDefault="00F21BF0" w:rsidP="00F21BF0">
      <w:pPr>
        <w:rPr>
          <w:lang w:val="de-CH"/>
        </w:rPr>
      </w:pPr>
    </w:p>
    <w:p w:rsidR="00F21BF0" w:rsidRPr="009161E7" w:rsidRDefault="00F21BF0" w:rsidP="00F21BF0">
      <w:pPr>
        <w:rPr>
          <w:lang w:val="de-CH"/>
        </w:rPr>
      </w:pPr>
    </w:p>
    <w:p w:rsidR="00F21BF0" w:rsidRPr="009161E7" w:rsidRDefault="00F21BF0" w:rsidP="00F21BF0">
      <w:pPr>
        <w:rPr>
          <w:u w:val="single"/>
          <w:lang w:val="de-CH"/>
        </w:rPr>
      </w:pPr>
      <w:r w:rsidRPr="009161E7">
        <w:rPr>
          <w:lang w:val="de-CH"/>
        </w:rPr>
        <w:t>5.</w:t>
      </w:r>
      <w:r w:rsidRPr="009161E7">
        <w:rPr>
          <w:lang w:val="de-CH"/>
        </w:rPr>
        <w:tab/>
      </w:r>
      <w:r w:rsidRPr="009161E7">
        <w:rPr>
          <w:u w:val="single"/>
          <w:lang w:val="de-CH"/>
        </w:rPr>
        <w:t xml:space="preserve">Tätigkeiten zur Förderung des Sortenschutzes </w:t>
      </w:r>
    </w:p>
    <w:p w:rsidR="00F21BF0" w:rsidRPr="009161E7" w:rsidRDefault="00F21BF0" w:rsidP="00F21BF0">
      <w:pPr>
        <w:rPr>
          <w:lang w:val="de-CH"/>
        </w:rPr>
      </w:pPr>
    </w:p>
    <w:tbl>
      <w:tblPr>
        <w:tblStyle w:val="TableGrid"/>
        <w:tblW w:w="9918" w:type="dxa"/>
        <w:tblLayout w:type="fixed"/>
        <w:tblCellMar>
          <w:top w:w="28" w:type="dxa"/>
          <w:left w:w="28" w:type="dxa"/>
          <w:bottom w:w="28" w:type="dxa"/>
          <w:right w:w="28" w:type="dxa"/>
        </w:tblCellMar>
        <w:tblLook w:val="01E0" w:firstRow="1" w:lastRow="1" w:firstColumn="1" w:lastColumn="1" w:noHBand="0" w:noVBand="0"/>
      </w:tblPr>
      <w:tblGrid>
        <w:gridCol w:w="1129"/>
        <w:gridCol w:w="851"/>
        <w:gridCol w:w="766"/>
        <w:gridCol w:w="1535"/>
        <w:gridCol w:w="2093"/>
        <w:gridCol w:w="1843"/>
        <w:gridCol w:w="1701"/>
      </w:tblGrid>
      <w:tr w:rsidR="00F21BF0" w:rsidRPr="009161E7" w:rsidTr="00F21BF0">
        <w:tc>
          <w:tcPr>
            <w:tcW w:w="1129" w:type="dxa"/>
          </w:tcPr>
          <w:p w:rsidR="00F21BF0" w:rsidRPr="009161E7" w:rsidRDefault="00F21BF0" w:rsidP="00AA577D">
            <w:pPr>
              <w:jc w:val="left"/>
              <w:rPr>
                <w:sz w:val="16"/>
                <w:szCs w:val="18"/>
                <w:lang w:val="de-CH"/>
              </w:rPr>
            </w:pPr>
            <w:r w:rsidRPr="009161E7">
              <w:rPr>
                <w:sz w:val="16"/>
                <w:szCs w:val="18"/>
                <w:lang w:val="de-CH"/>
              </w:rPr>
              <w:t>Art der Tätigkeit</w:t>
            </w:r>
          </w:p>
        </w:tc>
        <w:tc>
          <w:tcPr>
            <w:tcW w:w="851" w:type="dxa"/>
          </w:tcPr>
          <w:p w:rsidR="00F21BF0" w:rsidRPr="009161E7" w:rsidRDefault="00F21BF0" w:rsidP="00AA577D">
            <w:pPr>
              <w:jc w:val="left"/>
              <w:rPr>
                <w:sz w:val="16"/>
                <w:szCs w:val="18"/>
                <w:lang w:val="de-CH"/>
              </w:rPr>
            </w:pPr>
            <w:r w:rsidRPr="009161E7">
              <w:rPr>
                <w:sz w:val="16"/>
                <w:szCs w:val="18"/>
                <w:lang w:val="de-CH"/>
              </w:rPr>
              <w:t>Datum</w:t>
            </w:r>
          </w:p>
        </w:tc>
        <w:tc>
          <w:tcPr>
            <w:tcW w:w="766" w:type="dxa"/>
          </w:tcPr>
          <w:p w:rsidR="00F21BF0" w:rsidRPr="009161E7" w:rsidRDefault="00F21BF0" w:rsidP="00AA577D">
            <w:pPr>
              <w:jc w:val="left"/>
              <w:rPr>
                <w:sz w:val="16"/>
                <w:szCs w:val="18"/>
                <w:lang w:val="de-CH"/>
              </w:rPr>
            </w:pPr>
            <w:r w:rsidRPr="009161E7">
              <w:rPr>
                <w:sz w:val="16"/>
                <w:szCs w:val="18"/>
                <w:lang w:val="de-CH"/>
              </w:rPr>
              <w:t>Ort</w:t>
            </w:r>
          </w:p>
        </w:tc>
        <w:tc>
          <w:tcPr>
            <w:tcW w:w="1535" w:type="dxa"/>
          </w:tcPr>
          <w:p w:rsidR="00F21BF0" w:rsidRPr="009161E7" w:rsidRDefault="00F21BF0" w:rsidP="00AA577D">
            <w:pPr>
              <w:jc w:val="left"/>
              <w:rPr>
                <w:sz w:val="16"/>
                <w:szCs w:val="18"/>
                <w:lang w:val="de-CH"/>
              </w:rPr>
            </w:pPr>
            <w:r w:rsidRPr="009161E7">
              <w:rPr>
                <w:sz w:val="16"/>
                <w:szCs w:val="18"/>
                <w:lang w:val="de-CH"/>
              </w:rPr>
              <w:t>Organisator(en)</w:t>
            </w:r>
          </w:p>
        </w:tc>
        <w:tc>
          <w:tcPr>
            <w:tcW w:w="2093" w:type="dxa"/>
          </w:tcPr>
          <w:p w:rsidR="00F21BF0" w:rsidRPr="009161E7" w:rsidRDefault="00F21BF0" w:rsidP="00AA577D">
            <w:pPr>
              <w:jc w:val="left"/>
              <w:rPr>
                <w:sz w:val="16"/>
                <w:szCs w:val="18"/>
                <w:lang w:val="de-CH"/>
              </w:rPr>
            </w:pPr>
            <w:r w:rsidRPr="009161E7">
              <w:rPr>
                <w:sz w:val="16"/>
                <w:szCs w:val="18"/>
                <w:lang w:val="de-CH"/>
              </w:rPr>
              <w:t>Zweck der Tätigkeit</w:t>
            </w:r>
          </w:p>
        </w:tc>
        <w:tc>
          <w:tcPr>
            <w:tcW w:w="1843" w:type="dxa"/>
          </w:tcPr>
          <w:p w:rsidR="00F21BF0" w:rsidRPr="009161E7" w:rsidRDefault="00F21BF0" w:rsidP="00AA577D">
            <w:pPr>
              <w:jc w:val="left"/>
              <w:rPr>
                <w:sz w:val="16"/>
                <w:szCs w:val="18"/>
                <w:lang w:val="de-CH"/>
              </w:rPr>
            </w:pPr>
            <w:r w:rsidRPr="009161E7">
              <w:rPr>
                <w:sz w:val="16"/>
                <w:lang w:val="de-CH"/>
              </w:rPr>
              <w:t>Teilnehmende Staaten/Organisationen (Zahl der Teilnehmer pro Staat/Organisation)</w:t>
            </w:r>
          </w:p>
        </w:tc>
        <w:tc>
          <w:tcPr>
            <w:tcW w:w="1701" w:type="dxa"/>
          </w:tcPr>
          <w:p w:rsidR="00F21BF0" w:rsidRPr="009161E7" w:rsidRDefault="00F21BF0" w:rsidP="00AA577D">
            <w:pPr>
              <w:jc w:val="left"/>
              <w:rPr>
                <w:sz w:val="16"/>
                <w:szCs w:val="18"/>
                <w:lang w:val="de-CH"/>
              </w:rPr>
            </w:pPr>
            <w:r w:rsidRPr="009161E7">
              <w:rPr>
                <w:sz w:val="16"/>
                <w:szCs w:val="18"/>
                <w:lang w:val="de-CH"/>
              </w:rPr>
              <w:t>Anmerkungen</w:t>
            </w:r>
          </w:p>
        </w:tc>
      </w:tr>
      <w:tr w:rsidR="00F21BF0" w:rsidRPr="009161E7" w:rsidTr="00F21BF0">
        <w:tc>
          <w:tcPr>
            <w:tcW w:w="1129" w:type="dxa"/>
          </w:tcPr>
          <w:p w:rsidR="00F21BF0" w:rsidRPr="009161E7" w:rsidRDefault="00F21BF0" w:rsidP="00AA577D">
            <w:pPr>
              <w:jc w:val="left"/>
              <w:rPr>
                <w:sz w:val="16"/>
                <w:szCs w:val="16"/>
                <w:lang w:val="de-CH"/>
              </w:rPr>
            </w:pPr>
            <w:r w:rsidRPr="009161E7">
              <w:rPr>
                <w:sz w:val="16"/>
                <w:szCs w:val="16"/>
                <w:lang w:val="de-CH"/>
              </w:rPr>
              <w:t>Forum “</w:t>
            </w:r>
            <w:r>
              <w:rPr>
                <w:sz w:val="16"/>
                <w:szCs w:val="16"/>
                <w:lang w:val="de-CH"/>
              </w:rPr>
              <w:t>Wahrung</w:t>
            </w:r>
            <w:r w:rsidRPr="009161E7">
              <w:rPr>
                <w:sz w:val="16"/>
                <w:szCs w:val="16"/>
                <w:lang w:val="de-CH"/>
              </w:rPr>
              <w:t xml:space="preserve"> der Züchterrechte in Bezug auf Gemüse- und Ziersorten”</w:t>
            </w:r>
          </w:p>
        </w:tc>
        <w:tc>
          <w:tcPr>
            <w:tcW w:w="851" w:type="dxa"/>
          </w:tcPr>
          <w:p w:rsidR="00F21BF0" w:rsidRPr="009161E7" w:rsidRDefault="00F21BF0" w:rsidP="00AA577D">
            <w:pPr>
              <w:jc w:val="left"/>
              <w:rPr>
                <w:sz w:val="16"/>
                <w:szCs w:val="16"/>
                <w:lang w:val="de-CH"/>
              </w:rPr>
            </w:pPr>
            <w:r w:rsidRPr="009161E7">
              <w:rPr>
                <w:sz w:val="16"/>
                <w:szCs w:val="16"/>
                <w:lang w:val="de-CH"/>
              </w:rPr>
              <w:t>20. und 21. Mai 2021</w:t>
            </w:r>
          </w:p>
        </w:tc>
        <w:tc>
          <w:tcPr>
            <w:tcW w:w="766" w:type="dxa"/>
          </w:tcPr>
          <w:p w:rsidR="00F21BF0" w:rsidRPr="009161E7" w:rsidRDefault="00F21BF0" w:rsidP="00AA577D">
            <w:pPr>
              <w:jc w:val="left"/>
              <w:rPr>
                <w:sz w:val="16"/>
                <w:szCs w:val="16"/>
                <w:lang w:val="de-CH"/>
              </w:rPr>
            </w:pPr>
            <w:r w:rsidRPr="009161E7">
              <w:rPr>
                <w:sz w:val="16"/>
                <w:szCs w:val="16"/>
                <w:lang w:val="de-CH"/>
              </w:rPr>
              <w:t>Mexico City, online</w:t>
            </w:r>
          </w:p>
        </w:tc>
        <w:tc>
          <w:tcPr>
            <w:tcW w:w="1535" w:type="dxa"/>
          </w:tcPr>
          <w:p w:rsidR="00F21BF0" w:rsidRPr="009161E7" w:rsidRDefault="00F21BF0" w:rsidP="00AA577D">
            <w:pPr>
              <w:jc w:val="left"/>
              <w:rPr>
                <w:sz w:val="16"/>
                <w:szCs w:val="16"/>
                <w:lang w:val="de-CH"/>
              </w:rPr>
            </w:pPr>
            <w:r w:rsidRPr="009161E7">
              <w:rPr>
                <w:sz w:val="16"/>
                <w:szCs w:val="16"/>
                <w:lang w:val="de-CH"/>
              </w:rPr>
              <w:t xml:space="preserve">SNICS, Mexikanisches Komitee </w:t>
            </w:r>
            <w:r>
              <w:rPr>
                <w:sz w:val="16"/>
                <w:szCs w:val="16"/>
                <w:lang w:val="de-CH"/>
              </w:rPr>
              <w:t xml:space="preserve">für das </w:t>
            </w:r>
            <w:r w:rsidRPr="009161E7">
              <w:rPr>
                <w:sz w:val="16"/>
                <w:szCs w:val="16"/>
                <w:lang w:val="de-CH"/>
              </w:rPr>
              <w:t>Blumen</w:t>
            </w:r>
            <w:r>
              <w:rPr>
                <w:sz w:val="16"/>
                <w:szCs w:val="16"/>
                <w:lang w:val="de-CH"/>
              </w:rPr>
              <w:t>- und Zierpflanzensystem, n</w:t>
            </w:r>
            <w:r w:rsidRPr="009161E7">
              <w:rPr>
                <w:sz w:val="16"/>
                <w:szCs w:val="16"/>
                <w:lang w:val="de-CH"/>
              </w:rPr>
              <w:t xml:space="preserve">iederländische Botschaft </w:t>
            </w:r>
            <w:r>
              <w:rPr>
                <w:sz w:val="16"/>
                <w:szCs w:val="16"/>
                <w:lang w:val="de-CH"/>
              </w:rPr>
              <w:t xml:space="preserve"> sowie</w:t>
            </w:r>
            <w:r w:rsidRPr="009161E7">
              <w:rPr>
                <w:sz w:val="16"/>
                <w:szCs w:val="16"/>
                <w:lang w:val="de-CH"/>
              </w:rPr>
              <w:t xml:space="preserve"> niederländische Prüfbehörde für den Gartenbau </w:t>
            </w:r>
          </w:p>
        </w:tc>
        <w:tc>
          <w:tcPr>
            <w:tcW w:w="2093" w:type="dxa"/>
          </w:tcPr>
          <w:p w:rsidR="00F21BF0" w:rsidRPr="009161E7" w:rsidRDefault="00F21BF0" w:rsidP="00AA577D">
            <w:pPr>
              <w:jc w:val="left"/>
              <w:rPr>
                <w:sz w:val="16"/>
                <w:szCs w:val="16"/>
                <w:lang w:val="de-CH"/>
              </w:rPr>
            </w:pPr>
            <w:r w:rsidRPr="009161E7">
              <w:rPr>
                <w:sz w:val="16"/>
                <w:szCs w:val="16"/>
                <w:lang w:val="de-CH"/>
              </w:rPr>
              <w:t xml:space="preserve">Analyse der strategischen und regulatorischen Faktoren, die </w:t>
            </w:r>
            <w:r>
              <w:rPr>
                <w:sz w:val="16"/>
                <w:szCs w:val="16"/>
                <w:lang w:val="de-CH"/>
              </w:rPr>
              <w:t>den</w:t>
            </w:r>
            <w:r w:rsidRPr="009161E7">
              <w:rPr>
                <w:sz w:val="16"/>
                <w:szCs w:val="16"/>
                <w:lang w:val="de-CH"/>
              </w:rPr>
              <w:t xml:space="preserve"> Transfer und </w:t>
            </w:r>
            <w:r>
              <w:rPr>
                <w:sz w:val="16"/>
                <w:szCs w:val="16"/>
                <w:lang w:val="de-CH"/>
              </w:rPr>
              <w:t>die</w:t>
            </w:r>
            <w:r w:rsidRPr="009161E7">
              <w:rPr>
                <w:sz w:val="16"/>
                <w:szCs w:val="16"/>
                <w:lang w:val="de-CH"/>
              </w:rPr>
              <w:t xml:space="preserve"> Nutzung von Pflanzeninnovationen in Mexiko ermöglichen, sowie Förderung der Verwendung von zertifiziertem Saatgut </w:t>
            </w:r>
          </w:p>
        </w:tc>
        <w:tc>
          <w:tcPr>
            <w:tcW w:w="1843" w:type="dxa"/>
          </w:tcPr>
          <w:p w:rsidR="00F21BF0" w:rsidRPr="009161E7" w:rsidRDefault="00F21BF0" w:rsidP="00AA577D">
            <w:pPr>
              <w:jc w:val="left"/>
              <w:rPr>
                <w:sz w:val="16"/>
                <w:szCs w:val="16"/>
                <w:lang w:val="de-CH"/>
              </w:rPr>
            </w:pPr>
            <w:r w:rsidRPr="009161E7">
              <w:rPr>
                <w:sz w:val="16"/>
                <w:szCs w:val="16"/>
                <w:lang w:val="de-CH"/>
              </w:rPr>
              <w:t>Mexiko, Chile, Dominikanische Republik, Ecuador, Kolumbien, Peru und Niederlande</w:t>
            </w:r>
          </w:p>
        </w:tc>
        <w:tc>
          <w:tcPr>
            <w:tcW w:w="1701" w:type="dxa"/>
          </w:tcPr>
          <w:p w:rsidR="00F21BF0" w:rsidRPr="009161E7" w:rsidRDefault="00F21BF0" w:rsidP="00AA577D">
            <w:pPr>
              <w:jc w:val="left"/>
              <w:rPr>
                <w:sz w:val="16"/>
                <w:szCs w:val="16"/>
                <w:lang w:val="de-CH"/>
              </w:rPr>
            </w:pPr>
            <w:r w:rsidRPr="009161E7">
              <w:rPr>
                <w:sz w:val="16"/>
                <w:szCs w:val="16"/>
                <w:lang w:val="de-CH"/>
              </w:rPr>
              <w:t>Auf dem Forum wurde die Einsetzung einer Arbeitsgruppe unterschiedliche</w:t>
            </w:r>
            <w:r>
              <w:rPr>
                <w:sz w:val="16"/>
                <w:szCs w:val="16"/>
                <w:lang w:val="de-CH"/>
              </w:rPr>
              <w:t>r</w:t>
            </w:r>
            <w:r w:rsidRPr="009161E7">
              <w:rPr>
                <w:sz w:val="16"/>
                <w:szCs w:val="16"/>
                <w:lang w:val="de-CH"/>
              </w:rPr>
              <w:t xml:space="preserve"> Interessenvertreter der Wertschöpfungskette für Zierpflanzen vereinbart. Es wurden zudem Vorschläge dazu erörtert, wie sich eine wirksame Wahrung der Züchterrechte gewährleisten lässt. </w:t>
            </w:r>
          </w:p>
        </w:tc>
      </w:tr>
    </w:tbl>
    <w:p w:rsidR="00F21BF0" w:rsidRPr="009161E7" w:rsidRDefault="00F21BF0" w:rsidP="00F21BF0">
      <w:pPr>
        <w:rPr>
          <w:lang w:val="de-CH"/>
        </w:rPr>
      </w:pPr>
    </w:p>
    <w:p w:rsidR="00011A54" w:rsidRPr="006F3121" w:rsidRDefault="00011A54" w:rsidP="00011A54"/>
    <w:p w:rsidR="00F21BF0" w:rsidRPr="00F21BF0" w:rsidRDefault="00F21BF0" w:rsidP="00F21BF0"/>
    <w:p w:rsidR="004128AB" w:rsidRPr="006F3121" w:rsidRDefault="004128AB" w:rsidP="00F21BF0">
      <w:pPr>
        <w:jc w:val="right"/>
      </w:pPr>
      <w:r w:rsidRPr="006F3121">
        <w:t>[Anlage VII folgt]</w:t>
      </w:r>
    </w:p>
    <w:p w:rsidR="004128AB" w:rsidRPr="006F3121" w:rsidRDefault="004128AB" w:rsidP="004128AB">
      <w:pPr>
        <w:jc w:val="left"/>
        <w:sectPr w:rsidR="004128AB" w:rsidRPr="006F3121" w:rsidSect="00CE587F">
          <w:headerReference w:type="default" r:id="rId26"/>
          <w:pgSz w:w="11907" w:h="16840" w:code="9"/>
          <w:pgMar w:top="510" w:right="1134" w:bottom="1134" w:left="1134" w:header="510" w:footer="680" w:gutter="0"/>
          <w:pgNumType w:start="1"/>
          <w:cols w:space="720"/>
          <w:titlePg/>
        </w:sectPr>
      </w:pPr>
    </w:p>
    <w:p w:rsidR="004128AB" w:rsidRPr="006F3121" w:rsidRDefault="006F5780" w:rsidP="004128AB">
      <w:pPr>
        <w:jc w:val="center"/>
      </w:pPr>
      <w:r>
        <w:lastRenderedPageBreak/>
        <w:t>C/55/INF/4</w:t>
      </w:r>
    </w:p>
    <w:p w:rsidR="004128AB" w:rsidRPr="006F3121" w:rsidRDefault="004128AB" w:rsidP="004128AB">
      <w:pPr>
        <w:jc w:val="center"/>
      </w:pPr>
    </w:p>
    <w:p w:rsidR="004128AB" w:rsidRPr="006F3121" w:rsidRDefault="004128AB" w:rsidP="004128AB">
      <w:pPr>
        <w:jc w:val="center"/>
      </w:pPr>
      <w:r w:rsidRPr="006F3121">
        <w:t>ANLAGE VII</w:t>
      </w:r>
    </w:p>
    <w:p w:rsidR="004128AB" w:rsidRPr="006F3121" w:rsidRDefault="004128AB" w:rsidP="004128AB">
      <w:pPr>
        <w:jc w:val="center"/>
      </w:pPr>
    </w:p>
    <w:p w:rsidR="004128AB" w:rsidRPr="006F3121" w:rsidRDefault="004128AB" w:rsidP="004128AB">
      <w:pPr>
        <w:jc w:val="center"/>
      </w:pPr>
    </w:p>
    <w:p w:rsidR="004128AB" w:rsidRPr="006F3121" w:rsidRDefault="00713625" w:rsidP="004128AB">
      <w:pPr>
        <w:jc w:val="center"/>
      </w:pPr>
      <w:r>
        <w:t>NEUSEELAND</w:t>
      </w:r>
    </w:p>
    <w:p w:rsidR="004128AB" w:rsidRPr="006F3121" w:rsidRDefault="004128AB" w:rsidP="004128AB"/>
    <w:p w:rsidR="004128AB" w:rsidRPr="006F3121" w:rsidRDefault="004128AB" w:rsidP="004128AB"/>
    <w:p w:rsidR="006D3489" w:rsidRPr="007D27D3" w:rsidRDefault="006D3489" w:rsidP="006D3489">
      <w:r>
        <w:t>SORTENSCHUTZ</w:t>
      </w:r>
    </w:p>
    <w:p w:rsidR="006D3489" w:rsidRPr="007D27D3" w:rsidRDefault="006D3489" w:rsidP="006D3489"/>
    <w:p w:rsidR="006D3489" w:rsidRPr="007D27D3" w:rsidRDefault="006D3489" w:rsidP="006D3489">
      <w:r>
        <w:t>1.</w:t>
      </w:r>
      <w:r>
        <w:tab/>
      </w:r>
      <w:r>
        <w:rPr>
          <w:u w:val="single"/>
        </w:rPr>
        <w:t>Lage auf dem Gebiet der Gesetzgebung</w:t>
      </w:r>
    </w:p>
    <w:p w:rsidR="006D3489" w:rsidRPr="009C53CB" w:rsidRDefault="006D3489" w:rsidP="006D3489"/>
    <w:p w:rsidR="006D3489" w:rsidRPr="007D27D3" w:rsidRDefault="006D3489" w:rsidP="006D3489">
      <w:r>
        <w:t>Das Sortenrechtsgesetz von 1987 bleibt in Kraft und entspricht der Akte von 1978 des UPOV-Übereinkommens.</w:t>
      </w:r>
    </w:p>
    <w:p w:rsidR="006D3489" w:rsidRPr="007D27D3" w:rsidRDefault="006D3489" w:rsidP="006D3489"/>
    <w:p w:rsidR="006D3489" w:rsidRPr="007D27D3" w:rsidRDefault="006D3489" w:rsidP="006D3489">
      <w:r>
        <w:t>Die Regierung Neuseelands hat die Überprüfung des Sortenrechtsgesetzes von 1987 fortgesetzt; die für 2020 erwarteten Fortschritte wurden jedoch durch die Pandemie verzögert. Das neue Sortenrechtsgesetz wurde im Mai 2021 in das Parlament eingebracht und erhielt seine erste Lesung. Es wurde nun zur Prüfung an den Sonderausschuss für wirtschaftliche Entwicklung, Wissenschaft und Innovation überwiesen. Ein Diskussionspapier über neue Verordnungen wurde im August 2021 veröffentlicht, wobei dem Minister Ende 2021 Optionen und Empfehlungen vorgelegt werden sollen. Detaillierte Informationen betreffend die Überprüfung des Sortenrechtsgesetzes sind verfügbar unter:</w:t>
      </w:r>
    </w:p>
    <w:p w:rsidR="006D3489" w:rsidRPr="007D27D3" w:rsidRDefault="002E1243" w:rsidP="006D3489">
      <w:hyperlink r:id="rId27" w:history="1">
        <w:r w:rsidR="006D3489">
          <w:rPr>
            <w:rStyle w:val="Hyperlink"/>
          </w:rPr>
          <w:t>https://www.mbie.govt.nz/business-and-employment/business/intellectual-property/plant-variety-rights/plant-variety-rights-act-review/</w:t>
        </w:r>
      </w:hyperlink>
    </w:p>
    <w:p w:rsidR="006D3489" w:rsidRPr="007D27D3" w:rsidRDefault="006D3489" w:rsidP="006D3489"/>
    <w:p w:rsidR="006D3489" w:rsidRPr="007D27D3" w:rsidRDefault="006D3489" w:rsidP="006D3489">
      <w:r w:rsidRPr="00E60BD2">
        <w:t>Das neuseeländische Amt für geistiges Eigentum (IPONZ) startete eine Überprüfung der Sortenschutzgebühren</w:t>
      </w:r>
      <w:r>
        <w:t xml:space="preserve">. Im August 2021 wurde ein Diskussionspapier an gezielte Nutzer auf dem Schriftweg versandt, um Informationen zu sammeln und bei der Entwicklung von Gebührenoptionen zu helfen. Die endgültigen Optionen werden Ende 2021 oder Anfang 2022 für eine breitere öffentliche Konsultation freigegeben. </w:t>
      </w:r>
    </w:p>
    <w:p w:rsidR="006D3489" w:rsidRPr="007D27D3" w:rsidRDefault="006D3489" w:rsidP="006D3489"/>
    <w:p w:rsidR="006D3489" w:rsidRPr="009C53CB" w:rsidRDefault="006D3489" w:rsidP="006D3489">
      <w:r w:rsidRPr="00E60BD2">
        <w:t>Es wird erwartet, dass die neuen Verordnungen zusammen mit dem Großteil der Bestimmungen des Gesetzentwurfs und der neuen Gebührenstruktur des Sortenschutzes Mitte 2022 in Kraft treten werden.</w:t>
      </w:r>
    </w:p>
    <w:p w:rsidR="006D3489" w:rsidRDefault="006D3489" w:rsidP="006D3489"/>
    <w:p w:rsidR="006D3489" w:rsidRPr="009C53CB" w:rsidRDefault="006D3489" w:rsidP="006D3489"/>
    <w:p w:rsidR="006D3489" w:rsidRPr="007D27D3" w:rsidRDefault="006D3489" w:rsidP="006D3489">
      <w:pPr>
        <w:rPr>
          <w:u w:val="single"/>
        </w:rPr>
      </w:pPr>
      <w:r>
        <w:t>2.</w:t>
      </w:r>
      <w:r>
        <w:tab/>
      </w:r>
      <w:r>
        <w:rPr>
          <w:u w:val="single"/>
        </w:rPr>
        <w:t>Zusammenarbeit bei der Prüfung</w:t>
      </w:r>
    </w:p>
    <w:p w:rsidR="006D3489" w:rsidRPr="007D27D3" w:rsidRDefault="006D3489" w:rsidP="006D3489">
      <w:pPr>
        <w:rPr>
          <w:u w:val="single"/>
        </w:rPr>
      </w:pPr>
    </w:p>
    <w:p w:rsidR="006D3489" w:rsidRPr="007D27D3" w:rsidRDefault="006D3489" w:rsidP="006D3489">
      <w:r>
        <w:t>Neuseeland erwirbt im Rahmen der allgemeinen Bestimmungen des Übereinkommens auf Anfrage weiterhin Prüfungsberichte von Mitgliedstaaten für bestimmte Arten. Neuseeland stellt weiterhin auf Anfrage von Behörden kostenlos Prüfungsberichte zur Verfügung.</w:t>
      </w:r>
    </w:p>
    <w:p w:rsidR="006D3489" w:rsidRPr="007D27D3" w:rsidRDefault="006D3489" w:rsidP="006D3489"/>
    <w:p w:rsidR="006D3489" w:rsidRPr="007D27D3" w:rsidRDefault="006D3489" w:rsidP="006D3489"/>
    <w:p w:rsidR="006D3489" w:rsidRPr="007D27D3" w:rsidRDefault="006D3489" w:rsidP="006D3489">
      <w:pPr>
        <w:rPr>
          <w:u w:val="single"/>
        </w:rPr>
      </w:pPr>
      <w:r>
        <w:t>3.</w:t>
      </w:r>
      <w:r>
        <w:tab/>
      </w:r>
      <w:r>
        <w:rPr>
          <w:u w:val="single"/>
        </w:rPr>
        <w:t>Lage auf dem Gebiet der Verwaltung</w:t>
      </w:r>
    </w:p>
    <w:p w:rsidR="006D3489" w:rsidRPr="007D27D3" w:rsidRDefault="006D3489" w:rsidP="006D3489"/>
    <w:p w:rsidR="006D3489" w:rsidRPr="005F69CB" w:rsidRDefault="006D3489" w:rsidP="006D3489">
      <w:r>
        <w:t>In dem am 30. Juni 2021 endenden Finanzjahr wurden 116 Sortenschutzanträge eingereicht (25 % mehr als im Vorjahr), 88 Schutztitel erteilt (11 % weniger als im Vorjahr) und 93 Schutzrechte beendet (9 % weniger als im Vorjahr). Zum 30. Juni 2021 waren 1289 Schutztitel in Kraft, eine leichte Zunahme gegenüber dem Vorjahr.</w:t>
      </w:r>
    </w:p>
    <w:p w:rsidR="006D3489" w:rsidRPr="005F69CB" w:rsidRDefault="006D3489" w:rsidP="006D3489"/>
    <w:p w:rsidR="006D3489" w:rsidRPr="007D27D3" w:rsidRDefault="006D3489" w:rsidP="006D3489">
      <w:r>
        <w:t xml:space="preserve">Der in den letzten Jahren zu beobachtende stetige Rückgang der Zahl der Anträge für Sorten, die zu den als Zierpflanzen verwendeten Arten gehören, hat sich mit einem Anstieg der Zahl der Anträge für diese Sorten um 50 % im letzten Jahr umgekehrt. </w:t>
      </w:r>
    </w:p>
    <w:p w:rsidR="006D3489" w:rsidRPr="007D27D3" w:rsidRDefault="006D3489" w:rsidP="006D3489"/>
    <w:p w:rsidR="006D3489" w:rsidRPr="007D27D3" w:rsidRDefault="006D3489" w:rsidP="006D3489">
      <w:r>
        <w:t xml:space="preserve">Die Vorbereitungen für die notwendigen operativen Änderungen, die sich aus der Umsetzung des für Mitte 2022 erwarteten, neuen Gesetzes ergeben, haben begonnen. Dies schließt sich an eine umfassende Überprüfung der operativen Tätigkeiten und Funktionen des Amtes an, die 2020 und 2021 durchgeführt wurde. Änderungen in den Verfahren und Regelungen werden sich aus neuen Elementen in den Rechtsvorschriften und der Verbesserung bestehender Praktiken ergeben. </w:t>
      </w:r>
    </w:p>
    <w:p w:rsidR="006D3489" w:rsidRPr="007D27D3" w:rsidRDefault="006D3489" w:rsidP="006D3489"/>
    <w:p w:rsidR="006D3489" w:rsidRDefault="006D3489" w:rsidP="006D3489">
      <w:r>
        <w:t xml:space="preserve">Das PVRO verzeichnete im Jahr 2020 einen Personalwechsel von 40 %, was einen signifikanten Einschnitt für eine kleinere Organisation darstellt. </w:t>
      </w:r>
      <w:r w:rsidRPr="00A90197">
        <w:t>Dadurch ergab sich die Gelegenheit, die Arbeitsbelastung der vier Prüfer zu untersuchen und die Erfahrungen und Kenntnisse im Hinblick auf die Arten zu verteilen, so dass mehr als ein Prüfer zur Verfügung steht.</w:t>
      </w:r>
    </w:p>
    <w:p w:rsidR="006D3489" w:rsidRPr="00E479C3" w:rsidRDefault="006D3489" w:rsidP="006D3489"/>
    <w:p w:rsidR="006D3489" w:rsidRPr="00E479C3" w:rsidRDefault="006D3489" w:rsidP="006D3489"/>
    <w:p w:rsidR="006D3489" w:rsidRPr="00E479C3" w:rsidRDefault="006D3489" w:rsidP="006D3489">
      <w:pPr>
        <w:keepNext/>
      </w:pPr>
      <w:r>
        <w:lastRenderedPageBreak/>
        <w:t>4.</w:t>
      </w:r>
      <w:r>
        <w:tab/>
      </w:r>
      <w:r>
        <w:rPr>
          <w:u w:val="single"/>
        </w:rPr>
        <w:t>Lage auf dem Gebiet der Technik</w:t>
      </w:r>
    </w:p>
    <w:p w:rsidR="006D3489" w:rsidRPr="00E479C3" w:rsidRDefault="006D3489" w:rsidP="006D3489">
      <w:pPr>
        <w:keepNext/>
      </w:pPr>
    </w:p>
    <w:p w:rsidR="006D3489" w:rsidRPr="00E479C3" w:rsidRDefault="006D3489" w:rsidP="006D3489">
      <w:r>
        <w:t xml:space="preserve">Die Verwendung ausländischer Prüfungsberichte für im Ausland gezüchtete Obstsorten ist nach wie vor ein wichtiges Erörterungsthema zwischen ausländischen Antragstellern und Prüfern. </w:t>
      </w:r>
      <w:r w:rsidRPr="000C4276">
        <w:t>Auf der Website ist bereits eine Vielzahl von erläuternden Informationen zu finden, doch scheinen weitere Informationen erforderlich zu sein</w:t>
      </w:r>
      <w:r>
        <w:t xml:space="preserve">. </w:t>
      </w:r>
      <w:r w:rsidRPr="009722B2">
        <w:t>2020 wurde zum ersten Mal ein ausländischer Prüfungsbericht für eine Apfelsorte für die Entscheidung Neuseelands herangezogen</w:t>
      </w:r>
      <w:r>
        <w:t xml:space="preserve">. Ein Projekt zur Bewertung der Verwendung ausländischer Prüfungsberichte für ausländische </w:t>
      </w:r>
      <w:r>
        <w:rPr>
          <w:i/>
        </w:rPr>
        <w:t>Rubus</w:t>
      </w:r>
      <w:r>
        <w:t xml:space="preserve"> Sorten steht kurz vor dem Abschluss, mit dem Ziel, eine objektivere Grundlage dafür zu schaffen, ob ein ausländischer Prüfbericht für eine bestimmte </w:t>
      </w:r>
      <w:r>
        <w:rPr>
          <w:i/>
        </w:rPr>
        <w:t>Rubus</w:t>
      </w:r>
      <w:r>
        <w:t xml:space="preserve"> Sorte verwendet werden kann oder nicht. </w:t>
      </w:r>
    </w:p>
    <w:p w:rsidR="006D3489" w:rsidRPr="00E479C3" w:rsidRDefault="006D3489" w:rsidP="006D3489"/>
    <w:p w:rsidR="006D3489" w:rsidRPr="00E479C3" w:rsidRDefault="006D3489" w:rsidP="006D3489">
      <w:r>
        <w:t>Das Sortenschutzamt (PVRO) und das Ministerium für Primärindustrie (MPI) haben vierteljährliche Sitzungen über die Einfuhr von Pflanzen und die Anforderungen an die Biosicherheit eingeführt. Die Sitzungen bieten dem PVRO bessere Informationen über Änderungen der Einfuhr- und Quarantänevorschriften und informieren das MPI besser über Arten, für die ausländische Züchter Sortenanträge stellen. Eine MPI-Überprüfung eines Protokolls über die Einfuhr einer Art könnte dem PVRO signalisieren, dass sich die Prüfung ausländischer Sorten dieser Gattung aufgrund von Schwierigkeiten beim Zugang zu Pflanzenmaterial dieser Art verzögern könnte. Eine Zunahme von Sortenschutzanträgen für Sorten einer bestimmten Art könnte dem MPI signalisieren, dass Aufmerksamkeit hinsichtlich der Einfuhrbestimmungen für die betreffende Art geboten sein könnte. Die Anforderungen an Biosicherheit und die Verfügbarkeit von Pflanzenmaterial für ausländische Sortenzüchtungen stellen nach wie vor ein Problem für Sortenimporteure und inländische Pflanzenzüchter dar.</w:t>
      </w:r>
    </w:p>
    <w:p w:rsidR="006D3489" w:rsidRPr="00E479C3" w:rsidRDefault="006D3489" w:rsidP="006D3489"/>
    <w:p w:rsidR="004128AB" w:rsidRPr="006F3121" w:rsidRDefault="004128AB" w:rsidP="004128AB">
      <w:pPr>
        <w:jc w:val="left"/>
      </w:pPr>
    </w:p>
    <w:p w:rsidR="00187C2C" w:rsidRPr="006F3121" w:rsidRDefault="00187C2C" w:rsidP="004128AB">
      <w:pPr>
        <w:jc w:val="left"/>
      </w:pPr>
    </w:p>
    <w:p w:rsidR="004128AB" w:rsidRPr="006F3121" w:rsidRDefault="004128AB" w:rsidP="004128AB">
      <w:pPr>
        <w:jc w:val="right"/>
      </w:pPr>
      <w:r w:rsidRPr="006F3121">
        <w:t>[Anlage VIII folgt]</w:t>
      </w:r>
    </w:p>
    <w:p w:rsidR="004128AB" w:rsidRPr="006F3121" w:rsidRDefault="004128AB" w:rsidP="004128AB"/>
    <w:p w:rsidR="004128AB" w:rsidRPr="006F3121" w:rsidRDefault="004128AB" w:rsidP="004128AB">
      <w:pPr>
        <w:jc w:val="left"/>
        <w:sectPr w:rsidR="004128AB" w:rsidRPr="006F3121" w:rsidSect="00CE587F">
          <w:headerReference w:type="default" r:id="rId28"/>
          <w:pgSz w:w="11907" w:h="16840" w:code="9"/>
          <w:pgMar w:top="510" w:right="1134" w:bottom="1134" w:left="1134" w:header="510" w:footer="680" w:gutter="0"/>
          <w:pgNumType w:start="1"/>
          <w:cols w:space="720"/>
          <w:titlePg/>
        </w:sectPr>
      </w:pPr>
    </w:p>
    <w:p w:rsidR="004128AB" w:rsidRPr="006F3121" w:rsidRDefault="006F5780" w:rsidP="004128AB">
      <w:pPr>
        <w:jc w:val="center"/>
      </w:pPr>
      <w:r>
        <w:lastRenderedPageBreak/>
        <w:t>C/55/INF/4</w:t>
      </w:r>
    </w:p>
    <w:p w:rsidR="004128AB" w:rsidRPr="006F3121" w:rsidRDefault="004128AB" w:rsidP="004128AB">
      <w:pPr>
        <w:jc w:val="center"/>
      </w:pPr>
    </w:p>
    <w:p w:rsidR="004128AB" w:rsidRPr="006F3121" w:rsidRDefault="004128AB" w:rsidP="004128AB">
      <w:pPr>
        <w:jc w:val="center"/>
      </w:pPr>
      <w:r w:rsidRPr="006F3121">
        <w:t>ANLAGE VIII</w:t>
      </w:r>
    </w:p>
    <w:p w:rsidR="004128AB" w:rsidRPr="006F3121" w:rsidRDefault="004128AB" w:rsidP="004128AB">
      <w:pPr>
        <w:jc w:val="center"/>
      </w:pPr>
    </w:p>
    <w:p w:rsidR="004128AB" w:rsidRPr="006F3121" w:rsidRDefault="004128AB" w:rsidP="004128AB">
      <w:pPr>
        <w:jc w:val="center"/>
      </w:pPr>
    </w:p>
    <w:p w:rsidR="004128AB" w:rsidRPr="006F3121" w:rsidRDefault="00713625" w:rsidP="004128AB">
      <w:pPr>
        <w:jc w:val="center"/>
      </w:pPr>
      <w:r>
        <w:t>POLEN</w:t>
      </w:r>
    </w:p>
    <w:p w:rsidR="003137B0" w:rsidRPr="009C53CB" w:rsidRDefault="003137B0" w:rsidP="003137B0">
      <w:pPr>
        <w:tabs>
          <w:tab w:val="left" w:pos="4962"/>
        </w:tabs>
        <w:jc w:val="center"/>
        <w:rPr>
          <w:rFonts w:cs="Arial"/>
        </w:rPr>
      </w:pPr>
      <w:r>
        <w:rPr>
          <w:rFonts w:cs="Arial"/>
        </w:rPr>
        <w:t>Berichtszeitraum: 1. September 2020 – 31. August 2021</w:t>
      </w:r>
    </w:p>
    <w:p w:rsidR="003137B0" w:rsidRPr="009C53CB" w:rsidRDefault="003137B0" w:rsidP="003137B0">
      <w:pPr>
        <w:tabs>
          <w:tab w:val="left" w:pos="4962"/>
        </w:tabs>
        <w:jc w:val="center"/>
        <w:rPr>
          <w:rFonts w:cs="Arial"/>
        </w:rPr>
      </w:pPr>
    </w:p>
    <w:p w:rsidR="003137B0" w:rsidRPr="009C53CB" w:rsidRDefault="003137B0" w:rsidP="003137B0">
      <w:pPr>
        <w:tabs>
          <w:tab w:val="left" w:pos="4962"/>
        </w:tabs>
        <w:jc w:val="center"/>
        <w:rPr>
          <w:rFonts w:cs="Arial"/>
        </w:rPr>
      </w:pPr>
    </w:p>
    <w:p w:rsidR="003137B0" w:rsidRPr="009212C2" w:rsidRDefault="003137B0" w:rsidP="003137B0">
      <w:r>
        <w:t>I.</w:t>
      </w:r>
      <w:r>
        <w:tab/>
        <w:t>SORTENSCHUTZ</w:t>
      </w:r>
    </w:p>
    <w:p w:rsidR="003137B0" w:rsidRPr="009C53CB" w:rsidRDefault="003137B0" w:rsidP="003137B0">
      <w:pPr>
        <w:tabs>
          <w:tab w:val="left" w:pos="4962"/>
        </w:tabs>
        <w:rPr>
          <w:rFonts w:cs="Arial"/>
          <w:u w:val="single"/>
        </w:rPr>
      </w:pPr>
    </w:p>
    <w:p w:rsidR="003137B0" w:rsidRPr="009C53CB" w:rsidRDefault="003137B0" w:rsidP="003137B0">
      <w:pPr>
        <w:tabs>
          <w:tab w:val="left" w:pos="567"/>
          <w:tab w:val="left" w:pos="4962"/>
        </w:tabs>
        <w:rPr>
          <w:rFonts w:cs="Arial"/>
          <w:u w:val="single"/>
        </w:rPr>
      </w:pPr>
      <w:r>
        <w:rPr>
          <w:rFonts w:cs="Arial"/>
        </w:rPr>
        <w:t>1.</w:t>
      </w:r>
      <w:r>
        <w:rPr>
          <w:rFonts w:cs="Arial"/>
        </w:rPr>
        <w:tab/>
      </w:r>
      <w:r>
        <w:rPr>
          <w:rFonts w:cs="Arial"/>
          <w:u w:val="single"/>
        </w:rPr>
        <w:t>Lage auf dem Gebiet der Gesetzgebung</w:t>
      </w:r>
    </w:p>
    <w:p w:rsidR="003137B0" w:rsidRPr="009C53CB" w:rsidRDefault="003137B0" w:rsidP="003137B0">
      <w:pPr>
        <w:tabs>
          <w:tab w:val="left" w:pos="4962"/>
        </w:tabs>
        <w:rPr>
          <w:rFonts w:cs="Arial"/>
        </w:rPr>
      </w:pPr>
    </w:p>
    <w:p w:rsidR="003137B0" w:rsidRPr="009C53CB" w:rsidRDefault="003137B0" w:rsidP="003137B0">
      <w:pPr>
        <w:tabs>
          <w:tab w:val="left" w:pos="4962"/>
        </w:tabs>
        <w:rPr>
          <w:rFonts w:cs="Arial"/>
        </w:rPr>
      </w:pPr>
      <w:r>
        <w:rPr>
          <w:rFonts w:cs="Arial"/>
        </w:rPr>
        <w:t>Das Gesetz über den Rechtsschutz von Pflanzensorten vom 26. Juni 2003 (konsolidierter Wortlaut: POJ von 2018, Punkt 432; geändert durch POJ von 2020, Punkt 288) bildet die gesetzliche Grundlage für das nationale Züchterrechtsschutzsystem in Polen (konsolidierter Wortlaut: POJ von 2021, Punkt 213).</w:t>
      </w:r>
    </w:p>
    <w:p w:rsidR="003137B0" w:rsidRPr="009C53CB" w:rsidRDefault="003137B0" w:rsidP="003137B0">
      <w:pPr>
        <w:tabs>
          <w:tab w:val="left" w:pos="4962"/>
        </w:tabs>
        <w:rPr>
          <w:rFonts w:cs="Arial"/>
        </w:rPr>
      </w:pPr>
    </w:p>
    <w:p w:rsidR="003137B0" w:rsidRPr="009212C2" w:rsidRDefault="003137B0" w:rsidP="003137B0">
      <w:pPr>
        <w:rPr>
          <w:rFonts w:cs="Arial"/>
        </w:rPr>
      </w:pPr>
      <w:r>
        <w:rPr>
          <w:rFonts w:cs="Arial"/>
        </w:rPr>
        <w:t xml:space="preserve">Gemäß </w:t>
      </w:r>
      <w:r w:rsidRPr="00CC317C">
        <w:rPr>
          <w:rFonts w:cs="Arial"/>
        </w:rPr>
        <w:t>dem Gesetz vom 13. Februar 2020 über die Änderung des Gesetzes – der Zivilprozessordnung und einiger anderer Gesetze</w:t>
      </w:r>
      <w:r>
        <w:rPr>
          <w:rFonts w:cs="Arial"/>
        </w:rPr>
        <w:t xml:space="preserve"> (POJ von 2020, Punkt 288), das am 1. Juli 2020 in Kraft trat, wurde das Bezirksgericht in Warschau als das zuständige Gericht in Angelegenheiten des geistigen Eigentums bezeichnet.</w:t>
      </w:r>
    </w:p>
    <w:p w:rsidR="003137B0" w:rsidRPr="009212C2" w:rsidRDefault="003137B0" w:rsidP="003137B0">
      <w:pPr>
        <w:tabs>
          <w:tab w:val="left" w:pos="4962"/>
        </w:tabs>
        <w:rPr>
          <w:rFonts w:cs="Arial"/>
        </w:rPr>
      </w:pPr>
    </w:p>
    <w:p w:rsidR="003137B0" w:rsidRPr="009C53CB" w:rsidRDefault="003137B0" w:rsidP="003137B0">
      <w:pPr>
        <w:tabs>
          <w:tab w:val="left" w:pos="4962"/>
        </w:tabs>
        <w:rPr>
          <w:rFonts w:cs="Arial"/>
        </w:rPr>
      </w:pPr>
      <w:r>
        <w:rPr>
          <w:rFonts w:cs="Arial"/>
        </w:rPr>
        <w:t>Das polnische Sortenschutzgesetz beruht auf der Akte von 1991 des UPOV-Übereinkommens. Seit dem 1. November 2000 können alle Pflanzengattungen und -arten in Polen züchterrechtlich geschützt werden.</w:t>
      </w:r>
    </w:p>
    <w:p w:rsidR="003137B0" w:rsidRPr="009C53CB" w:rsidRDefault="003137B0" w:rsidP="003137B0">
      <w:pPr>
        <w:tabs>
          <w:tab w:val="left" w:pos="4962"/>
        </w:tabs>
        <w:rPr>
          <w:rFonts w:cs="Arial"/>
        </w:rPr>
      </w:pPr>
    </w:p>
    <w:p w:rsidR="003137B0" w:rsidRPr="009C53CB" w:rsidRDefault="003137B0" w:rsidP="003137B0">
      <w:pPr>
        <w:tabs>
          <w:tab w:val="left" w:pos="4962"/>
        </w:tabs>
        <w:rPr>
          <w:rFonts w:cs="Arial"/>
        </w:rPr>
      </w:pPr>
      <w:r>
        <w:rPr>
          <w:rFonts w:cs="Arial"/>
        </w:rPr>
        <w:t xml:space="preserve">Hinsichtlich der Gebühren ist der Erlass des Ministers für Landwirtschaft und ländliche Entwicklung vom 17. Februar 2004 über die Gebührensätze für die Einreichung eines Antrags auf Erteilung des Sortenschutzes, die DUS-Prüfung und die Erteilung und Aufrechterhaltung der ausschließlichen Rechtstitel </w:t>
      </w:r>
      <w:hyperlink r:id="rId29" w:tgtFrame="_blank" w:history="1">
        <w:r>
          <w:rPr>
            <w:rFonts w:cs="Arial"/>
          </w:rPr>
          <w:t>(POJ Nr. 60 von 2004, Punkt 567</w:t>
        </w:r>
      </w:hyperlink>
      <w:r>
        <w:rPr>
          <w:rFonts w:cs="Arial"/>
        </w:rPr>
        <w:t xml:space="preserve">; POJ </w:t>
      </w:r>
      <w:hyperlink r:id="rId30" w:tgtFrame="_blank" w:history="1">
        <w:r>
          <w:rPr>
            <w:rFonts w:cs="Arial"/>
          </w:rPr>
          <w:t>von 2015, Punkt 2166)</w:t>
        </w:r>
      </w:hyperlink>
      <w:r>
        <w:rPr>
          <w:rFonts w:cs="Arial"/>
        </w:rPr>
        <w:t xml:space="preserve"> in Kraft.</w:t>
      </w:r>
    </w:p>
    <w:p w:rsidR="003137B0" w:rsidRPr="009C53CB" w:rsidRDefault="003137B0" w:rsidP="003137B0">
      <w:pPr>
        <w:tabs>
          <w:tab w:val="left" w:pos="4962"/>
        </w:tabs>
        <w:rPr>
          <w:rFonts w:cs="Arial"/>
        </w:rPr>
      </w:pPr>
    </w:p>
    <w:p w:rsidR="003137B0" w:rsidRPr="009C53CB" w:rsidRDefault="003137B0" w:rsidP="003137B0">
      <w:pPr>
        <w:tabs>
          <w:tab w:val="left" w:pos="4962"/>
        </w:tabs>
        <w:rPr>
          <w:rFonts w:cs="Arial"/>
        </w:rPr>
      </w:pPr>
      <w:r>
        <w:rPr>
          <w:rFonts w:cs="Arial"/>
        </w:rPr>
        <w:t>Polen wurde am 11. November 1989 Mitglied der UPOV und trat der Akte von 1991 des UPOV-Übereinkommens am 15. August 2003 als vierundzwanzigster Staat bei.</w:t>
      </w:r>
    </w:p>
    <w:p w:rsidR="003137B0" w:rsidRPr="009C53CB" w:rsidRDefault="003137B0" w:rsidP="003137B0">
      <w:pPr>
        <w:tabs>
          <w:tab w:val="left" w:pos="4962"/>
        </w:tabs>
        <w:rPr>
          <w:rFonts w:cs="Arial"/>
        </w:rPr>
      </w:pPr>
    </w:p>
    <w:p w:rsidR="003137B0" w:rsidRPr="009C53CB" w:rsidRDefault="003137B0" w:rsidP="003137B0">
      <w:pPr>
        <w:tabs>
          <w:tab w:val="left" w:pos="4962"/>
        </w:tabs>
        <w:rPr>
          <w:rFonts w:cs="Arial"/>
        </w:rPr>
      </w:pPr>
    </w:p>
    <w:p w:rsidR="003137B0" w:rsidRPr="009C53CB" w:rsidRDefault="003137B0" w:rsidP="003137B0">
      <w:pPr>
        <w:tabs>
          <w:tab w:val="left" w:pos="567"/>
          <w:tab w:val="left" w:pos="4962"/>
        </w:tabs>
        <w:rPr>
          <w:rFonts w:cs="Arial"/>
          <w:u w:val="single"/>
        </w:rPr>
      </w:pPr>
      <w:r>
        <w:rPr>
          <w:rFonts w:cs="Arial"/>
        </w:rPr>
        <w:t>2.</w:t>
      </w:r>
      <w:r>
        <w:rPr>
          <w:rFonts w:cs="Arial"/>
        </w:rPr>
        <w:tab/>
      </w:r>
      <w:r>
        <w:rPr>
          <w:rFonts w:cs="Arial"/>
          <w:u w:val="single"/>
        </w:rPr>
        <w:t>Zusammenarbeit bei der Prüfung</w:t>
      </w:r>
    </w:p>
    <w:p w:rsidR="003137B0" w:rsidRPr="009C53CB" w:rsidRDefault="003137B0" w:rsidP="003137B0">
      <w:pPr>
        <w:tabs>
          <w:tab w:val="left" w:pos="4962"/>
        </w:tabs>
        <w:rPr>
          <w:rFonts w:cs="Arial"/>
        </w:rPr>
      </w:pPr>
    </w:p>
    <w:p w:rsidR="003137B0" w:rsidRPr="009C53CB" w:rsidRDefault="003137B0" w:rsidP="003137B0">
      <w:pPr>
        <w:tabs>
          <w:tab w:val="left" w:pos="4962"/>
        </w:tabs>
        <w:rPr>
          <w:rFonts w:cs="Arial"/>
          <w:color w:val="000000"/>
        </w:rPr>
      </w:pPr>
      <w:r>
        <w:rPr>
          <w:rFonts w:cs="Arial"/>
          <w:color w:val="000000"/>
        </w:rPr>
        <w:t>Das Forschungszentrum Polens für Zuchtsortenprüfung (COBORU) in Słupia Wielka arbeitet auf dem Gebiet der technischen Prüfung weiterhin mit verschiedenen Ländern zusammen.</w:t>
      </w:r>
    </w:p>
    <w:p w:rsidR="003137B0" w:rsidRPr="009C53CB" w:rsidRDefault="003137B0" w:rsidP="003137B0">
      <w:pPr>
        <w:tabs>
          <w:tab w:val="left" w:pos="4962"/>
        </w:tabs>
        <w:rPr>
          <w:rFonts w:cs="Arial"/>
        </w:rPr>
      </w:pPr>
    </w:p>
    <w:p w:rsidR="003137B0" w:rsidRPr="009C53CB" w:rsidRDefault="003137B0" w:rsidP="003137B0">
      <w:pPr>
        <w:tabs>
          <w:tab w:val="left" w:pos="4962"/>
        </w:tabs>
        <w:rPr>
          <w:rFonts w:cs="Arial"/>
        </w:rPr>
      </w:pPr>
      <w:r w:rsidRPr="00CE1F8D">
        <w:rPr>
          <w:rFonts w:cs="Arial"/>
        </w:rPr>
        <w:t>Polen verfügt über bilaterale Vereinbarungen für die DUS-Prüfung mit der Tschechischen Republik, Ungarn und der Slowakei</w:t>
      </w:r>
      <w:r>
        <w:rPr>
          <w:rFonts w:cs="Arial"/>
        </w:rPr>
        <w:t xml:space="preserve">. </w:t>
      </w:r>
      <w:r w:rsidRPr="00D747A0">
        <w:rPr>
          <w:rFonts w:cs="Arial"/>
        </w:rPr>
        <w:t>Unilaterale Vereinbarungen sind mit Estland, Belarus, Lettland, Litauen, Rumänien, der Russischen Föderation, Slowenien und der Ukraine in Kraft.</w:t>
      </w:r>
    </w:p>
    <w:p w:rsidR="003137B0" w:rsidRPr="009C53CB" w:rsidRDefault="003137B0" w:rsidP="003137B0">
      <w:pPr>
        <w:tabs>
          <w:tab w:val="left" w:pos="4962"/>
        </w:tabs>
        <w:rPr>
          <w:rFonts w:cs="Arial"/>
          <w:color w:val="000000" w:themeColor="text1"/>
        </w:rPr>
      </w:pPr>
    </w:p>
    <w:p w:rsidR="003137B0" w:rsidRPr="009C53CB" w:rsidRDefault="003137B0" w:rsidP="003137B0">
      <w:pPr>
        <w:tabs>
          <w:tab w:val="left" w:pos="4962"/>
        </w:tabs>
        <w:rPr>
          <w:rFonts w:cs="Arial"/>
          <w:color w:val="000000" w:themeColor="text1"/>
        </w:rPr>
      </w:pPr>
      <w:r>
        <w:rPr>
          <w:rFonts w:cs="Arial"/>
          <w:color w:val="000000" w:themeColor="text1"/>
        </w:rPr>
        <w:t>Im Berichtszeitraum führte Polen DUS-Prüfungen für die Behörden folgender Länder durch: Österreich (2 Sorten), Belgien (2 Sorten), Tschechische Republik (23 Sorten), Estland (18 Sorten), Frankreich (1 Sorte), Ungarn (19 Sorten), Lettland (5 Sorten), Litauen (69 Sorten), Rumänien (1 Sorte), Russische Föderation (1 Sorte), Slowenien (9 Sorten), Schweden (1 Sorte), Schweiz (23 Sorten), Vereinigtes Königreich (1 Sorte) sowie für das CPVO (109 Sorten).</w:t>
      </w:r>
    </w:p>
    <w:p w:rsidR="003137B0" w:rsidRPr="009C53CB" w:rsidRDefault="003137B0" w:rsidP="003137B0">
      <w:pPr>
        <w:tabs>
          <w:tab w:val="left" w:pos="4962"/>
        </w:tabs>
        <w:rPr>
          <w:rFonts w:cs="Arial"/>
          <w:color w:val="000000" w:themeColor="text1"/>
        </w:rPr>
      </w:pPr>
    </w:p>
    <w:p w:rsidR="003137B0" w:rsidRDefault="003137B0" w:rsidP="003137B0">
      <w:pPr>
        <w:tabs>
          <w:tab w:val="left" w:pos="4962"/>
        </w:tabs>
        <w:rPr>
          <w:rFonts w:cs="Arial"/>
          <w:color w:val="000000" w:themeColor="text1"/>
        </w:rPr>
      </w:pPr>
      <w:r w:rsidRPr="004C743F">
        <w:rPr>
          <w:rFonts w:cs="Arial"/>
          <w:color w:val="000000" w:themeColor="text1"/>
        </w:rPr>
        <w:t>Diese Prüfungen betrafen verschiedene landwirtschaftliche Arten (133 Sorten), Gemüsearten (23 Sorten), Zierarten (93 Sorten) und Obstarten (35 Sorten).</w:t>
      </w:r>
    </w:p>
    <w:p w:rsidR="003137B0" w:rsidRPr="009C53CB" w:rsidRDefault="003137B0" w:rsidP="003137B0">
      <w:pPr>
        <w:tabs>
          <w:tab w:val="left" w:pos="4962"/>
        </w:tabs>
        <w:rPr>
          <w:rFonts w:cs="Arial"/>
          <w:color w:val="000000" w:themeColor="text1"/>
        </w:rPr>
      </w:pPr>
    </w:p>
    <w:p w:rsidR="003137B0" w:rsidRPr="009C53CB" w:rsidRDefault="003137B0" w:rsidP="003137B0">
      <w:pPr>
        <w:tabs>
          <w:tab w:val="left" w:pos="4962"/>
        </w:tabs>
        <w:rPr>
          <w:rFonts w:cs="Arial"/>
          <w:color w:val="000000" w:themeColor="text1"/>
        </w:rPr>
      </w:pPr>
      <w:r>
        <w:rPr>
          <w:rFonts w:cs="Arial"/>
          <w:color w:val="000000" w:themeColor="text1"/>
        </w:rPr>
        <w:t>Insgesamt wurden 284 Sorten im Auftrag oben genannter Behörden geprüft.</w:t>
      </w:r>
    </w:p>
    <w:p w:rsidR="003137B0" w:rsidRPr="009C53CB" w:rsidRDefault="003137B0" w:rsidP="003137B0">
      <w:pPr>
        <w:tabs>
          <w:tab w:val="left" w:pos="4962"/>
        </w:tabs>
        <w:rPr>
          <w:rFonts w:cs="Arial"/>
        </w:rPr>
      </w:pPr>
    </w:p>
    <w:p w:rsidR="003137B0" w:rsidRPr="009C53CB" w:rsidRDefault="003137B0" w:rsidP="003137B0">
      <w:pPr>
        <w:tabs>
          <w:tab w:val="left" w:pos="4962"/>
        </w:tabs>
        <w:rPr>
          <w:rFonts w:cs="Arial"/>
        </w:rPr>
      </w:pPr>
      <w:r>
        <w:rPr>
          <w:rFonts w:cs="Arial"/>
        </w:rPr>
        <w:t>Wie in den Vorjahren haben einige Behörden, nämlich Österreich, Kanada, das CPVO, Tschechische Republik, Dänemark, Estland, Frankreich, Iran (Islamische Republik), Lettland, Litauen, Niederlande, Republik Moldau, Rumänien, Russische Föderation, Serbien, Slowenien, Schweden, Schweiz, Türkei und das Vereinigte Königreich die Ergebnisse der technischen Prüfung vom COBORU als Grundlage für ihre Entscheidungen bei nationalen Verfahren übernommen.</w:t>
      </w:r>
    </w:p>
    <w:p w:rsidR="003137B0" w:rsidRPr="009212C2" w:rsidRDefault="003137B0" w:rsidP="003137B0">
      <w:pPr>
        <w:tabs>
          <w:tab w:val="left" w:pos="4962"/>
        </w:tabs>
        <w:rPr>
          <w:rFonts w:cs="Arial"/>
        </w:rPr>
      </w:pPr>
    </w:p>
    <w:p w:rsidR="003137B0" w:rsidRPr="009C53CB" w:rsidRDefault="003137B0" w:rsidP="003137B0">
      <w:pPr>
        <w:tabs>
          <w:tab w:val="left" w:pos="4962"/>
        </w:tabs>
        <w:rPr>
          <w:rFonts w:cs="Arial"/>
        </w:rPr>
      </w:pPr>
      <w:r>
        <w:rPr>
          <w:rFonts w:cs="Arial"/>
        </w:rPr>
        <w:t>Polen wirkte aktiv an der Arbeit zur Ausarbeitung des technischen Protokolls bei den vom CPVO organisierten Tagungen mit.</w:t>
      </w:r>
    </w:p>
    <w:p w:rsidR="003137B0" w:rsidRPr="009C53CB" w:rsidRDefault="003137B0" w:rsidP="003137B0">
      <w:pPr>
        <w:tabs>
          <w:tab w:val="left" w:pos="4962"/>
        </w:tabs>
        <w:rPr>
          <w:rFonts w:cs="Arial"/>
        </w:rPr>
      </w:pPr>
    </w:p>
    <w:p w:rsidR="003137B0" w:rsidRPr="009C53CB" w:rsidRDefault="003137B0" w:rsidP="003137B0">
      <w:pPr>
        <w:tabs>
          <w:tab w:val="left" w:pos="4962"/>
        </w:tabs>
        <w:rPr>
          <w:rFonts w:cs="Arial"/>
        </w:rPr>
      </w:pPr>
    </w:p>
    <w:p w:rsidR="003137B0" w:rsidRPr="009C53CB" w:rsidRDefault="003137B0" w:rsidP="003137B0">
      <w:pPr>
        <w:keepNext/>
        <w:tabs>
          <w:tab w:val="left" w:pos="567"/>
        </w:tabs>
        <w:rPr>
          <w:rFonts w:cs="Arial"/>
          <w:u w:val="single"/>
        </w:rPr>
      </w:pPr>
      <w:r>
        <w:rPr>
          <w:rFonts w:cs="Arial"/>
        </w:rPr>
        <w:lastRenderedPageBreak/>
        <w:t>3. und 4.</w:t>
      </w:r>
      <w:r>
        <w:rPr>
          <w:rFonts w:cs="Arial"/>
        </w:rPr>
        <w:tab/>
      </w:r>
      <w:r>
        <w:rPr>
          <w:rFonts w:cs="Arial"/>
          <w:u w:val="single"/>
        </w:rPr>
        <w:t>Lage auf dem Gebiet der Verwaltung und der Technik</w:t>
      </w:r>
    </w:p>
    <w:p w:rsidR="003137B0" w:rsidRPr="009C53CB" w:rsidRDefault="003137B0" w:rsidP="003137B0">
      <w:pPr>
        <w:keepNext/>
        <w:tabs>
          <w:tab w:val="left" w:pos="567"/>
          <w:tab w:val="left" w:pos="4962"/>
        </w:tabs>
        <w:rPr>
          <w:rFonts w:cs="Arial"/>
          <w:u w:val="single"/>
        </w:rPr>
      </w:pPr>
    </w:p>
    <w:p w:rsidR="003137B0" w:rsidRPr="009C53CB" w:rsidRDefault="003137B0" w:rsidP="003137B0">
      <w:pPr>
        <w:rPr>
          <w:rFonts w:cs="Arial"/>
        </w:rPr>
      </w:pPr>
      <w:r>
        <w:rPr>
          <w:rFonts w:cs="Arial"/>
        </w:rPr>
        <w:t>Die Sortenprüfungstätigkeit des COBORU auf dem Gebiet der DUS-Prüfung wird in 13 über das ganze Land verteilten Sortenprüfungsstationen durchgeführt und im Falle von Obstpflanzen auch im Forschungsinstitut für Blumenzucht in Skierniewice.</w:t>
      </w:r>
    </w:p>
    <w:p w:rsidR="003137B0" w:rsidRPr="009C53CB" w:rsidRDefault="003137B0" w:rsidP="003137B0">
      <w:pPr>
        <w:rPr>
          <w:rFonts w:cs="Arial"/>
        </w:rPr>
      </w:pPr>
    </w:p>
    <w:p w:rsidR="003137B0" w:rsidRPr="009C53CB" w:rsidRDefault="003137B0" w:rsidP="003137B0">
      <w:pPr>
        <w:tabs>
          <w:tab w:val="left" w:pos="567"/>
          <w:tab w:val="left" w:pos="4962"/>
        </w:tabs>
        <w:rPr>
          <w:rFonts w:cs="Arial"/>
        </w:rPr>
      </w:pPr>
      <w:r>
        <w:rPr>
          <w:rFonts w:cs="Arial"/>
        </w:rPr>
        <w:t xml:space="preserve">Im Jahr 2020 wurden 14.102 Sorten von 190 Pflanzenarten geprüft (davon 12.931 Sorten in Lebendvergleichssammlungen und 1171 Kandidatensorten). </w:t>
      </w:r>
    </w:p>
    <w:p w:rsidR="003137B0" w:rsidRPr="009C53CB" w:rsidRDefault="003137B0" w:rsidP="003137B0">
      <w:pPr>
        <w:tabs>
          <w:tab w:val="left" w:pos="567"/>
          <w:tab w:val="left" w:pos="4962"/>
        </w:tabs>
        <w:rPr>
          <w:rFonts w:cs="Arial"/>
        </w:rPr>
      </w:pPr>
    </w:p>
    <w:p w:rsidR="003137B0" w:rsidRPr="009C53CB" w:rsidRDefault="003137B0" w:rsidP="003137B0">
      <w:pPr>
        <w:tabs>
          <w:tab w:val="left" w:pos="567"/>
          <w:tab w:val="left" w:pos="4962"/>
        </w:tabs>
        <w:rPr>
          <w:rFonts w:cs="Arial"/>
        </w:rPr>
      </w:pPr>
      <w:r>
        <w:rPr>
          <w:rFonts w:cs="Arial"/>
        </w:rPr>
        <w:t>Die nachstehende Abbildung weist die Zahl der in Polen geprüften Sorten nach Pflanzenkategorien aus.</w:t>
      </w:r>
    </w:p>
    <w:p w:rsidR="003137B0" w:rsidRPr="009C53CB" w:rsidRDefault="003137B0" w:rsidP="003137B0">
      <w:pPr>
        <w:tabs>
          <w:tab w:val="left" w:pos="567"/>
          <w:tab w:val="left" w:pos="4962"/>
        </w:tabs>
        <w:jc w:val="right"/>
        <w:rPr>
          <w:rFonts w:cs="Arial"/>
        </w:rPr>
      </w:pPr>
    </w:p>
    <w:p w:rsidR="003137B0" w:rsidRPr="009212C2" w:rsidRDefault="003137B0" w:rsidP="003137B0">
      <w:pPr>
        <w:pStyle w:val="Heading8"/>
        <w:rPr>
          <w:rFonts w:cs="Arial"/>
        </w:rPr>
      </w:pPr>
      <w:r>
        <w:rPr>
          <w:rFonts w:cs="Arial"/>
        </w:rPr>
        <w:t>Zahl der in der DUS-Prüfung befindlichen Sorten im Jahr 2020</w:t>
      </w:r>
    </w:p>
    <w:p w:rsidR="003137B0" w:rsidRPr="006151A9" w:rsidRDefault="003137B0" w:rsidP="003137B0">
      <w:pPr>
        <w:rPr>
          <w:rFonts w:cs="Arial"/>
        </w:rPr>
      </w:pPr>
    </w:p>
    <w:p w:rsidR="003137B0" w:rsidRDefault="003137B0" w:rsidP="003137B0">
      <w:pPr>
        <w:pStyle w:val="BodyText"/>
        <w:jc w:val="center"/>
        <w:rPr>
          <w:rFonts w:cs="Arial"/>
        </w:rPr>
      </w:pPr>
      <w:r>
        <w:rPr>
          <w:noProof/>
          <w:lang w:val="en-US"/>
        </w:rPr>
        <w:drawing>
          <wp:inline distT="0" distB="0" distL="0" distR="0" wp14:anchorId="51236EF0" wp14:editId="5763C454">
            <wp:extent cx="5480050" cy="3556000"/>
            <wp:effectExtent l="0" t="0" r="635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80050" cy="3556000"/>
                    </a:xfrm>
                    <a:prstGeom prst="rect">
                      <a:avLst/>
                    </a:prstGeom>
                    <a:noFill/>
                    <a:ln>
                      <a:noFill/>
                    </a:ln>
                  </pic:spPr>
                </pic:pic>
              </a:graphicData>
            </a:graphic>
          </wp:inline>
        </w:drawing>
      </w:r>
    </w:p>
    <w:p w:rsidR="003137B0" w:rsidRDefault="003137B0" w:rsidP="003137B0">
      <w:pPr>
        <w:pStyle w:val="BodyText"/>
        <w:rPr>
          <w:rFonts w:cs="Arial"/>
        </w:rPr>
      </w:pPr>
    </w:p>
    <w:p w:rsidR="003137B0" w:rsidRPr="009C53CB" w:rsidRDefault="003137B0" w:rsidP="003137B0">
      <w:pPr>
        <w:pStyle w:val="BodyText"/>
        <w:rPr>
          <w:rFonts w:cs="Arial"/>
        </w:rPr>
      </w:pPr>
      <w:r w:rsidRPr="00854EBB">
        <w:rPr>
          <w:rFonts w:cs="Arial"/>
        </w:rPr>
        <w:t xml:space="preserve">Im Jahr 2020 </w:t>
      </w:r>
      <w:r>
        <w:rPr>
          <w:rFonts w:cs="Arial"/>
        </w:rPr>
        <w:t>gingen beim COBORU insgesamt 148 Anträge auf Erteilung nationaler Züchterrechte ein, was einen Anstieg um 21 Anträge im Vergleich zum Vorjahr darstellt.</w:t>
      </w:r>
    </w:p>
    <w:p w:rsidR="003137B0" w:rsidRPr="009C53CB" w:rsidRDefault="003137B0" w:rsidP="003137B0">
      <w:pPr>
        <w:pStyle w:val="BodyText"/>
        <w:rPr>
          <w:rFonts w:cs="Arial"/>
        </w:rPr>
      </w:pPr>
    </w:p>
    <w:p w:rsidR="003137B0" w:rsidRPr="009C53CB" w:rsidRDefault="003137B0" w:rsidP="003137B0">
      <w:pPr>
        <w:pStyle w:val="BodyText"/>
        <w:rPr>
          <w:rFonts w:cs="Arial"/>
        </w:rPr>
      </w:pPr>
      <w:r>
        <w:rPr>
          <w:rFonts w:cs="Arial"/>
        </w:rPr>
        <w:t>Vom 1. Januar bis 1. September 2021 wurden 94 neue Anträge auf Erteilung nationaler Züchterrechte eingereicht, 65 aus dem Inland und 29 aus dem Ausland. Es wurden 4 Anträge weniger als im vorhergehenden Berichtszeitraum (98) eingereicht.</w:t>
      </w:r>
    </w:p>
    <w:p w:rsidR="003137B0" w:rsidRPr="009C53CB" w:rsidRDefault="003137B0" w:rsidP="003137B0">
      <w:pPr>
        <w:pStyle w:val="BodyText"/>
        <w:rPr>
          <w:rFonts w:cs="Arial"/>
        </w:rPr>
      </w:pPr>
    </w:p>
    <w:p w:rsidR="003137B0" w:rsidRPr="009C53CB" w:rsidRDefault="003137B0" w:rsidP="003137B0">
      <w:pPr>
        <w:pStyle w:val="BodyText"/>
        <w:rPr>
          <w:rFonts w:cs="Arial"/>
        </w:rPr>
      </w:pPr>
      <w:r>
        <w:rPr>
          <w:rFonts w:cs="Arial"/>
        </w:rPr>
        <w:t xml:space="preserve">Im Jahr 2020 erteilte das COBORU 101 nationale Sortenschutztitel (12 mehr als 2019). Ende 2020 waren 1292 nationale Schutztitel in Kraft, was im Vergleich zum Vorjahr einen deutlichen Anstieg um 61 Sorten bedeutet. </w:t>
      </w:r>
    </w:p>
    <w:p w:rsidR="003137B0" w:rsidRPr="009C53CB" w:rsidRDefault="003137B0" w:rsidP="003137B0">
      <w:pPr>
        <w:pStyle w:val="BodyText"/>
        <w:rPr>
          <w:rFonts w:cs="Arial"/>
        </w:rPr>
      </w:pPr>
    </w:p>
    <w:p w:rsidR="003137B0" w:rsidRPr="009C53CB" w:rsidRDefault="003137B0" w:rsidP="003137B0">
      <w:pPr>
        <w:pStyle w:val="BodyText"/>
        <w:rPr>
          <w:rFonts w:cs="Arial"/>
        </w:rPr>
      </w:pPr>
      <w:r>
        <w:rPr>
          <w:rFonts w:cs="Arial"/>
        </w:rPr>
        <w:t>Im Zeitraum vom 1. Januar bis 1. September 2021 wurden 88 nationale Sortenschutztitel erteilt. Insgesamt sind in Polen 1327 Sorten geschützt (zum 1. September 2021).</w:t>
      </w:r>
    </w:p>
    <w:p w:rsidR="003137B0" w:rsidRPr="009C53CB" w:rsidRDefault="003137B0" w:rsidP="003137B0">
      <w:pPr>
        <w:pStyle w:val="BodyText"/>
        <w:rPr>
          <w:rFonts w:cs="Arial"/>
        </w:rPr>
      </w:pPr>
    </w:p>
    <w:p w:rsidR="003137B0" w:rsidRPr="009C53CB" w:rsidRDefault="003137B0" w:rsidP="003137B0">
      <w:pPr>
        <w:pStyle w:val="BodyText"/>
        <w:rPr>
          <w:rFonts w:cs="Arial"/>
        </w:rPr>
      </w:pPr>
      <w:r>
        <w:rPr>
          <w:rFonts w:cs="Arial"/>
        </w:rPr>
        <w:t>Die Einzelheiten der Statistik sind in der nachstehenden Tabelle angegeben.</w:t>
      </w:r>
    </w:p>
    <w:p w:rsidR="003137B0" w:rsidRPr="009C53CB" w:rsidRDefault="003137B0" w:rsidP="003137B0">
      <w:pPr>
        <w:pStyle w:val="BodyText2"/>
        <w:jc w:val="both"/>
        <w:rPr>
          <w:rFonts w:ascii="Arial" w:hAnsi="Arial" w:cs="Arial"/>
          <w:sz w:val="20"/>
        </w:rPr>
      </w:pPr>
    </w:p>
    <w:p w:rsidR="003137B0" w:rsidRPr="009C53CB" w:rsidRDefault="003137B0" w:rsidP="003137B0">
      <w:pPr>
        <w:jc w:val="left"/>
        <w:rPr>
          <w:rFonts w:cs="Arial"/>
          <w:lang w:eastAsia="pl-PL"/>
        </w:rPr>
      </w:pPr>
      <w:r w:rsidRPr="009C53CB">
        <w:rPr>
          <w:rFonts w:cs="Arial"/>
        </w:rPr>
        <w:br w:type="page"/>
      </w:r>
    </w:p>
    <w:p w:rsidR="003137B0" w:rsidRPr="009C53CB" w:rsidRDefault="003137B0" w:rsidP="003137B0">
      <w:pPr>
        <w:pStyle w:val="BodyText2"/>
        <w:keepNext/>
        <w:jc w:val="both"/>
        <w:rPr>
          <w:rFonts w:ascii="Arial" w:hAnsi="Arial" w:cs="Arial"/>
          <w:sz w:val="20"/>
        </w:rPr>
      </w:pPr>
      <w:r>
        <w:rPr>
          <w:rFonts w:ascii="Arial" w:hAnsi="Arial" w:cs="Arial"/>
          <w:sz w:val="20"/>
        </w:rPr>
        <w:lastRenderedPageBreak/>
        <w:t>In der Spalte „Erloschene Schutztitel“ sind acht Sorten enthalten, für die die nationalen Züchterrechte im Berichtszeitraum abgelaufen sind.</w:t>
      </w:r>
    </w:p>
    <w:p w:rsidR="003137B0" w:rsidRPr="009C53CB" w:rsidRDefault="003137B0" w:rsidP="003137B0">
      <w:pPr>
        <w:pStyle w:val="BodyText2"/>
        <w:keepNext/>
        <w:jc w:val="both"/>
        <w:rPr>
          <w:rFonts w:ascii="Arial" w:hAnsi="Arial" w:cs="Arial"/>
          <w:sz w:val="20"/>
        </w:rPr>
      </w:pPr>
    </w:p>
    <w:tbl>
      <w:tblPr>
        <w:tblW w:w="9606" w:type="dxa"/>
        <w:tblLayout w:type="fixed"/>
        <w:tblCellMar>
          <w:left w:w="0" w:type="dxa"/>
          <w:right w:w="0" w:type="dxa"/>
        </w:tblCellMar>
        <w:tblLook w:val="0000" w:firstRow="0" w:lastRow="0" w:firstColumn="0" w:lastColumn="0" w:noHBand="0" w:noVBand="0"/>
      </w:tblPr>
      <w:tblGrid>
        <w:gridCol w:w="1552"/>
        <w:gridCol w:w="850"/>
        <w:gridCol w:w="992"/>
        <w:gridCol w:w="1079"/>
        <w:gridCol w:w="906"/>
        <w:gridCol w:w="850"/>
        <w:gridCol w:w="993"/>
        <w:gridCol w:w="1134"/>
        <w:gridCol w:w="1250"/>
      </w:tblGrid>
      <w:tr w:rsidR="003137B0" w:rsidRPr="009212C2" w:rsidTr="003137B0">
        <w:tc>
          <w:tcPr>
            <w:tcW w:w="1552" w:type="dxa"/>
            <w:tcBorders>
              <w:top w:val="single" w:sz="4" w:space="0" w:color="auto"/>
              <w:left w:val="single" w:sz="6" w:space="0" w:color="auto"/>
            </w:tcBorders>
          </w:tcPr>
          <w:p w:rsidR="003137B0" w:rsidRPr="009C53CB" w:rsidRDefault="003137B0" w:rsidP="00AA577D">
            <w:pPr>
              <w:keepNext/>
              <w:jc w:val="center"/>
              <w:rPr>
                <w:rFonts w:cs="Arial"/>
              </w:rPr>
            </w:pPr>
          </w:p>
          <w:p w:rsidR="003137B0" w:rsidRPr="009212C2" w:rsidRDefault="003137B0" w:rsidP="00AA577D">
            <w:pPr>
              <w:keepNext/>
              <w:jc w:val="center"/>
              <w:rPr>
                <w:rFonts w:cs="Arial"/>
                <w:lang w:val="en-GB"/>
              </w:rPr>
            </w:pPr>
            <w:r>
              <w:rPr>
                <w:rFonts w:cs="Arial"/>
              </w:rPr>
              <w:t>Pflanze</w:t>
            </w:r>
          </w:p>
          <w:p w:rsidR="003137B0" w:rsidRPr="009212C2" w:rsidRDefault="003137B0" w:rsidP="00AA577D">
            <w:pPr>
              <w:keepNext/>
              <w:jc w:val="center"/>
              <w:rPr>
                <w:rFonts w:cs="Arial"/>
                <w:lang w:val="en-GB"/>
              </w:rPr>
            </w:pPr>
            <w:r>
              <w:rPr>
                <w:rFonts w:cs="Arial"/>
              </w:rPr>
              <w:t>Arten</w:t>
            </w:r>
          </w:p>
        </w:tc>
        <w:tc>
          <w:tcPr>
            <w:tcW w:w="2921" w:type="dxa"/>
            <w:gridSpan w:val="3"/>
            <w:tcBorders>
              <w:top w:val="single" w:sz="4" w:space="0" w:color="auto"/>
              <w:left w:val="single" w:sz="12" w:space="0" w:color="auto"/>
              <w:right w:val="single" w:sz="12" w:space="0" w:color="auto"/>
            </w:tcBorders>
          </w:tcPr>
          <w:p w:rsidR="003137B0" w:rsidRPr="009212C2" w:rsidRDefault="003137B0" w:rsidP="00AA577D">
            <w:pPr>
              <w:keepNext/>
              <w:jc w:val="center"/>
              <w:rPr>
                <w:rFonts w:cs="Arial"/>
                <w:lang w:val="en-GB"/>
              </w:rPr>
            </w:pPr>
            <w:r>
              <w:rPr>
                <w:rFonts w:cs="Arial"/>
              </w:rPr>
              <w:t>Beantragte Züchterrechte</w:t>
            </w:r>
          </w:p>
          <w:p w:rsidR="003137B0" w:rsidRPr="009212C2" w:rsidRDefault="003137B0" w:rsidP="00AA577D">
            <w:pPr>
              <w:keepNext/>
              <w:jc w:val="center"/>
              <w:rPr>
                <w:rFonts w:cs="Arial"/>
                <w:lang w:val="en-GB"/>
              </w:rPr>
            </w:pPr>
            <w:r>
              <w:rPr>
                <w:rFonts w:cs="Arial"/>
              </w:rPr>
              <w:t>01.01. – 01.09.2021</w:t>
            </w:r>
          </w:p>
        </w:tc>
        <w:tc>
          <w:tcPr>
            <w:tcW w:w="2749" w:type="dxa"/>
            <w:gridSpan w:val="3"/>
            <w:tcBorders>
              <w:top w:val="single" w:sz="4" w:space="0" w:color="auto"/>
              <w:left w:val="nil"/>
              <w:right w:val="single" w:sz="12" w:space="0" w:color="auto"/>
            </w:tcBorders>
            <w:shd w:val="clear" w:color="auto" w:fill="FFFFFF"/>
          </w:tcPr>
          <w:p w:rsidR="003137B0" w:rsidRPr="009212C2" w:rsidRDefault="003137B0" w:rsidP="00AA577D">
            <w:pPr>
              <w:keepNext/>
              <w:shd w:val="clear" w:color="auto" w:fill="FFFFFF"/>
              <w:jc w:val="center"/>
              <w:rPr>
                <w:rFonts w:cs="Arial"/>
                <w:lang w:val="en-GB"/>
              </w:rPr>
            </w:pPr>
            <w:r>
              <w:rPr>
                <w:rFonts w:cs="Arial"/>
              </w:rPr>
              <w:t>Erteilte Züchterrechte</w:t>
            </w:r>
          </w:p>
          <w:p w:rsidR="003137B0" w:rsidRPr="009212C2" w:rsidRDefault="003137B0" w:rsidP="00AA577D">
            <w:pPr>
              <w:keepNext/>
              <w:shd w:val="clear" w:color="auto" w:fill="FFFFFF"/>
              <w:jc w:val="center"/>
              <w:rPr>
                <w:rFonts w:cs="Arial"/>
                <w:lang w:val="en-GB"/>
              </w:rPr>
            </w:pPr>
            <w:r>
              <w:rPr>
                <w:rFonts w:cs="Arial"/>
              </w:rPr>
              <w:t>01.01. – 01.09.2021</w:t>
            </w:r>
          </w:p>
        </w:tc>
        <w:tc>
          <w:tcPr>
            <w:tcW w:w="1134" w:type="dxa"/>
            <w:tcBorders>
              <w:top w:val="single" w:sz="4" w:space="0" w:color="auto"/>
              <w:left w:val="nil"/>
              <w:right w:val="single" w:sz="12" w:space="0" w:color="auto"/>
            </w:tcBorders>
          </w:tcPr>
          <w:p w:rsidR="003137B0" w:rsidRPr="009212C2" w:rsidRDefault="003137B0" w:rsidP="00AA577D">
            <w:pPr>
              <w:keepNext/>
              <w:jc w:val="center"/>
              <w:rPr>
                <w:rFonts w:cs="Arial"/>
                <w:lang w:val="en-GB"/>
              </w:rPr>
            </w:pPr>
            <w:r>
              <w:rPr>
                <w:rFonts w:cs="Arial"/>
              </w:rPr>
              <w:t>Erloschene Schutztitel</w:t>
            </w:r>
          </w:p>
          <w:p w:rsidR="003137B0" w:rsidRPr="009212C2" w:rsidRDefault="003137B0" w:rsidP="00AA577D">
            <w:pPr>
              <w:keepNext/>
              <w:jc w:val="center"/>
              <w:rPr>
                <w:rFonts w:cs="Arial"/>
                <w:lang w:val="en-GB"/>
              </w:rPr>
            </w:pPr>
          </w:p>
        </w:tc>
        <w:tc>
          <w:tcPr>
            <w:tcW w:w="1250" w:type="dxa"/>
            <w:tcBorders>
              <w:top w:val="single" w:sz="4" w:space="0" w:color="auto"/>
              <w:left w:val="nil"/>
              <w:right w:val="single" w:sz="6" w:space="0" w:color="auto"/>
            </w:tcBorders>
            <w:shd w:val="clear" w:color="auto" w:fill="FFFFFF"/>
          </w:tcPr>
          <w:p w:rsidR="003137B0" w:rsidRPr="009212C2" w:rsidRDefault="003137B0" w:rsidP="00AA577D">
            <w:pPr>
              <w:keepNext/>
              <w:ind w:right="-6"/>
              <w:jc w:val="center"/>
              <w:rPr>
                <w:rFonts w:cs="Arial"/>
                <w:lang w:val="en-GB"/>
              </w:rPr>
            </w:pPr>
            <w:r>
              <w:rPr>
                <w:rFonts w:cs="Arial"/>
              </w:rPr>
              <w:t>Zum 01.09.2021 gültige Schutztitel</w:t>
            </w:r>
          </w:p>
        </w:tc>
      </w:tr>
      <w:tr w:rsidR="003137B0" w:rsidRPr="009212C2" w:rsidTr="003137B0">
        <w:tc>
          <w:tcPr>
            <w:tcW w:w="1552" w:type="dxa"/>
            <w:tcBorders>
              <w:left w:val="single" w:sz="6" w:space="0" w:color="auto"/>
              <w:right w:val="single" w:sz="12" w:space="0" w:color="auto"/>
            </w:tcBorders>
          </w:tcPr>
          <w:p w:rsidR="003137B0" w:rsidRPr="009212C2" w:rsidRDefault="003137B0" w:rsidP="00AA577D">
            <w:pPr>
              <w:rPr>
                <w:rFonts w:cs="Arial"/>
                <w:lang w:val="en-GB"/>
              </w:rPr>
            </w:pPr>
          </w:p>
        </w:tc>
        <w:tc>
          <w:tcPr>
            <w:tcW w:w="850" w:type="dxa"/>
            <w:tcBorders>
              <w:top w:val="single" w:sz="6" w:space="0" w:color="auto"/>
              <w:left w:val="nil"/>
              <w:right w:val="single" w:sz="6" w:space="0" w:color="auto"/>
            </w:tcBorders>
          </w:tcPr>
          <w:p w:rsidR="003137B0" w:rsidRPr="009212C2" w:rsidRDefault="003137B0" w:rsidP="00AA577D">
            <w:pPr>
              <w:jc w:val="center"/>
              <w:rPr>
                <w:rFonts w:cs="Arial"/>
                <w:lang w:val="en-GB"/>
              </w:rPr>
            </w:pPr>
            <w:r>
              <w:rPr>
                <w:rFonts w:cs="Arial"/>
              </w:rPr>
              <w:t>Inland</w:t>
            </w:r>
          </w:p>
        </w:tc>
        <w:tc>
          <w:tcPr>
            <w:tcW w:w="992" w:type="dxa"/>
            <w:tcBorders>
              <w:top w:val="single" w:sz="6" w:space="0" w:color="auto"/>
              <w:left w:val="nil"/>
              <w:right w:val="single" w:sz="6" w:space="0" w:color="auto"/>
            </w:tcBorders>
          </w:tcPr>
          <w:p w:rsidR="003137B0" w:rsidRPr="009212C2" w:rsidRDefault="003137B0" w:rsidP="00AA577D">
            <w:pPr>
              <w:jc w:val="center"/>
              <w:rPr>
                <w:rFonts w:cs="Arial"/>
                <w:lang w:val="en-GB"/>
              </w:rPr>
            </w:pPr>
            <w:r>
              <w:rPr>
                <w:rFonts w:cs="Arial"/>
              </w:rPr>
              <w:t>Ausland</w:t>
            </w:r>
          </w:p>
        </w:tc>
        <w:tc>
          <w:tcPr>
            <w:tcW w:w="1079" w:type="dxa"/>
            <w:tcBorders>
              <w:top w:val="single" w:sz="6" w:space="0" w:color="auto"/>
              <w:left w:val="nil"/>
              <w:right w:val="single" w:sz="12" w:space="0" w:color="auto"/>
            </w:tcBorders>
          </w:tcPr>
          <w:p w:rsidR="003137B0" w:rsidRPr="009212C2" w:rsidRDefault="003137B0" w:rsidP="00AA577D">
            <w:pPr>
              <w:jc w:val="center"/>
              <w:rPr>
                <w:rFonts w:cs="Arial"/>
                <w:lang w:val="en-GB"/>
              </w:rPr>
            </w:pPr>
            <w:r>
              <w:rPr>
                <w:rFonts w:cs="Arial"/>
              </w:rPr>
              <w:t>Insgesamt</w:t>
            </w:r>
          </w:p>
        </w:tc>
        <w:tc>
          <w:tcPr>
            <w:tcW w:w="906" w:type="dxa"/>
            <w:tcBorders>
              <w:top w:val="single" w:sz="6" w:space="0" w:color="auto"/>
              <w:left w:val="nil"/>
              <w:right w:val="single" w:sz="6" w:space="0" w:color="auto"/>
            </w:tcBorders>
          </w:tcPr>
          <w:p w:rsidR="003137B0" w:rsidRPr="009212C2" w:rsidRDefault="003137B0" w:rsidP="00AA577D">
            <w:pPr>
              <w:jc w:val="center"/>
              <w:rPr>
                <w:rFonts w:cs="Arial"/>
                <w:lang w:val="en-GB"/>
              </w:rPr>
            </w:pPr>
            <w:r>
              <w:rPr>
                <w:rFonts w:cs="Arial"/>
              </w:rPr>
              <w:t>Inland</w:t>
            </w:r>
          </w:p>
        </w:tc>
        <w:tc>
          <w:tcPr>
            <w:tcW w:w="850" w:type="dxa"/>
            <w:tcBorders>
              <w:top w:val="single" w:sz="6" w:space="0" w:color="auto"/>
              <w:left w:val="nil"/>
              <w:right w:val="single" w:sz="6" w:space="0" w:color="auto"/>
            </w:tcBorders>
          </w:tcPr>
          <w:p w:rsidR="003137B0" w:rsidRPr="009212C2" w:rsidRDefault="003137B0" w:rsidP="00AA577D">
            <w:pPr>
              <w:jc w:val="center"/>
              <w:rPr>
                <w:rFonts w:cs="Arial"/>
                <w:lang w:val="en-GB"/>
              </w:rPr>
            </w:pPr>
            <w:r>
              <w:rPr>
                <w:rFonts w:cs="Arial"/>
              </w:rPr>
              <w:t>Ausland</w:t>
            </w:r>
          </w:p>
        </w:tc>
        <w:tc>
          <w:tcPr>
            <w:tcW w:w="993" w:type="dxa"/>
            <w:tcBorders>
              <w:top w:val="single" w:sz="6" w:space="0" w:color="auto"/>
              <w:left w:val="nil"/>
              <w:right w:val="single" w:sz="12" w:space="0" w:color="auto"/>
            </w:tcBorders>
          </w:tcPr>
          <w:p w:rsidR="003137B0" w:rsidRPr="009212C2" w:rsidRDefault="003137B0" w:rsidP="00AA577D">
            <w:pPr>
              <w:jc w:val="center"/>
              <w:rPr>
                <w:rFonts w:cs="Arial"/>
                <w:lang w:val="en-GB"/>
              </w:rPr>
            </w:pPr>
            <w:r>
              <w:rPr>
                <w:rFonts w:cs="Arial"/>
              </w:rPr>
              <w:t>Insgesamt</w:t>
            </w:r>
          </w:p>
        </w:tc>
        <w:tc>
          <w:tcPr>
            <w:tcW w:w="1134" w:type="dxa"/>
            <w:tcBorders>
              <w:left w:val="nil"/>
              <w:right w:val="single" w:sz="12" w:space="0" w:color="auto"/>
            </w:tcBorders>
          </w:tcPr>
          <w:p w:rsidR="003137B0" w:rsidRPr="009212C2" w:rsidRDefault="003137B0" w:rsidP="00AA577D">
            <w:pPr>
              <w:jc w:val="center"/>
              <w:rPr>
                <w:rFonts w:cs="Arial"/>
                <w:lang w:val="en-GB"/>
              </w:rPr>
            </w:pPr>
          </w:p>
        </w:tc>
        <w:tc>
          <w:tcPr>
            <w:tcW w:w="1250" w:type="dxa"/>
            <w:tcBorders>
              <w:left w:val="nil"/>
              <w:right w:val="single" w:sz="6" w:space="0" w:color="auto"/>
            </w:tcBorders>
            <w:shd w:val="clear" w:color="auto" w:fill="FFFFFF"/>
          </w:tcPr>
          <w:p w:rsidR="003137B0" w:rsidRPr="009212C2" w:rsidRDefault="003137B0" w:rsidP="00AA577D">
            <w:pPr>
              <w:jc w:val="center"/>
              <w:rPr>
                <w:rFonts w:cs="Arial"/>
                <w:lang w:val="en-GB"/>
              </w:rPr>
            </w:pPr>
          </w:p>
        </w:tc>
      </w:tr>
      <w:tr w:rsidR="003137B0" w:rsidRPr="009212C2" w:rsidTr="003137B0">
        <w:tc>
          <w:tcPr>
            <w:tcW w:w="1552" w:type="dxa"/>
            <w:tcBorders>
              <w:top w:val="single" w:sz="12" w:space="0" w:color="auto"/>
              <w:left w:val="single" w:sz="6" w:space="0" w:color="auto"/>
              <w:bottom w:val="single" w:sz="6" w:space="0" w:color="auto"/>
              <w:right w:val="single" w:sz="12" w:space="0" w:color="auto"/>
            </w:tcBorders>
          </w:tcPr>
          <w:p w:rsidR="003137B0" w:rsidRPr="009212C2" w:rsidRDefault="003137B0" w:rsidP="00AA577D">
            <w:pPr>
              <w:spacing w:before="120"/>
              <w:jc w:val="center"/>
              <w:rPr>
                <w:rFonts w:cs="Arial"/>
                <w:lang w:val="en-GB"/>
              </w:rPr>
            </w:pPr>
            <w:r>
              <w:rPr>
                <w:rFonts w:cs="Arial"/>
              </w:rPr>
              <w:t>Landwirtschaft-liche Arten</w:t>
            </w:r>
          </w:p>
        </w:tc>
        <w:tc>
          <w:tcPr>
            <w:tcW w:w="850" w:type="dxa"/>
            <w:tcBorders>
              <w:top w:val="single" w:sz="12" w:space="0" w:color="auto"/>
              <w:left w:val="nil"/>
              <w:bottom w:val="single" w:sz="6" w:space="0" w:color="auto"/>
              <w:right w:val="single" w:sz="6" w:space="0" w:color="auto"/>
            </w:tcBorders>
          </w:tcPr>
          <w:p w:rsidR="003137B0" w:rsidRPr="009212C2" w:rsidRDefault="003137B0" w:rsidP="00AA577D">
            <w:pPr>
              <w:spacing w:before="120"/>
              <w:jc w:val="center"/>
              <w:rPr>
                <w:rFonts w:cs="Arial"/>
                <w:lang w:val="en-GB"/>
              </w:rPr>
            </w:pPr>
            <w:r>
              <w:rPr>
                <w:rFonts w:cs="Arial"/>
              </w:rPr>
              <w:t>35</w:t>
            </w:r>
          </w:p>
        </w:tc>
        <w:tc>
          <w:tcPr>
            <w:tcW w:w="992" w:type="dxa"/>
            <w:tcBorders>
              <w:top w:val="single" w:sz="12" w:space="0" w:color="auto"/>
              <w:left w:val="single" w:sz="6" w:space="0" w:color="auto"/>
              <w:bottom w:val="single" w:sz="6" w:space="0" w:color="auto"/>
              <w:right w:val="single" w:sz="6" w:space="0" w:color="auto"/>
            </w:tcBorders>
          </w:tcPr>
          <w:p w:rsidR="003137B0" w:rsidRPr="009212C2" w:rsidRDefault="003137B0" w:rsidP="00AA577D">
            <w:pPr>
              <w:spacing w:before="120"/>
              <w:jc w:val="center"/>
              <w:rPr>
                <w:rFonts w:cs="Arial"/>
                <w:lang w:val="en-GB"/>
              </w:rPr>
            </w:pPr>
            <w:r>
              <w:rPr>
                <w:rFonts w:cs="Arial"/>
              </w:rPr>
              <w:t>5</w:t>
            </w:r>
          </w:p>
        </w:tc>
        <w:tc>
          <w:tcPr>
            <w:tcW w:w="1079" w:type="dxa"/>
            <w:tcBorders>
              <w:top w:val="single" w:sz="12" w:space="0" w:color="auto"/>
              <w:left w:val="single" w:sz="6" w:space="0" w:color="auto"/>
              <w:bottom w:val="single" w:sz="6" w:space="0" w:color="auto"/>
              <w:right w:val="single" w:sz="12" w:space="0" w:color="auto"/>
            </w:tcBorders>
            <w:shd w:val="clear" w:color="auto" w:fill="D9D9D9"/>
          </w:tcPr>
          <w:p w:rsidR="003137B0" w:rsidRPr="009212C2" w:rsidRDefault="003137B0" w:rsidP="00AA577D">
            <w:pPr>
              <w:spacing w:before="120"/>
              <w:jc w:val="center"/>
              <w:rPr>
                <w:rFonts w:cs="Arial"/>
                <w:lang w:val="en-GB"/>
              </w:rPr>
            </w:pPr>
            <w:r>
              <w:rPr>
                <w:rFonts w:cs="Arial"/>
              </w:rPr>
              <w:t>40</w:t>
            </w:r>
          </w:p>
        </w:tc>
        <w:tc>
          <w:tcPr>
            <w:tcW w:w="906" w:type="dxa"/>
            <w:tcBorders>
              <w:top w:val="single" w:sz="12" w:space="0" w:color="auto"/>
              <w:left w:val="nil"/>
              <w:bottom w:val="single" w:sz="6" w:space="0" w:color="auto"/>
              <w:right w:val="single" w:sz="6" w:space="0" w:color="auto"/>
            </w:tcBorders>
          </w:tcPr>
          <w:p w:rsidR="003137B0" w:rsidRPr="009212C2" w:rsidRDefault="003137B0" w:rsidP="00AA577D">
            <w:pPr>
              <w:spacing w:before="120"/>
              <w:jc w:val="center"/>
              <w:rPr>
                <w:rFonts w:cs="Arial"/>
                <w:lang w:val="en-GB"/>
              </w:rPr>
            </w:pPr>
            <w:r>
              <w:rPr>
                <w:rFonts w:cs="Arial"/>
              </w:rPr>
              <w:t>3</w:t>
            </w:r>
          </w:p>
        </w:tc>
        <w:tc>
          <w:tcPr>
            <w:tcW w:w="850" w:type="dxa"/>
            <w:tcBorders>
              <w:top w:val="single" w:sz="12" w:space="0" w:color="auto"/>
              <w:left w:val="single" w:sz="6" w:space="0" w:color="auto"/>
              <w:bottom w:val="single" w:sz="6" w:space="0" w:color="auto"/>
              <w:right w:val="single" w:sz="6" w:space="0" w:color="auto"/>
            </w:tcBorders>
          </w:tcPr>
          <w:p w:rsidR="003137B0" w:rsidRPr="009212C2" w:rsidRDefault="003137B0" w:rsidP="00AA577D">
            <w:pPr>
              <w:spacing w:before="120"/>
              <w:jc w:val="center"/>
              <w:rPr>
                <w:rFonts w:cs="Arial"/>
                <w:lang w:val="en-GB"/>
              </w:rPr>
            </w:pPr>
            <w:r>
              <w:rPr>
                <w:rFonts w:cs="Arial"/>
              </w:rPr>
              <w:t>39</w:t>
            </w:r>
          </w:p>
        </w:tc>
        <w:tc>
          <w:tcPr>
            <w:tcW w:w="993" w:type="dxa"/>
            <w:tcBorders>
              <w:top w:val="single" w:sz="12" w:space="0" w:color="auto"/>
              <w:left w:val="single" w:sz="6" w:space="0" w:color="auto"/>
              <w:bottom w:val="single" w:sz="6" w:space="0" w:color="auto"/>
              <w:right w:val="single" w:sz="12" w:space="0" w:color="auto"/>
            </w:tcBorders>
            <w:shd w:val="clear" w:color="auto" w:fill="D9D9D9"/>
          </w:tcPr>
          <w:p w:rsidR="003137B0" w:rsidRPr="009212C2" w:rsidRDefault="003137B0" w:rsidP="00AA577D">
            <w:pPr>
              <w:spacing w:before="120"/>
              <w:jc w:val="center"/>
              <w:rPr>
                <w:rFonts w:cs="Arial"/>
                <w:lang w:val="en-GB"/>
              </w:rPr>
            </w:pPr>
            <w:r>
              <w:rPr>
                <w:rFonts w:cs="Arial"/>
              </w:rPr>
              <w:t>42</w:t>
            </w:r>
          </w:p>
        </w:tc>
        <w:tc>
          <w:tcPr>
            <w:tcW w:w="1134" w:type="dxa"/>
            <w:tcBorders>
              <w:top w:val="single" w:sz="12" w:space="0" w:color="auto"/>
              <w:left w:val="nil"/>
              <w:bottom w:val="single" w:sz="6" w:space="0" w:color="auto"/>
              <w:right w:val="single" w:sz="12" w:space="0" w:color="auto"/>
            </w:tcBorders>
          </w:tcPr>
          <w:p w:rsidR="003137B0" w:rsidRPr="009212C2" w:rsidRDefault="003137B0" w:rsidP="00AA577D">
            <w:pPr>
              <w:spacing w:before="120"/>
              <w:jc w:val="center"/>
              <w:rPr>
                <w:rFonts w:cs="Arial"/>
                <w:lang w:val="en-GB"/>
              </w:rPr>
            </w:pPr>
            <w:r>
              <w:rPr>
                <w:rFonts w:cs="Arial"/>
              </w:rPr>
              <w:t>30</w:t>
            </w:r>
          </w:p>
        </w:tc>
        <w:tc>
          <w:tcPr>
            <w:tcW w:w="1250" w:type="dxa"/>
            <w:tcBorders>
              <w:top w:val="single" w:sz="12" w:space="0" w:color="auto"/>
              <w:left w:val="nil"/>
              <w:bottom w:val="single" w:sz="6" w:space="0" w:color="auto"/>
              <w:right w:val="single" w:sz="6" w:space="0" w:color="auto"/>
            </w:tcBorders>
            <w:shd w:val="clear" w:color="auto" w:fill="D9D9D9"/>
          </w:tcPr>
          <w:p w:rsidR="003137B0" w:rsidRPr="009212C2" w:rsidRDefault="003137B0" w:rsidP="00AA577D">
            <w:pPr>
              <w:spacing w:before="120"/>
              <w:jc w:val="center"/>
              <w:rPr>
                <w:rFonts w:cs="Arial"/>
                <w:lang w:val="en-GB"/>
              </w:rPr>
            </w:pPr>
            <w:r>
              <w:rPr>
                <w:rFonts w:cs="Arial"/>
              </w:rPr>
              <w:t>739</w:t>
            </w:r>
          </w:p>
        </w:tc>
      </w:tr>
      <w:tr w:rsidR="003137B0" w:rsidRPr="009212C2" w:rsidTr="003137B0">
        <w:tc>
          <w:tcPr>
            <w:tcW w:w="1552" w:type="dxa"/>
            <w:tcBorders>
              <w:top w:val="single" w:sz="6" w:space="0" w:color="auto"/>
              <w:left w:val="single" w:sz="6" w:space="0" w:color="auto"/>
              <w:bottom w:val="single" w:sz="6" w:space="0" w:color="auto"/>
              <w:right w:val="single" w:sz="12" w:space="0" w:color="auto"/>
            </w:tcBorders>
          </w:tcPr>
          <w:p w:rsidR="003137B0" w:rsidRPr="009212C2" w:rsidRDefault="003137B0" w:rsidP="00AA577D">
            <w:pPr>
              <w:spacing w:before="120"/>
              <w:jc w:val="center"/>
              <w:rPr>
                <w:rFonts w:cs="Arial"/>
                <w:lang w:val="en-GB"/>
              </w:rPr>
            </w:pPr>
            <w:r>
              <w:rPr>
                <w:rFonts w:cs="Arial"/>
              </w:rPr>
              <w:t>Gemüsearten</w:t>
            </w:r>
          </w:p>
        </w:tc>
        <w:tc>
          <w:tcPr>
            <w:tcW w:w="850" w:type="dxa"/>
            <w:tcBorders>
              <w:top w:val="single" w:sz="6" w:space="0" w:color="auto"/>
              <w:left w:val="nil"/>
              <w:bottom w:val="single" w:sz="6" w:space="0" w:color="auto"/>
              <w:right w:val="single" w:sz="6" w:space="0" w:color="auto"/>
            </w:tcBorders>
          </w:tcPr>
          <w:p w:rsidR="003137B0" w:rsidRPr="009212C2" w:rsidRDefault="003137B0" w:rsidP="00AA577D">
            <w:pPr>
              <w:spacing w:before="120"/>
              <w:jc w:val="center"/>
              <w:rPr>
                <w:rFonts w:cs="Arial"/>
                <w:lang w:val="en-GB"/>
              </w:rPr>
            </w:pPr>
            <w:r>
              <w:rPr>
                <w:rFonts w:cs="Arial"/>
              </w:rPr>
              <w:t>12</w:t>
            </w:r>
          </w:p>
        </w:tc>
        <w:tc>
          <w:tcPr>
            <w:tcW w:w="992" w:type="dxa"/>
            <w:tcBorders>
              <w:top w:val="single" w:sz="6" w:space="0" w:color="auto"/>
              <w:left w:val="single" w:sz="6" w:space="0" w:color="auto"/>
              <w:bottom w:val="single" w:sz="6" w:space="0" w:color="auto"/>
              <w:right w:val="single" w:sz="6" w:space="0" w:color="auto"/>
            </w:tcBorders>
          </w:tcPr>
          <w:p w:rsidR="003137B0" w:rsidRPr="009212C2" w:rsidRDefault="003137B0" w:rsidP="00AA577D">
            <w:pPr>
              <w:spacing w:before="120"/>
              <w:jc w:val="center"/>
              <w:rPr>
                <w:rFonts w:cs="Arial"/>
                <w:lang w:val="en-GB"/>
              </w:rPr>
            </w:pPr>
            <w:r>
              <w:rPr>
                <w:rFonts w:cs="Arial"/>
              </w:rPr>
              <w:t>1</w:t>
            </w:r>
          </w:p>
        </w:tc>
        <w:tc>
          <w:tcPr>
            <w:tcW w:w="1079" w:type="dxa"/>
            <w:tcBorders>
              <w:top w:val="single" w:sz="6" w:space="0" w:color="auto"/>
              <w:left w:val="single" w:sz="6" w:space="0" w:color="auto"/>
              <w:bottom w:val="single" w:sz="6" w:space="0" w:color="auto"/>
              <w:right w:val="single" w:sz="12" w:space="0" w:color="auto"/>
            </w:tcBorders>
            <w:shd w:val="clear" w:color="auto" w:fill="D9D9D9"/>
          </w:tcPr>
          <w:p w:rsidR="003137B0" w:rsidRPr="009212C2" w:rsidRDefault="003137B0" w:rsidP="00AA577D">
            <w:pPr>
              <w:spacing w:before="120"/>
              <w:jc w:val="center"/>
              <w:rPr>
                <w:rFonts w:cs="Arial"/>
                <w:lang w:val="en-GB"/>
              </w:rPr>
            </w:pPr>
            <w:r>
              <w:rPr>
                <w:rFonts w:cs="Arial"/>
              </w:rPr>
              <w:t>13</w:t>
            </w:r>
          </w:p>
        </w:tc>
        <w:tc>
          <w:tcPr>
            <w:tcW w:w="906" w:type="dxa"/>
            <w:tcBorders>
              <w:top w:val="single" w:sz="6" w:space="0" w:color="auto"/>
              <w:left w:val="nil"/>
              <w:bottom w:val="single" w:sz="6" w:space="0" w:color="auto"/>
              <w:right w:val="single" w:sz="6" w:space="0" w:color="auto"/>
            </w:tcBorders>
          </w:tcPr>
          <w:p w:rsidR="003137B0" w:rsidRPr="009212C2" w:rsidRDefault="003137B0" w:rsidP="00AA577D">
            <w:pPr>
              <w:spacing w:before="120"/>
              <w:jc w:val="center"/>
              <w:rPr>
                <w:rFonts w:cs="Arial"/>
                <w:lang w:val="en-GB"/>
              </w:rPr>
            </w:pPr>
            <w:r>
              <w:rPr>
                <w:rFonts w:cs="Arial"/>
              </w:rPr>
              <w:t>16</w:t>
            </w:r>
          </w:p>
        </w:tc>
        <w:tc>
          <w:tcPr>
            <w:tcW w:w="850" w:type="dxa"/>
            <w:tcBorders>
              <w:top w:val="single" w:sz="6" w:space="0" w:color="auto"/>
              <w:left w:val="single" w:sz="6" w:space="0" w:color="auto"/>
              <w:bottom w:val="single" w:sz="6" w:space="0" w:color="auto"/>
              <w:right w:val="single" w:sz="6" w:space="0" w:color="auto"/>
            </w:tcBorders>
          </w:tcPr>
          <w:p w:rsidR="003137B0" w:rsidRPr="009212C2" w:rsidRDefault="003137B0" w:rsidP="00AA577D">
            <w:pPr>
              <w:spacing w:before="120"/>
              <w:jc w:val="center"/>
              <w:rPr>
                <w:rFonts w:cs="Arial"/>
                <w:lang w:val="en-GB"/>
              </w:rPr>
            </w:pPr>
            <w:r>
              <w:rPr>
                <w:rFonts w:cs="Arial"/>
              </w:rPr>
              <w:t>1</w:t>
            </w:r>
          </w:p>
        </w:tc>
        <w:tc>
          <w:tcPr>
            <w:tcW w:w="993" w:type="dxa"/>
            <w:tcBorders>
              <w:top w:val="single" w:sz="6" w:space="0" w:color="auto"/>
              <w:left w:val="single" w:sz="6" w:space="0" w:color="auto"/>
              <w:bottom w:val="single" w:sz="6" w:space="0" w:color="auto"/>
              <w:right w:val="single" w:sz="12" w:space="0" w:color="auto"/>
            </w:tcBorders>
            <w:shd w:val="clear" w:color="auto" w:fill="D9D9D9"/>
          </w:tcPr>
          <w:p w:rsidR="003137B0" w:rsidRPr="009212C2" w:rsidRDefault="003137B0" w:rsidP="00AA577D">
            <w:pPr>
              <w:spacing w:before="120"/>
              <w:jc w:val="center"/>
              <w:rPr>
                <w:rFonts w:cs="Arial"/>
                <w:lang w:val="en-GB"/>
              </w:rPr>
            </w:pPr>
            <w:r>
              <w:rPr>
                <w:rFonts w:cs="Arial"/>
              </w:rPr>
              <w:t>17</w:t>
            </w:r>
          </w:p>
        </w:tc>
        <w:tc>
          <w:tcPr>
            <w:tcW w:w="1134" w:type="dxa"/>
            <w:tcBorders>
              <w:top w:val="single" w:sz="6" w:space="0" w:color="auto"/>
              <w:left w:val="nil"/>
              <w:bottom w:val="single" w:sz="6" w:space="0" w:color="auto"/>
              <w:right w:val="single" w:sz="12" w:space="0" w:color="auto"/>
            </w:tcBorders>
          </w:tcPr>
          <w:p w:rsidR="003137B0" w:rsidRPr="009212C2" w:rsidRDefault="003137B0" w:rsidP="00AA577D">
            <w:pPr>
              <w:spacing w:before="120"/>
              <w:jc w:val="center"/>
              <w:rPr>
                <w:rFonts w:cs="Arial"/>
                <w:lang w:val="en-GB"/>
              </w:rPr>
            </w:pPr>
            <w:r>
              <w:rPr>
                <w:rFonts w:cs="Arial"/>
              </w:rPr>
              <w:t>11</w:t>
            </w:r>
          </w:p>
        </w:tc>
        <w:tc>
          <w:tcPr>
            <w:tcW w:w="1250" w:type="dxa"/>
            <w:tcBorders>
              <w:top w:val="single" w:sz="6" w:space="0" w:color="auto"/>
              <w:left w:val="nil"/>
              <w:bottom w:val="single" w:sz="6" w:space="0" w:color="auto"/>
              <w:right w:val="single" w:sz="6" w:space="0" w:color="auto"/>
            </w:tcBorders>
            <w:shd w:val="clear" w:color="auto" w:fill="D9D9D9"/>
          </w:tcPr>
          <w:p w:rsidR="003137B0" w:rsidRPr="009212C2" w:rsidRDefault="003137B0" w:rsidP="00AA577D">
            <w:pPr>
              <w:spacing w:before="120"/>
              <w:jc w:val="center"/>
              <w:rPr>
                <w:rFonts w:cs="Arial"/>
                <w:lang w:val="en-GB"/>
              </w:rPr>
            </w:pPr>
            <w:r>
              <w:rPr>
                <w:rFonts w:cs="Arial"/>
              </w:rPr>
              <w:t>209</w:t>
            </w:r>
          </w:p>
        </w:tc>
      </w:tr>
      <w:tr w:rsidR="003137B0" w:rsidRPr="009212C2" w:rsidTr="003137B0">
        <w:tc>
          <w:tcPr>
            <w:tcW w:w="1552" w:type="dxa"/>
            <w:tcBorders>
              <w:top w:val="single" w:sz="6" w:space="0" w:color="auto"/>
              <w:left w:val="single" w:sz="6" w:space="0" w:color="auto"/>
              <w:right w:val="single" w:sz="12" w:space="0" w:color="auto"/>
            </w:tcBorders>
          </w:tcPr>
          <w:p w:rsidR="003137B0" w:rsidRPr="009212C2" w:rsidRDefault="003137B0" w:rsidP="00AA577D">
            <w:pPr>
              <w:spacing w:before="120"/>
              <w:jc w:val="center"/>
              <w:rPr>
                <w:rFonts w:cs="Arial"/>
                <w:lang w:val="en-GB"/>
              </w:rPr>
            </w:pPr>
            <w:r>
              <w:rPr>
                <w:rFonts w:cs="Arial"/>
              </w:rPr>
              <w:t>Zierarten</w:t>
            </w:r>
          </w:p>
        </w:tc>
        <w:tc>
          <w:tcPr>
            <w:tcW w:w="850" w:type="dxa"/>
            <w:tcBorders>
              <w:top w:val="single" w:sz="6" w:space="0" w:color="auto"/>
              <w:left w:val="nil"/>
              <w:right w:val="single" w:sz="6" w:space="0" w:color="auto"/>
            </w:tcBorders>
          </w:tcPr>
          <w:p w:rsidR="003137B0" w:rsidRPr="009212C2" w:rsidRDefault="003137B0" w:rsidP="00AA577D">
            <w:pPr>
              <w:spacing w:before="120"/>
              <w:jc w:val="center"/>
              <w:rPr>
                <w:rFonts w:cs="Arial"/>
                <w:lang w:val="en-GB"/>
              </w:rPr>
            </w:pPr>
            <w:r>
              <w:rPr>
                <w:rFonts w:cs="Arial"/>
              </w:rPr>
              <w:t>14</w:t>
            </w:r>
          </w:p>
        </w:tc>
        <w:tc>
          <w:tcPr>
            <w:tcW w:w="992" w:type="dxa"/>
            <w:tcBorders>
              <w:top w:val="single" w:sz="6" w:space="0" w:color="auto"/>
              <w:left w:val="single" w:sz="6" w:space="0" w:color="auto"/>
              <w:right w:val="single" w:sz="6" w:space="0" w:color="auto"/>
            </w:tcBorders>
          </w:tcPr>
          <w:p w:rsidR="003137B0" w:rsidRPr="009212C2" w:rsidRDefault="003137B0" w:rsidP="00AA577D">
            <w:pPr>
              <w:spacing w:before="120"/>
              <w:jc w:val="center"/>
              <w:rPr>
                <w:rFonts w:cs="Arial"/>
                <w:lang w:val="en-GB"/>
              </w:rPr>
            </w:pPr>
            <w:r>
              <w:rPr>
                <w:rFonts w:cs="Arial"/>
              </w:rPr>
              <w:t>22</w:t>
            </w:r>
          </w:p>
        </w:tc>
        <w:tc>
          <w:tcPr>
            <w:tcW w:w="1079" w:type="dxa"/>
            <w:tcBorders>
              <w:top w:val="single" w:sz="6" w:space="0" w:color="auto"/>
              <w:left w:val="single" w:sz="6" w:space="0" w:color="auto"/>
              <w:right w:val="single" w:sz="12" w:space="0" w:color="auto"/>
            </w:tcBorders>
            <w:shd w:val="clear" w:color="auto" w:fill="D9D9D9"/>
          </w:tcPr>
          <w:p w:rsidR="003137B0" w:rsidRPr="009212C2" w:rsidRDefault="003137B0" w:rsidP="00AA577D">
            <w:pPr>
              <w:spacing w:before="120"/>
              <w:jc w:val="center"/>
              <w:rPr>
                <w:rFonts w:cs="Arial"/>
                <w:lang w:val="en-GB"/>
              </w:rPr>
            </w:pPr>
            <w:r>
              <w:rPr>
                <w:rFonts w:cs="Arial"/>
              </w:rPr>
              <w:t>36</w:t>
            </w:r>
          </w:p>
        </w:tc>
        <w:tc>
          <w:tcPr>
            <w:tcW w:w="906" w:type="dxa"/>
            <w:tcBorders>
              <w:top w:val="single" w:sz="6" w:space="0" w:color="auto"/>
              <w:left w:val="nil"/>
              <w:right w:val="single" w:sz="6" w:space="0" w:color="auto"/>
            </w:tcBorders>
          </w:tcPr>
          <w:p w:rsidR="003137B0" w:rsidRPr="009212C2" w:rsidRDefault="003137B0" w:rsidP="00AA577D">
            <w:pPr>
              <w:spacing w:before="120"/>
              <w:jc w:val="center"/>
              <w:rPr>
                <w:rFonts w:cs="Arial"/>
                <w:lang w:val="en-GB"/>
              </w:rPr>
            </w:pPr>
            <w:r>
              <w:rPr>
                <w:rFonts w:cs="Arial"/>
              </w:rPr>
              <w:t>13</w:t>
            </w:r>
          </w:p>
        </w:tc>
        <w:tc>
          <w:tcPr>
            <w:tcW w:w="850" w:type="dxa"/>
            <w:tcBorders>
              <w:top w:val="single" w:sz="6" w:space="0" w:color="auto"/>
              <w:left w:val="single" w:sz="6" w:space="0" w:color="auto"/>
              <w:right w:val="single" w:sz="6" w:space="0" w:color="auto"/>
            </w:tcBorders>
          </w:tcPr>
          <w:p w:rsidR="003137B0" w:rsidRPr="009212C2" w:rsidRDefault="003137B0" w:rsidP="00AA577D">
            <w:pPr>
              <w:spacing w:before="120"/>
              <w:jc w:val="center"/>
              <w:rPr>
                <w:rFonts w:cs="Arial"/>
                <w:lang w:val="en-GB"/>
              </w:rPr>
            </w:pPr>
            <w:r>
              <w:rPr>
                <w:rFonts w:cs="Arial"/>
              </w:rPr>
              <w:t>9</w:t>
            </w:r>
          </w:p>
        </w:tc>
        <w:tc>
          <w:tcPr>
            <w:tcW w:w="993" w:type="dxa"/>
            <w:tcBorders>
              <w:top w:val="single" w:sz="6" w:space="0" w:color="auto"/>
              <w:left w:val="single" w:sz="6" w:space="0" w:color="auto"/>
              <w:right w:val="single" w:sz="12" w:space="0" w:color="auto"/>
            </w:tcBorders>
            <w:shd w:val="clear" w:color="auto" w:fill="D9D9D9"/>
          </w:tcPr>
          <w:p w:rsidR="003137B0" w:rsidRPr="009212C2" w:rsidRDefault="003137B0" w:rsidP="00AA577D">
            <w:pPr>
              <w:spacing w:before="120"/>
              <w:jc w:val="center"/>
              <w:rPr>
                <w:rFonts w:cs="Arial"/>
                <w:lang w:val="en-GB"/>
              </w:rPr>
            </w:pPr>
            <w:r>
              <w:rPr>
                <w:rFonts w:cs="Arial"/>
              </w:rPr>
              <w:t>22</w:t>
            </w:r>
          </w:p>
        </w:tc>
        <w:tc>
          <w:tcPr>
            <w:tcW w:w="1134" w:type="dxa"/>
            <w:tcBorders>
              <w:top w:val="single" w:sz="6" w:space="0" w:color="auto"/>
              <w:left w:val="nil"/>
              <w:right w:val="single" w:sz="12" w:space="0" w:color="auto"/>
            </w:tcBorders>
          </w:tcPr>
          <w:p w:rsidR="003137B0" w:rsidRPr="009212C2" w:rsidRDefault="003137B0" w:rsidP="00AA577D">
            <w:pPr>
              <w:spacing w:before="120"/>
              <w:jc w:val="center"/>
              <w:rPr>
                <w:rFonts w:cs="Arial"/>
                <w:lang w:val="en-GB"/>
              </w:rPr>
            </w:pPr>
            <w:r>
              <w:rPr>
                <w:rFonts w:cs="Arial"/>
              </w:rPr>
              <w:t>9</w:t>
            </w:r>
          </w:p>
        </w:tc>
        <w:tc>
          <w:tcPr>
            <w:tcW w:w="1250" w:type="dxa"/>
            <w:tcBorders>
              <w:top w:val="single" w:sz="6" w:space="0" w:color="auto"/>
              <w:left w:val="nil"/>
              <w:right w:val="single" w:sz="6" w:space="0" w:color="auto"/>
            </w:tcBorders>
            <w:shd w:val="clear" w:color="auto" w:fill="D9D9D9"/>
          </w:tcPr>
          <w:p w:rsidR="003137B0" w:rsidRPr="009212C2" w:rsidRDefault="003137B0" w:rsidP="00AA577D">
            <w:pPr>
              <w:spacing w:before="120"/>
              <w:jc w:val="center"/>
              <w:rPr>
                <w:rFonts w:cs="Arial"/>
                <w:lang w:val="en-GB"/>
              </w:rPr>
            </w:pPr>
            <w:r>
              <w:rPr>
                <w:rFonts w:cs="Arial"/>
              </w:rPr>
              <w:t>260</w:t>
            </w:r>
          </w:p>
        </w:tc>
      </w:tr>
      <w:tr w:rsidR="003137B0" w:rsidRPr="009212C2" w:rsidTr="003137B0">
        <w:tc>
          <w:tcPr>
            <w:tcW w:w="1552" w:type="dxa"/>
            <w:tcBorders>
              <w:top w:val="single" w:sz="6" w:space="0" w:color="auto"/>
              <w:left w:val="single" w:sz="6" w:space="0" w:color="auto"/>
              <w:right w:val="single" w:sz="12" w:space="0" w:color="auto"/>
            </w:tcBorders>
          </w:tcPr>
          <w:p w:rsidR="003137B0" w:rsidRPr="009212C2" w:rsidRDefault="003137B0" w:rsidP="00AA577D">
            <w:pPr>
              <w:spacing w:before="120"/>
              <w:jc w:val="center"/>
              <w:rPr>
                <w:rFonts w:cs="Arial"/>
                <w:lang w:val="en-GB"/>
              </w:rPr>
            </w:pPr>
            <w:r>
              <w:rPr>
                <w:rFonts w:cs="Arial"/>
              </w:rPr>
              <w:t>Obstarten</w:t>
            </w:r>
          </w:p>
        </w:tc>
        <w:tc>
          <w:tcPr>
            <w:tcW w:w="850" w:type="dxa"/>
            <w:tcBorders>
              <w:top w:val="single" w:sz="6" w:space="0" w:color="auto"/>
              <w:left w:val="nil"/>
              <w:right w:val="single" w:sz="6" w:space="0" w:color="auto"/>
            </w:tcBorders>
          </w:tcPr>
          <w:p w:rsidR="003137B0" w:rsidRPr="009212C2" w:rsidRDefault="003137B0" w:rsidP="00AA577D">
            <w:pPr>
              <w:spacing w:before="120"/>
              <w:jc w:val="center"/>
              <w:rPr>
                <w:rFonts w:cs="Arial"/>
                <w:lang w:val="en-GB"/>
              </w:rPr>
            </w:pPr>
            <w:r>
              <w:rPr>
                <w:rFonts w:cs="Arial"/>
              </w:rPr>
              <w:t>4</w:t>
            </w:r>
          </w:p>
        </w:tc>
        <w:tc>
          <w:tcPr>
            <w:tcW w:w="992" w:type="dxa"/>
            <w:tcBorders>
              <w:top w:val="single" w:sz="6" w:space="0" w:color="auto"/>
              <w:left w:val="single" w:sz="6" w:space="0" w:color="auto"/>
              <w:right w:val="single" w:sz="6" w:space="0" w:color="auto"/>
            </w:tcBorders>
          </w:tcPr>
          <w:p w:rsidR="003137B0" w:rsidRPr="009212C2" w:rsidRDefault="003137B0" w:rsidP="00AA577D">
            <w:pPr>
              <w:spacing w:before="120"/>
              <w:jc w:val="center"/>
              <w:rPr>
                <w:rFonts w:cs="Arial"/>
                <w:lang w:val="en-GB"/>
              </w:rPr>
            </w:pPr>
            <w:r>
              <w:rPr>
                <w:rFonts w:cs="Arial"/>
              </w:rPr>
              <w:t>1</w:t>
            </w:r>
          </w:p>
        </w:tc>
        <w:tc>
          <w:tcPr>
            <w:tcW w:w="1079" w:type="dxa"/>
            <w:tcBorders>
              <w:top w:val="single" w:sz="6" w:space="0" w:color="auto"/>
              <w:left w:val="single" w:sz="6" w:space="0" w:color="auto"/>
              <w:right w:val="single" w:sz="12" w:space="0" w:color="auto"/>
            </w:tcBorders>
            <w:shd w:val="clear" w:color="auto" w:fill="D9D9D9"/>
          </w:tcPr>
          <w:p w:rsidR="003137B0" w:rsidRPr="009212C2" w:rsidRDefault="003137B0" w:rsidP="00AA577D">
            <w:pPr>
              <w:spacing w:before="120"/>
              <w:jc w:val="center"/>
              <w:rPr>
                <w:rFonts w:cs="Arial"/>
                <w:lang w:val="en-GB"/>
              </w:rPr>
            </w:pPr>
            <w:r>
              <w:rPr>
                <w:rFonts w:cs="Arial"/>
              </w:rPr>
              <w:t>5</w:t>
            </w:r>
          </w:p>
        </w:tc>
        <w:tc>
          <w:tcPr>
            <w:tcW w:w="906" w:type="dxa"/>
            <w:tcBorders>
              <w:top w:val="single" w:sz="6" w:space="0" w:color="auto"/>
              <w:left w:val="nil"/>
              <w:right w:val="single" w:sz="6" w:space="0" w:color="auto"/>
            </w:tcBorders>
          </w:tcPr>
          <w:p w:rsidR="003137B0" w:rsidRPr="009212C2" w:rsidRDefault="003137B0" w:rsidP="00AA577D">
            <w:pPr>
              <w:pStyle w:val="Footer"/>
              <w:spacing w:before="120"/>
              <w:jc w:val="center"/>
              <w:rPr>
                <w:rFonts w:cs="Arial"/>
                <w:sz w:val="20"/>
                <w:lang w:val="en-GB"/>
              </w:rPr>
            </w:pPr>
            <w:r>
              <w:rPr>
                <w:rFonts w:cs="Arial"/>
                <w:sz w:val="20"/>
              </w:rPr>
              <w:t>6</w:t>
            </w:r>
          </w:p>
        </w:tc>
        <w:tc>
          <w:tcPr>
            <w:tcW w:w="850" w:type="dxa"/>
            <w:tcBorders>
              <w:top w:val="single" w:sz="6" w:space="0" w:color="auto"/>
              <w:left w:val="single" w:sz="6" w:space="0" w:color="auto"/>
              <w:right w:val="single" w:sz="6" w:space="0" w:color="auto"/>
            </w:tcBorders>
          </w:tcPr>
          <w:p w:rsidR="003137B0" w:rsidRPr="009212C2" w:rsidRDefault="003137B0" w:rsidP="00AA577D">
            <w:pPr>
              <w:spacing w:before="120"/>
              <w:jc w:val="center"/>
              <w:rPr>
                <w:rFonts w:cs="Arial"/>
                <w:lang w:val="en-GB"/>
              </w:rPr>
            </w:pPr>
            <w:r>
              <w:rPr>
                <w:rFonts w:cs="Arial"/>
              </w:rPr>
              <w:t>1</w:t>
            </w:r>
          </w:p>
        </w:tc>
        <w:tc>
          <w:tcPr>
            <w:tcW w:w="993" w:type="dxa"/>
            <w:tcBorders>
              <w:top w:val="single" w:sz="6" w:space="0" w:color="auto"/>
              <w:left w:val="single" w:sz="6" w:space="0" w:color="auto"/>
              <w:right w:val="single" w:sz="12" w:space="0" w:color="auto"/>
            </w:tcBorders>
            <w:shd w:val="clear" w:color="auto" w:fill="D9D9D9"/>
          </w:tcPr>
          <w:p w:rsidR="003137B0" w:rsidRPr="009212C2" w:rsidRDefault="003137B0" w:rsidP="00AA577D">
            <w:pPr>
              <w:spacing w:before="120"/>
              <w:jc w:val="center"/>
              <w:rPr>
                <w:rFonts w:cs="Arial"/>
                <w:lang w:val="en-GB"/>
              </w:rPr>
            </w:pPr>
            <w:r>
              <w:rPr>
                <w:rFonts w:cs="Arial"/>
              </w:rPr>
              <w:t>7</w:t>
            </w:r>
          </w:p>
        </w:tc>
        <w:tc>
          <w:tcPr>
            <w:tcW w:w="1134" w:type="dxa"/>
            <w:tcBorders>
              <w:top w:val="single" w:sz="6" w:space="0" w:color="auto"/>
              <w:left w:val="nil"/>
              <w:right w:val="single" w:sz="12" w:space="0" w:color="auto"/>
            </w:tcBorders>
          </w:tcPr>
          <w:p w:rsidR="003137B0" w:rsidRPr="009212C2" w:rsidRDefault="003137B0" w:rsidP="00AA577D">
            <w:pPr>
              <w:spacing w:before="120"/>
              <w:jc w:val="center"/>
              <w:rPr>
                <w:rFonts w:cs="Arial"/>
                <w:lang w:val="en-GB"/>
              </w:rPr>
            </w:pPr>
            <w:r>
              <w:rPr>
                <w:rFonts w:cs="Arial"/>
              </w:rPr>
              <w:t>3</w:t>
            </w:r>
          </w:p>
        </w:tc>
        <w:tc>
          <w:tcPr>
            <w:tcW w:w="1250" w:type="dxa"/>
            <w:tcBorders>
              <w:top w:val="single" w:sz="6" w:space="0" w:color="auto"/>
              <w:left w:val="nil"/>
              <w:right w:val="single" w:sz="6" w:space="0" w:color="auto"/>
            </w:tcBorders>
            <w:shd w:val="clear" w:color="auto" w:fill="D9D9D9"/>
          </w:tcPr>
          <w:p w:rsidR="003137B0" w:rsidRPr="009212C2" w:rsidRDefault="003137B0" w:rsidP="00AA577D">
            <w:pPr>
              <w:spacing w:before="120"/>
              <w:jc w:val="center"/>
              <w:rPr>
                <w:rFonts w:cs="Arial"/>
                <w:lang w:val="en-GB"/>
              </w:rPr>
            </w:pPr>
            <w:r>
              <w:rPr>
                <w:rFonts w:cs="Arial"/>
              </w:rPr>
              <w:t>119</w:t>
            </w:r>
          </w:p>
        </w:tc>
      </w:tr>
      <w:tr w:rsidR="003137B0" w:rsidRPr="009212C2" w:rsidTr="003137B0">
        <w:tc>
          <w:tcPr>
            <w:tcW w:w="1552" w:type="dxa"/>
            <w:tcBorders>
              <w:top w:val="single" w:sz="12" w:space="0" w:color="auto"/>
              <w:left w:val="single" w:sz="6" w:space="0" w:color="auto"/>
              <w:bottom w:val="single" w:sz="6" w:space="0" w:color="auto"/>
              <w:right w:val="single" w:sz="12" w:space="0" w:color="auto"/>
            </w:tcBorders>
            <w:shd w:val="clear" w:color="auto" w:fill="FFFFFF"/>
          </w:tcPr>
          <w:p w:rsidR="003137B0" w:rsidRPr="009212C2" w:rsidRDefault="003137B0" w:rsidP="00AA577D">
            <w:pPr>
              <w:spacing w:before="120"/>
              <w:jc w:val="center"/>
              <w:rPr>
                <w:rFonts w:cs="Arial"/>
                <w:lang w:val="en-GB"/>
              </w:rPr>
            </w:pPr>
            <w:r>
              <w:rPr>
                <w:rFonts w:cs="Arial"/>
                <w:b/>
              </w:rPr>
              <w:t>Insgesamt</w:t>
            </w:r>
          </w:p>
        </w:tc>
        <w:tc>
          <w:tcPr>
            <w:tcW w:w="850" w:type="dxa"/>
            <w:tcBorders>
              <w:top w:val="single" w:sz="12" w:space="0" w:color="auto"/>
              <w:left w:val="nil"/>
              <w:bottom w:val="single" w:sz="6" w:space="0" w:color="auto"/>
              <w:right w:val="single" w:sz="6" w:space="0" w:color="auto"/>
            </w:tcBorders>
            <w:shd w:val="clear" w:color="auto" w:fill="D9D9D9"/>
          </w:tcPr>
          <w:p w:rsidR="003137B0" w:rsidRPr="009212C2" w:rsidRDefault="003137B0" w:rsidP="00AA577D">
            <w:pPr>
              <w:spacing w:before="120"/>
              <w:jc w:val="center"/>
              <w:rPr>
                <w:rFonts w:cs="Arial"/>
                <w:b/>
                <w:lang w:val="en-GB"/>
              </w:rPr>
            </w:pPr>
            <w:r>
              <w:rPr>
                <w:rFonts w:cs="Arial"/>
                <w:b/>
              </w:rPr>
              <w:t>65</w:t>
            </w:r>
          </w:p>
        </w:tc>
        <w:tc>
          <w:tcPr>
            <w:tcW w:w="992" w:type="dxa"/>
            <w:tcBorders>
              <w:top w:val="single" w:sz="12" w:space="0" w:color="auto"/>
              <w:left w:val="single" w:sz="6" w:space="0" w:color="auto"/>
              <w:bottom w:val="single" w:sz="6" w:space="0" w:color="auto"/>
              <w:right w:val="single" w:sz="6" w:space="0" w:color="auto"/>
            </w:tcBorders>
            <w:shd w:val="clear" w:color="auto" w:fill="D9D9D9"/>
          </w:tcPr>
          <w:p w:rsidR="003137B0" w:rsidRPr="009212C2" w:rsidRDefault="003137B0" w:rsidP="00AA577D">
            <w:pPr>
              <w:spacing w:before="120"/>
              <w:jc w:val="center"/>
              <w:rPr>
                <w:rFonts w:cs="Arial"/>
                <w:b/>
                <w:lang w:val="en-GB"/>
              </w:rPr>
            </w:pPr>
            <w:r>
              <w:rPr>
                <w:rFonts w:cs="Arial"/>
                <w:b/>
              </w:rPr>
              <w:t>29</w:t>
            </w:r>
          </w:p>
        </w:tc>
        <w:tc>
          <w:tcPr>
            <w:tcW w:w="1079" w:type="dxa"/>
            <w:tcBorders>
              <w:top w:val="single" w:sz="12" w:space="0" w:color="auto"/>
              <w:left w:val="single" w:sz="6" w:space="0" w:color="auto"/>
              <w:bottom w:val="single" w:sz="6" w:space="0" w:color="auto"/>
              <w:right w:val="single" w:sz="12" w:space="0" w:color="auto"/>
            </w:tcBorders>
            <w:shd w:val="clear" w:color="auto" w:fill="D9D9D9"/>
          </w:tcPr>
          <w:p w:rsidR="003137B0" w:rsidRPr="009212C2" w:rsidRDefault="003137B0" w:rsidP="00AA577D">
            <w:pPr>
              <w:spacing w:before="120"/>
              <w:jc w:val="center"/>
              <w:rPr>
                <w:rFonts w:cs="Arial"/>
                <w:b/>
                <w:lang w:val="en-GB"/>
              </w:rPr>
            </w:pPr>
            <w:r>
              <w:rPr>
                <w:rFonts w:cs="Arial"/>
                <w:b/>
              </w:rPr>
              <w:t>94</w:t>
            </w:r>
          </w:p>
        </w:tc>
        <w:tc>
          <w:tcPr>
            <w:tcW w:w="906" w:type="dxa"/>
            <w:tcBorders>
              <w:top w:val="single" w:sz="12" w:space="0" w:color="auto"/>
              <w:left w:val="nil"/>
              <w:bottom w:val="single" w:sz="6" w:space="0" w:color="auto"/>
              <w:right w:val="single" w:sz="6" w:space="0" w:color="auto"/>
            </w:tcBorders>
            <w:shd w:val="clear" w:color="auto" w:fill="D9D9D9"/>
          </w:tcPr>
          <w:p w:rsidR="003137B0" w:rsidRPr="009212C2" w:rsidRDefault="003137B0" w:rsidP="00AA577D">
            <w:pPr>
              <w:spacing w:before="120"/>
              <w:jc w:val="center"/>
              <w:rPr>
                <w:rFonts w:cs="Arial"/>
                <w:b/>
                <w:lang w:val="en-GB"/>
              </w:rPr>
            </w:pPr>
            <w:r>
              <w:rPr>
                <w:rFonts w:cs="Arial"/>
                <w:b/>
              </w:rPr>
              <w:t>38</w:t>
            </w:r>
          </w:p>
        </w:tc>
        <w:tc>
          <w:tcPr>
            <w:tcW w:w="850" w:type="dxa"/>
            <w:tcBorders>
              <w:top w:val="single" w:sz="12" w:space="0" w:color="auto"/>
              <w:left w:val="single" w:sz="6" w:space="0" w:color="auto"/>
              <w:bottom w:val="single" w:sz="6" w:space="0" w:color="auto"/>
              <w:right w:val="single" w:sz="6" w:space="0" w:color="auto"/>
            </w:tcBorders>
            <w:shd w:val="clear" w:color="auto" w:fill="D9D9D9"/>
          </w:tcPr>
          <w:p w:rsidR="003137B0" w:rsidRPr="009212C2" w:rsidRDefault="003137B0" w:rsidP="00AA577D">
            <w:pPr>
              <w:spacing w:before="120"/>
              <w:jc w:val="center"/>
              <w:rPr>
                <w:rFonts w:cs="Arial"/>
                <w:b/>
                <w:lang w:val="en-GB"/>
              </w:rPr>
            </w:pPr>
            <w:r>
              <w:rPr>
                <w:rFonts w:cs="Arial"/>
                <w:b/>
              </w:rPr>
              <w:t>50</w:t>
            </w:r>
          </w:p>
        </w:tc>
        <w:tc>
          <w:tcPr>
            <w:tcW w:w="993" w:type="dxa"/>
            <w:tcBorders>
              <w:top w:val="single" w:sz="12" w:space="0" w:color="auto"/>
              <w:left w:val="single" w:sz="6" w:space="0" w:color="auto"/>
              <w:bottom w:val="single" w:sz="6" w:space="0" w:color="auto"/>
              <w:right w:val="single" w:sz="12" w:space="0" w:color="auto"/>
            </w:tcBorders>
            <w:shd w:val="clear" w:color="auto" w:fill="D9D9D9"/>
          </w:tcPr>
          <w:p w:rsidR="003137B0" w:rsidRPr="009212C2" w:rsidRDefault="003137B0" w:rsidP="00AA577D">
            <w:pPr>
              <w:spacing w:before="120"/>
              <w:jc w:val="center"/>
              <w:rPr>
                <w:rFonts w:cs="Arial"/>
                <w:b/>
                <w:lang w:val="en-GB"/>
              </w:rPr>
            </w:pPr>
            <w:r>
              <w:rPr>
                <w:rFonts w:cs="Arial"/>
                <w:b/>
              </w:rPr>
              <w:t>88</w:t>
            </w:r>
          </w:p>
        </w:tc>
        <w:tc>
          <w:tcPr>
            <w:tcW w:w="1134" w:type="dxa"/>
            <w:tcBorders>
              <w:top w:val="single" w:sz="12" w:space="0" w:color="auto"/>
              <w:left w:val="nil"/>
              <w:bottom w:val="single" w:sz="6" w:space="0" w:color="auto"/>
              <w:right w:val="single" w:sz="12" w:space="0" w:color="auto"/>
            </w:tcBorders>
            <w:shd w:val="clear" w:color="auto" w:fill="D9D9D9"/>
          </w:tcPr>
          <w:p w:rsidR="003137B0" w:rsidRPr="009212C2" w:rsidRDefault="003137B0" w:rsidP="00AA577D">
            <w:pPr>
              <w:spacing w:before="120"/>
              <w:jc w:val="center"/>
              <w:rPr>
                <w:rFonts w:cs="Arial"/>
                <w:b/>
                <w:lang w:val="en-GB"/>
              </w:rPr>
            </w:pPr>
            <w:r>
              <w:rPr>
                <w:rFonts w:cs="Arial"/>
                <w:b/>
              </w:rPr>
              <w:t>53</w:t>
            </w:r>
          </w:p>
        </w:tc>
        <w:tc>
          <w:tcPr>
            <w:tcW w:w="1250" w:type="dxa"/>
            <w:tcBorders>
              <w:top w:val="single" w:sz="12" w:space="0" w:color="auto"/>
              <w:left w:val="nil"/>
              <w:bottom w:val="single" w:sz="6" w:space="0" w:color="auto"/>
              <w:right w:val="single" w:sz="6" w:space="0" w:color="auto"/>
            </w:tcBorders>
            <w:shd w:val="clear" w:color="auto" w:fill="D9D9D9"/>
          </w:tcPr>
          <w:p w:rsidR="003137B0" w:rsidRPr="009212C2" w:rsidRDefault="003137B0" w:rsidP="00AA577D">
            <w:pPr>
              <w:spacing w:before="120"/>
              <w:jc w:val="center"/>
              <w:rPr>
                <w:rFonts w:cs="Arial"/>
                <w:b/>
                <w:lang w:val="en-GB"/>
              </w:rPr>
            </w:pPr>
            <w:r>
              <w:rPr>
                <w:rFonts w:cs="Arial"/>
                <w:b/>
              </w:rPr>
              <w:t>1327</w:t>
            </w:r>
          </w:p>
        </w:tc>
      </w:tr>
    </w:tbl>
    <w:p w:rsidR="003137B0" w:rsidRPr="009212C2" w:rsidRDefault="003137B0" w:rsidP="003137B0">
      <w:pPr>
        <w:tabs>
          <w:tab w:val="left" w:pos="4962"/>
        </w:tabs>
        <w:rPr>
          <w:rFonts w:cs="Arial"/>
          <w:u w:val="single"/>
          <w:lang w:val="en-GB"/>
        </w:rPr>
      </w:pPr>
    </w:p>
    <w:p w:rsidR="003137B0" w:rsidRPr="009212C2" w:rsidRDefault="003137B0" w:rsidP="003137B0">
      <w:pPr>
        <w:tabs>
          <w:tab w:val="left" w:pos="4962"/>
        </w:tabs>
        <w:rPr>
          <w:rFonts w:cs="Arial"/>
          <w:u w:val="single"/>
          <w:lang w:val="en-GB"/>
        </w:rPr>
      </w:pPr>
    </w:p>
    <w:p w:rsidR="003137B0" w:rsidRPr="009212C2" w:rsidRDefault="003137B0" w:rsidP="003137B0">
      <w:pPr>
        <w:tabs>
          <w:tab w:val="left" w:pos="567"/>
          <w:tab w:val="left" w:pos="4962"/>
        </w:tabs>
        <w:rPr>
          <w:rFonts w:cs="Arial"/>
          <w:u w:val="single"/>
          <w:lang w:val="en-GB"/>
        </w:rPr>
      </w:pPr>
      <w:r>
        <w:rPr>
          <w:rFonts w:cs="Arial"/>
        </w:rPr>
        <w:t>5.</w:t>
      </w:r>
      <w:r>
        <w:rPr>
          <w:rFonts w:cs="Arial"/>
        </w:rPr>
        <w:tab/>
      </w:r>
      <w:r>
        <w:rPr>
          <w:rFonts w:cs="Arial"/>
          <w:u w:val="single"/>
        </w:rPr>
        <w:t>Tätigkeiten zur Förderung des Sortenschutzes</w:t>
      </w:r>
    </w:p>
    <w:p w:rsidR="003137B0" w:rsidRPr="009212C2" w:rsidRDefault="003137B0" w:rsidP="003137B0">
      <w:pPr>
        <w:tabs>
          <w:tab w:val="left" w:pos="567"/>
          <w:tab w:val="left" w:pos="4962"/>
        </w:tabs>
        <w:rPr>
          <w:rFonts w:cs="Arial"/>
          <w:u w:val="single"/>
          <w:lang w:val="en-GB"/>
        </w:rPr>
      </w:pPr>
    </w:p>
    <w:p w:rsidR="003137B0" w:rsidRPr="009C53CB" w:rsidRDefault="003137B0" w:rsidP="003137B0">
      <w:pPr>
        <w:pStyle w:val="BodyText"/>
        <w:rPr>
          <w:rFonts w:cs="Arial"/>
        </w:rPr>
      </w:pPr>
      <w:r>
        <w:rPr>
          <w:rFonts w:cs="Arial"/>
        </w:rPr>
        <w:t xml:space="preserve">Vertreter aus Polen wirken regelmäßig an den Tagungen der UPOV-Organe und an den Technischen Arbeitsgruppen der UPOV mit. </w:t>
      </w:r>
    </w:p>
    <w:p w:rsidR="003137B0" w:rsidRPr="009C53CB" w:rsidRDefault="003137B0" w:rsidP="003137B0">
      <w:pPr>
        <w:pStyle w:val="BodyText"/>
        <w:rPr>
          <w:rFonts w:cs="Arial"/>
        </w:rPr>
      </w:pPr>
    </w:p>
    <w:p w:rsidR="003137B0" w:rsidRPr="009C53CB" w:rsidRDefault="003137B0" w:rsidP="003137B0">
      <w:pPr>
        <w:pStyle w:val="BodyText"/>
        <w:rPr>
          <w:rFonts w:cs="Arial"/>
        </w:rPr>
      </w:pPr>
      <w:r>
        <w:rPr>
          <w:rFonts w:cs="Arial"/>
        </w:rPr>
        <w:t>Ferner nehmen polnische Vertreter an den Tagungen des Ständigen Ausschusses für CPVR DG SANCO, Brüssel, sowie an den Tagungen des CPVO-Verwaltungsrates teil.</w:t>
      </w:r>
    </w:p>
    <w:p w:rsidR="003137B0" w:rsidRPr="009C53CB" w:rsidRDefault="003137B0" w:rsidP="003137B0">
      <w:pPr>
        <w:tabs>
          <w:tab w:val="left" w:pos="4962"/>
        </w:tabs>
        <w:rPr>
          <w:rFonts w:cs="Arial"/>
        </w:rPr>
      </w:pPr>
    </w:p>
    <w:p w:rsidR="003137B0" w:rsidRPr="009C53CB" w:rsidRDefault="003137B0" w:rsidP="003137B0">
      <w:pPr>
        <w:tabs>
          <w:tab w:val="left" w:pos="4962"/>
        </w:tabs>
        <w:rPr>
          <w:rFonts w:cs="Arial"/>
          <w:color w:val="000000" w:themeColor="text1"/>
        </w:rPr>
      </w:pPr>
      <w:r>
        <w:rPr>
          <w:rFonts w:cs="Arial"/>
          <w:color w:val="000000" w:themeColor="text1"/>
        </w:rPr>
        <w:t>Im Berichtszeitraum haben ein DUS-Prüfer den UPOV-Fernlehrgang „Einführung in das UPOV-Sortenschutzsystem nach dem UPOV-Übereinkommen“ (DL-205) und zwei COBORU-Sachverständige den UPOV-Fernlehrgang „Prüfung von Anträgen auf Erteilung von Züchterrechten“ (DL-305) mit Erfolg abgeschlossen.</w:t>
      </w:r>
    </w:p>
    <w:p w:rsidR="003137B0" w:rsidRPr="009C53CB" w:rsidRDefault="003137B0" w:rsidP="003137B0">
      <w:pPr>
        <w:tabs>
          <w:tab w:val="left" w:pos="4962"/>
        </w:tabs>
        <w:rPr>
          <w:rFonts w:cs="Arial"/>
        </w:rPr>
      </w:pPr>
    </w:p>
    <w:p w:rsidR="003137B0" w:rsidRPr="009C53CB" w:rsidRDefault="003137B0" w:rsidP="003137B0">
      <w:pPr>
        <w:pStyle w:val="BodyText"/>
        <w:tabs>
          <w:tab w:val="left" w:pos="567"/>
        </w:tabs>
        <w:rPr>
          <w:rFonts w:cs="Arial"/>
          <w:i/>
          <w:iCs/>
        </w:rPr>
      </w:pPr>
      <w:r>
        <w:rPr>
          <w:rFonts w:cs="Arial"/>
          <w:i/>
          <w:iCs/>
        </w:rPr>
        <w:t>Veröffentlichungen</w:t>
      </w:r>
    </w:p>
    <w:p w:rsidR="003137B0" w:rsidRPr="009C53CB" w:rsidRDefault="003137B0" w:rsidP="003137B0">
      <w:pPr>
        <w:pStyle w:val="BodyText"/>
        <w:rPr>
          <w:rFonts w:cs="Arial"/>
          <w:u w:val="single"/>
        </w:rPr>
      </w:pPr>
    </w:p>
    <w:p w:rsidR="003137B0" w:rsidRPr="009C53CB" w:rsidRDefault="003137B0" w:rsidP="003137B0">
      <w:pPr>
        <w:pStyle w:val="BodyText"/>
        <w:rPr>
          <w:rFonts w:cs="Arial"/>
        </w:rPr>
      </w:pPr>
      <w:r>
        <w:rPr>
          <w:rFonts w:cs="Arial"/>
        </w:rPr>
        <w:t xml:space="preserve">Das COBORU gibt alle zwei Monate das </w:t>
      </w:r>
      <w:r>
        <w:rPr>
          <w:rFonts w:cs="Arial"/>
          <w:i/>
          <w:iCs/>
        </w:rPr>
        <w:t xml:space="preserve">Polnische Amtsblatt für Züchterrechte und die Nationale Liste </w:t>
      </w:r>
      <w:r>
        <w:rPr>
          <w:rFonts w:cs="Arial"/>
        </w:rPr>
        <w:t xml:space="preserve">(Diariusz) heraus, das detaillierte Informationen über den Züchterrechtsschutz und die Nationale Liste enthält. </w:t>
      </w:r>
    </w:p>
    <w:p w:rsidR="003137B0" w:rsidRPr="009C53CB" w:rsidRDefault="003137B0" w:rsidP="003137B0">
      <w:pPr>
        <w:pStyle w:val="BodyText"/>
        <w:rPr>
          <w:rFonts w:cs="Arial"/>
        </w:rPr>
      </w:pPr>
    </w:p>
    <w:p w:rsidR="003137B0" w:rsidRPr="009C53CB" w:rsidRDefault="003137B0" w:rsidP="003137B0">
      <w:pPr>
        <w:pStyle w:val="BodyText"/>
        <w:rPr>
          <w:rFonts w:cs="Arial"/>
        </w:rPr>
      </w:pPr>
      <w:r>
        <w:rPr>
          <w:rFonts w:cs="Arial"/>
          <w:iCs/>
        </w:rPr>
        <w:t xml:space="preserve">Die Liste der durch nationale Züchterrechte geschützten Sorten (einschließlich vorläufiger Züchterrechte), die zum 30. Juni 2021 in Kraft war, wurde in der dritten Ausgabe des </w:t>
      </w:r>
      <w:r>
        <w:rPr>
          <w:rFonts w:cs="Arial"/>
          <w:i/>
          <w:iCs/>
        </w:rPr>
        <w:t>Polnischen Amtsblattes für Züchterrechte und die Nationale Liste</w:t>
      </w:r>
      <w:r>
        <w:rPr>
          <w:rFonts w:cs="Arial"/>
        </w:rPr>
        <w:t xml:space="preserve"> Nr. 3(164)2021 veröffentlicht.</w:t>
      </w:r>
    </w:p>
    <w:p w:rsidR="003137B0" w:rsidRPr="009C53CB" w:rsidRDefault="003137B0" w:rsidP="003137B0">
      <w:pPr>
        <w:pStyle w:val="BodyText"/>
        <w:rPr>
          <w:rFonts w:cs="Arial"/>
        </w:rPr>
      </w:pPr>
    </w:p>
    <w:p w:rsidR="003137B0" w:rsidRPr="009C53CB" w:rsidRDefault="003137B0" w:rsidP="003137B0">
      <w:pPr>
        <w:pStyle w:val="BodyText"/>
        <w:rPr>
          <w:rFonts w:cs="Arial"/>
        </w:rPr>
      </w:pPr>
      <w:r>
        <w:rPr>
          <w:rFonts w:cs="Arial"/>
        </w:rPr>
        <w:t xml:space="preserve">Das Amtsblatt wird zudem auf unserer Website veröffentlicht, und zwar im Bereich: </w:t>
      </w:r>
      <w:r>
        <w:rPr>
          <w:rFonts w:cs="Arial"/>
          <w:i/>
          <w:iCs/>
        </w:rPr>
        <w:t>Veröffentlichungen</w:t>
      </w:r>
      <w:r>
        <w:rPr>
          <w:rFonts w:cs="Arial"/>
        </w:rPr>
        <w:t>.</w:t>
      </w:r>
    </w:p>
    <w:p w:rsidR="003137B0" w:rsidRPr="009C53CB" w:rsidRDefault="003137B0" w:rsidP="003137B0">
      <w:pPr>
        <w:pStyle w:val="BodyText"/>
        <w:rPr>
          <w:rFonts w:cs="Arial"/>
        </w:rPr>
      </w:pPr>
    </w:p>
    <w:p w:rsidR="003137B0" w:rsidRPr="009C53CB" w:rsidRDefault="003137B0" w:rsidP="003137B0">
      <w:pPr>
        <w:pStyle w:val="BodyText"/>
        <w:rPr>
          <w:rFonts w:cs="Arial"/>
        </w:rPr>
      </w:pPr>
      <w:r>
        <w:rPr>
          <w:rFonts w:cs="Arial"/>
        </w:rPr>
        <w:t>Außerdem unterhält das Forschungszentrum für Zuchtsortenprüfung eine Homepage</w:t>
      </w:r>
      <w:r>
        <w:rPr>
          <w:rFonts w:cs="Arial"/>
          <w:i/>
          <w:iCs/>
        </w:rPr>
        <w:t xml:space="preserve">, </w:t>
      </w:r>
      <w:hyperlink r:id="rId32" w:history="1">
        <w:r w:rsidRPr="003137B0">
          <w:rPr>
            <w:rStyle w:val="Hyperlink"/>
            <w:rFonts w:cs="Arial"/>
            <w:iCs/>
          </w:rPr>
          <w:t>www.coboru.gov.pl</w:t>
        </w:r>
      </w:hyperlink>
      <w:r>
        <w:rPr>
          <w:rFonts w:cs="Arial"/>
          <w:i/>
          <w:iCs/>
        </w:rPr>
        <w:t xml:space="preserve">, </w:t>
      </w:r>
      <w:r>
        <w:rPr>
          <w:rFonts w:cs="Arial"/>
        </w:rPr>
        <w:t>die regelmäßig aktualisiert wird und amtliche Informationen über Sortenschutzangelegenheiten in Polen enthält.</w:t>
      </w:r>
    </w:p>
    <w:p w:rsidR="003137B0" w:rsidRPr="009C53CB" w:rsidRDefault="003137B0" w:rsidP="003137B0">
      <w:pPr>
        <w:tabs>
          <w:tab w:val="left" w:pos="4962"/>
        </w:tabs>
        <w:rPr>
          <w:rFonts w:cs="Arial"/>
        </w:rPr>
      </w:pPr>
    </w:p>
    <w:p w:rsidR="003137B0" w:rsidRPr="009C53CB" w:rsidRDefault="003137B0" w:rsidP="003137B0">
      <w:pPr>
        <w:tabs>
          <w:tab w:val="left" w:pos="4962"/>
        </w:tabs>
        <w:rPr>
          <w:rFonts w:cs="Arial"/>
        </w:rPr>
      </w:pPr>
      <w:r>
        <w:rPr>
          <w:rFonts w:cs="Arial"/>
        </w:rPr>
        <w:t>Im Berichtszeitraum war das COBORU an folgenden Förderungstätigkeiten beteiligt:</w:t>
      </w:r>
    </w:p>
    <w:p w:rsidR="003137B0" w:rsidRPr="009C53CB" w:rsidRDefault="003137B0" w:rsidP="003137B0">
      <w:pPr>
        <w:tabs>
          <w:tab w:val="left" w:pos="4962"/>
        </w:tabs>
        <w:rPr>
          <w:rFonts w:cs="Arial"/>
        </w:rPr>
      </w:pP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843"/>
        <w:gridCol w:w="982"/>
        <w:gridCol w:w="1266"/>
        <w:gridCol w:w="1418"/>
        <w:gridCol w:w="2551"/>
        <w:gridCol w:w="1853"/>
      </w:tblGrid>
      <w:tr w:rsidR="003137B0" w:rsidRPr="009212C2" w:rsidTr="00AA577D">
        <w:trPr>
          <w:cantSplit/>
          <w:tblHeader/>
        </w:trPr>
        <w:tc>
          <w:tcPr>
            <w:tcW w:w="1843" w:type="dxa"/>
            <w:hideMark/>
          </w:tcPr>
          <w:p w:rsidR="003137B0" w:rsidRPr="009212C2" w:rsidRDefault="003137B0" w:rsidP="00AA577D">
            <w:pPr>
              <w:jc w:val="left"/>
              <w:rPr>
                <w:sz w:val="16"/>
              </w:rPr>
            </w:pPr>
            <w:r>
              <w:rPr>
                <w:sz w:val="16"/>
              </w:rPr>
              <w:t>Art der Tätigkeit</w:t>
            </w:r>
          </w:p>
        </w:tc>
        <w:tc>
          <w:tcPr>
            <w:tcW w:w="982" w:type="dxa"/>
            <w:hideMark/>
          </w:tcPr>
          <w:p w:rsidR="003137B0" w:rsidRPr="009212C2" w:rsidRDefault="003137B0" w:rsidP="00AA577D">
            <w:pPr>
              <w:jc w:val="left"/>
              <w:rPr>
                <w:sz w:val="16"/>
              </w:rPr>
            </w:pPr>
            <w:r>
              <w:rPr>
                <w:sz w:val="16"/>
              </w:rPr>
              <w:t>Datum</w:t>
            </w:r>
          </w:p>
        </w:tc>
        <w:tc>
          <w:tcPr>
            <w:tcW w:w="1266" w:type="dxa"/>
            <w:hideMark/>
          </w:tcPr>
          <w:p w:rsidR="003137B0" w:rsidRPr="009212C2" w:rsidRDefault="003137B0" w:rsidP="00AA577D">
            <w:pPr>
              <w:jc w:val="left"/>
              <w:rPr>
                <w:sz w:val="16"/>
              </w:rPr>
            </w:pPr>
            <w:r>
              <w:rPr>
                <w:sz w:val="16"/>
              </w:rPr>
              <w:t>Ort</w:t>
            </w:r>
          </w:p>
        </w:tc>
        <w:tc>
          <w:tcPr>
            <w:tcW w:w="1418" w:type="dxa"/>
            <w:hideMark/>
          </w:tcPr>
          <w:p w:rsidR="003137B0" w:rsidRPr="009212C2" w:rsidRDefault="003137B0" w:rsidP="00AA577D">
            <w:pPr>
              <w:jc w:val="left"/>
              <w:rPr>
                <w:sz w:val="16"/>
              </w:rPr>
            </w:pPr>
            <w:r>
              <w:rPr>
                <w:sz w:val="16"/>
              </w:rPr>
              <w:t>Organisator(en)</w:t>
            </w:r>
          </w:p>
        </w:tc>
        <w:tc>
          <w:tcPr>
            <w:tcW w:w="2551" w:type="dxa"/>
            <w:hideMark/>
          </w:tcPr>
          <w:p w:rsidR="003137B0" w:rsidRPr="009212C2" w:rsidRDefault="003137B0" w:rsidP="00AA577D">
            <w:pPr>
              <w:jc w:val="left"/>
              <w:rPr>
                <w:sz w:val="16"/>
              </w:rPr>
            </w:pPr>
            <w:r>
              <w:rPr>
                <w:sz w:val="16"/>
              </w:rPr>
              <w:t>Zweck der Tätigkeit</w:t>
            </w:r>
          </w:p>
        </w:tc>
        <w:tc>
          <w:tcPr>
            <w:tcW w:w="1853" w:type="dxa"/>
            <w:hideMark/>
          </w:tcPr>
          <w:p w:rsidR="003137B0" w:rsidRPr="009212C2" w:rsidRDefault="003137B0" w:rsidP="00AA577D">
            <w:pPr>
              <w:jc w:val="left"/>
              <w:rPr>
                <w:sz w:val="16"/>
              </w:rPr>
            </w:pPr>
            <w:r>
              <w:rPr>
                <w:sz w:val="16"/>
              </w:rPr>
              <w:t>Teilnehmende Staaten/ Organisationen (Zahl der Teilnehmer pro Staat/ Organisation)</w:t>
            </w:r>
          </w:p>
        </w:tc>
      </w:tr>
      <w:tr w:rsidR="003137B0" w:rsidRPr="009212C2" w:rsidTr="00AA577D">
        <w:trPr>
          <w:cantSplit/>
        </w:trPr>
        <w:tc>
          <w:tcPr>
            <w:tcW w:w="1843" w:type="dxa"/>
          </w:tcPr>
          <w:p w:rsidR="003137B0" w:rsidRPr="009212C2" w:rsidRDefault="003137B0" w:rsidP="00AA577D">
            <w:pPr>
              <w:jc w:val="left"/>
              <w:rPr>
                <w:color w:val="000000" w:themeColor="text1"/>
                <w:sz w:val="16"/>
              </w:rPr>
            </w:pPr>
            <w:r>
              <w:rPr>
                <w:color w:val="000000" w:themeColor="text1"/>
                <w:sz w:val="16"/>
              </w:rPr>
              <w:t>1. Treffen für Zusammenarbeit: Ukrainisches Institut für Sortenprüfung (UIBOR) / COBORU</w:t>
            </w:r>
          </w:p>
        </w:tc>
        <w:tc>
          <w:tcPr>
            <w:tcW w:w="982" w:type="dxa"/>
          </w:tcPr>
          <w:p w:rsidR="003137B0" w:rsidRPr="009212C2" w:rsidRDefault="003137B0" w:rsidP="00AA577D">
            <w:pPr>
              <w:jc w:val="left"/>
              <w:rPr>
                <w:color w:val="000000" w:themeColor="text1"/>
                <w:sz w:val="16"/>
              </w:rPr>
            </w:pPr>
            <w:r>
              <w:rPr>
                <w:color w:val="000000" w:themeColor="text1"/>
                <w:sz w:val="16"/>
              </w:rPr>
              <w:t>21.12.2020</w:t>
            </w:r>
          </w:p>
        </w:tc>
        <w:tc>
          <w:tcPr>
            <w:tcW w:w="1266" w:type="dxa"/>
          </w:tcPr>
          <w:p w:rsidR="003137B0" w:rsidRPr="009212C2" w:rsidRDefault="003137B0" w:rsidP="00AA577D">
            <w:pPr>
              <w:jc w:val="left"/>
              <w:rPr>
                <w:color w:val="000000" w:themeColor="text1"/>
                <w:sz w:val="16"/>
              </w:rPr>
            </w:pPr>
            <w:r>
              <w:rPr>
                <w:color w:val="000000" w:themeColor="text1"/>
                <w:sz w:val="16"/>
              </w:rPr>
              <w:t>Online-Treffen</w:t>
            </w:r>
          </w:p>
        </w:tc>
        <w:tc>
          <w:tcPr>
            <w:tcW w:w="1418" w:type="dxa"/>
          </w:tcPr>
          <w:p w:rsidR="003137B0" w:rsidRPr="009212C2" w:rsidRDefault="003137B0" w:rsidP="00AA577D">
            <w:pPr>
              <w:jc w:val="left"/>
              <w:rPr>
                <w:color w:val="000000" w:themeColor="text1"/>
                <w:sz w:val="16"/>
              </w:rPr>
            </w:pPr>
            <w:r>
              <w:rPr>
                <w:color w:val="000000" w:themeColor="text1"/>
                <w:sz w:val="16"/>
              </w:rPr>
              <w:t>COBORU</w:t>
            </w:r>
          </w:p>
        </w:tc>
        <w:tc>
          <w:tcPr>
            <w:tcW w:w="2551" w:type="dxa"/>
          </w:tcPr>
          <w:p w:rsidR="003137B0" w:rsidRPr="009212C2" w:rsidRDefault="003137B0" w:rsidP="00AA577D">
            <w:pPr>
              <w:jc w:val="left"/>
              <w:rPr>
                <w:color w:val="000000" w:themeColor="text1"/>
                <w:sz w:val="16"/>
                <w:lang w:val="en-GB"/>
              </w:rPr>
            </w:pPr>
            <w:r>
              <w:rPr>
                <w:color w:val="000000" w:themeColor="text1"/>
                <w:sz w:val="16"/>
              </w:rPr>
              <w:t>Neue Kooperationsvereinbarung</w:t>
            </w:r>
          </w:p>
        </w:tc>
        <w:tc>
          <w:tcPr>
            <w:tcW w:w="1853" w:type="dxa"/>
          </w:tcPr>
          <w:p w:rsidR="003137B0" w:rsidRPr="009212C2" w:rsidRDefault="003137B0" w:rsidP="00AA577D">
            <w:pPr>
              <w:jc w:val="left"/>
              <w:rPr>
                <w:color w:val="000000" w:themeColor="text1"/>
                <w:sz w:val="16"/>
              </w:rPr>
            </w:pPr>
            <w:r>
              <w:rPr>
                <w:color w:val="000000" w:themeColor="text1"/>
                <w:sz w:val="16"/>
              </w:rPr>
              <w:t>PL: 8</w:t>
            </w:r>
          </w:p>
          <w:p w:rsidR="003137B0" w:rsidRPr="009212C2" w:rsidRDefault="003137B0" w:rsidP="00AA577D">
            <w:pPr>
              <w:jc w:val="left"/>
              <w:rPr>
                <w:color w:val="000000" w:themeColor="text1"/>
                <w:sz w:val="16"/>
              </w:rPr>
            </w:pPr>
            <w:r>
              <w:rPr>
                <w:color w:val="000000" w:themeColor="text1"/>
                <w:sz w:val="16"/>
              </w:rPr>
              <w:t>UA: 9</w:t>
            </w:r>
          </w:p>
        </w:tc>
      </w:tr>
      <w:tr w:rsidR="003137B0" w:rsidRPr="009212C2" w:rsidTr="00AA577D">
        <w:trPr>
          <w:cantSplit/>
        </w:trPr>
        <w:tc>
          <w:tcPr>
            <w:tcW w:w="1843" w:type="dxa"/>
          </w:tcPr>
          <w:p w:rsidR="003137B0" w:rsidRPr="009212C2" w:rsidRDefault="003137B0" w:rsidP="00AA577D">
            <w:pPr>
              <w:jc w:val="left"/>
              <w:rPr>
                <w:color w:val="000000" w:themeColor="text1"/>
                <w:sz w:val="16"/>
              </w:rPr>
            </w:pPr>
            <w:r>
              <w:rPr>
                <w:color w:val="000000" w:themeColor="text1"/>
                <w:sz w:val="16"/>
              </w:rPr>
              <w:t>2. Tagung der usbekischen Staatskommission für die Sortenprüfung landwirtschaftlicher Kulturpflanzen und des COBORU</w:t>
            </w:r>
          </w:p>
        </w:tc>
        <w:tc>
          <w:tcPr>
            <w:tcW w:w="982" w:type="dxa"/>
          </w:tcPr>
          <w:p w:rsidR="003137B0" w:rsidRPr="009212C2" w:rsidRDefault="003137B0" w:rsidP="00AA577D">
            <w:pPr>
              <w:jc w:val="left"/>
              <w:rPr>
                <w:color w:val="000000" w:themeColor="text1"/>
                <w:sz w:val="16"/>
              </w:rPr>
            </w:pPr>
            <w:r>
              <w:rPr>
                <w:color w:val="000000" w:themeColor="text1"/>
                <w:sz w:val="16"/>
              </w:rPr>
              <w:t>17.03.2021</w:t>
            </w:r>
          </w:p>
        </w:tc>
        <w:tc>
          <w:tcPr>
            <w:tcW w:w="1266" w:type="dxa"/>
          </w:tcPr>
          <w:p w:rsidR="003137B0" w:rsidRPr="009212C2" w:rsidRDefault="003137B0" w:rsidP="00AA577D">
            <w:pPr>
              <w:jc w:val="left"/>
              <w:rPr>
                <w:color w:val="000000" w:themeColor="text1"/>
                <w:sz w:val="16"/>
                <w:lang w:val="en-GB"/>
              </w:rPr>
            </w:pPr>
            <w:r>
              <w:rPr>
                <w:color w:val="000000" w:themeColor="text1"/>
                <w:sz w:val="16"/>
              </w:rPr>
              <w:t>Online-Treffen</w:t>
            </w:r>
          </w:p>
        </w:tc>
        <w:tc>
          <w:tcPr>
            <w:tcW w:w="1418" w:type="dxa"/>
          </w:tcPr>
          <w:p w:rsidR="003137B0" w:rsidRPr="009212C2" w:rsidRDefault="003137B0" w:rsidP="00AA577D">
            <w:pPr>
              <w:jc w:val="left"/>
              <w:rPr>
                <w:color w:val="000000" w:themeColor="text1"/>
                <w:sz w:val="16"/>
              </w:rPr>
            </w:pPr>
            <w:r>
              <w:rPr>
                <w:color w:val="000000" w:themeColor="text1"/>
                <w:sz w:val="16"/>
              </w:rPr>
              <w:t>COBORU</w:t>
            </w:r>
          </w:p>
        </w:tc>
        <w:tc>
          <w:tcPr>
            <w:tcW w:w="2551" w:type="dxa"/>
          </w:tcPr>
          <w:p w:rsidR="003137B0" w:rsidRPr="009C53CB" w:rsidRDefault="003137B0" w:rsidP="00AA577D">
            <w:pPr>
              <w:jc w:val="left"/>
              <w:rPr>
                <w:color w:val="000000" w:themeColor="text1"/>
                <w:sz w:val="16"/>
              </w:rPr>
            </w:pPr>
            <w:r>
              <w:rPr>
                <w:color w:val="000000" w:themeColor="text1"/>
                <w:sz w:val="16"/>
              </w:rPr>
              <w:t>Kick-off-Meeting über die künftige Zusammenarbeit</w:t>
            </w:r>
          </w:p>
        </w:tc>
        <w:tc>
          <w:tcPr>
            <w:tcW w:w="1853" w:type="dxa"/>
          </w:tcPr>
          <w:p w:rsidR="003137B0" w:rsidRPr="009212C2" w:rsidRDefault="003137B0" w:rsidP="00AA577D">
            <w:pPr>
              <w:jc w:val="left"/>
              <w:rPr>
                <w:color w:val="000000" w:themeColor="text1"/>
                <w:sz w:val="16"/>
              </w:rPr>
            </w:pPr>
            <w:r>
              <w:rPr>
                <w:color w:val="000000" w:themeColor="text1"/>
                <w:sz w:val="16"/>
              </w:rPr>
              <w:t>PL: 2</w:t>
            </w:r>
          </w:p>
          <w:p w:rsidR="003137B0" w:rsidRPr="009212C2" w:rsidRDefault="003137B0" w:rsidP="00AA577D">
            <w:pPr>
              <w:jc w:val="left"/>
              <w:rPr>
                <w:color w:val="000000" w:themeColor="text1"/>
                <w:sz w:val="16"/>
              </w:rPr>
            </w:pPr>
            <w:r>
              <w:rPr>
                <w:color w:val="000000" w:themeColor="text1"/>
                <w:sz w:val="16"/>
              </w:rPr>
              <w:t>UZ: 3</w:t>
            </w:r>
          </w:p>
        </w:tc>
      </w:tr>
      <w:tr w:rsidR="003137B0" w:rsidRPr="009212C2" w:rsidTr="00AA577D">
        <w:trPr>
          <w:cantSplit/>
        </w:trPr>
        <w:tc>
          <w:tcPr>
            <w:tcW w:w="1843" w:type="dxa"/>
          </w:tcPr>
          <w:p w:rsidR="003137B0" w:rsidRPr="009212C2" w:rsidRDefault="003137B0" w:rsidP="00AA577D">
            <w:pPr>
              <w:jc w:val="left"/>
              <w:rPr>
                <w:color w:val="000000" w:themeColor="text1"/>
                <w:sz w:val="16"/>
              </w:rPr>
            </w:pPr>
            <w:r>
              <w:rPr>
                <w:color w:val="000000" w:themeColor="text1"/>
                <w:sz w:val="16"/>
              </w:rPr>
              <w:lastRenderedPageBreak/>
              <w:t>3. Arbeitsgruppe Polen/Ukraine</w:t>
            </w:r>
          </w:p>
        </w:tc>
        <w:tc>
          <w:tcPr>
            <w:tcW w:w="982" w:type="dxa"/>
          </w:tcPr>
          <w:p w:rsidR="003137B0" w:rsidRPr="009212C2" w:rsidRDefault="003137B0" w:rsidP="00AA577D">
            <w:pPr>
              <w:jc w:val="left"/>
              <w:rPr>
                <w:color w:val="000000" w:themeColor="text1"/>
                <w:sz w:val="16"/>
              </w:rPr>
            </w:pPr>
            <w:r>
              <w:rPr>
                <w:color w:val="000000" w:themeColor="text1"/>
                <w:sz w:val="16"/>
              </w:rPr>
              <w:t>24.03.2021</w:t>
            </w:r>
          </w:p>
        </w:tc>
        <w:tc>
          <w:tcPr>
            <w:tcW w:w="1266" w:type="dxa"/>
          </w:tcPr>
          <w:p w:rsidR="003137B0" w:rsidRPr="009212C2" w:rsidRDefault="003137B0" w:rsidP="00AA577D">
            <w:pPr>
              <w:jc w:val="left"/>
              <w:rPr>
                <w:color w:val="000000" w:themeColor="text1"/>
                <w:sz w:val="16"/>
                <w:lang w:val="en-GB"/>
              </w:rPr>
            </w:pPr>
            <w:r>
              <w:rPr>
                <w:color w:val="000000" w:themeColor="text1"/>
                <w:sz w:val="16"/>
              </w:rPr>
              <w:t>Online-Treffen</w:t>
            </w:r>
          </w:p>
        </w:tc>
        <w:tc>
          <w:tcPr>
            <w:tcW w:w="1418" w:type="dxa"/>
          </w:tcPr>
          <w:p w:rsidR="003137B0" w:rsidRPr="009C53CB" w:rsidRDefault="003137B0" w:rsidP="00AA577D">
            <w:pPr>
              <w:jc w:val="left"/>
              <w:rPr>
                <w:color w:val="000000" w:themeColor="text1"/>
                <w:sz w:val="16"/>
              </w:rPr>
            </w:pPr>
            <w:r>
              <w:rPr>
                <w:color w:val="000000" w:themeColor="text1"/>
                <w:sz w:val="16"/>
              </w:rPr>
              <w:t>Ministerium für Landwirtschaft und ländliche Entwicklung, Polen</w:t>
            </w:r>
          </w:p>
        </w:tc>
        <w:tc>
          <w:tcPr>
            <w:tcW w:w="2551" w:type="dxa"/>
          </w:tcPr>
          <w:p w:rsidR="003137B0" w:rsidRPr="009C53CB" w:rsidRDefault="003137B0" w:rsidP="00AA577D">
            <w:pPr>
              <w:jc w:val="left"/>
              <w:rPr>
                <w:rFonts w:cs="Arial"/>
                <w:color w:val="000000" w:themeColor="text1"/>
                <w:sz w:val="16"/>
                <w:szCs w:val="16"/>
              </w:rPr>
            </w:pPr>
            <w:r>
              <w:rPr>
                <w:rFonts w:cs="Arial"/>
                <w:color w:val="000000" w:themeColor="text1"/>
                <w:sz w:val="16"/>
                <w:szCs w:val="16"/>
              </w:rPr>
              <w:t>Überprüfung bezüglich des Status und die Perspektiven der Zusammenarbeit im Bereich:</w:t>
            </w:r>
          </w:p>
          <w:p w:rsidR="003137B0" w:rsidRPr="009C53CB" w:rsidRDefault="003137B0" w:rsidP="00AA577D">
            <w:pPr>
              <w:jc w:val="left"/>
              <w:rPr>
                <w:color w:val="000000" w:themeColor="text1"/>
                <w:sz w:val="16"/>
              </w:rPr>
            </w:pPr>
            <w:r w:rsidRPr="00CD3E73">
              <w:rPr>
                <w:rFonts w:cs="Arial"/>
                <w:color w:val="000000" w:themeColor="text1"/>
                <w:sz w:val="16"/>
                <w:szCs w:val="16"/>
              </w:rPr>
              <w:t>Handel mit landwirtschaftlichen Nahrungsmitteln, phytosanitäre und veterinärmedizinische Angelegenheiten, ländliche Entwicklung, Erzeugung und Vermarktung von Bio-Produkten, Saatgutproduktion und Sortenschutz</w:t>
            </w:r>
          </w:p>
        </w:tc>
        <w:tc>
          <w:tcPr>
            <w:tcW w:w="1853" w:type="dxa"/>
          </w:tcPr>
          <w:p w:rsidR="003137B0" w:rsidRPr="009212C2" w:rsidRDefault="003137B0" w:rsidP="00AA577D">
            <w:pPr>
              <w:jc w:val="left"/>
              <w:rPr>
                <w:color w:val="000000" w:themeColor="text1"/>
                <w:sz w:val="16"/>
              </w:rPr>
            </w:pPr>
            <w:r>
              <w:rPr>
                <w:color w:val="000000" w:themeColor="text1"/>
                <w:sz w:val="16"/>
              </w:rPr>
              <w:t>PL: 16</w:t>
            </w:r>
          </w:p>
          <w:p w:rsidR="003137B0" w:rsidRPr="009212C2" w:rsidRDefault="003137B0" w:rsidP="00AA577D">
            <w:pPr>
              <w:jc w:val="left"/>
              <w:rPr>
                <w:color w:val="000000" w:themeColor="text1"/>
                <w:sz w:val="16"/>
              </w:rPr>
            </w:pPr>
            <w:r>
              <w:rPr>
                <w:color w:val="000000" w:themeColor="text1"/>
                <w:sz w:val="16"/>
              </w:rPr>
              <w:t>UA: 9</w:t>
            </w:r>
          </w:p>
        </w:tc>
      </w:tr>
      <w:tr w:rsidR="003137B0" w:rsidRPr="009212C2" w:rsidTr="00AA577D">
        <w:trPr>
          <w:cantSplit/>
        </w:trPr>
        <w:tc>
          <w:tcPr>
            <w:tcW w:w="1843" w:type="dxa"/>
            <w:vMerge w:val="restart"/>
          </w:tcPr>
          <w:p w:rsidR="003137B0" w:rsidRPr="009212C2" w:rsidRDefault="003137B0" w:rsidP="00AA577D">
            <w:pPr>
              <w:jc w:val="left"/>
              <w:rPr>
                <w:color w:val="000000" w:themeColor="text1"/>
                <w:sz w:val="16"/>
              </w:rPr>
            </w:pPr>
            <w:r>
              <w:rPr>
                <w:color w:val="000000" w:themeColor="text1"/>
                <w:sz w:val="16"/>
              </w:rPr>
              <w:t>4. Partnerschaftsprojekt-Treffen:</w:t>
            </w:r>
          </w:p>
          <w:p w:rsidR="003137B0" w:rsidRPr="009212C2" w:rsidRDefault="003137B0" w:rsidP="00AA577D">
            <w:pPr>
              <w:jc w:val="left"/>
              <w:rPr>
                <w:color w:val="000000" w:themeColor="text1"/>
                <w:sz w:val="16"/>
              </w:rPr>
            </w:pPr>
            <w:r>
              <w:rPr>
                <w:rFonts w:eastAsia="CIDFont+F2"/>
                <w:color w:val="000000" w:themeColor="text1"/>
                <w:sz w:val="16"/>
              </w:rPr>
              <w:t>EU-Delegation für die Ukraine, Staatlicher Pflanzenschutzdienst (SPPS) - Lettland,</w:t>
            </w:r>
            <w:r>
              <w:rPr>
                <w:color w:val="000000" w:themeColor="text1"/>
                <w:sz w:val="16"/>
              </w:rPr>
              <w:t xml:space="preserve"> Naktuinbouw - Niederlande, Staatlicher Pflanzenschutz- und Saatgutinspektionsdienst (SPHISI - PIORiN) - Polen, COBORU - Polen</w:t>
            </w:r>
          </w:p>
        </w:tc>
        <w:tc>
          <w:tcPr>
            <w:tcW w:w="982" w:type="dxa"/>
          </w:tcPr>
          <w:p w:rsidR="003137B0" w:rsidRPr="009212C2" w:rsidRDefault="003137B0" w:rsidP="00AA577D">
            <w:pPr>
              <w:jc w:val="left"/>
              <w:rPr>
                <w:color w:val="000000" w:themeColor="text1"/>
                <w:sz w:val="16"/>
              </w:rPr>
            </w:pPr>
            <w:r>
              <w:rPr>
                <w:color w:val="000000" w:themeColor="text1"/>
                <w:sz w:val="16"/>
              </w:rPr>
              <w:t>15.12.2020</w:t>
            </w:r>
          </w:p>
          <w:p w:rsidR="003137B0" w:rsidRPr="009212C2" w:rsidRDefault="003137B0" w:rsidP="00AA577D">
            <w:pPr>
              <w:jc w:val="left"/>
              <w:rPr>
                <w:color w:val="000000" w:themeColor="text1"/>
                <w:sz w:val="16"/>
              </w:rPr>
            </w:pPr>
            <w:r>
              <w:rPr>
                <w:color w:val="000000" w:themeColor="text1"/>
                <w:sz w:val="16"/>
              </w:rPr>
              <w:t>15.04.2021</w:t>
            </w:r>
          </w:p>
          <w:p w:rsidR="003137B0" w:rsidRPr="009212C2" w:rsidRDefault="003137B0" w:rsidP="00AA577D">
            <w:pPr>
              <w:jc w:val="left"/>
              <w:rPr>
                <w:color w:val="000000" w:themeColor="text1"/>
                <w:sz w:val="16"/>
              </w:rPr>
            </w:pPr>
            <w:r>
              <w:rPr>
                <w:color w:val="000000" w:themeColor="text1"/>
                <w:sz w:val="16"/>
              </w:rPr>
              <w:t>14.06.2021</w:t>
            </w:r>
          </w:p>
          <w:p w:rsidR="003137B0" w:rsidRPr="009212C2" w:rsidRDefault="003137B0" w:rsidP="00AA577D">
            <w:pPr>
              <w:jc w:val="left"/>
              <w:rPr>
                <w:color w:val="000000" w:themeColor="text1"/>
                <w:sz w:val="16"/>
              </w:rPr>
            </w:pPr>
            <w:r>
              <w:rPr>
                <w:color w:val="000000" w:themeColor="text1"/>
                <w:sz w:val="16"/>
              </w:rPr>
              <w:t>28.07.2021</w:t>
            </w:r>
          </w:p>
        </w:tc>
        <w:tc>
          <w:tcPr>
            <w:tcW w:w="1266" w:type="dxa"/>
          </w:tcPr>
          <w:p w:rsidR="003137B0" w:rsidRPr="009212C2" w:rsidRDefault="003137B0" w:rsidP="00AA577D">
            <w:pPr>
              <w:jc w:val="left"/>
              <w:rPr>
                <w:color w:val="000000" w:themeColor="text1"/>
                <w:sz w:val="16"/>
                <w:lang w:val="en-GB"/>
              </w:rPr>
            </w:pPr>
            <w:r>
              <w:rPr>
                <w:color w:val="000000" w:themeColor="text1"/>
                <w:sz w:val="16"/>
              </w:rPr>
              <w:t>Online-Organisations</w:t>
            </w:r>
            <w:r>
              <w:rPr>
                <w:color w:val="000000" w:themeColor="text1"/>
                <w:sz w:val="16"/>
              </w:rPr>
              <w:softHyphen/>
              <w:t>treffen</w:t>
            </w:r>
          </w:p>
        </w:tc>
        <w:tc>
          <w:tcPr>
            <w:tcW w:w="1418" w:type="dxa"/>
          </w:tcPr>
          <w:p w:rsidR="003137B0" w:rsidRPr="009C53CB" w:rsidRDefault="003137B0" w:rsidP="00AA577D">
            <w:pPr>
              <w:jc w:val="left"/>
              <w:rPr>
                <w:color w:val="000000" w:themeColor="text1"/>
                <w:sz w:val="16"/>
              </w:rPr>
            </w:pPr>
            <w:r>
              <w:rPr>
                <w:color w:val="000000" w:themeColor="text1"/>
                <w:sz w:val="16"/>
              </w:rPr>
              <w:t>Europäische Kommission,</w:t>
            </w:r>
          </w:p>
          <w:p w:rsidR="003137B0" w:rsidRPr="009C53CB" w:rsidRDefault="003137B0" w:rsidP="00AA577D">
            <w:pPr>
              <w:jc w:val="left"/>
              <w:rPr>
                <w:rFonts w:eastAsia="CIDFont+F2"/>
                <w:color w:val="000000" w:themeColor="text1"/>
                <w:sz w:val="16"/>
              </w:rPr>
            </w:pPr>
            <w:r>
              <w:rPr>
                <w:rFonts w:eastAsia="CIDFont+F2"/>
                <w:color w:val="000000" w:themeColor="text1"/>
                <w:sz w:val="16"/>
              </w:rPr>
              <w:t>SPPS - Lettland,</w:t>
            </w:r>
          </w:p>
          <w:p w:rsidR="003137B0" w:rsidRPr="009C53CB" w:rsidRDefault="003137B0" w:rsidP="00AA577D">
            <w:pPr>
              <w:jc w:val="left"/>
              <w:rPr>
                <w:color w:val="000000" w:themeColor="text1"/>
                <w:sz w:val="16"/>
              </w:rPr>
            </w:pPr>
            <w:r>
              <w:rPr>
                <w:rFonts w:eastAsia="CIDFont+F2"/>
                <w:color w:val="000000" w:themeColor="text1"/>
                <w:sz w:val="16"/>
              </w:rPr>
              <w:t>UIBOR - Ukraine,</w:t>
            </w:r>
          </w:p>
          <w:p w:rsidR="003137B0" w:rsidRPr="009C53CB" w:rsidRDefault="003137B0" w:rsidP="00AA577D">
            <w:pPr>
              <w:jc w:val="left"/>
              <w:rPr>
                <w:color w:val="000000" w:themeColor="text1"/>
                <w:sz w:val="16"/>
              </w:rPr>
            </w:pPr>
            <w:r>
              <w:rPr>
                <w:color w:val="000000" w:themeColor="text1"/>
                <w:sz w:val="16"/>
              </w:rPr>
              <w:t>Ministerium für Auswärtige Angelegenheiten der Republik Polen</w:t>
            </w:r>
          </w:p>
          <w:p w:rsidR="003137B0" w:rsidRPr="009C53CB" w:rsidRDefault="003137B0" w:rsidP="00AA577D">
            <w:pPr>
              <w:jc w:val="left"/>
              <w:rPr>
                <w:color w:val="000000" w:themeColor="text1"/>
                <w:sz w:val="16"/>
              </w:rPr>
            </w:pPr>
          </w:p>
        </w:tc>
        <w:tc>
          <w:tcPr>
            <w:tcW w:w="2551" w:type="dxa"/>
          </w:tcPr>
          <w:p w:rsidR="003137B0" w:rsidRPr="009C53CB" w:rsidRDefault="003137B0" w:rsidP="00AA577D">
            <w:pPr>
              <w:jc w:val="left"/>
              <w:rPr>
                <w:color w:val="000000" w:themeColor="text1"/>
                <w:sz w:val="16"/>
              </w:rPr>
            </w:pPr>
            <w:r>
              <w:rPr>
                <w:color w:val="000000" w:themeColor="text1"/>
                <w:sz w:val="16"/>
              </w:rPr>
              <w:t>Partnerschaftsprojekt:</w:t>
            </w:r>
          </w:p>
          <w:p w:rsidR="003137B0" w:rsidRPr="009C53CB" w:rsidRDefault="003137B0" w:rsidP="00AA577D">
            <w:pPr>
              <w:jc w:val="left"/>
              <w:rPr>
                <w:color w:val="000000" w:themeColor="text1"/>
                <w:sz w:val="16"/>
              </w:rPr>
            </w:pPr>
            <w:r>
              <w:rPr>
                <w:color w:val="000000" w:themeColor="text1"/>
                <w:sz w:val="16"/>
              </w:rPr>
              <w:t>„Angleichung der nationalen Rechtsvorschriften der Ukraine in den Bereichen der staatlichen Überwachung (Kontrolle) von GVO in offenen Systemen, des Schutzes der Sortenrechte und der Saat- und Pflanzgutproduktion an die Normen und Standards der EU“</w:t>
            </w:r>
          </w:p>
          <w:p w:rsidR="003137B0" w:rsidRPr="009C53CB" w:rsidRDefault="003137B0" w:rsidP="00AA577D">
            <w:pPr>
              <w:jc w:val="left"/>
              <w:rPr>
                <w:color w:val="000000" w:themeColor="text1"/>
                <w:sz w:val="16"/>
              </w:rPr>
            </w:pPr>
          </w:p>
        </w:tc>
        <w:tc>
          <w:tcPr>
            <w:tcW w:w="1853" w:type="dxa"/>
          </w:tcPr>
          <w:p w:rsidR="003137B0" w:rsidRPr="009C53CB" w:rsidRDefault="003137B0" w:rsidP="00AA577D">
            <w:pPr>
              <w:jc w:val="left"/>
              <w:rPr>
                <w:color w:val="000000" w:themeColor="text1"/>
                <w:sz w:val="16"/>
                <w:lang w:val="fr-FR"/>
              </w:rPr>
            </w:pPr>
            <w:r w:rsidRPr="009C53CB">
              <w:rPr>
                <w:color w:val="000000" w:themeColor="text1"/>
                <w:sz w:val="16"/>
                <w:lang w:val="fr-FR"/>
              </w:rPr>
              <w:t>EU:2</w:t>
            </w:r>
          </w:p>
          <w:p w:rsidR="003137B0" w:rsidRPr="009C53CB" w:rsidRDefault="003137B0" w:rsidP="00AA577D">
            <w:pPr>
              <w:jc w:val="left"/>
              <w:rPr>
                <w:color w:val="000000" w:themeColor="text1"/>
                <w:sz w:val="16"/>
                <w:lang w:val="fr-FR"/>
              </w:rPr>
            </w:pPr>
            <w:r w:rsidRPr="009C53CB">
              <w:rPr>
                <w:color w:val="000000" w:themeColor="text1"/>
                <w:sz w:val="16"/>
                <w:lang w:val="fr-FR"/>
              </w:rPr>
              <w:t>LV:3</w:t>
            </w:r>
          </w:p>
          <w:p w:rsidR="003137B0" w:rsidRPr="009C53CB" w:rsidRDefault="003137B0" w:rsidP="00AA577D">
            <w:pPr>
              <w:jc w:val="left"/>
              <w:rPr>
                <w:color w:val="000000" w:themeColor="text1"/>
                <w:sz w:val="16"/>
                <w:lang w:val="fr-FR"/>
              </w:rPr>
            </w:pPr>
            <w:r w:rsidRPr="009C53CB">
              <w:rPr>
                <w:color w:val="000000" w:themeColor="text1"/>
                <w:sz w:val="16"/>
                <w:lang w:val="fr-FR"/>
              </w:rPr>
              <w:t>NL:2</w:t>
            </w:r>
          </w:p>
          <w:p w:rsidR="003137B0" w:rsidRPr="009C53CB" w:rsidRDefault="003137B0" w:rsidP="00AA577D">
            <w:pPr>
              <w:jc w:val="left"/>
              <w:rPr>
                <w:color w:val="000000" w:themeColor="text1"/>
                <w:sz w:val="16"/>
                <w:lang w:val="fr-FR"/>
              </w:rPr>
            </w:pPr>
            <w:r w:rsidRPr="009C53CB">
              <w:rPr>
                <w:color w:val="000000" w:themeColor="text1"/>
                <w:sz w:val="16"/>
                <w:lang w:val="fr-FR"/>
              </w:rPr>
              <w:t>PL:4</w:t>
            </w:r>
          </w:p>
          <w:p w:rsidR="003137B0" w:rsidRPr="009C53CB" w:rsidRDefault="003137B0" w:rsidP="00AA577D">
            <w:pPr>
              <w:jc w:val="left"/>
              <w:rPr>
                <w:color w:val="000000" w:themeColor="text1"/>
                <w:sz w:val="16"/>
                <w:lang w:val="fr-FR"/>
              </w:rPr>
            </w:pPr>
            <w:r w:rsidRPr="009C53CB">
              <w:rPr>
                <w:color w:val="000000" w:themeColor="text1"/>
                <w:sz w:val="16"/>
                <w:lang w:val="fr-FR"/>
              </w:rPr>
              <w:t>UA:4</w:t>
            </w:r>
          </w:p>
          <w:p w:rsidR="003137B0" w:rsidRPr="009212C2" w:rsidRDefault="003137B0" w:rsidP="00AA577D">
            <w:pPr>
              <w:jc w:val="left"/>
              <w:rPr>
                <w:color w:val="000000" w:themeColor="text1"/>
                <w:sz w:val="16"/>
              </w:rPr>
            </w:pPr>
            <w:r>
              <w:rPr>
                <w:color w:val="000000" w:themeColor="text1"/>
                <w:sz w:val="16"/>
              </w:rPr>
              <w:t>DE:1</w:t>
            </w:r>
          </w:p>
          <w:p w:rsidR="003137B0" w:rsidRPr="009212C2" w:rsidRDefault="003137B0" w:rsidP="00AA577D">
            <w:pPr>
              <w:jc w:val="left"/>
              <w:rPr>
                <w:color w:val="000000" w:themeColor="text1"/>
                <w:sz w:val="16"/>
              </w:rPr>
            </w:pPr>
          </w:p>
        </w:tc>
      </w:tr>
      <w:tr w:rsidR="003137B0" w:rsidRPr="009212C2" w:rsidTr="00AA577D">
        <w:trPr>
          <w:cantSplit/>
        </w:trPr>
        <w:tc>
          <w:tcPr>
            <w:tcW w:w="1843" w:type="dxa"/>
            <w:vMerge/>
          </w:tcPr>
          <w:p w:rsidR="003137B0" w:rsidRPr="009212C2" w:rsidRDefault="003137B0" w:rsidP="00AA577D">
            <w:pPr>
              <w:jc w:val="left"/>
              <w:rPr>
                <w:color w:val="000000" w:themeColor="text1"/>
                <w:sz w:val="16"/>
              </w:rPr>
            </w:pPr>
          </w:p>
        </w:tc>
        <w:tc>
          <w:tcPr>
            <w:tcW w:w="982" w:type="dxa"/>
          </w:tcPr>
          <w:p w:rsidR="003137B0" w:rsidRPr="009212C2" w:rsidRDefault="003137B0" w:rsidP="00AA577D">
            <w:pPr>
              <w:jc w:val="left"/>
              <w:rPr>
                <w:color w:val="000000" w:themeColor="text1"/>
                <w:sz w:val="16"/>
              </w:rPr>
            </w:pPr>
            <w:r>
              <w:rPr>
                <w:color w:val="000000" w:themeColor="text1"/>
                <w:sz w:val="16"/>
              </w:rPr>
              <w:t>01.07.2021</w:t>
            </w:r>
          </w:p>
          <w:p w:rsidR="003137B0" w:rsidRPr="009212C2" w:rsidRDefault="003137B0" w:rsidP="00AA577D">
            <w:pPr>
              <w:jc w:val="left"/>
              <w:rPr>
                <w:color w:val="000000" w:themeColor="text1"/>
                <w:sz w:val="16"/>
              </w:rPr>
            </w:pPr>
            <w:r>
              <w:rPr>
                <w:color w:val="000000" w:themeColor="text1"/>
                <w:sz w:val="16"/>
              </w:rPr>
              <w:t>09.07.2021</w:t>
            </w:r>
          </w:p>
        </w:tc>
        <w:tc>
          <w:tcPr>
            <w:tcW w:w="1266" w:type="dxa"/>
          </w:tcPr>
          <w:p w:rsidR="003137B0" w:rsidRPr="009212C2" w:rsidRDefault="003137B0" w:rsidP="00AA577D">
            <w:pPr>
              <w:jc w:val="left"/>
              <w:rPr>
                <w:color w:val="000000" w:themeColor="text1"/>
                <w:sz w:val="16"/>
                <w:lang w:val="en-GB"/>
              </w:rPr>
            </w:pPr>
            <w:r>
              <w:rPr>
                <w:color w:val="000000" w:themeColor="text1"/>
                <w:sz w:val="16"/>
              </w:rPr>
              <w:t>Online-Arbeitstreffen</w:t>
            </w:r>
          </w:p>
        </w:tc>
        <w:tc>
          <w:tcPr>
            <w:tcW w:w="1418" w:type="dxa"/>
          </w:tcPr>
          <w:p w:rsidR="003137B0" w:rsidRPr="009212C2" w:rsidRDefault="003137B0" w:rsidP="00AA577D">
            <w:pPr>
              <w:jc w:val="left"/>
              <w:rPr>
                <w:color w:val="000000" w:themeColor="text1"/>
                <w:sz w:val="16"/>
                <w:lang w:val="en-GB"/>
              </w:rPr>
            </w:pPr>
          </w:p>
        </w:tc>
        <w:tc>
          <w:tcPr>
            <w:tcW w:w="2551" w:type="dxa"/>
          </w:tcPr>
          <w:p w:rsidR="003137B0" w:rsidRPr="009C53CB" w:rsidRDefault="003137B0" w:rsidP="00AA577D">
            <w:pPr>
              <w:jc w:val="left"/>
              <w:rPr>
                <w:color w:val="000000" w:themeColor="text1"/>
                <w:sz w:val="16"/>
              </w:rPr>
            </w:pPr>
            <w:r>
              <w:rPr>
                <w:color w:val="000000" w:themeColor="text1"/>
                <w:sz w:val="16"/>
              </w:rPr>
              <w:t>Vergleich des ukrainischen Gesetzes „über den Schutz der Sortenrechte“ mit den einschlägigen EU-Rechtsvorschriften</w:t>
            </w:r>
          </w:p>
        </w:tc>
        <w:tc>
          <w:tcPr>
            <w:tcW w:w="1853" w:type="dxa"/>
          </w:tcPr>
          <w:p w:rsidR="003137B0" w:rsidRPr="009212C2" w:rsidRDefault="003137B0" w:rsidP="00AA577D">
            <w:pPr>
              <w:jc w:val="left"/>
              <w:rPr>
                <w:color w:val="000000" w:themeColor="text1"/>
                <w:sz w:val="16"/>
              </w:rPr>
            </w:pPr>
            <w:r>
              <w:rPr>
                <w:color w:val="000000" w:themeColor="text1"/>
                <w:sz w:val="16"/>
              </w:rPr>
              <w:t>PL: 1</w:t>
            </w:r>
          </w:p>
          <w:p w:rsidR="003137B0" w:rsidRPr="009212C2" w:rsidRDefault="003137B0" w:rsidP="00AA577D">
            <w:pPr>
              <w:jc w:val="left"/>
              <w:rPr>
                <w:color w:val="000000" w:themeColor="text1"/>
                <w:sz w:val="16"/>
              </w:rPr>
            </w:pPr>
            <w:r>
              <w:rPr>
                <w:color w:val="000000" w:themeColor="text1"/>
                <w:sz w:val="16"/>
              </w:rPr>
              <w:t>NL: 1</w:t>
            </w:r>
          </w:p>
          <w:p w:rsidR="003137B0" w:rsidRPr="009212C2" w:rsidRDefault="003137B0" w:rsidP="00AA577D">
            <w:pPr>
              <w:jc w:val="left"/>
              <w:rPr>
                <w:color w:val="000000" w:themeColor="text1"/>
                <w:sz w:val="16"/>
              </w:rPr>
            </w:pPr>
            <w:r>
              <w:rPr>
                <w:color w:val="000000" w:themeColor="text1"/>
                <w:sz w:val="16"/>
              </w:rPr>
              <w:t>UA: 3</w:t>
            </w:r>
          </w:p>
          <w:p w:rsidR="003137B0" w:rsidRPr="009212C2" w:rsidRDefault="003137B0" w:rsidP="00AA577D">
            <w:pPr>
              <w:jc w:val="left"/>
              <w:rPr>
                <w:color w:val="000000" w:themeColor="text1"/>
                <w:sz w:val="16"/>
              </w:rPr>
            </w:pPr>
            <w:r>
              <w:rPr>
                <w:color w:val="000000" w:themeColor="text1"/>
                <w:sz w:val="16"/>
              </w:rPr>
              <w:t>LV: 1</w:t>
            </w:r>
          </w:p>
        </w:tc>
      </w:tr>
    </w:tbl>
    <w:p w:rsidR="003137B0" w:rsidRPr="009212C2" w:rsidRDefault="003137B0" w:rsidP="003137B0">
      <w:pPr>
        <w:tabs>
          <w:tab w:val="left" w:pos="567"/>
          <w:tab w:val="left" w:pos="4962"/>
        </w:tabs>
        <w:rPr>
          <w:rFonts w:cs="Arial"/>
          <w:color w:val="000000"/>
        </w:rPr>
      </w:pPr>
    </w:p>
    <w:p w:rsidR="003137B0" w:rsidRPr="009212C2" w:rsidRDefault="003137B0" w:rsidP="003137B0">
      <w:pPr>
        <w:tabs>
          <w:tab w:val="left" w:pos="567"/>
          <w:tab w:val="left" w:pos="4962"/>
        </w:tabs>
        <w:rPr>
          <w:rFonts w:cs="Arial"/>
          <w:color w:val="000000"/>
        </w:rPr>
      </w:pPr>
    </w:p>
    <w:p w:rsidR="003137B0" w:rsidRPr="009212C2" w:rsidRDefault="003137B0" w:rsidP="003137B0">
      <w:r>
        <w:t>II.</w:t>
      </w:r>
      <w:r>
        <w:tab/>
        <w:t>ANDERE ENTWICKLUNGEN VON BELANG FÜR DIE UPOV</w:t>
      </w:r>
    </w:p>
    <w:p w:rsidR="003137B0" w:rsidRPr="009C53CB" w:rsidRDefault="003137B0" w:rsidP="003137B0">
      <w:pPr>
        <w:rPr>
          <w:rFonts w:cs="Arial"/>
        </w:rPr>
      </w:pPr>
    </w:p>
    <w:p w:rsidR="003137B0" w:rsidRPr="009C53CB" w:rsidRDefault="003137B0" w:rsidP="003137B0">
      <w:pPr>
        <w:pStyle w:val="BodyText"/>
        <w:rPr>
          <w:rFonts w:cs="Arial"/>
          <w:i/>
          <w:iCs/>
        </w:rPr>
      </w:pPr>
      <w:r>
        <w:rPr>
          <w:rFonts w:cs="Arial"/>
        </w:rPr>
        <w:t>Die</w:t>
      </w:r>
      <w:r>
        <w:rPr>
          <w:rFonts w:cs="Arial"/>
          <w:i/>
          <w:iCs/>
        </w:rPr>
        <w:t xml:space="preserve"> Polnische nationale Liste der Sorten landwirtschaftlicher Pflanzen, </w:t>
      </w:r>
      <w:r>
        <w:rPr>
          <w:rFonts w:cs="Arial"/>
        </w:rPr>
        <w:t>die</w:t>
      </w:r>
      <w:r>
        <w:rPr>
          <w:rFonts w:cs="Arial"/>
          <w:i/>
          <w:iCs/>
        </w:rPr>
        <w:t xml:space="preserve"> Polnische nationale Liste der Sorten von Gemüsepflanzen </w:t>
      </w:r>
      <w:r>
        <w:rPr>
          <w:rFonts w:cs="Arial"/>
        </w:rPr>
        <w:t>und die</w:t>
      </w:r>
      <w:r>
        <w:rPr>
          <w:rFonts w:cs="Arial"/>
          <w:i/>
          <w:iCs/>
        </w:rPr>
        <w:t xml:space="preserve"> Polnische nationale Liste der Sorten von Obstpflanzen </w:t>
      </w:r>
      <w:r>
        <w:rPr>
          <w:rFonts w:cs="Arial"/>
        </w:rPr>
        <w:t>wurden im Mai 2021 herausgegeben</w:t>
      </w:r>
      <w:r>
        <w:rPr>
          <w:rFonts w:cs="Arial"/>
          <w:i/>
          <w:iCs/>
        </w:rPr>
        <w:t>.</w:t>
      </w:r>
      <w:r>
        <w:rPr>
          <w:rFonts w:cs="Arial"/>
        </w:rPr>
        <w:t xml:space="preserve"> Diese offiziellen Listen sowie aktualisierte Sortenlisten sind ebenfalls verfügbar unter: </w:t>
      </w:r>
      <w:hyperlink r:id="rId33" w:history="1">
        <w:r w:rsidRPr="003137B0">
          <w:rPr>
            <w:rStyle w:val="Hyperlink"/>
            <w:rFonts w:cs="Arial"/>
            <w:iCs/>
          </w:rPr>
          <w:t>www.coboru.gov.pl</w:t>
        </w:r>
      </w:hyperlink>
    </w:p>
    <w:p w:rsidR="003137B0" w:rsidRPr="009212C2" w:rsidRDefault="003137B0" w:rsidP="003137B0">
      <w:pPr>
        <w:tabs>
          <w:tab w:val="left" w:pos="567"/>
          <w:tab w:val="left" w:pos="4962"/>
        </w:tabs>
        <w:rPr>
          <w:rFonts w:cs="Arial"/>
          <w:color w:val="000000"/>
        </w:rPr>
      </w:pPr>
    </w:p>
    <w:p w:rsidR="006F3121" w:rsidRPr="006F3121" w:rsidRDefault="006F3121" w:rsidP="006F3121"/>
    <w:p w:rsidR="004128AB" w:rsidRPr="006F3121" w:rsidRDefault="004128AB" w:rsidP="004128AB">
      <w:pPr>
        <w:jc w:val="left"/>
      </w:pPr>
    </w:p>
    <w:p w:rsidR="004128AB" w:rsidRPr="006F3121" w:rsidRDefault="004128AB" w:rsidP="004128AB">
      <w:pPr>
        <w:jc w:val="right"/>
      </w:pPr>
      <w:r w:rsidRPr="006F3121">
        <w:t>[Anlage IX folgt]</w:t>
      </w:r>
    </w:p>
    <w:p w:rsidR="004128AB" w:rsidRPr="006F3121" w:rsidRDefault="004128AB" w:rsidP="004128AB"/>
    <w:p w:rsidR="004128AB" w:rsidRPr="006F3121" w:rsidRDefault="004128AB" w:rsidP="004128AB">
      <w:pPr>
        <w:jc w:val="left"/>
        <w:sectPr w:rsidR="004128AB" w:rsidRPr="006F3121" w:rsidSect="00CE587F">
          <w:headerReference w:type="default" r:id="rId34"/>
          <w:pgSz w:w="11907" w:h="16840" w:code="9"/>
          <w:pgMar w:top="510" w:right="1134" w:bottom="1134" w:left="1134" w:header="510" w:footer="680" w:gutter="0"/>
          <w:pgNumType w:start="1"/>
          <w:cols w:space="720"/>
          <w:titlePg/>
        </w:sectPr>
      </w:pPr>
    </w:p>
    <w:p w:rsidR="004128AB" w:rsidRPr="006F3121" w:rsidRDefault="006F5780" w:rsidP="004128AB">
      <w:pPr>
        <w:jc w:val="center"/>
      </w:pPr>
      <w:r>
        <w:lastRenderedPageBreak/>
        <w:t>C/55/INF/4</w:t>
      </w:r>
    </w:p>
    <w:p w:rsidR="004128AB" w:rsidRPr="006F3121" w:rsidRDefault="004128AB" w:rsidP="004128AB">
      <w:pPr>
        <w:jc w:val="center"/>
      </w:pPr>
    </w:p>
    <w:p w:rsidR="004128AB" w:rsidRPr="006F3121" w:rsidRDefault="004128AB" w:rsidP="004128AB">
      <w:pPr>
        <w:jc w:val="center"/>
      </w:pPr>
      <w:r w:rsidRPr="006F3121">
        <w:t>ANLAGE IX</w:t>
      </w:r>
    </w:p>
    <w:p w:rsidR="004128AB" w:rsidRPr="006F3121" w:rsidRDefault="004128AB" w:rsidP="004128AB">
      <w:pPr>
        <w:jc w:val="center"/>
      </w:pPr>
    </w:p>
    <w:p w:rsidR="004128AB" w:rsidRPr="006F3121" w:rsidRDefault="004128AB" w:rsidP="004128AB">
      <w:pPr>
        <w:jc w:val="center"/>
      </w:pPr>
    </w:p>
    <w:p w:rsidR="001B2619" w:rsidRPr="001C17CF" w:rsidRDefault="00713625" w:rsidP="001B2619">
      <w:pPr>
        <w:jc w:val="center"/>
      </w:pPr>
      <w:r>
        <w:t>REPUBLIK KOREA</w:t>
      </w:r>
    </w:p>
    <w:p w:rsidR="001B2619" w:rsidRPr="001C17CF" w:rsidRDefault="001B2619" w:rsidP="001B2619"/>
    <w:p w:rsidR="001B2619" w:rsidRPr="001C17CF" w:rsidRDefault="001B2619" w:rsidP="001B2619"/>
    <w:p w:rsidR="009E6A44" w:rsidRPr="005F69CB" w:rsidRDefault="009E6A44" w:rsidP="009E6A44">
      <w:r>
        <w:t>I.</w:t>
      </w:r>
      <w:r>
        <w:tab/>
        <w:t>SORTENSCHUTZ</w:t>
      </w:r>
    </w:p>
    <w:p w:rsidR="009E6A44" w:rsidRPr="005F69CB" w:rsidRDefault="009E6A44" w:rsidP="009E6A44"/>
    <w:p w:rsidR="009E6A44" w:rsidRPr="005F69CB" w:rsidRDefault="009E6A44" w:rsidP="009E6A44">
      <w:r>
        <w:t>1.</w:t>
      </w:r>
      <w:r>
        <w:tab/>
      </w:r>
      <w:r>
        <w:rPr>
          <w:u w:val="single"/>
        </w:rPr>
        <w:t>Lage auf dem Gebiet der Gesetzgebung</w:t>
      </w:r>
      <w:r>
        <w:t>: keine Anmerkungen</w:t>
      </w:r>
    </w:p>
    <w:p w:rsidR="009E6A44" w:rsidRPr="005F69CB" w:rsidRDefault="009E6A44" w:rsidP="009E6A44"/>
    <w:p w:rsidR="009E6A44" w:rsidRDefault="009E6A44" w:rsidP="009E6A44"/>
    <w:p w:rsidR="009E6A44" w:rsidRPr="005F69CB" w:rsidRDefault="009E6A44" w:rsidP="009E6A44">
      <w:r>
        <w:t>2.</w:t>
      </w:r>
      <w:r>
        <w:tab/>
      </w:r>
      <w:r>
        <w:rPr>
          <w:u w:val="single"/>
        </w:rPr>
        <w:t>Zusammenarbeit bei der Prüfung</w:t>
      </w:r>
    </w:p>
    <w:p w:rsidR="009E6A44" w:rsidRPr="005F69CB" w:rsidRDefault="009E6A44" w:rsidP="009E6A44"/>
    <w:p w:rsidR="009E6A44" w:rsidRPr="005F69CB" w:rsidRDefault="009E6A44" w:rsidP="009E6A44">
      <w:pPr>
        <w:ind w:left="567"/>
      </w:pPr>
      <w:r w:rsidRPr="009D583C">
        <w:rPr>
          <w:rFonts w:eastAsia="함초롬바탕"/>
        </w:rPr>
        <w:t>Auf der Grundlage einer Absichtserklärung zwischen dem Amt für geistiges Eigentum von Singapur (IPOS) und dem Saatgut- und Sortenamt von Korea (KSVS) führt das KSVS die technische Prüfung im Namen des IPOS durch und übermittelt das Ergebnis der technischen Prüfung gemäß einer Absichtserklärung zwischen den beiden Behörden an das vietnamesischen Ministerium für Pflanzenbau</w:t>
      </w:r>
      <w:r>
        <w:rPr>
          <w:rFonts w:eastAsia="함초롬바탕"/>
        </w:rPr>
        <w:t>.</w:t>
      </w:r>
    </w:p>
    <w:p w:rsidR="009E6A44" w:rsidRPr="005F69CB" w:rsidRDefault="009E6A44" w:rsidP="009E6A44"/>
    <w:p w:rsidR="009E6A44" w:rsidRPr="005F69CB" w:rsidRDefault="009E6A44" w:rsidP="009E6A44"/>
    <w:p w:rsidR="009E6A44" w:rsidRPr="005F69CB" w:rsidRDefault="009E6A44" w:rsidP="009E6A44">
      <w:r>
        <w:t>3.</w:t>
      </w:r>
      <w:r>
        <w:tab/>
      </w:r>
      <w:r>
        <w:rPr>
          <w:u w:val="single"/>
        </w:rPr>
        <w:t>Lage auf dem Gebiet der Verwaltung</w:t>
      </w:r>
      <w:r>
        <w:t>: keine Anmerkungen</w:t>
      </w:r>
    </w:p>
    <w:p w:rsidR="009E6A44" w:rsidRDefault="009E6A44" w:rsidP="009E6A44"/>
    <w:p w:rsidR="009E6A44" w:rsidRPr="005F69CB" w:rsidRDefault="009E6A44" w:rsidP="009E6A44"/>
    <w:p w:rsidR="009E6A44" w:rsidRPr="005F69CB" w:rsidRDefault="009E6A44" w:rsidP="009E6A44">
      <w:r>
        <w:t>4.</w:t>
      </w:r>
      <w:r>
        <w:tab/>
      </w:r>
      <w:r>
        <w:rPr>
          <w:u w:val="single"/>
        </w:rPr>
        <w:t>Lage auf dem Gebiet der Technik</w:t>
      </w:r>
    </w:p>
    <w:p w:rsidR="009E6A44" w:rsidRDefault="009E6A44" w:rsidP="009E6A44">
      <w:pPr>
        <w:rPr>
          <w:rFonts w:eastAsia="함초롬바탕"/>
        </w:rPr>
      </w:pPr>
    </w:p>
    <w:p w:rsidR="009E6A44" w:rsidRPr="005F69CB" w:rsidRDefault="009E6A44" w:rsidP="009E6A44">
      <w:pPr>
        <w:ind w:left="567"/>
      </w:pPr>
      <w:r>
        <w:rPr>
          <w:rFonts w:eastAsia="함초롬바탕"/>
        </w:rPr>
        <w:t>Die KSVS entwickelt Bildanalysesoftware zur Gewinnung phänotypischen Daten aus DUS-Bildern. Das Programm umfasst automatische Messungen der Größe von Blättern, Blüten und Samen. In diesem Jahr hat die KSVS damit begonnen, die Daten für die Prüfungsberichte zu verwenden. Die Software verfügt über benutzerfreundliche Funktionen wie die Verwaltung von Fotodaten, Bildbearbeitung und automatische Analyse. Wir werden ebenfalls ein Farbprogramm zur Bestimmung der Farbe des Blütenblatts und der Nummer der RHS-Farbkarte hinzufügen.</w:t>
      </w:r>
    </w:p>
    <w:p w:rsidR="009E6A44" w:rsidRDefault="009E6A44" w:rsidP="009E6A44"/>
    <w:p w:rsidR="009E6A44" w:rsidRPr="005F69CB" w:rsidRDefault="009E6A44" w:rsidP="009E6A44"/>
    <w:p w:rsidR="009E6A44" w:rsidRPr="005F69CB" w:rsidRDefault="009E6A44" w:rsidP="009E6A44">
      <w:r>
        <w:t>5.</w:t>
      </w:r>
      <w:r>
        <w:tab/>
      </w:r>
      <w:r>
        <w:rPr>
          <w:u w:val="single"/>
        </w:rPr>
        <w:t>Tätigkeiten zur Förderung des Sortenschutzes</w:t>
      </w:r>
      <w:r>
        <w:t>: keine Anmerkungen</w:t>
      </w:r>
    </w:p>
    <w:p w:rsidR="009E6A44" w:rsidRDefault="009E6A44" w:rsidP="009E6A44"/>
    <w:p w:rsidR="009E6A44" w:rsidRPr="005F69CB" w:rsidRDefault="009E6A44" w:rsidP="009E6A44"/>
    <w:p w:rsidR="009E6A44" w:rsidRPr="005F69CB" w:rsidRDefault="009E6A44" w:rsidP="009E6A44">
      <w:r>
        <w:t>II.</w:t>
      </w:r>
      <w:r>
        <w:tab/>
        <w:t>ANDERE ENTWICKLUNGEN VON BELANG FÜR DIE UPOV</w:t>
      </w:r>
    </w:p>
    <w:p w:rsidR="009E6A44" w:rsidRPr="005F69CB" w:rsidRDefault="009E6A44" w:rsidP="009E6A44"/>
    <w:p w:rsidR="009E6A44" w:rsidRPr="005F69CB" w:rsidRDefault="009E6A44" w:rsidP="009E6A44">
      <w:r>
        <w:t>Keine Anmerkungen.</w:t>
      </w:r>
    </w:p>
    <w:p w:rsidR="001B2619" w:rsidRPr="001C17CF" w:rsidRDefault="001B2619" w:rsidP="001B2619">
      <w:pPr>
        <w:rPr>
          <w:rFonts w:cs="Arial"/>
        </w:rPr>
      </w:pPr>
    </w:p>
    <w:p w:rsidR="001B2619" w:rsidRDefault="001B2619" w:rsidP="001B2619"/>
    <w:p w:rsidR="004128AB" w:rsidRPr="006F3121" w:rsidRDefault="004128AB" w:rsidP="004128AB">
      <w:pPr>
        <w:jc w:val="left"/>
      </w:pPr>
    </w:p>
    <w:p w:rsidR="004128AB" w:rsidRPr="006F3121" w:rsidRDefault="004128AB" w:rsidP="004128AB">
      <w:pPr>
        <w:jc w:val="right"/>
      </w:pPr>
      <w:r w:rsidRPr="006F3121">
        <w:t>[Anlage X folgt]</w:t>
      </w:r>
    </w:p>
    <w:p w:rsidR="004128AB" w:rsidRPr="006F3121" w:rsidRDefault="004128AB" w:rsidP="004128AB"/>
    <w:p w:rsidR="004128AB" w:rsidRPr="006F3121" w:rsidRDefault="004128AB" w:rsidP="004128AB">
      <w:pPr>
        <w:jc w:val="left"/>
        <w:sectPr w:rsidR="004128AB" w:rsidRPr="006F3121" w:rsidSect="00CE587F">
          <w:headerReference w:type="default" r:id="rId35"/>
          <w:pgSz w:w="11907" w:h="16840" w:code="9"/>
          <w:pgMar w:top="510" w:right="1134" w:bottom="1134" w:left="1134" w:header="510" w:footer="680" w:gutter="0"/>
          <w:pgNumType w:start="1"/>
          <w:cols w:space="720"/>
          <w:titlePg/>
        </w:sectPr>
      </w:pPr>
    </w:p>
    <w:p w:rsidR="004128AB" w:rsidRPr="006F3121" w:rsidRDefault="006F5780" w:rsidP="004128AB">
      <w:pPr>
        <w:jc w:val="center"/>
      </w:pPr>
      <w:r>
        <w:lastRenderedPageBreak/>
        <w:t>C/55/INF/4</w:t>
      </w:r>
    </w:p>
    <w:p w:rsidR="004128AB" w:rsidRPr="006F3121" w:rsidRDefault="004128AB" w:rsidP="004128AB">
      <w:pPr>
        <w:jc w:val="center"/>
      </w:pPr>
    </w:p>
    <w:p w:rsidR="004128AB" w:rsidRPr="006F3121" w:rsidRDefault="004128AB" w:rsidP="004128AB">
      <w:pPr>
        <w:jc w:val="center"/>
      </w:pPr>
      <w:r w:rsidRPr="006F3121">
        <w:t>ANLAGE X</w:t>
      </w:r>
    </w:p>
    <w:p w:rsidR="004128AB" w:rsidRPr="006F3121" w:rsidRDefault="004128AB" w:rsidP="004128AB">
      <w:pPr>
        <w:jc w:val="center"/>
      </w:pPr>
    </w:p>
    <w:p w:rsidR="004128AB" w:rsidRPr="006F3121" w:rsidRDefault="004128AB" w:rsidP="004128AB">
      <w:pPr>
        <w:jc w:val="center"/>
      </w:pPr>
    </w:p>
    <w:p w:rsidR="00AD7E12" w:rsidRPr="001C17CF" w:rsidRDefault="00713625" w:rsidP="00AD7E12">
      <w:pPr>
        <w:jc w:val="center"/>
      </w:pPr>
      <w:r>
        <w:t>REPUBLIK MOLDAU</w:t>
      </w:r>
    </w:p>
    <w:p w:rsidR="00AD7E12" w:rsidRPr="001C17CF" w:rsidRDefault="00AD7E12" w:rsidP="00AD7E12"/>
    <w:p w:rsidR="00AD7E12" w:rsidRPr="001C17CF" w:rsidRDefault="00AD7E12" w:rsidP="00AD7E12"/>
    <w:p w:rsidR="009E6A44" w:rsidRPr="00F42D50" w:rsidRDefault="009E6A44" w:rsidP="009E6A44">
      <w:r>
        <w:t>I.</w:t>
      </w:r>
      <w:r>
        <w:tab/>
        <w:t>SORTENSCHUTZ</w:t>
      </w:r>
    </w:p>
    <w:p w:rsidR="009E6A44" w:rsidRPr="009C53CB" w:rsidRDefault="009E6A44" w:rsidP="009E6A44">
      <w:pPr>
        <w:tabs>
          <w:tab w:val="left" w:pos="4962"/>
        </w:tabs>
        <w:rPr>
          <w:rFonts w:cs="Arial"/>
          <w:u w:val="single"/>
        </w:rPr>
      </w:pPr>
    </w:p>
    <w:p w:rsidR="009E6A44" w:rsidRPr="00F42D50" w:rsidRDefault="009E6A44" w:rsidP="009E6A44">
      <w:pPr>
        <w:rPr>
          <w:u w:val="single"/>
        </w:rPr>
      </w:pPr>
      <w:r>
        <w:t>1.</w:t>
      </w:r>
      <w:r>
        <w:tab/>
      </w:r>
      <w:r>
        <w:rPr>
          <w:u w:val="single"/>
        </w:rPr>
        <w:t>Lage auf dem Gebiet der Gesetzgebung</w:t>
      </w:r>
    </w:p>
    <w:p w:rsidR="009E6A44" w:rsidRPr="00F42D50" w:rsidRDefault="009E6A44" w:rsidP="009E6A44"/>
    <w:p w:rsidR="009E6A44" w:rsidRPr="00F42D50" w:rsidRDefault="009E6A44" w:rsidP="009E6A44">
      <w:r>
        <w:t>1.1</w:t>
      </w:r>
      <w:r>
        <w:tab/>
        <w:t>Änderungen des Gesetzes und der Ausführungsvorschriften: keine Änderungen.</w:t>
      </w:r>
    </w:p>
    <w:p w:rsidR="009E6A44" w:rsidRPr="009C53CB" w:rsidRDefault="009E6A44" w:rsidP="009E6A44"/>
    <w:p w:rsidR="009E6A44" w:rsidRPr="009C53CB" w:rsidRDefault="009E6A44" w:rsidP="009E6A44">
      <w:r>
        <w:t>1.2</w:t>
      </w:r>
      <w:r>
        <w:tab/>
        <w:t>Erstreckung des Schutzes auf weitere Gattungen und Arten</w:t>
      </w:r>
    </w:p>
    <w:p w:rsidR="009E6A44" w:rsidRPr="009C53CB" w:rsidRDefault="009E6A44" w:rsidP="009E6A44"/>
    <w:p w:rsidR="009E6A44" w:rsidRPr="009C53CB" w:rsidRDefault="009E6A44" w:rsidP="009E6A44">
      <w:pPr>
        <w:ind w:left="567"/>
      </w:pPr>
      <w:r>
        <w:t>Gemäß dem Gesetz Nr. 39-XVI/2008 über den Schutz von Pflanzensorten wird der Schutz für Sorten aller botanischen Gattungen und Arten, einschließlich Hybriden zwischen Gattungen und Arten, angeboten.</w:t>
      </w:r>
    </w:p>
    <w:p w:rsidR="009E6A44" w:rsidRPr="009C53CB" w:rsidRDefault="009E6A44" w:rsidP="009E6A44"/>
    <w:p w:rsidR="009E6A44" w:rsidRPr="009C53CB" w:rsidRDefault="009E6A44" w:rsidP="009E6A44">
      <w:r>
        <w:t>1.3</w:t>
      </w:r>
      <w:r>
        <w:tab/>
        <w:t>Rechtsprechung</w:t>
      </w:r>
    </w:p>
    <w:p w:rsidR="009E6A44" w:rsidRPr="009C53CB" w:rsidRDefault="009E6A44" w:rsidP="009E6A44"/>
    <w:p w:rsidR="009E6A44" w:rsidRPr="009C53CB" w:rsidRDefault="009E6A44" w:rsidP="009E6A44">
      <w:pPr>
        <w:ind w:left="567"/>
        <w:rPr>
          <w:highlight w:val="yellow"/>
        </w:rPr>
      </w:pPr>
      <w:r>
        <w:t>Hinsichtlich des Sortenschutzes gibt es keine Präzedenzfälle.</w:t>
      </w:r>
    </w:p>
    <w:p w:rsidR="009E6A44" w:rsidRPr="009C53CB" w:rsidRDefault="009E6A44" w:rsidP="009E6A44"/>
    <w:p w:rsidR="009E6A44" w:rsidRPr="009C53CB" w:rsidRDefault="009E6A44" w:rsidP="009E6A44"/>
    <w:p w:rsidR="009E6A44" w:rsidRPr="009C53CB" w:rsidRDefault="009E6A44" w:rsidP="009E6A44">
      <w:r>
        <w:t>2.</w:t>
      </w:r>
      <w:r>
        <w:tab/>
      </w:r>
      <w:r>
        <w:rPr>
          <w:u w:val="single"/>
        </w:rPr>
        <w:t>Zusammenarbeit bei der Prüfung</w:t>
      </w:r>
    </w:p>
    <w:p w:rsidR="009E6A44" w:rsidRPr="009C53CB" w:rsidRDefault="009E6A44" w:rsidP="009E6A44"/>
    <w:p w:rsidR="009E6A44" w:rsidRPr="009C53CB" w:rsidRDefault="009E6A44" w:rsidP="009E6A44">
      <w:r>
        <w:t>Übernahme bestehender DUS-Berichte von:</w:t>
      </w:r>
    </w:p>
    <w:p w:rsidR="009E6A44" w:rsidRPr="005659D6" w:rsidRDefault="009E6A44" w:rsidP="009E6A44">
      <w:pPr>
        <w:numPr>
          <w:ilvl w:val="0"/>
          <w:numId w:val="9"/>
        </w:numPr>
        <w:rPr>
          <w:lang w:val="en-GB"/>
        </w:rPr>
      </w:pPr>
      <w:r>
        <w:t>GEVES, Beaucouzé, Frankreich</w:t>
      </w:r>
    </w:p>
    <w:p w:rsidR="009E6A44" w:rsidRPr="00F42D50" w:rsidRDefault="009E6A44" w:rsidP="009E6A44">
      <w:pPr>
        <w:numPr>
          <w:ilvl w:val="0"/>
          <w:numId w:val="9"/>
        </w:numPr>
        <w:rPr>
          <w:b/>
        </w:rPr>
      </w:pPr>
      <w:r>
        <w:t>Forschungszentrum für Zuchtsortenprüfung, PL</w:t>
      </w:r>
    </w:p>
    <w:p w:rsidR="009E6A44" w:rsidRDefault="009E6A44" w:rsidP="009E6A44">
      <w:pPr>
        <w:rPr>
          <w:lang w:val="en-GB"/>
        </w:rPr>
      </w:pPr>
    </w:p>
    <w:p w:rsidR="009E6A44" w:rsidRPr="005659D6" w:rsidRDefault="009E6A44" w:rsidP="009E6A44">
      <w:pPr>
        <w:rPr>
          <w:lang w:val="en-GB"/>
        </w:rPr>
      </w:pPr>
    </w:p>
    <w:p w:rsidR="009E6A44" w:rsidRPr="009C53CB" w:rsidRDefault="009E6A44" w:rsidP="009E6A44">
      <w:r>
        <w:t>3.</w:t>
      </w:r>
      <w:r>
        <w:tab/>
      </w:r>
      <w:r>
        <w:rPr>
          <w:u w:val="single"/>
        </w:rPr>
        <w:t>Lage auf dem Gebiet der Verwaltung</w:t>
      </w:r>
      <w:r>
        <w:t>: keine Änderungen.</w:t>
      </w:r>
    </w:p>
    <w:p w:rsidR="009E6A44" w:rsidRPr="009C53CB" w:rsidRDefault="009E6A44" w:rsidP="009E6A44"/>
    <w:p w:rsidR="009E6A44" w:rsidRPr="009C53CB" w:rsidRDefault="009E6A44" w:rsidP="009E6A44">
      <w:pPr>
        <w:rPr>
          <w:i/>
        </w:rPr>
      </w:pPr>
      <w:r>
        <w:rPr>
          <w:i/>
        </w:rPr>
        <w:t>Änderungen in den Verfahren und Systemen</w:t>
      </w:r>
    </w:p>
    <w:p w:rsidR="009E6A44" w:rsidRDefault="009E6A44" w:rsidP="009E6A44"/>
    <w:p w:rsidR="009E6A44" w:rsidRPr="00F42D50" w:rsidRDefault="009E6A44" w:rsidP="009E6A44">
      <w:r>
        <w:t>Zwei (2) nationale Prüfungsrichtlinien wurden erstellt für:</w:t>
      </w:r>
    </w:p>
    <w:p w:rsidR="009E6A44" w:rsidRPr="00F42D50" w:rsidRDefault="009E6A44" w:rsidP="009E6A44">
      <w:pPr>
        <w:numPr>
          <w:ilvl w:val="0"/>
          <w:numId w:val="9"/>
        </w:numPr>
        <w:rPr>
          <w:bCs/>
          <w:shd w:val="clear" w:color="auto" w:fill="FFFFFF"/>
        </w:rPr>
      </w:pPr>
      <w:r>
        <w:rPr>
          <w:bCs/>
          <w:i/>
          <w:shd w:val="clear" w:color="auto" w:fill="FFFFFF"/>
        </w:rPr>
        <w:t>Paeonia lactiflora</w:t>
      </w:r>
      <w:r>
        <w:rPr>
          <w:bCs/>
          <w:shd w:val="clear" w:color="auto" w:fill="FFFFFF"/>
        </w:rPr>
        <w:t xml:space="preserve"> Pall. MTG 19-1</w:t>
      </w:r>
    </w:p>
    <w:p w:rsidR="009E6A44" w:rsidRPr="009C53CB" w:rsidRDefault="009E6A44" w:rsidP="009E6A44">
      <w:pPr>
        <w:numPr>
          <w:ilvl w:val="0"/>
          <w:numId w:val="9"/>
        </w:numPr>
        <w:rPr>
          <w:lang w:val="fr-FR"/>
        </w:rPr>
      </w:pPr>
      <w:r w:rsidRPr="009C53CB">
        <w:rPr>
          <w:i/>
          <w:lang w:val="fr-FR"/>
        </w:rPr>
        <w:t>Mentha x verticillata</w:t>
      </w:r>
      <w:r w:rsidRPr="009C53CB">
        <w:rPr>
          <w:lang w:val="fr-FR"/>
        </w:rPr>
        <w:t xml:space="preserve"> L. MTG 20-1</w:t>
      </w:r>
    </w:p>
    <w:p w:rsidR="009E6A44" w:rsidRPr="00F42D50" w:rsidRDefault="009E6A44" w:rsidP="009E6A44">
      <w:pPr>
        <w:rPr>
          <w:lang w:val="es-ES"/>
        </w:rPr>
      </w:pPr>
    </w:p>
    <w:p w:rsidR="009E6A44" w:rsidRPr="009C53CB" w:rsidRDefault="009E6A44" w:rsidP="009E6A44">
      <w:pPr>
        <w:rPr>
          <w:i/>
        </w:rPr>
      </w:pPr>
      <w:r>
        <w:rPr>
          <w:i/>
        </w:rPr>
        <w:t>Statistiken</w:t>
      </w:r>
    </w:p>
    <w:p w:rsidR="009E6A44" w:rsidRPr="009C53CB" w:rsidRDefault="009E6A44" w:rsidP="009E6A44"/>
    <w:p w:rsidR="009E6A44" w:rsidRDefault="009E6A44" w:rsidP="009E6A44">
      <w:pPr>
        <w:rPr>
          <w:lang w:val="en-GB"/>
        </w:rPr>
      </w:pPr>
      <w:r>
        <w:t>Im Zeitraum vom 1. Januar 2020 bis 31. Dezember 2020:</w:t>
      </w:r>
    </w:p>
    <w:p w:rsidR="009E6A44" w:rsidRPr="005659D6" w:rsidRDefault="009E6A44" w:rsidP="009E6A44">
      <w:pPr>
        <w:rPr>
          <w:lang w:val="en-GB"/>
        </w:rPr>
      </w:pPr>
    </w:p>
    <w:p w:rsidR="009E6A44" w:rsidRPr="009C53CB" w:rsidRDefault="009E6A44" w:rsidP="009E6A44">
      <w:pPr>
        <w:numPr>
          <w:ilvl w:val="0"/>
          <w:numId w:val="9"/>
        </w:numPr>
        <w:ind w:left="567" w:hanging="283"/>
      </w:pPr>
      <w:r>
        <w:t>wurden 31 Anträge (24 von inländischen und 7 von ausländischen Antragstellern) wie folgt eingereicht:</w:t>
      </w:r>
    </w:p>
    <w:p w:rsidR="009E6A44" w:rsidRPr="009C53CB" w:rsidRDefault="009E6A44" w:rsidP="009E6A44">
      <w:pPr>
        <w:ind w:left="567"/>
      </w:pPr>
    </w:p>
    <w:p w:rsidR="009E6A44" w:rsidRPr="009C53CB" w:rsidRDefault="009E6A44" w:rsidP="009E6A44">
      <w:pPr>
        <w:ind w:left="567"/>
      </w:pPr>
      <w:r>
        <w:t>Apfel (</w:t>
      </w:r>
      <w:r>
        <w:rPr>
          <w:bCs/>
          <w:i/>
        </w:rPr>
        <w:t xml:space="preserve">Malus domestica </w:t>
      </w:r>
      <w:r>
        <w:rPr>
          <w:bCs/>
        </w:rPr>
        <w:t>Borkh</w:t>
      </w:r>
      <w:r>
        <w:t>) – 1</w:t>
      </w:r>
    </w:p>
    <w:p w:rsidR="009E6A44" w:rsidRPr="009C53CB" w:rsidRDefault="009E6A44" w:rsidP="009E6A44">
      <w:pPr>
        <w:ind w:left="567"/>
      </w:pPr>
      <w:r>
        <w:t>Gerste (</w:t>
      </w:r>
      <w:r>
        <w:rPr>
          <w:bCs/>
          <w:i/>
        </w:rPr>
        <w:t xml:space="preserve">Hordeum vulgare </w:t>
      </w:r>
      <w:r>
        <w:rPr>
          <w:bCs/>
        </w:rPr>
        <w:t>L.</w:t>
      </w:r>
      <w:r>
        <w:t>) – 1</w:t>
      </w:r>
    </w:p>
    <w:p w:rsidR="009E6A44" w:rsidRPr="009C53CB" w:rsidRDefault="009E6A44" w:rsidP="009E6A44">
      <w:pPr>
        <w:ind w:left="567"/>
      </w:pPr>
      <w:r>
        <w:t>Bohne (</w:t>
      </w:r>
      <w:r>
        <w:rPr>
          <w:bCs/>
          <w:i/>
        </w:rPr>
        <w:t xml:space="preserve">Phaseolus vulgaris </w:t>
      </w:r>
      <w:r>
        <w:rPr>
          <w:bCs/>
        </w:rPr>
        <w:t>L.</w:t>
      </w:r>
      <w:r>
        <w:t>) – 1</w:t>
      </w:r>
    </w:p>
    <w:p w:rsidR="009E6A44" w:rsidRPr="009C53CB" w:rsidRDefault="009E6A44" w:rsidP="009E6A44">
      <w:pPr>
        <w:ind w:left="567"/>
      </w:pPr>
      <w:r>
        <w:t>Brombeere (</w:t>
      </w:r>
      <w:r>
        <w:rPr>
          <w:bCs/>
          <w:i/>
        </w:rPr>
        <w:t xml:space="preserve">Rubus fructicosus </w:t>
      </w:r>
      <w:r>
        <w:rPr>
          <w:bCs/>
        </w:rPr>
        <w:t>L.</w:t>
      </w:r>
      <w:r>
        <w:t>) – 1</w:t>
      </w:r>
    </w:p>
    <w:p w:rsidR="009E6A44" w:rsidRPr="00F15079" w:rsidRDefault="009E6A44" w:rsidP="009E6A44">
      <w:pPr>
        <w:ind w:left="567"/>
      </w:pPr>
      <w:r>
        <w:t>Hartweizen (</w:t>
      </w:r>
      <w:r>
        <w:rPr>
          <w:i/>
        </w:rPr>
        <w:t xml:space="preserve">Triticum durum </w:t>
      </w:r>
      <w:r>
        <w:t>Desf.) - 1</w:t>
      </w:r>
    </w:p>
    <w:p w:rsidR="009E6A44" w:rsidRPr="00F15079" w:rsidRDefault="009E6A44" w:rsidP="009E6A44">
      <w:pPr>
        <w:ind w:left="567"/>
        <w:rPr>
          <w:lang w:val="fr-FR"/>
        </w:rPr>
      </w:pPr>
      <w:r>
        <w:t>Riesen-Chinaschilf (</w:t>
      </w:r>
      <w:r>
        <w:rPr>
          <w:i/>
        </w:rPr>
        <w:t>Miscanthus×giganteus J</w:t>
      </w:r>
      <w:r>
        <w:t xml:space="preserve">. M. Greef &amp; Deuter ex Hodk. </w:t>
      </w:r>
      <w:r w:rsidRPr="009C53CB">
        <w:rPr>
          <w:lang w:val="fr-FR"/>
        </w:rPr>
        <w:t>&amp; Renvoize) - 1</w:t>
      </w:r>
    </w:p>
    <w:p w:rsidR="009E6A44" w:rsidRPr="00F15079" w:rsidRDefault="009E6A44" w:rsidP="009E6A44">
      <w:pPr>
        <w:ind w:left="567"/>
        <w:rPr>
          <w:lang w:val="fr-FR"/>
        </w:rPr>
      </w:pPr>
      <w:r w:rsidRPr="009C53CB">
        <w:rPr>
          <w:lang w:val="fr-FR"/>
        </w:rPr>
        <w:t>Rebe (</w:t>
      </w:r>
      <w:r w:rsidRPr="009C53CB">
        <w:rPr>
          <w:bCs/>
          <w:i/>
          <w:lang w:val="fr-FR"/>
        </w:rPr>
        <w:t>Vitis vinifera</w:t>
      </w:r>
      <w:r w:rsidRPr="009C53CB">
        <w:rPr>
          <w:bCs/>
          <w:lang w:val="fr-FR"/>
        </w:rPr>
        <w:t xml:space="preserve"> L. ssp. </w:t>
      </w:r>
      <w:r w:rsidRPr="009C53CB">
        <w:rPr>
          <w:bCs/>
          <w:i/>
          <w:lang w:val="fr-FR"/>
        </w:rPr>
        <w:t xml:space="preserve">sativa </w:t>
      </w:r>
      <w:r w:rsidRPr="009C53CB">
        <w:rPr>
          <w:bCs/>
          <w:lang w:val="fr-FR"/>
        </w:rPr>
        <w:t xml:space="preserve">D.C. </w:t>
      </w:r>
      <w:r w:rsidRPr="009C53CB">
        <w:rPr>
          <w:lang w:val="fr-FR"/>
        </w:rPr>
        <w:t>x</w:t>
      </w:r>
      <w:r w:rsidRPr="009C53CB">
        <w:rPr>
          <w:bCs/>
          <w:lang w:val="fr-FR"/>
        </w:rPr>
        <w:t xml:space="preserve"> </w:t>
      </w:r>
      <w:r w:rsidRPr="009C53CB">
        <w:rPr>
          <w:bCs/>
          <w:i/>
          <w:lang w:val="fr-FR"/>
        </w:rPr>
        <w:t xml:space="preserve">Muscadinia rotundifolia </w:t>
      </w:r>
      <w:r w:rsidRPr="009C53CB">
        <w:rPr>
          <w:bCs/>
          <w:lang w:val="fr-FR"/>
        </w:rPr>
        <w:t>Michx.</w:t>
      </w:r>
      <w:r w:rsidRPr="009C53CB">
        <w:rPr>
          <w:lang w:val="fr-FR"/>
        </w:rPr>
        <w:t>) – 2</w:t>
      </w:r>
    </w:p>
    <w:p w:rsidR="009E6A44" w:rsidRPr="009C53CB" w:rsidRDefault="009E6A44" w:rsidP="009E6A44">
      <w:pPr>
        <w:ind w:left="567"/>
      </w:pPr>
      <w:r>
        <w:t>Griechischer Oregano (</w:t>
      </w:r>
      <w:r>
        <w:rPr>
          <w:bCs/>
          <w:i/>
        </w:rPr>
        <w:t xml:space="preserve">Origanum vulgare </w:t>
      </w:r>
      <w:r>
        <w:rPr>
          <w:bCs/>
        </w:rPr>
        <w:t xml:space="preserve">L. ssp. </w:t>
      </w:r>
      <w:r>
        <w:rPr>
          <w:bCs/>
          <w:i/>
        </w:rPr>
        <w:t xml:space="preserve">hirtum </w:t>
      </w:r>
      <w:r>
        <w:rPr>
          <w:bCs/>
        </w:rPr>
        <w:t>Ietsw.</w:t>
      </w:r>
      <w:r>
        <w:t>) – 1</w:t>
      </w:r>
    </w:p>
    <w:p w:rsidR="009E6A44" w:rsidRPr="009C53CB" w:rsidRDefault="009E6A44" w:rsidP="009E6A44">
      <w:pPr>
        <w:ind w:left="567"/>
      </w:pPr>
      <w:r>
        <w:t>Japanische Quitte (</w:t>
      </w:r>
      <w:r>
        <w:rPr>
          <w:bCs/>
          <w:i/>
        </w:rPr>
        <w:t xml:space="preserve">Chaenomeles japonica </w:t>
      </w:r>
      <w:r>
        <w:rPr>
          <w:bCs/>
        </w:rPr>
        <w:t>(Thunb.) Lindl.</w:t>
      </w:r>
      <w:r>
        <w:t>) – 1</w:t>
      </w:r>
    </w:p>
    <w:p w:rsidR="009E6A44" w:rsidRPr="009C53CB" w:rsidRDefault="009E6A44" w:rsidP="009E6A44">
      <w:pPr>
        <w:ind w:left="567"/>
      </w:pPr>
      <w:r>
        <w:t>Mais (</w:t>
      </w:r>
      <w:r>
        <w:rPr>
          <w:i/>
        </w:rPr>
        <w:t>Zea mays</w:t>
      </w:r>
      <w:r>
        <w:t xml:space="preserve"> L.) - 2</w:t>
      </w:r>
    </w:p>
    <w:p w:rsidR="009E6A44" w:rsidRPr="009C53CB" w:rsidRDefault="009E6A44" w:rsidP="009E6A44">
      <w:pPr>
        <w:ind w:left="567"/>
      </w:pPr>
      <w:r>
        <w:t>Oregano (</w:t>
      </w:r>
      <w:r>
        <w:rPr>
          <w:bCs/>
          <w:i/>
        </w:rPr>
        <w:t xml:space="preserve">Origanum vulgare </w:t>
      </w:r>
      <w:r>
        <w:rPr>
          <w:bCs/>
        </w:rPr>
        <w:t xml:space="preserve">L. ssp. </w:t>
      </w:r>
      <w:r>
        <w:rPr>
          <w:bCs/>
          <w:i/>
        </w:rPr>
        <w:t xml:space="preserve">vulgare </w:t>
      </w:r>
      <w:r>
        <w:rPr>
          <w:bCs/>
        </w:rPr>
        <w:t>L.</w:t>
      </w:r>
      <w:r>
        <w:t>) – 1</w:t>
      </w:r>
    </w:p>
    <w:p w:rsidR="009E6A44" w:rsidRPr="009C53CB" w:rsidRDefault="009E6A44" w:rsidP="009E6A44">
      <w:pPr>
        <w:ind w:left="567"/>
        <w:rPr>
          <w:lang w:val="en-US"/>
        </w:rPr>
      </w:pPr>
      <w:r w:rsidRPr="009C53CB">
        <w:rPr>
          <w:lang w:val="en-US"/>
        </w:rPr>
        <w:t>Paulownia (</w:t>
      </w:r>
      <w:r w:rsidRPr="009C53CB">
        <w:rPr>
          <w:bCs/>
          <w:i/>
          <w:lang w:val="en-US"/>
        </w:rPr>
        <w:t>Paulownia</w:t>
      </w:r>
      <w:r w:rsidRPr="009C53CB">
        <w:rPr>
          <w:lang w:val="en-US"/>
        </w:rPr>
        <w:t>) – 1</w:t>
      </w:r>
    </w:p>
    <w:p w:rsidR="009E6A44" w:rsidRPr="009C53CB" w:rsidRDefault="009E6A44" w:rsidP="009E6A44">
      <w:pPr>
        <w:ind w:left="567"/>
        <w:rPr>
          <w:lang w:val="en-US"/>
        </w:rPr>
      </w:pPr>
      <w:r w:rsidRPr="009C53CB">
        <w:rPr>
          <w:lang w:val="en-US"/>
        </w:rPr>
        <w:t>Salbei (</w:t>
      </w:r>
      <w:r w:rsidRPr="009C53CB">
        <w:rPr>
          <w:i/>
          <w:lang w:val="en-US"/>
        </w:rPr>
        <w:t xml:space="preserve">Salvia sclarea </w:t>
      </w:r>
      <w:r w:rsidRPr="009C53CB">
        <w:rPr>
          <w:lang w:val="en-US"/>
        </w:rPr>
        <w:t>L</w:t>
      </w:r>
      <w:r w:rsidRPr="009C53CB">
        <w:rPr>
          <w:i/>
          <w:lang w:val="en-US"/>
        </w:rPr>
        <w:t>.</w:t>
      </w:r>
      <w:r w:rsidRPr="009C53CB">
        <w:rPr>
          <w:lang w:val="en-US"/>
        </w:rPr>
        <w:t>) - 1</w:t>
      </w:r>
    </w:p>
    <w:p w:rsidR="009E6A44" w:rsidRPr="009C53CB" w:rsidRDefault="009E6A44" w:rsidP="009E6A44">
      <w:pPr>
        <w:ind w:left="567"/>
        <w:rPr>
          <w:lang w:val="en-US"/>
        </w:rPr>
      </w:pPr>
      <w:r w:rsidRPr="009C53CB">
        <w:rPr>
          <w:lang w:val="en-US"/>
        </w:rPr>
        <w:t>Mohrenhirse (</w:t>
      </w:r>
      <w:r w:rsidRPr="009C53CB">
        <w:rPr>
          <w:i/>
          <w:lang w:val="en-US"/>
        </w:rPr>
        <w:t>S</w:t>
      </w:r>
      <w:r w:rsidRPr="009C53CB">
        <w:rPr>
          <w:bCs/>
          <w:i/>
          <w:lang w:val="en-US"/>
        </w:rPr>
        <w:t>orghum bicolor</w:t>
      </w:r>
      <w:r w:rsidRPr="009C53CB">
        <w:rPr>
          <w:lang w:val="en-US"/>
        </w:rPr>
        <w:t xml:space="preserve"> </w:t>
      </w:r>
      <w:r w:rsidRPr="009C53CB">
        <w:rPr>
          <w:bCs/>
          <w:lang w:val="en-US"/>
        </w:rPr>
        <w:t>(L.) Moench var.</w:t>
      </w:r>
      <w:r w:rsidRPr="009C53CB">
        <w:rPr>
          <w:lang w:val="en-US"/>
        </w:rPr>
        <w:t xml:space="preserve"> </w:t>
      </w:r>
      <w:r w:rsidRPr="009C53CB">
        <w:rPr>
          <w:bCs/>
          <w:i/>
          <w:lang w:val="en-US"/>
        </w:rPr>
        <w:t>caffrorum</w:t>
      </w:r>
      <w:r w:rsidRPr="009C53CB">
        <w:rPr>
          <w:lang w:val="en-US"/>
        </w:rPr>
        <w:t xml:space="preserve"> </w:t>
      </w:r>
      <w:r w:rsidRPr="009C53CB">
        <w:rPr>
          <w:bCs/>
          <w:lang w:val="en-US"/>
        </w:rPr>
        <w:t xml:space="preserve">(L.) subvar. </w:t>
      </w:r>
      <w:r w:rsidRPr="009C53CB">
        <w:rPr>
          <w:bCs/>
          <w:i/>
          <w:lang w:val="en-US"/>
        </w:rPr>
        <w:t>oryzoidum</w:t>
      </w:r>
      <w:r w:rsidRPr="009C53CB">
        <w:rPr>
          <w:lang w:val="en-US"/>
        </w:rPr>
        <w:t>) – 1</w:t>
      </w:r>
    </w:p>
    <w:p w:rsidR="009E6A44" w:rsidRPr="009C53CB" w:rsidRDefault="009E6A44" w:rsidP="009E6A44">
      <w:pPr>
        <w:ind w:left="567"/>
        <w:rPr>
          <w:lang w:val="en-US"/>
        </w:rPr>
      </w:pPr>
      <w:r w:rsidRPr="009C53CB">
        <w:rPr>
          <w:lang w:val="en-US"/>
        </w:rPr>
        <w:t>Mohrenhirse x Sudangras; Sudangrass (</w:t>
      </w:r>
      <w:r w:rsidRPr="009C53CB">
        <w:rPr>
          <w:bCs/>
          <w:i/>
          <w:lang w:val="en-US"/>
        </w:rPr>
        <w:t>Sorghum bicolor</w:t>
      </w:r>
      <w:r w:rsidRPr="009C53CB">
        <w:rPr>
          <w:lang w:val="en-US"/>
        </w:rPr>
        <w:t xml:space="preserve"> </w:t>
      </w:r>
      <w:r w:rsidRPr="009C53CB">
        <w:rPr>
          <w:bCs/>
          <w:lang w:val="en-US"/>
        </w:rPr>
        <w:t>(L.) x</w:t>
      </w:r>
      <w:r w:rsidRPr="009C53CB">
        <w:rPr>
          <w:lang w:val="en-US"/>
        </w:rPr>
        <w:t xml:space="preserve"> </w:t>
      </w:r>
      <w:r w:rsidRPr="009C53CB">
        <w:rPr>
          <w:bCs/>
          <w:i/>
          <w:lang w:val="en-US"/>
        </w:rPr>
        <w:t>Sorghum bicolor</w:t>
      </w:r>
      <w:r w:rsidRPr="009C53CB">
        <w:rPr>
          <w:lang w:val="en-US"/>
        </w:rPr>
        <w:t xml:space="preserve"> </w:t>
      </w:r>
      <w:r w:rsidRPr="009C53CB">
        <w:rPr>
          <w:bCs/>
          <w:lang w:val="en-US"/>
        </w:rPr>
        <w:t>(L.) var.</w:t>
      </w:r>
      <w:r w:rsidRPr="009C53CB">
        <w:rPr>
          <w:lang w:val="en-US"/>
        </w:rPr>
        <w:t xml:space="preserve"> </w:t>
      </w:r>
      <w:r w:rsidRPr="009C53CB">
        <w:rPr>
          <w:bCs/>
          <w:i/>
          <w:lang w:val="en-US"/>
        </w:rPr>
        <w:t>sudanse</w:t>
      </w:r>
      <w:r w:rsidRPr="009C53CB">
        <w:rPr>
          <w:lang w:val="en-US"/>
        </w:rPr>
        <w:t>) – 1</w:t>
      </w:r>
    </w:p>
    <w:p w:rsidR="009E6A44" w:rsidRPr="009C53CB" w:rsidRDefault="009E6A44" w:rsidP="009E6A44">
      <w:pPr>
        <w:ind w:left="567"/>
      </w:pPr>
      <w:r>
        <w:t>Sojabohne (</w:t>
      </w:r>
      <w:r>
        <w:rPr>
          <w:bCs/>
          <w:i/>
        </w:rPr>
        <w:t xml:space="preserve">Glycine max. </w:t>
      </w:r>
      <w:r>
        <w:rPr>
          <w:bCs/>
        </w:rPr>
        <w:t>(L.) Merrill</w:t>
      </w:r>
      <w:r>
        <w:t>) – 3</w:t>
      </w:r>
    </w:p>
    <w:p w:rsidR="009E6A44" w:rsidRPr="009C53CB" w:rsidRDefault="009E6A44" w:rsidP="009E6A44">
      <w:pPr>
        <w:ind w:left="567"/>
      </w:pPr>
      <w:r>
        <w:t>Süßkirsche (</w:t>
      </w:r>
      <w:r>
        <w:rPr>
          <w:bCs/>
          <w:i/>
        </w:rPr>
        <w:t xml:space="preserve">Prunus avium </w:t>
      </w:r>
      <w:r>
        <w:rPr>
          <w:bCs/>
        </w:rPr>
        <w:t>L</w:t>
      </w:r>
      <w:r>
        <w:rPr>
          <w:bCs/>
          <w:i/>
        </w:rPr>
        <w:t>.</w:t>
      </w:r>
      <w:r>
        <w:t>) – 2</w:t>
      </w:r>
    </w:p>
    <w:p w:rsidR="009E6A44" w:rsidRPr="00C82E72" w:rsidRDefault="009E6A44" w:rsidP="009E6A44">
      <w:pPr>
        <w:ind w:left="567"/>
        <w:rPr>
          <w:lang w:val="en-GB"/>
        </w:rPr>
      </w:pPr>
      <w:r>
        <w:t>Zuckerhirse (</w:t>
      </w:r>
      <w:r>
        <w:rPr>
          <w:bCs/>
          <w:i/>
        </w:rPr>
        <w:t>Sorghum bicolor</w:t>
      </w:r>
      <w:r>
        <w:t xml:space="preserve"> </w:t>
      </w:r>
      <w:r>
        <w:rPr>
          <w:bCs/>
        </w:rPr>
        <w:t xml:space="preserve">(L.) </w:t>
      </w:r>
      <w:r w:rsidRPr="009C53CB">
        <w:rPr>
          <w:bCs/>
          <w:lang w:val="en-US"/>
        </w:rPr>
        <w:t>Moench var.</w:t>
      </w:r>
      <w:r w:rsidRPr="009C53CB">
        <w:rPr>
          <w:lang w:val="en-US"/>
        </w:rPr>
        <w:t xml:space="preserve"> </w:t>
      </w:r>
      <w:r w:rsidRPr="009C53CB">
        <w:rPr>
          <w:bCs/>
          <w:i/>
          <w:lang w:val="en-US"/>
        </w:rPr>
        <w:t>saccharatum</w:t>
      </w:r>
      <w:r w:rsidRPr="009C53CB">
        <w:rPr>
          <w:lang w:val="en-US"/>
        </w:rPr>
        <w:t xml:space="preserve"> </w:t>
      </w:r>
      <w:r w:rsidRPr="009C53CB">
        <w:rPr>
          <w:bCs/>
          <w:lang w:val="en-US"/>
        </w:rPr>
        <w:t>(L.)</w:t>
      </w:r>
      <w:r w:rsidRPr="009C53CB">
        <w:rPr>
          <w:lang w:val="en-US"/>
        </w:rPr>
        <w:t>) – 2</w:t>
      </w:r>
    </w:p>
    <w:p w:rsidR="009E6A44" w:rsidRPr="00C82E72" w:rsidRDefault="009E6A44" w:rsidP="009E6A44">
      <w:pPr>
        <w:ind w:left="567"/>
        <w:rPr>
          <w:lang w:val="en-GB"/>
        </w:rPr>
      </w:pPr>
      <w:r w:rsidRPr="009C53CB">
        <w:rPr>
          <w:lang w:val="en-US"/>
        </w:rPr>
        <w:t>Tomate (</w:t>
      </w:r>
      <w:r w:rsidRPr="009C53CB">
        <w:rPr>
          <w:i/>
          <w:lang w:val="en-US"/>
        </w:rPr>
        <w:t>Solanum lycopersicum</w:t>
      </w:r>
      <w:r w:rsidRPr="009C53CB">
        <w:rPr>
          <w:lang w:val="en-US"/>
        </w:rPr>
        <w:t xml:space="preserve"> L.) – 1</w:t>
      </w:r>
    </w:p>
    <w:p w:rsidR="009E6A44" w:rsidRPr="00C82E72" w:rsidRDefault="009E6A44" w:rsidP="009E6A44">
      <w:pPr>
        <w:ind w:left="567"/>
        <w:rPr>
          <w:lang w:val="en-GB"/>
        </w:rPr>
      </w:pPr>
      <w:r w:rsidRPr="009C53CB">
        <w:rPr>
          <w:lang w:val="en-US"/>
        </w:rPr>
        <w:t>Topinambur (</w:t>
      </w:r>
      <w:r w:rsidRPr="009C53CB">
        <w:rPr>
          <w:bCs/>
          <w:i/>
          <w:lang w:val="en-US"/>
        </w:rPr>
        <w:t xml:space="preserve">Helianthus tuberosus </w:t>
      </w:r>
      <w:r w:rsidRPr="009C53CB">
        <w:rPr>
          <w:bCs/>
          <w:lang w:val="en-US"/>
        </w:rPr>
        <w:t>L.</w:t>
      </w:r>
      <w:r w:rsidRPr="009C53CB">
        <w:rPr>
          <w:lang w:val="en-US"/>
        </w:rPr>
        <w:t>) – 1</w:t>
      </w:r>
    </w:p>
    <w:p w:rsidR="009E6A44" w:rsidRPr="00C82E72" w:rsidRDefault="009E6A44" w:rsidP="009E6A44">
      <w:pPr>
        <w:ind w:left="567"/>
        <w:rPr>
          <w:lang w:val="en-GB"/>
        </w:rPr>
      </w:pPr>
      <w:r w:rsidRPr="009C53CB">
        <w:rPr>
          <w:lang w:val="en-US"/>
        </w:rPr>
        <w:lastRenderedPageBreak/>
        <w:t>Triticale (</w:t>
      </w:r>
      <w:r w:rsidRPr="009C53CB">
        <w:rPr>
          <w:bCs/>
          <w:i/>
          <w:lang w:val="en-US"/>
        </w:rPr>
        <w:t xml:space="preserve">Triticosecale </w:t>
      </w:r>
      <w:r w:rsidRPr="009C53CB">
        <w:rPr>
          <w:bCs/>
          <w:lang w:val="en-US"/>
        </w:rPr>
        <w:t>Witt</w:t>
      </w:r>
      <w:r w:rsidRPr="009C53CB">
        <w:rPr>
          <w:lang w:val="en-US"/>
        </w:rPr>
        <w:t>) – 1</w:t>
      </w:r>
    </w:p>
    <w:p w:rsidR="009E6A44" w:rsidRPr="005659D6" w:rsidRDefault="009E6A44" w:rsidP="009E6A44">
      <w:pPr>
        <w:ind w:left="567"/>
        <w:rPr>
          <w:rFonts w:eastAsia="Calibri"/>
          <w:bCs/>
          <w:i/>
          <w:iCs/>
          <w:lang w:val="en-GB"/>
        </w:rPr>
      </w:pPr>
      <w:r w:rsidRPr="009C53CB">
        <w:rPr>
          <w:lang w:val="en-US"/>
        </w:rPr>
        <w:t>Weizen (</w:t>
      </w:r>
      <w:r w:rsidRPr="009C53CB">
        <w:rPr>
          <w:i/>
          <w:lang w:val="en-US"/>
        </w:rPr>
        <w:t>Triticum aestivum</w:t>
      </w:r>
      <w:r w:rsidRPr="009C53CB">
        <w:rPr>
          <w:lang w:val="en-US"/>
        </w:rPr>
        <w:t xml:space="preserve"> L.) - 4</w:t>
      </w:r>
    </w:p>
    <w:p w:rsidR="009E6A44" w:rsidRPr="005659D6" w:rsidRDefault="009E6A44" w:rsidP="009E6A44">
      <w:pPr>
        <w:rPr>
          <w:lang w:val="en-GB"/>
        </w:rPr>
      </w:pPr>
    </w:p>
    <w:p w:rsidR="009E6A44" w:rsidRPr="009C53CB" w:rsidRDefault="009E6A44" w:rsidP="009E6A44">
      <w:pPr>
        <w:numPr>
          <w:ilvl w:val="0"/>
          <w:numId w:val="9"/>
        </w:numPr>
        <w:ind w:left="567" w:hanging="283"/>
      </w:pPr>
      <w:r>
        <w:t xml:space="preserve">Es wurden 43 Schutztitel für Pflanzensorten (37 von inländischen und 6 von ausländischen </w:t>
      </w:r>
      <w:r w:rsidRPr="00D543A2">
        <w:t>Antragsteller</w:t>
      </w:r>
      <w:r>
        <w:t>n) wie folgt erteilt:</w:t>
      </w:r>
    </w:p>
    <w:p w:rsidR="009E6A44" w:rsidRPr="009C53CB" w:rsidRDefault="009E6A44" w:rsidP="009E6A44">
      <w:pPr>
        <w:ind w:left="567"/>
      </w:pPr>
    </w:p>
    <w:p w:rsidR="009E6A44" w:rsidRPr="009C53CB" w:rsidRDefault="009E6A44" w:rsidP="009E6A44">
      <w:pPr>
        <w:ind w:left="567"/>
      </w:pPr>
      <w:r>
        <w:t>Aprikose; Marille (</w:t>
      </w:r>
      <w:r>
        <w:rPr>
          <w:i/>
          <w:iCs/>
        </w:rPr>
        <w:t>Prunus armeniaca</w:t>
      </w:r>
      <w:r>
        <w:t xml:space="preserve"> L.) -1</w:t>
      </w:r>
    </w:p>
    <w:p w:rsidR="009E6A44" w:rsidRPr="009C53CB" w:rsidRDefault="009E6A44" w:rsidP="009E6A44">
      <w:pPr>
        <w:ind w:left="567"/>
        <w:rPr>
          <w:iCs/>
        </w:rPr>
      </w:pPr>
      <w:r>
        <w:rPr>
          <w:iCs/>
        </w:rPr>
        <w:t>Gerste (</w:t>
      </w:r>
      <w:r>
        <w:rPr>
          <w:i/>
          <w:iCs/>
        </w:rPr>
        <w:t>Hordeum vulgare</w:t>
      </w:r>
      <w:r>
        <w:t xml:space="preserve"> L.</w:t>
      </w:r>
      <w:r>
        <w:rPr>
          <w:iCs/>
        </w:rPr>
        <w:t>) – 1</w:t>
      </w:r>
    </w:p>
    <w:p w:rsidR="009E6A44" w:rsidRPr="009C53CB" w:rsidRDefault="009E6A44" w:rsidP="009E6A44">
      <w:pPr>
        <w:ind w:left="567"/>
        <w:rPr>
          <w:iCs/>
        </w:rPr>
      </w:pPr>
      <w:r>
        <w:rPr>
          <w:iCs/>
        </w:rPr>
        <w:t>Gewöhnliche Haselnuss (</w:t>
      </w:r>
      <w:r>
        <w:rPr>
          <w:i/>
          <w:iCs/>
        </w:rPr>
        <w:t xml:space="preserve">Corylus avellana </w:t>
      </w:r>
      <w:r>
        <w:t>L.</w:t>
      </w:r>
      <w:r>
        <w:rPr>
          <w:iCs/>
        </w:rPr>
        <w:t>) - 1</w:t>
      </w:r>
    </w:p>
    <w:p w:rsidR="009E6A44" w:rsidRPr="004F0696" w:rsidRDefault="009E6A44" w:rsidP="009E6A44">
      <w:pPr>
        <w:ind w:left="567"/>
        <w:rPr>
          <w:iCs/>
        </w:rPr>
      </w:pPr>
      <w:r>
        <w:rPr>
          <w:iCs/>
        </w:rPr>
        <w:t>Hartweizen (</w:t>
      </w:r>
      <w:r>
        <w:rPr>
          <w:i/>
          <w:iCs/>
        </w:rPr>
        <w:t xml:space="preserve">Triticum durum </w:t>
      </w:r>
      <w:r>
        <w:t>Desf</w:t>
      </w:r>
      <w:r>
        <w:rPr>
          <w:iCs/>
        </w:rPr>
        <w:t>.) - 1</w:t>
      </w:r>
    </w:p>
    <w:p w:rsidR="009E6A44" w:rsidRPr="009C53CB" w:rsidRDefault="009E6A44" w:rsidP="009E6A44">
      <w:pPr>
        <w:ind w:left="567"/>
        <w:rPr>
          <w:lang w:val="fr-FR"/>
        </w:rPr>
      </w:pPr>
      <w:r w:rsidRPr="009C53CB">
        <w:rPr>
          <w:lang w:val="fr-FR"/>
        </w:rPr>
        <w:t>Pflaume (</w:t>
      </w:r>
      <w:r w:rsidRPr="009C53CB">
        <w:rPr>
          <w:i/>
          <w:iCs/>
          <w:lang w:val="fr-FR"/>
        </w:rPr>
        <w:t xml:space="preserve">Prunus domestica </w:t>
      </w:r>
      <w:r w:rsidRPr="009C53CB">
        <w:rPr>
          <w:lang w:val="fr-FR"/>
        </w:rPr>
        <w:t>L.) - 2</w:t>
      </w:r>
    </w:p>
    <w:p w:rsidR="009E6A44" w:rsidRPr="009C53CB" w:rsidRDefault="009E6A44" w:rsidP="009E6A44">
      <w:pPr>
        <w:ind w:left="567"/>
        <w:rPr>
          <w:lang w:val="fr-FR"/>
        </w:rPr>
      </w:pPr>
      <w:r w:rsidRPr="009C53CB">
        <w:rPr>
          <w:lang w:val="fr-FR"/>
        </w:rPr>
        <w:t>Riesen-Chinaschilf (</w:t>
      </w:r>
      <w:r w:rsidRPr="009C53CB">
        <w:rPr>
          <w:i/>
          <w:iCs/>
          <w:lang w:val="fr-FR"/>
        </w:rPr>
        <w:t>Miscanthus×giganteus J</w:t>
      </w:r>
      <w:r w:rsidRPr="009C53CB">
        <w:rPr>
          <w:lang w:val="fr-FR"/>
        </w:rPr>
        <w:t>. M. Greef &amp; Deuter ex Hodk. &amp; Renvoize) - 1</w:t>
      </w:r>
    </w:p>
    <w:p w:rsidR="009E6A44" w:rsidRPr="009C53CB" w:rsidRDefault="009E6A44" w:rsidP="009E6A44">
      <w:pPr>
        <w:ind w:left="567"/>
        <w:rPr>
          <w:lang w:val="fr-FR"/>
        </w:rPr>
      </w:pPr>
      <w:r w:rsidRPr="009C53CB">
        <w:rPr>
          <w:lang w:val="fr-FR"/>
        </w:rPr>
        <w:t>Rebe (</w:t>
      </w:r>
      <w:r w:rsidRPr="009C53CB">
        <w:rPr>
          <w:i/>
          <w:iCs/>
          <w:lang w:val="fr-FR"/>
        </w:rPr>
        <w:t xml:space="preserve">Vitis vinifera </w:t>
      </w:r>
      <w:r w:rsidRPr="009C53CB">
        <w:rPr>
          <w:lang w:val="fr-FR"/>
        </w:rPr>
        <w:t>L.) - 4</w:t>
      </w:r>
    </w:p>
    <w:p w:rsidR="009E6A44" w:rsidRPr="009C53CB" w:rsidRDefault="009E6A44" w:rsidP="009E6A44">
      <w:pPr>
        <w:ind w:left="567"/>
        <w:rPr>
          <w:iCs/>
          <w:lang w:val="fr-FR"/>
        </w:rPr>
      </w:pPr>
      <w:r w:rsidRPr="009C53CB">
        <w:rPr>
          <w:iCs/>
          <w:lang w:val="fr-FR"/>
        </w:rPr>
        <w:t>Rossminze (</w:t>
      </w:r>
      <w:r w:rsidRPr="009C53CB">
        <w:rPr>
          <w:i/>
          <w:iCs/>
          <w:lang w:val="fr-FR"/>
        </w:rPr>
        <w:t xml:space="preserve">Mentha longifolia </w:t>
      </w:r>
      <w:r w:rsidRPr="009C53CB">
        <w:rPr>
          <w:lang w:val="fr-FR"/>
        </w:rPr>
        <w:t>L. Huds.</w:t>
      </w:r>
      <w:r w:rsidRPr="009C53CB">
        <w:rPr>
          <w:iCs/>
          <w:lang w:val="fr-FR"/>
        </w:rPr>
        <w:t>) - 1</w:t>
      </w:r>
    </w:p>
    <w:p w:rsidR="009E6A44" w:rsidRPr="009C53CB" w:rsidRDefault="009E6A44" w:rsidP="009E6A44">
      <w:pPr>
        <w:ind w:left="567"/>
        <w:rPr>
          <w:iCs/>
          <w:lang w:val="fr-FR"/>
        </w:rPr>
      </w:pPr>
      <w:r w:rsidRPr="009C53CB">
        <w:rPr>
          <w:iCs/>
          <w:lang w:val="fr-FR"/>
        </w:rPr>
        <w:t>Mais (</w:t>
      </w:r>
      <w:r w:rsidRPr="009C53CB">
        <w:rPr>
          <w:i/>
          <w:iCs/>
          <w:lang w:val="fr-FR"/>
        </w:rPr>
        <w:t>Zea mays</w:t>
      </w:r>
      <w:r w:rsidRPr="009C53CB">
        <w:rPr>
          <w:lang w:val="fr-FR"/>
        </w:rPr>
        <w:t xml:space="preserve"> L</w:t>
      </w:r>
      <w:r w:rsidRPr="009C53CB">
        <w:rPr>
          <w:iCs/>
          <w:lang w:val="fr-FR"/>
        </w:rPr>
        <w:t>.) - 6</w:t>
      </w:r>
    </w:p>
    <w:p w:rsidR="009E6A44" w:rsidRPr="009C53CB" w:rsidRDefault="009E6A44" w:rsidP="009E6A44">
      <w:pPr>
        <w:ind w:left="567"/>
        <w:rPr>
          <w:iCs/>
          <w:lang w:val="fr-FR"/>
        </w:rPr>
      </w:pPr>
      <w:r w:rsidRPr="009C53CB">
        <w:rPr>
          <w:lang w:val="fr-FR"/>
        </w:rPr>
        <w:t>Zwiebel (</w:t>
      </w:r>
      <w:r w:rsidRPr="009C53CB">
        <w:rPr>
          <w:i/>
          <w:iCs/>
          <w:lang w:val="fr-FR"/>
        </w:rPr>
        <w:t xml:space="preserve">Allium cepa) </w:t>
      </w:r>
      <w:r w:rsidRPr="009C53CB">
        <w:rPr>
          <w:iCs/>
          <w:lang w:val="fr-FR"/>
        </w:rPr>
        <w:t>- 3</w:t>
      </w:r>
    </w:p>
    <w:p w:rsidR="009E6A44" w:rsidRPr="009C53CB" w:rsidRDefault="009E6A44" w:rsidP="009E6A44">
      <w:pPr>
        <w:ind w:left="567"/>
        <w:rPr>
          <w:iCs/>
          <w:lang w:val="fr-FR"/>
        </w:rPr>
      </w:pPr>
      <w:r w:rsidRPr="009C53CB">
        <w:rPr>
          <w:iCs/>
          <w:lang w:val="fr-FR"/>
        </w:rPr>
        <w:t>Birne (</w:t>
      </w:r>
      <w:r w:rsidRPr="009C53CB">
        <w:rPr>
          <w:i/>
          <w:iCs/>
          <w:lang w:val="fr-FR"/>
        </w:rPr>
        <w:t xml:space="preserve">Pyrus communis </w:t>
      </w:r>
      <w:r w:rsidRPr="009C53CB">
        <w:rPr>
          <w:lang w:val="fr-FR"/>
        </w:rPr>
        <w:t>L</w:t>
      </w:r>
      <w:r w:rsidRPr="009C53CB">
        <w:rPr>
          <w:iCs/>
          <w:lang w:val="fr-FR"/>
        </w:rPr>
        <w:t>.) - 1</w:t>
      </w:r>
    </w:p>
    <w:p w:rsidR="009E6A44" w:rsidRPr="009C53CB" w:rsidRDefault="009E6A44" w:rsidP="009E6A44">
      <w:pPr>
        <w:ind w:left="567"/>
        <w:rPr>
          <w:lang w:val="fr-FR"/>
        </w:rPr>
      </w:pPr>
      <w:r w:rsidRPr="009C53CB">
        <w:rPr>
          <w:lang w:val="fr-FR"/>
        </w:rPr>
        <w:t>Erbse (</w:t>
      </w:r>
      <w:r w:rsidRPr="009C53CB">
        <w:rPr>
          <w:i/>
          <w:iCs/>
          <w:lang w:val="fr-FR"/>
        </w:rPr>
        <w:t>Pisum sativum</w:t>
      </w:r>
      <w:r w:rsidRPr="009C53CB">
        <w:rPr>
          <w:lang w:val="fr-FR"/>
        </w:rPr>
        <w:t xml:space="preserve"> L. (partim)) - 1</w:t>
      </w:r>
    </w:p>
    <w:p w:rsidR="009E6A44" w:rsidRPr="009C53CB" w:rsidRDefault="009E6A44" w:rsidP="009E6A44">
      <w:pPr>
        <w:ind w:left="567"/>
        <w:rPr>
          <w:iCs/>
          <w:lang w:val="fr-FR"/>
        </w:rPr>
      </w:pPr>
      <w:r w:rsidRPr="009C53CB">
        <w:rPr>
          <w:iCs/>
          <w:lang w:val="fr-FR"/>
        </w:rPr>
        <w:t>Pfefferminze (</w:t>
      </w:r>
      <w:r w:rsidRPr="009C53CB">
        <w:rPr>
          <w:i/>
          <w:iCs/>
          <w:lang w:val="fr-FR"/>
        </w:rPr>
        <w:t xml:space="preserve">Mentha piperita </w:t>
      </w:r>
      <w:r w:rsidRPr="009C53CB">
        <w:rPr>
          <w:lang w:val="fr-FR"/>
        </w:rPr>
        <w:t>L.</w:t>
      </w:r>
      <w:r w:rsidRPr="009C53CB">
        <w:rPr>
          <w:iCs/>
          <w:lang w:val="fr-FR"/>
        </w:rPr>
        <w:t>) - 1</w:t>
      </w:r>
    </w:p>
    <w:p w:rsidR="009E6A44" w:rsidRPr="007A6E02" w:rsidRDefault="009E6A44" w:rsidP="009E6A44">
      <w:pPr>
        <w:ind w:left="567"/>
        <w:rPr>
          <w:lang w:val="en-GB"/>
        </w:rPr>
      </w:pPr>
      <w:r w:rsidRPr="009C53CB">
        <w:rPr>
          <w:lang w:val="en-US"/>
        </w:rPr>
        <w:t>Salbei (</w:t>
      </w:r>
      <w:r w:rsidRPr="009C53CB">
        <w:rPr>
          <w:i/>
          <w:iCs/>
          <w:lang w:val="en-US"/>
        </w:rPr>
        <w:t xml:space="preserve">Salvia sclarea </w:t>
      </w:r>
      <w:r w:rsidRPr="009C53CB">
        <w:rPr>
          <w:lang w:val="en-US"/>
        </w:rPr>
        <w:t>L</w:t>
      </w:r>
      <w:r w:rsidRPr="009C53CB">
        <w:rPr>
          <w:i/>
          <w:iCs/>
          <w:lang w:val="en-US"/>
        </w:rPr>
        <w:t>.</w:t>
      </w:r>
      <w:r w:rsidRPr="009C53CB">
        <w:rPr>
          <w:lang w:val="en-US"/>
        </w:rPr>
        <w:t>) - 1</w:t>
      </w:r>
    </w:p>
    <w:p w:rsidR="009E6A44" w:rsidRPr="007A6E02" w:rsidRDefault="009E6A44" w:rsidP="009E6A44">
      <w:pPr>
        <w:ind w:left="567"/>
        <w:rPr>
          <w:lang w:val="en-GB"/>
        </w:rPr>
      </w:pPr>
      <w:r w:rsidRPr="009C53CB">
        <w:rPr>
          <w:lang w:val="en-US"/>
        </w:rPr>
        <w:t>Columbusgras (</w:t>
      </w:r>
      <w:r w:rsidRPr="009C53CB">
        <w:rPr>
          <w:i/>
          <w:iCs/>
          <w:lang w:val="en-US"/>
        </w:rPr>
        <w:t xml:space="preserve">Sorghum almum </w:t>
      </w:r>
      <w:r w:rsidRPr="009C53CB">
        <w:rPr>
          <w:lang w:val="en-US"/>
        </w:rPr>
        <w:t>Parodi) - 1</w:t>
      </w:r>
    </w:p>
    <w:p w:rsidR="009E6A44" w:rsidRPr="004F0696" w:rsidRDefault="009E6A44" w:rsidP="009E6A44">
      <w:pPr>
        <w:ind w:left="567"/>
        <w:rPr>
          <w:lang w:val="en-GB"/>
        </w:rPr>
      </w:pPr>
      <w:r w:rsidRPr="009C53CB">
        <w:rPr>
          <w:lang w:val="en-GB"/>
        </w:rPr>
        <w:t>Sauerkirsche (</w:t>
      </w:r>
      <w:r w:rsidRPr="009C53CB">
        <w:rPr>
          <w:i/>
          <w:iCs/>
          <w:lang w:val="en-GB"/>
        </w:rPr>
        <w:t xml:space="preserve">Prunus cerasus </w:t>
      </w:r>
      <w:r w:rsidRPr="009C53CB">
        <w:rPr>
          <w:lang w:val="en-GB"/>
        </w:rPr>
        <w:t>L.) - 1</w:t>
      </w:r>
    </w:p>
    <w:p w:rsidR="009E6A44" w:rsidRPr="007A6E02" w:rsidRDefault="009E6A44" w:rsidP="009E6A44">
      <w:pPr>
        <w:ind w:left="567"/>
        <w:rPr>
          <w:iCs/>
          <w:lang w:val="en-GB"/>
        </w:rPr>
      </w:pPr>
      <w:r w:rsidRPr="009C53CB">
        <w:rPr>
          <w:iCs/>
          <w:lang w:val="en-GB"/>
        </w:rPr>
        <w:t>Paprika (</w:t>
      </w:r>
      <w:r w:rsidRPr="009C53CB">
        <w:rPr>
          <w:i/>
          <w:iCs/>
          <w:lang w:val="en-GB"/>
        </w:rPr>
        <w:t xml:space="preserve">Capsicum annuum </w:t>
      </w:r>
      <w:r w:rsidRPr="009C53CB">
        <w:rPr>
          <w:lang w:val="en-GB"/>
        </w:rPr>
        <w:t>L.</w:t>
      </w:r>
      <w:r w:rsidRPr="009C53CB">
        <w:rPr>
          <w:iCs/>
          <w:lang w:val="en-GB"/>
        </w:rPr>
        <w:t>)- 7</w:t>
      </w:r>
    </w:p>
    <w:p w:rsidR="009E6A44" w:rsidRPr="009C53CB" w:rsidRDefault="009E6A44" w:rsidP="009E6A44">
      <w:pPr>
        <w:ind w:left="567"/>
      </w:pPr>
      <w:r>
        <w:t>Tomate (</w:t>
      </w:r>
      <w:r>
        <w:rPr>
          <w:i/>
          <w:iCs/>
        </w:rPr>
        <w:t>Solanum lycopersicum</w:t>
      </w:r>
      <w:r>
        <w:t xml:space="preserve"> L.) – 1</w:t>
      </w:r>
    </w:p>
    <w:p w:rsidR="009E6A44" w:rsidRPr="009C53CB" w:rsidRDefault="009E6A44" w:rsidP="009E6A44">
      <w:pPr>
        <w:ind w:left="567"/>
      </w:pPr>
      <w:r>
        <w:t>Walnuss (</w:t>
      </w:r>
      <w:r>
        <w:rPr>
          <w:i/>
          <w:iCs/>
        </w:rPr>
        <w:t>Juglans regia</w:t>
      </w:r>
      <w:r>
        <w:t>) - 4</w:t>
      </w:r>
    </w:p>
    <w:p w:rsidR="009E6A44" w:rsidRPr="009C53CB" w:rsidRDefault="009E6A44" w:rsidP="009E6A44">
      <w:pPr>
        <w:ind w:left="567"/>
        <w:rPr>
          <w:iCs/>
        </w:rPr>
      </w:pPr>
      <w:r>
        <w:rPr>
          <w:iCs/>
        </w:rPr>
        <w:t>Weizen (</w:t>
      </w:r>
      <w:r>
        <w:rPr>
          <w:i/>
          <w:iCs/>
        </w:rPr>
        <w:t>Triticum aestivum</w:t>
      </w:r>
      <w:r>
        <w:t xml:space="preserve"> L</w:t>
      </w:r>
      <w:r>
        <w:rPr>
          <w:iCs/>
        </w:rPr>
        <w:t>.) - 4</w:t>
      </w:r>
    </w:p>
    <w:p w:rsidR="009E6A44" w:rsidRPr="009C53CB" w:rsidRDefault="009E6A44" w:rsidP="009E6A44">
      <w:pPr>
        <w:ind w:left="567"/>
        <w:rPr>
          <w:color w:val="000000"/>
        </w:rPr>
      </w:pPr>
    </w:p>
    <w:p w:rsidR="009E6A44" w:rsidRPr="009C53CB" w:rsidRDefault="009E6A44" w:rsidP="009E6A44">
      <w:pPr>
        <w:ind w:left="567"/>
      </w:pPr>
      <w:r>
        <w:t>Am 31.12.2020 waren 273 Sortenschutztitel in Kraft.</w:t>
      </w:r>
    </w:p>
    <w:p w:rsidR="009E6A44" w:rsidRPr="009C53CB" w:rsidRDefault="009E6A44" w:rsidP="009E6A44"/>
    <w:p w:rsidR="009E6A44" w:rsidRPr="009C53CB" w:rsidRDefault="009E6A44" w:rsidP="009E6A44"/>
    <w:p w:rsidR="009E6A44" w:rsidRPr="009C53CB" w:rsidRDefault="009E6A44" w:rsidP="009E6A44">
      <w:r>
        <w:t>4.</w:t>
      </w:r>
      <w:r>
        <w:tab/>
      </w:r>
      <w:r>
        <w:rPr>
          <w:u w:val="single"/>
        </w:rPr>
        <w:t>Lage auf dem Gebiet der Technik</w:t>
      </w:r>
      <w:r>
        <w:t>: keine Änderungen.</w:t>
      </w:r>
    </w:p>
    <w:p w:rsidR="009E6A44" w:rsidRPr="009C53CB" w:rsidRDefault="009E6A44" w:rsidP="009E6A44"/>
    <w:p w:rsidR="009E6A44" w:rsidRPr="009C53CB" w:rsidRDefault="009E6A44" w:rsidP="009E6A44"/>
    <w:p w:rsidR="009E6A44" w:rsidRPr="009C53CB" w:rsidRDefault="009E6A44" w:rsidP="009E6A44">
      <w:pPr>
        <w:rPr>
          <w:u w:val="single"/>
        </w:rPr>
      </w:pPr>
      <w:r>
        <w:t>5.</w:t>
      </w:r>
      <w:r>
        <w:tab/>
      </w:r>
      <w:r>
        <w:rPr>
          <w:u w:val="single"/>
        </w:rPr>
        <w:t>Tätigkeiten zur Förderung des Sortenschutzes</w:t>
      </w:r>
    </w:p>
    <w:p w:rsidR="009E6A44" w:rsidRPr="009C53CB" w:rsidRDefault="009E6A44" w:rsidP="009E6A44">
      <w:pPr>
        <w:rPr>
          <w:sz w:val="25"/>
          <w:szCs w:val="25"/>
        </w:rPr>
      </w:pPr>
    </w:p>
    <w:p w:rsidR="009E6A44" w:rsidRPr="009C53CB" w:rsidRDefault="009E6A44" w:rsidP="009E6A44">
      <w:r>
        <w:t xml:space="preserve">Das AGEPI unterhält laufend die Website </w:t>
      </w:r>
      <w:hyperlink r:id="rId36" w:history="1">
        <w:r>
          <w:rPr>
            <w:rStyle w:val="Hyperlink"/>
          </w:rPr>
          <w:t>www.agepi.gov.md</w:t>
        </w:r>
      </w:hyperlink>
      <w:r>
        <w:t>, wo auf die nationalen Rechtsvorschriften auf dem Gebiet des Sortenschutzes sowie die Antragsformblätter für die Erteilung eines Sortenschutztitels und entsprechende zweckdienliche Informationen für Antragsteller und Züchter in Englisch, Rumänisch und Russisch zugegriffen werden kann.</w:t>
      </w:r>
    </w:p>
    <w:p w:rsidR="009E6A44" w:rsidRPr="009C53CB" w:rsidRDefault="009E6A44" w:rsidP="009E6A44"/>
    <w:p w:rsidR="009E6A44" w:rsidRPr="009C53CB" w:rsidRDefault="009E6A44" w:rsidP="009E6A44">
      <w:r>
        <w:t>Informationsmaterial in Verbindung mit dem Schutz von Pflanzensorten wird im Rahmen der verschiedenen Aktivitäten verbreitet, die von AGEPI organisiert werden oder an denen AGEPI beteiligt ist, wie Seminare, IP-Sensibilisierungskampagnen oder Ausstellungen.</w:t>
      </w:r>
    </w:p>
    <w:p w:rsidR="009E6A44" w:rsidRPr="009C53CB" w:rsidRDefault="009E6A44" w:rsidP="009E6A44"/>
    <w:p w:rsidR="009E6A44" w:rsidRPr="009C53CB" w:rsidRDefault="009E6A44" w:rsidP="009E6A44">
      <w:r>
        <w:t>Seit 2016 ist die durch AGEPI vertretene Republik Moldau mitwirkendes Mitglied des UPOV-Projekts zur Entwicklung eines elektronischen UPOV PRISMA-Antragsformulars.</w:t>
      </w:r>
    </w:p>
    <w:p w:rsidR="00AD7E12" w:rsidRPr="00F21F1D" w:rsidRDefault="00AD7E12" w:rsidP="00AD7E12">
      <w:pPr>
        <w:rPr>
          <w:rFonts w:cs="Mangal"/>
          <w:lang w:bidi="ne-NP"/>
        </w:rPr>
      </w:pPr>
    </w:p>
    <w:p w:rsidR="004128AB" w:rsidRDefault="004128AB" w:rsidP="004128AB">
      <w:pPr>
        <w:jc w:val="left"/>
      </w:pPr>
    </w:p>
    <w:p w:rsidR="009E6A44" w:rsidRPr="006F3121" w:rsidRDefault="009E6A44" w:rsidP="004128AB">
      <w:pPr>
        <w:jc w:val="left"/>
      </w:pPr>
    </w:p>
    <w:p w:rsidR="004128AB" w:rsidRPr="006F3121" w:rsidRDefault="004128AB" w:rsidP="004128AB">
      <w:pPr>
        <w:jc w:val="right"/>
      </w:pPr>
      <w:r w:rsidRPr="006F3121">
        <w:t>[Anlage XI folgt]</w:t>
      </w:r>
    </w:p>
    <w:p w:rsidR="004128AB" w:rsidRPr="006F3121" w:rsidRDefault="004128AB" w:rsidP="004128AB"/>
    <w:p w:rsidR="004128AB" w:rsidRPr="006F3121" w:rsidRDefault="004128AB" w:rsidP="004128AB">
      <w:pPr>
        <w:jc w:val="left"/>
        <w:sectPr w:rsidR="004128AB" w:rsidRPr="006F3121" w:rsidSect="009E6A44">
          <w:headerReference w:type="default" r:id="rId37"/>
          <w:pgSz w:w="11907" w:h="16840" w:code="9"/>
          <w:pgMar w:top="510" w:right="1134" w:bottom="993" w:left="1134" w:header="510" w:footer="680" w:gutter="0"/>
          <w:pgNumType w:start="1"/>
          <w:cols w:space="720"/>
          <w:titlePg/>
        </w:sectPr>
      </w:pPr>
    </w:p>
    <w:p w:rsidR="004128AB" w:rsidRPr="006F3121" w:rsidRDefault="006F5780" w:rsidP="004128AB">
      <w:pPr>
        <w:jc w:val="center"/>
      </w:pPr>
      <w:r>
        <w:lastRenderedPageBreak/>
        <w:t>C/55/INF/4</w:t>
      </w:r>
    </w:p>
    <w:p w:rsidR="004128AB" w:rsidRPr="006F3121" w:rsidRDefault="004128AB" w:rsidP="004128AB">
      <w:pPr>
        <w:jc w:val="center"/>
      </w:pPr>
    </w:p>
    <w:p w:rsidR="004128AB" w:rsidRPr="006F3121" w:rsidRDefault="004128AB" w:rsidP="004128AB">
      <w:pPr>
        <w:jc w:val="center"/>
      </w:pPr>
      <w:r w:rsidRPr="006F3121">
        <w:t>ANLAGE XI</w:t>
      </w:r>
    </w:p>
    <w:p w:rsidR="004128AB" w:rsidRPr="006F3121" w:rsidRDefault="004128AB" w:rsidP="004128AB">
      <w:pPr>
        <w:jc w:val="center"/>
      </w:pPr>
    </w:p>
    <w:p w:rsidR="004128AB" w:rsidRPr="006F3121" w:rsidRDefault="004128AB" w:rsidP="004128AB">
      <w:pPr>
        <w:jc w:val="center"/>
      </w:pPr>
    </w:p>
    <w:p w:rsidR="000A204F" w:rsidRPr="00C226A7" w:rsidRDefault="00713625" w:rsidP="000A204F">
      <w:pPr>
        <w:jc w:val="center"/>
      </w:pPr>
      <w:r>
        <w:t>RUMÄNIEN</w:t>
      </w:r>
    </w:p>
    <w:p w:rsidR="000A204F" w:rsidRPr="00FB23B2" w:rsidRDefault="000A204F" w:rsidP="000A204F">
      <w:pPr>
        <w:tabs>
          <w:tab w:val="left" w:pos="4962"/>
        </w:tabs>
        <w:jc w:val="center"/>
        <w:rPr>
          <w:rFonts w:cs="Arial"/>
        </w:rPr>
      </w:pPr>
    </w:p>
    <w:p w:rsidR="000A204F" w:rsidRPr="00FB23B2" w:rsidRDefault="000A204F" w:rsidP="000A204F">
      <w:pPr>
        <w:tabs>
          <w:tab w:val="left" w:pos="4962"/>
        </w:tabs>
        <w:jc w:val="center"/>
        <w:rPr>
          <w:rFonts w:cs="Arial"/>
        </w:rPr>
      </w:pPr>
    </w:p>
    <w:p w:rsidR="009E6A44" w:rsidRPr="00A67586" w:rsidRDefault="009E6A44" w:rsidP="009E6A44">
      <w:r>
        <w:t>SORTENSCHUTZ</w:t>
      </w:r>
    </w:p>
    <w:p w:rsidR="009E6A44" w:rsidRPr="00A67586" w:rsidRDefault="009E6A44" w:rsidP="009E6A44"/>
    <w:p w:rsidR="009E6A44" w:rsidRPr="00A67586" w:rsidRDefault="009E6A44" w:rsidP="009E6A44">
      <w:r>
        <w:t>1.</w:t>
      </w:r>
      <w:r>
        <w:tab/>
      </w:r>
      <w:r>
        <w:rPr>
          <w:u w:val="single"/>
        </w:rPr>
        <w:t>Lage auf dem Gebiet der Gesetzgebung</w:t>
      </w:r>
    </w:p>
    <w:p w:rsidR="009E6A44" w:rsidRPr="00A67586" w:rsidRDefault="009E6A44" w:rsidP="009E6A44"/>
    <w:p w:rsidR="009E6A44" w:rsidRPr="009E6A44" w:rsidRDefault="009E6A44" w:rsidP="009E6A44">
      <w:pPr>
        <w:rPr>
          <w:rFonts w:cs="Arial"/>
        </w:rPr>
      </w:pPr>
      <w:r w:rsidRPr="009E6A44">
        <w:rPr>
          <w:rStyle w:val="Emphasis"/>
          <w:rFonts w:ascii="Arial" w:hAnsi="Arial" w:cs="Arial"/>
        </w:rPr>
        <w:t>Ministerialerlass</w:t>
      </w:r>
      <w:r w:rsidRPr="009E6A44">
        <w:rPr>
          <w:rFonts w:cs="Arial"/>
        </w:rPr>
        <w:t xml:space="preserve"> Nr. 1/2020 zur Änderung des </w:t>
      </w:r>
      <w:r w:rsidRPr="009E6A44">
        <w:rPr>
          <w:rStyle w:val="Emphasis"/>
          <w:rFonts w:ascii="Arial" w:hAnsi="Arial" w:cs="Arial"/>
        </w:rPr>
        <w:t>Ministerialerlasses</w:t>
      </w:r>
      <w:r w:rsidRPr="009E6A44">
        <w:rPr>
          <w:rFonts w:cs="Arial"/>
        </w:rPr>
        <w:t xml:space="preserve"> Nr. 1348/2005 zur Annahme der Regeln betreffend die Prüfung und Eintragung landwirtschaftlicher Pflanzensorten sowie Erlass Nr. 1349/2005 für die Annahme der Regeln betreffend die Prüfung und Eintragung von Gemüsearten.</w:t>
      </w:r>
    </w:p>
    <w:p w:rsidR="009E6A44" w:rsidRPr="009E6A44" w:rsidRDefault="009E6A44" w:rsidP="009E6A44">
      <w:pPr>
        <w:rPr>
          <w:rFonts w:cs="Arial"/>
        </w:rPr>
      </w:pPr>
    </w:p>
    <w:p w:rsidR="009E6A44" w:rsidRDefault="009E6A44" w:rsidP="009E6A44">
      <w:r>
        <w:t>Dieser Erlass entspricht der neuen EU-Richtlinie 2019/1985 vom 28. November 2019 über Prüfung und Eintragung von Sorten.</w:t>
      </w:r>
    </w:p>
    <w:p w:rsidR="009E6A44" w:rsidRPr="00A67586" w:rsidRDefault="009E6A44" w:rsidP="009E6A44"/>
    <w:p w:rsidR="009E6A44" w:rsidRPr="00A67586" w:rsidRDefault="009E6A44" w:rsidP="009E6A44"/>
    <w:p w:rsidR="009E6A44" w:rsidRPr="00A67586" w:rsidRDefault="009E6A44" w:rsidP="009E6A44">
      <w:r>
        <w:t>2.</w:t>
      </w:r>
      <w:r>
        <w:tab/>
      </w:r>
      <w:r>
        <w:rPr>
          <w:u w:val="single"/>
        </w:rPr>
        <w:t>Zusammenarbeit bei der Prüfung</w:t>
      </w:r>
    </w:p>
    <w:p w:rsidR="009E6A44" w:rsidRPr="00A67586" w:rsidRDefault="009E6A44" w:rsidP="009E6A44"/>
    <w:p w:rsidR="009E6A44" w:rsidRDefault="009E6A44" w:rsidP="009E6A44">
      <w:r>
        <w:t>Die Zusammenarbeit mit UKZUZ aus der Tschechischen Republik im Bereich der DUS-Prüfung wurde fortgesetzt und der Austausch von Saatgutproben mit anderen EU-Behörden wurde ebenso weitergeführt.</w:t>
      </w:r>
    </w:p>
    <w:p w:rsidR="009E6A44" w:rsidRDefault="009E6A44" w:rsidP="009E6A44"/>
    <w:p w:rsidR="009E6A44" w:rsidRPr="00A67586" w:rsidRDefault="009E6A44" w:rsidP="009E6A44">
      <w:r>
        <w:t>Der Verkauf von technischen DUS-Berichten an EU-Behörden oder andere europäische Länder wurde fortgesetzt.</w:t>
      </w:r>
    </w:p>
    <w:p w:rsidR="009E6A44" w:rsidRDefault="009E6A44" w:rsidP="009E6A44"/>
    <w:p w:rsidR="009E6A44" w:rsidRPr="00A67586" w:rsidRDefault="009E6A44" w:rsidP="009E6A44"/>
    <w:p w:rsidR="009E6A44" w:rsidRPr="00A67586" w:rsidRDefault="009E6A44" w:rsidP="009E6A44">
      <w:pPr>
        <w:rPr>
          <w:u w:val="single"/>
        </w:rPr>
      </w:pPr>
      <w:r>
        <w:t>3.</w:t>
      </w:r>
      <w:r>
        <w:tab/>
      </w:r>
      <w:r>
        <w:rPr>
          <w:u w:val="single"/>
        </w:rPr>
        <w:t>Lage auf dem Gebiet der Verwaltung</w:t>
      </w:r>
    </w:p>
    <w:p w:rsidR="009E6A44" w:rsidRPr="00A67586" w:rsidRDefault="009E6A44" w:rsidP="009E6A44"/>
    <w:p w:rsidR="009E6A44" w:rsidRDefault="009E6A44" w:rsidP="009E6A44">
      <w:r>
        <w:t>Keine Änderungen in der Verwaltung oder bei den Verfahren.</w:t>
      </w:r>
    </w:p>
    <w:p w:rsidR="009E6A44" w:rsidRPr="008609B6" w:rsidRDefault="009E6A44" w:rsidP="009E6A44"/>
    <w:p w:rsidR="009E6A44" w:rsidRDefault="009E6A44" w:rsidP="009E6A44">
      <w:r>
        <w:t>Der Bau eines neues Kühllagers für landwirtschaftliche Arten zur Erweiterung der Referenzsammlung ist abgeschlossen.</w:t>
      </w:r>
    </w:p>
    <w:p w:rsidR="009E6A44" w:rsidRPr="0094063A" w:rsidRDefault="009E6A44" w:rsidP="009E6A44"/>
    <w:p w:rsidR="009E6A44" w:rsidRPr="00A67586" w:rsidRDefault="009E6A44" w:rsidP="009E6A44"/>
    <w:p w:rsidR="009E6A44" w:rsidRPr="00A67586" w:rsidRDefault="009E6A44" w:rsidP="009E6A44">
      <w:r>
        <w:t>4.</w:t>
      </w:r>
      <w:r>
        <w:tab/>
      </w:r>
      <w:r>
        <w:rPr>
          <w:u w:val="single"/>
        </w:rPr>
        <w:t>Lage auf dem Gebiet der Technik</w:t>
      </w:r>
    </w:p>
    <w:p w:rsidR="009E6A44" w:rsidRDefault="009E6A44" w:rsidP="009E6A44"/>
    <w:p w:rsidR="009E6A44" w:rsidRDefault="009E6A44" w:rsidP="009E6A44">
      <w:r>
        <w:t>Im Jahr 2020 wurden 1169 Sorten geprüft: 947 Sorten landwirtschaftlicher Pflanzenarten, 123 Gemüsearten, 14 Ziersorten, 42 Obstbäume und Sträucher, 43 Rebsorten und 297 Sorten wurden in unseren nationalen Sortenkatalog eingetragen: 252 Sorten landwirtschaftlicher Pflanzenarten, 35 Gemüsearten, 8 Obstbäume und Sträucher sowie 2 Reben.</w:t>
      </w:r>
    </w:p>
    <w:p w:rsidR="009E6A44" w:rsidRPr="00BD35C1" w:rsidRDefault="009E6A44" w:rsidP="009E6A44">
      <w:pPr>
        <w:rPr>
          <w:sz w:val="16"/>
          <w:szCs w:val="16"/>
        </w:rPr>
      </w:pPr>
    </w:p>
    <w:p w:rsidR="009E6A44" w:rsidRDefault="009E6A44" w:rsidP="009E6A44">
      <w:pPr>
        <w:jc w:val="left"/>
      </w:pPr>
      <w:r w:rsidRPr="00DC136C">
        <w:t>Außerdem wurden für Züchterrechte 50 Anträge auf Sortenschutz eingereicht und 40 Schutztitel erteilt.</w:t>
      </w:r>
    </w:p>
    <w:p w:rsidR="000A204F" w:rsidRDefault="000A204F" w:rsidP="000A204F">
      <w:pPr>
        <w:rPr>
          <w:rFonts w:cs="Arial"/>
          <w:u w:val="single"/>
        </w:rPr>
      </w:pPr>
    </w:p>
    <w:p w:rsidR="009E6A44" w:rsidRPr="00C226A7" w:rsidRDefault="009E6A44" w:rsidP="000A204F">
      <w:pPr>
        <w:rPr>
          <w:rFonts w:cs="Arial"/>
          <w:u w:val="single"/>
        </w:rPr>
      </w:pPr>
    </w:p>
    <w:p w:rsidR="004128AB" w:rsidRPr="006F3121" w:rsidRDefault="004128AB" w:rsidP="004128AB">
      <w:pPr>
        <w:jc w:val="left"/>
      </w:pPr>
    </w:p>
    <w:p w:rsidR="004128AB" w:rsidRPr="006F3121" w:rsidRDefault="004128AB" w:rsidP="004128AB">
      <w:pPr>
        <w:jc w:val="right"/>
      </w:pPr>
      <w:r w:rsidRPr="006F3121">
        <w:t>[Anlage XII folgt]</w:t>
      </w:r>
    </w:p>
    <w:p w:rsidR="004128AB" w:rsidRPr="006F3121" w:rsidRDefault="004128AB" w:rsidP="004128AB"/>
    <w:p w:rsidR="004128AB" w:rsidRPr="006F3121" w:rsidRDefault="004128AB" w:rsidP="004128AB">
      <w:pPr>
        <w:jc w:val="left"/>
        <w:sectPr w:rsidR="004128AB" w:rsidRPr="006F3121" w:rsidSect="00CE587F">
          <w:headerReference w:type="default" r:id="rId38"/>
          <w:pgSz w:w="11907" w:h="16840" w:code="9"/>
          <w:pgMar w:top="510" w:right="1134" w:bottom="1134" w:left="1134" w:header="510" w:footer="680" w:gutter="0"/>
          <w:pgNumType w:start="1"/>
          <w:cols w:space="720"/>
          <w:titlePg/>
        </w:sectPr>
      </w:pPr>
    </w:p>
    <w:p w:rsidR="004128AB" w:rsidRPr="006F3121" w:rsidRDefault="006F5780" w:rsidP="004128AB">
      <w:pPr>
        <w:jc w:val="center"/>
      </w:pPr>
      <w:r>
        <w:lastRenderedPageBreak/>
        <w:t>C/55/INF/4</w:t>
      </w:r>
    </w:p>
    <w:p w:rsidR="004128AB" w:rsidRPr="006F3121" w:rsidRDefault="004128AB" w:rsidP="004128AB">
      <w:pPr>
        <w:jc w:val="center"/>
      </w:pPr>
    </w:p>
    <w:p w:rsidR="004128AB" w:rsidRPr="006F3121" w:rsidRDefault="004128AB" w:rsidP="004128AB">
      <w:pPr>
        <w:jc w:val="center"/>
      </w:pPr>
      <w:r w:rsidRPr="006F3121">
        <w:t>ANLAGE XII</w:t>
      </w:r>
    </w:p>
    <w:p w:rsidR="004128AB" w:rsidRPr="006F3121" w:rsidRDefault="004128AB" w:rsidP="004128AB">
      <w:pPr>
        <w:jc w:val="center"/>
      </w:pPr>
    </w:p>
    <w:p w:rsidR="004128AB" w:rsidRPr="006F3121" w:rsidRDefault="004128AB" w:rsidP="004128AB">
      <w:pPr>
        <w:jc w:val="center"/>
      </w:pPr>
    </w:p>
    <w:p w:rsidR="002B07FC" w:rsidRPr="007A75F7" w:rsidRDefault="00713625" w:rsidP="002B07FC">
      <w:pPr>
        <w:jc w:val="center"/>
      </w:pPr>
      <w:r>
        <w:t>VEREINIGTES KÖNIGREICH</w:t>
      </w:r>
    </w:p>
    <w:p w:rsidR="002B07FC" w:rsidRPr="007A75F7" w:rsidRDefault="002B07FC" w:rsidP="002B07FC">
      <w:pPr>
        <w:rPr>
          <w:rFonts w:cs="Arial"/>
        </w:rPr>
      </w:pPr>
    </w:p>
    <w:p w:rsidR="002B07FC" w:rsidRPr="007A75F7" w:rsidRDefault="002B07FC" w:rsidP="002B07FC">
      <w:pPr>
        <w:rPr>
          <w:rFonts w:cs="Arial"/>
        </w:rPr>
      </w:pPr>
    </w:p>
    <w:p w:rsidR="00EC69F7" w:rsidRPr="00DD34B3" w:rsidRDefault="00EC69F7" w:rsidP="00EC69F7">
      <w:r>
        <w:t>I.</w:t>
      </w:r>
      <w:r>
        <w:tab/>
        <w:t>SORTENSCHUTZ</w:t>
      </w:r>
    </w:p>
    <w:p w:rsidR="00EC69F7" w:rsidRPr="00A67586" w:rsidRDefault="00EC69F7" w:rsidP="00EC69F7"/>
    <w:p w:rsidR="00EC69F7" w:rsidRPr="00A67586" w:rsidRDefault="00EC69F7" w:rsidP="00EC69F7">
      <w:r>
        <w:t>1.</w:t>
      </w:r>
      <w:r>
        <w:tab/>
      </w:r>
      <w:r>
        <w:rPr>
          <w:u w:val="single"/>
        </w:rPr>
        <w:t>Lage auf dem Gebiet der Gesetzgebung</w:t>
      </w:r>
    </w:p>
    <w:p w:rsidR="00EC69F7" w:rsidRPr="00A67586" w:rsidRDefault="00EC69F7" w:rsidP="00EC69F7"/>
    <w:p w:rsidR="00EC69F7" w:rsidRPr="00A67586" w:rsidRDefault="00EC69F7" w:rsidP="00EC69F7">
      <w:r>
        <w:t>1.1</w:t>
      </w:r>
      <w:r>
        <w:tab/>
        <w:t>Änderungen des Gesetzes und der Ausführungsvorschriften</w:t>
      </w:r>
    </w:p>
    <w:p w:rsidR="00EC69F7" w:rsidRDefault="00EC69F7" w:rsidP="00EC69F7"/>
    <w:p w:rsidR="00EC69F7" w:rsidRDefault="00EC69F7" w:rsidP="00EC69F7">
      <w:r>
        <w:t>Im Zusammenhang mit dem Austritt des Vereinigten Königreichs aus der Europäischen Union wurden Rechtsvorschriften umgesetzt:</w:t>
      </w:r>
    </w:p>
    <w:p w:rsidR="00EC69F7" w:rsidRDefault="00EC69F7" w:rsidP="00EC69F7"/>
    <w:p w:rsidR="00EC69F7" w:rsidRPr="006C1AB0" w:rsidRDefault="00EC69F7" w:rsidP="00EC69F7">
      <w:r>
        <w:t>Die Züchterrechtsverordnung von 2019 (Änderung) (EU-Austritt) - Diese Rechtsverordnung gewährleistet, dass Sorten, für die vor dem Austrittstag gemeinschaftliche Sortenschutzrechte erteilt wurden, im Vereinigten Königreich weiterhin geschützt sind und ermöglicht es künftigen Inhabern, im Hinblick auf Anträge auf gemeinschaftlichen Sortenschutz, die am Austrittstag anhängig sind, Züchterrechte des Vereinigten Königreichs zu beantragen. Die Rechtsverordnung nimmt Änderungen an der Operabilität des Sortenrechtsgesetzes von 1997 und seiner sekundären Gesetzgebung vor. Verordnung des Rates Nr. 2100/94 und ihre Durchführungsbestimmungen werden für ungültig erklärt.</w:t>
      </w:r>
    </w:p>
    <w:p w:rsidR="00EC69F7" w:rsidRPr="006C1AB0" w:rsidRDefault="00EC69F7" w:rsidP="00EC69F7"/>
    <w:p w:rsidR="00EC69F7" w:rsidRDefault="00EC69F7" w:rsidP="00EC69F7">
      <w:r>
        <w:t>Die Züchterrechtsverordnung von 2020 (Änderung) (EU-Austritt) - Diese Rechtsverordnung setzt Artikel 54 bis 61 des Abkommens über den Austritt des Vereinigten Königreichs Großbritannien und Nordirland aus der Europäischen Union und der Europäischen Atomgemeinschaft um, die sich auf geistiges Eigentum beziehen, einschließlich dem gemeinschaftlichen Sortenschutzrecht (CPVR). Der Hauptzweck der Änderungen besteht darin, sicherzustellen, dass Sorten, für die gemeinschaftlicher Sortenschutz besteht, am Ende des Übergangszeitraums im Vereinigten Königreich geschützt bleiben, indem ihnen ein entsprechendes Recht nach britischem Recht gewährt wird.</w:t>
      </w:r>
    </w:p>
    <w:p w:rsidR="00EC69F7" w:rsidRPr="00A67586" w:rsidRDefault="00EC69F7" w:rsidP="00EC69F7"/>
    <w:p w:rsidR="00EC69F7" w:rsidRPr="00A67586" w:rsidRDefault="00EC69F7" w:rsidP="00EC69F7">
      <w:r>
        <w:t>1.2</w:t>
      </w:r>
      <w:r>
        <w:tab/>
        <w:t>Erstreckung des Schutzes auf weitere Gattungen und Arten: keine Anmerkungen.</w:t>
      </w:r>
    </w:p>
    <w:p w:rsidR="00EC69F7" w:rsidRPr="00A67586" w:rsidRDefault="00EC69F7" w:rsidP="00EC69F7"/>
    <w:p w:rsidR="00EC69F7" w:rsidRPr="007A0C0D" w:rsidRDefault="00EC69F7" w:rsidP="00EC69F7">
      <w:pPr>
        <w:rPr>
          <w:iCs/>
        </w:rPr>
      </w:pPr>
      <w:r>
        <w:t>1.3</w:t>
      </w:r>
      <w:r>
        <w:tab/>
        <w:t>Rechtsprechung: keine Anmerkungen</w:t>
      </w:r>
      <w:r>
        <w:rPr>
          <w:iCs/>
        </w:rPr>
        <w:t>.</w:t>
      </w:r>
    </w:p>
    <w:p w:rsidR="00EC69F7" w:rsidRDefault="00EC69F7" w:rsidP="00EC69F7"/>
    <w:p w:rsidR="00EC69F7" w:rsidRPr="00A67586" w:rsidRDefault="00EC69F7" w:rsidP="00EC69F7"/>
    <w:p w:rsidR="00EC69F7" w:rsidRDefault="00EC69F7" w:rsidP="00EC69F7">
      <w:pPr>
        <w:rPr>
          <w:iCs/>
        </w:rPr>
      </w:pPr>
      <w:r>
        <w:t>2.</w:t>
      </w:r>
      <w:r>
        <w:tab/>
      </w:r>
      <w:r>
        <w:rPr>
          <w:u w:val="single"/>
        </w:rPr>
        <w:t>Zusammenarbeit bei der Prüfung</w:t>
      </w:r>
      <w:r>
        <w:t>: keine Anmerkungen</w:t>
      </w:r>
      <w:r>
        <w:rPr>
          <w:iCs/>
        </w:rPr>
        <w:t>.</w:t>
      </w:r>
    </w:p>
    <w:p w:rsidR="00EC69F7" w:rsidRDefault="00EC69F7" w:rsidP="00EC69F7">
      <w:pPr>
        <w:rPr>
          <w:iCs/>
        </w:rPr>
      </w:pPr>
    </w:p>
    <w:p w:rsidR="00EC69F7" w:rsidRPr="00C308A9" w:rsidRDefault="00EC69F7" w:rsidP="00EC69F7">
      <w:pPr>
        <w:rPr>
          <w:iCs/>
        </w:rPr>
      </w:pPr>
    </w:p>
    <w:p w:rsidR="00EC69F7" w:rsidRPr="00A67586" w:rsidRDefault="00EC69F7" w:rsidP="00EC69F7">
      <w:r>
        <w:t>3.</w:t>
      </w:r>
      <w:r>
        <w:tab/>
      </w:r>
      <w:r>
        <w:rPr>
          <w:u w:val="single"/>
        </w:rPr>
        <w:t>Lage auf dem Gebiet der Verwaltung</w:t>
      </w:r>
    </w:p>
    <w:p w:rsidR="00EC69F7" w:rsidRPr="00A67586" w:rsidRDefault="00EC69F7" w:rsidP="00EC69F7"/>
    <w:p w:rsidR="00EC69F7" w:rsidRDefault="00EC69F7" w:rsidP="00EC69F7">
      <w:r>
        <w:t xml:space="preserve">Die Verwaltungsgebühren pro Antrag wurden von 741 </w:t>
      </w:r>
      <w:r w:rsidRPr="00DC7EA3">
        <w:t>£</w:t>
      </w:r>
      <w:r>
        <w:t xml:space="preserve"> auf 450 </w:t>
      </w:r>
      <w:r w:rsidRPr="00DC7EA3">
        <w:t>£</w:t>
      </w:r>
      <w:r>
        <w:t xml:space="preserve"> gesenkt. Für kombinierte Anträge auf Eintragung in die nationale Liste und auf Erteilung von Züchterrechten wird nur noch eine einzige Verwaltungsgebühr in Höhe von 450 £ anstatt zwei Gebühren erhoben, allerdings nur, wenn sie gleichzeitig beantragt werden. </w:t>
      </w:r>
    </w:p>
    <w:p w:rsidR="00EC69F7" w:rsidRDefault="00EC69F7" w:rsidP="00EC69F7"/>
    <w:p w:rsidR="00EC69F7" w:rsidRPr="00A67586" w:rsidRDefault="00EC69F7" w:rsidP="00EC69F7"/>
    <w:p w:rsidR="00EC69F7" w:rsidRDefault="00EC69F7" w:rsidP="00EC69F7">
      <w:r>
        <w:t>4.</w:t>
      </w:r>
      <w:r>
        <w:tab/>
      </w:r>
      <w:r>
        <w:rPr>
          <w:u w:val="single"/>
        </w:rPr>
        <w:t>Lage auf dem Gebiet der Technik</w:t>
      </w:r>
      <w:r>
        <w:t>: keine Anmerkungen.</w:t>
      </w:r>
    </w:p>
    <w:p w:rsidR="00EC69F7" w:rsidRDefault="00EC69F7" w:rsidP="00EC69F7"/>
    <w:p w:rsidR="00EC69F7" w:rsidRPr="00A67586" w:rsidRDefault="00EC69F7" w:rsidP="00EC69F7"/>
    <w:p w:rsidR="00EC69F7" w:rsidRPr="00C308A9" w:rsidRDefault="00EC69F7" w:rsidP="00EC69F7">
      <w:r>
        <w:t>5.</w:t>
      </w:r>
      <w:r>
        <w:tab/>
      </w:r>
      <w:r>
        <w:rPr>
          <w:u w:val="single"/>
        </w:rPr>
        <w:t>Tätigkeiten zur Förderung des Sortenschutzes</w:t>
      </w:r>
      <w:r>
        <w:t>: keine Anmerkungen.</w:t>
      </w:r>
    </w:p>
    <w:p w:rsidR="002B07FC" w:rsidRPr="007A75F7" w:rsidRDefault="002B07FC" w:rsidP="002B07FC">
      <w:pPr>
        <w:jc w:val="left"/>
      </w:pPr>
    </w:p>
    <w:p w:rsidR="002B07FC" w:rsidRDefault="002B07FC" w:rsidP="002B07FC">
      <w:pPr>
        <w:jc w:val="left"/>
      </w:pPr>
    </w:p>
    <w:p w:rsidR="004128AB" w:rsidRPr="006F3121" w:rsidRDefault="004128AB" w:rsidP="004128AB">
      <w:pPr>
        <w:jc w:val="left"/>
      </w:pPr>
    </w:p>
    <w:p w:rsidR="004128AB" w:rsidRPr="006F3121" w:rsidRDefault="004128AB" w:rsidP="004128AB">
      <w:pPr>
        <w:jc w:val="right"/>
      </w:pPr>
      <w:r w:rsidRPr="006F3121">
        <w:t>[Anlage XIII folgt]</w:t>
      </w:r>
    </w:p>
    <w:p w:rsidR="004128AB" w:rsidRPr="006F3121" w:rsidRDefault="004128AB" w:rsidP="004128AB"/>
    <w:p w:rsidR="004128AB" w:rsidRPr="006F3121" w:rsidRDefault="004128AB" w:rsidP="004128AB">
      <w:pPr>
        <w:jc w:val="left"/>
        <w:sectPr w:rsidR="004128AB" w:rsidRPr="006F3121" w:rsidSect="00CE587F">
          <w:headerReference w:type="default" r:id="rId39"/>
          <w:pgSz w:w="11907" w:h="16840" w:code="9"/>
          <w:pgMar w:top="510" w:right="1134" w:bottom="1134" w:left="1134" w:header="510" w:footer="680" w:gutter="0"/>
          <w:pgNumType w:start="1"/>
          <w:cols w:space="720"/>
          <w:titlePg/>
        </w:sectPr>
      </w:pPr>
    </w:p>
    <w:p w:rsidR="004128AB" w:rsidRPr="006F3121" w:rsidRDefault="006F5780" w:rsidP="004128AB">
      <w:pPr>
        <w:jc w:val="center"/>
      </w:pPr>
      <w:r>
        <w:lastRenderedPageBreak/>
        <w:t>C/55/INF/4</w:t>
      </w:r>
    </w:p>
    <w:p w:rsidR="004128AB" w:rsidRPr="006F3121" w:rsidRDefault="004128AB" w:rsidP="004128AB">
      <w:pPr>
        <w:jc w:val="center"/>
      </w:pPr>
    </w:p>
    <w:p w:rsidR="004128AB" w:rsidRPr="006F3121" w:rsidRDefault="004128AB" w:rsidP="004128AB">
      <w:pPr>
        <w:jc w:val="center"/>
      </w:pPr>
      <w:r w:rsidRPr="006F3121">
        <w:t>ANLAGE XIII</w:t>
      </w:r>
    </w:p>
    <w:p w:rsidR="004128AB" w:rsidRPr="006F3121" w:rsidRDefault="004128AB" w:rsidP="004128AB">
      <w:pPr>
        <w:jc w:val="center"/>
      </w:pPr>
    </w:p>
    <w:p w:rsidR="004128AB" w:rsidRPr="006F3121" w:rsidRDefault="004128AB" w:rsidP="004128AB">
      <w:pPr>
        <w:jc w:val="center"/>
      </w:pPr>
    </w:p>
    <w:p w:rsidR="00BC1E54" w:rsidRDefault="00713625" w:rsidP="00BC1E54">
      <w:pPr>
        <w:jc w:val="center"/>
      </w:pPr>
      <w:r>
        <w:t>SERBIEN</w:t>
      </w:r>
    </w:p>
    <w:p w:rsidR="00BC1E54" w:rsidRDefault="00BC1E54" w:rsidP="00BC1E54">
      <w:pPr>
        <w:jc w:val="center"/>
      </w:pPr>
    </w:p>
    <w:p w:rsidR="00BC1E54" w:rsidRDefault="00BC1E54" w:rsidP="00BC1E54">
      <w:pPr>
        <w:jc w:val="center"/>
      </w:pPr>
    </w:p>
    <w:p w:rsidR="00EC69F7" w:rsidRPr="00E32A15" w:rsidRDefault="00EC69F7" w:rsidP="00EC69F7">
      <w:r>
        <w:t>I.</w:t>
      </w:r>
      <w:r>
        <w:tab/>
        <w:t>SORTENSCHUTZ</w:t>
      </w:r>
    </w:p>
    <w:p w:rsidR="00EC69F7" w:rsidRPr="00E32A15" w:rsidRDefault="00EC69F7" w:rsidP="00EC69F7"/>
    <w:p w:rsidR="00EC69F7" w:rsidRPr="00E32A15" w:rsidRDefault="00EC69F7" w:rsidP="00EC69F7">
      <w:pPr>
        <w:rPr>
          <w:u w:val="single"/>
        </w:rPr>
      </w:pPr>
      <w:r>
        <w:t>1.</w:t>
      </w:r>
      <w:r>
        <w:tab/>
      </w:r>
      <w:r>
        <w:rPr>
          <w:u w:val="single"/>
        </w:rPr>
        <w:t>Lage auf dem Gebiet der Gesetzgebung</w:t>
      </w:r>
    </w:p>
    <w:p w:rsidR="00EC69F7" w:rsidRPr="00E32A15" w:rsidRDefault="00EC69F7" w:rsidP="00EC69F7"/>
    <w:p w:rsidR="00EC69F7" w:rsidRPr="00E32A15" w:rsidRDefault="00EC69F7" w:rsidP="00EC69F7">
      <w:pPr>
        <w:ind w:left="567"/>
        <w:rPr>
          <w:rFonts w:cs="Arial"/>
        </w:rPr>
      </w:pPr>
      <w:r>
        <w:t>1.1</w:t>
      </w:r>
      <w:r>
        <w:tab/>
        <w:t xml:space="preserve">Änderungen des Gesetzes und der Ausführungsvorschriften: </w:t>
      </w:r>
      <w:r>
        <w:rPr>
          <w:rFonts w:cs="Arial"/>
        </w:rPr>
        <w:t>keine Änderungen.</w:t>
      </w:r>
    </w:p>
    <w:p w:rsidR="00EC69F7" w:rsidRPr="00E32A15" w:rsidRDefault="00EC69F7" w:rsidP="00EC69F7">
      <w:pPr>
        <w:ind w:left="567"/>
      </w:pPr>
    </w:p>
    <w:p w:rsidR="00EC69F7" w:rsidRPr="00E32A15" w:rsidRDefault="00EC69F7" w:rsidP="00EC69F7">
      <w:pPr>
        <w:ind w:left="567"/>
      </w:pPr>
      <w:r>
        <w:t>–</w:t>
      </w:r>
      <w:r>
        <w:tab/>
        <w:t>Andere Änderungen, auch in Bezug auf die Gebühren</w:t>
      </w:r>
    </w:p>
    <w:p w:rsidR="00EC69F7" w:rsidRPr="00E32A15" w:rsidRDefault="00EC69F7" w:rsidP="00EC69F7">
      <w:pPr>
        <w:ind w:left="567"/>
      </w:pPr>
    </w:p>
    <w:p w:rsidR="00EC69F7" w:rsidRPr="00E32A15" w:rsidRDefault="00EC69F7" w:rsidP="00EC69F7">
      <w:pPr>
        <w:ind w:left="567"/>
      </w:pPr>
      <w:r w:rsidRPr="00CC317C">
        <w:t>Neue Gebühren im Zusammenhang mit Züchterrechten, die seit dem 1. Juli 2021 in Kraft sind, sind im Gesetz über Verwaltungsgebühren (Amtsblatt der Republik Serbien Nr. 62/21, konsolidierter Text) veröffentlicht.</w:t>
      </w:r>
    </w:p>
    <w:p w:rsidR="00EC69F7" w:rsidRPr="00E32A15" w:rsidRDefault="00EC69F7" w:rsidP="00EC69F7"/>
    <w:p w:rsidR="00EC69F7" w:rsidRPr="00E32A15" w:rsidRDefault="00EC69F7" w:rsidP="00EC69F7">
      <w:pPr>
        <w:ind w:left="567"/>
      </w:pPr>
      <w:r>
        <w:t>1.2</w:t>
      </w:r>
      <w:r>
        <w:tab/>
        <w:t>Erstreckung des Schutzes auf weitere Gattungen und Arten</w:t>
      </w:r>
    </w:p>
    <w:p w:rsidR="00EC69F7" w:rsidRPr="00E32A15" w:rsidRDefault="00EC69F7" w:rsidP="00EC69F7">
      <w:pPr>
        <w:ind w:left="567"/>
      </w:pPr>
    </w:p>
    <w:p w:rsidR="00EC69F7" w:rsidRPr="00E32A15" w:rsidRDefault="00EC69F7" w:rsidP="00EC69F7">
      <w:pPr>
        <w:ind w:left="567"/>
        <w:rPr>
          <w:rFonts w:cs="Arial"/>
        </w:rPr>
      </w:pPr>
      <w:r>
        <w:rPr>
          <w:rFonts w:cs="Arial"/>
        </w:rPr>
        <w:t>Alle Gattungen und Arten können gemäß dem Gesetz über den Schutz der Züchterrechte geschützt werden (Amtsblatt der Republik Serbien Nr. 41/2009 und 88/2011).</w:t>
      </w:r>
    </w:p>
    <w:p w:rsidR="00EC69F7" w:rsidRDefault="00EC69F7" w:rsidP="00EC69F7"/>
    <w:p w:rsidR="00EC69F7" w:rsidRPr="00E32A15" w:rsidRDefault="00EC69F7" w:rsidP="00EC69F7"/>
    <w:p w:rsidR="00EC69F7" w:rsidRPr="00E32A15" w:rsidRDefault="00EC69F7" w:rsidP="00EC69F7">
      <w:r>
        <w:t>2.</w:t>
      </w:r>
      <w:r>
        <w:tab/>
      </w:r>
      <w:r>
        <w:rPr>
          <w:u w:val="single"/>
        </w:rPr>
        <w:t>Zusammenarbeit bei der Prüfung</w:t>
      </w:r>
      <w:r>
        <w:t>: keine Änderungen.</w:t>
      </w:r>
    </w:p>
    <w:p w:rsidR="00EC69F7" w:rsidRPr="00E32A15" w:rsidRDefault="00EC69F7" w:rsidP="00EC69F7"/>
    <w:p w:rsidR="00EC69F7" w:rsidRPr="00E32A15" w:rsidRDefault="00EC69F7" w:rsidP="00EC69F7"/>
    <w:p w:rsidR="00EC69F7" w:rsidRPr="00E32A15" w:rsidRDefault="00EC69F7" w:rsidP="00EC69F7">
      <w:pPr>
        <w:rPr>
          <w:u w:val="single"/>
        </w:rPr>
      </w:pPr>
      <w:r>
        <w:t>3.</w:t>
      </w:r>
      <w:r>
        <w:tab/>
      </w:r>
      <w:r>
        <w:rPr>
          <w:u w:val="single"/>
        </w:rPr>
        <w:t>Lage auf dem Gebiet der Verwaltung</w:t>
      </w:r>
    </w:p>
    <w:p w:rsidR="00EC69F7" w:rsidRPr="00E32A15" w:rsidRDefault="00EC69F7" w:rsidP="00EC69F7"/>
    <w:p w:rsidR="00EC69F7" w:rsidRPr="00E32A15" w:rsidRDefault="00EC69F7" w:rsidP="00EC69F7">
      <w:pPr>
        <w:ind w:left="567"/>
        <w:rPr>
          <w:rFonts w:cs="Arial"/>
        </w:rPr>
      </w:pPr>
      <w:r>
        <w:t>-</w:t>
      </w:r>
      <w:r>
        <w:tab/>
        <w:t xml:space="preserve">Änderungen in der Verwaltung oder bei den Verfahren: </w:t>
      </w:r>
      <w:r>
        <w:rPr>
          <w:rFonts w:cs="Arial"/>
        </w:rPr>
        <w:t>keine Änderungen.</w:t>
      </w:r>
    </w:p>
    <w:p w:rsidR="00EC69F7" w:rsidRPr="00E32A15" w:rsidRDefault="00EC69F7" w:rsidP="00EC69F7">
      <w:pPr>
        <w:rPr>
          <w:rFonts w:cs="Arial"/>
        </w:rPr>
      </w:pPr>
    </w:p>
    <w:p w:rsidR="00EC69F7" w:rsidRPr="00E32A15" w:rsidRDefault="00EC69F7" w:rsidP="00EC69F7">
      <w:pPr>
        <w:ind w:left="567"/>
        <w:rPr>
          <w:rFonts w:cs="Arial"/>
        </w:rPr>
      </w:pPr>
      <w:r>
        <w:rPr>
          <w:rFonts w:cs="Arial"/>
        </w:rPr>
        <w:t xml:space="preserve">Das Ministerium für Land-, Forst- und Wasserwirtschaft, Pflanzenschutzdirektorat, ist die zuständige Behörde für Sortenschutz in der Republik Serbien. Das Pflanzenschutzdirektorat führt auch folgende Aufgaben aus: Schutz von Pflanzen vor Schadorganismen; Genehmigung und Kontrolle von Pflanzenschutzprodukten und Pflanzenernährungsprodukten; Eintragung von Pflanzensorten in die nationale Liste; biologische Sicherheit (GVO); Pflanzengesundheitskontrolle. </w:t>
      </w:r>
      <w:r w:rsidRPr="00B31FE0">
        <w:rPr>
          <w:rFonts w:cs="Arial"/>
        </w:rPr>
        <w:t>Innerhalb des Pflanzenschutzdirektorats führt die Gruppe für Sortenschutz und Biosicherheit Verwaltungsverfahren hinsichtlich der Bestimmungen des Gesetzes über den Schutz der Züchterrechte und der Erteilung von Züchterrechten sowie Aufgaben hinsichtlich der biologischen Sicherheit</w:t>
      </w:r>
      <w:r>
        <w:rPr>
          <w:rFonts w:cs="Arial"/>
        </w:rPr>
        <w:t xml:space="preserve"> (</w:t>
      </w:r>
      <w:r w:rsidRPr="00B31FE0">
        <w:rPr>
          <w:rFonts w:cs="Arial"/>
        </w:rPr>
        <w:t>GVO</w:t>
      </w:r>
      <w:r>
        <w:rPr>
          <w:rFonts w:cs="Arial"/>
        </w:rPr>
        <w:t>)</w:t>
      </w:r>
      <w:r w:rsidRPr="00B31FE0">
        <w:rPr>
          <w:rFonts w:cs="Arial"/>
        </w:rPr>
        <w:t xml:space="preserve"> durch</w:t>
      </w:r>
      <w:r>
        <w:rPr>
          <w:rFonts w:cs="Arial"/>
        </w:rPr>
        <w:t>.</w:t>
      </w:r>
    </w:p>
    <w:p w:rsidR="00EC69F7" w:rsidRPr="00E32A15" w:rsidRDefault="00EC69F7" w:rsidP="00EC69F7"/>
    <w:p w:rsidR="00EC69F7" w:rsidRPr="00E32A15" w:rsidRDefault="00EC69F7" w:rsidP="00EC69F7">
      <w:pPr>
        <w:ind w:left="567"/>
        <w:rPr>
          <w:rFonts w:cs="Arial"/>
        </w:rPr>
      </w:pPr>
      <w:r>
        <w:t>-</w:t>
      </w:r>
      <w:r>
        <w:tab/>
        <w:t xml:space="preserve">Änderungen in den Verfahren und Systemen: </w:t>
      </w:r>
      <w:r>
        <w:rPr>
          <w:rFonts w:cs="Arial"/>
        </w:rPr>
        <w:t>keine Änderungen.</w:t>
      </w:r>
    </w:p>
    <w:p w:rsidR="00EC69F7" w:rsidRDefault="00EC69F7" w:rsidP="00EC69F7"/>
    <w:p w:rsidR="00EC69F7" w:rsidRPr="00E32A15" w:rsidRDefault="00EC69F7" w:rsidP="00EC69F7"/>
    <w:p w:rsidR="00EC69F7" w:rsidRDefault="00EC69F7" w:rsidP="00EC69F7">
      <w:r>
        <w:t>4.</w:t>
      </w:r>
      <w:r>
        <w:tab/>
      </w:r>
      <w:r>
        <w:rPr>
          <w:u w:val="single"/>
        </w:rPr>
        <w:t>Lage auf dem Gebiet der Technik</w:t>
      </w:r>
    </w:p>
    <w:p w:rsidR="00EC69F7" w:rsidRPr="00E32A15" w:rsidRDefault="00EC69F7" w:rsidP="00EC69F7"/>
    <w:p w:rsidR="00EC69F7" w:rsidRPr="00E32A15" w:rsidRDefault="00EC69F7" w:rsidP="00EC69F7">
      <w:pPr>
        <w:rPr>
          <w:rFonts w:cs="Arial"/>
          <w:color w:val="000000"/>
          <w:spacing w:val="-2"/>
        </w:rPr>
      </w:pPr>
      <w:r>
        <w:rPr>
          <w:rFonts w:cs="Arial"/>
          <w:color w:val="000000"/>
          <w:spacing w:val="-2"/>
        </w:rPr>
        <w:t>Serbien wirkt am UPOV PRISMA Antragsinstrument für Züchterrechte mit.</w:t>
      </w:r>
    </w:p>
    <w:p w:rsidR="00EC69F7" w:rsidRPr="00E32A15" w:rsidRDefault="00EC69F7" w:rsidP="00EC69F7">
      <w:pPr>
        <w:rPr>
          <w:rFonts w:cs="Arial"/>
          <w:color w:val="000000"/>
          <w:spacing w:val="-2"/>
        </w:rPr>
      </w:pPr>
    </w:p>
    <w:p w:rsidR="00EC69F7" w:rsidRPr="00E32A15" w:rsidRDefault="00EC69F7" w:rsidP="00EC69F7">
      <w:pPr>
        <w:rPr>
          <w:rFonts w:cs="Arial"/>
          <w:kern w:val="28"/>
        </w:rPr>
      </w:pPr>
      <w:r>
        <w:rPr>
          <w:rFonts w:cs="Arial"/>
        </w:rPr>
        <w:t>Im Zeitraum von September 2020 bis September 2021 wurden Züchterrechte für 54 Pflanzensorten erteilt, auf der Grundlage der Ergebnisse von Pflanzenprüfungen und auf Vorschlag des Sachverständigenrates für den Schutz von Züchterrechten als besonderem Sachverständigengremium des Ministeriums für Land-, Forst- und Wasserwirtschaft, Pflanzenschutzdirektorat.</w:t>
      </w:r>
    </w:p>
    <w:p w:rsidR="00EC69F7" w:rsidRPr="00E32A15" w:rsidRDefault="00EC69F7" w:rsidP="00EC69F7">
      <w:pPr>
        <w:rPr>
          <w:rFonts w:cs="Arial"/>
        </w:rPr>
      </w:pPr>
    </w:p>
    <w:p w:rsidR="00EC69F7" w:rsidRPr="00E32A15" w:rsidRDefault="00EC69F7" w:rsidP="00EC69F7">
      <w:pPr>
        <w:rPr>
          <w:rFonts w:cs="Arial"/>
        </w:rPr>
      </w:pPr>
      <w:r>
        <w:rPr>
          <w:rFonts w:cs="Arial"/>
        </w:rPr>
        <w:t>Sortenschutzregister und andere Informationen zu Züchterrechten sind auf folgender Webseite verfügbar:</w:t>
      </w:r>
      <w:r>
        <w:t xml:space="preserve"> </w:t>
      </w:r>
      <w:hyperlink r:id="rId40" w:history="1">
        <w:r>
          <w:rPr>
            <w:rStyle w:val="Hyperlink"/>
            <w:rFonts w:cs="Arial"/>
          </w:rPr>
          <w:t>https://www.uzb.minpolj.gov.rs/index.php?option=com_content&amp;view=article&amp;id=61&amp;Itemid=14&amp;lang=en</w:t>
        </w:r>
      </w:hyperlink>
    </w:p>
    <w:p w:rsidR="00BC1E54" w:rsidRDefault="00BC1E54" w:rsidP="00BC1E54">
      <w:pPr>
        <w:jc w:val="left"/>
      </w:pPr>
    </w:p>
    <w:p w:rsidR="00BC1E54" w:rsidRDefault="00BC1E54" w:rsidP="00BC1E54">
      <w:pPr>
        <w:jc w:val="left"/>
      </w:pPr>
    </w:p>
    <w:p w:rsidR="004128AB" w:rsidRPr="006F3121" w:rsidRDefault="004128AB" w:rsidP="004128AB">
      <w:pPr>
        <w:jc w:val="left"/>
      </w:pPr>
    </w:p>
    <w:p w:rsidR="004128AB" w:rsidRPr="006F3121" w:rsidRDefault="004128AB" w:rsidP="004128AB">
      <w:pPr>
        <w:jc w:val="right"/>
      </w:pPr>
      <w:r w:rsidRPr="006F3121">
        <w:t>[Anlage XIV folgt]</w:t>
      </w:r>
    </w:p>
    <w:p w:rsidR="004128AB" w:rsidRPr="006F3121" w:rsidRDefault="004128AB" w:rsidP="004128AB"/>
    <w:p w:rsidR="004128AB" w:rsidRPr="006F3121" w:rsidRDefault="004128AB" w:rsidP="004128AB">
      <w:pPr>
        <w:jc w:val="left"/>
        <w:sectPr w:rsidR="004128AB" w:rsidRPr="006F3121" w:rsidSect="00CE587F">
          <w:headerReference w:type="default" r:id="rId41"/>
          <w:pgSz w:w="11907" w:h="16840" w:code="9"/>
          <w:pgMar w:top="510" w:right="1134" w:bottom="1134" w:left="1134" w:header="510" w:footer="680" w:gutter="0"/>
          <w:pgNumType w:start="1"/>
          <w:cols w:space="720"/>
          <w:titlePg/>
        </w:sectPr>
      </w:pPr>
    </w:p>
    <w:p w:rsidR="004128AB" w:rsidRPr="006F3121" w:rsidRDefault="006F5780" w:rsidP="004128AB">
      <w:pPr>
        <w:jc w:val="center"/>
      </w:pPr>
      <w:r>
        <w:lastRenderedPageBreak/>
        <w:t>C/55/INF/4</w:t>
      </w:r>
    </w:p>
    <w:p w:rsidR="004128AB" w:rsidRPr="006F3121" w:rsidRDefault="004128AB" w:rsidP="004128AB">
      <w:pPr>
        <w:jc w:val="center"/>
      </w:pPr>
    </w:p>
    <w:p w:rsidR="004128AB" w:rsidRPr="006F3121" w:rsidRDefault="004128AB" w:rsidP="004128AB">
      <w:pPr>
        <w:jc w:val="center"/>
      </w:pPr>
      <w:r w:rsidRPr="006F3121">
        <w:t>ANLAGE XIV</w:t>
      </w:r>
    </w:p>
    <w:p w:rsidR="004128AB" w:rsidRPr="006F3121" w:rsidRDefault="004128AB" w:rsidP="004128AB">
      <w:pPr>
        <w:jc w:val="center"/>
      </w:pPr>
    </w:p>
    <w:p w:rsidR="004128AB" w:rsidRPr="006F3121" w:rsidRDefault="004128AB" w:rsidP="004128AB">
      <w:pPr>
        <w:jc w:val="center"/>
      </w:pPr>
    </w:p>
    <w:p w:rsidR="00BC1E54" w:rsidRDefault="00BC1E54" w:rsidP="00BC1E54">
      <w:pPr>
        <w:jc w:val="center"/>
      </w:pPr>
      <w:r>
        <w:t>SINGAPUR</w:t>
      </w:r>
    </w:p>
    <w:p w:rsidR="00BC1E54" w:rsidRDefault="00BC1E54" w:rsidP="00BC1E54">
      <w:pPr>
        <w:jc w:val="center"/>
      </w:pPr>
    </w:p>
    <w:p w:rsidR="00BC1E54" w:rsidRDefault="00BC1E54" w:rsidP="00BC1E54">
      <w:pPr>
        <w:jc w:val="center"/>
      </w:pPr>
    </w:p>
    <w:p w:rsidR="00EC69F7" w:rsidRPr="00CB386A" w:rsidRDefault="00EC69F7" w:rsidP="00EC69F7">
      <w:r>
        <w:t>I.</w:t>
      </w:r>
      <w:r>
        <w:tab/>
        <w:t>SORTENSCHUTZ</w:t>
      </w:r>
    </w:p>
    <w:p w:rsidR="00EC69F7" w:rsidRPr="00CB386A" w:rsidRDefault="00EC69F7" w:rsidP="00EC69F7"/>
    <w:p w:rsidR="00EC69F7" w:rsidRPr="0087061B" w:rsidRDefault="00EC69F7" w:rsidP="00EC69F7">
      <w:r>
        <w:t>1.</w:t>
      </w:r>
      <w:r>
        <w:tab/>
      </w:r>
      <w:r>
        <w:rPr>
          <w:u w:val="single"/>
        </w:rPr>
        <w:t>Lage auf dem Gebiet der Gesetzgebung</w:t>
      </w:r>
    </w:p>
    <w:p w:rsidR="00EC69F7" w:rsidRPr="0087061B" w:rsidRDefault="00EC69F7" w:rsidP="00EC69F7"/>
    <w:p w:rsidR="00EC69F7" w:rsidRPr="00A67586" w:rsidRDefault="00EC69F7" w:rsidP="00EC69F7">
      <w:pPr>
        <w:ind w:left="567"/>
      </w:pPr>
      <w:r>
        <w:t>1.1</w:t>
      </w:r>
      <w:r>
        <w:tab/>
        <w:t>Änderungen des Gesetzes und der Ausführungsvorschriften</w:t>
      </w:r>
    </w:p>
    <w:p w:rsidR="00EC69F7" w:rsidRDefault="00EC69F7" w:rsidP="00EC69F7">
      <w:pPr>
        <w:ind w:left="567"/>
      </w:pPr>
    </w:p>
    <w:p w:rsidR="00EC69F7" w:rsidRPr="0087061B" w:rsidRDefault="00EC69F7" w:rsidP="00EC69F7">
      <w:pPr>
        <w:ind w:left="567"/>
      </w:pPr>
      <w:r>
        <w:t>Nach dem Bericht an den Rat im Jahr 2020 wurden keine Änderung im Hinblick auf die Rechtsvorschriften Singapurs für den Sortenschutz vorgenommen.</w:t>
      </w:r>
    </w:p>
    <w:p w:rsidR="00EC69F7" w:rsidRPr="0087061B" w:rsidRDefault="00EC69F7" w:rsidP="00EC69F7">
      <w:pPr>
        <w:ind w:left="567"/>
      </w:pPr>
    </w:p>
    <w:p w:rsidR="00EC69F7" w:rsidRPr="0087061B" w:rsidRDefault="00EC69F7" w:rsidP="00EC69F7">
      <w:pPr>
        <w:ind w:left="567"/>
      </w:pPr>
      <w:r>
        <w:t>Singapurs neueste Rechtsvorschriften zum Sortenschutz lauten wie folgt:</w:t>
      </w:r>
    </w:p>
    <w:p w:rsidR="00EC69F7" w:rsidRPr="0087061B" w:rsidRDefault="00EC69F7" w:rsidP="00EC69F7">
      <w:pPr>
        <w:ind w:left="567"/>
      </w:pPr>
    </w:p>
    <w:p w:rsidR="00EC69F7" w:rsidRPr="0087061B" w:rsidRDefault="00EC69F7" w:rsidP="00EC69F7">
      <w:pPr>
        <w:numPr>
          <w:ilvl w:val="0"/>
          <w:numId w:val="10"/>
        </w:numPr>
        <w:ind w:left="1287"/>
        <w:jc w:val="left"/>
      </w:pPr>
      <w:r>
        <w:t>Sortenschutzgesetz Singapurs</w:t>
      </w:r>
    </w:p>
    <w:p w:rsidR="00EC69F7" w:rsidRPr="0087061B" w:rsidRDefault="00EC69F7" w:rsidP="00EC69F7">
      <w:pPr>
        <w:numPr>
          <w:ilvl w:val="0"/>
          <w:numId w:val="10"/>
        </w:numPr>
        <w:ind w:left="1287"/>
        <w:jc w:val="left"/>
      </w:pPr>
      <w:r>
        <w:t>Sortenschutzregeln Singapurs</w:t>
      </w:r>
    </w:p>
    <w:p w:rsidR="00EC69F7" w:rsidRPr="0087061B" w:rsidRDefault="00EC69F7" w:rsidP="00EC69F7">
      <w:pPr>
        <w:ind w:left="567"/>
      </w:pPr>
    </w:p>
    <w:p w:rsidR="00EC69F7" w:rsidRPr="0087061B" w:rsidRDefault="00EC69F7" w:rsidP="00EC69F7">
      <w:pPr>
        <w:ind w:left="567"/>
      </w:pPr>
      <w:r>
        <w:t>1.2</w:t>
      </w:r>
      <w:r>
        <w:tab/>
        <w:t>Erstreckung des Schutzes auf weitere Gattungen und Arten</w:t>
      </w:r>
    </w:p>
    <w:p w:rsidR="00EC69F7" w:rsidRPr="0087061B" w:rsidRDefault="00EC69F7" w:rsidP="00EC69F7">
      <w:pPr>
        <w:ind w:left="567"/>
      </w:pPr>
    </w:p>
    <w:p w:rsidR="00EC69F7" w:rsidRPr="0087061B" w:rsidRDefault="00EC69F7" w:rsidP="00EC69F7">
      <w:pPr>
        <w:ind w:left="567"/>
      </w:pPr>
      <w:r>
        <w:t>Singapur hat den Schutz aller Pflanzengattungen und -arten seit dem 30. Juli 2014 zugelassen.</w:t>
      </w:r>
    </w:p>
    <w:p w:rsidR="00EC69F7" w:rsidRPr="0087061B" w:rsidRDefault="00EC69F7" w:rsidP="00EC69F7">
      <w:pPr>
        <w:ind w:left="567"/>
      </w:pPr>
    </w:p>
    <w:p w:rsidR="00EC69F7" w:rsidRPr="0087061B" w:rsidRDefault="00EC69F7" w:rsidP="00EC69F7">
      <w:pPr>
        <w:ind w:left="567"/>
      </w:pPr>
      <w:r>
        <w:t>1.3</w:t>
      </w:r>
      <w:r>
        <w:tab/>
        <w:t>Rechtsprechung: keine Aktualisierungen.</w:t>
      </w:r>
    </w:p>
    <w:p w:rsidR="00EC69F7" w:rsidRDefault="00EC69F7" w:rsidP="00EC69F7"/>
    <w:p w:rsidR="00EC69F7" w:rsidRPr="0087061B" w:rsidRDefault="00EC69F7" w:rsidP="00EC69F7"/>
    <w:p w:rsidR="00EC69F7" w:rsidRPr="0087061B" w:rsidRDefault="00EC69F7" w:rsidP="00EC69F7">
      <w:r>
        <w:t>2.</w:t>
      </w:r>
      <w:r>
        <w:tab/>
      </w:r>
      <w:r>
        <w:rPr>
          <w:u w:val="single"/>
        </w:rPr>
        <w:t>Zusammenarbeit bei der Prüfung</w:t>
      </w:r>
      <w:r>
        <w:t>: keine Aktualisierungen.</w:t>
      </w:r>
    </w:p>
    <w:p w:rsidR="00EC69F7" w:rsidRDefault="00EC69F7" w:rsidP="00EC69F7"/>
    <w:p w:rsidR="00EC69F7" w:rsidRPr="0087061B" w:rsidRDefault="00EC69F7" w:rsidP="00EC69F7"/>
    <w:p w:rsidR="00EC69F7" w:rsidRPr="0087061B" w:rsidRDefault="00EC69F7" w:rsidP="00EC69F7">
      <w:r>
        <w:t>3.</w:t>
      </w:r>
      <w:r>
        <w:tab/>
      </w:r>
      <w:r>
        <w:rPr>
          <w:u w:val="single"/>
        </w:rPr>
        <w:t>Lage auf dem Gebiet der Verwaltung</w:t>
      </w:r>
      <w:r>
        <w:t>: keine Aktualisierungen.</w:t>
      </w:r>
    </w:p>
    <w:p w:rsidR="00EC69F7" w:rsidRDefault="00EC69F7" w:rsidP="00EC69F7"/>
    <w:p w:rsidR="00EC69F7" w:rsidRDefault="00EC69F7" w:rsidP="00EC69F7"/>
    <w:p w:rsidR="00EC69F7" w:rsidRPr="00A67586" w:rsidRDefault="00EC69F7" w:rsidP="00EC69F7">
      <w:r>
        <w:t>4.</w:t>
      </w:r>
      <w:r>
        <w:tab/>
      </w:r>
      <w:r>
        <w:rPr>
          <w:u w:val="single"/>
        </w:rPr>
        <w:t>Lage auf dem Gebiet der Technik</w:t>
      </w:r>
      <w:r>
        <w:t>: keine Aktualisierungen.</w:t>
      </w:r>
    </w:p>
    <w:p w:rsidR="00EC69F7" w:rsidRDefault="00EC69F7" w:rsidP="00EC69F7"/>
    <w:p w:rsidR="00EC69F7" w:rsidRDefault="00EC69F7" w:rsidP="00EC69F7"/>
    <w:p w:rsidR="00EC69F7" w:rsidRPr="0087061B" w:rsidRDefault="00EC69F7" w:rsidP="00EC69F7">
      <w:r>
        <w:t>5.</w:t>
      </w:r>
      <w:r>
        <w:tab/>
      </w:r>
      <w:r>
        <w:rPr>
          <w:u w:val="single"/>
        </w:rPr>
        <w:t>Tätigkeiten zur Förderung des Sortenschutzes</w:t>
      </w:r>
      <w:r>
        <w:t>: keine Aktualisierungen.</w:t>
      </w:r>
    </w:p>
    <w:p w:rsidR="00EC69F7" w:rsidRDefault="00EC69F7" w:rsidP="00EC69F7"/>
    <w:p w:rsidR="00EC69F7" w:rsidRPr="0087061B" w:rsidRDefault="00EC69F7" w:rsidP="00EC69F7"/>
    <w:p w:rsidR="00EC69F7" w:rsidRPr="0087061B" w:rsidRDefault="00EC69F7" w:rsidP="00EC69F7">
      <w:r>
        <w:t>II.</w:t>
      </w:r>
      <w:r>
        <w:tab/>
        <w:t>ANDERE ENTWICKLUNGEN VON BELANG FÜR DIE UPOV</w:t>
      </w:r>
    </w:p>
    <w:p w:rsidR="00EC69F7" w:rsidRPr="0087061B" w:rsidRDefault="00EC69F7" w:rsidP="00EC69F7"/>
    <w:p w:rsidR="00EC69F7" w:rsidRPr="0087061B" w:rsidRDefault="00EC69F7" w:rsidP="00EC69F7">
      <w:r>
        <w:tab/>
        <w:t>Keine Aktualisierungen.</w:t>
      </w:r>
    </w:p>
    <w:p w:rsidR="00BC1E54" w:rsidRDefault="00BC1E54" w:rsidP="00BC1E54"/>
    <w:p w:rsidR="00BC1E54" w:rsidRDefault="00BC1E54" w:rsidP="00BC1E54"/>
    <w:p w:rsidR="004128AB" w:rsidRPr="006F3121" w:rsidRDefault="004128AB" w:rsidP="004128AB">
      <w:pPr>
        <w:jc w:val="left"/>
      </w:pPr>
    </w:p>
    <w:p w:rsidR="004128AB" w:rsidRPr="006F3121" w:rsidRDefault="004128AB" w:rsidP="004128AB">
      <w:pPr>
        <w:jc w:val="right"/>
      </w:pPr>
      <w:r w:rsidRPr="006F3121">
        <w:t>[Anlage XV folgt]</w:t>
      </w:r>
    </w:p>
    <w:p w:rsidR="004128AB" w:rsidRPr="006F3121" w:rsidRDefault="004128AB" w:rsidP="004128AB"/>
    <w:p w:rsidR="004128AB" w:rsidRPr="006F3121" w:rsidRDefault="004128AB" w:rsidP="004128AB">
      <w:pPr>
        <w:jc w:val="left"/>
        <w:sectPr w:rsidR="004128AB" w:rsidRPr="006F3121" w:rsidSect="00CE587F">
          <w:headerReference w:type="default" r:id="rId42"/>
          <w:pgSz w:w="11907" w:h="16840" w:code="9"/>
          <w:pgMar w:top="510" w:right="1134" w:bottom="1134" w:left="1134" w:header="510" w:footer="680" w:gutter="0"/>
          <w:pgNumType w:start="1"/>
          <w:cols w:space="720"/>
          <w:titlePg/>
        </w:sectPr>
      </w:pPr>
    </w:p>
    <w:p w:rsidR="004128AB" w:rsidRPr="006F3121" w:rsidRDefault="006F5780" w:rsidP="004128AB">
      <w:pPr>
        <w:jc w:val="center"/>
      </w:pPr>
      <w:r>
        <w:lastRenderedPageBreak/>
        <w:t>C/55/INF/4</w:t>
      </w:r>
    </w:p>
    <w:p w:rsidR="004128AB" w:rsidRPr="006F3121" w:rsidRDefault="004128AB" w:rsidP="004128AB">
      <w:pPr>
        <w:jc w:val="center"/>
      </w:pPr>
    </w:p>
    <w:p w:rsidR="004128AB" w:rsidRPr="006F3121" w:rsidRDefault="004128AB" w:rsidP="004128AB">
      <w:pPr>
        <w:jc w:val="center"/>
      </w:pPr>
      <w:r w:rsidRPr="006F3121">
        <w:t>ANLAGE XV</w:t>
      </w:r>
    </w:p>
    <w:p w:rsidR="004128AB" w:rsidRPr="006F3121" w:rsidRDefault="004128AB" w:rsidP="004128AB">
      <w:pPr>
        <w:jc w:val="center"/>
      </w:pPr>
    </w:p>
    <w:p w:rsidR="004128AB" w:rsidRPr="006F3121" w:rsidRDefault="004128AB" w:rsidP="004128AB">
      <w:pPr>
        <w:jc w:val="center"/>
      </w:pPr>
    </w:p>
    <w:p w:rsidR="004128AB" w:rsidRPr="006F3121" w:rsidRDefault="004128AB" w:rsidP="004128AB">
      <w:pPr>
        <w:jc w:val="center"/>
      </w:pPr>
      <w:r w:rsidRPr="006F3121">
        <w:t>UKRAINE</w:t>
      </w:r>
    </w:p>
    <w:p w:rsidR="004128AB" w:rsidRPr="006F3121" w:rsidRDefault="004128AB" w:rsidP="004128AB"/>
    <w:p w:rsidR="004128AB" w:rsidRPr="006F3121" w:rsidRDefault="004128AB" w:rsidP="004128AB"/>
    <w:p w:rsidR="00EC69F7" w:rsidRPr="007A184F" w:rsidRDefault="00EC69F7" w:rsidP="00EC69F7">
      <w:r>
        <w:t>I.</w:t>
      </w:r>
      <w:r>
        <w:tab/>
        <w:t>SORTENSCHUTZ</w:t>
      </w:r>
    </w:p>
    <w:p w:rsidR="00EC69F7" w:rsidRPr="007A184F" w:rsidRDefault="00EC69F7" w:rsidP="00EC69F7"/>
    <w:p w:rsidR="00EC69F7" w:rsidRPr="007A184F" w:rsidRDefault="00EC69F7" w:rsidP="00EC69F7">
      <w:r>
        <w:t>1.</w:t>
      </w:r>
      <w:r>
        <w:tab/>
      </w:r>
      <w:r>
        <w:rPr>
          <w:u w:val="single"/>
        </w:rPr>
        <w:t>Lage auf dem Gebiet der Gesetzgebung</w:t>
      </w:r>
    </w:p>
    <w:p w:rsidR="00EC69F7" w:rsidRPr="007A184F" w:rsidRDefault="00EC69F7" w:rsidP="00EC69F7"/>
    <w:p w:rsidR="00EC69F7" w:rsidRDefault="00EC69F7" w:rsidP="00EC69F7">
      <w:r>
        <w:t>1.1</w:t>
      </w:r>
      <w:r>
        <w:tab/>
        <w:t>Änderungen der Gesetzgebung und der Ausführungsvorschriften</w:t>
      </w:r>
    </w:p>
    <w:p w:rsidR="00EC69F7" w:rsidRPr="007A184F" w:rsidRDefault="00EC69F7" w:rsidP="00EC69F7"/>
    <w:p w:rsidR="00EC69F7" w:rsidRPr="007A184F" w:rsidRDefault="00EC69F7" w:rsidP="00EC69F7">
      <w:r>
        <w:t>Durch Beschluss des Ministerkabinetts der Ukraine Nr. 1344 vom 28.12.2020 „</w:t>
      </w:r>
      <w:r>
        <w:rPr>
          <w:i/>
          <w:iCs/>
        </w:rPr>
        <w:t>Some Issues of Optimization of the System of Central Executive Bodies</w:t>
      </w:r>
      <w:r>
        <w:t>“ wurde die Entscheidung über die Umstrukturierung des Ministeriums für Agrarpolitik und Ernährung der Ukraine aufgehoben.</w:t>
      </w:r>
    </w:p>
    <w:p w:rsidR="00EC69F7" w:rsidRDefault="00EC69F7" w:rsidP="00EC69F7"/>
    <w:p w:rsidR="00EC69F7" w:rsidRPr="007A184F" w:rsidRDefault="00EC69F7" w:rsidP="00EC69F7">
      <w:r>
        <w:t>Gemäß den Punkten 1 und 3 der Verordnung des Ministeriums für Agrarpolitik und Ernährung der Ukraine, gebilligt mit Beschluss des Ministerkabinetts der Ukraine Nr. 124 vom 17.02.2021 „</w:t>
      </w:r>
      <w:r>
        <w:rPr>
          <w:i/>
          <w:iCs/>
        </w:rPr>
        <w:t>Some Issues of Activities of the Central Executive Bodies</w:t>
      </w:r>
      <w:r>
        <w:t>“, ist das Ministerium für Agrarpolitik und Ernährung der Ukraine mit den Befugnissen der zentralen leitenden Stelle betraut, die die Gestaltung und Umsetzung der staatlichen Agrarpolitik auf dem Gebiet des Sortenschutzes gewährleisten.</w:t>
      </w:r>
    </w:p>
    <w:p w:rsidR="00EC69F7" w:rsidRDefault="00EC69F7" w:rsidP="00EC69F7"/>
    <w:p w:rsidR="00EC69F7" w:rsidRPr="007A184F" w:rsidRDefault="00EC69F7" w:rsidP="00EC69F7">
      <w:r>
        <w:t>Die entsprechenden Änderungen der Vorschriften im Bereich des Sortenschutzes im Hinblick auf den Teil des Wechsels der zuständige Stelle sind daher für 2021 geplant.</w:t>
      </w:r>
    </w:p>
    <w:p w:rsidR="00EC69F7" w:rsidRPr="007A184F" w:rsidRDefault="00EC69F7" w:rsidP="00EC69F7"/>
    <w:p w:rsidR="00EC69F7" w:rsidRPr="007A184F" w:rsidRDefault="00EC69F7" w:rsidP="00EC69F7">
      <w:r>
        <w:t>2.</w:t>
      </w:r>
      <w:r>
        <w:tab/>
      </w:r>
      <w:r>
        <w:rPr>
          <w:u w:val="single"/>
        </w:rPr>
        <w:t>Zusammenarbeit bei der Prüfung</w:t>
      </w:r>
    </w:p>
    <w:p w:rsidR="00EC69F7" w:rsidRDefault="00EC69F7" w:rsidP="00EC69F7"/>
    <w:p w:rsidR="00EC69F7" w:rsidRDefault="00EC69F7" w:rsidP="00EC69F7">
      <w:r>
        <w:t>Die Ukraine tauschte im Jahr 2020 125 Ergebnisse der DUS-Feldprüfungen aus. Die Ukraine hat die DUS-Prüfungsberichte der folgenden Länder verwendet: Österreich, Tschechische Republik, Ungarn, Italien, Niederlande, Rumänien, Serbien, Slowakei, Spanien, Vereinigtes Königreich, Vereinigte Staaten von Amerika. Die Ukraine lieferte Berichte an die Russische Föderation, Serbien und die Türkei.</w:t>
      </w:r>
    </w:p>
    <w:p w:rsidR="00EC69F7" w:rsidRPr="007A184F" w:rsidRDefault="00EC69F7" w:rsidP="00EC69F7"/>
    <w:p w:rsidR="00EC69F7" w:rsidRDefault="00EC69F7" w:rsidP="00EC69F7">
      <w:pPr>
        <w:rPr>
          <w:u w:val="single"/>
        </w:rPr>
      </w:pPr>
      <w:r>
        <w:t>3.</w:t>
      </w:r>
      <w:r>
        <w:tab/>
      </w:r>
      <w:r>
        <w:rPr>
          <w:u w:val="single"/>
        </w:rPr>
        <w:t>Lage auf dem Gebiet der Verwaltung</w:t>
      </w:r>
    </w:p>
    <w:p w:rsidR="00EC69F7" w:rsidRDefault="00EC69F7" w:rsidP="00EC69F7"/>
    <w:p w:rsidR="00EC69F7" w:rsidRDefault="00EC69F7" w:rsidP="00EC69F7">
      <w:r>
        <w:t>Im Jahr 2020 wurde das Ministerium für Agrarpolitik und Ernährung der Ukraine, die zuständige Stelle für die Eintragung von Sortenrechten in der Ukraine, wiederhergestellt.</w:t>
      </w:r>
    </w:p>
    <w:p w:rsidR="00EC69F7" w:rsidRPr="007A184F" w:rsidRDefault="00EC69F7" w:rsidP="00EC69F7">
      <w:pPr>
        <w:rPr>
          <w:u w:val="single"/>
        </w:rPr>
      </w:pPr>
    </w:p>
    <w:p w:rsidR="00EC69F7" w:rsidRPr="007A184F" w:rsidRDefault="00EC69F7" w:rsidP="00EC69F7">
      <w:r>
        <w:t>4.</w:t>
      </w:r>
      <w:r>
        <w:tab/>
      </w:r>
      <w:r>
        <w:rPr>
          <w:u w:val="single"/>
        </w:rPr>
        <w:t>Lage auf dem Gebiet der Technik</w:t>
      </w:r>
    </w:p>
    <w:p w:rsidR="00EC69F7" w:rsidRDefault="00EC69F7" w:rsidP="00EC69F7"/>
    <w:p w:rsidR="00EC69F7" w:rsidRDefault="00EC69F7" w:rsidP="00EC69F7">
      <w:pPr>
        <w:spacing w:after="120"/>
      </w:pPr>
      <w:r>
        <w:t>Änderungen in den Richtlinien für die Durchführung der Prüfung auf Unterscheidbarkeit, Homogenität und Beständigkeit wurden eingeführt für:</w:t>
      </w:r>
    </w:p>
    <w:p w:rsidR="00EC69F7" w:rsidRPr="007A184F" w:rsidRDefault="00EC69F7" w:rsidP="00EC69F7">
      <w:pPr>
        <w:numPr>
          <w:ilvl w:val="0"/>
          <w:numId w:val="11"/>
        </w:numPr>
      </w:pPr>
      <w:r>
        <w:t>Getreidegruppe;</w:t>
      </w:r>
    </w:p>
    <w:p w:rsidR="00EC69F7" w:rsidRPr="007A184F" w:rsidRDefault="00EC69F7" w:rsidP="00EC69F7">
      <w:pPr>
        <w:numPr>
          <w:ilvl w:val="0"/>
          <w:numId w:val="11"/>
        </w:numPr>
      </w:pPr>
      <w:r>
        <w:t xml:space="preserve">Buchweizen </w:t>
      </w:r>
      <w:r>
        <w:rPr>
          <w:i/>
        </w:rPr>
        <w:t xml:space="preserve">(Fagopyrum esculentum </w:t>
      </w:r>
      <w:r>
        <w:t>Moench);</w:t>
      </w:r>
    </w:p>
    <w:p w:rsidR="00EC69F7" w:rsidRPr="007A184F" w:rsidRDefault="00EC69F7" w:rsidP="00EC69F7">
      <w:pPr>
        <w:numPr>
          <w:ilvl w:val="0"/>
          <w:numId w:val="11"/>
        </w:numPr>
      </w:pPr>
      <w:r>
        <w:t xml:space="preserve">Lein, Flachs </w:t>
      </w:r>
      <w:r>
        <w:rPr>
          <w:i/>
        </w:rPr>
        <w:t xml:space="preserve">(Linum usitatissimum </w:t>
      </w:r>
      <w:r>
        <w:t>L.);</w:t>
      </w:r>
    </w:p>
    <w:p w:rsidR="00EC69F7" w:rsidRPr="007A184F" w:rsidRDefault="00EC69F7" w:rsidP="00EC69F7">
      <w:pPr>
        <w:numPr>
          <w:ilvl w:val="0"/>
          <w:numId w:val="11"/>
        </w:numPr>
      </w:pPr>
      <w:r w:rsidRPr="00A44E3F">
        <w:t>Rotschwingel, Härtlicher Schwingel, Festuca bovina, Feinblättriger Schwingel, Härtlicher Schwingel, Borstenschwingel, Falscher Schaf-Schwingel, Furchen-Schwingel (</w:t>
      </w:r>
      <w:r w:rsidRPr="00922119">
        <w:rPr>
          <w:i/>
          <w:iCs/>
        </w:rPr>
        <w:t>Festuca rubra</w:t>
      </w:r>
      <w:r w:rsidRPr="00A44E3F">
        <w:t xml:space="preserve"> L., </w:t>
      </w:r>
      <w:r w:rsidRPr="00922119">
        <w:rPr>
          <w:i/>
          <w:iCs/>
        </w:rPr>
        <w:t>Festuca ovina</w:t>
      </w:r>
      <w:r w:rsidRPr="00A44E3F">
        <w:t xml:space="preserve"> L., </w:t>
      </w:r>
      <w:r w:rsidRPr="00922119">
        <w:rPr>
          <w:i/>
          <w:iCs/>
        </w:rPr>
        <w:t>Festuca filiformis</w:t>
      </w:r>
      <w:r w:rsidRPr="00A44E3F">
        <w:t xml:space="preserve"> Pourr., </w:t>
      </w:r>
      <w:r w:rsidRPr="00922119">
        <w:rPr>
          <w:i/>
          <w:iCs/>
        </w:rPr>
        <w:t>Festuca brevipila</w:t>
      </w:r>
      <w:r w:rsidRPr="00A44E3F">
        <w:t xml:space="preserve"> R. Tracey, </w:t>
      </w:r>
      <w:r w:rsidRPr="00922119">
        <w:rPr>
          <w:i/>
          <w:iCs/>
        </w:rPr>
        <w:t>Festuca heterophylla</w:t>
      </w:r>
      <w:r w:rsidRPr="00A44E3F">
        <w:t xml:space="preserve"> Lam., Festuca pseudovina Hack. ex Wiesb., Festuca rupicola Heuff.);</w:t>
      </w:r>
    </w:p>
    <w:p w:rsidR="00EC69F7" w:rsidRPr="007A184F" w:rsidRDefault="00EC69F7" w:rsidP="00EC69F7">
      <w:pPr>
        <w:numPr>
          <w:ilvl w:val="0"/>
          <w:numId w:val="11"/>
        </w:numPr>
      </w:pPr>
      <w:r>
        <w:t xml:space="preserve">Wiesenrispe </w:t>
      </w:r>
      <w:r>
        <w:rPr>
          <w:i/>
        </w:rPr>
        <w:t xml:space="preserve">(Poa pratensis </w:t>
      </w:r>
      <w:r>
        <w:t>L.);</w:t>
      </w:r>
    </w:p>
    <w:p w:rsidR="00EC69F7" w:rsidRPr="007A184F" w:rsidRDefault="00EC69F7" w:rsidP="00EC69F7">
      <w:pPr>
        <w:numPr>
          <w:ilvl w:val="0"/>
          <w:numId w:val="11"/>
        </w:numPr>
      </w:pPr>
      <w:r>
        <w:t xml:space="preserve">Chinakohl </w:t>
      </w:r>
      <w:r>
        <w:rPr>
          <w:i/>
        </w:rPr>
        <w:t xml:space="preserve">(B rassica rapa </w:t>
      </w:r>
      <w:r>
        <w:t xml:space="preserve">L. var. </w:t>
      </w:r>
      <w:r>
        <w:rPr>
          <w:i/>
        </w:rPr>
        <w:t xml:space="preserve">pekinensis </w:t>
      </w:r>
      <w:r>
        <w:t>(Lo ur.) Kitam.);</w:t>
      </w:r>
    </w:p>
    <w:p w:rsidR="00EC69F7" w:rsidRPr="007A184F" w:rsidRDefault="00EC69F7" w:rsidP="00EC69F7">
      <w:pPr>
        <w:numPr>
          <w:ilvl w:val="0"/>
          <w:numId w:val="11"/>
        </w:numPr>
      </w:pPr>
      <w:r>
        <w:t xml:space="preserve">Salat </w:t>
      </w:r>
      <w:r>
        <w:rPr>
          <w:i/>
        </w:rPr>
        <w:t xml:space="preserve">(Lactuca sativa </w:t>
      </w:r>
      <w:r>
        <w:t>L.);</w:t>
      </w:r>
    </w:p>
    <w:p w:rsidR="00EC69F7" w:rsidRPr="007A184F" w:rsidRDefault="00EC69F7" w:rsidP="00EC69F7">
      <w:pPr>
        <w:numPr>
          <w:ilvl w:val="0"/>
          <w:numId w:val="11"/>
        </w:numPr>
      </w:pPr>
      <w:r>
        <w:t xml:space="preserve">Blaubeere und Heidelbeere </w:t>
      </w:r>
      <w:r>
        <w:rPr>
          <w:i/>
        </w:rPr>
        <w:t xml:space="preserve">(Vaccinium angustifolium </w:t>
      </w:r>
      <w:r>
        <w:t xml:space="preserve">Aiton; V. </w:t>
      </w:r>
      <w:r>
        <w:rPr>
          <w:i/>
        </w:rPr>
        <w:t xml:space="preserve">corymbosum </w:t>
      </w:r>
      <w:r>
        <w:t xml:space="preserve">L.; </w:t>
      </w:r>
      <w:r>
        <w:rPr>
          <w:i/>
        </w:rPr>
        <w:t xml:space="preserve">V.formosum </w:t>
      </w:r>
      <w:r>
        <w:t xml:space="preserve">Andrews; V. </w:t>
      </w:r>
      <w:r>
        <w:rPr>
          <w:i/>
        </w:rPr>
        <w:t xml:space="preserve">myrtilloides </w:t>
      </w:r>
      <w:r>
        <w:t xml:space="preserve">Michx.; V. </w:t>
      </w:r>
      <w:r>
        <w:rPr>
          <w:i/>
        </w:rPr>
        <w:t xml:space="preserve">myrtillus </w:t>
      </w:r>
      <w:r>
        <w:t xml:space="preserve">L.; V. </w:t>
      </w:r>
      <w:r>
        <w:rPr>
          <w:i/>
        </w:rPr>
        <w:t xml:space="preserve">virgatum </w:t>
      </w:r>
      <w:r>
        <w:t xml:space="preserve">Aiton; V. </w:t>
      </w:r>
      <w:r>
        <w:rPr>
          <w:i/>
        </w:rPr>
        <w:t xml:space="preserve">simulatum </w:t>
      </w:r>
      <w:r>
        <w:t>Small);</w:t>
      </w:r>
    </w:p>
    <w:p w:rsidR="00EC69F7" w:rsidRPr="007A184F" w:rsidRDefault="00EC69F7" w:rsidP="00EC69F7">
      <w:pPr>
        <w:numPr>
          <w:ilvl w:val="0"/>
          <w:numId w:val="11"/>
        </w:numPr>
      </w:pPr>
      <w:r>
        <w:t>Gattung Chrysanthemen (</w:t>
      </w:r>
      <w:r>
        <w:rPr>
          <w:i/>
        </w:rPr>
        <w:t xml:space="preserve">Chrysanthemum </w:t>
      </w:r>
      <w:r>
        <w:t>L.);</w:t>
      </w:r>
    </w:p>
    <w:p w:rsidR="00EC69F7" w:rsidRPr="007A184F" w:rsidRDefault="00EC69F7" w:rsidP="00EC69F7">
      <w:pPr>
        <w:numPr>
          <w:ilvl w:val="0"/>
          <w:numId w:val="11"/>
        </w:numPr>
      </w:pPr>
      <w:r>
        <w:t xml:space="preserve">Schwarzkümmel </w:t>
      </w:r>
      <w:r>
        <w:rPr>
          <w:i/>
        </w:rPr>
        <w:t xml:space="preserve">(Nigella sativa </w:t>
      </w:r>
      <w:r>
        <w:t>L.);</w:t>
      </w:r>
    </w:p>
    <w:p w:rsidR="00EC69F7" w:rsidRDefault="00EC69F7" w:rsidP="00EC69F7">
      <w:pPr>
        <w:numPr>
          <w:ilvl w:val="0"/>
          <w:numId w:val="11"/>
        </w:numPr>
      </w:pPr>
      <w:r>
        <w:t xml:space="preserve">Mexikanischer Salbei </w:t>
      </w:r>
      <w:r>
        <w:rPr>
          <w:i/>
        </w:rPr>
        <w:t xml:space="preserve">(Salvia patens </w:t>
      </w:r>
      <w:r>
        <w:t>Cav.)</w:t>
      </w:r>
    </w:p>
    <w:p w:rsidR="00EC69F7" w:rsidRPr="007A184F" w:rsidRDefault="00EC69F7" w:rsidP="00EC69F7">
      <w:pPr>
        <w:spacing w:before="120" w:after="120"/>
        <w:ind w:left="357"/>
      </w:pPr>
      <w:r>
        <w:t>Richtlinien für die Durchführung der Prüfung auf Unterscheidbarkeit, Homogenität und Beständigkeit wurden entwickelt für:</w:t>
      </w:r>
    </w:p>
    <w:p w:rsidR="00EC69F7" w:rsidRPr="007A184F" w:rsidRDefault="00EC69F7" w:rsidP="00EC69F7">
      <w:pPr>
        <w:numPr>
          <w:ilvl w:val="0"/>
          <w:numId w:val="11"/>
        </w:numPr>
      </w:pPr>
      <w:r>
        <w:t xml:space="preserve">Quinoa </w:t>
      </w:r>
      <w:r>
        <w:rPr>
          <w:i/>
        </w:rPr>
        <w:t xml:space="preserve">(Chenopodium quinoa </w:t>
      </w:r>
      <w:r>
        <w:t>Willd.);</w:t>
      </w:r>
    </w:p>
    <w:p w:rsidR="00EC69F7" w:rsidRPr="009C53CB" w:rsidRDefault="00EC69F7" w:rsidP="00EC69F7">
      <w:pPr>
        <w:numPr>
          <w:ilvl w:val="0"/>
          <w:numId w:val="11"/>
        </w:numPr>
        <w:rPr>
          <w:lang w:val="fr-FR"/>
        </w:rPr>
      </w:pPr>
      <w:r w:rsidRPr="009C53CB">
        <w:rPr>
          <w:lang w:val="fr-FR"/>
        </w:rPr>
        <w:t xml:space="preserve">Süßkartoffel </w:t>
      </w:r>
      <w:r w:rsidRPr="009C53CB">
        <w:rPr>
          <w:i/>
          <w:lang w:val="fr-FR"/>
        </w:rPr>
        <w:t xml:space="preserve">(Ipomoea batatas </w:t>
      </w:r>
      <w:r w:rsidRPr="009C53CB">
        <w:rPr>
          <w:lang w:val="fr-FR"/>
        </w:rPr>
        <w:t>(L.) Lam.);</w:t>
      </w:r>
    </w:p>
    <w:p w:rsidR="00EC69F7" w:rsidRPr="007A184F" w:rsidRDefault="00EC69F7" w:rsidP="00EC69F7">
      <w:pPr>
        <w:numPr>
          <w:ilvl w:val="0"/>
          <w:numId w:val="11"/>
        </w:numPr>
      </w:pPr>
      <w:r>
        <w:t xml:space="preserve">Ingwer </w:t>
      </w:r>
      <w:r>
        <w:rPr>
          <w:i/>
        </w:rPr>
        <w:t xml:space="preserve">(Zingiber officinale </w:t>
      </w:r>
      <w:r>
        <w:t>Rose.).</w:t>
      </w:r>
    </w:p>
    <w:p w:rsidR="00537BEE" w:rsidRDefault="00537BEE" w:rsidP="00537BEE"/>
    <w:p w:rsidR="00537BEE" w:rsidRDefault="00537BEE" w:rsidP="004128AB">
      <w:pPr>
        <w:jc w:val="left"/>
        <w:sectPr w:rsidR="00537BEE" w:rsidSect="00EC69F7">
          <w:headerReference w:type="default" r:id="rId43"/>
          <w:pgSz w:w="11907" w:h="16840" w:code="9"/>
          <w:pgMar w:top="510" w:right="1134" w:bottom="709" w:left="1134" w:header="510" w:footer="680" w:gutter="0"/>
          <w:pgNumType w:start="1"/>
          <w:cols w:space="720"/>
          <w:titlePg/>
        </w:sectPr>
      </w:pPr>
    </w:p>
    <w:p w:rsidR="00537BEE" w:rsidRPr="00F12FD8" w:rsidRDefault="00537BEE" w:rsidP="00537BEE">
      <w:pPr>
        <w:rPr>
          <w:u w:val="single"/>
        </w:rPr>
      </w:pPr>
      <w:r>
        <w:lastRenderedPageBreak/>
        <w:t>5.</w:t>
      </w:r>
      <w:r>
        <w:tab/>
      </w:r>
      <w:r>
        <w:rPr>
          <w:u w:val="single"/>
        </w:rPr>
        <w:t>Tätigkeiten zur Förderung des Sortenschutzes</w:t>
      </w:r>
    </w:p>
    <w:p w:rsidR="00537BEE" w:rsidRDefault="00537BEE" w:rsidP="00537BEE"/>
    <w:tbl>
      <w:tblPr>
        <w:tblW w:w="151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01"/>
        <w:gridCol w:w="1276"/>
        <w:gridCol w:w="969"/>
        <w:gridCol w:w="2858"/>
        <w:gridCol w:w="3520"/>
        <w:gridCol w:w="1843"/>
        <w:gridCol w:w="1730"/>
      </w:tblGrid>
      <w:tr w:rsidR="00EC69F7" w:rsidRPr="008C7730" w:rsidTr="00105071">
        <w:tc>
          <w:tcPr>
            <w:tcW w:w="3001" w:type="dxa"/>
            <w:shd w:val="clear" w:color="auto" w:fill="auto"/>
            <w:tcMar>
              <w:top w:w="28" w:type="dxa"/>
              <w:left w:w="57" w:type="dxa"/>
              <w:bottom w:w="28" w:type="dxa"/>
              <w:right w:w="57" w:type="dxa"/>
            </w:tcMar>
            <w:vAlign w:val="center"/>
            <w:hideMark/>
          </w:tcPr>
          <w:p w:rsidR="00EC69F7" w:rsidRPr="008C7730" w:rsidRDefault="00EC69F7" w:rsidP="00AA577D">
            <w:pPr>
              <w:jc w:val="left"/>
              <w:rPr>
                <w:rFonts w:cs="Arial"/>
                <w:sz w:val="16"/>
                <w:szCs w:val="18"/>
              </w:rPr>
            </w:pPr>
            <w:r>
              <w:rPr>
                <w:sz w:val="16"/>
              </w:rPr>
              <w:t>Art der Tätigkeit</w:t>
            </w:r>
          </w:p>
        </w:tc>
        <w:tc>
          <w:tcPr>
            <w:tcW w:w="1276" w:type="dxa"/>
            <w:shd w:val="clear" w:color="auto" w:fill="auto"/>
            <w:tcMar>
              <w:top w:w="28" w:type="dxa"/>
              <w:left w:w="57" w:type="dxa"/>
              <w:bottom w:w="28" w:type="dxa"/>
              <w:right w:w="57" w:type="dxa"/>
            </w:tcMar>
            <w:vAlign w:val="center"/>
            <w:hideMark/>
          </w:tcPr>
          <w:p w:rsidR="00EC69F7" w:rsidRPr="008C7730" w:rsidRDefault="00EC69F7" w:rsidP="00AA577D">
            <w:pPr>
              <w:jc w:val="left"/>
              <w:rPr>
                <w:rFonts w:cs="Arial"/>
                <w:sz w:val="16"/>
                <w:szCs w:val="18"/>
              </w:rPr>
            </w:pPr>
            <w:r>
              <w:rPr>
                <w:sz w:val="16"/>
              </w:rPr>
              <w:t>Datum</w:t>
            </w:r>
          </w:p>
        </w:tc>
        <w:tc>
          <w:tcPr>
            <w:tcW w:w="969" w:type="dxa"/>
            <w:shd w:val="clear" w:color="auto" w:fill="auto"/>
            <w:tcMar>
              <w:top w:w="28" w:type="dxa"/>
              <w:left w:w="57" w:type="dxa"/>
              <w:bottom w:w="28" w:type="dxa"/>
              <w:right w:w="57" w:type="dxa"/>
            </w:tcMar>
            <w:vAlign w:val="center"/>
            <w:hideMark/>
          </w:tcPr>
          <w:p w:rsidR="00EC69F7" w:rsidRPr="008C7730" w:rsidRDefault="00EC69F7" w:rsidP="00AA577D">
            <w:pPr>
              <w:jc w:val="left"/>
              <w:rPr>
                <w:rFonts w:cs="Arial"/>
                <w:sz w:val="16"/>
                <w:szCs w:val="18"/>
              </w:rPr>
            </w:pPr>
            <w:r>
              <w:rPr>
                <w:sz w:val="16"/>
              </w:rPr>
              <w:t>Ort</w:t>
            </w:r>
          </w:p>
        </w:tc>
        <w:tc>
          <w:tcPr>
            <w:tcW w:w="2858" w:type="dxa"/>
            <w:shd w:val="clear" w:color="auto" w:fill="auto"/>
            <w:tcMar>
              <w:top w:w="28" w:type="dxa"/>
              <w:left w:w="57" w:type="dxa"/>
              <w:bottom w:w="28" w:type="dxa"/>
              <w:right w:w="57" w:type="dxa"/>
            </w:tcMar>
            <w:vAlign w:val="center"/>
            <w:hideMark/>
          </w:tcPr>
          <w:p w:rsidR="00EC69F7" w:rsidRPr="008C7730" w:rsidRDefault="00EC69F7" w:rsidP="00AA577D">
            <w:pPr>
              <w:jc w:val="left"/>
              <w:rPr>
                <w:rFonts w:cs="Arial"/>
                <w:sz w:val="16"/>
                <w:szCs w:val="18"/>
              </w:rPr>
            </w:pPr>
            <w:r>
              <w:rPr>
                <w:sz w:val="16"/>
              </w:rPr>
              <w:t>Organisator(en)</w:t>
            </w:r>
          </w:p>
        </w:tc>
        <w:tc>
          <w:tcPr>
            <w:tcW w:w="3520" w:type="dxa"/>
            <w:shd w:val="clear" w:color="auto" w:fill="auto"/>
            <w:tcMar>
              <w:top w:w="28" w:type="dxa"/>
              <w:left w:w="57" w:type="dxa"/>
              <w:bottom w:w="28" w:type="dxa"/>
              <w:right w:w="57" w:type="dxa"/>
            </w:tcMar>
            <w:vAlign w:val="center"/>
            <w:hideMark/>
          </w:tcPr>
          <w:p w:rsidR="00EC69F7" w:rsidRPr="008C7730" w:rsidRDefault="00EC69F7" w:rsidP="00AA577D">
            <w:pPr>
              <w:jc w:val="left"/>
              <w:rPr>
                <w:rFonts w:cs="Arial"/>
                <w:sz w:val="16"/>
                <w:szCs w:val="18"/>
              </w:rPr>
            </w:pPr>
            <w:r>
              <w:rPr>
                <w:sz w:val="16"/>
              </w:rPr>
              <w:t>Zweck der Tätigkeit</w:t>
            </w:r>
          </w:p>
        </w:tc>
        <w:tc>
          <w:tcPr>
            <w:tcW w:w="1843" w:type="dxa"/>
            <w:shd w:val="clear" w:color="auto" w:fill="auto"/>
            <w:tcMar>
              <w:top w:w="28" w:type="dxa"/>
              <w:left w:w="57" w:type="dxa"/>
              <w:bottom w:w="28" w:type="dxa"/>
              <w:right w:w="57" w:type="dxa"/>
            </w:tcMar>
            <w:vAlign w:val="center"/>
            <w:hideMark/>
          </w:tcPr>
          <w:p w:rsidR="00EC69F7" w:rsidRPr="008C7730" w:rsidRDefault="00EC69F7" w:rsidP="00AA577D">
            <w:pPr>
              <w:jc w:val="left"/>
              <w:rPr>
                <w:rFonts w:cs="Arial"/>
                <w:sz w:val="16"/>
                <w:szCs w:val="18"/>
              </w:rPr>
            </w:pPr>
            <w:r>
              <w:rPr>
                <w:sz w:val="16"/>
              </w:rPr>
              <w:t>Teilnehmende Staaten/Organisationen (Zahl der Teilnehmer pro Staat/Organisation)</w:t>
            </w:r>
          </w:p>
        </w:tc>
        <w:tc>
          <w:tcPr>
            <w:tcW w:w="1730" w:type="dxa"/>
            <w:shd w:val="clear" w:color="auto" w:fill="auto"/>
            <w:tcMar>
              <w:top w:w="28" w:type="dxa"/>
              <w:left w:w="57" w:type="dxa"/>
              <w:bottom w:w="28" w:type="dxa"/>
              <w:right w:w="57" w:type="dxa"/>
            </w:tcMar>
            <w:vAlign w:val="center"/>
            <w:hideMark/>
          </w:tcPr>
          <w:p w:rsidR="00EC69F7" w:rsidRPr="008C7730" w:rsidRDefault="00EC69F7" w:rsidP="00AA577D">
            <w:pPr>
              <w:jc w:val="left"/>
              <w:rPr>
                <w:rFonts w:cs="Arial"/>
                <w:sz w:val="16"/>
                <w:szCs w:val="18"/>
              </w:rPr>
            </w:pPr>
            <w:r>
              <w:rPr>
                <w:sz w:val="16"/>
              </w:rPr>
              <w:t>Anmerkungen</w:t>
            </w:r>
          </w:p>
        </w:tc>
      </w:tr>
      <w:tr w:rsidR="00EC69F7" w:rsidRPr="008C7730" w:rsidTr="00105071">
        <w:tc>
          <w:tcPr>
            <w:tcW w:w="3001" w:type="dxa"/>
            <w:shd w:val="clear" w:color="auto" w:fill="auto"/>
            <w:tcMar>
              <w:top w:w="28" w:type="dxa"/>
              <w:left w:w="57" w:type="dxa"/>
              <w:bottom w:w="28" w:type="dxa"/>
              <w:right w:w="57" w:type="dxa"/>
            </w:tcMar>
            <w:hideMark/>
          </w:tcPr>
          <w:p w:rsidR="00EC69F7" w:rsidRPr="008C7730" w:rsidRDefault="00EC69F7" w:rsidP="00AA577D">
            <w:pPr>
              <w:jc w:val="left"/>
              <w:rPr>
                <w:rFonts w:cs="Arial"/>
                <w:sz w:val="16"/>
                <w:szCs w:val="18"/>
              </w:rPr>
            </w:pPr>
            <w:r>
              <w:rPr>
                <w:sz w:val="16"/>
              </w:rPr>
              <w:t>„</w:t>
            </w:r>
            <w:r w:rsidRPr="00433794">
              <w:rPr>
                <w:sz w:val="16"/>
                <w:lang w:val="en-GB"/>
              </w:rPr>
              <w:t>Plant Varieties Studying and Protection</w:t>
            </w:r>
            <w:r>
              <w:rPr>
                <w:sz w:val="16"/>
              </w:rPr>
              <w:t>”</w:t>
            </w:r>
          </w:p>
          <w:p w:rsidR="00EC69F7" w:rsidRPr="008C7730" w:rsidRDefault="00EC69F7" w:rsidP="00AA577D">
            <w:pPr>
              <w:jc w:val="left"/>
              <w:rPr>
                <w:rFonts w:cs="Arial"/>
                <w:sz w:val="16"/>
                <w:szCs w:val="18"/>
              </w:rPr>
            </w:pPr>
            <w:r>
              <w:rPr>
                <w:sz w:val="16"/>
              </w:rPr>
              <w:t>Print ISSN 2518-1017</w:t>
            </w:r>
          </w:p>
          <w:p w:rsidR="00EC69F7" w:rsidRPr="008C7730" w:rsidRDefault="00EC69F7" w:rsidP="00AA577D">
            <w:pPr>
              <w:jc w:val="left"/>
              <w:rPr>
                <w:rFonts w:cs="Arial"/>
                <w:sz w:val="16"/>
                <w:szCs w:val="18"/>
              </w:rPr>
            </w:pPr>
            <w:r>
              <w:rPr>
                <w:sz w:val="16"/>
              </w:rPr>
              <w:t>Online ISSN 2518-7457</w:t>
            </w:r>
          </w:p>
          <w:p w:rsidR="00EC69F7" w:rsidRPr="008C7730" w:rsidRDefault="00EC69F7" w:rsidP="00AA577D">
            <w:pPr>
              <w:jc w:val="left"/>
              <w:rPr>
                <w:rFonts w:cs="Arial"/>
                <w:sz w:val="16"/>
                <w:szCs w:val="18"/>
              </w:rPr>
            </w:pPr>
            <w:r>
              <w:rPr>
                <w:sz w:val="16"/>
              </w:rPr>
              <w:t>Nr. 1, 2, 3, 4 Band 16 2020</w:t>
            </w:r>
          </w:p>
          <w:p w:rsidR="00EC69F7" w:rsidRPr="008C7730" w:rsidRDefault="002E1243" w:rsidP="00AA577D">
            <w:pPr>
              <w:jc w:val="left"/>
              <w:rPr>
                <w:rFonts w:cs="Arial"/>
                <w:sz w:val="16"/>
                <w:szCs w:val="18"/>
              </w:rPr>
            </w:pPr>
            <w:hyperlink r:id="rId44" w:history="1">
              <w:r w:rsidR="00EC69F7">
                <w:rPr>
                  <w:rStyle w:val="Hyperlink"/>
                  <w:sz w:val="16"/>
                </w:rPr>
                <w:t>http://journal.sops.gov.ua/</w:t>
              </w:r>
            </w:hyperlink>
          </w:p>
          <w:p w:rsidR="00EC69F7" w:rsidRPr="008C7730" w:rsidRDefault="00EC69F7" w:rsidP="00AA577D">
            <w:pPr>
              <w:jc w:val="left"/>
              <w:rPr>
                <w:rFonts w:cs="Arial"/>
                <w:sz w:val="16"/>
                <w:szCs w:val="18"/>
              </w:rPr>
            </w:pPr>
          </w:p>
        </w:tc>
        <w:tc>
          <w:tcPr>
            <w:tcW w:w="1276" w:type="dxa"/>
            <w:shd w:val="clear" w:color="auto" w:fill="auto"/>
            <w:tcMar>
              <w:top w:w="28" w:type="dxa"/>
              <w:left w:w="57" w:type="dxa"/>
              <w:bottom w:w="28" w:type="dxa"/>
              <w:right w:w="57" w:type="dxa"/>
            </w:tcMar>
            <w:hideMark/>
          </w:tcPr>
          <w:p w:rsidR="00EC69F7" w:rsidRPr="008C7730" w:rsidRDefault="00EC69F7" w:rsidP="00AA577D">
            <w:pPr>
              <w:jc w:val="left"/>
              <w:rPr>
                <w:rFonts w:cs="Arial"/>
                <w:sz w:val="16"/>
                <w:szCs w:val="18"/>
              </w:rPr>
            </w:pPr>
            <w:r>
              <w:rPr>
                <w:sz w:val="16"/>
              </w:rPr>
              <w:t>vierteljährlich</w:t>
            </w:r>
          </w:p>
        </w:tc>
        <w:tc>
          <w:tcPr>
            <w:tcW w:w="969" w:type="dxa"/>
            <w:shd w:val="clear" w:color="auto" w:fill="auto"/>
            <w:tcMar>
              <w:top w:w="28" w:type="dxa"/>
              <w:left w:w="57" w:type="dxa"/>
              <w:bottom w:w="28" w:type="dxa"/>
              <w:right w:w="57" w:type="dxa"/>
            </w:tcMar>
            <w:hideMark/>
          </w:tcPr>
          <w:p w:rsidR="00EC69F7" w:rsidRPr="008C7730" w:rsidRDefault="00EC69F7" w:rsidP="00AA577D">
            <w:pPr>
              <w:jc w:val="left"/>
              <w:rPr>
                <w:rFonts w:cs="Arial"/>
                <w:sz w:val="16"/>
                <w:szCs w:val="18"/>
              </w:rPr>
            </w:pPr>
            <w:r>
              <w:rPr>
                <w:sz w:val="16"/>
              </w:rPr>
              <w:t>Kiew</w:t>
            </w:r>
          </w:p>
          <w:p w:rsidR="00EC69F7" w:rsidRPr="008C7730" w:rsidRDefault="00EC69F7" w:rsidP="00AA577D">
            <w:pPr>
              <w:jc w:val="left"/>
              <w:rPr>
                <w:rFonts w:cs="Arial"/>
                <w:sz w:val="16"/>
                <w:szCs w:val="18"/>
              </w:rPr>
            </w:pPr>
            <w:r>
              <w:rPr>
                <w:sz w:val="16"/>
              </w:rPr>
              <w:t>Ukraine</w:t>
            </w:r>
          </w:p>
        </w:tc>
        <w:tc>
          <w:tcPr>
            <w:tcW w:w="2858" w:type="dxa"/>
            <w:shd w:val="clear" w:color="auto" w:fill="auto"/>
            <w:tcMar>
              <w:top w:w="28" w:type="dxa"/>
              <w:left w:w="57" w:type="dxa"/>
              <w:bottom w:w="28" w:type="dxa"/>
              <w:right w:w="57" w:type="dxa"/>
            </w:tcMar>
            <w:hideMark/>
          </w:tcPr>
          <w:p w:rsidR="00EC69F7" w:rsidRPr="008C7730" w:rsidRDefault="00EC69F7" w:rsidP="00AA577D">
            <w:pPr>
              <w:jc w:val="left"/>
              <w:rPr>
                <w:rFonts w:cs="Arial"/>
                <w:sz w:val="16"/>
                <w:szCs w:val="18"/>
              </w:rPr>
            </w:pPr>
            <w:r>
              <w:rPr>
                <w:sz w:val="16"/>
              </w:rPr>
              <w:t xml:space="preserve">Ukrainisches Institut für Sortenprüfung, </w:t>
            </w:r>
          </w:p>
          <w:p w:rsidR="00EC69F7" w:rsidRPr="008C7730" w:rsidRDefault="00EC69F7" w:rsidP="00AA577D">
            <w:pPr>
              <w:jc w:val="left"/>
              <w:rPr>
                <w:rFonts w:cs="Arial"/>
                <w:sz w:val="16"/>
                <w:szCs w:val="18"/>
              </w:rPr>
            </w:pPr>
            <w:r>
              <w:rPr>
                <w:sz w:val="16"/>
              </w:rPr>
              <w:t xml:space="preserve">Institut für Pflanzenzüchtung und Genetik – Nationales Zentrum für Saatgut- und Pflanzenforschung von NAAS, </w:t>
            </w:r>
          </w:p>
          <w:p w:rsidR="00EC69F7" w:rsidRPr="008C7730" w:rsidRDefault="00EC69F7" w:rsidP="00AA577D">
            <w:pPr>
              <w:jc w:val="left"/>
              <w:rPr>
                <w:rFonts w:cs="Arial"/>
                <w:sz w:val="16"/>
                <w:szCs w:val="18"/>
              </w:rPr>
            </w:pPr>
            <w:r>
              <w:rPr>
                <w:sz w:val="16"/>
              </w:rPr>
              <w:t>Institut für Pflanzenphysiologie und Genetik, Nationale Akademie der Wissenschaften der Ukraine</w:t>
            </w:r>
          </w:p>
        </w:tc>
        <w:tc>
          <w:tcPr>
            <w:tcW w:w="3520" w:type="dxa"/>
            <w:shd w:val="clear" w:color="auto" w:fill="auto"/>
            <w:tcMar>
              <w:top w:w="28" w:type="dxa"/>
              <w:left w:w="57" w:type="dxa"/>
              <w:bottom w:w="28" w:type="dxa"/>
              <w:right w:w="57" w:type="dxa"/>
            </w:tcMar>
            <w:hideMark/>
          </w:tcPr>
          <w:p w:rsidR="00EC69F7" w:rsidRPr="008C7730" w:rsidRDefault="00EC69F7" w:rsidP="00AA577D">
            <w:pPr>
              <w:jc w:val="left"/>
              <w:rPr>
                <w:rFonts w:cs="Arial"/>
                <w:sz w:val="16"/>
                <w:szCs w:val="18"/>
              </w:rPr>
            </w:pPr>
            <w:r>
              <w:rPr>
                <w:sz w:val="16"/>
              </w:rPr>
              <w:t>Veröffentlichungen zu Sortenstudium und Wissenschaft, Genetik, Züchtung und Saatgutproduktion, Pflanzenphysiologie, Biotechnologie und Biosicherheit, Pflanzenproduktion, Sortenmarkt, Sortenschutz, internationale Zusammenarbeit, Informationssysteme und Technologien, Ansichten junger Wissenschaftler, Wissenschaftsgeschichte, Jahrestage</w:t>
            </w:r>
          </w:p>
        </w:tc>
        <w:tc>
          <w:tcPr>
            <w:tcW w:w="1843" w:type="dxa"/>
            <w:shd w:val="clear" w:color="auto" w:fill="auto"/>
            <w:tcMar>
              <w:top w:w="28" w:type="dxa"/>
              <w:left w:w="57" w:type="dxa"/>
              <w:bottom w:w="28" w:type="dxa"/>
              <w:right w:w="57" w:type="dxa"/>
            </w:tcMar>
            <w:hideMark/>
          </w:tcPr>
          <w:p w:rsidR="00EC69F7" w:rsidRPr="008C7730" w:rsidRDefault="00EC69F7" w:rsidP="00AA577D">
            <w:pPr>
              <w:jc w:val="left"/>
              <w:rPr>
                <w:rFonts w:cs="Arial"/>
                <w:sz w:val="16"/>
                <w:szCs w:val="18"/>
              </w:rPr>
            </w:pPr>
            <w:r>
              <w:rPr>
                <w:sz w:val="16"/>
              </w:rPr>
              <w:t>Ukraine</w:t>
            </w:r>
          </w:p>
        </w:tc>
        <w:tc>
          <w:tcPr>
            <w:tcW w:w="1730" w:type="dxa"/>
            <w:shd w:val="clear" w:color="auto" w:fill="auto"/>
            <w:tcMar>
              <w:top w:w="28" w:type="dxa"/>
              <w:left w:w="57" w:type="dxa"/>
              <w:bottom w:w="28" w:type="dxa"/>
              <w:right w:w="57" w:type="dxa"/>
            </w:tcMar>
            <w:hideMark/>
          </w:tcPr>
          <w:p w:rsidR="00EC69F7" w:rsidRPr="008C7730" w:rsidRDefault="00EC69F7" w:rsidP="00AA577D">
            <w:pPr>
              <w:jc w:val="left"/>
              <w:rPr>
                <w:rFonts w:cs="Arial"/>
                <w:sz w:val="16"/>
                <w:szCs w:val="18"/>
                <w:lang w:val="en-GB"/>
              </w:rPr>
            </w:pPr>
          </w:p>
        </w:tc>
      </w:tr>
      <w:tr w:rsidR="00EC69F7" w:rsidRPr="008C7730" w:rsidTr="00105071">
        <w:tc>
          <w:tcPr>
            <w:tcW w:w="3001" w:type="dxa"/>
            <w:shd w:val="clear" w:color="auto" w:fill="auto"/>
            <w:tcMar>
              <w:top w:w="28" w:type="dxa"/>
              <w:left w:w="57" w:type="dxa"/>
              <w:bottom w:w="28" w:type="dxa"/>
              <w:right w:w="57" w:type="dxa"/>
            </w:tcMar>
            <w:hideMark/>
          </w:tcPr>
          <w:p w:rsidR="00EC69F7" w:rsidRPr="008C7730" w:rsidRDefault="00EC69F7" w:rsidP="00AA577D">
            <w:pPr>
              <w:jc w:val="left"/>
              <w:rPr>
                <w:rFonts w:cs="Arial"/>
                <w:sz w:val="16"/>
                <w:szCs w:val="18"/>
              </w:rPr>
            </w:pPr>
            <w:r>
              <w:rPr>
                <w:sz w:val="16"/>
              </w:rPr>
              <w:t>Bulletin „Sortenschutz“, Nr. 1, Nr. 2, Nr. 3, Nr. 4, Nr. 5, Nr. 6 2020</w:t>
            </w:r>
          </w:p>
          <w:p w:rsidR="00EC69F7" w:rsidRPr="008C7730" w:rsidRDefault="002E1243" w:rsidP="00AA577D">
            <w:pPr>
              <w:jc w:val="left"/>
              <w:rPr>
                <w:rFonts w:cs="Arial"/>
                <w:sz w:val="16"/>
                <w:szCs w:val="18"/>
              </w:rPr>
            </w:pPr>
            <w:hyperlink r:id="rId45" w:history="1">
              <w:r w:rsidR="00EC69F7">
                <w:rPr>
                  <w:rStyle w:val="Hyperlink"/>
                  <w:sz w:val="16"/>
                </w:rPr>
                <w:t>https://sops.gov.ua/uploads/page/buleten/B_3_2020.pdf</w:t>
              </w:r>
            </w:hyperlink>
          </w:p>
        </w:tc>
        <w:tc>
          <w:tcPr>
            <w:tcW w:w="1276" w:type="dxa"/>
            <w:shd w:val="clear" w:color="auto" w:fill="auto"/>
            <w:tcMar>
              <w:top w:w="28" w:type="dxa"/>
              <w:left w:w="57" w:type="dxa"/>
              <w:bottom w:w="28" w:type="dxa"/>
              <w:right w:w="57" w:type="dxa"/>
            </w:tcMar>
            <w:hideMark/>
          </w:tcPr>
          <w:p w:rsidR="00EC69F7" w:rsidRPr="008C7730" w:rsidRDefault="00EC69F7" w:rsidP="00AA577D">
            <w:pPr>
              <w:jc w:val="left"/>
              <w:rPr>
                <w:rFonts w:cs="Arial"/>
                <w:sz w:val="16"/>
                <w:szCs w:val="18"/>
              </w:rPr>
            </w:pPr>
            <w:r>
              <w:rPr>
                <w:sz w:val="16"/>
              </w:rPr>
              <w:t>vierteljährlich</w:t>
            </w:r>
          </w:p>
        </w:tc>
        <w:tc>
          <w:tcPr>
            <w:tcW w:w="969" w:type="dxa"/>
            <w:shd w:val="clear" w:color="auto" w:fill="auto"/>
            <w:tcMar>
              <w:top w:w="28" w:type="dxa"/>
              <w:left w:w="57" w:type="dxa"/>
              <w:bottom w:w="28" w:type="dxa"/>
              <w:right w:w="57" w:type="dxa"/>
            </w:tcMar>
            <w:hideMark/>
          </w:tcPr>
          <w:p w:rsidR="00EC69F7" w:rsidRPr="008C7730" w:rsidRDefault="00EC69F7" w:rsidP="00AA577D">
            <w:pPr>
              <w:jc w:val="left"/>
              <w:rPr>
                <w:rFonts w:cs="Arial"/>
                <w:sz w:val="16"/>
                <w:szCs w:val="18"/>
              </w:rPr>
            </w:pPr>
            <w:r>
              <w:rPr>
                <w:sz w:val="16"/>
              </w:rPr>
              <w:t>Kiew</w:t>
            </w:r>
          </w:p>
          <w:p w:rsidR="00EC69F7" w:rsidRPr="008C7730" w:rsidRDefault="00EC69F7" w:rsidP="00AA577D">
            <w:pPr>
              <w:jc w:val="left"/>
              <w:rPr>
                <w:rFonts w:cs="Arial"/>
                <w:sz w:val="16"/>
                <w:szCs w:val="18"/>
              </w:rPr>
            </w:pPr>
            <w:r>
              <w:rPr>
                <w:sz w:val="16"/>
              </w:rPr>
              <w:t>Ukraine</w:t>
            </w:r>
          </w:p>
        </w:tc>
        <w:tc>
          <w:tcPr>
            <w:tcW w:w="2858" w:type="dxa"/>
            <w:shd w:val="clear" w:color="auto" w:fill="auto"/>
            <w:tcMar>
              <w:top w:w="28" w:type="dxa"/>
              <w:left w:w="57" w:type="dxa"/>
              <w:bottom w:w="28" w:type="dxa"/>
              <w:right w:w="57" w:type="dxa"/>
            </w:tcMar>
            <w:hideMark/>
          </w:tcPr>
          <w:p w:rsidR="00EC69F7" w:rsidRPr="008C7730" w:rsidRDefault="00EC69F7" w:rsidP="00AA577D">
            <w:pPr>
              <w:jc w:val="left"/>
              <w:rPr>
                <w:rFonts w:cs="Arial"/>
                <w:sz w:val="16"/>
                <w:szCs w:val="18"/>
              </w:rPr>
            </w:pPr>
            <w:r>
              <w:rPr>
                <w:sz w:val="16"/>
              </w:rPr>
              <w:t>Ukrainisches Institut für Sortenprüfung</w:t>
            </w:r>
          </w:p>
        </w:tc>
        <w:tc>
          <w:tcPr>
            <w:tcW w:w="3520" w:type="dxa"/>
            <w:shd w:val="clear" w:color="auto" w:fill="auto"/>
            <w:tcMar>
              <w:top w:w="28" w:type="dxa"/>
              <w:left w:w="57" w:type="dxa"/>
              <w:bottom w:w="28" w:type="dxa"/>
              <w:right w:w="57" w:type="dxa"/>
            </w:tcMar>
            <w:hideMark/>
          </w:tcPr>
          <w:p w:rsidR="00EC69F7" w:rsidRPr="008C7730" w:rsidRDefault="00EC69F7" w:rsidP="00AA577D">
            <w:pPr>
              <w:jc w:val="left"/>
              <w:rPr>
                <w:rFonts w:cs="Arial"/>
                <w:sz w:val="16"/>
                <w:szCs w:val="18"/>
              </w:rPr>
            </w:pPr>
            <w:r>
              <w:rPr>
                <w:sz w:val="16"/>
              </w:rPr>
              <w:t>Bulletin herausgegeben gemäß dem Gesetz der Ukraine „Sortenschutz“ zum Zwecke offizieller Informationstätigkeit auf dem Gebiet der Sortenrechte und der Umsetzung der internationalen sich aus der Mitgliedschaft im Internationalen Verband zum Schutz von Pflanzenzüchtungen (UPOV) ergebenden Verpflichtungen.</w:t>
            </w:r>
          </w:p>
        </w:tc>
        <w:tc>
          <w:tcPr>
            <w:tcW w:w="1843" w:type="dxa"/>
            <w:shd w:val="clear" w:color="auto" w:fill="auto"/>
            <w:tcMar>
              <w:top w:w="28" w:type="dxa"/>
              <w:left w:w="57" w:type="dxa"/>
              <w:bottom w:w="28" w:type="dxa"/>
              <w:right w:w="57" w:type="dxa"/>
            </w:tcMar>
            <w:hideMark/>
          </w:tcPr>
          <w:p w:rsidR="00EC69F7" w:rsidRPr="008C7730" w:rsidRDefault="00EC69F7" w:rsidP="00AA577D">
            <w:pPr>
              <w:jc w:val="left"/>
              <w:rPr>
                <w:rFonts w:cs="Arial"/>
                <w:sz w:val="16"/>
                <w:szCs w:val="18"/>
              </w:rPr>
            </w:pPr>
            <w:r>
              <w:rPr>
                <w:sz w:val="16"/>
              </w:rPr>
              <w:t xml:space="preserve">Ukraine </w:t>
            </w:r>
          </w:p>
        </w:tc>
        <w:tc>
          <w:tcPr>
            <w:tcW w:w="1730" w:type="dxa"/>
            <w:shd w:val="clear" w:color="auto" w:fill="auto"/>
            <w:tcMar>
              <w:top w:w="28" w:type="dxa"/>
              <w:left w:w="57" w:type="dxa"/>
              <w:bottom w:w="28" w:type="dxa"/>
              <w:right w:w="57" w:type="dxa"/>
            </w:tcMar>
            <w:hideMark/>
          </w:tcPr>
          <w:p w:rsidR="00EC69F7" w:rsidRPr="008C7730" w:rsidRDefault="00EC69F7" w:rsidP="00AA577D">
            <w:pPr>
              <w:jc w:val="left"/>
              <w:rPr>
                <w:rFonts w:cs="Arial"/>
                <w:sz w:val="16"/>
                <w:szCs w:val="18"/>
                <w:lang w:val="en-GB"/>
              </w:rPr>
            </w:pPr>
          </w:p>
        </w:tc>
      </w:tr>
      <w:tr w:rsidR="00EC69F7" w:rsidRPr="008C7730" w:rsidTr="00105071">
        <w:tc>
          <w:tcPr>
            <w:tcW w:w="3001" w:type="dxa"/>
            <w:shd w:val="clear" w:color="auto" w:fill="auto"/>
            <w:tcMar>
              <w:top w:w="28" w:type="dxa"/>
              <w:left w:w="57" w:type="dxa"/>
              <w:bottom w:w="28" w:type="dxa"/>
              <w:right w:w="57" w:type="dxa"/>
            </w:tcMar>
          </w:tcPr>
          <w:p w:rsidR="00EC69F7" w:rsidRPr="008C7730" w:rsidRDefault="00EC69F7" w:rsidP="00AA577D">
            <w:pPr>
              <w:jc w:val="left"/>
              <w:rPr>
                <w:rFonts w:cs="Arial"/>
                <w:sz w:val="16"/>
                <w:szCs w:val="18"/>
              </w:rPr>
            </w:pPr>
            <w:r>
              <w:rPr>
                <w:sz w:val="16"/>
              </w:rPr>
              <w:t xml:space="preserve">VIII. Internationale Konferenz für angewandte Forschung von jungen Wissenschaftlern und Sachverständigen „Züchtung, Genetik und Technologien für den Anbau von Kulturpflanzen“ </w:t>
            </w:r>
            <w:hyperlink r:id="rId46" w:history="1">
              <w:r>
                <w:rPr>
                  <w:rStyle w:val="Hyperlink"/>
                  <w:sz w:val="16"/>
                </w:rPr>
                <w:t>https://sops.gov.ua/uploads/page/5ea14c5ce8a3e.pdf</w:t>
              </w:r>
            </w:hyperlink>
          </w:p>
        </w:tc>
        <w:tc>
          <w:tcPr>
            <w:tcW w:w="1276" w:type="dxa"/>
            <w:shd w:val="clear" w:color="auto" w:fill="auto"/>
            <w:tcMar>
              <w:top w:w="28" w:type="dxa"/>
              <w:left w:w="57" w:type="dxa"/>
              <w:bottom w:w="28" w:type="dxa"/>
              <w:right w:w="57" w:type="dxa"/>
            </w:tcMar>
          </w:tcPr>
          <w:p w:rsidR="00EC69F7" w:rsidRPr="008C7730" w:rsidRDefault="00EC69F7" w:rsidP="00AA577D">
            <w:pPr>
              <w:jc w:val="left"/>
              <w:rPr>
                <w:rFonts w:cs="Arial"/>
                <w:sz w:val="16"/>
                <w:szCs w:val="18"/>
              </w:rPr>
            </w:pPr>
            <w:r>
              <w:rPr>
                <w:sz w:val="16"/>
              </w:rPr>
              <w:t>24.04.2020</w:t>
            </w:r>
          </w:p>
        </w:tc>
        <w:tc>
          <w:tcPr>
            <w:tcW w:w="969" w:type="dxa"/>
            <w:shd w:val="clear" w:color="auto" w:fill="auto"/>
            <w:tcMar>
              <w:top w:w="28" w:type="dxa"/>
              <w:left w:w="57" w:type="dxa"/>
              <w:bottom w:w="28" w:type="dxa"/>
              <w:right w:w="57" w:type="dxa"/>
            </w:tcMar>
          </w:tcPr>
          <w:p w:rsidR="00EC69F7" w:rsidRPr="008C7730" w:rsidRDefault="00EC69F7" w:rsidP="00AA577D">
            <w:pPr>
              <w:jc w:val="left"/>
              <w:rPr>
                <w:rFonts w:cs="Arial"/>
                <w:sz w:val="16"/>
                <w:szCs w:val="18"/>
              </w:rPr>
            </w:pPr>
            <w:r>
              <w:rPr>
                <w:sz w:val="16"/>
              </w:rPr>
              <w:t>Dorf Centralne, Region Kiew</w:t>
            </w:r>
          </w:p>
        </w:tc>
        <w:tc>
          <w:tcPr>
            <w:tcW w:w="2858" w:type="dxa"/>
            <w:shd w:val="clear" w:color="auto" w:fill="auto"/>
            <w:tcMar>
              <w:top w:w="28" w:type="dxa"/>
              <w:left w:w="57" w:type="dxa"/>
              <w:bottom w:w="28" w:type="dxa"/>
              <w:right w:w="57" w:type="dxa"/>
            </w:tcMar>
          </w:tcPr>
          <w:p w:rsidR="00EC69F7" w:rsidRPr="008C7730" w:rsidRDefault="00EC69F7" w:rsidP="00AA577D">
            <w:pPr>
              <w:jc w:val="left"/>
              <w:rPr>
                <w:rFonts w:cs="Arial"/>
                <w:sz w:val="16"/>
                <w:szCs w:val="18"/>
              </w:rPr>
            </w:pPr>
            <w:r>
              <w:rPr>
                <w:sz w:val="16"/>
              </w:rPr>
              <w:t>V.M. Remeslo-Myroniwka-Institut für Weizen,</w:t>
            </w:r>
          </w:p>
          <w:p w:rsidR="00EC69F7" w:rsidRPr="008C7730" w:rsidRDefault="00EC69F7" w:rsidP="00AA577D">
            <w:pPr>
              <w:jc w:val="left"/>
              <w:rPr>
                <w:rFonts w:cs="Arial"/>
                <w:sz w:val="16"/>
                <w:szCs w:val="18"/>
              </w:rPr>
            </w:pPr>
            <w:r>
              <w:rPr>
                <w:sz w:val="16"/>
              </w:rPr>
              <w:t>Nationale Akademie der Agrarwissenschaften der Ukraine;</w:t>
            </w:r>
          </w:p>
          <w:p w:rsidR="00EC69F7" w:rsidRPr="008C7730" w:rsidRDefault="00EC69F7" w:rsidP="00AA577D">
            <w:pPr>
              <w:jc w:val="left"/>
              <w:rPr>
                <w:rFonts w:cs="Arial"/>
                <w:sz w:val="16"/>
                <w:szCs w:val="18"/>
              </w:rPr>
            </w:pPr>
            <w:r>
              <w:rPr>
                <w:sz w:val="16"/>
              </w:rPr>
              <w:t>Ukrainisches Institut für Sortenprüfung</w:t>
            </w:r>
          </w:p>
        </w:tc>
        <w:tc>
          <w:tcPr>
            <w:tcW w:w="3520" w:type="dxa"/>
            <w:shd w:val="clear" w:color="auto" w:fill="auto"/>
            <w:tcMar>
              <w:top w:w="28" w:type="dxa"/>
              <w:left w:w="57" w:type="dxa"/>
              <w:bottom w:w="28" w:type="dxa"/>
              <w:right w:w="57" w:type="dxa"/>
            </w:tcMar>
          </w:tcPr>
          <w:p w:rsidR="00EC69F7" w:rsidRPr="008C7730" w:rsidRDefault="00EC69F7" w:rsidP="00AA577D">
            <w:pPr>
              <w:jc w:val="left"/>
              <w:rPr>
                <w:rFonts w:cs="Arial"/>
                <w:sz w:val="16"/>
                <w:szCs w:val="18"/>
              </w:rPr>
            </w:pPr>
            <w:r>
              <w:rPr>
                <w:sz w:val="16"/>
              </w:rPr>
              <w:t>Definition moderner Trends in der landwirtschaftlichen Forschung und Bewertung von Pflanzensorten</w:t>
            </w:r>
          </w:p>
        </w:tc>
        <w:tc>
          <w:tcPr>
            <w:tcW w:w="1843" w:type="dxa"/>
            <w:shd w:val="clear" w:color="auto" w:fill="auto"/>
            <w:tcMar>
              <w:top w:w="28" w:type="dxa"/>
              <w:left w:w="57" w:type="dxa"/>
              <w:bottom w:w="28" w:type="dxa"/>
              <w:right w:w="57" w:type="dxa"/>
            </w:tcMar>
          </w:tcPr>
          <w:p w:rsidR="00EC69F7" w:rsidRPr="008C7730" w:rsidRDefault="00EC69F7" w:rsidP="00AA577D">
            <w:pPr>
              <w:jc w:val="left"/>
              <w:rPr>
                <w:rFonts w:cs="Arial"/>
                <w:sz w:val="16"/>
                <w:szCs w:val="18"/>
              </w:rPr>
            </w:pPr>
            <w:r>
              <w:rPr>
                <w:sz w:val="16"/>
              </w:rPr>
              <w:t>Ukraine, Belarus, Moldau, Aserbaidschan (162 Teilnehmer)</w:t>
            </w:r>
          </w:p>
        </w:tc>
        <w:tc>
          <w:tcPr>
            <w:tcW w:w="1730" w:type="dxa"/>
            <w:shd w:val="clear" w:color="auto" w:fill="auto"/>
            <w:tcMar>
              <w:top w:w="28" w:type="dxa"/>
              <w:left w:w="57" w:type="dxa"/>
              <w:bottom w:w="28" w:type="dxa"/>
              <w:right w:w="57" w:type="dxa"/>
            </w:tcMar>
          </w:tcPr>
          <w:p w:rsidR="00EC69F7" w:rsidRPr="008C7730" w:rsidRDefault="00EC69F7" w:rsidP="00AA577D">
            <w:pPr>
              <w:jc w:val="left"/>
              <w:rPr>
                <w:rFonts w:cs="Arial"/>
                <w:sz w:val="16"/>
                <w:szCs w:val="18"/>
              </w:rPr>
            </w:pPr>
            <w:r>
              <w:rPr>
                <w:sz w:val="16"/>
              </w:rPr>
              <w:t>eine Sammlung von Konferenzmaterialien wurde veröffentlicht</w:t>
            </w:r>
          </w:p>
        </w:tc>
      </w:tr>
      <w:tr w:rsidR="00EC69F7" w:rsidRPr="008C7730" w:rsidTr="00105071">
        <w:tc>
          <w:tcPr>
            <w:tcW w:w="3001" w:type="dxa"/>
            <w:shd w:val="clear" w:color="auto" w:fill="auto"/>
            <w:tcMar>
              <w:top w:w="28" w:type="dxa"/>
              <w:left w:w="57" w:type="dxa"/>
              <w:bottom w:w="28" w:type="dxa"/>
              <w:right w:w="57" w:type="dxa"/>
            </w:tcMar>
          </w:tcPr>
          <w:p w:rsidR="00EC69F7" w:rsidRPr="008C7730" w:rsidRDefault="00EC69F7" w:rsidP="00AA577D">
            <w:pPr>
              <w:jc w:val="left"/>
              <w:rPr>
                <w:rFonts w:cs="Arial"/>
                <w:sz w:val="16"/>
                <w:szCs w:val="18"/>
              </w:rPr>
            </w:pPr>
            <w:r>
              <w:rPr>
                <w:sz w:val="16"/>
              </w:rPr>
              <w:t>I Internationale Konferenz für angewandte Wissenschaften „Die neuesten Agrotechnologien“</w:t>
            </w:r>
          </w:p>
          <w:p w:rsidR="00EC69F7" w:rsidRPr="00433794" w:rsidRDefault="00EC69F7" w:rsidP="00AA577D">
            <w:pPr>
              <w:jc w:val="left"/>
              <w:rPr>
                <w:rFonts w:cs="Arial"/>
                <w:sz w:val="16"/>
                <w:szCs w:val="18"/>
              </w:rPr>
            </w:pPr>
          </w:p>
          <w:p w:rsidR="00EC69F7" w:rsidRPr="008C7730" w:rsidRDefault="002E1243" w:rsidP="00AA577D">
            <w:pPr>
              <w:jc w:val="left"/>
              <w:rPr>
                <w:rFonts w:cs="Arial"/>
                <w:sz w:val="16"/>
                <w:szCs w:val="18"/>
              </w:rPr>
            </w:pPr>
            <w:hyperlink r:id="rId47" w:history="1">
              <w:r w:rsidR="00EC69F7">
                <w:rPr>
                  <w:rStyle w:val="Hyperlink"/>
                  <w:sz w:val="16"/>
                </w:rPr>
                <w:t>https://conference.ukragroexpert.com.ua</w:t>
              </w:r>
            </w:hyperlink>
          </w:p>
          <w:p w:rsidR="00EC69F7" w:rsidRPr="00433794" w:rsidRDefault="00EC69F7" w:rsidP="00AA577D">
            <w:pPr>
              <w:jc w:val="left"/>
              <w:rPr>
                <w:rFonts w:cs="Arial"/>
                <w:sz w:val="16"/>
                <w:szCs w:val="18"/>
              </w:rPr>
            </w:pPr>
          </w:p>
          <w:p w:rsidR="00EC69F7" w:rsidRPr="008C7730" w:rsidRDefault="002E1243" w:rsidP="00AA577D">
            <w:pPr>
              <w:jc w:val="left"/>
              <w:rPr>
                <w:rFonts w:cs="Arial"/>
                <w:sz w:val="16"/>
                <w:szCs w:val="18"/>
              </w:rPr>
            </w:pPr>
            <w:hyperlink r:id="rId48" w:history="1">
              <w:r w:rsidR="00EC69F7">
                <w:rPr>
                  <w:rStyle w:val="Hyperlink"/>
                  <w:sz w:val="16"/>
                </w:rPr>
                <w:t>https://conference-ua.ukragroexpert.com.ua/wp-content/uploads/2020/09/%D0%97%D0%B1%D1%96%D1%80%D0%BD%D0%B8%D0%BA.pdf</w:t>
              </w:r>
            </w:hyperlink>
          </w:p>
        </w:tc>
        <w:tc>
          <w:tcPr>
            <w:tcW w:w="1276" w:type="dxa"/>
            <w:shd w:val="clear" w:color="auto" w:fill="auto"/>
            <w:tcMar>
              <w:top w:w="28" w:type="dxa"/>
              <w:left w:w="57" w:type="dxa"/>
              <w:bottom w:w="28" w:type="dxa"/>
              <w:right w:w="57" w:type="dxa"/>
            </w:tcMar>
          </w:tcPr>
          <w:p w:rsidR="00EC69F7" w:rsidRPr="008C7730" w:rsidRDefault="00EC69F7" w:rsidP="00AA577D">
            <w:pPr>
              <w:jc w:val="left"/>
              <w:rPr>
                <w:rFonts w:cs="Arial"/>
                <w:sz w:val="16"/>
                <w:szCs w:val="18"/>
              </w:rPr>
            </w:pPr>
            <w:r>
              <w:rPr>
                <w:sz w:val="16"/>
              </w:rPr>
              <w:t>10.09.2020</w:t>
            </w:r>
          </w:p>
        </w:tc>
        <w:tc>
          <w:tcPr>
            <w:tcW w:w="969" w:type="dxa"/>
            <w:shd w:val="clear" w:color="auto" w:fill="auto"/>
            <w:tcMar>
              <w:top w:w="28" w:type="dxa"/>
              <w:left w:w="57" w:type="dxa"/>
              <w:bottom w:w="28" w:type="dxa"/>
              <w:right w:w="57" w:type="dxa"/>
            </w:tcMar>
          </w:tcPr>
          <w:p w:rsidR="00EC69F7" w:rsidRPr="008C7730" w:rsidRDefault="00EC69F7" w:rsidP="00AA577D">
            <w:pPr>
              <w:jc w:val="left"/>
              <w:rPr>
                <w:rFonts w:cs="Arial"/>
                <w:sz w:val="16"/>
                <w:szCs w:val="18"/>
              </w:rPr>
            </w:pPr>
            <w:r>
              <w:rPr>
                <w:sz w:val="16"/>
              </w:rPr>
              <w:t>Kiew</w:t>
            </w:r>
          </w:p>
        </w:tc>
        <w:tc>
          <w:tcPr>
            <w:tcW w:w="2858" w:type="dxa"/>
            <w:shd w:val="clear" w:color="auto" w:fill="auto"/>
            <w:tcMar>
              <w:top w:w="28" w:type="dxa"/>
              <w:left w:w="57" w:type="dxa"/>
              <w:bottom w:w="28" w:type="dxa"/>
              <w:right w:w="57" w:type="dxa"/>
            </w:tcMar>
          </w:tcPr>
          <w:p w:rsidR="00EC69F7" w:rsidRPr="008C7730" w:rsidRDefault="00EC69F7" w:rsidP="00AA577D">
            <w:pPr>
              <w:jc w:val="left"/>
              <w:rPr>
                <w:rFonts w:cs="Arial"/>
                <w:sz w:val="16"/>
                <w:szCs w:val="18"/>
              </w:rPr>
            </w:pPr>
            <w:r>
              <w:rPr>
                <w:sz w:val="16"/>
              </w:rPr>
              <w:t>Ukrainisches Institut für Sortenprüfung (Ukraine); Nationale Universität für Lebens- und Umweltwissenschaften der Ukraine (Ukraine);</w:t>
            </w:r>
          </w:p>
          <w:p w:rsidR="00EC69F7" w:rsidRPr="008C7730" w:rsidRDefault="00EC69F7" w:rsidP="00AA577D">
            <w:pPr>
              <w:jc w:val="left"/>
              <w:rPr>
                <w:rFonts w:cs="Arial"/>
                <w:sz w:val="16"/>
                <w:szCs w:val="18"/>
              </w:rPr>
            </w:pPr>
            <w:r>
              <w:rPr>
                <w:sz w:val="16"/>
              </w:rPr>
              <w:t>Das Institut für Bioenergiepflanzen und Zuckerrüben NAAS (Ukraine); Bila Tserkva Nationale Agraruniversität (Ukraine);</w:t>
            </w:r>
          </w:p>
          <w:p w:rsidR="00EC69F7" w:rsidRPr="008C7730" w:rsidRDefault="00EC69F7" w:rsidP="00AA577D">
            <w:pPr>
              <w:jc w:val="left"/>
              <w:rPr>
                <w:rFonts w:cs="Arial"/>
                <w:sz w:val="16"/>
                <w:szCs w:val="18"/>
              </w:rPr>
            </w:pPr>
            <w:r>
              <w:rPr>
                <w:sz w:val="16"/>
              </w:rPr>
              <w:t>Institut für Pflanzenphysiologie und Genetik NAS (Ukraine); Ltd Forschungsinstitut für Agrarwirtschaft (Ukraine); Universität Ost-Sarajevo (Bosnien-Herzegowina)</w:t>
            </w:r>
          </w:p>
        </w:tc>
        <w:tc>
          <w:tcPr>
            <w:tcW w:w="3520" w:type="dxa"/>
            <w:shd w:val="clear" w:color="auto" w:fill="auto"/>
            <w:tcMar>
              <w:top w:w="28" w:type="dxa"/>
              <w:left w:w="57" w:type="dxa"/>
              <w:bottom w:w="28" w:type="dxa"/>
              <w:right w:w="57" w:type="dxa"/>
            </w:tcMar>
          </w:tcPr>
          <w:p w:rsidR="00EC69F7" w:rsidRPr="008C7730" w:rsidRDefault="00EC69F7" w:rsidP="00AA577D">
            <w:pPr>
              <w:jc w:val="left"/>
              <w:rPr>
                <w:rFonts w:cs="Arial"/>
                <w:sz w:val="16"/>
                <w:szCs w:val="18"/>
              </w:rPr>
            </w:pPr>
            <w:r>
              <w:rPr>
                <w:sz w:val="16"/>
              </w:rPr>
              <w:t>Aufbau und Vertiefung wissenschaftlicher Verbindungen, Erfahrungsaustausch und Verbreitung von Kenntnissen über die Bedeutung des wissenschaftlichen Ansatzes in der Landwirtschaft sowie die Suche nach Lösungen für angewandte und theoretische Aufgaben im Agrarsektor und bei der Sortenprüfung</w:t>
            </w:r>
          </w:p>
        </w:tc>
        <w:tc>
          <w:tcPr>
            <w:tcW w:w="1843" w:type="dxa"/>
            <w:shd w:val="clear" w:color="auto" w:fill="auto"/>
            <w:tcMar>
              <w:top w:w="28" w:type="dxa"/>
              <w:left w:w="57" w:type="dxa"/>
              <w:bottom w:w="28" w:type="dxa"/>
              <w:right w:w="57" w:type="dxa"/>
            </w:tcMar>
          </w:tcPr>
          <w:p w:rsidR="00EC69F7" w:rsidRPr="008C7730" w:rsidRDefault="00EC69F7" w:rsidP="00AA577D">
            <w:pPr>
              <w:jc w:val="left"/>
              <w:rPr>
                <w:rFonts w:cs="Arial"/>
                <w:sz w:val="16"/>
                <w:szCs w:val="18"/>
              </w:rPr>
            </w:pPr>
            <w:r>
              <w:rPr>
                <w:sz w:val="16"/>
              </w:rPr>
              <w:t>Ukraine, Ungarn (32 Teilnehmer)</w:t>
            </w:r>
          </w:p>
        </w:tc>
        <w:tc>
          <w:tcPr>
            <w:tcW w:w="1730" w:type="dxa"/>
            <w:shd w:val="clear" w:color="auto" w:fill="auto"/>
            <w:tcMar>
              <w:top w:w="28" w:type="dxa"/>
              <w:left w:w="57" w:type="dxa"/>
              <w:bottom w:w="28" w:type="dxa"/>
              <w:right w:w="57" w:type="dxa"/>
            </w:tcMar>
          </w:tcPr>
          <w:p w:rsidR="00EC69F7" w:rsidRPr="008C7730" w:rsidRDefault="00EC69F7" w:rsidP="00AA577D">
            <w:pPr>
              <w:jc w:val="left"/>
              <w:rPr>
                <w:rFonts w:cs="Arial"/>
                <w:sz w:val="16"/>
                <w:szCs w:val="18"/>
              </w:rPr>
            </w:pPr>
            <w:r>
              <w:rPr>
                <w:sz w:val="16"/>
              </w:rPr>
              <w:t>eine Sammlung von Konferenzmaterialien wurde veröffentlicht</w:t>
            </w:r>
          </w:p>
        </w:tc>
      </w:tr>
      <w:tr w:rsidR="00EC69F7" w:rsidRPr="008C7730" w:rsidTr="00105071">
        <w:tc>
          <w:tcPr>
            <w:tcW w:w="3001" w:type="dxa"/>
            <w:shd w:val="clear" w:color="auto" w:fill="auto"/>
            <w:tcMar>
              <w:top w:w="28" w:type="dxa"/>
              <w:left w:w="57" w:type="dxa"/>
              <w:bottom w:w="28" w:type="dxa"/>
              <w:right w:w="57" w:type="dxa"/>
            </w:tcMar>
          </w:tcPr>
          <w:p w:rsidR="00EC69F7" w:rsidRPr="008C7730" w:rsidRDefault="00EC69F7" w:rsidP="00AA577D">
            <w:pPr>
              <w:jc w:val="left"/>
              <w:rPr>
                <w:rFonts w:cs="Arial"/>
                <w:sz w:val="16"/>
                <w:szCs w:val="18"/>
              </w:rPr>
            </w:pPr>
            <w:r>
              <w:rPr>
                <w:sz w:val="16"/>
              </w:rPr>
              <w:t>IV. Internet-Konferenz junger Wissenschaftler „Genetik und Züchtung landwirtschaftlicher Pflanzen - vom Molekül zur Sorte“</w:t>
            </w:r>
          </w:p>
          <w:p w:rsidR="00EC69F7" w:rsidRPr="008C7730" w:rsidRDefault="002E1243" w:rsidP="00AA577D">
            <w:pPr>
              <w:jc w:val="left"/>
              <w:rPr>
                <w:rFonts w:cs="Arial"/>
                <w:sz w:val="16"/>
                <w:szCs w:val="18"/>
              </w:rPr>
            </w:pPr>
            <w:hyperlink r:id="rId49" w:history="1">
              <w:r w:rsidR="00EC69F7">
                <w:rPr>
                  <w:rStyle w:val="Hyperlink"/>
                  <w:sz w:val="16"/>
                </w:rPr>
                <w:t>https://sops.gov.ua/uploads/page/5f634fd4031cc.pdf</w:t>
              </w:r>
            </w:hyperlink>
          </w:p>
        </w:tc>
        <w:tc>
          <w:tcPr>
            <w:tcW w:w="1276" w:type="dxa"/>
            <w:shd w:val="clear" w:color="auto" w:fill="auto"/>
            <w:tcMar>
              <w:top w:w="28" w:type="dxa"/>
              <w:left w:w="57" w:type="dxa"/>
              <w:bottom w:w="28" w:type="dxa"/>
              <w:right w:w="57" w:type="dxa"/>
            </w:tcMar>
          </w:tcPr>
          <w:p w:rsidR="00EC69F7" w:rsidRPr="008C7730" w:rsidRDefault="00EC69F7" w:rsidP="00AA577D">
            <w:pPr>
              <w:jc w:val="left"/>
              <w:rPr>
                <w:rFonts w:cs="Arial"/>
                <w:sz w:val="16"/>
                <w:szCs w:val="18"/>
              </w:rPr>
            </w:pPr>
            <w:r>
              <w:rPr>
                <w:sz w:val="16"/>
              </w:rPr>
              <w:t>18.09.2020</w:t>
            </w:r>
          </w:p>
        </w:tc>
        <w:tc>
          <w:tcPr>
            <w:tcW w:w="969" w:type="dxa"/>
            <w:shd w:val="clear" w:color="auto" w:fill="auto"/>
            <w:tcMar>
              <w:top w:w="28" w:type="dxa"/>
              <w:left w:w="57" w:type="dxa"/>
              <w:bottom w:w="28" w:type="dxa"/>
              <w:right w:w="57" w:type="dxa"/>
            </w:tcMar>
          </w:tcPr>
          <w:p w:rsidR="00EC69F7" w:rsidRPr="008C7730" w:rsidRDefault="00EC69F7" w:rsidP="00AA577D">
            <w:pPr>
              <w:jc w:val="left"/>
              <w:rPr>
                <w:rFonts w:cs="Arial"/>
                <w:sz w:val="16"/>
                <w:szCs w:val="18"/>
              </w:rPr>
            </w:pPr>
            <w:r>
              <w:rPr>
                <w:sz w:val="16"/>
              </w:rPr>
              <w:t>Kiew, Odesa</w:t>
            </w:r>
          </w:p>
        </w:tc>
        <w:tc>
          <w:tcPr>
            <w:tcW w:w="2858" w:type="dxa"/>
            <w:shd w:val="clear" w:color="auto" w:fill="auto"/>
            <w:tcMar>
              <w:top w:w="28" w:type="dxa"/>
              <w:left w:w="57" w:type="dxa"/>
              <w:bottom w:w="28" w:type="dxa"/>
              <w:right w:w="57" w:type="dxa"/>
            </w:tcMar>
          </w:tcPr>
          <w:p w:rsidR="00EC69F7" w:rsidRPr="008C7730" w:rsidRDefault="00EC69F7" w:rsidP="00AA577D">
            <w:pPr>
              <w:jc w:val="left"/>
              <w:rPr>
                <w:rFonts w:cs="Arial"/>
                <w:sz w:val="16"/>
                <w:szCs w:val="18"/>
              </w:rPr>
            </w:pPr>
            <w:r>
              <w:rPr>
                <w:sz w:val="16"/>
              </w:rPr>
              <w:t>Ukrainisches Institut für Sortenprüfung;</w:t>
            </w:r>
          </w:p>
          <w:p w:rsidR="00EC69F7" w:rsidRPr="00433794" w:rsidRDefault="00EC69F7" w:rsidP="00AA577D">
            <w:pPr>
              <w:jc w:val="left"/>
              <w:rPr>
                <w:rFonts w:cs="Arial"/>
                <w:sz w:val="16"/>
                <w:szCs w:val="18"/>
              </w:rPr>
            </w:pPr>
            <w:r>
              <w:rPr>
                <w:sz w:val="16"/>
              </w:rPr>
              <w:t>Institut für Pflanzenzüchtung und Genetik – Nationales Zentrum für Saatgut- und Pflanzenforschung von NAAS</w:t>
            </w:r>
          </w:p>
        </w:tc>
        <w:tc>
          <w:tcPr>
            <w:tcW w:w="3520" w:type="dxa"/>
            <w:shd w:val="clear" w:color="auto" w:fill="auto"/>
            <w:tcMar>
              <w:top w:w="28" w:type="dxa"/>
              <w:left w:w="57" w:type="dxa"/>
              <w:bottom w:w="28" w:type="dxa"/>
              <w:right w:w="57" w:type="dxa"/>
            </w:tcMar>
          </w:tcPr>
          <w:p w:rsidR="00EC69F7" w:rsidRPr="008C7730" w:rsidRDefault="00EC69F7" w:rsidP="00AA577D">
            <w:pPr>
              <w:jc w:val="left"/>
              <w:rPr>
                <w:rFonts w:cs="Arial"/>
                <w:sz w:val="16"/>
                <w:szCs w:val="18"/>
              </w:rPr>
            </w:pPr>
            <w:r>
              <w:rPr>
                <w:sz w:val="16"/>
              </w:rPr>
              <w:t>Anwendung moderner Methoden der Biotechnologie und Genetik in der Landwirtschaft und Sortenprüfung</w:t>
            </w:r>
          </w:p>
        </w:tc>
        <w:tc>
          <w:tcPr>
            <w:tcW w:w="1843" w:type="dxa"/>
            <w:shd w:val="clear" w:color="auto" w:fill="auto"/>
            <w:tcMar>
              <w:top w:w="28" w:type="dxa"/>
              <w:left w:w="57" w:type="dxa"/>
              <w:bottom w:w="28" w:type="dxa"/>
              <w:right w:w="57" w:type="dxa"/>
            </w:tcMar>
          </w:tcPr>
          <w:p w:rsidR="00EC69F7" w:rsidRPr="008C7730" w:rsidRDefault="00EC69F7" w:rsidP="00AA577D">
            <w:pPr>
              <w:jc w:val="left"/>
              <w:rPr>
                <w:rFonts w:cs="Arial"/>
                <w:sz w:val="16"/>
                <w:szCs w:val="18"/>
              </w:rPr>
            </w:pPr>
            <w:r>
              <w:rPr>
                <w:sz w:val="16"/>
              </w:rPr>
              <w:t>Ukraine</w:t>
            </w:r>
          </w:p>
          <w:p w:rsidR="00EC69F7" w:rsidRPr="008C7730" w:rsidRDefault="00EC69F7" w:rsidP="00AA577D">
            <w:pPr>
              <w:jc w:val="left"/>
              <w:rPr>
                <w:rFonts w:cs="Arial"/>
                <w:sz w:val="16"/>
                <w:szCs w:val="18"/>
              </w:rPr>
            </w:pPr>
            <w:r>
              <w:rPr>
                <w:sz w:val="16"/>
              </w:rPr>
              <w:t>(34 Teilnehmer)</w:t>
            </w:r>
          </w:p>
        </w:tc>
        <w:tc>
          <w:tcPr>
            <w:tcW w:w="1730" w:type="dxa"/>
            <w:shd w:val="clear" w:color="auto" w:fill="auto"/>
            <w:tcMar>
              <w:top w:w="28" w:type="dxa"/>
              <w:left w:w="57" w:type="dxa"/>
              <w:bottom w:w="28" w:type="dxa"/>
              <w:right w:w="57" w:type="dxa"/>
            </w:tcMar>
          </w:tcPr>
          <w:p w:rsidR="00EC69F7" w:rsidRPr="008C7730" w:rsidRDefault="00EC69F7" w:rsidP="00AA577D">
            <w:pPr>
              <w:jc w:val="left"/>
              <w:rPr>
                <w:rFonts w:cs="Arial"/>
                <w:sz w:val="16"/>
                <w:szCs w:val="18"/>
              </w:rPr>
            </w:pPr>
            <w:r>
              <w:rPr>
                <w:sz w:val="16"/>
              </w:rPr>
              <w:t>eine Sammlung von Konferenzmaterialien wurde veröffentlicht</w:t>
            </w:r>
          </w:p>
        </w:tc>
      </w:tr>
    </w:tbl>
    <w:p w:rsidR="00537BEE" w:rsidRDefault="00537BEE" w:rsidP="004128AB">
      <w:pPr>
        <w:jc w:val="left"/>
      </w:pPr>
    </w:p>
    <w:p w:rsidR="00537BEE" w:rsidRDefault="00537BEE" w:rsidP="004128AB">
      <w:pPr>
        <w:jc w:val="left"/>
        <w:sectPr w:rsidR="00537BEE" w:rsidSect="00EC69F7">
          <w:headerReference w:type="default" r:id="rId50"/>
          <w:pgSz w:w="16840" w:h="11907" w:orient="landscape" w:code="9"/>
          <w:pgMar w:top="510" w:right="1134" w:bottom="851" w:left="1134" w:header="510" w:footer="680" w:gutter="0"/>
          <w:cols w:space="720"/>
          <w:docGrid w:linePitch="272"/>
        </w:sectPr>
      </w:pPr>
    </w:p>
    <w:p w:rsidR="008450B8" w:rsidRDefault="008450B8" w:rsidP="008450B8">
      <w:r>
        <w:lastRenderedPageBreak/>
        <w:t>II.</w:t>
      </w:r>
      <w:r>
        <w:tab/>
        <w:t>WEITERE ENTWICKLUNGEN VON INTERESSE FÜR DIE UPOV</w:t>
      </w:r>
    </w:p>
    <w:p w:rsidR="008450B8" w:rsidRDefault="008450B8" w:rsidP="008450B8"/>
    <w:p w:rsidR="00EC69F7" w:rsidRPr="007A184F" w:rsidRDefault="00EC69F7" w:rsidP="00EC69F7">
      <w:r>
        <w:t xml:space="preserve">Statistische Daten über Sortenschutz in der Ukraine für den Zeitraum 2001-2020 werden per E-Mail geschickt an </w:t>
      </w:r>
      <w:hyperlink r:id="rId51">
        <w:r>
          <w:rPr>
            <w:rStyle w:val="Hyperlink"/>
          </w:rPr>
          <w:t>upov.mail@upov.int.</w:t>
        </w:r>
      </w:hyperlink>
    </w:p>
    <w:p w:rsidR="008450B8" w:rsidRDefault="008450B8" w:rsidP="008450B8"/>
    <w:p w:rsidR="008450B8" w:rsidRDefault="008450B8" w:rsidP="008450B8"/>
    <w:p w:rsidR="00537BEE" w:rsidRPr="006F3121" w:rsidRDefault="00537BEE" w:rsidP="004128AB">
      <w:pPr>
        <w:jc w:val="left"/>
      </w:pPr>
    </w:p>
    <w:p w:rsidR="004128AB" w:rsidRPr="006F3121" w:rsidRDefault="004128AB" w:rsidP="004128AB">
      <w:pPr>
        <w:jc w:val="right"/>
      </w:pPr>
      <w:r w:rsidRPr="006F3121">
        <w:t>[Anlage XVI folgt]</w:t>
      </w:r>
    </w:p>
    <w:p w:rsidR="004128AB" w:rsidRPr="006F3121" w:rsidRDefault="004128AB" w:rsidP="004128AB"/>
    <w:p w:rsidR="004128AB" w:rsidRPr="006F3121" w:rsidRDefault="004128AB" w:rsidP="004128AB">
      <w:pPr>
        <w:jc w:val="left"/>
        <w:sectPr w:rsidR="004128AB" w:rsidRPr="006F3121" w:rsidSect="00537BEE">
          <w:pgSz w:w="11907" w:h="16840" w:code="9"/>
          <w:pgMar w:top="510" w:right="1134" w:bottom="1134" w:left="1134" w:header="510" w:footer="680" w:gutter="0"/>
          <w:cols w:space="720"/>
        </w:sectPr>
      </w:pPr>
    </w:p>
    <w:p w:rsidR="004128AB" w:rsidRPr="006F3121" w:rsidRDefault="006F5780" w:rsidP="004128AB">
      <w:pPr>
        <w:jc w:val="center"/>
      </w:pPr>
      <w:r>
        <w:lastRenderedPageBreak/>
        <w:t>C/55/INF/4</w:t>
      </w:r>
    </w:p>
    <w:p w:rsidR="004128AB" w:rsidRPr="006F3121" w:rsidRDefault="004128AB" w:rsidP="004128AB">
      <w:pPr>
        <w:jc w:val="center"/>
      </w:pPr>
    </w:p>
    <w:p w:rsidR="004128AB" w:rsidRPr="006F3121" w:rsidRDefault="00713625" w:rsidP="004128AB">
      <w:pPr>
        <w:jc w:val="center"/>
      </w:pPr>
      <w:r>
        <w:t>ANLAGE XVI</w:t>
      </w:r>
    </w:p>
    <w:p w:rsidR="004128AB" w:rsidRPr="006F3121" w:rsidRDefault="004128AB" w:rsidP="004128AB">
      <w:pPr>
        <w:jc w:val="center"/>
      </w:pPr>
    </w:p>
    <w:p w:rsidR="004128AB" w:rsidRPr="006F3121" w:rsidRDefault="004128AB" w:rsidP="004128AB">
      <w:pPr>
        <w:jc w:val="center"/>
      </w:pPr>
    </w:p>
    <w:p w:rsidR="006E5028" w:rsidRPr="000B6CB6" w:rsidRDefault="006E5028" w:rsidP="006E5028">
      <w:pPr>
        <w:jc w:val="center"/>
        <w:rPr>
          <w:szCs w:val="24"/>
        </w:rPr>
      </w:pPr>
      <w:r w:rsidRPr="000B6CB6">
        <w:rPr>
          <w:szCs w:val="24"/>
        </w:rPr>
        <w:t>EUROPÄISCHE UNION</w:t>
      </w:r>
      <w:r w:rsidRPr="000B6CB6">
        <w:rPr>
          <w:rStyle w:val="EndnoteReference"/>
          <w:szCs w:val="24"/>
        </w:rPr>
        <w:endnoteReference w:id="2"/>
      </w:r>
    </w:p>
    <w:p w:rsidR="001F2153" w:rsidRPr="00C8302B" w:rsidRDefault="001F2153" w:rsidP="001F2153">
      <w:pPr>
        <w:shd w:val="clear" w:color="auto" w:fill="FFFFFF"/>
        <w:ind w:left="1134" w:right="1134"/>
        <w:contextualSpacing/>
        <w:jc w:val="center"/>
        <w:rPr>
          <w:rFonts w:cs="Arial"/>
        </w:rPr>
      </w:pPr>
      <w:r w:rsidRPr="00C8302B">
        <w:rPr>
          <w:rFonts w:cs="Arial"/>
        </w:rPr>
        <w:t>Zeitraum: Juli 2020 - Juli 2021</w:t>
      </w:r>
    </w:p>
    <w:p w:rsidR="001F2153" w:rsidRPr="00C8302B" w:rsidRDefault="001F2153" w:rsidP="001F2153">
      <w:pPr>
        <w:shd w:val="clear" w:color="auto" w:fill="FFFFFF"/>
        <w:contextualSpacing/>
        <w:jc w:val="center"/>
        <w:rPr>
          <w:rFonts w:cs="Arial"/>
        </w:rPr>
      </w:pPr>
    </w:p>
    <w:p w:rsidR="001F2153" w:rsidRPr="00C8302B" w:rsidRDefault="001F2153" w:rsidP="001F2153">
      <w:pPr>
        <w:shd w:val="clear" w:color="auto" w:fill="FFFFFF"/>
        <w:contextualSpacing/>
        <w:jc w:val="center"/>
        <w:rPr>
          <w:rFonts w:cs="Arial"/>
        </w:rPr>
      </w:pPr>
      <w:r w:rsidRPr="00C8302B">
        <w:rPr>
          <w:rFonts w:cs="Arial"/>
        </w:rPr>
        <w:t xml:space="preserve">(von der Europäischen Kommission in enger Zusammenarbeit mit dem </w:t>
      </w:r>
      <w:r>
        <w:rPr>
          <w:rFonts w:cs="Arial"/>
        </w:rPr>
        <w:br/>
        <w:t>g</w:t>
      </w:r>
      <w:r w:rsidRPr="00C8302B">
        <w:rPr>
          <w:rFonts w:cs="Arial"/>
        </w:rPr>
        <w:t xml:space="preserve">emeinschaftlichen Sortenamt </w:t>
      </w:r>
      <w:r>
        <w:rPr>
          <w:rFonts w:cs="Arial"/>
        </w:rPr>
        <w:t xml:space="preserve">(CPVO) </w:t>
      </w:r>
      <w:r w:rsidRPr="00C8302B">
        <w:rPr>
          <w:rFonts w:cs="Arial"/>
        </w:rPr>
        <w:t>erstellter Bericht)</w:t>
      </w:r>
    </w:p>
    <w:p w:rsidR="001F2153" w:rsidRPr="00C8302B" w:rsidRDefault="001F2153" w:rsidP="001F2153">
      <w:pPr>
        <w:shd w:val="clear" w:color="auto" w:fill="FFFFFF"/>
        <w:contextualSpacing/>
        <w:jc w:val="center"/>
        <w:rPr>
          <w:rFonts w:cs="Arial"/>
        </w:rPr>
      </w:pPr>
    </w:p>
    <w:p w:rsidR="001F2153" w:rsidRPr="00C8302B" w:rsidRDefault="001F2153" w:rsidP="001F2153">
      <w:pPr>
        <w:shd w:val="clear" w:color="auto" w:fill="FFFFFF"/>
        <w:contextualSpacing/>
        <w:jc w:val="center"/>
        <w:rPr>
          <w:rFonts w:cs="Arial"/>
        </w:rPr>
      </w:pPr>
    </w:p>
    <w:p w:rsidR="001F2153" w:rsidRPr="00C8302B" w:rsidRDefault="001F2153" w:rsidP="001F2153">
      <w:pPr>
        <w:pStyle w:val="ListBullet"/>
        <w:numPr>
          <w:ilvl w:val="0"/>
          <w:numId w:val="0"/>
        </w:numPr>
        <w:tabs>
          <w:tab w:val="left" w:pos="720"/>
        </w:tabs>
        <w:spacing w:after="0"/>
        <w:ind w:left="283" w:hanging="283"/>
        <w:contextualSpacing/>
        <w:rPr>
          <w:rFonts w:cs="Arial"/>
          <w:lang w:val="de-DE"/>
        </w:rPr>
      </w:pPr>
      <w:r w:rsidRPr="00C8302B">
        <w:rPr>
          <w:rFonts w:cs="Arial"/>
          <w:lang w:val="de-DE"/>
        </w:rPr>
        <w:t>SORTENSCHUTZ</w:t>
      </w:r>
    </w:p>
    <w:p w:rsidR="001F2153" w:rsidRPr="00C8302B" w:rsidRDefault="001F2153" w:rsidP="001F2153">
      <w:pPr>
        <w:contextualSpacing/>
        <w:rPr>
          <w:rFonts w:cs="Arial"/>
        </w:rPr>
      </w:pPr>
    </w:p>
    <w:p w:rsidR="001F2153" w:rsidRPr="00C8302B" w:rsidRDefault="001F2153" w:rsidP="001F2153">
      <w:pPr>
        <w:contextualSpacing/>
        <w:rPr>
          <w:rFonts w:cs="Arial"/>
        </w:rPr>
      </w:pPr>
      <w:r w:rsidRPr="00C8302B">
        <w:rPr>
          <w:rFonts w:cs="Arial"/>
        </w:rPr>
        <w:t>1)</w:t>
      </w:r>
      <w:r w:rsidRPr="00C8302B">
        <w:rPr>
          <w:rFonts w:cs="Arial"/>
        </w:rPr>
        <w:tab/>
      </w:r>
      <w:r w:rsidRPr="00C8302B">
        <w:rPr>
          <w:rFonts w:cs="Arial"/>
          <w:u w:val="single"/>
        </w:rPr>
        <w:t>Gesetzgebung</w:t>
      </w:r>
    </w:p>
    <w:p w:rsidR="001F2153" w:rsidRPr="00C8302B" w:rsidRDefault="001F2153" w:rsidP="001F2153">
      <w:pPr>
        <w:pStyle w:val="ListBullet"/>
        <w:numPr>
          <w:ilvl w:val="0"/>
          <w:numId w:val="0"/>
        </w:numPr>
        <w:tabs>
          <w:tab w:val="left" w:pos="720"/>
        </w:tabs>
        <w:spacing w:after="0"/>
        <w:ind w:left="283" w:hanging="283"/>
        <w:contextualSpacing/>
        <w:rPr>
          <w:rFonts w:cs="Arial"/>
          <w:lang w:val="de-DE"/>
        </w:rPr>
      </w:pPr>
    </w:p>
    <w:p w:rsidR="001F2153" w:rsidRPr="00C8302B" w:rsidRDefault="001F2153" w:rsidP="001F2153">
      <w:pPr>
        <w:pStyle w:val="ListBullet"/>
        <w:numPr>
          <w:ilvl w:val="0"/>
          <w:numId w:val="0"/>
        </w:numPr>
        <w:tabs>
          <w:tab w:val="left" w:pos="720"/>
        </w:tabs>
        <w:spacing w:after="0"/>
        <w:ind w:left="283" w:hanging="283"/>
        <w:contextualSpacing/>
        <w:rPr>
          <w:rFonts w:cs="Arial"/>
          <w:b/>
          <w:u w:val="single"/>
          <w:lang w:val="de-DE"/>
        </w:rPr>
      </w:pPr>
      <w:r w:rsidRPr="00C8302B">
        <w:rPr>
          <w:rFonts w:cs="Arial"/>
          <w:u w:val="single"/>
          <w:lang w:val="de-DE"/>
        </w:rPr>
        <w:t xml:space="preserve">1.0 Allgemeines: </w:t>
      </w:r>
    </w:p>
    <w:p w:rsidR="001F2153" w:rsidRPr="00C8302B" w:rsidRDefault="001F2153" w:rsidP="001F2153">
      <w:pPr>
        <w:contextualSpacing/>
        <w:rPr>
          <w:rFonts w:cs="Arial"/>
        </w:rPr>
      </w:pPr>
    </w:p>
    <w:p w:rsidR="001F2153" w:rsidRPr="00C8302B" w:rsidRDefault="001F2153" w:rsidP="001F2153">
      <w:pPr>
        <w:contextualSpacing/>
        <w:rPr>
          <w:rFonts w:cs="Arial"/>
        </w:rPr>
      </w:pPr>
      <w:r w:rsidRPr="00C8302B">
        <w:rPr>
          <w:rFonts w:cs="Arial"/>
        </w:rPr>
        <w:t>Das Vereinigte Königreich hat die Europäische Union mit einer Übergangsfrist bis zum 31. Dezember 2021 verlassen.</w:t>
      </w:r>
      <w:r>
        <w:rPr>
          <w:rFonts w:cs="Arial"/>
        </w:rPr>
        <w:t xml:space="preserve"> </w:t>
      </w:r>
      <w:r w:rsidRPr="00C8302B">
        <w:rPr>
          <w:rFonts w:cs="Arial"/>
        </w:rPr>
        <w:t>Folglich nimmt es nicht mehr a</w:t>
      </w:r>
      <w:r>
        <w:rPr>
          <w:rFonts w:cs="Arial"/>
        </w:rPr>
        <w:t>n de</w:t>
      </w:r>
      <w:r w:rsidRPr="00C8302B">
        <w:rPr>
          <w:rFonts w:cs="Arial"/>
        </w:rPr>
        <w:t xml:space="preserve">m gemeinschaftlichen </w:t>
      </w:r>
      <w:r w:rsidRPr="00AD0BA4">
        <w:rPr>
          <w:rFonts w:cs="Arial"/>
        </w:rPr>
        <w:t>Sortenschutzsystem</w:t>
      </w:r>
      <w:r w:rsidRPr="00C8302B">
        <w:rPr>
          <w:rFonts w:cs="Arial"/>
        </w:rPr>
        <w:t xml:space="preserve"> teil. Alle gemeinschaftlichen Sortenrechte, die in der EU bis zum 31. Dezember 2021 in Kraft sind, wurden in nationale Sortenrechte des Vereinigten Königreichs umgewandelt.</w:t>
      </w:r>
    </w:p>
    <w:p w:rsidR="001F2153" w:rsidRPr="00C8302B" w:rsidRDefault="001F2153" w:rsidP="001F2153">
      <w:pPr>
        <w:contextualSpacing/>
        <w:rPr>
          <w:rFonts w:cs="Arial"/>
        </w:rPr>
      </w:pPr>
    </w:p>
    <w:p w:rsidR="001F2153" w:rsidRPr="00F67806" w:rsidRDefault="001F2153" w:rsidP="001F2153">
      <w:pPr>
        <w:contextualSpacing/>
        <w:rPr>
          <w:rFonts w:cs="Arial"/>
          <w:u w:val="single"/>
        </w:rPr>
      </w:pPr>
      <w:r w:rsidRPr="00C8302B">
        <w:rPr>
          <w:rFonts w:cs="Arial"/>
          <w:u w:val="single"/>
        </w:rPr>
        <w:t xml:space="preserve">1.1 Änderung des Gesetzes und der </w:t>
      </w:r>
      <w:r w:rsidRPr="00F67806">
        <w:rPr>
          <w:rFonts w:cs="Arial"/>
          <w:u w:val="single"/>
        </w:rPr>
        <w:t>Durchführungsverordnungen:</w:t>
      </w:r>
    </w:p>
    <w:p w:rsidR="001F2153" w:rsidRPr="00F67806" w:rsidRDefault="001F2153" w:rsidP="001F2153">
      <w:pPr>
        <w:contextualSpacing/>
        <w:rPr>
          <w:rFonts w:cs="Arial"/>
        </w:rPr>
      </w:pPr>
    </w:p>
    <w:p w:rsidR="001F2153" w:rsidRPr="00C8302B" w:rsidRDefault="001F2153" w:rsidP="001F2153">
      <w:pPr>
        <w:contextualSpacing/>
        <w:rPr>
          <w:rFonts w:cs="Arial"/>
        </w:rPr>
      </w:pPr>
      <w:r w:rsidRPr="00F67806">
        <w:rPr>
          <w:rFonts w:cs="Arial"/>
        </w:rPr>
        <w:t>Die Europäische Kommission hat einen Vorschlag für eine Verordnung des</w:t>
      </w:r>
      <w:r w:rsidRPr="00C8302B">
        <w:rPr>
          <w:rFonts w:cs="Arial"/>
        </w:rPr>
        <w:t xml:space="preserve"> Europäischen Parlaments und des Rates </w:t>
      </w:r>
      <w:r w:rsidRPr="001404FB">
        <w:rPr>
          <w:rFonts w:cs="Arial"/>
        </w:rPr>
        <w:t>über</w:t>
      </w:r>
      <w:r w:rsidRPr="00C8302B">
        <w:rPr>
          <w:rFonts w:cs="Arial"/>
        </w:rPr>
        <w:t xml:space="preserve"> die Verlängerung der </w:t>
      </w:r>
      <w:r w:rsidRPr="006F4265">
        <w:rPr>
          <w:rFonts w:cs="Arial"/>
        </w:rPr>
        <w:t>Geltungsdauer</w:t>
      </w:r>
      <w:r w:rsidRPr="00C8302B">
        <w:rPr>
          <w:rFonts w:cs="Arial"/>
        </w:rPr>
        <w:t xml:space="preserve"> des gemeinschaftlichen </w:t>
      </w:r>
      <w:r w:rsidRPr="00DC08F6">
        <w:rPr>
          <w:rFonts w:cs="Arial"/>
        </w:rPr>
        <w:t>Sortenschutzes</w:t>
      </w:r>
      <w:r w:rsidRPr="00C8302B">
        <w:rPr>
          <w:rFonts w:cs="Arial"/>
        </w:rPr>
        <w:t xml:space="preserve"> für die Art Spargel und die Artengruppen </w:t>
      </w:r>
      <w:r w:rsidRPr="00290F43">
        <w:rPr>
          <w:rFonts w:cs="Arial"/>
        </w:rPr>
        <w:t>Blumenzwiebeln</w:t>
      </w:r>
      <w:r w:rsidRPr="00AB3B25">
        <w:rPr>
          <w:rFonts w:cs="Arial"/>
        </w:rPr>
        <w:t xml:space="preserve">, </w:t>
      </w:r>
      <w:r>
        <w:rPr>
          <w:rFonts w:cs="Arial"/>
        </w:rPr>
        <w:t xml:space="preserve">holziges </w:t>
      </w:r>
      <w:r w:rsidRPr="00290F43">
        <w:rPr>
          <w:rFonts w:cs="Arial"/>
        </w:rPr>
        <w:t>Kleinobst</w:t>
      </w:r>
      <w:r w:rsidRPr="00AB3B25">
        <w:rPr>
          <w:rFonts w:cs="Arial"/>
        </w:rPr>
        <w:t xml:space="preserve"> und </w:t>
      </w:r>
      <w:r w:rsidRPr="00290F43">
        <w:rPr>
          <w:rFonts w:cs="Arial"/>
        </w:rPr>
        <w:t>Holzgewächse</w:t>
      </w:r>
      <w:r w:rsidRPr="00C8302B">
        <w:rPr>
          <w:rFonts w:cs="Arial"/>
        </w:rPr>
        <w:t xml:space="preserve"> von 25 auf 30 Jahre angenommen. Es wurde eine </w:t>
      </w:r>
      <w:r>
        <w:rPr>
          <w:rFonts w:cs="Arial"/>
        </w:rPr>
        <w:t>Einigung</w:t>
      </w:r>
      <w:r w:rsidRPr="00C8302B">
        <w:rPr>
          <w:rFonts w:cs="Arial"/>
        </w:rPr>
        <w:t xml:space="preserve"> zwischen den Institutionen </w:t>
      </w:r>
      <w:r>
        <w:rPr>
          <w:rFonts w:cs="Arial"/>
        </w:rPr>
        <w:t>erzielt</w:t>
      </w:r>
      <w:r w:rsidRPr="00C8302B">
        <w:rPr>
          <w:rFonts w:cs="Arial"/>
        </w:rPr>
        <w:t xml:space="preserve"> und die Verordnung sollte vor Ende 2021 angenommen werden.</w:t>
      </w:r>
    </w:p>
    <w:p w:rsidR="001F2153" w:rsidRPr="00C8302B" w:rsidRDefault="001F2153" w:rsidP="001F2153">
      <w:pPr>
        <w:contextualSpacing/>
        <w:rPr>
          <w:rFonts w:cs="Arial"/>
          <w:u w:val="single"/>
        </w:rPr>
      </w:pPr>
    </w:p>
    <w:p w:rsidR="001F2153" w:rsidRPr="00C8302B" w:rsidRDefault="001F2153" w:rsidP="001F2153">
      <w:pPr>
        <w:contextualSpacing/>
        <w:rPr>
          <w:rFonts w:cs="Arial"/>
          <w:u w:val="single"/>
        </w:rPr>
      </w:pPr>
      <w:r w:rsidRPr="00C8302B">
        <w:rPr>
          <w:rFonts w:cs="Arial"/>
          <w:u w:val="single"/>
        </w:rPr>
        <w:t xml:space="preserve">1.2 </w:t>
      </w:r>
      <w:r w:rsidRPr="000A06B7">
        <w:rPr>
          <w:rFonts w:cs="Arial"/>
          <w:u w:val="single"/>
        </w:rPr>
        <w:t>Rechtsprechung</w:t>
      </w:r>
      <w:r w:rsidRPr="00C8302B">
        <w:rPr>
          <w:rFonts w:cs="Arial"/>
          <w:u w:val="single"/>
        </w:rPr>
        <w:t xml:space="preserve">: </w:t>
      </w:r>
    </w:p>
    <w:p w:rsidR="001F2153" w:rsidRPr="00C8302B" w:rsidRDefault="001F2153" w:rsidP="001F2153">
      <w:pPr>
        <w:pStyle w:val="Default"/>
        <w:ind w:right="141"/>
        <w:contextualSpacing/>
        <w:jc w:val="both"/>
        <w:rPr>
          <w:i/>
          <w:color w:val="auto"/>
          <w:sz w:val="20"/>
          <w:szCs w:val="20"/>
          <w:lang w:val="de-DE" w:eastAsia="fr-FR"/>
        </w:rPr>
      </w:pPr>
    </w:p>
    <w:p w:rsidR="001F2153" w:rsidRPr="00C8302B" w:rsidRDefault="001F2153" w:rsidP="001F2153">
      <w:pPr>
        <w:pStyle w:val="Default"/>
        <w:ind w:right="141"/>
        <w:contextualSpacing/>
        <w:jc w:val="both"/>
        <w:rPr>
          <w:i/>
          <w:color w:val="auto"/>
          <w:sz w:val="20"/>
          <w:szCs w:val="20"/>
          <w:lang w:val="de-DE" w:eastAsia="fr-FR"/>
        </w:rPr>
      </w:pPr>
      <w:r w:rsidRPr="00C8302B">
        <w:rPr>
          <w:i/>
          <w:color w:val="auto"/>
          <w:sz w:val="20"/>
          <w:szCs w:val="20"/>
          <w:lang w:val="de-DE" w:eastAsia="fr-FR"/>
        </w:rPr>
        <w:t xml:space="preserve">Urteil des </w:t>
      </w:r>
      <w:r w:rsidRPr="003E39FC">
        <w:rPr>
          <w:i/>
          <w:color w:val="auto"/>
          <w:sz w:val="20"/>
          <w:szCs w:val="20"/>
          <w:lang w:val="de-DE" w:eastAsia="fr-FR"/>
        </w:rPr>
        <w:t>Gerichts</w:t>
      </w:r>
      <w:r w:rsidRPr="00C8302B">
        <w:rPr>
          <w:i/>
          <w:color w:val="auto"/>
          <w:sz w:val="20"/>
          <w:szCs w:val="20"/>
          <w:lang w:val="de-DE" w:eastAsia="fr-FR"/>
        </w:rPr>
        <w:t xml:space="preserve"> vom 14. Juli 2021 in der Rechtssache T-181/20 </w:t>
      </w:r>
      <w:r>
        <w:rPr>
          <w:i/>
          <w:color w:val="auto"/>
          <w:sz w:val="20"/>
          <w:szCs w:val="20"/>
          <w:lang w:val="de-DE" w:eastAsia="fr-FR"/>
        </w:rPr>
        <w:t>„</w:t>
      </w:r>
      <w:r w:rsidRPr="008C0890">
        <w:rPr>
          <w:i/>
          <w:color w:val="auto"/>
          <w:sz w:val="20"/>
          <w:szCs w:val="20"/>
          <w:lang w:val="de-DE" w:eastAsia="fr-FR"/>
        </w:rPr>
        <w:t>Stark Gugger</w:t>
      </w:r>
      <w:r>
        <w:rPr>
          <w:i/>
          <w:color w:val="auto"/>
          <w:sz w:val="20"/>
          <w:szCs w:val="20"/>
          <w:lang w:val="de-DE" w:eastAsia="fr-FR"/>
        </w:rPr>
        <w:t>“</w:t>
      </w:r>
    </w:p>
    <w:p w:rsidR="001F2153" w:rsidRPr="00C8302B" w:rsidRDefault="001F2153" w:rsidP="001F2153">
      <w:pPr>
        <w:pStyle w:val="Default"/>
        <w:ind w:right="141"/>
        <w:contextualSpacing/>
        <w:jc w:val="both"/>
        <w:rPr>
          <w:color w:val="auto"/>
          <w:sz w:val="20"/>
          <w:szCs w:val="20"/>
          <w:lang w:val="de-DE" w:eastAsia="fr-FR"/>
        </w:rPr>
      </w:pPr>
    </w:p>
    <w:p w:rsidR="001F2153" w:rsidRPr="00C8302B" w:rsidRDefault="001F2153" w:rsidP="001F2153">
      <w:pPr>
        <w:pStyle w:val="Default"/>
        <w:ind w:right="141"/>
        <w:contextualSpacing/>
        <w:jc w:val="both"/>
        <w:rPr>
          <w:color w:val="auto"/>
          <w:sz w:val="20"/>
          <w:szCs w:val="20"/>
          <w:lang w:val="de-DE" w:eastAsia="fr-FR"/>
        </w:rPr>
      </w:pPr>
      <w:r w:rsidRPr="00C8302B">
        <w:rPr>
          <w:color w:val="auto"/>
          <w:sz w:val="20"/>
          <w:szCs w:val="20"/>
          <w:lang w:val="de-DE" w:eastAsia="fr-FR"/>
        </w:rPr>
        <w:t xml:space="preserve">Mit Urteil vom 14. Juli 2021 hat das Gericht die von der </w:t>
      </w:r>
      <w:r w:rsidRPr="00B82FB3">
        <w:rPr>
          <w:color w:val="auto"/>
          <w:sz w:val="20"/>
          <w:szCs w:val="20"/>
          <w:lang w:val="de-DE" w:eastAsia="fr-FR"/>
        </w:rPr>
        <w:t>Rechtsmittelführerin</w:t>
      </w:r>
      <w:r w:rsidRPr="00C8302B">
        <w:rPr>
          <w:color w:val="auto"/>
          <w:sz w:val="20"/>
          <w:szCs w:val="20"/>
          <w:lang w:val="de-DE" w:eastAsia="fr-FR"/>
        </w:rPr>
        <w:t xml:space="preserve"> erhobene Klage in vollem Umfang abgewiesen und </w:t>
      </w:r>
      <w:r w:rsidRPr="008F6D13">
        <w:rPr>
          <w:color w:val="auto"/>
          <w:sz w:val="20"/>
          <w:szCs w:val="20"/>
          <w:lang w:val="de-DE" w:eastAsia="fr-FR"/>
        </w:rPr>
        <w:t>ihr</w:t>
      </w:r>
      <w:r w:rsidRPr="00C8302B">
        <w:rPr>
          <w:color w:val="auto"/>
          <w:sz w:val="20"/>
          <w:szCs w:val="20"/>
          <w:lang w:val="de-DE" w:eastAsia="fr-FR"/>
        </w:rPr>
        <w:t xml:space="preserve"> die Kosten auferlegt</w:t>
      </w:r>
      <w:r w:rsidRPr="001403F2">
        <w:rPr>
          <w:color w:val="auto"/>
          <w:sz w:val="20"/>
          <w:szCs w:val="20"/>
          <w:lang w:val="de-DE" w:eastAsia="fr-FR"/>
        </w:rPr>
        <w:t>.</w:t>
      </w:r>
      <w:r w:rsidRPr="00C8302B">
        <w:rPr>
          <w:color w:val="auto"/>
          <w:sz w:val="20"/>
          <w:szCs w:val="20"/>
          <w:lang w:val="de-DE" w:eastAsia="fr-FR"/>
        </w:rPr>
        <w:t xml:space="preserve"> </w:t>
      </w:r>
    </w:p>
    <w:p w:rsidR="001F2153" w:rsidRPr="00C8302B" w:rsidRDefault="001F2153" w:rsidP="001F2153">
      <w:pPr>
        <w:pStyle w:val="Default"/>
        <w:ind w:right="141"/>
        <w:contextualSpacing/>
        <w:jc w:val="both"/>
        <w:rPr>
          <w:color w:val="auto"/>
          <w:sz w:val="20"/>
          <w:szCs w:val="20"/>
          <w:lang w:val="de-DE" w:eastAsia="fr-FR"/>
        </w:rPr>
      </w:pPr>
    </w:p>
    <w:p w:rsidR="001F2153" w:rsidRPr="00C8302B" w:rsidRDefault="001F2153" w:rsidP="001F2153">
      <w:pPr>
        <w:pStyle w:val="Default"/>
        <w:ind w:right="141"/>
        <w:contextualSpacing/>
        <w:jc w:val="both"/>
        <w:rPr>
          <w:color w:val="auto"/>
          <w:sz w:val="20"/>
          <w:szCs w:val="20"/>
          <w:lang w:val="de-DE" w:eastAsia="fr-FR"/>
        </w:rPr>
      </w:pPr>
      <w:r w:rsidRPr="00C8302B">
        <w:rPr>
          <w:color w:val="auto"/>
          <w:sz w:val="20"/>
          <w:szCs w:val="20"/>
          <w:lang w:val="de-DE" w:eastAsia="fr-FR"/>
        </w:rPr>
        <w:t xml:space="preserve">Das Gericht bestätigte die </w:t>
      </w:r>
      <w:r>
        <w:rPr>
          <w:color w:val="auto"/>
          <w:sz w:val="20"/>
          <w:szCs w:val="20"/>
          <w:lang w:val="de-DE" w:eastAsia="fr-FR"/>
        </w:rPr>
        <w:t>Entscheidung</w:t>
      </w:r>
      <w:r w:rsidRPr="00C8302B">
        <w:rPr>
          <w:color w:val="auto"/>
          <w:sz w:val="20"/>
          <w:szCs w:val="20"/>
          <w:lang w:val="de-DE" w:eastAsia="fr-FR"/>
        </w:rPr>
        <w:t xml:space="preserve"> der Beschwerdekammer (BoA) zur Bestimmung des Prüfungsortes für die Kandidatensorte von </w:t>
      </w:r>
      <w:r w:rsidRPr="00C8302B">
        <w:rPr>
          <w:i/>
          <w:color w:val="auto"/>
          <w:sz w:val="20"/>
          <w:szCs w:val="20"/>
          <w:lang w:val="de-DE" w:eastAsia="fr-FR"/>
        </w:rPr>
        <w:t xml:space="preserve">Malus domestica </w:t>
      </w:r>
      <w:r w:rsidRPr="00C8302B">
        <w:rPr>
          <w:color w:val="auto"/>
          <w:sz w:val="20"/>
          <w:szCs w:val="20"/>
          <w:lang w:val="de-DE" w:eastAsia="fr-FR"/>
        </w:rPr>
        <w:t xml:space="preserve">Borkh </w:t>
      </w:r>
      <w:r>
        <w:rPr>
          <w:color w:val="auto"/>
          <w:sz w:val="20"/>
          <w:szCs w:val="20"/>
          <w:lang w:val="de-DE" w:eastAsia="fr-FR"/>
        </w:rPr>
        <w:t>‚</w:t>
      </w:r>
      <w:r w:rsidRPr="00C8302B">
        <w:rPr>
          <w:color w:val="auto"/>
          <w:sz w:val="20"/>
          <w:szCs w:val="20"/>
          <w:lang w:val="de-DE" w:eastAsia="fr-FR"/>
        </w:rPr>
        <w:t>Stark Gugger</w:t>
      </w:r>
      <w:r>
        <w:rPr>
          <w:color w:val="auto"/>
          <w:sz w:val="20"/>
          <w:szCs w:val="20"/>
          <w:lang w:val="de-DE" w:eastAsia="fr-FR"/>
        </w:rPr>
        <w:t>‘</w:t>
      </w:r>
      <w:r w:rsidRPr="00C8302B">
        <w:rPr>
          <w:color w:val="auto"/>
          <w:sz w:val="20"/>
          <w:szCs w:val="20"/>
          <w:lang w:val="de-DE" w:eastAsia="fr-FR"/>
        </w:rPr>
        <w:t xml:space="preserve">. Die </w:t>
      </w:r>
      <w:r w:rsidRPr="001403F2">
        <w:rPr>
          <w:color w:val="auto"/>
          <w:sz w:val="20"/>
          <w:szCs w:val="20"/>
          <w:lang w:val="de-DE" w:eastAsia="fr-FR"/>
        </w:rPr>
        <w:t xml:space="preserve">Rechtsmittelführerin </w:t>
      </w:r>
      <w:r w:rsidRPr="00C8302B">
        <w:rPr>
          <w:color w:val="auto"/>
          <w:sz w:val="20"/>
          <w:szCs w:val="20"/>
          <w:lang w:val="de-DE" w:eastAsia="fr-FR"/>
        </w:rPr>
        <w:t xml:space="preserve">hatte </w:t>
      </w:r>
      <w:r>
        <w:rPr>
          <w:color w:val="auto"/>
          <w:sz w:val="20"/>
          <w:szCs w:val="20"/>
          <w:lang w:val="de-DE" w:eastAsia="fr-FR"/>
        </w:rPr>
        <w:t xml:space="preserve">auf die Zurückweisung </w:t>
      </w:r>
      <w:r w:rsidRPr="00C8302B">
        <w:rPr>
          <w:color w:val="auto"/>
          <w:sz w:val="20"/>
          <w:szCs w:val="20"/>
          <w:lang w:val="de-DE" w:eastAsia="fr-FR"/>
        </w:rPr>
        <w:t xml:space="preserve">des </w:t>
      </w:r>
      <w:r w:rsidRPr="00FC3850">
        <w:rPr>
          <w:color w:val="auto"/>
          <w:sz w:val="20"/>
          <w:szCs w:val="20"/>
          <w:lang w:val="de-DE" w:eastAsia="fr-FR"/>
        </w:rPr>
        <w:t>Antrags</w:t>
      </w:r>
      <w:r>
        <w:rPr>
          <w:color w:val="auto"/>
          <w:sz w:val="20"/>
          <w:szCs w:val="20"/>
          <w:lang w:val="de-DE" w:eastAsia="fr-FR"/>
        </w:rPr>
        <w:t xml:space="preserve"> hin</w:t>
      </w:r>
      <w:r w:rsidRPr="00C8302B">
        <w:rPr>
          <w:color w:val="auto"/>
          <w:sz w:val="20"/>
          <w:szCs w:val="20"/>
          <w:lang w:val="de-DE" w:eastAsia="fr-FR"/>
        </w:rPr>
        <w:t xml:space="preserve"> beanstandet, dass </w:t>
      </w:r>
      <w:r>
        <w:rPr>
          <w:color w:val="auto"/>
          <w:sz w:val="20"/>
          <w:szCs w:val="20"/>
          <w:lang w:val="de-DE" w:eastAsia="fr-FR"/>
        </w:rPr>
        <w:t>das</w:t>
      </w:r>
      <w:r w:rsidRPr="00C8302B">
        <w:rPr>
          <w:color w:val="auto"/>
          <w:sz w:val="20"/>
          <w:szCs w:val="20"/>
          <w:lang w:val="de-DE" w:eastAsia="fr-FR"/>
        </w:rPr>
        <w:t xml:space="preserve"> vom Prüfungsamt (EO) angewandte </w:t>
      </w:r>
      <w:r>
        <w:rPr>
          <w:color w:val="auto"/>
          <w:sz w:val="20"/>
          <w:szCs w:val="20"/>
          <w:lang w:val="de-DE" w:eastAsia="fr-FR"/>
        </w:rPr>
        <w:t>Beschneidungsverfahren</w:t>
      </w:r>
      <w:r w:rsidRPr="00C8302B">
        <w:rPr>
          <w:color w:val="auto"/>
          <w:sz w:val="20"/>
          <w:szCs w:val="20"/>
          <w:lang w:val="de-DE" w:eastAsia="fr-FR"/>
        </w:rPr>
        <w:t xml:space="preserve"> und der Prüfungsort Geves-Angers für die </w:t>
      </w:r>
      <w:r>
        <w:rPr>
          <w:color w:val="auto"/>
          <w:sz w:val="20"/>
          <w:szCs w:val="20"/>
          <w:lang w:val="de-DE" w:eastAsia="fr-FR"/>
        </w:rPr>
        <w:t xml:space="preserve">Prüfung der Unterscheidbarkeit </w:t>
      </w:r>
      <w:r w:rsidRPr="00C8302B">
        <w:rPr>
          <w:color w:val="auto"/>
          <w:sz w:val="20"/>
          <w:szCs w:val="20"/>
          <w:lang w:val="de-DE" w:eastAsia="fr-FR"/>
        </w:rPr>
        <w:t xml:space="preserve">gemäß Artikel 7 der Verordnung über den </w:t>
      </w:r>
      <w:r>
        <w:rPr>
          <w:color w:val="auto"/>
          <w:sz w:val="20"/>
          <w:szCs w:val="20"/>
          <w:lang w:val="de-DE" w:eastAsia="fr-FR"/>
        </w:rPr>
        <w:t>g</w:t>
      </w:r>
      <w:r w:rsidRPr="00C8302B">
        <w:rPr>
          <w:color w:val="auto"/>
          <w:sz w:val="20"/>
          <w:szCs w:val="20"/>
          <w:lang w:val="de-DE" w:eastAsia="fr-FR"/>
        </w:rPr>
        <w:t xml:space="preserve">emeinschaftlichen Sortenschutz nicht geeignet seien, </w:t>
      </w:r>
      <w:r w:rsidRPr="00B55D51">
        <w:rPr>
          <w:color w:val="auto"/>
          <w:sz w:val="20"/>
          <w:szCs w:val="20"/>
          <w:lang w:val="de-DE" w:eastAsia="fr-FR"/>
        </w:rPr>
        <w:t xml:space="preserve">auch </w:t>
      </w:r>
      <w:r>
        <w:rPr>
          <w:color w:val="auto"/>
          <w:sz w:val="20"/>
          <w:szCs w:val="20"/>
          <w:lang w:val="de-DE" w:eastAsia="fr-FR"/>
        </w:rPr>
        <w:t>aufgrund der</w:t>
      </w:r>
      <w:r w:rsidRPr="00AD044A">
        <w:rPr>
          <w:color w:val="auto"/>
          <w:sz w:val="20"/>
          <w:szCs w:val="20"/>
          <w:lang w:val="de-DE" w:eastAsia="fr-FR"/>
        </w:rPr>
        <w:t xml:space="preserve"> Unterschiede zwischen den klimatischen Bedingungen </w:t>
      </w:r>
      <w:r>
        <w:rPr>
          <w:color w:val="auto"/>
          <w:sz w:val="20"/>
          <w:szCs w:val="20"/>
          <w:lang w:val="de-DE" w:eastAsia="fr-FR"/>
        </w:rPr>
        <w:t xml:space="preserve">beim Prüfungsamt </w:t>
      </w:r>
      <w:r w:rsidRPr="00AD044A">
        <w:rPr>
          <w:color w:val="auto"/>
          <w:sz w:val="20"/>
          <w:szCs w:val="20"/>
          <w:lang w:val="de-DE" w:eastAsia="fr-FR"/>
        </w:rPr>
        <w:t xml:space="preserve">und </w:t>
      </w:r>
      <w:r>
        <w:rPr>
          <w:color w:val="auto"/>
          <w:sz w:val="20"/>
          <w:szCs w:val="20"/>
          <w:lang w:val="de-DE" w:eastAsia="fr-FR"/>
        </w:rPr>
        <w:t>denjenigen</w:t>
      </w:r>
      <w:r w:rsidRPr="00AD044A">
        <w:rPr>
          <w:color w:val="auto"/>
          <w:sz w:val="20"/>
          <w:szCs w:val="20"/>
          <w:lang w:val="de-DE" w:eastAsia="fr-FR"/>
        </w:rPr>
        <w:t>, unter denen die Sorte entwickelt wurde</w:t>
      </w:r>
      <w:r w:rsidRPr="00C8302B">
        <w:rPr>
          <w:color w:val="auto"/>
          <w:sz w:val="20"/>
          <w:szCs w:val="20"/>
          <w:lang w:val="de-DE" w:eastAsia="fr-FR"/>
        </w:rPr>
        <w:t xml:space="preserve">. </w:t>
      </w:r>
    </w:p>
    <w:p w:rsidR="001F2153" w:rsidRPr="00C8302B" w:rsidRDefault="001F2153" w:rsidP="001F2153">
      <w:pPr>
        <w:pStyle w:val="Default"/>
        <w:ind w:right="141"/>
        <w:contextualSpacing/>
        <w:jc w:val="both"/>
        <w:rPr>
          <w:color w:val="auto"/>
          <w:sz w:val="20"/>
          <w:szCs w:val="20"/>
          <w:lang w:val="de-DE" w:eastAsia="fr-FR"/>
        </w:rPr>
      </w:pPr>
    </w:p>
    <w:p w:rsidR="001F2153" w:rsidRPr="00C8302B" w:rsidRDefault="001F2153" w:rsidP="001F2153">
      <w:pPr>
        <w:pStyle w:val="Default"/>
        <w:ind w:right="141"/>
        <w:contextualSpacing/>
        <w:jc w:val="both"/>
        <w:rPr>
          <w:color w:val="auto"/>
          <w:sz w:val="20"/>
          <w:szCs w:val="20"/>
          <w:lang w:val="de-DE" w:eastAsia="fr-FR"/>
        </w:rPr>
      </w:pPr>
      <w:r w:rsidRPr="00C8302B">
        <w:rPr>
          <w:color w:val="auto"/>
          <w:sz w:val="20"/>
          <w:szCs w:val="20"/>
          <w:lang w:val="de-DE" w:eastAsia="fr-FR"/>
        </w:rPr>
        <w:t xml:space="preserve">Das Gericht kam zu </w:t>
      </w:r>
      <w:r>
        <w:rPr>
          <w:color w:val="auto"/>
          <w:sz w:val="20"/>
          <w:szCs w:val="20"/>
          <w:lang w:val="de-DE" w:eastAsia="fr-FR"/>
        </w:rPr>
        <w:t>dem gleichen</w:t>
      </w:r>
      <w:r w:rsidRPr="00C8302B">
        <w:rPr>
          <w:color w:val="auto"/>
          <w:sz w:val="20"/>
          <w:szCs w:val="20"/>
          <w:lang w:val="de-DE" w:eastAsia="fr-FR"/>
        </w:rPr>
        <w:t xml:space="preserve"> Schluss wie die Beschwerdekammer des Gemeinschaftlichen Sortenamtes (CPVO), dass das Amt weder verpflichtet </w:t>
      </w:r>
      <w:r>
        <w:rPr>
          <w:color w:val="auto"/>
          <w:sz w:val="20"/>
          <w:szCs w:val="20"/>
          <w:lang w:val="de-DE" w:eastAsia="fr-FR"/>
        </w:rPr>
        <w:t>sei</w:t>
      </w:r>
      <w:r w:rsidRPr="00C8302B">
        <w:rPr>
          <w:color w:val="auto"/>
          <w:sz w:val="20"/>
          <w:szCs w:val="20"/>
          <w:lang w:val="de-DE" w:eastAsia="fr-FR"/>
        </w:rPr>
        <w:t xml:space="preserve">, </w:t>
      </w:r>
      <w:r>
        <w:rPr>
          <w:color w:val="auto"/>
          <w:sz w:val="20"/>
          <w:szCs w:val="20"/>
          <w:lang w:val="de-DE" w:eastAsia="fr-FR"/>
        </w:rPr>
        <w:t>das</w:t>
      </w:r>
      <w:r w:rsidRPr="00C8302B">
        <w:rPr>
          <w:color w:val="auto"/>
          <w:sz w:val="20"/>
          <w:szCs w:val="20"/>
          <w:lang w:val="de-DE" w:eastAsia="fr-FR"/>
        </w:rPr>
        <w:t xml:space="preserve"> von der </w:t>
      </w:r>
      <w:r w:rsidRPr="001403F2">
        <w:rPr>
          <w:color w:val="auto"/>
          <w:sz w:val="20"/>
          <w:szCs w:val="20"/>
          <w:lang w:val="de-DE" w:eastAsia="fr-FR"/>
        </w:rPr>
        <w:t xml:space="preserve">Rechtsmittelführerin </w:t>
      </w:r>
      <w:r w:rsidRPr="00C8302B">
        <w:rPr>
          <w:color w:val="auto"/>
          <w:sz w:val="20"/>
          <w:szCs w:val="20"/>
          <w:lang w:val="de-DE" w:eastAsia="fr-FR"/>
        </w:rPr>
        <w:t xml:space="preserve">vorgeschlagene </w:t>
      </w:r>
      <w:r w:rsidRPr="001F7306">
        <w:rPr>
          <w:color w:val="auto"/>
          <w:sz w:val="20"/>
          <w:szCs w:val="20"/>
          <w:lang w:val="de-DE" w:eastAsia="fr-FR"/>
        </w:rPr>
        <w:t>Beschneidungsverf</w:t>
      </w:r>
      <w:r>
        <w:rPr>
          <w:color w:val="auto"/>
          <w:sz w:val="20"/>
          <w:szCs w:val="20"/>
          <w:lang w:val="de-DE" w:eastAsia="fr-FR"/>
        </w:rPr>
        <w:t>ahren</w:t>
      </w:r>
      <w:r w:rsidRPr="00C8302B">
        <w:rPr>
          <w:color w:val="auto"/>
          <w:sz w:val="20"/>
          <w:szCs w:val="20"/>
          <w:lang w:val="de-DE" w:eastAsia="fr-FR"/>
        </w:rPr>
        <w:t xml:space="preserve"> anzuwenden, noch das Prüfungszentrum zu wechseln. </w:t>
      </w:r>
      <w:r>
        <w:rPr>
          <w:color w:val="auto"/>
          <w:sz w:val="20"/>
          <w:szCs w:val="20"/>
          <w:lang w:val="de-DE" w:eastAsia="fr-FR"/>
        </w:rPr>
        <w:t>Dabei</w:t>
      </w:r>
      <w:r w:rsidRPr="00C8302B">
        <w:rPr>
          <w:color w:val="auto"/>
          <w:sz w:val="20"/>
          <w:szCs w:val="20"/>
          <w:lang w:val="de-DE" w:eastAsia="fr-FR"/>
        </w:rPr>
        <w:t xml:space="preserve"> argumentierte das Gericht, dass es gemäß Artikel 55 Absatz 1 der </w:t>
      </w:r>
      <w:r w:rsidRPr="001404FB">
        <w:rPr>
          <w:color w:val="auto"/>
          <w:sz w:val="20"/>
          <w:szCs w:val="20"/>
          <w:lang w:val="de-DE" w:eastAsia="fr-FR"/>
        </w:rPr>
        <w:t>Verordnung über den gemeinschaftlichen</w:t>
      </w:r>
      <w:r w:rsidRPr="00C8302B">
        <w:rPr>
          <w:color w:val="auto"/>
          <w:sz w:val="20"/>
          <w:szCs w:val="20"/>
          <w:lang w:val="de-DE" w:eastAsia="fr-FR"/>
        </w:rPr>
        <w:t xml:space="preserve"> Sortenschutz und Artikel 13 Absatz 1 der Verordnung </w:t>
      </w:r>
      <w:r>
        <w:rPr>
          <w:color w:val="auto"/>
          <w:sz w:val="20"/>
          <w:szCs w:val="20"/>
          <w:lang w:val="de-DE" w:eastAsia="fr-FR"/>
        </w:rPr>
        <w:t xml:space="preserve">(EU) </w:t>
      </w:r>
      <w:r w:rsidRPr="00C8302B">
        <w:rPr>
          <w:color w:val="auto"/>
          <w:sz w:val="20"/>
          <w:szCs w:val="20"/>
          <w:lang w:val="de-DE" w:eastAsia="fr-FR"/>
        </w:rPr>
        <w:t xml:space="preserve">Nr. 874/2009 der Kommission </w:t>
      </w:r>
      <w:r w:rsidRPr="004E7F89">
        <w:rPr>
          <w:color w:val="auto"/>
          <w:sz w:val="20"/>
          <w:szCs w:val="20"/>
          <w:lang w:val="de-DE" w:eastAsia="fr-FR"/>
        </w:rPr>
        <w:t>Sache</w:t>
      </w:r>
      <w:r w:rsidRPr="00C8302B">
        <w:rPr>
          <w:color w:val="auto"/>
          <w:sz w:val="20"/>
          <w:szCs w:val="20"/>
          <w:lang w:val="de-DE" w:eastAsia="fr-FR"/>
        </w:rPr>
        <w:t xml:space="preserve"> des Verwaltungsrats des CPVO </w:t>
      </w:r>
      <w:r>
        <w:rPr>
          <w:color w:val="auto"/>
          <w:sz w:val="20"/>
          <w:szCs w:val="20"/>
          <w:lang w:val="de-DE" w:eastAsia="fr-FR"/>
        </w:rPr>
        <w:t>sei</w:t>
      </w:r>
      <w:r w:rsidRPr="00C8302B">
        <w:rPr>
          <w:color w:val="auto"/>
          <w:sz w:val="20"/>
          <w:szCs w:val="20"/>
          <w:lang w:val="de-DE" w:eastAsia="fr-FR"/>
        </w:rPr>
        <w:t xml:space="preserve">, zuständige Ämter mit der technischen Prüfung von Kandidatensorten zu beauftragen. Die Auswahl des Prüfungsortes </w:t>
      </w:r>
      <w:r>
        <w:rPr>
          <w:color w:val="auto"/>
          <w:sz w:val="20"/>
          <w:szCs w:val="20"/>
          <w:lang w:val="de-DE" w:eastAsia="fr-FR"/>
        </w:rPr>
        <w:t>sei</w:t>
      </w:r>
      <w:r w:rsidRPr="00C8302B">
        <w:rPr>
          <w:color w:val="auto"/>
          <w:sz w:val="20"/>
          <w:szCs w:val="20"/>
          <w:lang w:val="de-DE" w:eastAsia="fr-FR"/>
        </w:rPr>
        <w:t xml:space="preserve"> </w:t>
      </w:r>
      <w:r>
        <w:rPr>
          <w:color w:val="auto"/>
          <w:sz w:val="20"/>
          <w:szCs w:val="20"/>
          <w:lang w:val="de-DE" w:eastAsia="fr-FR"/>
        </w:rPr>
        <w:t>eindeutig und dem betreffenden konkreten Antrag vorausgehend gewesen</w:t>
      </w:r>
      <w:r w:rsidRPr="00C8302B">
        <w:rPr>
          <w:color w:val="auto"/>
          <w:sz w:val="20"/>
          <w:szCs w:val="20"/>
          <w:lang w:val="de-DE" w:eastAsia="fr-FR"/>
        </w:rPr>
        <w:t xml:space="preserve">. </w:t>
      </w:r>
      <w:r>
        <w:rPr>
          <w:color w:val="auto"/>
          <w:sz w:val="20"/>
          <w:szCs w:val="20"/>
          <w:lang w:val="de-DE" w:eastAsia="fr-FR"/>
        </w:rPr>
        <w:t>Ferner</w:t>
      </w:r>
      <w:r w:rsidRPr="00C8302B">
        <w:rPr>
          <w:color w:val="auto"/>
          <w:sz w:val="20"/>
          <w:szCs w:val="20"/>
          <w:lang w:val="de-DE" w:eastAsia="fr-FR"/>
        </w:rPr>
        <w:t xml:space="preserve"> hätte das CPVO kein Mitspracherecht bei der Änderung der </w:t>
      </w:r>
      <w:r>
        <w:rPr>
          <w:color w:val="auto"/>
          <w:sz w:val="20"/>
          <w:szCs w:val="20"/>
          <w:lang w:val="de-DE" w:eastAsia="fr-FR"/>
        </w:rPr>
        <w:t>Prüfungseinrichtung</w:t>
      </w:r>
      <w:r w:rsidRPr="00C8302B">
        <w:rPr>
          <w:color w:val="auto"/>
          <w:sz w:val="20"/>
          <w:szCs w:val="20"/>
          <w:lang w:val="de-DE" w:eastAsia="fr-FR"/>
        </w:rPr>
        <w:t xml:space="preserve"> gehabt, die für alle Arten oder Sorten bestimmt </w:t>
      </w:r>
      <w:r>
        <w:rPr>
          <w:color w:val="auto"/>
          <w:sz w:val="20"/>
          <w:szCs w:val="20"/>
          <w:lang w:val="de-DE" w:eastAsia="fr-FR"/>
        </w:rPr>
        <w:t>sei</w:t>
      </w:r>
      <w:r w:rsidRPr="00C8302B">
        <w:rPr>
          <w:color w:val="auto"/>
          <w:sz w:val="20"/>
          <w:szCs w:val="20"/>
          <w:lang w:val="de-DE" w:eastAsia="fr-FR"/>
        </w:rPr>
        <w:t xml:space="preserve">, die </w:t>
      </w:r>
      <w:r>
        <w:rPr>
          <w:color w:val="auto"/>
          <w:sz w:val="20"/>
          <w:szCs w:val="20"/>
          <w:lang w:val="de-DE" w:eastAsia="fr-FR"/>
        </w:rPr>
        <w:t>der gleichen</w:t>
      </w:r>
      <w:r w:rsidRPr="00C8302B">
        <w:rPr>
          <w:color w:val="auto"/>
          <w:sz w:val="20"/>
          <w:szCs w:val="20"/>
          <w:lang w:val="de-DE" w:eastAsia="fr-FR"/>
        </w:rPr>
        <w:t xml:space="preserve"> Mutationsgruppe angehör</w:t>
      </w:r>
      <w:r>
        <w:rPr>
          <w:color w:val="auto"/>
          <w:sz w:val="20"/>
          <w:szCs w:val="20"/>
          <w:lang w:val="de-DE" w:eastAsia="fr-FR"/>
        </w:rPr>
        <w:t>t</w:t>
      </w:r>
      <w:r w:rsidRPr="00C8302B">
        <w:rPr>
          <w:color w:val="auto"/>
          <w:sz w:val="20"/>
          <w:szCs w:val="20"/>
          <w:lang w:val="de-DE" w:eastAsia="fr-FR"/>
        </w:rPr>
        <w:t xml:space="preserve">en, wie sich aus der </w:t>
      </w:r>
      <w:r w:rsidRPr="00DC67F0">
        <w:rPr>
          <w:color w:val="auto"/>
          <w:sz w:val="20"/>
          <w:szCs w:val="20"/>
          <w:lang w:val="de-DE" w:eastAsia="fr-FR"/>
        </w:rPr>
        <w:t>Bekanntmachung</w:t>
      </w:r>
      <w:r w:rsidRPr="00C8302B">
        <w:rPr>
          <w:color w:val="auto"/>
          <w:sz w:val="20"/>
          <w:szCs w:val="20"/>
          <w:lang w:val="de-DE" w:eastAsia="fr-FR"/>
        </w:rPr>
        <w:t xml:space="preserve"> des Verwaltungsrats </w:t>
      </w:r>
      <w:r>
        <w:rPr>
          <w:color w:val="auto"/>
          <w:sz w:val="20"/>
          <w:szCs w:val="20"/>
          <w:lang w:val="de-DE" w:eastAsia="fr-FR"/>
        </w:rPr>
        <w:t>ergebe</w:t>
      </w:r>
      <w:r w:rsidRPr="00C8302B">
        <w:rPr>
          <w:color w:val="auto"/>
          <w:sz w:val="20"/>
          <w:szCs w:val="20"/>
          <w:lang w:val="de-DE" w:eastAsia="fr-FR"/>
        </w:rPr>
        <w:t xml:space="preserve">. </w:t>
      </w:r>
    </w:p>
    <w:p w:rsidR="001F2153" w:rsidRPr="00C8302B" w:rsidRDefault="001F2153" w:rsidP="001F2153">
      <w:pPr>
        <w:pStyle w:val="Default"/>
        <w:ind w:right="141"/>
        <w:contextualSpacing/>
        <w:jc w:val="both"/>
        <w:rPr>
          <w:color w:val="auto"/>
          <w:sz w:val="20"/>
          <w:szCs w:val="20"/>
          <w:lang w:val="de-DE" w:eastAsia="fr-FR"/>
        </w:rPr>
      </w:pPr>
    </w:p>
    <w:p w:rsidR="001F2153" w:rsidRPr="00C8302B" w:rsidRDefault="001F2153" w:rsidP="001F2153">
      <w:pPr>
        <w:pStyle w:val="Default"/>
        <w:ind w:right="141"/>
        <w:contextualSpacing/>
        <w:jc w:val="both"/>
        <w:rPr>
          <w:color w:val="auto"/>
          <w:sz w:val="20"/>
          <w:szCs w:val="20"/>
          <w:lang w:val="de-DE" w:eastAsia="fr-FR"/>
        </w:rPr>
      </w:pPr>
      <w:r w:rsidRPr="00C8302B">
        <w:rPr>
          <w:color w:val="auto"/>
          <w:sz w:val="20"/>
          <w:szCs w:val="20"/>
          <w:lang w:val="de-DE" w:eastAsia="fr-FR"/>
        </w:rPr>
        <w:t xml:space="preserve">Darüber hinaus </w:t>
      </w:r>
      <w:r>
        <w:rPr>
          <w:color w:val="auto"/>
          <w:sz w:val="20"/>
          <w:szCs w:val="20"/>
          <w:lang w:val="de-DE" w:eastAsia="fr-FR"/>
        </w:rPr>
        <w:t>befand</w:t>
      </w:r>
      <w:r w:rsidRPr="00C8302B">
        <w:rPr>
          <w:color w:val="auto"/>
          <w:sz w:val="20"/>
          <w:szCs w:val="20"/>
          <w:lang w:val="de-DE" w:eastAsia="fr-FR"/>
        </w:rPr>
        <w:t xml:space="preserve"> das Gericht, dass die </w:t>
      </w:r>
      <w:r>
        <w:rPr>
          <w:color w:val="auto"/>
          <w:sz w:val="20"/>
          <w:szCs w:val="20"/>
          <w:lang w:val="de-DE" w:eastAsia="fr-FR"/>
        </w:rPr>
        <w:t>Daten</w:t>
      </w:r>
      <w:r w:rsidRPr="00C8302B">
        <w:rPr>
          <w:color w:val="auto"/>
          <w:sz w:val="20"/>
          <w:szCs w:val="20"/>
          <w:lang w:val="de-DE" w:eastAsia="fr-FR"/>
        </w:rPr>
        <w:t xml:space="preserve"> zur genetischen Nähe für die </w:t>
      </w:r>
      <w:r>
        <w:rPr>
          <w:color w:val="auto"/>
          <w:sz w:val="20"/>
          <w:szCs w:val="20"/>
          <w:lang w:val="de-DE" w:eastAsia="fr-FR"/>
        </w:rPr>
        <w:t xml:space="preserve">Prüfung der Unterscheidbarkeit </w:t>
      </w:r>
      <w:r w:rsidRPr="00C8302B">
        <w:rPr>
          <w:color w:val="auto"/>
          <w:sz w:val="20"/>
          <w:szCs w:val="20"/>
          <w:lang w:val="de-DE" w:eastAsia="fr-FR"/>
        </w:rPr>
        <w:t xml:space="preserve">ohne Belang </w:t>
      </w:r>
      <w:r>
        <w:rPr>
          <w:color w:val="auto"/>
          <w:sz w:val="20"/>
          <w:szCs w:val="20"/>
          <w:lang w:val="de-DE" w:eastAsia="fr-FR"/>
        </w:rPr>
        <w:t>seien</w:t>
      </w:r>
      <w:r w:rsidRPr="00C8302B">
        <w:rPr>
          <w:color w:val="auto"/>
          <w:sz w:val="20"/>
          <w:szCs w:val="20"/>
          <w:lang w:val="de-DE" w:eastAsia="fr-FR"/>
        </w:rPr>
        <w:t xml:space="preserve">, und wies die </w:t>
      </w:r>
      <w:r>
        <w:rPr>
          <w:color w:val="auto"/>
          <w:sz w:val="20"/>
          <w:szCs w:val="20"/>
          <w:lang w:val="de-DE" w:eastAsia="fr-FR"/>
        </w:rPr>
        <w:t>Vorbringen</w:t>
      </w:r>
      <w:r w:rsidRPr="00C8302B">
        <w:rPr>
          <w:color w:val="auto"/>
          <w:sz w:val="20"/>
          <w:szCs w:val="20"/>
          <w:lang w:val="de-DE" w:eastAsia="fr-FR"/>
        </w:rPr>
        <w:t xml:space="preserve"> </w:t>
      </w:r>
      <w:r w:rsidRPr="00B66E95">
        <w:rPr>
          <w:color w:val="auto"/>
          <w:sz w:val="20"/>
          <w:szCs w:val="20"/>
          <w:lang w:val="de-DE" w:eastAsia="fr-FR"/>
        </w:rPr>
        <w:t>hinsichtlich eines angeblichen Verstoßes der Beschwerdekammer gegen die Begründungspflicht und d</w:t>
      </w:r>
      <w:r>
        <w:rPr>
          <w:color w:val="auto"/>
          <w:sz w:val="20"/>
          <w:szCs w:val="20"/>
          <w:lang w:val="de-DE" w:eastAsia="fr-FR"/>
        </w:rPr>
        <w:t>as</w:t>
      </w:r>
      <w:r w:rsidRPr="00B66E95">
        <w:rPr>
          <w:color w:val="auto"/>
          <w:sz w:val="20"/>
          <w:szCs w:val="20"/>
          <w:lang w:val="de-DE" w:eastAsia="fr-FR"/>
        </w:rPr>
        <w:t xml:space="preserve"> Recht auf Anhörung in vollem Umfang zurück.</w:t>
      </w:r>
      <w:r w:rsidRPr="00C8302B">
        <w:rPr>
          <w:color w:val="auto"/>
          <w:sz w:val="20"/>
          <w:szCs w:val="20"/>
          <w:lang w:val="de-DE" w:eastAsia="fr-FR"/>
        </w:rPr>
        <w:t xml:space="preserve"> </w:t>
      </w:r>
    </w:p>
    <w:p w:rsidR="001F2153" w:rsidRPr="00C8302B" w:rsidRDefault="001F2153" w:rsidP="001F2153">
      <w:pPr>
        <w:pStyle w:val="Default"/>
        <w:ind w:right="141"/>
        <w:contextualSpacing/>
        <w:jc w:val="both"/>
        <w:rPr>
          <w:i/>
          <w:color w:val="auto"/>
          <w:sz w:val="20"/>
          <w:szCs w:val="20"/>
          <w:lang w:val="de-DE" w:eastAsia="fr-FR"/>
        </w:rPr>
      </w:pPr>
    </w:p>
    <w:p w:rsidR="001F2153" w:rsidRPr="00C8302B" w:rsidRDefault="001F2153" w:rsidP="001F2153">
      <w:pPr>
        <w:pStyle w:val="Default"/>
        <w:ind w:right="141"/>
        <w:contextualSpacing/>
        <w:jc w:val="both"/>
        <w:rPr>
          <w:i/>
          <w:color w:val="auto"/>
          <w:sz w:val="20"/>
          <w:szCs w:val="20"/>
          <w:lang w:val="de-DE" w:eastAsia="fr-FR"/>
        </w:rPr>
      </w:pPr>
      <w:r w:rsidRPr="00C8302B">
        <w:rPr>
          <w:i/>
          <w:color w:val="auto"/>
          <w:sz w:val="20"/>
          <w:szCs w:val="20"/>
          <w:lang w:val="de-DE" w:eastAsia="fr-FR"/>
        </w:rPr>
        <w:t xml:space="preserve">Urteil des Gerichts vom 14. Juli 2021 in der Rechtssache T-182/20 </w:t>
      </w:r>
      <w:r>
        <w:rPr>
          <w:i/>
          <w:color w:val="auto"/>
          <w:sz w:val="20"/>
          <w:szCs w:val="20"/>
          <w:lang w:val="de-DE" w:eastAsia="fr-FR"/>
        </w:rPr>
        <w:t>‚</w:t>
      </w:r>
      <w:r w:rsidRPr="00C8302B">
        <w:rPr>
          <w:i/>
          <w:color w:val="auto"/>
          <w:sz w:val="20"/>
          <w:szCs w:val="20"/>
          <w:lang w:val="de-DE" w:eastAsia="fr-FR"/>
        </w:rPr>
        <w:t>Gala Perathone</w:t>
      </w:r>
      <w:r>
        <w:rPr>
          <w:i/>
          <w:color w:val="auto"/>
          <w:sz w:val="20"/>
          <w:szCs w:val="20"/>
          <w:lang w:val="de-DE" w:eastAsia="fr-FR"/>
        </w:rPr>
        <w:t>‘</w:t>
      </w:r>
      <w:r w:rsidRPr="00C8302B">
        <w:rPr>
          <w:i/>
          <w:color w:val="auto"/>
          <w:sz w:val="20"/>
          <w:szCs w:val="20"/>
          <w:lang w:val="de-DE" w:eastAsia="fr-FR"/>
        </w:rPr>
        <w:t>.</w:t>
      </w:r>
    </w:p>
    <w:p w:rsidR="001F2153" w:rsidRPr="00C8302B" w:rsidRDefault="001F2153" w:rsidP="001F2153">
      <w:pPr>
        <w:pStyle w:val="Default"/>
        <w:ind w:right="141"/>
        <w:contextualSpacing/>
        <w:jc w:val="both"/>
        <w:rPr>
          <w:color w:val="auto"/>
          <w:sz w:val="20"/>
          <w:szCs w:val="20"/>
          <w:lang w:val="de-DE" w:eastAsia="fr-FR"/>
        </w:rPr>
      </w:pPr>
    </w:p>
    <w:p w:rsidR="001F2153" w:rsidRPr="00C8302B" w:rsidRDefault="001F2153" w:rsidP="001F2153">
      <w:pPr>
        <w:pStyle w:val="Default"/>
        <w:ind w:right="141"/>
        <w:contextualSpacing/>
        <w:jc w:val="both"/>
        <w:rPr>
          <w:color w:val="auto"/>
          <w:sz w:val="20"/>
          <w:szCs w:val="20"/>
          <w:lang w:val="de-DE" w:eastAsia="fr-FR"/>
        </w:rPr>
      </w:pPr>
      <w:r w:rsidRPr="00C8302B">
        <w:rPr>
          <w:color w:val="auto"/>
          <w:sz w:val="20"/>
          <w:szCs w:val="20"/>
          <w:lang w:val="de-DE" w:eastAsia="fr-FR"/>
        </w:rPr>
        <w:t xml:space="preserve">Mit Urteil vom 14. Juli 2021 hat das Gericht die von der </w:t>
      </w:r>
      <w:r w:rsidRPr="0056531F">
        <w:rPr>
          <w:color w:val="auto"/>
          <w:sz w:val="20"/>
          <w:szCs w:val="20"/>
          <w:lang w:val="de-DE" w:eastAsia="fr-FR"/>
        </w:rPr>
        <w:t>Rechtsmittelführerin</w:t>
      </w:r>
      <w:r w:rsidRPr="00C8302B">
        <w:rPr>
          <w:color w:val="auto"/>
          <w:sz w:val="20"/>
          <w:szCs w:val="20"/>
          <w:lang w:val="de-DE" w:eastAsia="fr-FR"/>
        </w:rPr>
        <w:t xml:space="preserve"> erhobene Klage in vollem Umfang abgewiesen und </w:t>
      </w:r>
      <w:r w:rsidRPr="008F6D13">
        <w:rPr>
          <w:color w:val="auto"/>
          <w:sz w:val="20"/>
          <w:szCs w:val="20"/>
          <w:lang w:val="de-DE" w:eastAsia="fr-FR"/>
        </w:rPr>
        <w:t>ihr</w:t>
      </w:r>
      <w:r w:rsidRPr="00C8302B">
        <w:rPr>
          <w:color w:val="auto"/>
          <w:sz w:val="20"/>
          <w:szCs w:val="20"/>
          <w:lang w:val="de-DE" w:eastAsia="fr-FR"/>
        </w:rPr>
        <w:t xml:space="preserve"> die Kosten auferlegt. </w:t>
      </w:r>
    </w:p>
    <w:p w:rsidR="001F2153" w:rsidRPr="00C8302B" w:rsidRDefault="001F2153" w:rsidP="001F2153">
      <w:pPr>
        <w:pStyle w:val="Default"/>
        <w:ind w:right="141"/>
        <w:contextualSpacing/>
        <w:jc w:val="both"/>
        <w:rPr>
          <w:color w:val="auto"/>
          <w:sz w:val="20"/>
          <w:szCs w:val="20"/>
          <w:lang w:val="de-DE" w:eastAsia="fr-FR"/>
        </w:rPr>
      </w:pPr>
    </w:p>
    <w:p w:rsidR="001F2153" w:rsidRPr="00C8302B" w:rsidRDefault="001F2153" w:rsidP="001F2153">
      <w:pPr>
        <w:pStyle w:val="Default"/>
        <w:ind w:right="141"/>
        <w:contextualSpacing/>
        <w:jc w:val="both"/>
        <w:rPr>
          <w:color w:val="auto"/>
          <w:sz w:val="20"/>
          <w:szCs w:val="20"/>
          <w:lang w:val="de-DE" w:eastAsia="fr-FR"/>
        </w:rPr>
      </w:pPr>
      <w:r w:rsidRPr="00477E3A">
        <w:rPr>
          <w:color w:val="auto"/>
          <w:sz w:val="20"/>
          <w:szCs w:val="20"/>
          <w:lang w:val="de-DE" w:eastAsia="fr-FR"/>
        </w:rPr>
        <w:lastRenderedPageBreak/>
        <w:t xml:space="preserve">Das Gericht bestätigte die </w:t>
      </w:r>
      <w:r>
        <w:rPr>
          <w:color w:val="auto"/>
          <w:sz w:val="20"/>
          <w:szCs w:val="20"/>
          <w:lang w:val="de-DE" w:eastAsia="fr-FR"/>
        </w:rPr>
        <w:t>Entscheidung</w:t>
      </w:r>
      <w:r w:rsidRPr="00C8302B">
        <w:rPr>
          <w:color w:val="auto"/>
          <w:sz w:val="20"/>
          <w:szCs w:val="20"/>
          <w:lang w:val="de-DE" w:eastAsia="fr-FR"/>
        </w:rPr>
        <w:t xml:space="preserve"> der Beschwerdekammer (BoA) zur Bestimmung des Prüfungsortes für die Kandidatensorte von </w:t>
      </w:r>
      <w:r w:rsidRPr="00C8302B">
        <w:rPr>
          <w:i/>
          <w:color w:val="auto"/>
          <w:sz w:val="20"/>
          <w:szCs w:val="20"/>
          <w:lang w:val="de-DE" w:eastAsia="fr-FR"/>
        </w:rPr>
        <w:t xml:space="preserve">Malus domestica </w:t>
      </w:r>
      <w:r w:rsidRPr="00C8302B">
        <w:rPr>
          <w:color w:val="auto"/>
          <w:sz w:val="20"/>
          <w:szCs w:val="20"/>
          <w:lang w:val="de-DE" w:eastAsia="fr-FR"/>
        </w:rPr>
        <w:t xml:space="preserve">Borkh </w:t>
      </w:r>
      <w:r>
        <w:rPr>
          <w:color w:val="auto"/>
          <w:sz w:val="20"/>
          <w:szCs w:val="20"/>
          <w:lang w:val="de-DE" w:eastAsia="fr-FR"/>
        </w:rPr>
        <w:t>‚</w:t>
      </w:r>
      <w:r w:rsidRPr="00C8302B">
        <w:rPr>
          <w:color w:val="auto"/>
          <w:sz w:val="20"/>
          <w:szCs w:val="20"/>
          <w:lang w:val="de-DE" w:eastAsia="fr-FR"/>
        </w:rPr>
        <w:t>Gala Perathoner</w:t>
      </w:r>
      <w:r>
        <w:rPr>
          <w:color w:val="auto"/>
          <w:sz w:val="20"/>
          <w:szCs w:val="20"/>
          <w:lang w:val="de-DE" w:eastAsia="fr-FR"/>
        </w:rPr>
        <w:t>‘</w:t>
      </w:r>
      <w:r w:rsidRPr="00C8302B">
        <w:rPr>
          <w:color w:val="auto"/>
          <w:sz w:val="20"/>
          <w:szCs w:val="20"/>
          <w:lang w:val="de-DE" w:eastAsia="fr-FR"/>
        </w:rPr>
        <w:t xml:space="preserve">. Die </w:t>
      </w:r>
      <w:r w:rsidRPr="001403F2">
        <w:rPr>
          <w:color w:val="auto"/>
          <w:sz w:val="20"/>
          <w:szCs w:val="20"/>
          <w:lang w:val="de-DE" w:eastAsia="fr-FR"/>
        </w:rPr>
        <w:t xml:space="preserve">Rechtsmittelführerin </w:t>
      </w:r>
      <w:r w:rsidRPr="00C8302B">
        <w:rPr>
          <w:color w:val="auto"/>
          <w:sz w:val="20"/>
          <w:szCs w:val="20"/>
          <w:lang w:val="de-DE" w:eastAsia="fr-FR"/>
        </w:rPr>
        <w:t xml:space="preserve">hatte </w:t>
      </w:r>
      <w:r>
        <w:rPr>
          <w:color w:val="auto"/>
          <w:sz w:val="20"/>
          <w:szCs w:val="20"/>
          <w:lang w:val="de-DE" w:eastAsia="fr-FR"/>
        </w:rPr>
        <w:t xml:space="preserve">auf die Zurückweisung </w:t>
      </w:r>
      <w:r w:rsidRPr="00C8302B">
        <w:rPr>
          <w:color w:val="auto"/>
          <w:sz w:val="20"/>
          <w:szCs w:val="20"/>
          <w:lang w:val="de-DE" w:eastAsia="fr-FR"/>
        </w:rPr>
        <w:t xml:space="preserve">des </w:t>
      </w:r>
      <w:r w:rsidRPr="00FC3850">
        <w:rPr>
          <w:color w:val="auto"/>
          <w:sz w:val="20"/>
          <w:szCs w:val="20"/>
          <w:lang w:val="de-DE" w:eastAsia="fr-FR"/>
        </w:rPr>
        <w:t>Antrags</w:t>
      </w:r>
      <w:r w:rsidRPr="00C8302B">
        <w:rPr>
          <w:color w:val="auto"/>
          <w:sz w:val="20"/>
          <w:szCs w:val="20"/>
          <w:lang w:val="de-DE" w:eastAsia="fr-FR"/>
        </w:rPr>
        <w:t xml:space="preserve"> beanstandet, dass das Prüfungsamt (EO) den Zeitpunkt der Ernte der Früchte der Kandidatensorte falsch bestimmt habe. Der optimale Erntezeitpunkt für die Kandidatensorte sei </w:t>
      </w:r>
      <w:r>
        <w:rPr>
          <w:color w:val="auto"/>
          <w:sz w:val="20"/>
          <w:szCs w:val="20"/>
          <w:lang w:val="de-DE" w:eastAsia="fr-FR"/>
        </w:rPr>
        <w:t>nach Auffassung der Rechtsmittelführerin mittels</w:t>
      </w:r>
      <w:r w:rsidRPr="00C8302B">
        <w:rPr>
          <w:color w:val="auto"/>
          <w:sz w:val="20"/>
          <w:szCs w:val="20"/>
          <w:lang w:val="de-DE" w:eastAsia="fr-FR"/>
        </w:rPr>
        <w:t xml:space="preserve"> des </w:t>
      </w:r>
      <w:r w:rsidRPr="00AE27A0">
        <w:rPr>
          <w:color w:val="auto"/>
          <w:sz w:val="20"/>
          <w:szCs w:val="20"/>
          <w:lang w:val="de-DE" w:eastAsia="fr-FR"/>
        </w:rPr>
        <w:t>Stärke</w:t>
      </w:r>
      <w:r>
        <w:rPr>
          <w:color w:val="auto"/>
          <w:sz w:val="20"/>
          <w:szCs w:val="20"/>
          <w:lang w:val="de-DE" w:eastAsia="fr-FR"/>
        </w:rPr>
        <w:t>abbau</w:t>
      </w:r>
      <w:r w:rsidRPr="00AE27A0">
        <w:rPr>
          <w:color w:val="auto"/>
          <w:sz w:val="20"/>
          <w:szCs w:val="20"/>
          <w:lang w:val="de-DE" w:eastAsia="fr-FR"/>
        </w:rPr>
        <w:t>indexes</w:t>
      </w:r>
      <w:r w:rsidRPr="00C8302B">
        <w:rPr>
          <w:color w:val="auto"/>
          <w:sz w:val="20"/>
          <w:szCs w:val="20"/>
          <w:lang w:val="de-DE" w:eastAsia="fr-FR"/>
        </w:rPr>
        <w:t xml:space="preserve"> zu bestimmen. </w:t>
      </w:r>
    </w:p>
    <w:p w:rsidR="001F2153" w:rsidRPr="00C8302B" w:rsidRDefault="001F2153" w:rsidP="001F2153">
      <w:pPr>
        <w:pStyle w:val="Default"/>
        <w:ind w:right="141"/>
        <w:contextualSpacing/>
        <w:jc w:val="both"/>
        <w:rPr>
          <w:color w:val="auto"/>
          <w:sz w:val="20"/>
          <w:szCs w:val="20"/>
          <w:lang w:val="de-DE" w:eastAsia="fr-FR"/>
        </w:rPr>
      </w:pPr>
    </w:p>
    <w:p w:rsidR="001F2153" w:rsidRPr="00C8302B" w:rsidRDefault="001F2153" w:rsidP="001F2153">
      <w:pPr>
        <w:pStyle w:val="Default"/>
        <w:ind w:right="141"/>
        <w:contextualSpacing/>
        <w:jc w:val="both"/>
        <w:rPr>
          <w:color w:val="auto"/>
          <w:sz w:val="20"/>
          <w:szCs w:val="20"/>
          <w:lang w:val="de-DE" w:eastAsia="fr-FR"/>
        </w:rPr>
      </w:pPr>
      <w:r>
        <w:rPr>
          <w:color w:val="auto"/>
          <w:sz w:val="20"/>
          <w:szCs w:val="20"/>
          <w:lang w:val="de-DE" w:eastAsia="fr-FR"/>
        </w:rPr>
        <w:t>Darüber hinaus</w:t>
      </w:r>
      <w:r w:rsidRPr="00C8302B">
        <w:rPr>
          <w:color w:val="auto"/>
          <w:sz w:val="20"/>
          <w:szCs w:val="20"/>
          <w:lang w:val="de-DE" w:eastAsia="fr-FR"/>
        </w:rPr>
        <w:t xml:space="preserve"> </w:t>
      </w:r>
      <w:r>
        <w:rPr>
          <w:color w:val="auto"/>
          <w:sz w:val="20"/>
          <w:szCs w:val="20"/>
          <w:lang w:val="de-DE" w:eastAsia="fr-FR"/>
        </w:rPr>
        <w:t xml:space="preserve">argumentierte die Rechtsmittelführerin, dass </w:t>
      </w:r>
      <w:r w:rsidRPr="00C8302B">
        <w:rPr>
          <w:color w:val="auto"/>
          <w:sz w:val="20"/>
          <w:szCs w:val="20"/>
          <w:lang w:val="de-DE" w:eastAsia="fr-FR"/>
        </w:rPr>
        <w:t xml:space="preserve">der Prüfungsort Geves-Angers für die </w:t>
      </w:r>
      <w:r>
        <w:rPr>
          <w:color w:val="auto"/>
          <w:sz w:val="20"/>
          <w:szCs w:val="20"/>
          <w:lang w:val="de-DE" w:eastAsia="fr-FR"/>
        </w:rPr>
        <w:t xml:space="preserve">Prüfung der Unterscheidbarkeit </w:t>
      </w:r>
      <w:r w:rsidRPr="00C8302B">
        <w:rPr>
          <w:color w:val="auto"/>
          <w:sz w:val="20"/>
          <w:szCs w:val="20"/>
          <w:lang w:val="de-DE" w:eastAsia="fr-FR"/>
        </w:rPr>
        <w:t xml:space="preserve">gemäß Artikel 7 </w:t>
      </w:r>
      <w:r w:rsidRPr="001404FB">
        <w:rPr>
          <w:color w:val="auto"/>
          <w:sz w:val="20"/>
          <w:szCs w:val="20"/>
          <w:lang w:val="de-DE" w:eastAsia="fr-FR"/>
        </w:rPr>
        <w:t>der Verordnung über den gemeinschaftlichen Sortenschutz nich</w:t>
      </w:r>
      <w:r w:rsidRPr="00C8302B">
        <w:rPr>
          <w:color w:val="auto"/>
          <w:sz w:val="20"/>
          <w:szCs w:val="20"/>
          <w:lang w:val="de-DE" w:eastAsia="fr-FR"/>
        </w:rPr>
        <w:t>t geeignet</w:t>
      </w:r>
      <w:r>
        <w:rPr>
          <w:color w:val="auto"/>
          <w:sz w:val="20"/>
          <w:szCs w:val="20"/>
          <w:lang w:val="de-DE" w:eastAsia="fr-FR"/>
        </w:rPr>
        <w:t xml:space="preserve"> sei</w:t>
      </w:r>
      <w:r w:rsidRPr="00C8302B">
        <w:rPr>
          <w:color w:val="auto"/>
          <w:sz w:val="20"/>
          <w:szCs w:val="20"/>
          <w:lang w:val="de-DE" w:eastAsia="fr-FR"/>
        </w:rPr>
        <w:t xml:space="preserve">, auch </w:t>
      </w:r>
      <w:r>
        <w:rPr>
          <w:color w:val="auto"/>
          <w:sz w:val="20"/>
          <w:szCs w:val="20"/>
          <w:lang w:val="de-DE" w:eastAsia="fr-FR"/>
        </w:rPr>
        <w:t>aufgrund der</w:t>
      </w:r>
      <w:r w:rsidRPr="00C8302B">
        <w:rPr>
          <w:color w:val="auto"/>
          <w:sz w:val="20"/>
          <w:szCs w:val="20"/>
          <w:lang w:val="de-DE" w:eastAsia="fr-FR"/>
        </w:rPr>
        <w:t xml:space="preserve"> Unterschiede zwischen den klimatischen Bedingungen </w:t>
      </w:r>
      <w:r>
        <w:rPr>
          <w:color w:val="auto"/>
          <w:sz w:val="20"/>
          <w:szCs w:val="20"/>
          <w:lang w:val="de-DE" w:eastAsia="fr-FR"/>
        </w:rPr>
        <w:t xml:space="preserve">beim Prüfungsamt </w:t>
      </w:r>
      <w:r w:rsidRPr="00C8302B">
        <w:rPr>
          <w:color w:val="auto"/>
          <w:sz w:val="20"/>
          <w:szCs w:val="20"/>
          <w:lang w:val="de-DE" w:eastAsia="fr-FR"/>
        </w:rPr>
        <w:t xml:space="preserve">und </w:t>
      </w:r>
      <w:r>
        <w:rPr>
          <w:color w:val="auto"/>
          <w:sz w:val="20"/>
          <w:szCs w:val="20"/>
          <w:lang w:val="de-DE" w:eastAsia="fr-FR"/>
        </w:rPr>
        <w:t>denjenigen, unter denen</w:t>
      </w:r>
      <w:r w:rsidRPr="00C8302B">
        <w:rPr>
          <w:color w:val="auto"/>
          <w:sz w:val="20"/>
          <w:szCs w:val="20"/>
          <w:lang w:val="de-DE" w:eastAsia="fr-FR"/>
        </w:rPr>
        <w:t xml:space="preserve"> die Sorte entwickelt wurde. </w:t>
      </w:r>
    </w:p>
    <w:p w:rsidR="001F2153" w:rsidRPr="00C8302B" w:rsidRDefault="001F2153" w:rsidP="001F2153">
      <w:pPr>
        <w:pStyle w:val="Default"/>
        <w:ind w:right="141"/>
        <w:contextualSpacing/>
        <w:jc w:val="both"/>
        <w:rPr>
          <w:color w:val="auto"/>
          <w:sz w:val="20"/>
          <w:szCs w:val="20"/>
          <w:lang w:val="de-DE" w:eastAsia="fr-FR"/>
        </w:rPr>
      </w:pPr>
    </w:p>
    <w:p w:rsidR="001F2153" w:rsidRPr="00C8302B" w:rsidRDefault="001F2153" w:rsidP="001F2153">
      <w:pPr>
        <w:pStyle w:val="Default"/>
        <w:ind w:right="141"/>
        <w:contextualSpacing/>
        <w:jc w:val="both"/>
        <w:rPr>
          <w:color w:val="auto"/>
          <w:sz w:val="20"/>
          <w:szCs w:val="20"/>
          <w:lang w:val="de-DE" w:eastAsia="fr-FR"/>
        </w:rPr>
      </w:pPr>
      <w:r w:rsidRPr="00C8302B">
        <w:rPr>
          <w:color w:val="auto"/>
          <w:sz w:val="20"/>
          <w:szCs w:val="20"/>
          <w:lang w:val="de-DE" w:eastAsia="fr-FR"/>
        </w:rPr>
        <w:t>Das Gericht kam zu dem Schlu</w:t>
      </w:r>
      <w:r>
        <w:rPr>
          <w:color w:val="auto"/>
          <w:sz w:val="20"/>
          <w:szCs w:val="20"/>
          <w:lang w:val="de-DE" w:eastAsia="fr-FR"/>
        </w:rPr>
        <w:t>ss</w:t>
      </w:r>
      <w:r w:rsidRPr="00C8302B">
        <w:rPr>
          <w:color w:val="auto"/>
          <w:sz w:val="20"/>
          <w:szCs w:val="20"/>
          <w:lang w:val="de-DE" w:eastAsia="fr-FR"/>
        </w:rPr>
        <w:t>, da</w:t>
      </w:r>
      <w:r>
        <w:rPr>
          <w:color w:val="auto"/>
          <w:sz w:val="20"/>
          <w:szCs w:val="20"/>
          <w:lang w:val="de-DE" w:eastAsia="fr-FR"/>
        </w:rPr>
        <w:t>ss</w:t>
      </w:r>
      <w:r w:rsidRPr="00C8302B">
        <w:rPr>
          <w:color w:val="auto"/>
          <w:sz w:val="20"/>
          <w:szCs w:val="20"/>
          <w:lang w:val="de-DE" w:eastAsia="fr-FR"/>
        </w:rPr>
        <w:t xml:space="preserve"> </w:t>
      </w:r>
      <w:r>
        <w:rPr>
          <w:color w:val="auto"/>
          <w:sz w:val="20"/>
          <w:szCs w:val="20"/>
          <w:lang w:val="de-DE" w:eastAsia="fr-FR"/>
        </w:rPr>
        <w:t>das</w:t>
      </w:r>
      <w:r w:rsidRPr="00C8302B">
        <w:rPr>
          <w:color w:val="auto"/>
          <w:sz w:val="20"/>
          <w:szCs w:val="20"/>
          <w:lang w:val="de-DE" w:eastAsia="fr-FR"/>
        </w:rPr>
        <w:t xml:space="preserve"> </w:t>
      </w:r>
      <w:r>
        <w:rPr>
          <w:color w:val="auto"/>
          <w:sz w:val="20"/>
          <w:szCs w:val="20"/>
          <w:lang w:val="de-DE" w:eastAsia="fr-FR"/>
        </w:rPr>
        <w:t>Prüfungsamt</w:t>
      </w:r>
      <w:r w:rsidRPr="00C8302B">
        <w:rPr>
          <w:color w:val="auto"/>
          <w:sz w:val="20"/>
          <w:szCs w:val="20"/>
          <w:lang w:val="de-DE" w:eastAsia="fr-FR"/>
        </w:rPr>
        <w:t xml:space="preserve"> das </w:t>
      </w:r>
      <w:r>
        <w:rPr>
          <w:color w:val="auto"/>
          <w:sz w:val="20"/>
          <w:szCs w:val="20"/>
          <w:lang w:val="de-DE" w:eastAsia="fr-FR"/>
        </w:rPr>
        <w:t>maßgebliche</w:t>
      </w:r>
      <w:r w:rsidRPr="00C8302B">
        <w:rPr>
          <w:color w:val="auto"/>
          <w:sz w:val="20"/>
          <w:szCs w:val="20"/>
          <w:lang w:val="de-DE" w:eastAsia="fr-FR"/>
        </w:rPr>
        <w:t xml:space="preserve"> technische Protokoll für die DUS-Prüfung der Kandidatensorte (CPVO-Protokoll TP/14/2)</w:t>
      </w:r>
      <w:r w:rsidRPr="009C7CC2">
        <w:rPr>
          <w:color w:val="auto"/>
          <w:sz w:val="20"/>
          <w:szCs w:val="20"/>
          <w:lang w:val="de-DE" w:eastAsia="fr-FR"/>
        </w:rPr>
        <w:t xml:space="preserve"> </w:t>
      </w:r>
      <w:r w:rsidRPr="00C8302B">
        <w:rPr>
          <w:color w:val="auto"/>
          <w:sz w:val="20"/>
          <w:szCs w:val="20"/>
          <w:lang w:val="de-DE" w:eastAsia="fr-FR"/>
        </w:rPr>
        <w:t xml:space="preserve">korrekt </w:t>
      </w:r>
      <w:r>
        <w:rPr>
          <w:color w:val="auto"/>
          <w:sz w:val="20"/>
          <w:szCs w:val="20"/>
          <w:lang w:val="de-DE" w:eastAsia="fr-FR"/>
        </w:rPr>
        <w:t xml:space="preserve">angewandt habe, </w:t>
      </w:r>
      <w:r w:rsidRPr="00C8302B">
        <w:rPr>
          <w:color w:val="auto"/>
          <w:sz w:val="20"/>
          <w:szCs w:val="20"/>
          <w:lang w:val="de-DE" w:eastAsia="fr-FR"/>
        </w:rPr>
        <w:t>das die Verwendung de</w:t>
      </w:r>
      <w:r>
        <w:rPr>
          <w:color w:val="auto"/>
          <w:sz w:val="20"/>
          <w:szCs w:val="20"/>
          <w:lang w:val="de-DE" w:eastAsia="fr-FR"/>
        </w:rPr>
        <w:t>s</w:t>
      </w:r>
      <w:r w:rsidRPr="00C8302B">
        <w:rPr>
          <w:color w:val="auto"/>
          <w:sz w:val="20"/>
          <w:szCs w:val="20"/>
          <w:lang w:val="de-DE" w:eastAsia="fr-FR"/>
        </w:rPr>
        <w:t xml:space="preserve"> </w:t>
      </w:r>
      <w:r w:rsidRPr="00AE27A0">
        <w:rPr>
          <w:color w:val="auto"/>
          <w:sz w:val="20"/>
          <w:szCs w:val="20"/>
          <w:lang w:val="de-DE" w:eastAsia="fr-FR"/>
        </w:rPr>
        <w:t>Stärke</w:t>
      </w:r>
      <w:r>
        <w:rPr>
          <w:color w:val="auto"/>
          <w:sz w:val="20"/>
          <w:szCs w:val="20"/>
          <w:lang w:val="de-DE" w:eastAsia="fr-FR"/>
        </w:rPr>
        <w:t xml:space="preserve">abbaus </w:t>
      </w:r>
      <w:r w:rsidRPr="00C8302B">
        <w:rPr>
          <w:color w:val="auto"/>
          <w:sz w:val="20"/>
          <w:szCs w:val="20"/>
          <w:lang w:val="de-DE" w:eastAsia="fr-FR"/>
        </w:rPr>
        <w:t xml:space="preserve">nicht als einziges Mittel zur Bestimmung des optimalen Zeitpunkts für die Ernte des Materials </w:t>
      </w:r>
      <w:r w:rsidRPr="00C86775">
        <w:rPr>
          <w:color w:val="auto"/>
          <w:sz w:val="20"/>
          <w:szCs w:val="20"/>
          <w:lang w:val="de-DE" w:eastAsia="fr-FR"/>
        </w:rPr>
        <w:t>vors</w:t>
      </w:r>
      <w:r>
        <w:rPr>
          <w:color w:val="auto"/>
          <w:sz w:val="20"/>
          <w:szCs w:val="20"/>
          <w:lang w:val="de-DE" w:eastAsia="fr-FR"/>
        </w:rPr>
        <w:t>ieht.</w:t>
      </w:r>
      <w:r w:rsidRPr="00C8302B">
        <w:rPr>
          <w:color w:val="auto"/>
          <w:sz w:val="20"/>
          <w:szCs w:val="20"/>
          <w:lang w:val="de-DE" w:eastAsia="fr-FR"/>
        </w:rPr>
        <w:t xml:space="preserve"> In Bezug auf diese</w:t>
      </w:r>
      <w:r>
        <w:rPr>
          <w:color w:val="auto"/>
          <w:sz w:val="20"/>
          <w:szCs w:val="20"/>
          <w:lang w:val="de-DE" w:eastAsia="fr-FR"/>
        </w:rPr>
        <w:t>s</w:t>
      </w:r>
      <w:r w:rsidRPr="00C8302B">
        <w:rPr>
          <w:color w:val="auto"/>
          <w:sz w:val="20"/>
          <w:szCs w:val="20"/>
          <w:lang w:val="de-DE" w:eastAsia="fr-FR"/>
        </w:rPr>
        <w:t xml:space="preserve"> </w:t>
      </w:r>
      <w:r>
        <w:rPr>
          <w:color w:val="auto"/>
          <w:sz w:val="20"/>
          <w:szCs w:val="20"/>
          <w:lang w:val="de-DE" w:eastAsia="fr-FR"/>
        </w:rPr>
        <w:t>Vorbringen</w:t>
      </w:r>
      <w:r w:rsidRPr="00C8302B">
        <w:rPr>
          <w:color w:val="auto"/>
          <w:sz w:val="20"/>
          <w:szCs w:val="20"/>
          <w:lang w:val="de-DE" w:eastAsia="fr-FR"/>
        </w:rPr>
        <w:t xml:space="preserve"> bestätigte das Gericht auch, dass die </w:t>
      </w:r>
      <w:r>
        <w:rPr>
          <w:color w:val="auto"/>
          <w:sz w:val="20"/>
          <w:szCs w:val="20"/>
          <w:lang w:val="de-DE" w:eastAsia="fr-FR"/>
        </w:rPr>
        <w:t>Beschwerde</w:t>
      </w:r>
      <w:r w:rsidRPr="00C8302B">
        <w:rPr>
          <w:color w:val="auto"/>
          <w:sz w:val="20"/>
          <w:szCs w:val="20"/>
          <w:lang w:val="de-DE" w:eastAsia="fr-FR"/>
        </w:rPr>
        <w:t xml:space="preserve">kammer ihre Argumentation korrekt auf das geltende technische Protokoll </w:t>
      </w:r>
      <w:r>
        <w:rPr>
          <w:color w:val="auto"/>
          <w:sz w:val="20"/>
          <w:szCs w:val="20"/>
          <w:lang w:val="de-DE" w:eastAsia="fr-FR"/>
        </w:rPr>
        <w:t>gestützt habe</w:t>
      </w:r>
      <w:r w:rsidRPr="00C8302B">
        <w:rPr>
          <w:color w:val="auto"/>
          <w:sz w:val="20"/>
          <w:szCs w:val="20"/>
          <w:lang w:val="de-DE" w:eastAsia="fr-FR"/>
        </w:rPr>
        <w:t xml:space="preserve">, um </w:t>
      </w:r>
      <w:r>
        <w:rPr>
          <w:color w:val="auto"/>
          <w:sz w:val="20"/>
          <w:szCs w:val="20"/>
          <w:lang w:val="de-DE" w:eastAsia="fr-FR"/>
        </w:rPr>
        <w:t>die Beschwerde</w:t>
      </w:r>
      <w:r w:rsidRPr="00C8302B">
        <w:rPr>
          <w:color w:val="auto"/>
          <w:sz w:val="20"/>
          <w:szCs w:val="20"/>
          <w:lang w:val="de-DE" w:eastAsia="fr-FR"/>
        </w:rPr>
        <w:t xml:space="preserve"> </w:t>
      </w:r>
      <w:r w:rsidRPr="00B21FE4">
        <w:rPr>
          <w:color w:val="auto"/>
          <w:sz w:val="20"/>
          <w:szCs w:val="20"/>
          <w:lang w:val="de-DE" w:eastAsia="fr-FR"/>
        </w:rPr>
        <w:t>zurückzuweisen</w:t>
      </w:r>
      <w:r w:rsidRPr="00C8302B">
        <w:rPr>
          <w:color w:val="auto"/>
          <w:sz w:val="20"/>
          <w:szCs w:val="20"/>
          <w:lang w:val="de-DE" w:eastAsia="fr-FR"/>
        </w:rPr>
        <w:t xml:space="preserve">, und </w:t>
      </w:r>
      <w:r>
        <w:rPr>
          <w:color w:val="auto"/>
          <w:sz w:val="20"/>
          <w:szCs w:val="20"/>
          <w:lang w:val="de-DE" w:eastAsia="fr-FR"/>
        </w:rPr>
        <w:t>somit</w:t>
      </w:r>
      <w:r w:rsidRPr="00C8302B">
        <w:rPr>
          <w:color w:val="auto"/>
          <w:sz w:val="20"/>
          <w:szCs w:val="20"/>
          <w:lang w:val="de-DE" w:eastAsia="fr-FR"/>
        </w:rPr>
        <w:t xml:space="preserve"> weder das Recht de</w:t>
      </w:r>
      <w:r>
        <w:rPr>
          <w:color w:val="auto"/>
          <w:sz w:val="20"/>
          <w:szCs w:val="20"/>
          <w:lang w:val="de-DE" w:eastAsia="fr-FR"/>
        </w:rPr>
        <w:t>r</w:t>
      </w:r>
      <w:r w:rsidRPr="00C8302B">
        <w:rPr>
          <w:color w:val="auto"/>
          <w:sz w:val="20"/>
          <w:szCs w:val="20"/>
          <w:lang w:val="de-DE" w:eastAsia="fr-FR"/>
        </w:rPr>
        <w:t xml:space="preserve"> </w:t>
      </w:r>
      <w:r w:rsidRPr="001403F2">
        <w:rPr>
          <w:color w:val="auto"/>
          <w:sz w:val="20"/>
          <w:szCs w:val="20"/>
          <w:lang w:val="de-DE" w:eastAsia="fr-FR"/>
        </w:rPr>
        <w:t xml:space="preserve">Rechtsmittelführerin </w:t>
      </w:r>
      <w:r w:rsidRPr="00C8302B">
        <w:rPr>
          <w:color w:val="auto"/>
          <w:sz w:val="20"/>
          <w:szCs w:val="20"/>
          <w:lang w:val="de-DE" w:eastAsia="fr-FR"/>
        </w:rPr>
        <w:t xml:space="preserve">auf </w:t>
      </w:r>
      <w:r w:rsidRPr="00B21FE4">
        <w:rPr>
          <w:color w:val="auto"/>
          <w:sz w:val="20"/>
          <w:szCs w:val="20"/>
          <w:lang w:val="de-DE" w:eastAsia="fr-FR"/>
        </w:rPr>
        <w:t>Anhörung</w:t>
      </w:r>
      <w:r w:rsidRPr="00C8302B">
        <w:rPr>
          <w:color w:val="auto"/>
          <w:sz w:val="20"/>
          <w:szCs w:val="20"/>
          <w:lang w:val="de-DE" w:eastAsia="fr-FR"/>
        </w:rPr>
        <w:t xml:space="preserve"> noch </w:t>
      </w:r>
      <w:r>
        <w:rPr>
          <w:color w:val="auto"/>
          <w:sz w:val="20"/>
          <w:szCs w:val="20"/>
          <w:lang w:val="de-DE" w:eastAsia="fr-FR"/>
        </w:rPr>
        <w:t>seine</w:t>
      </w:r>
      <w:r w:rsidRPr="00C8302B">
        <w:rPr>
          <w:color w:val="auto"/>
          <w:sz w:val="20"/>
          <w:szCs w:val="20"/>
          <w:lang w:val="de-DE" w:eastAsia="fr-FR"/>
        </w:rPr>
        <w:t xml:space="preserve"> </w:t>
      </w:r>
      <w:r w:rsidRPr="00007297">
        <w:rPr>
          <w:color w:val="auto"/>
          <w:sz w:val="20"/>
          <w:szCs w:val="20"/>
          <w:lang w:val="de-DE" w:eastAsia="fr-FR"/>
        </w:rPr>
        <w:t>Begründungspflicht</w:t>
      </w:r>
      <w:r w:rsidRPr="00C8302B">
        <w:rPr>
          <w:color w:val="auto"/>
          <w:sz w:val="20"/>
          <w:szCs w:val="20"/>
          <w:lang w:val="de-DE" w:eastAsia="fr-FR"/>
        </w:rPr>
        <w:t xml:space="preserve"> verletzt</w:t>
      </w:r>
      <w:r>
        <w:rPr>
          <w:color w:val="auto"/>
          <w:sz w:val="20"/>
          <w:szCs w:val="20"/>
          <w:lang w:val="de-DE" w:eastAsia="fr-FR"/>
        </w:rPr>
        <w:t xml:space="preserve"> habe</w:t>
      </w:r>
      <w:r w:rsidRPr="00C8302B">
        <w:rPr>
          <w:color w:val="auto"/>
          <w:sz w:val="20"/>
          <w:szCs w:val="20"/>
          <w:lang w:val="de-DE" w:eastAsia="fr-FR"/>
        </w:rPr>
        <w:t>.</w:t>
      </w:r>
    </w:p>
    <w:p w:rsidR="001F2153" w:rsidRPr="00C8302B" w:rsidRDefault="001F2153" w:rsidP="001F2153">
      <w:pPr>
        <w:pStyle w:val="Default"/>
        <w:ind w:right="141"/>
        <w:contextualSpacing/>
        <w:jc w:val="both"/>
        <w:rPr>
          <w:color w:val="auto"/>
          <w:sz w:val="20"/>
          <w:szCs w:val="20"/>
          <w:lang w:val="de-DE" w:eastAsia="fr-FR"/>
        </w:rPr>
      </w:pPr>
    </w:p>
    <w:p w:rsidR="001F2153" w:rsidRPr="00C8302B" w:rsidRDefault="001F2153" w:rsidP="001F2153">
      <w:pPr>
        <w:pStyle w:val="Default"/>
        <w:ind w:right="141"/>
        <w:contextualSpacing/>
        <w:jc w:val="both"/>
        <w:rPr>
          <w:color w:val="auto"/>
          <w:sz w:val="20"/>
          <w:szCs w:val="20"/>
          <w:lang w:val="de-DE" w:eastAsia="fr-FR"/>
        </w:rPr>
      </w:pPr>
      <w:r w:rsidRPr="00C8302B">
        <w:rPr>
          <w:color w:val="auto"/>
          <w:sz w:val="20"/>
          <w:szCs w:val="20"/>
          <w:lang w:val="de-DE" w:eastAsia="fr-FR"/>
        </w:rPr>
        <w:t xml:space="preserve">Das Gericht folgte der Argumentation des CPVO und stellte fest, dass es gemäß Artikel 55 Absatz 1 der Verordnung über den gemeinschaftlichen Sortenschutz und Artikel 13 Absatz 1 der Verordnung </w:t>
      </w:r>
      <w:r>
        <w:rPr>
          <w:color w:val="auto"/>
          <w:sz w:val="20"/>
          <w:szCs w:val="20"/>
          <w:lang w:val="de-DE" w:eastAsia="fr-FR"/>
        </w:rPr>
        <w:t>(EU) Nr. </w:t>
      </w:r>
      <w:r w:rsidRPr="00C8302B">
        <w:rPr>
          <w:color w:val="auto"/>
          <w:sz w:val="20"/>
          <w:szCs w:val="20"/>
          <w:lang w:val="de-DE" w:eastAsia="fr-FR"/>
        </w:rPr>
        <w:t xml:space="preserve">874/2009 der Kommission Sache des Verwaltungsrats des CPVO </w:t>
      </w:r>
      <w:r>
        <w:rPr>
          <w:color w:val="auto"/>
          <w:sz w:val="20"/>
          <w:szCs w:val="20"/>
          <w:lang w:val="de-DE" w:eastAsia="fr-FR"/>
        </w:rPr>
        <w:t>sei</w:t>
      </w:r>
      <w:r w:rsidRPr="00C8302B">
        <w:rPr>
          <w:color w:val="auto"/>
          <w:sz w:val="20"/>
          <w:szCs w:val="20"/>
          <w:lang w:val="de-DE" w:eastAsia="fr-FR"/>
        </w:rPr>
        <w:t xml:space="preserve">, zuständige Ämter mit der technischen Prüfung von Kandidatensorten zu beauftragen. Die Auswahl des Prüfungsortes </w:t>
      </w:r>
      <w:r>
        <w:rPr>
          <w:color w:val="auto"/>
          <w:sz w:val="20"/>
          <w:szCs w:val="20"/>
          <w:lang w:val="de-DE" w:eastAsia="fr-FR"/>
        </w:rPr>
        <w:t>sei</w:t>
      </w:r>
      <w:r w:rsidRPr="00C8302B">
        <w:rPr>
          <w:color w:val="auto"/>
          <w:sz w:val="20"/>
          <w:szCs w:val="20"/>
          <w:lang w:val="de-DE" w:eastAsia="fr-FR"/>
        </w:rPr>
        <w:t xml:space="preserve"> </w:t>
      </w:r>
      <w:r>
        <w:rPr>
          <w:color w:val="auto"/>
          <w:sz w:val="20"/>
          <w:szCs w:val="20"/>
          <w:lang w:val="de-DE" w:eastAsia="fr-FR"/>
        </w:rPr>
        <w:t>eindeutig und dem betreffenden konkreten Antrag vorausgehend gewesen</w:t>
      </w:r>
      <w:r w:rsidRPr="00C8302B">
        <w:rPr>
          <w:color w:val="auto"/>
          <w:sz w:val="20"/>
          <w:szCs w:val="20"/>
          <w:lang w:val="de-DE" w:eastAsia="fr-FR"/>
        </w:rPr>
        <w:t xml:space="preserve">. </w:t>
      </w:r>
      <w:r>
        <w:rPr>
          <w:color w:val="auto"/>
          <w:sz w:val="20"/>
          <w:szCs w:val="20"/>
          <w:lang w:val="de-DE" w:eastAsia="fr-FR"/>
        </w:rPr>
        <w:t>Ferner</w:t>
      </w:r>
      <w:r w:rsidRPr="00C8302B">
        <w:rPr>
          <w:color w:val="auto"/>
          <w:sz w:val="20"/>
          <w:szCs w:val="20"/>
          <w:lang w:val="de-DE" w:eastAsia="fr-FR"/>
        </w:rPr>
        <w:t xml:space="preserve"> hätte das CPVO kein Mitspracherecht bei der Änderung der </w:t>
      </w:r>
      <w:r>
        <w:rPr>
          <w:color w:val="auto"/>
          <w:sz w:val="20"/>
          <w:szCs w:val="20"/>
          <w:lang w:val="de-DE" w:eastAsia="fr-FR"/>
        </w:rPr>
        <w:t>Prüfungseinrichtung</w:t>
      </w:r>
      <w:r w:rsidRPr="00C8302B">
        <w:rPr>
          <w:color w:val="auto"/>
          <w:sz w:val="20"/>
          <w:szCs w:val="20"/>
          <w:lang w:val="de-DE" w:eastAsia="fr-FR"/>
        </w:rPr>
        <w:t xml:space="preserve"> gehabt, die für alle Arten oder Sorten bestimmt </w:t>
      </w:r>
      <w:r>
        <w:rPr>
          <w:color w:val="auto"/>
          <w:sz w:val="20"/>
          <w:szCs w:val="20"/>
          <w:lang w:val="de-DE" w:eastAsia="fr-FR"/>
        </w:rPr>
        <w:t>sei</w:t>
      </w:r>
      <w:r w:rsidRPr="00C8302B">
        <w:rPr>
          <w:color w:val="auto"/>
          <w:sz w:val="20"/>
          <w:szCs w:val="20"/>
          <w:lang w:val="de-DE" w:eastAsia="fr-FR"/>
        </w:rPr>
        <w:t xml:space="preserve">, die </w:t>
      </w:r>
      <w:r>
        <w:rPr>
          <w:color w:val="auto"/>
          <w:sz w:val="20"/>
          <w:szCs w:val="20"/>
          <w:lang w:val="de-DE" w:eastAsia="fr-FR"/>
        </w:rPr>
        <w:t>der gleichen</w:t>
      </w:r>
      <w:r w:rsidRPr="00C8302B">
        <w:rPr>
          <w:color w:val="auto"/>
          <w:sz w:val="20"/>
          <w:szCs w:val="20"/>
          <w:lang w:val="de-DE" w:eastAsia="fr-FR"/>
        </w:rPr>
        <w:t xml:space="preserve"> Mutationsgruppe angehör</w:t>
      </w:r>
      <w:r>
        <w:rPr>
          <w:color w:val="auto"/>
          <w:sz w:val="20"/>
          <w:szCs w:val="20"/>
          <w:lang w:val="de-DE" w:eastAsia="fr-FR"/>
        </w:rPr>
        <w:t>t</w:t>
      </w:r>
      <w:r w:rsidRPr="00C8302B">
        <w:rPr>
          <w:color w:val="auto"/>
          <w:sz w:val="20"/>
          <w:szCs w:val="20"/>
          <w:lang w:val="de-DE" w:eastAsia="fr-FR"/>
        </w:rPr>
        <w:t xml:space="preserve">en, wie sie sich aus der Bekanntmachung des Verwaltungsrats </w:t>
      </w:r>
      <w:r>
        <w:rPr>
          <w:color w:val="auto"/>
          <w:sz w:val="20"/>
          <w:szCs w:val="20"/>
          <w:lang w:val="de-DE" w:eastAsia="fr-FR"/>
        </w:rPr>
        <w:t>ergebe</w:t>
      </w:r>
      <w:r w:rsidRPr="00C8302B">
        <w:rPr>
          <w:color w:val="auto"/>
          <w:sz w:val="20"/>
          <w:szCs w:val="20"/>
          <w:lang w:val="de-DE" w:eastAsia="fr-FR"/>
        </w:rPr>
        <w:t>.</w:t>
      </w:r>
    </w:p>
    <w:p w:rsidR="001F2153" w:rsidRPr="00C8302B" w:rsidRDefault="001F2153" w:rsidP="001F2153">
      <w:pPr>
        <w:contextualSpacing/>
        <w:rPr>
          <w:rFonts w:cs="Arial"/>
        </w:rPr>
      </w:pPr>
    </w:p>
    <w:p w:rsidR="001F2153" w:rsidRPr="00C8302B" w:rsidRDefault="001F2153" w:rsidP="001F2153">
      <w:pPr>
        <w:contextualSpacing/>
        <w:rPr>
          <w:rFonts w:cs="Arial"/>
        </w:rPr>
      </w:pPr>
    </w:p>
    <w:p w:rsidR="001F2153" w:rsidRPr="00C8302B" w:rsidRDefault="001F2153" w:rsidP="001F2153">
      <w:pPr>
        <w:contextualSpacing/>
        <w:rPr>
          <w:rFonts w:cs="Arial"/>
        </w:rPr>
      </w:pPr>
      <w:r w:rsidRPr="00C8302B">
        <w:rPr>
          <w:rFonts w:cs="Arial"/>
        </w:rPr>
        <w:t>2)</w:t>
      </w:r>
      <w:r w:rsidRPr="00C8302B">
        <w:rPr>
          <w:rFonts w:cs="Arial"/>
        </w:rPr>
        <w:tab/>
      </w:r>
      <w:r w:rsidRPr="00C8302B">
        <w:rPr>
          <w:rFonts w:cs="Arial"/>
          <w:u w:val="single"/>
        </w:rPr>
        <w:t>Zusammenarbeit bei Prüfung</w:t>
      </w:r>
      <w:r>
        <w:rPr>
          <w:rFonts w:cs="Arial"/>
          <w:u w:val="single"/>
        </w:rPr>
        <w:t xml:space="preserve">en </w:t>
      </w:r>
    </w:p>
    <w:p w:rsidR="001F2153" w:rsidRPr="00C8302B" w:rsidRDefault="001F2153" w:rsidP="001F2153">
      <w:pPr>
        <w:contextualSpacing/>
        <w:rPr>
          <w:rFonts w:cs="Arial"/>
          <w:u w:val="single"/>
        </w:rPr>
      </w:pPr>
    </w:p>
    <w:p w:rsidR="001F2153" w:rsidRPr="00C8302B" w:rsidRDefault="001F2153" w:rsidP="001F2153">
      <w:pPr>
        <w:contextualSpacing/>
        <w:rPr>
          <w:rFonts w:cs="Arial"/>
        </w:rPr>
      </w:pPr>
      <w:r w:rsidRPr="00C8302B">
        <w:rPr>
          <w:rFonts w:cs="Arial"/>
          <w:u w:val="single"/>
        </w:rPr>
        <w:t xml:space="preserve">2.1 </w:t>
      </w:r>
      <w:r>
        <w:rPr>
          <w:rFonts w:cs="Arial"/>
          <w:u w:val="single"/>
        </w:rPr>
        <w:t>Schließung</w:t>
      </w:r>
      <w:r w:rsidRPr="00C8302B">
        <w:rPr>
          <w:rFonts w:cs="Arial"/>
          <w:u w:val="single"/>
        </w:rPr>
        <w:t xml:space="preserve"> neuer Vereinbarungen:</w:t>
      </w:r>
      <w:r>
        <w:rPr>
          <w:rFonts w:cs="Arial"/>
        </w:rPr>
        <w:t xml:space="preserve"> </w:t>
      </w:r>
    </w:p>
    <w:p w:rsidR="001F2153" w:rsidRPr="00C8302B" w:rsidRDefault="001F2153" w:rsidP="001F2153">
      <w:pPr>
        <w:contextualSpacing/>
        <w:rPr>
          <w:rFonts w:cs="Arial"/>
        </w:rPr>
      </w:pPr>
    </w:p>
    <w:p w:rsidR="001F2153" w:rsidRPr="00C8302B" w:rsidRDefault="001F2153" w:rsidP="001F2153">
      <w:pPr>
        <w:contextualSpacing/>
        <w:rPr>
          <w:rFonts w:cs="Arial"/>
        </w:rPr>
      </w:pPr>
      <w:r w:rsidRPr="00C8302B">
        <w:rPr>
          <w:rFonts w:cs="Arial"/>
        </w:rPr>
        <w:t>Der Verwaltungsrat des CPVO vereinbarte im April 2021, da</w:t>
      </w:r>
      <w:r>
        <w:rPr>
          <w:rFonts w:cs="Arial"/>
        </w:rPr>
        <w:t>ss</w:t>
      </w:r>
      <w:r w:rsidRPr="00C8302B">
        <w:rPr>
          <w:rFonts w:cs="Arial"/>
        </w:rPr>
        <w:t xml:space="preserve"> das CPVO eine Vereinbarung mit dem </w:t>
      </w:r>
      <w:r w:rsidRPr="00FC1CD9">
        <w:rPr>
          <w:rFonts w:cs="Arial"/>
        </w:rPr>
        <w:t>Ministerium für Landwirtschaft, Forstwirtschaft und Fischerei Japans (</w:t>
      </w:r>
      <w:r w:rsidRPr="00C8302B">
        <w:rPr>
          <w:rFonts w:cs="Arial"/>
        </w:rPr>
        <w:t xml:space="preserve">MAFF) zur Übernahme von DUS-Berichten und zur </w:t>
      </w:r>
      <w:r w:rsidRPr="006978EC">
        <w:rPr>
          <w:rFonts w:cs="Arial"/>
        </w:rPr>
        <w:t>Durchführung</w:t>
      </w:r>
      <w:r w:rsidRPr="00C8302B">
        <w:rPr>
          <w:rFonts w:cs="Arial"/>
        </w:rPr>
        <w:t xml:space="preserve"> der technischen Prüfung im </w:t>
      </w:r>
      <w:r>
        <w:rPr>
          <w:rFonts w:cs="Arial"/>
        </w:rPr>
        <w:t>Auftrag</w:t>
      </w:r>
      <w:r w:rsidRPr="00C8302B">
        <w:rPr>
          <w:rFonts w:cs="Arial"/>
        </w:rPr>
        <w:t xml:space="preserve"> des CPVO für die Art </w:t>
      </w:r>
      <w:r w:rsidRPr="00C8302B">
        <w:rPr>
          <w:rFonts w:cs="Arial"/>
          <w:i/>
          <w:iCs/>
        </w:rPr>
        <w:t xml:space="preserve">Eutrema japonicum </w:t>
      </w:r>
      <w:r w:rsidRPr="00C8302B">
        <w:rPr>
          <w:rFonts w:cs="Arial"/>
        </w:rPr>
        <w:t xml:space="preserve">(Miq.) Koidz. (syn. </w:t>
      </w:r>
      <w:r w:rsidRPr="00C8302B">
        <w:rPr>
          <w:rFonts w:cs="Arial"/>
          <w:i/>
          <w:iCs/>
        </w:rPr>
        <w:t xml:space="preserve">Wasabia japonica </w:t>
      </w:r>
      <w:r w:rsidRPr="00C8302B">
        <w:rPr>
          <w:rFonts w:cs="Arial"/>
        </w:rPr>
        <w:t>(Miq.) Matsum.)</w:t>
      </w:r>
      <w:r>
        <w:rPr>
          <w:rFonts w:cs="Arial"/>
        </w:rPr>
        <w:t xml:space="preserve"> schließen solle.</w:t>
      </w:r>
    </w:p>
    <w:p w:rsidR="001F2153" w:rsidRPr="00C8302B" w:rsidRDefault="001F2153" w:rsidP="001F2153">
      <w:pPr>
        <w:contextualSpacing/>
        <w:rPr>
          <w:rFonts w:cs="Arial"/>
        </w:rPr>
      </w:pPr>
    </w:p>
    <w:p w:rsidR="001F2153" w:rsidRPr="00C8302B" w:rsidRDefault="001F2153" w:rsidP="001F2153">
      <w:pPr>
        <w:contextualSpacing/>
        <w:rPr>
          <w:rFonts w:cs="Arial"/>
        </w:rPr>
      </w:pPr>
      <w:r w:rsidRPr="00C8302B">
        <w:rPr>
          <w:rFonts w:cs="Arial"/>
          <w:u w:val="single"/>
        </w:rPr>
        <w:t>2.2 Änderung bestehende</w:t>
      </w:r>
      <w:r>
        <w:rPr>
          <w:rFonts w:cs="Arial"/>
          <w:u w:val="single"/>
        </w:rPr>
        <w:t>r</w:t>
      </w:r>
      <w:r w:rsidRPr="00C8302B">
        <w:rPr>
          <w:rFonts w:cs="Arial"/>
          <w:u w:val="single"/>
        </w:rPr>
        <w:t xml:space="preserve"> Vereinbarungen: </w:t>
      </w:r>
    </w:p>
    <w:p w:rsidR="001F2153" w:rsidRPr="00C8302B" w:rsidRDefault="001F2153" w:rsidP="001F2153">
      <w:pPr>
        <w:contextualSpacing/>
        <w:rPr>
          <w:rFonts w:cs="Arial"/>
        </w:rPr>
      </w:pPr>
    </w:p>
    <w:p w:rsidR="001F2153" w:rsidRPr="00C8302B" w:rsidRDefault="001F2153" w:rsidP="001F2153">
      <w:pPr>
        <w:contextualSpacing/>
        <w:rPr>
          <w:rFonts w:cs="Arial"/>
        </w:rPr>
      </w:pPr>
      <w:r w:rsidRPr="00C8302B">
        <w:rPr>
          <w:rFonts w:cs="Arial"/>
        </w:rPr>
        <w:t xml:space="preserve">Verlängerung der </w:t>
      </w:r>
      <w:r w:rsidRPr="004228B1">
        <w:rPr>
          <w:rFonts w:cs="Arial"/>
        </w:rPr>
        <w:t xml:space="preserve">Vereinbarung mit SNICS Mexico - </w:t>
      </w:r>
      <w:r w:rsidRPr="00E31EF1">
        <w:rPr>
          <w:rFonts w:cs="Arial"/>
          <w:i/>
          <w:iCs/>
        </w:rPr>
        <w:t>Servicio Nacional de Inspeccion y Certificacion de Semillas</w:t>
      </w:r>
      <w:r w:rsidRPr="004228B1">
        <w:rPr>
          <w:rFonts w:cs="Arial"/>
        </w:rPr>
        <w:t xml:space="preserve"> </w:t>
      </w:r>
      <w:r>
        <w:rPr>
          <w:rFonts w:cs="Arial"/>
        </w:rPr>
        <w:t xml:space="preserve">- </w:t>
      </w:r>
      <w:r w:rsidRPr="004228B1">
        <w:rPr>
          <w:rFonts w:cs="Arial"/>
        </w:rPr>
        <w:t>zur</w:t>
      </w:r>
      <w:r w:rsidRPr="00C8302B">
        <w:rPr>
          <w:rFonts w:cs="Arial"/>
        </w:rPr>
        <w:t xml:space="preserve"> Durchführung von DUS-Prüfungen für die Art Psidium gujava.</w:t>
      </w:r>
    </w:p>
    <w:p w:rsidR="001F2153" w:rsidRPr="00C8302B" w:rsidRDefault="001F2153" w:rsidP="001F2153">
      <w:pPr>
        <w:contextualSpacing/>
        <w:rPr>
          <w:rFonts w:cs="Arial"/>
        </w:rPr>
      </w:pPr>
    </w:p>
    <w:p w:rsidR="001F2153" w:rsidRPr="00C8302B" w:rsidRDefault="001F2153" w:rsidP="001F2153">
      <w:pPr>
        <w:contextualSpacing/>
        <w:rPr>
          <w:rFonts w:cs="Arial"/>
        </w:rPr>
      </w:pPr>
      <w:r w:rsidRPr="00C8302B">
        <w:rPr>
          <w:rFonts w:cs="Arial"/>
          <w:u w:val="single"/>
        </w:rPr>
        <w:t xml:space="preserve">2.3 </w:t>
      </w:r>
      <w:r>
        <w:rPr>
          <w:rFonts w:cs="Arial"/>
          <w:u w:val="single"/>
        </w:rPr>
        <w:t>Absichtserklärung (Memorandum of Understanding) mit Drittländern</w:t>
      </w:r>
      <w:r w:rsidRPr="00C8302B">
        <w:rPr>
          <w:rFonts w:cs="Arial"/>
          <w:u w:val="single"/>
        </w:rPr>
        <w:t xml:space="preserve">: </w:t>
      </w:r>
    </w:p>
    <w:p w:rsidR="001F2153" w:rsidRPr="00C8302B" w:rsidRDefault="001F2153" w:rsidP="001F2153">
      <w:pPr>
        <w:contextualSpacing/>
        <w:rPr>
          <w:rFonts w:cs="Arial"/>
        </w:rPr>
      </w:pPr>
    </w:p>
    <w:p w:rsidR="001F2153" w:rsidRPr="00C8302B" w:rsidRDefault="001F2153" w:rsidP="001F2153">
      <w:pPr>
        <w:contextualSpacing/>
        <w:rPr>
          <w:rFonts w:cs="Arial"/>
        </w:rPr>
      </w:pPr>
      <w:r w:rsidRPr="00C8302B">
        <w:rPr>
          <w:rFonts w:cs="Arial"/>
        </w:rPr>
        <w:t xml:space="preserve">Siehe unter 2.1, </w:t>
      </w:r>
      <w:r>
        <w:rPr>
          <w:rFonts w:cs="Arial"/>
        </w:rPr>
        <w:t>außerdem</w:t>
      </w:r>
      <w:r w:rsidRPr="00C8302B">
        <w:rPr>
          <w:rFonts w:cs="Arial"/>
        </w:rPr>
        <w:t xml:space="preserve"> nichts zu berichten</w:t>
      </w:r>
      <w:r>
        <w:rPr>
          <w:rFonts w:cs="Arial"/>
        </w:rPr>
        <w:t>.</w:t>
      </w:r>
    </w:p>
    <w:p w:rsidR="001F2153" w:rsidRPr="00C8302B" w:rsidRDefault="001F2153" w:rsidP="001F2153">
      <w:pPr>
        <w:contextualSpacing/>
        <w:rPr>
          <w:rFonts w:cs="Arial"/>
          <w:u w:val="single"/>
        </w:rPr>
      </w:pPr>
    </w:p>
    <w:p w:rsidR="001F2153" w:rsidRPr="00C8302B" w:rsidRDefault="001F2153" w:rsidP="001F2153">
      <w:pPr>
        <w:contextualSpacing/>
        <w:rPr>
          <w:rFonts w:cs="Arial"/>
          <w:u w:val="single"/>
        </w:rPr>
      </w:pPr>
    </w:p>
    <w:p w:rsidR="001F2153" w:rsidRPr="00C8302B" w:rsidRDefault="001F2153" w:rsidP="001F2153">
      <w:pPr>
        <w:contextualSpacing/>
        <w:rPr>
          <w:rFonts w:cs="Arial"/>
        </w:rPr>
      </w:pPr>
      <w:r w:rsidRPr="00C8302B">
        <w:rPr>
          <w:rFonts w:cs="Arial"/>
        </w:rPr>
        <w:t>3)</w:t>
      </w:r>
      <w:r w:rsidRPr="00C8302B">
        <w:rPr>
          <w:rFonts w:cs="Arial"/>
        </w:rPr>
        <w:tab/>
      </w:r>
      <w:r w:rsidRPr="00C8302B">
        <w:rPr>
          <w:rFonts w:cs="Arial"/>
          <w:u w:val="single"/>
        </w:rPr>
        <w:t xml:space="preserve">Lage auf dem Gebiet der Verwaltung </w:t>
      </w:r>
    </w:p>
    <w:p w:rsidR="001F2153" w:rsidRPr="00C8302B" w:rsidRDefault="001F2153" w:rsidP="001F2153">
      <w:pPr>
        <w:autoSpaceDE w:val="0"/>
        <w:autoSpaceDN w:val="0"/>
        <w:adjustRightInd w:val="0"/>
        <w:contextualSpacing/>
        <w:rPr>
          <w:rFonts w:cs="Arial"/>
        </w:rPr>
      </w:pPr>
    </w:p>
    <w:p w:rsidR="001F2153" w:rsidRPr="00C8302B" w:rsidRDefault="001F2153" w:rsidP="001F2153">
      <w:pPr>
        <w:autoSpaceDE w:val="0"/>
        <w:autoSpaceDN w:val="0"/>
        <w:adjustRightInd w:val="0"/>
        <w:contextualSpacing/>
        <w:rPr>
          <w:rFonts w:cs="Arial"/>
        </w:rPr>
      </w:pPr>
      <w:r>
        <w:rPr>
          <w:rFonts w:cs="Arial"/>
        </w:rPr>
        <w:t>Keine Änderung</w:t>
      </w:r>
      <w:r w:rsidRPr="00C8302B">
        <w:rPr>
          <w:rFonts w:cs="Arial"/>
        </w:rPr>
        <w:t>.</w:t>
      </w:r>
    </w:p>
    <w:p w:rsidR="001F2153" w:rsidRPr="00C8302B" w:rsidRDefault="001F2153" w:rsidP="001F2153">
      <w:pPr>
        <w:autoSpaceDE w:val="0"/>
        <w:autoSpaceDN w:val="0"/>
        <w:adjustRightInd w:val="0"/>
        <w:contextualSpacing/>
        <w:rPr>
          <w:rFonts w:cs="Arial"/>
        </w:rPr>
      </w:pPr>
    </w:p>
    <w:p w:rsidR="001F2153" w:rsidRPr="00C8302B" w:rsidRDefault="001F2153" w:rsidP="001F2153">
      <w:pPr>
        <w:autoSpaceDE w:val="0"/>
        <w:autoSpaceDN w:val="0"/>
        <w:adjustRightInd w:val="0"/>
        <w:contextualSpacing/>
        <w:rPr>
          <w:rFonts w:cs="Arial"/>
        </w:rPr>
      </w:pPr>
    </w:p>
    <w:p w:rsidR="001F2153" w:rsidRPr="00C8302B" w:rsidRDefault="001F2153" w:rsidP="001F2153">
      <w:pPr>
        <w:contextualSpacing/>
        <w:rPr>
          <w:rFonts w:cs="Arial"/>
        </w:rPr>
      </w:pPr>
      <w:r w:rsidRPr="00C8302B">
        <w:rPr>
          <w:rFonts w:cs="Arial"/>
        </w:rPr>
        <w:t>4)</w:t>
      </w:r>
      <w:r w:rsidRPr="00C8302B">
        <w:rPr>
          <w:rFonts w:cs="Arial"/>
        </w:rPr>
        <w:tab/>
      </w:r>
      <w:r w:rsidRPr="00C8302B">
        <w:rPr>
          <w:rFonts w:cs="Arial"/>
          <w:u w:val="single"/>
        </w:rPr>
        <w:t>Lage auf dem Gebiet der Technik</w:t>
      </w:r>
    </w:p>
    <w:p w:rsidR="001F2153" w:rsidRPr="00C8302B" w:rsidRDefault="001F2153" w:rsidP="001F2153">
      <w:pPr>
        <w:contextualSpacing/>
        <w:rPr>
          <w:rFonts w:cs="Arial"/>
        </w:rPr>
      </w:pPr>
    </w:p>
    <w:p w:rsidR="001F2153" w:rsidRPr="00C8302B" w:rsidRDefault="001F2153" w:rsidP="001F2153">
      <w:pPr>
        <w:contextualSpacing/>
        <w:rPr>
          <w:rFonts w:cs="Arial"/>
          <w:u w:val="single"/>
        </w:rPr>
      </w:pPr>
      <w:r w:rsidRPr="00C8302B">
        <w:rPr>
          <w:rFonts w:cs="Arial"/>
          <w:u w:val="single"/>
        </w:rPr>
        <w:t xml:space="preserve">4.1 Informationen </w:t>
      </w:r>
      <w:r>
        <w:rPr>
          <w:rFonts w:cs="Arial"/>
          <w:u w:val="single"/>
        </w:rPr>
        <w:t>über</w:t>
      </w:r>
      <w:r w:rsidRPr="00C8302B">
        <w:rPr>
          <w:rFonts w:cs="Arial"/>
          <w:u w:val="single"/>
        </w:rPr>
        <w:t xml:space="preserve"> die Funktionsweise des EU-Sortenschutzes </w:t>
      </w:r>
    </w:p>
    <w:p w:rsidR="001F2153" w:rsidRPr="00C8302B" w:rsidRDefault="001F2153" w:rsidP="001F2153">
      <w:pPr>
        <w:contextualSpacing/>
        <w:rPr>
          <w:rFonts w:cs="Arial"/>
          <w:bCs/>
          <w:u w:val="single"/>
        </w:rPr>
      </w:pPr>
    </w:p>
    <w:p w:rsidR="001F2153" w:rsidRPr="00C8302B" w:rsidRDefault="001F2153" w:rsidP="001F2153">
      <w:pPr>
        <w:contextualSpacing/>
        <w:rPr>
          <w:rFonts w:cs="Arial"/>
          <w:bCs/>
          <w:u w:val="single"/>
        </w:rPr>
      </w:pPr>
      <w:r w:rsidRPr="00C8302B">
        <w:rPr>
          <w:rFonts w:cs="Arial"/>
          <w:bCs/>
          <w:u w:val="single"/>
        </w:rPr>
        <w:t>a. Beziehung zu den Prüfungsämtern</w:t>
      </w:r>
    </w:p>
    <w:p w:rsidR="001F2153" w:rsidRPr="00C8302B" w:rsidRDefault="001F2153" w:rsidP="001F2153"/>
    <w:p w:rsidR="001F2153" w:rsidRPr="00C8302B" w:rsidRDefault="001F2153" w:rsidP="001F2153">
      <w:r w:rsidRPr="00C8302B">
        <w:t xml:space="preserve">Im Dezember 2020 hielt das CPVO seine </w:t>
      </w:r>
      <w:r w:rsidRPr="00712526">
        <w:t>24.</w:t>
      </w:r>
      <w:r w:rsidRPr="00C8302B">
        <w:rPr>
          <w:vertAlign w:val="superscript"/>
        </w:rPr>
        <w:t xml:space="preserve"> </w:t>
      </w:r>
      <w:r w:rsidRPr="00C8302B">
        <w:t xml:space="preserve">Jahrestagung mit seinen </w:t>
      </w:r>
      <w:r w:rsidRPr="00C8302B">
        <w:rPr>
          <w:bCs/>
        </w:rPr>
        <w:t xml:space="preserve">Prüfungsämtern </w:t>
      </w:r>
      <w:r w:rsidRPr="00C8302B">
        <w:t xml:space="preserve">(EO) ab, an der auch Vertreter der Europäischen Kommission, des UPOV-Büros, des Europäischen Patentamts und der Züchterorganisationen (CIOPORA, Euroseeds, Plantum und ECO-PB) sowie Vertreter der Schweiz und Norwegens als Nicht-EU-Behörden für Sortenschutz teilnahmen. Die </w:t>
      </w:r>
      <w:r>
        <w:t>Tagung</w:t>
      </w:r>
      <w:r w:rsidRPr="00C8302B">
        <w:t xml:space="preserve"> wurde als Videokonferenz abgehalten. Die wichtigsten </w:t>
      </w:r>
      <w:r>
        <w:t>Diskussions</w:t>
      </w:r>
      <w:r w:rsidRPr="00C8302B">
        <w:t xml:space="preserve">themen </w:t>
      </w:r>
      <w:r w:rsidRPr="00A6266A">
        <w:t>waren</w:t>
      </w:r>
      <w:r w:rsidRPr="00C8302B">
        <w:t>:</w:t>
      </w:r>
    </w:p>
    <w:p w:rsidR="001F2153" w:rsidRPr="00C8302B" w:rsidRDefault="001F2153" w:rsidP="001F2153"/>
    <w:p w:rsidR="001F2153" w:rsidRPr="00C8302B" w:rsidRDefault="001F2153" w:rsidP="001F2153">
      <w:pPr>
        <w:widowControl w:val="0"/>
        <w:numPr>
          <w:ilvl w:val="0"/>
          <w:numId w:val="19"/>
        </w:numPr>
        <w:shd w:val="clear" w:color="auto" w:fill="FFFFFF"/>
        <w:autoSpaceDE w:val="0"/>
        <w:autoSpaceDN w:val="0"/>
        <w:adjustRightInd w:val="0"/>
        <w:contextualSpacing/>
        <w:textAlignment w:val="center"/>
        <w:rPr>
          <w:rFonts w:cs="Arial"/>
          <w:color w:val="000000"/>
        </w:rPr>
      </w:pPr>
      <w:r w:rsidRPr="00C8302B">
        <w:rPr>
          <w:rFonts w:cs="Arial"/>
          <w:color w:val="000000"/>
        </w:rPr>
        <w:t xml:space="preserve">Verwendung nationaler Protokolle für Anträge auf </w:t>
      </w:r>
      <w:r w:rsidRPr="005C0B7A">
        <w:rPr>
          <w:rFonts w:cs="Arial"/>
          <w:color w:val="000000"/>
        </w:rPr>
        <w:t>gemeinschaftlichen Sortenschutz</w:t>
      </w:r>
      <w:r w:rsidRPr="00C8302B">
        <w:rPr>
          <w:rFonts w:cs="Arial"/>
          <w:color w:val="000000"/>
        </w:rPr>
        <w:t>;</w:t>
      </w:r>
    </w:p>
    <w:p w:rsidR="001F2153" w:rsidRPr="00C8302B" w:rsidRDefault="001F2153" w:rsidP="001F2153">
      <w:pPr>
        <w:widowControl w:val="0"/>
        <w:numPr>
          <w:ilvl w:val="0"/>
          <w:numId w:val="19"/>
        </w:numPr>
        <w:shd w:val="clear" w:color="auto" w:fill="FFFFFF"/>
        <w:autoSpaceDE w:val="0"/>
        <w:autoSpaceDN w:val="0"/>
        <w:adjustRightInd w:val="0"/>
        <w:contextualSpacing/>
        <w:textAlignment w:val="center"/>
        <w:rPr>
          <w:rFonts w:cs="Arial"/>
          <w:color w:val="000000"/>
        </w:rPr>
      </w:pPr>
      <w:r w:rsidRPr="00C8302B">
        <w:rPr>
          <w:rFonts w:cs="Arial"/>
          <w:color w:val="000000"/>
        </w:rPr>
        <w:t>Zeitplan für die Annahme technische</w:t>
      </w:r>
      <w:r>
        <w:rPr>
          <w:rFonts w:cs="Arial"/>
          <w:color w:val="000000"/>
        </w:rPr>
        <w:t>r</w:t>
      </w:r>
      <w:r w:rsidRPr="00C8302B">
        <w:rPr>
          <w:rFonts w:cs="Arial"/>
          <w:color w:val="000000"/>
        </w:rPr>
        <w:t xml:space="preserve"> CPVO-Protokolle;</w:t>
      </w:r>
    </w:p>
    <w:p w:rsidR="001F2153" w:rsidRPr="00C8302B" w:rsidRDefault="001F2153" w:rsidP="001F2153">
      <w:pPr>
        <w:widowControl w:val="0"/>
        <w:numPr>
          <w:ilvl w:val="0"/>
          <w:numId w:val="19"/>
        </w:numPr>
        <w:shd w:val="clear" w:color="auto" w:fill="FFFFFF"/>
        <w:autoSpaceDE w:val="0"/>
        <w:autoSpaceDN w:val="0"/>
        <w:adjustRightInd w:val="0"/>
        <w:contextualSpacing/>
        <w:textAlignment w:val="center"/>
        <w:rPr>
          <w:rFonts w:cs="Arial"/>
          <w:color w:val="000000"/>
        </w:rPr>
      </w:pPr>
      <w:r w:rsidRPr="00C8302B">
        <w:rPr>
          <w:rFonts w:cs="Arial"/>
        </w:rPr>
        <w:t>Merkmale und nur einmal</w:t>
      </w:r>
      <w:r>
        <w:rPr>
          <w:rFonts w:cs="Arial"/>
        </w:rPr>
        <w:t>ige Erfassung</w:t>
      </w:r>
      <w:r w:rsidRPr="00C8302B">
        <w:rPr>
          <w:rFonts w:cs="Arial"/>
        </w:rPr>
        <w:t xml:space="preserve"> bei mehrjährigen </w:t>
      </w:r>
      <w:r>
        <w:rPr>
          <w:rFonts w:cs="Arial"/>
        </w:rPr>
        <w:t>Prüfungen</w:t>
      </w:r>
      <w:r w:rsidRPr="00C8302B">
        <w:rPr>
          <w:rFonts w:cs="Arial"/>
        </w:rPr>
        <w:t>;</w:t>
      </w:r>
    </w:p>
    <w:p w:rsidR="001F2153" w:rsidRPr="00C8302B" w:rsidRDefault="001F2153" w:rsidP="001F2153">
      <w:pPr>
        <w:keepNext/>
        <w:widowControl w:val="0"/>
        <w:numPr>
          <w:ilvl w:val="0"/>
          <w:numId w:val="19"/>
        </w:numPr>
        <w:shd w:val="clear" w:color="auto" w:fill="FFFFFF"/>
        <w:autoSpaceDE w:val="0"/>
        <w:autoSpaceDN w:val="0"/>
        <w:adjustRightInd w:val="0"/>
        <w:contextualSpacing/>
        <w:textAlignment w:val="center"/>
        <w:rPr>
          <w:rFonts w:cs="Arial"/>
          <w:color w:val="000000"/>
        </w:rPr>
      </w:pPr>
      <w:r w:rsidRPr="00C8302B">
        <w:rPr>
          <w:rFonts w:cs="Arial"/>
        </w:rPr>
        <w:t xml:space="preserve">Übernahme von </w:t>
      </w:r>
      <w:r w:rsidRPr="00356F97">
        <w:rPr>
          <w:rFonts w:cs="Arial"/>
        </w:rPr>
        <w:t xml:space="preserve">Berichten </w:t>
      </w:r>
      <w:r>
        <w:rPr>
          <w:rFonts w:cs="Arial"/>
        </w:rPr>
        <w:t>aus</w:t>
      </w:r>
      <w:r w:rsidRPr="00C8302B">
        <w:rPr>
          <w:rFonts w:cs="Arial"/>
        </w:rPr>
        <w:t xml:space="preserve"> nationale</w:t>
      </w:r>
      <w:r>
        <w:rPr>
          <w:rFonts w:cs="Arial"/>
        </w:rPr>
        <w:t>n</w:t>
      </w:r>
      <w:r w:rsidRPr="00C8302B">
        <w:rPr>
          <w:rFonts w:cs="Arial"/>
        </w:rPr>
        <w:t xml:space="preserve"> DUS-Verfahren;</w:t>
      </w:r>
    </w:p>
    <w:p w:rsidR="001F2153" w:rsidRPr="00C8302B" w:rsidRDefault="001F2153" w:rsidP="001F2153">
      <w:pPr>
        <w:widowControl w:val="0"/>
        <w:numPr>
          <w:ilvl w:val="0"/>
          <w:numId w:val="19"/>
        </w:numPr>
        <w:shd w:val="clear" w:color="auto" w:fill="FFFFFF"/>
        <w:autoSpaceDE w:val="0"/>
        <w:autoSpaceDN w:val="0"/>
        <w:adjustRightInd w:val="0"/>
        <w:contextualSpacing/>
        <w:textAlignment w:val="center"/>
        <w:rPr>
          <w:rFonts w:cs="Arial"/>
          <w:color w:val="000000"/>
        </w:rPr>
      </w:pPr>
      <w:r>
        <w:rPr>
          <w:rFonts w:cs="Arial"/>
        </w:rPr>
        <w:t>Ausarbeitung</w:t>
      </w:r>
      <w:r w:rsidRPr="00C8302B">
        <w:rPr>
          <w:rFonts w:cs="Arial"/>
        </w:rPr>
        <w:t xml:space="preserve"> von </w:t>
      </w:r>
      <w:r w:rsidRPr="00F21085">
        <w:rPr>
          <w:rFonts w:cs="Arial"/>
        </w:rPr>
        <w:t>Anleitung</w:t>
      </w:r>
      <w:r w:rsidRPr="00C8302B">
        <w:rPr>
          <w:rFonts w:cs="Arial"/>
        </w:rPr>
        <w:t xml:space="preserve"> für die Verträge zwischen </w:t>
      </w:r>
      <w:r>
        <w:rPr>
          <w:rFonts w:cs="Arial"/>
        </w:rPr>
        <w:t>Prüfungsämtern</w:t>
      </w:r>
      <w:r w:rsidRPr="00C8302B">
        <w:rPr>
          <w:rFonts w:cs="Arial"/>
        </w:rPr>
        <w:t xml:space="preserve"> und technisch qualifizierten </w:t>
      </w:r>
      <w:r>
        <w:rPr>
          <w:rFonts w:cs="Arial"/>
        </w:rPr>
        <w:t>Organen</w:t>
      </w:r>
      <w:r w:rsidRPr="00C8302B">
        <w:rPr>
          <w:rFonts w:cs="Arial"/>
        </w:rPr>
        <w:t>.</w:t>
      </w:r>
    </w:p>
    <w:p w:rsidR="001F2153" w:rsidRPr="00C8302B" w:rsidRDefault="001F2153" w:rsidP="001F2153">
      <w:pPr>
        <w:shd w:val="clear" w:color="auto" w:fill="FFFFFF"/>
        <w:tabs>
          <w:tab w:val="left" w:pos="567"/>
          <w:tab w:val="left" w:pos="9072"/>
          <w:tab w:val="left" w:pos="9214"/>
        </w:tabs>
        <w:contextualSpacing/>
        <w:rPr>
          <w:rFonts w:cs="Arial"/>
        </w:rPr>
      </w:pPr>
    </w:p>
    <w:p w:rsidR="001F2153" w:rsidRPr="00C8302B" w:rsidRDefault="001F2153" w:rsidP="001F2153">
      <w:pPr>
        <w:shd w:val="clear" w:color="auto" w:fill="FFFFFF"/>
        <w:tabs>
          <w:tab w:val="left" w:pos="567"/>
          <w:tab w:val="left" w:pos="9072"/>
          <w:tab w:val="left" w:pos="9214"/>
        </w:tabs>
        <w:contextualSpacing/>
        <w:rPr>
          <w:rFonts w:cs="Arial"/>
        </w:rPr>
      </w:pPr>
      <w:r>
        <w:rPr>
          <w:rFonts w:cs="Arial"/>
        </w:rPr>
        <w:t>Ferner</w:t>
      </w:r>
      <w:r w:rsidRPr="00C8302B">
        <w:rPr>
          <w:rFonts w:cs="Arial"/>
        </w:rPr>
        <w:t xml:space="preserve"> wurden die Teilnehmer über den Stand von </w:t>
      </w:r>
      <w:r w:rsidRPr="003F4010">
        <w:rPr>
          <w:rFonts w:cs="Arial"/>
        </w:rPr>
        <w:t>Forschungs- und Entwicklungsprojekte</w:t>
      </w:r>
      <w:r>
        <w:rPr>
          <w:rFonts w:cs="Arial"/>
        </w:rPr>
        <w:t>n</w:t>
      </w:r>
      <w:r w:rsidRPr="00C8302B">
        <w:rPr>
          <w:rFonts w:cs="Arial"/>
        </w:rPr>
        <w:t xml:space="preserve">, IT-Projekten und die Kostenkalkulation </w:t>
      </w:r>
      <w:r>
        <w:rPr>
          <w:rFonts w:cs="Arial"/>
        </w:rPr>
        <w:t>der</w:t>
      </w:r>
      <w:r w:rsidRPr="00C8302B">
        <w:rPr>
          <w:rFonts w:cs="Arial"/>
        </w:rPr>
        <w:t xml:space="preserve"> </w:t>
      </w:r>
      <w:r>
        <w:rPr>
          <w:rFonts w:cs="Arial"/>
        </w:rPr>
        <w:t>Prüfungsämter</w:t>
      </w:r>
      <w:r w:rsidRPr="00C8302B">
        <w:rPr>
          <w:rFonts w:cs="Arial"/>
        </w:rPr>
        <w:t xml:space="preserve"> informiert.</w:t>
      </w:r>
    </w:p>
    <w:p w:rsidR="001F2153" w:rsidRPr="00C8302B" w:rsidRDefault="001F2153" w:rsidP="001F2153">
      <w:pPr>
        <w:contextualSpacing/>
        <w:rPr>
          <w:rFonts w:cs="Arial"/>
          <w:u w:val="single"/>
        </w:rPr>
      </w:pPr>
    </w:p>
    <w:p w:rsidR="001F2153" w:rsidRPr="00C8302B" w:rsidRDefault="001F2153" w:rsidP="001F2153">
      <w:pPr>
        <w:contextualSpacing/>
        <w:rPr>
          <w:rFonts w:cs="Arial"/>
          <w:u w:val="single"/>
        </w:rPr>
      </w:pPr>
      <w:r w:rsidRPr="00C8302B">
        <w:rPr>
          <w:rFonts w:cs="Arial"/>
          <w:u w:val="single"/>
        </w:rPr>
        <w:t xml:space="preserve">b. </w:t>
      </w:r>
      <w:r>
        <w:rPr>
          <w:rFonts w:cs="Arial"/>
          <w:u w:val="single"/>
        </w:rPr>
        <w:t>Ausarbeitung</w:t>
      </w:r>
      <w:r w:rsidRPr="00C8302B">
        <w:rPr>
          <w:rFonts w:cs="Arial"/>
          <w:u w:val="single"/>
        </w:rPr>
        <w:t xml:space="preserve"> von CPVO-Protokollen</w:t>
      </w:r>
      <w:r>
        <w:rPr>
          <w:rFonts w:cs="Arial"/>
          <w:u w:val="single"/>
        </w:rPr>
        <w:t xml:space="preserve"> </w:t>
      </w:r>
    </w:p>
    <w:p w:rsidR="001F2153" w:rsidRPr="00C8302B" w:rsidRDefault="001F2153" w:rsidP="001F2153">
      <w:pPr>
        <w:ind w:right="43"/>
        <w:contextualSpacing/>
        <w:rPr>
          <w:rFonts w:cs="Arial"/>
        </w:rPr>
      </w:pPr>
    </w:p>
    <w:p w:rsidR="001F2153" w:rsidRPr="00C8302B" w:rsidRDefault="001F2153" w:rsidP="001F2153">
      <w:pPr>
        <w:ind w:right="43"/>
        <w:contextualSpacing/>
        <w:rPr>
          <w:rFonts w:cs="Arial"/>
        </w:rPr>
      </w:pPr>
      <w:r w:rsidRPr="00C8302B">
        <w:rPr>
          <w:rFonts w:cs="Arial"/>
        </w:rPr>
        <w:t xml:space="preserve">Im Jahr 2020 wurden Sachverständige aus den Prüfungsämtern der EU-Mitgliedstaaten </w:t>
      </w:r>
      <w:r>
        <w:rPr>
          <w:rFonts w:cs="Arial"/>
        </w:rPr>
        <w:t>um</w:t>
      </w:r>
      <w:r w:rsidRPr="00C8302B">
        <w:rPr>
          <w:rFonts w:cs="Arial"/>
        </w:rPr>
        <w:t xml:space="preserve"> Teilnahme an der Ausarbeitung oder </w:t>
      </w:r>
      <w:r w:rsidRPr="00385453">
        <w:rPr>
          <w:rFonts w:cs="Arial"/>
        </w:rPr>
        <w:t>Überarbeitung</w:t>
      </w:r>
      <w:r w:rsidRPr="00C8302B">
        <w:rPr>
          <w:rFonts w:cs="Arial"/>
        </w:rPr>
        <w:t xml:space="preserve"> technischer Protokolle für die DUS-Prüfung </w:t>
      </w:r>
      <w:r>
        <w:rPr>
          <w:rFonts w:cs="Arial"/>
        </w:rPr>
        <w:t>ersucht</w:t>
      </w:r>
      <w:r w:rsidRPr="00C8302B">
        <w:rPr>
          <w:rFonts w:cs="Arial"/>
        </w:rPr>
        <w:t>, die entweder anschließend vom Verwaltungsrat gebilligt wurden oder voraussichtlich im Jahr 2021 gebilligt werden. Es wurden Sachverständigen</w:t>
      </w:r>
      <w:r>
        <w:rPr>
          <w:rFonts w:cs="Arial"/>
        </w:rPr>
        <w:t>tagun</w:t>
      </w:r>
      <w:r w:rsidRPr="00C8302B">
        <w:rPr>
          <w:rFonts w:cs="Arial"/>
        </w:rPr>
        <w:t xml:space="preserve">gen abgehalten, um die </w:t>
      </w:r>
      <w:r>
        <w:rPr>
          <w:rFonts w:cs="Arial"/>
        </w:rPr>
        <w:t xml:space="preserve">folgenden </w:t>
      </w:r>
      <w:r w:rsidRPr="00C8302B">
        <w:rPr>
          <w:rFonts w:cs="Arial"/>
        </w:rPr>
        <w:t xml:space="preserve">technischen Protokolle zu </w:t>
      </w:r>
      <w:r w:rsidRPr="0094735A">
        <w:rPr>
          <w:rFonts w:cs="Arial"/>
        </w:rPr>
        <w:t>erörtern</w:t>
      </w:r>
      <w:r w:rsidRPr="00C8302B">
        <w:rPr>
          <w:rFonts w:cs="Arial"/>
        </w:rPr>
        <w:t>:</w:t>
      </w:r>
    </w:p>
    <w:p w:rsidR="001F2153" w:rsidRPr="00C8302B" w:rsidRDefault="001F2153" w:rsidP="001F2153">
      <w:pPr>
        <w:ind w:right="43"/>
        <w:contextualSpacing/>
        <w:rPr>
          <w:rFonts w:cs="Arial"/>
        </w:rPr>
      </w:pPr>
    </w:p>
    <w:p w:rsidR="001F2153" w:rsidRPr="00723F26" w:rsidRDefault="001F2153" w:rsidP="001F2153">
      <w:pPr>
        <w:numPr>
          <w:ilvl w:val="0"/>
          <w:numId w:val="20"/>
        </w:numPr>
        <w:ind w:right="43"/>
        <w:contextualSpacing/>
        <w:rPr>
          <w:rFonts w:cs="Arial"/>
        </w:rPr>
      </w:pPr>
      <w:r w:rsidRPr="00C8302B">
        <w:rPr>
          <w:rFonts w:cs="Arial"/>
        </w:rPr>
        <w:t xml:space="preserve">Landwirtschaftliche </w:t>
      </w:r>
      <w:r>
        <w:rPr>
          <w:rFonts w:cs="Arial"/>
        </w:rPr>
        <w:t>Art</w:t>
      </w:r>
      <w:r w:rsidRPr="00C8302B">
        <w:rPr>
          <w:rFonts w:cs="Arial"/>
        </w:rPr>
        <w:t xml:space="preserve">en: </w:t>
      </w:r>
      <w:r w:rsidRPr="00723F26">
        <w:rPr>
          <w:rFonts w:cs="Arial"/>
          <w:color w:val="000000"/>
        </w:rPr>
        <w:t>Knaulgras, Baumwolle und Quinoa.</w:t>
      </w:r>
    </w:p>
    <w:p w:rsidR="001F2153" w:rsidRPr="006B7BCB" w:rsidRDefault="001F2153" w:rsidP="001F2153">
      <w:pPr>
        <w:numPr>
          <w:ilvl w:val="0"/>
          <w:numId w:val="20"/>
        </w:numPr>
        <w:ind w:right="4"/>
        <w:contextualSpacing/>
        <w:rPr>
          <w:rFonts w:cs="Arial"/>
        </w:rPr>
      </w:pPr>
      <w:r w:rsidRPr="00723F26">
        <w:rPr>
          <w:rFonts w:cs="Arial"/>
        </w:rPr>
        <w:t xml:space="preserve">Gemüsearten: </w:t>
      </w:r>
      <w:r w:rsidRPr="00723F26">
        <w:rPr>
          <w:rFonts w:cs="Arial"/>
          <w:color w:val="000000"/>
        </w:rPr>
        <w:t xml:space="preserve">Fenchel, </w:t>
      </w:r>
      <w:r w:rsidRPr="006B7BCB">
        <w:rPr>
          <w:rFonts w:cs="Arial"/>
          <w:color w:val="000000"/>
        </w:rPr>
        <w:t>Mangold, Melone, Wassermelone, Tomate, Tomatenunterlage, Kopfkohl, Blattzichorie und Salat</w:t>
      </w:r>
      <w:r w:rsidRPr="006B7BCB">
        <w:rPr>
          <w:rFonts w:cs="Arial"/>
        </w:rPr>
        <w:t>.</w:t>
      </w:r>
    </w:p>
    <w:p w:rsidR="001F2153" w:rsidRPr="00C8302B" w:rsidRDefault="001F2153" w:rsidP="001F2153">
      <w:pPr>
        <w:numPr>
          <w:ilvl w:val="0"/>
          <w:numId w:val="20"/>
        </w:numPr>
        <w:ind w:right="4"/>
        <w:contextualSpacing/>
        <w:rPr>
          <w:rFonts w:cs="Arial"/>
          <w:u w:val="single"/>
        </w:rPr>
      </w:pPr>
      <w:r w:rsidRPr="00C8302B">
        <w:rPr>
          <w:rFonts w:cs="Arial"/>
        </w:rPr>
        <w:t xml:space="preserve">Zierpflanzen: </w:t>
      </w:r>
      <w:bookmarkStart w:id="1" w:name="_Toc25329854"/>
      <w:r w:rsidRPr="00C8302B">
        <w:rPr>
          <w:rFonts w:cs="Arial"/>
          <w:i/>
          <w:color w:val="000000"/>
        </w:rPr>
        <w:t xml:space="preserve">Alstroemeria </w:t>
      </w:r>
      <w:r w:rsidRPr="00C8302B">
        <w:rPr>
          <w:rFonts w:cs="Arial"/>
          <w:color w:val="000000"/>
        </w:rPr>
        <w:t xml:space="preserve">L., </w:t>
      </w:r>
      <w:r w:rsidRPr="00C8302B">
        <w:rPr>
          <w:rFonts w:cs="Arial"/>
          <w:i/>
          <w:color w:val="000000"/>
        </w:rPr>
        <w:t xml:space="preserve">Phalaenpsis </w:t>
      </w:r>
      <w:r w:rsidRPr="00C8302B">
        <w:rPr>
          <w:rFonts w:cs="Arial"/>
          <w:color w:val="000000"/>
        </w:rPr>
        <w:t xml:space="preserve">Blume und </w:t>
      </w:r>
      <w:r w:rsidRPr="00C8302B">
        <w:rPr>
          <w:rFonts w:cs="Arial"/>
          <w:bCs/>
          <w:i/>
        </w:rPr>
        <w:t xml:space="preserve">Anigozanthos </w:t>
      </w:r>
      <w:r w:rsidRPr="00C8302B">
        <w:rPr>
          <w:rFonts w:cs="Arial"/>
          <w:bCs/>
        </w:rPr>
        <w:t xml:space="preserve">Labill. sowie </w:t>
      </w:r>
      <w:r w:rsidRPr="00C8302B">
        <w:rPr>
          <w:rFonts w:cs="Arial"/>
          <w:bCs/>
          <w:i/>
        </w:rPr>
        <w:t xml:space="preserve">Macropidia fuliginosa </w:t>
      </w:r>
      <w:r w:rsidRPr="00C8302B">
        <w:rPr>
          <w:rFonts w:cs="Arial"/>
          <w:bCs/>
        </w:rPr>
        <w:t>(Hook.) Druce</w:t>
      </w:r>
      <w:bookmarkEnd w:id="1"/>
      <w:r w:rsidRPr="00C8302B">
        <w:rPr>
          <w:rFonts w:cs="Arial"/>
          <w:bCs/>
        </w:rPr>
        <w:t>.</w:t>
      </w:r>
    </w:p>
    <w:p w:rsidR="001F2153" w:rsidRPr="00C8302B" w:rsidRDefault="001F2153" w:rsidP="001F2153">
      <w:pPr>
        <w:numPr>
          <w:ilvl w:val="0"/>
          <w:numId w:val="20"/>
        </w:numPr>
        <w:contextualSpacing/>
        <w:rPr>
          <w:rFonts w:cs="Arial"/>
        </w:rPr>
      </w:pPr>
      <w:r w:rsidRPr="00C8302B">
        <w:rPr>
          <w:rFonts w:cs="Arial"/>
        </w:rPr>
        <w:t>Obst</w:t>
      </w:r>
      <w:r>
        <w:rPr>
          <w:rFonts w:cs="Arial"/>
        </w:rPr>
        <w:t>arten</w:t>
      </w:r>
      <w:r w:rsidRPr="00C8302B">
        <w:rPr>
          <w:rFonts w:cs="Arial"/>
        </w:rPr>
        <w:t xml:space="preserve">: </w:t>
      </w:r>
      <w:r w:rsidRPr="00826041">
        <w:rPr>
          <w:rFonts w:cs="Arial"/>
          <w:color w:val="000000"/>
        </w:rPr>
        <w:t>Heidelbeere, Walnuss und Kiwi</w:t>
      </w:r>
      <w:r w:rsidRPr="00C8302B">
        <w:rPr>
          <w:rFonts w:cs="Arial"/>
        </w:rPr>
        <w:t>.</w:t>
      </w:r>
    </w:p>
    <w:p w:rsidR="001F2153" w:rsidRPr="00C8302B" w:rsidRDefault="001F2153" w:rsidP="001F2153">
      <w:pPr>
        <w:contextualSpacing/>
        <w:rPr>
          <w:rFonts w:cs="Arial"/>
          <w:u w:val="single"/>
        </w:rPr>
      </w:pPr>
    </w:p>
    <w:p w:rsidR="001F2153" w:rsidRPr="00C8302B" w:rsidRDefault="001F2153" w:rsidP="001F2153">
      <w:pPr>
        <w:contextualSpacing/>
        <w:rPr>
          <w:rFonts w:cs="Arial"/>
          <w:u w:val="single"/>
        </w:rPr>
      </w:pPr>
      <w:r w:rsidRPr="00C8302B">
        <w:rPr>
          <w:rFonts w:cs="Arial"/>
          <w:u w:val="single"/>
        </w:rPr>
        <w:t>c. Weiter</w:t>
      </w:r>
      <w:r>
        <w:rPr>
          <w:rFonts w:cs="Arial"/>
          <w:u w:val="single"/>
        </w:rPr>
        <w:t>e</w:t>
      </w:r>
      <w:r w:rsidRPr="00C8302B">
        <w:rPr>
          <w:rFonts w:cs="Arial"/>
          <w:u w:val="single"/>
        </w:rPr>
        <w:t xml:space="preserve">ntwicklung des </w:t>
      </w:r>
      <w:r>
        <w:rPr>
          <w:rFonts w:cs="Arial"/>
          <w:u w:val="single"/>
        </w:rPr>
        <w:t>CPOV-</w:t>
      </w:r>
      <w:r w:rsidRPr="00C8302B">
        <w:rPr>
          <w:rFonts w:cs="Arial"/>
          <w:u w:val="single"/>
        </w:rPr>
        <w:t>Variety</w:t>
      </w:r>
      <w:r>
        <w:rPr>
          <w:rFonts w:cs="Arial"/>
          <w:u w:val="single"/>
        </w:rPr>
        <w:t>-</w:t>
      </w:r>
      <w:r w:rsidRPr="00C8302B">
        <w:rPr>
          <w:rFonts w:cs="Arial"/>
          <w:u w:val="single"/>
        </w:rPr>
        <w:t>Finder</w:t>
      </w:r>
      <w:r>
        <w:rPr>
          <w:rFonts w:cs="Arial"/>
          <w:u w:val="single"/>
        </w:rPr>
        <w:t>s</w:t>
      </w:r>
    </w:p>
    <w:p w:rsidR="001F2153" w:rsidRPr="00C8302B" w:rsidRDefault="001F2153" w:rsidP="001F2153">
      <w:pPr>
        <w:widowControl w:val="0"/>
        <w:autoSpaceDE w:val="0"/>
        <w:autoSpaceDN w:val="0"/>
        <w:adjustRightInd w:val="0"/>
        <w:contextualSpacing/>
        <w:textAlignment w:val="center"/>
        <w:rPr>
          <w:rFonts w:cs="Arial"/>
        </w:rPr>
      </w:pPr>
    </w:p>
    <w:p w:rsidR="001F2153" w:rsidRDefault="001F2153" w:rsidP="001F2153">
      <w:pPr>
        <w:rPr>
          <w:szCs w:val="24"/>
        </w:rPr>
      </w:pPr>
      <w:r>
        <w:rPr>
          <w:szCs w:val="24"/>
          <w:lang w:val="de-CH"/>
        </w:rPr>
        <w:t>Die vom CPVO seit 2005 entwickelte und unterhaltene webbasierte Datenbank CPVO-Variety-Finder enthält Informationen zu Sortenregistern aus mehr als 70 Ländern mit einem allgemeinen Suchinstrument.</w:t>
      </w:r>
      <w:r>
        <w:rPr>
          <w:szCs w:val="24"/>
        </w:rPr>
        <w:t xml:space="preserve"> </w:t>
      </w:r>
      <w:r>
        <w:rPr>
          <w:szCs w:val="24"/>
          <w:lang w:val="de-CH"/>
        </w:rPr>
        <w:t>Sie enthält außerdem ein Suchinstrument für Ähnlichkeiten zur Prüfung der Eignung von Bezeichnungen.</w:t>
      </w:r>
      <w:r>
        <w:rPr>
          <w:szCs w:val="24"/>
        </w:rPr>
        <w:t xml:space="preserve"> </w:t>
      </w:r>
      <w:r>
        <w:rPr>
          <w:szCs w:val="24"/>
          <w:lang w:val="de-CH"/>
        </w:rPr>
        <w:t>Das allgemeine Prinzip besteht in der Aktualisierung der Datenbank, sobald Daten offiziell veröffentlicht werden.</w:t>
      </w:r>
      <w:r>
        <w:rPr>
          <w:szCs w:val="24"/>
        </w:rPr>
        <w:t xml:space="preserve"> </w:t>
      </w:r>
      <w:r>
        <w:rPr>
          <w:szCs w:val="24"/>
          <w:lang w:val="de-CH"/>
        </w:rPr>
        <w:t>Es wurde eine Absichtserklärung mit der UPOV unterzeichnet, um die Aufgabe der Datenerhebung aus EU- Mitgliedstaaten und nicht EU-Ländern zu teilen und einen regelmäßigen Austausch zu gewährleisten.</w:t>
      </w:r>
    </w:p>
    <w:p w:rsidR="001F2153" w:rsidRDefault="001F2153" w:rsidP="001F2153">
      <w:pPr>
        <w:rPr>
          <w:szCs w:val="24"/>
        </w:rPr>
      </w:pPr>
    </w:p>
    <w:p w:rsidR="001F2153" w:rsidRDefault="001F2153" w:rsidP="001F2153">
      <w:pPr>
        <w:rPr>
          <w:szCs w:val="24"/>
        </w:rPr>
      </w:pPr>
      <w:r>
        <w:rPr>
          <w:szCs w:val="24"/>
          <w:lang w:val="de-CH"/>
        </w:rPr>
        <w:t>Insgesamt wurden mehr als 1 Million Einträge aus EU- und UPOV-Mitgliedern in den Variety-Finder aufgenommen.</w:t>
      </w:r>
      <w:r>
        <w:rPr>
          <w:szCs w:val="24"/>
        </w:rPr>
        <w:t xml:space="preserve"> </w:t>
      </w:r>
      <w:r>
        <w:rPr>
          <w:szCs w:val="24"/>
          <w:lang w:val="de-CH"/>
        </w:rPr>
        <w:t>Die Nutzung des Variety-Finders hat in den letzten Jahren ständig zugenommen.</w:t>
      </w:r>
      <w:r>
        <w:rPr>
          <w:szCs w:val="24"/>
        </w:rPr>
        <w:t xml:space="preserve"> </w:t>
      </w:r>
      <w:r>
        <w:rPr>
          <w:szCs w:val="24"/>
          <w:lang w:val="de-CH"/>
        </w:rPr>
        <w:t xml:space="preserve">Die Kunden des CPVO stellen mit mehr als 50% der eingeführten Ähnlichkeitsprüfungen die größte Benutzergruppe dar. </w:t>
      </w:r>
      <w:r>
        <w:rPr>
          <w:spacing w:val="-3"/>
          <w:szCs w:val="24"/>
          <w:lang w:val="de-CH"/>
        </w:rPr>
        <w:t>Jährlich werden rund 80 000 Ähnlichkeitsprüfungen von Sortenbezeichnungen durchgeführt.</w:t>
      </w:r>
    </w:p>
    <w:p w:rsidR="001F2153" w:rsidRDefault="001F2153" w:rsidP="001F2153">
      <w:pPr>
        <w:rPr>
          <w:szCs w:val="24"/>
        </w:rPr>
      </w:pPr>
    </w:p>
    <w:p w:rsidR="001F2153" w:rsidRPr="00C8302B" w:rsidRDefault="001F2153" w:rsidP="001F2153">
      <w:pPr>
        <w:widowControl w:val="0"/>
        <w:autoSpaceDE w:val="0"/>
        <w:autoSpaceDN w:val="0"/>
        <w:adjustRightInd w:val="0"/>
        <w:contextualSpacing/>
        <w:textAlignment w:val="center"/>
        <w:rPr>
          <w:rFonts w:cs="Arial"/>
        </w:rPr>
      </w:pPr>
      <w:r>
        <w:rPr>
          <w:szCs w:val="24"/>
          <w:lang w:val="de-CH"/>
        </w:rPr>
        <w:t>Die unten stehende Graphik gibt einen Überblick über den Inhalt der Datenbank mit der Anzahl von Einträgen pro Eintragungstyp</w:t>
      </w:r>
      <w:r w:rsidRPr="00C8302B">
        <w:rPr>
          <w:rFonts w:cs="Arial"/>
        </w:rPr>
        <w:t>.</w:t>
      </w:r>
    </w:p>
    <w:p w:rsidR="001F2153" w:rsidRDefault="001F2153" w:rsidP="001F2153">
      <w:pPr>
        <w:widowControl w:val="0"/>
        <w:autoSpaceDE w:val="0"/>
        <w:autoSpaceDN w:val="0"/>
        <w:adjustRightInd w:val="0"/>
        <w:contextualSpacing/>
        <w:textAlignment w:val="center"/>
        <w:rPr>
          <w:rFonts w:cs="Arial"/>
        </w:rPr>
      </w:pPr>
    </w:p>
    <w:p w:rsidR="001F2153" w:rsidRPr="00C8302B" w:rsidRDefault="001F2153" w:rsidP="001F2153">
      <w:pPr>
        <w:widowControl w:val="0"/>
        <w:autoSpaceDE w:val="0"/>
        <w:autoSpaceDN w:val="0"/>
        <w:adjustRightInd w:val="0"/>
        <w:contextualSpacing/>
        <w:jc w:val="center"/>
        <w:textAlignment w:val="center"/>
        <w:rPr>
          <w:rFonts w:cs="Arial"/>
        </w:rPr>
      </w:pPr>
      <w:r w:rsidRPr="001F2153">
        <w:rPr>
          <w:noProof/>
          <w:lang w:val="en-US"/>
        </w:rPr>
        <w:drawing>
          <wp:inline distT="0" distB="0" distL="0" distR="0">
            <wp:extent cx="5388610" cy="309499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388610" cy="3094990"/>
                    </a:xfrm>
                    <a:prstGeom prst="rect">
                      <a:avLst/>
                    </a:prstGeom>
                    <a:noFill/>
                    <a:ln>
                      <a:noFill/>
                    </a:ln>
                  </pic:spPr>
                </pic:pic>
              </a:graphicData>
            </a:graphic>
          </wp:inline>
        </w:drawing>
      </w:r>
    </w:p>
    <w:p w:rsidR="001F2153" w:rsidRPr="00C8302B" w:rsidRDefault="001F2153" w:rsidP="001F2153">
      <w:pPr>
        <w:widowControl w:val="0"/>
        <w:autoSpaceDE w:val="0"/>
        <w:autoSpaceDN w:val="0"/>
        <w:adjustRightInd w:val="0"/>
        <w:contextualSpacing/>
        <w:jc w:val="center"/>
        <w:textAlignment w:val="center"/>
        <w:rPr>
          <w:rFonts w:cs="Arial"/>
        </w:rPr>
      </w:pPr>
    </w:p>
    <w:p w:rsidR="001F2153" w:rsidRPr="00C8302B" w:rsidRDefault="001F2153" w:rsidP="001F2153">
      <w:pPr>
        <w:contextualSpacing/>
        <w:rPr>
          <w:rFonts w:cs="Arial"/>
        </w:rPr>
      </w:pPr>
    </w:p>
    <w:p w:rsidR="001F2153" w:rsidRPr="00C8302B" w:rsidRDefault="001F2153" w:rsidP="001F2153">
      <w:pPr>
        <w:keepNext/>
        <w:tabs>
          <w:tab w:val="left" w:pos="142"/>
        </w:tabs>
        <w:autoSpaceDE w:val="0"/>
        <w:autoSpaceDN w:val="0"/>
        <w:adjustRightInd w:val="0"/>
        <w:contextualSpacing/>
        <w:rPr>
          <w:rFonts w:cs="Arial"/>
          <w:u w:val="single"/>
        </w:rPr>
      </w:pPr>
      <w:r w:rsidRPr="00C8302B">
        <w:rPr>
          <w:rFonts w:cs="Arial"/>
          <w:u w:val="single"/>
        </w:rPr>
        <w:t xml:space="preserve">d. Zusammenarbeit mit EU-Mitgliedstaaten bei der Prüfung von </w:t>
      </w:r>
      <w:r>
        <w:rPr>
          <w:rFonts w:cs="Arial"/>
          <w:u w:val="single"/>
        </w:rPr>
        <w:t>Bezeichnungen</w:t>
      </w:r>
      <w:r w:rsidRPr="00C8302B">
        <w:rPr>
          <w:rFonts w:cs="Arial"/>
          <w:u w:val="single"/>
        </w:rPr>
        <w:t xml:space="preserve"> </w:t>
      </w:r>
    </w:p>
    <w:p w:rsidR="001F2153" w:rsidRPr="00C8302B" w:rsidRDefault="001F2153" w:rsidP="001F2153">
      <w:pPr>
        <w:keepNext/>
        <w:tabs>
          <w:tab w:val="left" w:pos="142"/>
        </w:tabs>
        <w:autoSpaceDE w:val="0"/>
        <w:autoSpaceDN w:val="0"/>
        <w:adjustRightInd w:val="0"/>
        <w:contextualSpacing/>
        <w:rPr>
          <w:rFonts w:cs="Arial"/>
        </w:rPr>
      </w:pPr>
    </w:p>
    <w:p w:rsidR="001F2153" w:rsidRDefault="001F2153" w:rsidP="001F2153">
      <w:pPr>
        <w:keepNext/>
        <w:tabs>
          <w:tab w:val="left" w:pos="142"/>
        </w:tabs>
        <w:autoSpaceDE w:val="0"/>
        <w:autoSpaceDN w:val="0"/>
        <w:adjustRightInd w:val="0"/>
        <w:contextualSpacing/>
        <w:jc w:val="left"/>
        <w:rPr>
          <w:rFonts w:cs="Arial"/>
        </w:rPr>
      </w:pPr>
      <w:r w:rsidRPr="00C8302B">
        <w:rPr>
          <w:rFonts w:cs="Arial"/>
        </w:rPr>
        <w:t xml:space="preserve">Anzahl </w:t>
      </w:r>
      <w:r>
        <w:rPr>
          <w:rFonts w:cs="Arial"/>
        </w:rPr>
        <w:t>an</w:t>
      </w:r>
      <w:r w:rsidRPr="00C8302B">
        <w:rPr>
          <w:rFonts w:cs="Arial"/>
        </w:rPr>
        <w:t xml:space="preserve"> eingegangenen </w:t>
      </w:r>
      <w:r>
        <w:rPr>
          <w:rFonts w:cs="Arial"/>
        </w:rPr>
        <w:t>Anfragen</w:t>
      </w:r>
      <w:r w:rsidRPr="00C8302B">
        <w:rPr>
          <w:rFonts w:cs="Arial"/>
        </w:rPr>
        <w:t xml:space="preserve"> </w:t>
      </w:r>
      <w:r>
        <w:rPr>
          <w:rFonts w:cs="Arial"/>
        </w:rPr>
        <w:t>nach</w:t>
      </w:r>
      <w:r w:rsidRPr="00C8302B">
        <w:rPr>
          <w:rFonts w:cs="Arial"/>
        </w:rPr>
        <w:t xml:space="preserve"> </w:t>
      </w:r>
      <w:r>
        <w:rPr>
          <w:rFonts w:cs="Arial"/>
        </w:rPr>
        <w:t>Stellungnahme</w:t>
      </w:r>
      <w:r w:rsidRPr="00C8302B">
        <w:rPr>
          <w:rFonts w:cs="Arial"/>
        </w:rPr>
        <w:t xml:space="preserve"> und </w:t>
      </w:r>
      <w:r>
        <w:rPr>
          <w:rFonts w:cs="Arial"/>
        </w:rPr>
        <w:t>mitwirkenden</w:t>
      </w:r>
      <w:r w:rsidRPr="00C8302B">
        <w:rPr>
          <w:rFonts w:cs="Arial"/>
        </w:rPr>
        <w:t xml:space="preserve"> nationalen Behörden </w:t>
      </w:r>
      <w:r>
        <w:rPr>
          <w:rFonts w:cs="Arial"/>
        </w:rPr>
        <w:t>zum</w:t>
      </w:r>
      <w:r w:rsidRPr="00C8302B">
        <w:rPr>
          <w:rFonts w:cs="Arial"/>
        </w:rPr>
        <w:t xml:space="preserve"> </w:t>
      </w:r>
      <w:r>
        <w:rPr>
          <w:rFonts w:cs="Arial"/>
        </w:rPr>
        <w:br/>
      </w:r>
      <w:r w:rsidRPr="00C8302B">
        <w:rPr>
          <w:rFonts w:cs="Arial"/>
        </w:rPr>
        <w:t>31. Dezember 2019 (2012-2019)</w:t>
      </w:r>
    </w:p>
    <w:p w:rsidR="001F2153" w:rsidRPr="00C8302B" w:rsidRDefault="001F2153" w:rsidP="001F2153">
      <w:pPr>
        <w:keepNext/>
        <w:tabs>
          <w:tab w:val="left" w:pos="142"/>
        </w:tabs>
        <w:autoSpaceDE w:val="0"/>
        <w:autoSpaceDN w:val="0"/>
        <w:adjustRightInd w:val="0"/>
        <w:contextualSpacing/>
        <w:jc w:val="left"/>
        <w:rPr>
          <w:rFonts w:cs="Arial"/>
        </w:rPr>
      </w:pPr>
    </w:p>
    <w:p w:rsidR="001F2153" w:rsidRPr="00C8302B" w:rsidRDefault="001F2153" w:rsidP="003B64F4">
      <w:pPr>
        <w:tabs>
          <w:tab w:val="left" w:pos="142"/>
        </w:tabs>
        <w:autoSpaceDE w:val="0"/>
        <w:autoSpaceDN w:val="0"/>
        <w:adjustRightInd w:val="0"/>
        <w:contextualSpacing/>
        <w:jc w:val="center"/>
        <w:rPr>
          <w:rFonts w:cs="Arial"/>
        </w:rPr>
      </w:pPr>
      <w:r>
        <w:rPr>
          <w:noProof/>
          <w:lang w:val="en-US"/>
        </w:rPr>
        <w:drawing>
          <wp:inline distT="0" distB="0" distL="0" distR="0" wp14:anchorId="2CC36734" wp14:editId="5F5AF70A">
            <wp:extent cx="5448300" cy="327660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5448300" cy="3276600"/>
                    </a:xfrm>
                    <a:prstGeom prst="rect">
                      <a:avLst/>
                    </a:prstGeom>
                  </pic:spPr>
                </pic:pic>
              </a:graphicData>
            </a:graphic>
          </wp:inline>
        </w:drawing>
      </w:r>
    </w:p>
    <w:p w:rsidR="001F2153" w:rsidRPr="00C8302B" w:rsidRDefault="001F2153" w:rsidP="001F2153">
      <w:pPr>
        <w:tabs>
          <w:tab w:val="left" w:pos="142"/>
        </w:tabs>
        <w:autoSpaceDE w:val="0"/>
        <w:autoSpaceDN w:val="0"/>
        <w:adjustRightInd w:val="0"/>
        <w:contextualSpacing/>
        <w:rPr>
          <w:rFonts w:eastAsia="MyriadPro-Light" w:cs="Arial"/>
        </w:rPr>
      </w:pPr>
    </w:p>
    <w:p w:rsidR="001F2153" w:rsidRPr="00C8302B" w:rsidRDefault="001F2153" w:rsidP="001F2153">
      <w:pPr>
        <w:tabs>
          <w:tab w:val="left" w:pos="142"/>
        </w:tabs>
        <w:autoSpaceDE w:val="0"/>
        <w:autoSpaceDN w:val="0"/>
        <w:adjustRightInd w:val="0"/>
        <w:contextualSpacing/>
        <w:rPr>
          <w:rFonts w:eastAsia="MyriadPro-Light" w:cs="Arial"/>
        </w:rPr>
      </w:pPr>
      <w:r w:rsidRPr="00C8302B">
        <w:rPr>
          <w:rFonts w:eastAsia="MyriadPro-Light" w:cs="Arial"/>
        </w:rPr>
        <w:t xml:space="preserve">Obwohl die </w:t>
      </w:r>
      <w:r>
        <w:rPr>
          <w:rFonts w:eastAsia="MyriadPro-Light" w:cs="Arial"/>
        </w:rPr>
        <w:t>Anzahl an</w:t>
      </w:r>
      <w:r w:rsidRPr="00C8302B">
        <w:rPr>
          <w:rFonts w:eastAsia="MyriadPro-Light" w:cs="Arial"/>
        </w:rPr>
        <w:t xml:space="preserve"> </w:t>
      </w:r>
      <w:r>
        <w:rPr>
          <w:rFonts w:eastAsia="MyriadPro-Light" w:cs="Arial"/>
        </w:rPr>
        <w:t>Anfragen</w:t>
      </w:r>
      <w:r w:rsidRPr="00C8302B">
        <w:rPr>
          <w:rFonts w:eastAsia="MyriadPro-Light" w:cs="Arial"/>
        </w:rPr>
        <w:t xml:space="preserve"> </w:t>
      </w:r>
      <w:r>
        <w:rPr>
          <w:rFonts w:eastAsia="MyriadPro-Light" w:cs="Arial"/>
        </w:rPr>
        <w:t>nach</w:t>
      </w:r>
      <w:r w:rsidRPr="00C8302B">
        <w:rPr>
          <w:rFonts w:eastAsia="MyriadPro-Light" w:cs="Arial"/>
        </w:rPr>
        <w:t xml:space="preserve"> Stellungnahme im Jahr 2019 leicht </w:t>
      </w:r>
      <w:r>
        <w:rPr>
          <w:rFonts w:eastAsia="MyriadPro-Light" w:cs="Arial"/>
        </w:rPr>
        <w:t>zurückgegangen ist</w:t>
      </w:r>
      <w:r w:rsidRPr="00C8302B">
        <w:rPr>
          <w:rFonts w:eastAsia="MyriadPro-Light" w:cs="Arial"/>
        </w:rPr>
        <w:t xml:space="preserve">, hat die Zusammenarbeit bei der Prüfung von Sortenbezeichnungen im Laufe der Zeit </w:t>
      </w:r>
      <w:r>
        <w:rPr>
          <w:rFonts w:eastAsia="MyriadPro-Light" w:cs="Arial"/>
        </w:rPr>
        <w:t>eine große Vitalität gezeigt</w:t>
      </w:r>
      <w:r w:rsidRPr="00C8302B">
        <w:rPr>
          <w:rFonts w:eastAsia="MyriadPro-Light" w:cs="Arial"/>
        </w:rPr>
        <w:t>. Diese</w:t>
      </w:r>
      <w:r>
        <w:rPr>
          <w:rFonts w:eastAsia="MyriadPro-Light" w:cs="Arial"/>
        </w:rPr>
        <w:t>r</w:t>
      </w:r>
      <w:r w:rsidRPr="00C8302B">
        <w:rPr>
          <w:rFonts w:eastAsia="MyriadPro-Light" w:cs="Arial"/>
        </w:rPr>
        <w:t xml:space="preserve"> </w:t>
      </w:r>
      <w:r>
        <w:rPr>
          <w:rFonts w:eastAsia="MyriadPro-Light" w:cs="Arial"/>
        </w:rPr>
        <w:t>Dienst</w:t>
      </w:r>
      <w:r w:rsidRPr="00C8302B">
        <w:rPr>
          <w:rFonts w:eastAsia="MyriadPro-Light" w:cs="Arial"/>
        </w:rPr>
        <w:t xml:space="preserve"> </w:t>
      </w:r>
      <w:r>
        <w:rPr>
          <w:rFonts w:eastAsia="MyriadPro-Light" w:cs="Arial"/>
        </w:rPr>
        <w:t>gewährleistet</w:t>
      </w:r>
      <w:r w:rsidRPr="00C8302B">
        <w:rPr>
          <w:rFonts w:eastAsia="MyriadPro-Light" w:cs="Arial"/>
        </w:rPr>
        <w:t xml:space="preserve"> eine Harmonisierung der Ansätze und eine größere Konvergenz bei der Anwendung und Umsetzung der Bezeichnungs</w:t>
      </w:r>
      <w:r>
        <w:rPr>
          <w:rFonts w:eastAsia="MyriadPro-Light" w:cs="Arial"/>
        </w:rPr>
        <w:t>vorschriften zum Nutzen des</w:t>
      </w:r>
      <w:r w:rsidRPr="00C8302B">
        <w:rPr>
          <w:rFonts w:eastAsia="MyriadPro-Light" w:cs="Arial"/>
        </w:rPr>
        <w:t xml:space="preserve"> Sortenschutzsystem</w:t>
      </w:r>
      <w:r>
        <w:rPr>
          <w:rFonts w:eastAsia="MyriadPro-Light" w:cs="Arial"/>
        </w:rPr>
        <w:t>s</w:t>
      </w:r>
      <w:r w:rsidRPr="00C8302B">
        <w:rPr>
          <w:rFonts w:eastAsia="MyriadPro-Light" w:cs="Arial"/>
        </w:rPr>
        <w:t xml:space="preserve"> und </w:t>
      </w:r>
      <w:r>
        <w:rPr>
          <w:rFonts w:eastAsia="MyriadPro-Light" w:cs="Arial"/>
        </w:rPr>
        <w:t>der</w:t>
      </w:r>
      <w:r w:rsidRPr="00C8302B">
        <w:rPr>
          <w:rFonts w:eastAsia="MyriadPro-Light" w:cs="Arial"/>
        </w:rPr>
        <w:t xml:space="preserve"> betroffenen Parteien. Der Dienst für Zusammenarbeit </w:t>
      </w:r>
      <w:r>
        <w:rPr>
          <w:rFonts w:eastAsia="MyriadPro-Light" w:cs="Arial"/>
        </w:rPr>
        <w:t>beruht</w:t>
      </w:r>
      <w:r w:rsidRPr="00C8302B">
        <w:rPr>
          <w:rFonts w:eastAsia="MyriadPro-Light" w:cs="Arial"/>
        </w:rPr>
        <w:t xml:space="preserve"> auf einem dynamischen und kooperativen Prozess, der es ermöglicht, </w:t>
      </w:r>
      <w:r w:rsidRPr="00EE5E25">
        <w:rPr>
          <w:rFonts w:eastAsia="MyriadPro-Light" w:cs="Arial"/>
        </w:rPr>
        <w:t>hinsichtlich der Auslegung der Vorschriften und des Entwicklungsbedarfs reaktionsfähig zu bleiben</w:t>
      </w:r>
      <w:r w:rsidRPr="00C8302B">
        <w:rPr>
          <w:rFonts w:eastAsia="MyriadPro-Light" w:cs="Arial"/>
        </w:rPr>
        <w:t xml:space="preserve">. </w:t>
      </w:r>
    </w:p>
    <w:p w:rsidR="001F2153" w:rsidRPr="00C8302B" w:rsidRDefault="001F2153" w:rsidP="001F2153">
      <w:pPr>
        <w:contextualSpacing/>
        <w:rPr>
          <w:rFonts w:cs="Arial"/>
          <w:u w:val="single"/>
        </w:rPr>
      </w:pPr>
    </w:p>
    <w:p w:rsidR="001F2153" w:rsidRPr="00C8302B" w:rsidRDefault="001F2153" w:rsidP="001F2153">
      <w:pPr>
        <w:contextualSpacing/>
        <w:rPr>
          <w:rFonts w:cs="Arial"/>
          <w:u w:val="single"/>
        </w:rPr>
      </w:pPr>
      <w:r w:rsidRPr="00C8302B">
        <w:rPr>
          <w:rFonts w:cs="Arial"/>
          <w:u w:val="single"/>
        </w:rPr>
        <w:t xml:space="preserve">4.2 Tagung </w:t>
      </w:r>
      <w:r>
        <w:rPr>
          <w:rFonts w:cs="Arial"/>
          <w:u w:val="single"/>
        </w:rPr>
        <w:t>der</w:t>
      </w:r>
      <w:r w:rsidRPr="00C8302B">
        <w:rPr>
          <w:rFonts w:cs="Arial"/>
          <w:u w:val="single"/>
        </w:rPr>
        <w:t xml:space="preserve"> Pflanzensachverständigen</w:t>
      </w:r>
    </w:p>
    <w:p w:rsidR="001F2153" w:rsidRPr="00C8302B" w:rsidRDefault="001F2153" w:rsidP="001F2153">
      <w:pPr>
        <w:autoSpaceDE w:val="0"/>
        <w:autoSpaceDN w:val="0"/>
        <w:adjustRightInd w:val="0"/>
        <w:contextualSpacing/>
        <w:rPr>
          <w:rFonts w:cs="Arial"/>
          <w:color w:val="000000"/>
          <w:lang w:eastAsia="en-GB"/>
        </w:rPr>
      </w:pPr>
    </w:p>
    <w:p w:rsidR="001F2153" w:rsidRPr="00C8302B" w:rsidRDefault="001F2153" w:rsidP="001F2153">
      <w:pPr>
        <w:autoSpaceDE w:val="0"/>
        <w:autoSpaceDN w:val="0"/>
        <w:adjustRightInd w:val="0"/>
        <w:contextualSpacing/>
        <w:rPr>
          <w:rFonts w:cs="Arial"/>
          <w:color w:val="000000"/>
          <w:lang w:eastAsia="en-GB"/>
        </w:rPr>
      </w:pPr>
      <w:r w:rsidRPr="00C8302B">
        <w:rPr>
          <w:rFonts w:cs="Arial"/>
          <w:color w:val="000000"/>
          <w:lang w:eastAsia="en-GB"/>
        </w:rPr>
        <w:t xml:space="preserve">Im Oktober 2020 </w:t>
      </w:r>
      <w:r w:rsidRPr="001E71D4">
        <w:rPr>
          <w:rFonts w:cs="Arial"/>
          <w:color w:val="000000"/>
          <w:lang w:eastAsia="en-GB"/>
        </w:rPr>
        <w:t xml:space="preserve">wurde eine Tagung mit Sachverständigen für landwirtschaftliche Pflanzen abgehalten, um </w:t>
      </w:r>
      <w:r>
        <w:rPr>
          <w:rFonts w:cs="Arial"/>
          <w:color w:val="000000"/>
          <w:lang w:eastAsia="en-GB"/>
        </w:rPr>
        <w:t>folgende Angelegenheiten</w:t>
      </w:r>
      <w:r w:rsidRPr="001E71D4">
        <w:rPr>
          <w:rFonts w:cs="Arial"/>
          <w:color w:val="000000"/>
          <w:lang w:eastAsia="en-GB"/>
        </w:rPr>
        <w:t xml:space="preserve"> zu erörtern</w:t>
      </w:r>
      <w:r w:rsidRPr="00C8302B">
        <w:rPr>
          <w:rFonts w:cs="Arial"/>
          <w:color w:val="000000"/>
          <w:lang w:eastAsia="en-GB"/>
        </w:rPr>
        <w:t>:</w:t>
      </w:r>
    </w:p>
    <w:p w:rsidR="001F2153" w:rsidRPr="00C8302B" w:rsidRDefault="001F2153" w:rsidP="001F2153">
      <w:pPr>
        <w:autoSpaceDE w:val="0"/>
        <w:autoSpaceDN w:val="0"/>
        <w:adjustRightInd w:val="0"/>
        <w:contextualSpacing/>
        <w:rPr>
          <w:rFonts w:cs="Arial"/>
          <w:color w:val="000000"/>
          <w:lang w:eastAsia="en-GB"/>
        </w:rPr>
      </w:pPr>
    </w:p>
    <w:p w:rsidR="001F2153" w:rsidRPr="003B64F4" w:rsidRDefault="001F2153" w:rsidP="003B64F4">
      <w:pPr>
        <w:numPr>
          <w:ilvl w:val="0"/>
          <w:numId w:val="13"/>
        </w:numPr>
        <w:autoSpaceDE w:val="0"/>
        <w:autoSpaceDN w:val="0"/>
        <w:adjustRightInd w:val="0"/>
        <w:contextualSpacing/>
        <w:rPr>
          <w:rFonts w:cs="Arial"/>
        </w:rPr>
      </w:pPr>
      <w:r w:rsidRPr="003B64F4">
        <w:rPr>
          <w:rFonts w:cs="Arial"/>
        </w:rPr>
        <w:t xml:space="preserve">Prüfung von Hybridweizen und die Betrachtung von länglichen Pflanzen als eine neue Form von Abweichern bei Weizen, </w:t>
      </w:r>
    </w:p>
    <w:p w:rsidR="001F2153" w:rsidRPr="003B64F4" w:rsidRDefault="001F2153" w:rsidP="003B64F4">
      <w:pPr>
        <w:numPr>
          <w:ilvl w:val="0"/>
          <w:numId w:val="13"/>
        </w:numPr>
        <w:autoSpaceDE w:val="0"/>
        <w:autoSpaceDN w:val="0"/>
        <w:adjustRightInd w:val="0"/>
        <w:contextualSpacing/>
        <w:rPr>
          <w:rFonts w:cs="Arial"/>
        </w:rPr>
      </w:pPr>
      <w:r w:rsidRPr="003B64F4">
        <w:rPr>
          <w:rFonts w:cs="Arial"/>
        </w:rPr>
        <w:t xml:space="preserve">nur einmalige Erfassung bestimmter Merkmale bei mehrjährigen Prüfungen, </w:t>
      </w:r>
    </w:p>
    <w:p w:rsidR="001F2153" w:rsidRPr="003B64F4" w:rsidRDefault="001F2153" w:rsidP="003B64F4">
      <w:pPr>
        <w:numPr>
          <w:ilvl w:val="0"/>
          <w:numId w:val="13"/>
        </w:numPr>
        <w:autoSpaceDE w:val="0"/>
        <w:autoSpaceDN w:val="0"/>
        <w:adjustRightInd w:val="0"/>
        <w:contextualSpacing/>
        <w:rPr>
          <w:rFonts w:cs="Arial"/>
        </w:rPr>
      </w:pPr>
      <w:r w:rsidRPr="003B64F4">
        <w:rPr>
          <w:rFonts w:cs="Arial"/>
        </w:rPr>
        <w:t>Ersetzung der FAO-Zahlen nach Blütezeitpunkt bei Mais,</w:t>
      </w:r>
    </w:p>
    <w:p w:rsidR="001F2153" w:rsidRPr="003B64F4" w:rsidRDefault="001F2153" w:rsidP="003B64F4">
      <w:pPr>
        <w:numPr>
          <w:ilvl w:val="0"/>
          <w:numId w:val="13"/>
        </w:numPr>
        <w:autoSpaceDE w:val="0"/>
        <w:autoSpaceDN w:val="0"/>
        <w:adjustRightInd w:val="0"/>
        <w:contextualSpacing/>
        <w:rPr>
          <w:rFonts w:cs="Arial"/>
        </w:rPr>
      </w:pPr>
      <w:r w:rsidRPr="003B64F4">
        <w:rPr>
          <w:rFonts w:cs="Arial"/>
        </w:rPr>
        <w:t xml:space="preserve">Verfahren für zyklischen Anbau bei der Prüfung von Gras, </w:t>
      </w:r>
    </w:p>
    <w:p w:rsidR="001F2153" w:rsidRPr="003B64F4" w:rsidRDefault="001F2153" w:rsidP="003B64F4">
      <w:pPr>
        <w:numPr>
          <w:ilvl w:val="0"/>
          <w:numId w:val="13"/>
        </w:numPr>
        <w:autoSpaceDE w:val="0"/>
        <w:autoSpaceDN w:val="0"/>
        <w:adjustRightInd w:val="0"/>
        <w:contextualSpacing/>
        <w:rPr>
          <w:rFonts w:cs="Arial"/>
        </w:rPr>
      </w:pPr>
      <w:r w:rsidRPr="003B64F4">
        <w:rPr>
          <w:rFonts w:cs="Arial"/>
        </w:rPr>
        <w:t>Bereitstellung von aktuellen Informationen über die Forschungs- und Entwicklungsstrategie des Amtes,</w:t>
      </w:r>
    </w:p>
    <w:p w:rsidR="001F2153" w:rsidRPr="003B64F4" w:rsidRDefault="001F2153" w:rsidP="003B64F4">
      <w:pPr>
        <w:numPr>
          <w:ilvl w:val="0"/>
          <w:numId w:val="13"/>
        </w:numPr>
        <w:autoSpaceDE w:val="0"/>
        <w:autoSpaceDN w:val="0"/>
        <w:adjustRightInd w:val="0"/>
        <w:contextualSpacing/>
        <w:rPr>
          <w:rFonts w:cs="Arial"/>
        </w:rPr>
      </w:pPr>
      <w:r w:rsidRPr="003B64F4">
        <w:rPr>
          <w:rFonts w:cs="Arial"/>
        </w:rPr>
        <w:t xml:space="preserve">Überarbeitungen mehrerer technischer Protokolle und neue technische Protokolle. </w:t>
      </w:r>
    </w:p>
    <w:p w:rsidR="001F2153" w:rsidRPr="00C8302B" w:rsidRDefault="001F2153" w:rsidP="001F2153">
      <w:pPr>
        <w:autoSpaceDE w:val="0"/>
        <w:autoSpaceDN w:val="0"/>
        <w:adjustRightInd w:val="0"/>
        <w:contextualSpacing/>
        <w:rPr>
          <w:rFonts w:cs="Arial"/>
          <w:color w:val="000000"/>
          <w:lang w:eastAsia="en-GB"/>
        </w:rPr>
      </w:pPr>
    </w:p>
    <w:p w:rsidR="001F2153" w:rsidRPr="00C8302B" w:rsidRDefault="001F2153" w:rsidP="001F2153">
      <w:pPr>
        <w:autoSpaceDE w:val="0"/>
        <w:autoSpaceDN w:val="0"/>
        <w:adjustRightInd w:val="0"/>
        <w:contextualSpacing/>
        <w:rPr>
          <w:rFonts w:cs="Arial"/>
          <w:color w:val="000000"/>
          <w:lang w:eastAsia="en-GB"/>
        </w:rPr>
      </w:pPr>
      <w:r w:rsidRPr="00C8302B">
        <w:rPr>
          <w:rFonts w:cs="Arial"/>
          <w:color w:val="000000"/>
          <w:lang w:eastAsia="en-GB"/>
        </w:rPr>
        <w:t xml:space="preserve">Am 2. und 3. Dezember 2020 </w:t>
      </w:r>
      <w:r w:rsidRPr="00EF1D37">
        <w:rPr>
          <w:rFonts w:cs="Arial"/>
          <w:color w:val="000000"/>
          <w:lang w:eastAsia="en-GB"/>
        </w:rPr>
        <w:t xml:space="preserve">wurde eine Tagung von Sachverständigen für Gemüsearten abgehalten, um </w:t>
      </w:r>
      <w:r>
        <w:rPr>
          <w:rFonts w:cs="Arial"/>
          <w:color w:val="000000"/>
          <w:lang w:eastAsia="en-GB"/>
        </w:rPr>
        <w:t>folgende Angelegenheiten</w:t>
      </w:r>
      <w:r w:rsidRPr="00EF1D37">
        <w:rPr>
          <w:rFonts w:cs="Arial"/>
          <w:color w:val="000000"/>
          <w:lang w:eastAsia="en-GB"/>
        </w:rPr>
        <w:t xml:space="preserve"> zu </w:t>
      </w:r>
      <w:r w:rsidRPr="00666537">
        <w:rPr>
          <w:rFonts w:cs="Arial"/>
          <w:color w:val="000000"/>
          <w:lang w:eastAsia="en-GB"/>
        </w:rPr>
        <w:t>erörtern</w:t>
      </w:r>
      <w:r w:rsidRPr="00C8302B">
        <w:rPr>
          <w:rFonts w:cs="Arial"/>
          <w:color w:val="000000"/>
          <w:lang w:eastAsia="en-GB"/>
        </w:rPr>
        <w:t>:</w:t>
      </w:r>
    </w:p>
    <w:p w:rsidR="001F2153" w:rsidRPr="00C8302B" w:rsidRDefault="001F2153" w:rsidP="001F2153">
      <w:pPr>
        <w:autoSpaceDE w:val="0"/>
        <w:autoSpaceDN w:val="0"/>
        <w:adjustRightInd w:val="0"/>
        <w:contextualSpacing/>
        <w:rPr>
          <w:rFonts w:cs="Arial"/>
          <w:color w:val="000000"/>
          <w:lang w:eastAsia="en-GB"/>
        </w:rPr>
      </w:pPr>
    </w:p>
    <w:p w:rsidR="001F2153" w:rsidRPr="00C8302B" w:rsidRDefault="001F2153" w:rsidP="001F2153">
      <w:pPr>
        <w:numPr>
          <w:ilvl w:val="0"/>
          <w:numId w:val="13"/>
        </w:numPr>
        <w:autoSpaceDE w:val="0"/>
        <w:autoSpaceDN w:val="0"/>
        <w:adjustRightInd w:val="0"/>
        <w:contextualSpacing/>
        <w:rPr>
          <w:rFonts w:cs="Arial"/>
          <w:color w:val="000000"/>
          <w:lang w:eastAsia="en-GB"/>
        </w:rPr>
      </w:pPr>
      <w:r w:rsidRPr="00C8302B">
        <w:rPr>
          <w:rFonts w:cs="Arial"/>
        </w:rPr>
        <w:t xml:space="preserve">Zusammenlegung der Amtsblätter S2 und S3 und Folgen für die Arten </w:t>
      </w:r>
      <w:r>
        <w:rPr>
          <w:rFonts w:cs="Arial"/>
        </w:rPr>
        <w:t>von</w:t>
      </w:r>
      <w:r w:rsidRPr="00C8302B">
        <w:rPr>
          <w:rFonts w:cs="Arial"/>
        </w:rPr>
        <w:t xml:space="preserve"> Be</w:t>
      </w:r>
      <w:r>
        <w:rPr>
          <w:rFonts w:cs="Arial"/>
        </w:rPr>
        <w:t>auftrag</w:t>
      </w:r>
      <w:r w:rsidRPr="00C8302B">
        <w:rPr>
          <w:rFonts w:cs="Arial"/>
        </w:rPr>
        <w:t xml:space="preserve">ung und Anbau, </w:t>
      </w:r>
    </w:p>
    <w:p w:rsidR="001F2153" w:rsidRPr="00C8302B" w:rsidRDefault="001F2153" w:rsidP="001F2153">
      <w:pPr>
        <w:numPr>
          <w:ilvl w:val="0"/>
          <w:numId w:val="13"/>
        </w:numPr>
        <w:autoSpaceDE w:val="0"/>
        <w:autoSpaceDN w:val="0"/>
        <w:adjustRightInd w:val="0"/>
        <w:contextualSpacing/>
        <w:rPr>
          <w:rFonts w:cs="Arial"/>
          <w:color w:val="000000"/>
          <w:lang w:eastAsia="en-GB"/>
        </w:rPr>
      </w:pPr>
      <w:r w:rsidRPr="00C8302B">
        <w:rPr>
          <w:rFonts w:cs="Arial"/>
        </w:rPr>
        <w:t>EU-Pflanzenpass und Pflanzengesundheits</w:t>
      </w:r>
      <w:r>
        <w:rPr>
          <w:rFonts w:cs="Arial"/>
        </w:rPr>
        <w:t>zertifikate</w:t>
      </w:r>
      <w:r w:rsidRPr="00C8302B">
        <w:rPr>
          <w:rFonts w:cs="Arial"/>
        </w:rPr>
        <w:t xml:space="preserve">, </w:t>
      </w:r>
    </w:p>
    <w:p w:rsidR="001F2153" w:rsidRPr="00C8302B" w:rsidRDefault="001F2153" w:rsidP="001F2153">
      <w:pPr>
        <w:numPr>
          <w:ilvl w:val="0"/>
          <w:numId w:val="13"/>
        </w:numPr>
        <w:autoSpaceDE w:val="0"/>
        <w:autoSpaceDN w:val="0"/>
        <w:adjustRightInd w:val="0"/>
        <w:contextualSpacing/>
        <w:rPr>
          <w:rFonts w:cs="Arial"/>
          <w:color w:val="000000"/>
          <w:lang w:eastAsia="en-GB"/>
        </w:rPr>
      </w:pPr>
      <w:r w:rsidRPr="00C8302B">
        <w:rPr>
          <w:rFonts w:cs="Arial"/>
        </w:rPr>
        <w:t>Annahme und Veröffentlichung nationale</w:t>
      </w:r>
      <w:r>
        <w:rPr>
          <w:rFonts w:cs="Arial"/>
        </w:rPr>
        <w:t>r</w:t>
      </w:r>
      <w:r w:rsidRPr="00C8302B">
        <w:rPr>
          <w:rFonts w:cs="Arial"/>
        </w:rPr>
        <w:t xml:space="preserve"> technische</w:t>
      </w:r>
      <w:r>
        <w:rPr>
          <w:rFonts w:cs="Arial"/>
        </w:rPr>
        <w:t>r</w:t>
      </w:r>
      <w:r w:rsidRPr="00C8302B">
        <w:rPr>
          <w:rFonts w:cs="Arial"/>
        </w:rPr>
        <w:t xml:space="preserve"> Protokolle durch das CPVO, </w:t>
      </w:r>
    </w:p>
    <w:p w:rsidR="001F2153" w:rsidRPr="00C8302B" w:rsidRDefault="001F2153" w:rsidP="001F2153">
      <w:pPr>
        <w:numPr>
          <w:ilvl w:val="0"/>
          <w:numId w:val="13"/>
        </w:numPr>
        <w:autoSpaceDE w:val="0"/>
        <w:autoSpaceDN w:val="0"/>
        <w:adjustRightInd w:val="0"/>
        <w:contextualSpacing/>
        <w:rPr>
          <w:rFonts w:cs="Arial"/>
          <w:color w:val="000000"/>
          <w:lang w:eastAsia="en-GB"/>
        </w:rPr>
      </w:pPr>
      <w:r w:rsidRPr="00C8302B">
        <w:rPr>
          <w:rFonts w:cs="Arial"/>
        </w:rPr>
        <w:t>neues Musterschreiben für den Erhalt von Vergleichssorten oder die Organisation von Sachverständigen</w:t>
      </w:r>
      <w:r>
        <w:rPr>
          <w:rFonts w:cs="Arial"/>
        </w:rPr>
        <w:t>tagungen</w:t>
      </w:r>
      <w:r w:rsidRPr="00C8302B">
        <w:rPr>
          <w:rFonts w:cs="Arial"/>
        </w:rPr>
        <w:t xml:space="preserve"> vor Ort</w:t>
      </w:r>
      <w:r w:rsidRPr="00C8302B">
        <w:rPr>
          <w:rFonts w:cs="Arial"/>
          <w:color w:val="000000"/>
          <w:lang w:eastAsia="en-GB"/>
        </w:rPr>
        <w:t>,</w:t>
      </w:r>
    </w:p>
    <w:p w:rsidR="001F2153" w:rsidRPr="00C8302B" w:rsidRDefault="001F2153" w:rsidP="001F2153">
      <w:pPr>
        <w:numPr>
          <w:ilvl w:val="0"/>
          <w:numId w:val="13"/>
        </w:numPr>
        <w:autoSpaceDE w:val="0"/>
        <w:autoSpaceDN w:val="0"/>
        <w:adjustRightInd w:val="0"/>
        <w:contextualSpacing/>
        <w:rPr>
          <w:rFonts w:cs="Arial"/>
          <w:color w:val="000000"/>
          <w:lang w:eastAsia="en-GB"/>
        </w:rPr>
      </w:pPr>
      <w:r w:rsidRPr="00C8302B">
        <w:rPr>
          <w:rFonts w:cs="Arial"/>
          <w:color w:val="000000"/>
          <w:lang w:eastAsia="en-GB"/>
        </w:rPr>
        <w:t xml:space="preserve">Überarbeitung mehrerer technischer Protokolle </w:t>
      </w:r>
      <w:r>
        <w:rPr>
          <w:rFonts w:cs="Arial"/>
          <w:color w:val="000000"/>
          <w:lang w:eastAsia="en-GB"/>
        </w:rPr>
        <w:t>für</w:t>
      </w:r>
      <w:r w:rsidRPr="00C8302B">
        <w:rPr>
          <w:rFonts w:cs="Arial"/>
          <w:color w:val="000000"/>
          <w:lang w:eastAsia="en-GB"/>
        </w:rPr>
        <w:t xml:space="preserve"> Gemüse.</w:t>
      </w:r>
    </w:p>
    <w:p w:rsidR="001F2153" w:rsidRPr="00C8302B" w:rsidRDefault="001F2153" w:rsidP="001F2153">
      <w:pPr>
        <w:autoSpaceDE w:val="0"/>
        <w:autoSpaceDN w:val="0"/>
        <w:adjustRightInd w:val="0"/>
        <w:contextualSpacing/>
        <w:rPr>
          <w:rFonts w:cs="Arial"/>
          <w:color w:val="000000"/>
          <w:lang w:eastAsia="en-GB"/>
        </w:rPr>
      </w:pPr>
    </w:p>
    <w:p w:rsidR="001F2153" w:rsidRPr="00C8302B" w:rsidRDefault="001F2153" w:rsidP="003B64F4">
      <w:pPr>
        <w:keepNext/>
        <w:autoSpaceDE w:val="0"/>
        <w:autoSpaceDN w:val="0"/>
        <w:adjustRightInd w:val="0"/>
        <w:contextualSpacing/>
        <w:rPr>
          <w:rFonts w:cs="Arial"/>
          <w:color w:val="000000"/>
          <w:lang w:eastAsia="en-GB"/>
        </w:rPr>
      </w:pPr>
      <w:r w:rsidRPr="00C8302B">
        <w:rPr>
          <w:rFonts w:cs="Arial"/>
          <w:color w:val="000000"/>
          <w:lang w:eastAsia="en-GB"/>
        </w:rPr>
        <w:lastRenderedPageBreak/>
        <w:t xml:space="preserve">Im November 2020 </w:t>
      </w:r>
      <w:r w:rsidRPr="00583398">
        <w:rPr>
          <w:rFonts w:cs="Arial"/>
          <w:color w:val="000000"/>
          <w:lang w:eastAsia="en-GB"/>
        </w:rPr>
        <w:t xml:space="preserve">wurde eine Tagung mit Sachverständigen für Obstpflanzen abgehalten, um unter anderem </w:t>
      </w:r>
      <w:r>
        <w:rPr>
          <w:rFonts w:cs="Arial"/>
          <w:color w:val="000000"/>
          <w:lang w:eastAsia="en-GB"/>
        </w:rPr>
        <w:t>folgende Angelegenheiten zu erörtern</w:t>
      </w:r>
      <w:r w:rsidRPr="00C8302B">
        <w:rPr>
          <w:rFonts w:cs="Arial"/>
          <w:color w:val="000000"/>
          <w:lang w:eastAsia="en-GB"/>
        </w:rPr>
        <w:t>:</w:t>
      </w:r>
    </w:p>
    <w:p w:rsidR="001F2153" w:rsidRPr="00C8302B" w:rsidRDefault="001F2153" w:rsidP="003B64F4">
      <w:pPr>
        <w:keepNext/>
        <w:autoSpaceDE w:val="0"/>
        <w:autoSpaceDN w:val="0"/>
        <w:adjustRightInd w:val="0"/>
        <w:contextualSpacing/>
        <w:rPr>
          <w:rFonts w:cs="Arial"/>
          <w:color w:val="000000"/>
          <w:lang w:eastAsia="en-GB"/>
        </w:rPr>
      </w:pPr>
    </w:p>
    <w:p w:rsidR="001F2153" w:rsidRPr="003B64F4" w:rsidRDefault="001F2153" w:rsidP="003B64F4">
      <w:pPr>
        <w:numPr>
          <w:ilvl w:val="0"/>
          <w:numId w:val="13"/>
        </w:numPr>
        <w:autoSpaceDE w:val="0"/>
        <w:autoSpaceDN w:val="0"/>
        <w:adjustRightInd w:val="0"/>
        <w:contextualSpacing/>
        <w:rPr>
          <w:rFonts w:cs="Arial"/>
        </w:rPr>
      </w:pPr>
      <w:r w:rsidRPr="00C8302B">
        <w:rPr>
          <w:rFonts w:cs="Arial"/>
        </w:rPr>
        <w:t xml:space="preserve">Prüfung von Apfelmutationsgruppen, </w:t>
      </w:r>
    </w:p>
    <w:p w:rsidR="001F2153" w:rsidRPr="003B64F4" w:rsidRDefault="001F2153" w:rsidP="003B64F4">
      <w:pPr>
        <w:numPr>
          <w:ilvl w:val="0"/>
          <w:numId w:val="13"/>
        </w:numPr>
        <w:autoSpaceDE w:val="0"/>
        <w:autoSpaceDN w:val="0"/>
        <w:adjustRightInd w:val="0"/>
        <w:contextualSpacing/>
        <w:rPr>
          <w:rFonts w:cs="Arial"/>
        </w:rPr>
      </w:pPr>
      <w:r w:rsidRPr="00C8302B">
        <w:rPr>
          <w:rFonts w:cs="Arial"/>
        </w:rPr>
        <w:t xml:space="preserve">technische Überprüfungen, </w:t>
      </w:r>
    </w:p>
    <w:p w:rsidR="001F2153" w:rsidRPr="003B64F4" w:rsidRDefault="001F2153" w:rsidP="003B64F4">
      <w:pPr>
        <w:numPr>
          <w:ilvl w:val="0"/>
          <w:numId w:val="13"/>
        </w:numPr>
        <w:autoSpaceDE w:val="0"/>
        <w:autoSpaceDN w:val="0"/>
        <w:adjustRightInd w:val="0"/>
        <w:contextualSpacing/>
        <w:rPr>
          <w:rFonts w:cs="Arial"/>
        </w:rPr>
      </w:pPr>
      <w:r w:rsidRPr="00C8302B">
        <w:rPr>
          <w:rFonts w:cs="Arial"/>
        </w:rPr>
        <w:t xml:space="preserve">Bestätigung des Eingangs von Pflanzenmaterial </w:t>
      </w:r>
      <w:r>
        <w:rPr>
          <w:rFonts w:cs="Arial"/>
        </w:rPr>
        <w:t>an</w:t>
      </w:r>
      <w:r w:rsidRPr="00C8302B">
        <w:rPr>
          <w:rFonts w:cs="Arial"/>
        </w:rPr>
        <w:t xml:space="preserve"> </w:t>
      </w:r>
      <w:r>
        <w:rPr>
          <w:rFonts w:cs="Arial"/>
        </w:rPr>
        <w:t>die</w:t>
      </w:r>
      <w:r w:rsidRPr="00C8302B">
        <w:rPr>
          <w:rFonts w:cs="Arial"/>
        </w:rPr>
        <w:t xml:space="preserve"> Antragsteller, </w:t>
      </w:r>
    </w:p>
    <w:p w:rsidR="001F2153" w:rsidRPr="003B64F4" w:rsidRDefault="001F2153" w:rsidP="003B64F4">
      <w:pPr>
        <w:numPr>
          <w:ilvl w:val="0"/>
          <w:numId w:val="13"/>
        </w:numPr>
        <w:autoSpaceDE w:val="0"/>
        <w:autoSpaceDN w:val="0"/>
        <w:adjustRightInd w:val="0"/>
        <w:contextualSpacing/>
        <w:rPr>
          <w:rFonts w:cs="Arial"/>
        </w:rPr>
      </w:pPr>
      <w:r>
        <w:rPr>
          <w:rFonts w:cs="Arial"/>
        </w:rPr>
        <w:t>Erhalt</w:t>
      </w:r>
      <w:r w:rsidRPr="00C8302B">
        <w:rPr>
          <w:rFonts w:cs="Arial"/>
        </w:rPr>
        <w:t xml:space="preserve"> von Vergleichssorten für die DUS-Prüfung, </w:t>
      </w:r>
    </w:p>
    <w:p w:rsidR="001F2153" w:rsidRPr="003B64F4" w:rsidRDefault="001F2153" w:rsidP="003B64F4">
      <w:pPr>
        <w:numPr>
          <w:ilvl w:val="0"/>
          <w:numId w:val="13"/>
        </w:numPr>
        <w:autoSpaceDE w:val="0"/>
        <w:autoSpaceDN w:val="0"/>
        <w:adjustRightInd w:val="0"/>
        <w:contextualSpacing/>
        <w:rPr>
          <w:rFonts w:cs="Arial"/>
        </w:rPr>
      </w:pPr>
      <w:r w:rsidRPr="003B64F4">
        <w:rPr>
          <w:rFonts w:cs="Arial"/>
        </w:rPr>
        <w:t>nur einmalige Erfassung bestimmter Merkmale bei mehrjährigen Prüfungen</w:t>
      </w:r>
      <w:r w:rsidRPr="00C8302B">
        <w:rPr>
          <w:rFonts w:cs="Arial"/>
        </w:rPr>
        <w:t xml:space="preserve">, </w:t>
      </w:r>
    </w:p>
    <w:p w:rsidR="001F2153" w:rsidRPr="003B64F4" w:rsidRDefault="001F2153" w:rsidP="003B64F4">
      <w:pPr>
        <w:numPr>
          <w:ilvl w:val="0"/>
          <w:numId w:val="13"/>
        </w:numPr>
        <w:autoSpaceDE w:val="0"/>
        <w:autoSpaceDN w:val="0"/>
        <w:adjustRightInd w:val="0"/>
        <w:contextualSpacing/>
        <w:rPr>
          <w:rFonts w:cs="Arial"/>
        </w:rPr>
      </w:pPr>
      <w:r w:rsidRPr="00C8302B">
        <w:rPr>
          <w:rFonts w:cs="Arial"/>
        </w:rPr>
        <w:t xml:space="preserve">Anzahl </w:t>
      </w:r>
      <w:r>
        <w:rPr>
          <w:rFonts w:cs="Arial"/>
        </w:rPr>
        <w:t>an</w:t>
      </w:r>
      <w:r w:rsidRPr="00C8302B">
        <w:rPr>
          <w:rFonts w:cs="Arial"/>
        </w:rPr>
        <w:t xml:space="preserve"> zu prüfenden Pflanzen der Vergleichssorten, </w:t>
      </w:r>
    </w:p>
    <w:p w:rsidR="001F2153" w:rsidRPr="003B64F4" w:rsidRDefault="001F2153" w:rsidP="003B64F4">
      <w:pPr>
        <w:numPr>
          <w:ilvl w:val="0"/>
          <w:numId w:val="13"/>
        </w:numPr>
        <w:autoSpaceDE w:val="0"/>
        <w:autoSpaceDN w:val="0"/>
        <w:adjustRightInd w:val="0"/>
        <w:contextualSpacing/>
        <w:rPr>
          <w:rFonts w:cs="Arial"/>
        </w:rPr>
      </w:pPr>
      <w:r w:rsidRPr="00C8302B">
        <w:rPr>
          <w:rFonts w:cs="Arial"/>
        </w:rPr>
        <w:t xml:space="preserve">Fragen </w:t>
      </w:r>
      <w:r>
        <w:rPr>
          <w:rFonts w:cs="Arial"/>
        </w:rPr>
        <w:t>zu</w:t>
      </w:r>
      <w:r w:rsidRPr="00C8302B">
        <w:rPr>
          <w:rFonts w:cs="Arial"/>
        </w:rPr>
        <w:t xml:space="preserve"> Pflanzengesundheit und Forschungs- und Entwicklungsprojekte.</w:t>
      </w:r>
    </w:p>
    <w:p w:rsidR="001F2153" w:rsidRPr="00C8302B" w:rsidRDefault="001F2153" w:rsidP="001F2153">
      <w:pPr>
        <w:autoSpaceDE w:val="0"/>
        <w:autoSpaceDN w:val="0"/>
        <w:adjustRightInd w:val="0"/>
        <w:contextualSpacing/>
        <w:rPr>
          <w:rFonts w:cs="Arial"/>
          <w:color w:val="000000"/>
          <w:lang w:eastAsia="en-GB"/>
        </w:rPr>
      </w:pPr>
    </w:p>
    <w:p w:rsidR="001F2153" w:rsidRPr="00C8302B" w:rsidRDefault="001F2153" w:rsidP="001F2153">
      <w:pPr>
        <w:autoSpaceDE w:val="0"/>
        <w:autoSpaceDN w:val="0"/>
        <w:adjustRightInd w:val="0"/>
        <w:contextualSpacing/>
        <w:rPr>
          <w:rFonts w:cs="Arial"/>
          <w:color w:val="000000"/>
          <w:lang w:eastAsia="en-GB"/>
        </w:rPr>
      </w:pPr>
      <w:r w:rsidRPr="00C8302B">
        <w:rPr>
          <w:rFonts w:cs="Arial"/>
          <w:color w:val="000000"/>
          <w:lang w:eastAsia="en-GB"/>
        </w:rPr>
        <w:t xml:space="preserve">Am 8. und 9. Oktober 2020 </w:t>
      </w:r>
      <w:r w:rsidRPr="001D4013">
        <w:rPr>
          <w:rFonts w:cs="Arial"/>
          <w:color w:val="000000"/>
          <w:lang w:eastAsia="en-GB"/>
        </w:rPr>
        <w:t xml:space="preserve">wurde eine Tagung mit Sachverständigen für Zierarten abgehalten, um unter anderem </w:t>
      </w:r>
      <w:r>
        <w:rPr>
          <w:rFonts w:cs="Arial"/>
          <w:color w:val="000000"/>
          <w:lang w:eastAsia="en-GB"/>
        </w:rPr>
        <w:t>folgende Angelegenheiten zu erörtern</w:t>
      </w:r>
      <w:r w:rsidRPr="00C8302B">
        <w:rPr>
          <w:rFonts w:cs="Arial"/>
          <w:color w:val="000000"/>
          <w:lang w:eastAsia="en-GB"/>
        </w:rPr>
        <w:t>:</w:t>
      </w:r>
    </w:p>
    <w:p w:rsidR="001F2153" w:rsidRPr="00C8302B" w:rsidRDefault="001F2153" w:rsidP="001F2153">
      <w:pPr>
        <w:autoSpaceDE w:val="0"/>
        <w:autoSpaceDN w:val="0"/>
        <w:adjustRightInd w:val="0"/>
        <w:contextualSpacing/>
        <w:rPr>
          <w:rFonts w:cs="Arial"/>
          <w:color w:val="000000"/>
          <w:lang w:eastAsia="en-GB"/>
        </w:rPr>
      </w:pPr>
    </w:p>
    <w:p w:rsidR="001F2153" w:rsidRPr="00C8302B" w:rsidRDefault="001F2153" w:rsidP="001F2153">
      <w:pPr>
        <w:numPr>
          <w:ilvl w:val="0"/>
          <w:numId w:val="16"/>
        </w:numPr>
        <w:autoSpaceDE w:val="0"/>
        <w:autoSpaceDN w:val="0"/>
        <w:adjustRightInd w:val="0"/>
        <w:ind w:left="709"/>
        <w:contextualSpacing/>
        <w:jc w:val="left"/>
        <w:rPr>
          <w:rFonts w:cs="Arial"/>
          <w:color w:val="000000"/>
          <w:lang w:eastAsia="en-GB"/>
        </w:rPr>
      </w:pPr>
      <w:r w:rsidRPr="00C8302B">
        <w:rPr>
          <w:rFonts w:cs="Arial"/>
        </w:rPr>
        <w:t xml:space="preserve">Anzahl </w:t>
      </w:r>
      <w:r>
        <w:rPr>
          <w:rFonts w:cs="Arial"/>
        </w:rPr>
        <w:t>an</w:t>
      </w:r>
      <w:r w:rsidRPr="00C8302B">
        <w:rPr>
          <w:rFonts w:cs="Arial"/>
        </w:rPr>
        <w:t xml:space="preserve"> Pflanzen von Vergleichssorten,</w:t>
      </w:r>
    </w:p>
    <w:p w:rsidR="001F2153" w:rsidRPr="00C8302B" w:rsidRDefault="001F2153" w:rsidP="001F2153">
      <w:pPr>
        <w:numPr>
          <w:ilvl w:val="0"/>
          <w:numId w:val="18"/>
        </w:numPr>
        <w:autoSpaceDE w:val="0"/>
        <w:autoSpaceDN w:val="0"/>
        <w:adjustRightInd w:val="0"/>
        <w:contextualSpacing/>
        <w:jc w:val="left"/>
        <w:rPr>
          <w:rFonts w:cs="Arial"/>
        </w:rPr>
      </w:pPr>
      <w:r w:rsidRPr="00C8302B">
        <w:rPr>
          <w:rFonts w:cs="Arial"/>
        </w:rPr>
        <w:t xml:space="preserve">Merkmale, die nur einmal während der mehrjährigen Prüfung </w:t>
      </w:r>
      <w:r>
        <w:rPr>
          <w:rFonts w:cs="Arial"/>
        </w:rPr>
        <w:t>erfasst</w:t>
      </w:r>
      <w:r w:rsidRPr="00C8302B">
        <w:rPr>
          <w:rFonts w:cs="Arial"/>
        </w:rPr>
        <w:t xml:space="preserve"> wurden,</w:t>
      </w:r>
    </w:p>
    <w:p w:rsidR="001F2153" w:rsidRPr="00C8302B" w:rsidRDefault="001F2153" w:rsidP="001F2153">
      <w:pPr>
        <w:numPr>
          <w:ilvl w:val="0"/>
          <w:numId w:val="18"/>
        </w:numPr>
        <w:autoSpaceDE w:val="0"/>
        <w:autoSpaceDN w:val="0"/>
        <w:adjustRightInd w:val="0"/>
        <w:contextualSpacing/>
        <w:jc w:val="left"/>
        <w:rPr>
          <w:rFonts w:cs="Arial"/>
        </w:rPr>
      </w:pPr>
      <w:r w:rsidRPr="00C8302B">
        <w:rPr>
          <w:rFonts w:cs="Arial"/>
        </w:rPr>
        <w:t>Annahme und Veröffentlichung nationale</w:t>
      </w:r>
      <w:r>
        <w:rPr>
          <w:rFonts w:cs="Arial"/>
        </w:rPr>
        <w:t>r</w:t>
      </w:r>
      <w:r w:rsidRPr="00C8302B">
        <w:rPr>
          <w:rFonts w:cs="Arial"/>
        </w:rPr>
        <w:t xml:space="preserve"> Protokolle</w:t>
      </w:r>
      <w:r>
        <w:rPr>
          <w:rFonts w:cs="Arial"/>
        </w:rPr>
        <w:t xml:space="preserve"> - Verfahren</w:t>
      </w:r>
      <w:r w:rsidRPr="00C8302B">
        <w:rPr>
          <w:rFonts w:cs="Arial"/>
        </w:rPr>
        <w:t xml:space="preserve"> wird </w:t>
      </w:r>
      <w:r>
        <w:rPr>
          <w:rFonts w:cs="Arial"/>
        </w:rPr>
        <w:t>derzeit erörtert</w:t>
      </w:r>
      <w:r w:rsidRPr="00C8302B">
        <w:rPr>
          <w:rFonts w:cs="Arial"/>
        </w:rPr>
        <w:t>,</w:t>
      </w:r>
    </w:p>
    <w:p w:rsidR="001F2153" w:rsidRPr="00C8302B" w:rsidRDefault="001F2153" w:rsidP="001F2153">
      <w:pPr>
        <w:numPr>
          <w:ilvl w:val="0"/>
          <w:numId w:val="18"/>
        </w:numPr>
        <w:autoSpaceDE w:val="0"/>
        <w:autoSpaceDN w:val="0"/>
        <w:adjustRightInd w:val="0"/>
        <w:contextualSpacing/>
        <w:jc w:val="left"/>
        <w:rPr>
          <w:rFonts w:cs="Arial"/>
        </w:rPr>
      </w:pPr>
      <w:r w:rsidRPr="00C8302B">
        <w:rPr>
          <w:rFonts w:cs="Arial"/>
        </w:rPr>
        <w:t>Interpretation der MS/MG-</w:t>
      </w:r>
      <w:r>
        <w:rPr>
          <w:rFonts w:cs="Arial"/>
        </w:rPr>
        <w:t>Verfahren</w:t>
      </w:r>
      <w:r w:rsidRPr="00C8302B">
        <w:rPr>
          <w:rFonts w:cs="Arial"/>
        </w:rPr>
        <w:t xml:space="preserve"> und mögliche Auswirkungen auf die </w:t>
      </w:r>
      <w:r w:rsidRPr="0003161A">
        <w:rPr>
          <w:rFonts w:cs="Arial"/>
        </w:rPr>
        <w:t>Entscheidung über die Unterscheidbarkeit</w:t>
      </w:r>
      <w:r w:rsidRPr="00C8302B">
        <w:rPr>
          <w:rFonts w:cs="Arial"/>
        </w:rPr>
        <w:t>,</w:t>
      </w:r>
    </w:p>
    <w:p w:rsidR="001F2153" w:rsidRPr="00C8302B" w:rsidRDefault="001F2153" w:rsidP="001F2153">
      <w:pPr>
        <w:numPr>
          <w:ilvl w:val="0"/>
          <w:numId w:val="18"/>
        </w:numPr>
        <w:autoSpaceDE w:val="0"/>
        <w:autoSpaceDN w:val="0"/>
        <w:adjustRightInd w:val="0"/>
        <w:contextualSpacing/>
        <w:jc w:val="left"/>
        <w:rPr>
          <w:rFonts w:cs="Arial"/>
        </w:rPr>
      </w:pPr>
      <w:r>
        <w:rPr>
          <w:rFonts w:cs="Arial"/>
        </w:rPr>
        <w:t>m</w:t>
      </w:r>
      <w:r w:rsidRPr="00C8302B">
        <w:rPr>
          <w:rFonts w:cs="Arial"/>
        </w:rPr>
        <w:t xml:space="preserve">ögliche </w:t>
      </w:r>
      <w:r>
        <w:rPr>
          <w:rFonts w:cs="Arial"/>
        </w:rPr>
        <w:t>Prüfung</w:t>
      </w:r>
      <w:r w:rsidRPr="00C8302B">
        <w:rPr>
          <w:rFonts w:cs="Arial"/>
        </w:rPr>
        <w:t xml:space="preserve"> von Krankheitsresistenzen in CPVO-Protokollen für Zierpflanzen,</w:t>
      </w:r>
    </w:p>
    <w:p w:rsidR="001F2153" w:rsidRPr="00C8302B" w:rsidRDefault="001F2153" w:rsidP="001F2153">
      <w:pPr>
        <w:numPr>
          <w:ilvl w:val="0"/>
          <w:numId w:val="18"/>
        </w:numPr>
        <w:autoSpaceDE w:val="0"/>
        <w:autoSpaceDN w:val="0"/>
        <w:adjustRightInd w:val="0"/>
        <w:contextualSpacing/>
        <w:jc w:val="left"/>
        <w:rPr>
          <w:rFonts w:cs="Arial"/>
        </w:rPr>
      </w:pPr>
      <w:r>
        <w:rPr>
          <w:rFonts w:cs="Arial"/>
        </w:rPr>
        <w:t>Erhalt</w:t>
      </w:r>
      <w:r w:rsidRPr="00C8302B">
        <w:rPr>
          <w:rFonts w:cs="Arial"/>
        </w:rPr>
        <w:t xml:space="preserve"> von Vergleichssorten für die DUS-Prüfung - neue </w:t>
      </w:r>
      <w:r>
        <w:rPr>
          <w:rFonts w:cs="Arial"/>
        </w:rPr>
        <w:t>Musterv</w:t>
      </w:r>
      <w:r w:rsidRPr="00C8302B">
        <w:rPr>
          <w:rFonts w:cs="Arial"/>
        </w:rPr>
        <w:t>orlage,</w:t>
      </w:r>
    </w:p>
    <w:p w:rsidR="001F2153" w:rsidRPr="00C8302B" w:rsidRDefault="001F2153" w:rsidP="001F2153">
      <w:pPr>
        <w:numPr>
          <w:ilvl w:val="0"/>
          <w:numId w:val="18"/>
        </w:numPr>
        <w:autoSpaceDE w:val="0"/>
        <w:autoSpaceDN w:val="0"/>
        <w:adjustRightInd w:val="0"/>
        <w:contextualSpacing/>
        <w:jc w:val="left"/>
        <w:rPr>
          <w:rFonts w:cs="Arial"/>
        </w:rPr>
      </w:pPr>
      <w:r>
        <w:rPr>
          <w:rFonts w:cs="Arial"/>
        </w:rPr>
        <w:t>z</w:t>
      </w:r>
      <w:r w:rsidRPr="00C8302B">
        <w:rPr>
          <w:rFonts w:cs="Arial"/>
        </w:rPr>
        <w:t xml:space="preserve">usätzliche Vermehrungsschritt für einige </w:t>
      </w:r>
      <w:r>
        <w:rPr>
          <w:rFonts w:cs="Arial"/>
        </w:rPr>
        <w:t>Pflanzen</w:t>
      </w:r>
      <w:r w:rsidRPr="00C8302B">
        <w:rPr>
          <w:rFonts w:cs="Arial"/>
        </w:rPr>
        <w:t xml:space="preserve"> - Erfahrungsaustausch,</w:t>
      </w:r>
    </w:p>
    <w:p w:rsidR="001F2153" w:rsidRPr="00C8302B" w:rsidRDefault="001F2153" w:rsidP="001F2153">
      <w:pPr>
        <w:numPr>
          <w:ilvl w:val="0"/>
          <w:numId w:val="18"/>
        </w:numPr>
        <w:autoSpaceDE w:val="0"/>
        <w:autoSpaceDN w:val="0"/>
        <w:adjustRightInd w:val="0"/>
        <w:contextualSpacing/>
        <w:jc w:val="left"/>
        <w:rPr>
          <w:rFonts w:cs="Arial"/>
        </w:rPr>
      </w:pPr>
      <w:r w:rsidRPr="00C8302B">
        <w:rPr>
          <w:rFonts w:cs="Arial"/>
        </w:rPr>
        <w:t xml:space="preserve">Rückmeldungen von </w:t>
      </w:r>
      <w:r>
        <w:rPr>
          <w:rFonts w:cs="Arial"/>
        </w:rPr>
        <w:t>Prüfungsämtern</w:t>
      </w:r>
      <w:r w:rsidRPr="00C8302B">
        <w:rPr>
          <w:rFonts w:cs="Arial"/>
        </w:rPr>
        <w:t xml:space="preserve"> in Bezug auf den Pflanzenpass/das Pflanzengesundheitsze</w:t>
      </w:r>
      <w:r>
        <w:rPr>
          <w:rFonts w:cs="Arial"/>
        </w:rPr>
        <w:t>rtifikat</w:t>
      </w:r>
      <w:r w:rsidRPr="00C8302B">
        <w:rPr>
          <w:rFonts w:cs="Arial"/>
        </w:rPr>
        <w:t>.</w:t>
      </w:r>
    </w:p>
    <w:p w:rsidR="001F2153" w:rsidRPr="00C8302B" w:rsidRDefault="001F2153" w:rsidP="001F2153">
      <w:pPr>
        <w:contextualSpacing/>
        <w:rPr>
          <w:rFonts w:cs="Arial"/>
          <w:u w:val="single"/>
        </w:rPr>
      </w:pPr>
    </w:p>
    <w:p w:rsidR="001F2153" w:rsidRPr="00E26B95" w:rsidRDefault="001F2153" w:rsidP="001F2153">
      <w:pPr>
        <w:contextualSpacing/>
        <w:rPr>
          <w:rFonts w:cs="Arial"/>
          <w:u w:val="single"/>
        </w:rPr>
      </w:pPr>
      <w:r w:rsidRPr="00E26B95">
        <w:rPr>
          <w:rFonts w:cs="Arial"/>
          <w:u w:val="single"/>
        </w:rPr>
        <w:t xml:space="preserve">4.3 Qualitäts-Audit-Service </w:t>
      </w:r>
    </w:p>
    <w:p w:rsidR="001F2153" w:rsidRPr="00E26B95" w:rsidRDefault="001F2153" w:rsidP="001F2153">
      <w:pPr>
        <w:contextualSpacing/>
        <w:rPr>
          <w:rFonts w:cs="Arial"/>
          <w:u w:val="single"/>
        </w:rPr>
      </w:pPr>
    </w:p>
    <w:p w:rsidR="001F2153" w:rsidRPr="00C8302B" w:rsidRDefault="001F2153" w:rsidP="001F2153">
      <w:pPr>
        <w:contextualSpacing/>
        <w:rPr>
          <w:rFonts w:cs="Arial"/>
        </w:rPr>
      </w:pPr>
      <w:r w:rsidRPr="00E26B95">
        <w:rPr>
          <w:rFonts w:cs="Arial"/>
        </w:rPr>
        <w:t xml:space="preserve">Der </w:t>
      </w:r>
      <w:r w:rsidRPr="005E5CE1">
        <w:rPr>
          <w:rFonts w:cs="Arial"/>
        </w:rPr>
        <w:t>Qualitäts-</w:t>
      </w:r>
      <w:r w:rsidRPr="00E26B95">
        <w:rPr>
          <w:rFonts w:cs="Arial"/>
        </w:rPr>
        <w:t>Audit-Service</w:t>
      </w:r>
      <w:r w:rsidRPr="00C8302B">
        <w:rPr>
          <w:rFonts w:cs="Arial"/>
        </w:rPr>
        <w:t xml:space="preserve"> </w:t>
      </w:r>
      <w:r w:rsidRPr="00C8302B">
        <w:rPr>
          <w:rFonts w:cs="Arial"/>
          <w:u w:val="single"/>
        </w:rPr>
        <w:t>(QAS)</w:t>
      </w:r>
      <w:r w:rsidRPr="00DC6AD2">
        <w:rPr>
          <w:rFonts w:cs="Arial"/>
        </w:rPr>
        <w:t xml:space="preserve"> </w:t>
      </w:r>
      <w:r w:rsidRPr="00C8302B">
        <w:rPr>
          <w:rFonts w:cs="Arial"/>
        </w:rPr>
        <w:t>war von der Covid-19-Pandemie stark betroffen und musste seine Arbeitsmethod</w:t>
      </w:r>
      <w:r>
        <w:rPr>
          <w:rFonts w:cs="Arial"/>
        </w:rPr>
        <w:t>e</w:t>
      </w:r>
      <w:r w:rsidRPr="00C8302B">
        <w:rPr>
          <w:rFonts w:cs="Arial"/>
        </w:rPr>
        <w:t xml:space="preserve"> und den Zeitplan für die </w:t>
      </w:r>
      <w:r>
        <w:rPr>
          <w:rFonts w:cs="Arial"/>
        </w:rPr>
        <w:t>Beurteilung</w:t>
      </w:r>
      <w:r w:rsidRPr="0042340B">
        <w:rPr>
          <w:rFonts w:cs="Arial"/>
        </w:rPr>
        <w:t xml:space="preserve"> </w:t>
      </w:r>
      <w:r>
        <w:rPr>
          <w:rFonts w:cs="Arial"/>
        </w:rPr>
        <w:t>der</w:t>
      </w:r>
      <w:r w:rsidRPr="0042340B">
        <w:rPr>
          <w:rFonts w:cs="Arial"/>
        </w:rPr>
        <w:t xml:space="preserve"> beauftragte</w:t>
      </w:r>
      <w:r>
        <w:rPr>
          <w:rFonts w:cs="Arial"/>
        </w:rPr>
        <w:t>n</w:t>
      </w:r>
      <w:r w:rsidRPr="0042340B">
        <w:rPr>
          <w:rFonts w:cs="Arial"/>
        </w:rPr>
        <w:t xml:space="preserve"> EU-Prüfungsämter</w:t>
      </w:r>
      <w:r w:rsidRPr="00C8302B">
        <w:rPr>
          <w:rFonts w:cs="Arial"/>
        </w:rPr>
        <w:t xml:space="preserve"> entsprechend anpassen. Während für das gesamte Jahr 2020 neun </w:t>
      </w:r>
      <w:r>
        <w:rPr>
          <w:rFonts w:cs="Arial"/>
        </w:rPr>
        <w:t>Beurteilungsverfahren</w:t>
      </w:r>
      <w:r w:rsidRPr="00C8302B">
        <w:rPr>
          <w:rFonts w:cs="Arial"/>
        </w:rPr>
        <w:t xml:space="preserve"> </w:t>
      </w:r>
      <w:r>
        <w:rPr>
          <w:rFonts w:cs="Arial"/>
        </w:rPr>
        <w:t>vorgesehen</w:t>
      </w:r>
      <w:r w:rsidRPr="00C8302B">
        <w:rPr>
          <w:rFonts w:cs="Arial"/>
        </w:rPr>
        <w:t xml:space="preserve"> waren, konnten im September 2020 nur zwei davon durchgeführt werden. In Anbetracht dieser Umstände </w:t>
      </w:r>
      <w:r>
        <w:rPr>
          <w:rFonts w:cs="Arial"/>
        </w:rPr>
        <w:t>vereinbarte</w:t>
      </w:r>
      <w:r w:rsidRPr="00C8302B">
        <w:rPr>
          <w:rFonts w:cs="Arial"/>
        </w:rPr>
        <w:t xml:space="preserve"> der Verwaltungsrat des CPVO im September 2020, den aktuellen QAS-</w:t>
      </w:r>
      <w:r>
        <w:rPr>
          <w:rFonts w:cs="Arial"/>
        </w:rPr>
        <w:t>Beurteilung</w:t>
      </w:r>
      <w:r w:rsidRPr="00C8302B">
        <w:rPr>
          <w:rFonts w:cs="Arial"/>
        </w:rPr>
        <w:t xml:space="preserve">szyklus um ein Jahr bis Ende 2022 zu verlängern. Da die Covid-19-Pandemie bis ins Jahr 2021 andauerte und </w:t>
      </w:r>
      <w:r w:rsidRPr="0042340B">
        <w:rPr>
          <w:rFonts w:cs="Arial"/>
        </w:rPr>
        <w:t xml:space="preserve">Reisebeschränkungen mit sich brachte, entwickelte QAS einen „Plan B“ für die Durchführung virtueller </w:t>
      </w:r>
      <w:r>
        <w:rPr>
          <w:rFonts w:cs="Arial"/>
        </w:rPr>
        <w:t>Beurteilungsverfahren</w:t>
      </w:r>
      <w:r w:rsidRPr="0042340B">
        <w:rPr>
          <w:rFonts w:cs="Arial"/>
        </w:rPr>
        <w:t xml:space="preserve"> </w:t>
      </w:r>
      <w:r>
        <w:rPr>
          <w:rFonts w:cs="Arial"/>
        </w:rPr>
        <w:t>von</w:t>
      </w:r>
      <w:r w:rsidRPr="0042340B">
        <w:rPr>
          <w:rFonts w:cs="Arial"/>
        </w:rPr>
        <w:t xml:space="preserve"> Prüfungsämtern über Telekonferenzen.</w:t>
      </w:r>
      <w:r w:rsidRPr="00C8302B">
        <w:rPr>
          <w:rFonts w:cs="Arial"/>
        </w:rPr>
        <w:t xml:space="preserve"> In der </w:t>
      </w:r>
      <w:r w:rsidRPr="00C13E78">
        <w:rPr>
          <w:rFonts w:cs="Arial"/>
        </w:rPr>
        <w:t>ersten Hälfte des Jahres</w:t>
      </w:r>
      <w:r w:rsidRPr="00C8302B">
        <w:rPr>
          <w:rFonts w:cs="Arial"/>
        </w:rPr>
        <w:t xml:space="preserve"> 2021 führte </w:t>
      </w:r>
      <w:r>
        <w:rPr>
          <w:rFonts w:cs="Arial"/>
        </w:rPr>
        <w:t xml:space="preserve">der </w:t>
      </w:r>
      <w:r w:rsidRPr="00C8302B">
        <w:rPr>
          <w:rFonts w:cs="Arial"/>
        </w:rPr>
        <w:t xml:space="preserve">QAS vier virtuelle </w:t>
      </w:r>
      <w:r>
        <w:rPr>
          <w:rFonts w:cs="Arial"/>
        </w:rPr>
        <w:t>Beurteilungsverfahren</w:t>
      </w:r>
      <w:r w:rsidRPr="00C8302B">
        <w:rPr>
          <w:rFonts w:cs="Arial"/>
        </w:rPr>
        <w:t xml:space="preserve"> durch und sobald das Impfprogramm in der EU zusammen mit dem digitalen Covid-Zertifikat der EU umgesetzt war, konnte</w:t>
      </w:r>
      <w:r>
        <w:rPr>
          <w:rFonts w:cs="Arial"/>
        </w:rPr>
        <w:t xml:space="preserve"> der</w:t>
      </w:r>
      <w:r w:rsidRPr="00C8302B">
        <w:rPr>
          <w:rFonts w:cs="Arial"/>
        </w:rPr>
        <w:t xml:space="preserve"> QAS drei </w:t>
      </w:r>
      <w:r>
        <w:rPr>
          <w:rFonts w:cs="Arial"/>
        </w:rPr>
        <w:t>Beurteilungsverfahren vor Ort</w:t>
      </w:r>
      <w:r w:rsidRPr="00C8302B">
        <w:rPr>
          <w:rFonts w:cs="Arial"/>
        </w:rPr>
        <w:t xml:space="preserve"> </w:t>
      </w:r>
      <w:r>
        <w:rPr>
          <w:rFonts w:cs="Arial"/>
        </w:rPr>
        <w:t>in</w:t>
      </w:r>
      <w:r w:rsidRPr="004234AD">
        <w:rPr>
          <w:rFonts w:cs="Arial"/>
        </w:rPr>
        <w:t xml:space="preserve"> Prüfungsämter</w:t>
      </w:r>
      <w:r>
        <w:rPr>
          <w:rFonts w:cs="Arial"/>
        </w:rPr>
        <w:t>n</w:t>
      </w:r>
      <w:r w:rsidRPr="00C8302B">
        <w:rPr>
          <w:rFonts w:cs="Arial"/>
        </w:rPr>
        <w:t xml:space="preserve"> durchführen. Die Umsetzung des Plans B für virtuelle </w:t>
      </w:r>
      <w:r>
        <w:rPr>
          <w:rFonts w:cs="Arial"/>
        </w:rPr>
        <w:t>Beurteilungen</w:t>
      </w:r>
      <w:r w:rsidRPr="00C8302B">
        <w:rPr>
          <w:rFonts w:cs="Arial"/>
        </w:rPr>
        <w:t xml:space="preserve"> zusammen mit den regelmäßigen </w:t>
      </w:r>
      <w:r>
        <w:rPr>
          <w:rFonts w:cs="Arial"/>
        </w:rPr>
        <w:t xml:space="preserve">Beurteilungen vor Ort </w:t>
      </w:r>
      <w:r w:rsidRPr="00C8302B">
        <w:rPr>
          <w:rFonts w:cs="Arial"/>
        </w:rPr>
        <w:t xml:space="preserve">bedeutet, dass </w:t>
      </w:r>
      <w:r>
        <w:rPr>
          <w:rFonts w:cs="Arial"/>
        </w:rPr>
        <w:t xml:space="preserve">der </w:t>
      </w:r>
      <w:r w:rsidRPr="00C8302B">
        <w:rPr>
          <w:rFonts w:cs="Arial"/>
        </w:rPr>
        <w:t xml:space="preserve">QAS </w:t>
      </w:r>
      <w:r>
        <w:rPr>
          <w:rFonts w:cs="Arial"/>
        </w:rPr>
        <w:t>voraussichtlich</w:t>
      </w:r>
      <w:r w:rsidRPr="00C8302B">
        <w:rPr>
          <w:rFonts w:cs="Arial"/>
        </w:rPr>
        <w:t xml:space="preserve"> alle </w:t>
      </w:r>
      <w:r>
        <w:rPr>
          <w:rFonts w:cs="Arial"/>
        </w:rPr>
        <w:t>vorgesehen</w:t>
      </w:r>
      <w:r w:rsidRPr="00C8302B">
        <w:rPr>
          <w:rFonts w:cs="Arial"/>
        </w:rPr>
        <w:t xml:space="preserve">en </w:t>
      </w:r>
      <w:r>
        <w:rPr>
          <w:rFonts w:cs="Arial"/>
        </w:rPr>
        <w:t>Beurteilungsverfahren</w:t>
      </w:r>
      <w:r w:rsidRPr="00C8302B">
        <w:rPr>
          <w:rFonts w:cs="Arial"/>
        </w:rPr>
        <w:t xml:space="preserve"> für 2021 abschließen</w:t>
      </w:r>
      <w:r>
        <w:rPr>
          <w:rFonts w:cs="Arial"/>
        </w:rPr>
        <w:t xml:space="preserve"> kann</w:t>
      </w:r>
      <w:r w:rsidRPr="00C8302B">
        <w:rPr>
          <w:rFonts w:cs="Arial"/>
        </w:rPr>
        <w:t>.</w:t>
      </w:r>
    </w:p>
    <w:p w:rsidR="001F2153" w:rsidRPr="00C8302B" w:rsidRDefault="001F2153" w:rsidP="001F2153">
      <w:pPr>
        <w:autoSpaceDE w:val="0"/>
        <w:autoSpaceDN w:val="0"/>
        <w:adjustRightInd w:val="0"/>
        <w:contextualSpacing/>
        <w:rPr>
          <w:rFonts w:cs="Arial"/>
        </w:rPr>
      </w:pPr>
    </w:p>
    <w:p w:rsidR="001F2153" w:rsidRPr="00C8302B" w:rsidRDefault="001F2153" w:rsidP="001F2153">
      <w:pPr>
        <w:autoSpaceDE w:val="0"/>
        <w:autoSpaceDN w:val="0"/>
        <w:adjustRightInd w:val="0"/>
        <w:contextualSpacing/>
        <w:rPr>
          <w:rFonts w:cs="Arial"/>
        </w:rPr>
      </w:pPr>
      <w:r w:rsidRPr="00C8302B">
        <w:rPr>
          <w:rFonts w:cs="Arial"/>
        </w:rPr>
        <w:t>In der ersten Hälfte des Jahres 2021 wurde mit de</w:t>
      </w:r>
      <w:r>
        <w:rPr>
          <w:rFonts w:cs="Arial"/>
        </w:rPr>
        <w:t>m</w:t>
      </w:r>
      <w:r w:rsidRPr="00C8302B">
        <w:rPr>
          <w:rFonts w:cs="Arial"/>
        </w:rPr>
        <w:t xml:space="preserve"> Überarbeitung</w:t>
      </w:r>
      <w:r>
        <w:rPr>
          <w:rFonts w:cs="Arial"/>
        </w:rPr>
        <w:t>sprozess</w:t>
      </w:r>
      <w:r w:rsidRPr="00C8302B">
        <w:rPr>
          <w:rFonts w:cs="Arial"/>
        </w:rPr>
        <w:t xml:space="preserve"> der </w:t>
      </w:r>
      <w:r>
        <w:rPr>
          <w:rFonts w:cs="Arial"/>
        </w:rPr>
        <w:t>A</w:t>
      </w:r>
      <w:r w:rsidRPr="007C5EE2">
        <w:rPr>
          <w:rFonts w:cs="Arial"/>
        </w:rPr>
        <w:t>nforderungen</w:t>
      </w:r>
      <w:r>
        <w:rPr>
          <w:rFonts w:cs="Arial"/>
        </w:rPr>
        <w:t xml:space="preserve"> des CPVO</w:t>
      </w:r>
      <w:r w:rsidRPr="00C8302B">
        <w:rPr>
          <w:rFonts w:cs="Arial"/>
        </w:rPr>
        <w:t xml:space="preserve"> </w:t>
      </w:r>
      <w:r>
        <w:rPr>
          <w:rFonts w:cs="Arial"/>
        </w:rPr>
        <w:t>für die Beauftragung</w:t>
      </w:r>
      <w:r w:rsidRPr="00C8302B">
        <w:rPr>
          <w:rFonts w:cs="Arial"/>
        </w:rPr>
        <w:t xml:space="preserve"> </w:t>
      </w:r>
      <w:r>
        <w:rPr>
          <w:rFonts w:cs="Arial"/>
        </w:rPr>
        <w:t>von</w:t>
      </w:r>
      <w:r w:rsidRPr="00C8302B">
        <w:rPr>
          <w:rFonts w:cs="Arial"/>
        </w:rPr>
        <w:t xml:space="preserve"> Prüfungsämter</w:t>
      </w:r>
      <w:r>
        <w:rPr>
          <w:rFonts w:cs="Arial"/>
        </w:rPr>
        <w:t xml:space="preserve">n </w:t>
      </w:r>
      <w:r w:rsidRPr="00C8302B">
        <w:rPr>
          <w:rFonts w:cs="Arial"/>
        </w:rPr>
        <w:t xml:space="preserve">begonnen, z.B. </w:t>
      </w:r>
      <w:r>
        <w:rPr>
          <w:rFonts w:cs="Arial"/>
        </w:rPr>
        <w:t>betreffend</w:t>
      </w:r>
      <w:r w:rsidRPr="00C8302B">
        <w:rPr>
          <w:rFonts w:cs="Arial"/>
        </w:rPr>
        <w:t xml:space="preserve"> die Organisation und das Verfahren für die DUS-Prüfung. </w:t>
      </w:r>
      <w:r>
        <w:rPr>
          <w:rFonts w:cs="Arial"/>
        </w:rPr>
        <w:t>Er</w:t>
      </w:r>
      <w:r w:rsidRPr="00C8302B">
        <w:rPr>
          <w:rFonts w:cs="Arial"/>
        </w:rPr>
        <w:t xml:space="preserve"> wird in Absprache mit den Interessengruppen (beauftragte Prüfungsämter, Züchterorganisationen und technische Sachverständige des QAS) durchgeführt, um Entwicklungen und Verbesserungen bei der DUS-Prüfung zu berücksichtigen. Der Überarbeitungsprozess </w:t>
      </w:r>
      <w:r>
        <w:rPr>
          <w:rFonts w:cs="Arial"/>
        </w:rPr>
        <w:t>wird voraussichtlich</w:t>
      </w:r>
      <w:r w:rsidRPr="00C8302B">
        <w:rPr>
          <w:rFonts w:cs="Arial"/>
        </w:rPr>
        <w:t xml:space="preserve"> Ende 2021 abgeschlossen </w:t>
      </w:r>
      <w:r>
        <w:rPr>
          <w:rFonts w:cs="Arial"/>
        </w:rPr>
        <w:t>sein, um</w:t>
      </w:r>
      <w:r w:rsidRPr="00C8302B">
        <w:rPr>
          <w:rFonts w:cs="Arial"/>
        </w:rPr>
        <w:t xml:space="preserve"> vom Verwaltungsrat im März/April 2022 genehmigt </w:t>
      </w:r>
      <w:r>
        <w:rPr>
          <w:rFonts w:cs="Arial"/>
        </w:rPr>
        <w:t xml:space="preserve">zu </w:t>
      </w:r>
      <w:r w:rsidRPr="00C8302B">
        <w:rPr>
          <w:rFonts w:cs="Arial"/>
        </w:rPr>
        <w:t xml:space="preserve">werden. </w:t>
      </w:r>
    </w:p>
    <w:p w:rsidR="001F2153" w:rsidRPr="00C8302B" w:rsidRDefault="001F2153" w:rsidP="001F2153">
      <w:pPr>
        <w:autoSpaceDE w:val="0"/>
        <w:autoSpaceDN w:val="0"/>
        <w:adjustRightInd w:val="0"/>
        <w:contextualSpacing/>
        <w:rPr>
          <w:rFonts w:cs="Arial"/>
        </w:rPr>
      </w:pPr>
    </w:p>
    <w:p w:rsidR="001F2153" w:rsidRPr="00C8302B" w:rsidRDefault="001F2153" w:rsidP="001F2153">
      <w:pPr>
        <w:autoSpaceDE w:val="0"/>
        <w:autoSpaceDN w:val="0"/>
        <w:adjustRightInd w:val="0"/>
        <w:contextualSpacing/>
        <w:rPr>
          <w:rFonts w:cs="Arial"/>
        </w:rPr>
      </w:pPr>
      <w:r w:rsidRPr="00572251">
        <w:rPr>
          <w:rFonts w:cs="Arial"/>
        </w:rPr>
        <w:t>In der zweiten Hälfte des Jahres 2020 und in der ersten Hälfte des Jahres 2021 wurden vo</w:t>
      </w:r>
      <w:r>
        <w:rPr>
          <w:rFonts w:cs="Arial"/>
        </w:rPr>
        <w:t>m</w:t>
      </w:r>
      <w:r w:rsidRPr="00572251">
        <w:rPr>
          <w:rFonts w:cs="Arial"/>
        </w:rPr>
        <w:t xml:space="preserve"> QAS im Zusammenhang mit dem OAPI-Projekt laufende </w:t>
      </w:r>
      <w:r>
        <w:rPr>
          <w:rFonts w:cs="Arial"/>
        </w:rPr>
        <w:t>Beurteilung</w:t>
      </w:r>
      <w:r w:rsidRPr="00572251">
        <w:rPr>
          <w:rFonts w:cs="Arial"/>
        </w:rPr>
        <w:t xml:space="preserve">stätigkeiten per Telekonferenz und von </w:t>
      </w:r>
      <w:r>
        <w:rPr>
          <w:rFonts w:cs="Arial"/>
        </w:rPr>
        <w:t>deren</w:t>
      </w:r>
      <w:r w:rsidRPr="00572251">
        <w:rPr>
          <w:rFonts w:cs="Arial"/>
        </w:rPr>
        <w:t xml:space="preserve"> zuständigen Prüfungsämtern in Kamerun, Senegal, Côte d'Ivoire und Burkina Faso durchgeführt</w:t>
      </w:r>
      <w:r w:rsidRPr="00C8302B">
        <w:rPr>
          <w:rFonts w:cs="Arial"/>
        </w:rPr>
        <w:t xml:space="preserve">. In diesem Zeitraum führte </w:t>
      </w:r>
      <w:r>
        <w:rPr>
          <w:rFonts w:cs="Arial"/>
        </w:rPr>
        <w:t xml:space="preserve">der </w:t>
      </w:r>
      <w:r w:rsidRPr="00C8302B">
        <w:rPr>
          <w:rFonts w:cs="Arial"/>
        </w:rPr>
        <w:t xml:space="preserve">QAS im Rahmen der Projekte IPKey Latin America und CarIPI in zahlreichen Ländern Mittel- und Südamerikas virtuelle Seminare über die Organisation der DUS-Prüfung durch, um die Unabhängigkeit und Unparteilichkeit der technischen Prüfungen </w:t>
      </w:r>
      <w:r w:rsidRPr="00C13E78">
        <w:rPr>
          <w:rFonts w:cs="Arial"/>
        </w:rPr>
        <w:t>zu gewährleisten</w:t>
      </w:r>
      <w:r w:rsidRPr="00C8302B">
        <w:rPr>
          <w:rFonts w:cs="Arial"/>
        </w:rPr>
        <w:t>.</w:t>
      </w:r>
    </w:p>
    <w:p w:rsidR="001F2153" w:rsidRPr="00C8302B" w:rsidRDefault="001F2153" w:rsidP="001F2153">
      <w:pPr>
        <w:autoSpaceDE w:val="0"/>
        <w:autoSpaceDN w:val="0"/>
        <w:adjustRightInd w:val="0"/>
        <w:contextualSpacing/>
        <w:rPr>
          <w:rFonts w:cs="Arial"/>
        </w:rPr>
      </w:pPr>
    </w:p>
    <w:p w:rsidR="001F2153" w:rsidRPr="00C8302B" w:rsidRDefault="001F2153" w:rsidP="001F2153">
      <w:pPr>
        <w:autoSpaceDE w:val="0"/>
        <w:autoSpaceDN w:val="0"/>
        <w:adjustRightInd w:val="0"/>
        <w:contextualSpacing/>
        <w:rPr>
          <w:rFonts w:cs="Arial"/>
        </w:rPr>
      </w:pPr>
    </w:p>
    <w:p w:rsidR="001F2153" w:rsidRPr="00C8302B" w:rsidRDefault="001F2153" w:rsidP="001F2153">
      <w:pPr>
        <w:contextualSpacing/>
        <w:rPr>
          <w:rFonts w:cs="Arial"/>
          <w:u w:val="single"/>
        </w:rPr>
      </w:pPr>
      <w:r w:rsidRPr="00FC24CB">
        <w:rPr>
          <w:rFonts w:cs="Arial"/>
        </w:rPr>
        <w:t>5)</w:t>
      </w:r>
      <w:r w:rsidRPr="00FC24CB">
        <w:rPr>
          <w:rFonts w:cs="Arial"/>
        </w:rPr>
        <w:tab/>
      </w:r>
      <w:r w:rsidRPr="00FC24CB">
        <w:rPr>
          <w:rFonts w:cs="Arial"/>
          <w:u w:val="single"/>
        </w:rPr>
        <w:t>Tätigkeiten zur Förderung des Sortenschutzes</w:t>
      </w:r>
      <w:r w:rsidRPr="00C8302B">
        <w:rPr>
          <w:rFonts w:cs="Arial"/>
          <w:u w:val="single"/>
        </w:rPr>
        <w:t xml:space="preserve"> </w:t>
      </w:r>
    </w:p>
    <w:p w:rsidR="001F2153" w:rsidRPr="00C8302B" w:rsidRDefault="001F2153" w:rsidP="001F2153">
      <w:pPr>
        <w:pStyle w:val="NormalWeb"/>
        <w:spacing w:before="0" w:beforeAutospacing="0" w:after="0" w:afterAutospacing="0"/>
        <w:contextualSpacing/>
        <w:jc w:val="both"/>
        <w:rPr>
          <w:rFonts w:ascii="Arial" w:hAnsi="Arial" w:cs="Arial"/>
          <w:sz w:val="20"/>
          <w:szCs w:val="20"/>
          <w:u w:val="single"/>
        </w:rPr>
      </w:pPr>
    </w:p>
    <w:p w:rsidR="001F2153" w:rsidRPr="00C8302B" w:rsidRDefault="001F2153" w:rsidP="001F2153">
      <w:pPr>
        <w:pStyle w:val="NormalWeb"/>
        <w:spacing w:before="0" w:beforeAutospacing="0" w:after="0" w:afterAutospacing="0"/>
        <w:contextualSpacing/>
        <w:jc w:val="both"/>
        <w:rPr>
          <w:rFonts w:ascii="Arial" w:hAnsi="Arial" w:cs="Arial"/>
          <w:sz w:val="20"/>
          <w:szCs w:val="20"/>
          <w:u w:val="single"/>
        </w:rPr>
      </w:pPr>
      <w:r w:rsidRPr="00C8302B">
        <w:rPr>
          <w:rFonts w:ascii="Arial" w:hAnsi="Arial" w:cs="Arial"/>
          <w:sz w:val="20"/>
          <w:szCs w:val="20"/>
          <w:u w:val="single"/>
        </w:rPr>
        <w:t>5.1 Internationale Zusammenarbeit</w:t>
      </w:r>
    </w:p>
    <w:p w:rsidR="001F2153" w:rsidRPr="00C8302B" w:rsidRDefault="001F2153" w:rsidP="001F2153">
      <w:pPr>
        <w:pStyle w:val="NormalWeb"/>
        <w:spacing w:before="0" w:beforeAutospacing="0" w:after="0" w:afterAutospacing="0"/>
        <w:contextualSpacing/>
        <w:jc w:val="both"/>
        <w:rPr>
          <w:rFonts w:ascii="Arial" w:hAnsi="Arial" w:cs="Arial"/>
          <w:sz w:val="20"/>
          <w:szCs w:val="20"/>
        </w:rPr>
      </w:pPr>
    </w:p>
    <w:p w:rsidR="001F2153" w:rsidRPr="000278B8" w:rsidRDefault="001F2153" w:rsidP="001F2153">
      <w:pPr>
        <w:pStyle w:val="NormalWeb"/>
        <w:spacing w:before="0" w:beforeAutospacing="0" w:after="0" w:afterAutospacing="0"/>
        <w:contextualSpacing/>
        <w:jc w:val="both"/>
        <w:rPr>
          <w:rFonts w:ascii="Arial" w:hAnsi="Arial" w:cs="Arial"/>
          <w:sz w:val="20"/>
          <w:szCs w:val="20"/>
        </w:rPr>
      </w:pPr>
      <w:r w:rsidRPr="00C8302B">
        <w:rPr>
          <w:rFonts w:ascii="Arial" w:hAnsi="Arial" w:cs="Arial"/>
          <w:sz w:val="20"/>
          <w:szCs w:val="20"/>
        </w:rPr>
        <w:t xml:space="preserve">Am 4. Oktober 2017 </w:t>
      </w:r>
      <w:r w:rsidRPr="00C13437">
        <w:rPr>
          <w:rFonts w:ascii="Arial" w:hAnsi="Arial" w:cs="Arial"/>
          <w:sz w:val="20"/>
          <w:szCs w:val="20"/>
        </w:rPr>
        <w:t>verabschiedete</w:t>
      </w:r>
      <w:r>
        <w:rPr>
          <w:rFonts w:ascii="Arial" w:hAnsi="Arial" w:cs="Arial"/>
          <w:sz w:val="20"/>
          <w:szCs w:val="20"/>
        </w:rPr>
        <w:t xml:space="preserve"> </w:t>
      </w:r>
      <w:r w:rsidRPr="00C8302B">
        <w:rPr>
          <w:rFonts w:ascii="Arial" w:hAnsi="Arial" w:cs="Arial"/>
          <w:sz w:val="20"/>
          <w:szCs w:val="20"/>
        </w:rPr>
        <w:t xml:space="preserve">das CPVO seine </w:t>
      </w:r>
      <w:r>
        <w:rPr>
          <w:rFonts w:ascii="Arial" w:hAnsi="Arial" w:cs="Arial"/>
          <w:sz w:val="20"/>
          <w:szCs w:val="20"/>
        </w:rPr>
        <w:t>Strategie internationaler Zusammenarbeit</w:t>
      </w:r>
      <w:r w:rsidRPr="00C8302B">
        <w:rPr>
          <w:rFonts w:ascii="Arial" w:hAnsi="Arial" w:cs="Arial"/>
          <w:sz w:val="20"/>
          <w:szCs w:val="20"/>
        </w:rPr>
        <w:t xml:space="preserve"> im Einklang mit der EU-Handelspolitik </w:t>
      </w:r>
      <w:r>
        <w:rPr>
          <w:rFonts w:ascii="Arial" w:hAnsi="Arial" w:cs="Arial"/>
          <w:sz w:val="20"/>
          <w:szCs w:val="20"/>
        </w:rPr>
        <w:t>auf dem Gebiet</w:t>
      </w:r>
      <w:r w:rsidRPr="00C8302B">
        <w:rPr>
          <w:rFonts w:ascii="Arial" w:hAnsi="Arial" w:cs="Arial"/>
          <w:sz w:val="20"/>
          <w:szCs w:val="20"/>
        </w:rPr>
        <w:t xml:space="preserve"> der Rechte des geistigen Eigentums, um die externe Dimension der EU-Politik zu unterstützen. Im Rahmen dieser Strategie wurde das CPVO </w:t>
      </w:r>
      <w:r w:rsidRPr="000278B8">
        <w:rPr>
          <w:rFonts w:ascii="Arial" w:hAnsi="Arial" w:cs="Arial"/>
          <w:sz w:val="20"/>
          <w:szCs w:val="20"/>
        </w:rPr>
        <w:t>Interessenvertreter der IP-Key-Projekte für internationale Zusammenarbeit.</w:t>
      </w:r>
    </w:p>
    <w:p w:rsidR="001F2153" w:rsidRPr="000278B8" w:rsidRDefault="001F2153" w:rsidP="001F2153">
      <w:pPr>
        <w:pStyle w:val="NormalWeb"/>
        <w:spacing w:before="0" w:beforeAutospacing="0" w:after="0" w:afterAutospacing="0"/>
        <w:contextualSpacing/>
        <w:jc w:val="both"/>
        <w:rPr>
          <w:rFonts w:ascii="Arial" w:hAnsi="Arial" w:cs="Arial"/>
          <w:sz w:val="20"/>
          <w:szCs w:val="20"/>
        </w:rPr>
      </w:pPr>
    </w:p>
    <w:p w:rsidR="001F2153" w:rsidRPr="000278B8" w:rsidRDefault="001F2153" w:rsidP="001F2153">
      <w:pPr>
        <w:pStyle w:val="NormalWeb"/>
        <w:spacing w:before="0" w:beforeAutospacing="0" w:after="0" w:afterAutospacing="0"/>
        <w:contextualSpacing/>
        <w:jc w:val="both"/>
        <w:rPr>
          <w:rFonts w:ascii="Arial" w:hAnsi="Arial" w:cs="Arial"/>
          <w:sz w:val="20"/>
          <w:szCs w:val="20"/>
        </w:rPr>
      </w:pPr>
      <w:r w:rsidRPr="000278B8">
        <w:rPr>
          <w:rFonts w:ascii="Arial" w:hAnsi="Arial" w:cs="Arial"/>
          <w:sz w:val="20"/>
          <w:szCs w:val="20"/>
        </w:rPr>
        <w:t>Die IP-Key-Projekte für internationale Zusammenarbeit werden von der Europäischen Kommission geleitet und in Zusammenarbeit mit dem Amt für geistiges Eigentum der Europäischen Union (EUIPO) umgesetzt, um den Schutz des geistigen Eigentums in China, Lateinamerika und den ASEAN-Ländern zu stärken. Zusätzlich zu den IP Key-Projekten hat die Europäische Kommission mit der Umsetzung von CarIPI in der Karibik und AfrIPI in Afrika begonnen. Die im Rahmen dieser Projekte durchgeführten Tätigkeiten umfassen die Organisation von Seminaren und gegenseitigen Schulungen sowie die Bereitstellung von Studien und rechtlicher Unterstützung für die begünstigten Länder.</w:t>
      </w:r>
      <w:r>
        <w:rPr>
          <w:rFonts w:ascii="Arial" w:hAnsi="Arial" w:cs="Arial"/>
          <w:sz w:val="20"/>
          <w:szCs w:val="20"/>
        </w:rPr>
        <w:t xml:space="preserve"> </w:t>
      </w:r>
    </w:p>
    <w:p w:rsidR="001F2153" w:rsidRPr="000278B8" w:rsidRDefault="001F2153" w:rsidP="001F2153">
      <w:pPr>
        <w:pStyle w:val="NormalWeb"/>
        <w:spacing w:before="0" w:beforeAutospacing="0" w:after="0" w:afterAutospacing="0"/>
        <w:contextualSpacing/>
        <w:jc w:val="both"/>
        <w:rPr>
          <w:rFonts w:ascii="Arial" w:hAnsi="Arial" w:cs="Arial"/>
          <w:sz w:val="20"/>
          <w:szCs w:val="20"/>
        </w:rPr>
      </w:pPr>
    </w:p>
    <w:p w:rsidR="001F2153" w:rsidRPr="00862285" w:rsidRDefault="001F2153" w:rsidP="001F2153">
      <w:pPr>
        <w:pStyle w:val="NormalWeb"/>
        <w:spacing w:before="0" w:beforeAutospacing="0" w:after="0" w:afterAutospacing="0"/>
        <w:contextualSpacing/>
        <w:jc w:val="both"/>
        <w:rPr>
          <w:rFonts w:ascii="Arial" w:hAnsi="Arial" w:cs="Arial"/>
          <w:sz w:val="20"/>
          <w:szCs w:val="20"/>
        </w:rPr>
      </w:pPr>
      <w:r>
        <w:rPr>
          <w:rFonts w:ascii="Arial" w:hAnsi="Arial" w:cs="Arial"/>
          <w:sz w:val="20"/>
          <w:szCs w:val="20"/>
        </w:rPr>
        <w:t>Aufgrund</w:t>
      </w:r>
      <w:r w:rsidRPr="000278B8">
        <w:rPr>
          <w:rFonts w:ascii="Arial" w:hAnsi="Arial" w:cs="Arial"/>
          <w:sz w:val="20"/>
          <w:szCs w:val="20"/>
        </w:rPr>
        <w:t xml:space="preserve"> de</w:t>
      </w:r>
      <w:r>
        <w:rPr>
          <w:rFonts w:ascii="Arial" w:hAnsi="Arial" w:cs="Arial"/>
          <w:sz w:val="20"/>
          <w:szCs w:val="20"/>
        </w:rPr>
        <w:t>s</w:t>
      </w:r>
      <w:r w:rsidRPr="000278B8">
        <w:rPr>
          <w:rFonts w:ascii="Arial" w:hAnsi="Arial" w:cs="Arial"/>
          <w:sz w:val="20"/>
          <w:szCs w:val="20"/>
        </w:rPr>
        <w:t xml:space="preserve"> Ausbruch</w:t>
      </w:r>
      <w:r>
        <w:rPr>
          <w:rFonts w:ascii="Arial" w:hAnsi="Arial" w:cs="Arial"/>
          <w:sz w:val="20"/>
          <w:szCs w:val="20"/>
        </w:rPr>
        <w:t>s</w:t>
      </w:r>
      <w:r w:rsidRPr="000278B8">
        <w:rPr>
          <w:rFonts w:ascii="Arial" w:hAnsi="Arial" w:cs="Arial"/>
          <w:sz w:val="20"/>
          <w:szCs w:val="20"/>
        </w:rPr>
        <w:t xml:space="preserve"> der Covid-19-Pandemie waren alle Projekte für internationale Zusammenarbeit bei der Umsetzung von Tätigkeiten in </w:t>
      </w:r>
      <w:r>
        <w:rPr>
          <w:rFonts w:ascii="Arial" w:hAnsi="Arial" w:cs="Arial"/>
          <w:sz w:val="20"/>
          <w:szCs w:val="20"/>
        </w:rPr>
        <w:t xml:space="preserve">Präsenz </w:t>
      </w:r>
      <w:r w:rsidRPr="000278B8">
        <w:rPr>
          <w:rFonts w:ascii="Arial" w:hAnsi="Arial" w:cs="Arial"/>
          <w:sz w:val="20"/>
          <w:szCs w:val="20"/>
        </w:rPr>
        <w:t>betroffen. Die meisten Tätigkeiten wurden</w:t>
      </w:r>
      <w:r w:rsidRPr="00862285">
        <w:rPr>
          <w:rFonts w:ascii="Arial" w:hAnsi="Arial" w:cs="Arial"/>
          <w:sz w:val="20"/>
          <w:szCs w:val="20"/>
        </w:rPr>
        <w:t xml:space="preserve"> in Online-Veranstaltungen umgewandelt. </w:t>
      </w:r>
    </w:p>
    <w:p w:rsidR="001F2153" w:rsidRPr="00862285" w:rsidRDefault="001F2153" w:rsidP="001F2153">
      <w:pPr>
        <w:pStyle w:val="NormalWeb"/>
        <w:spacing w:before="0" w:beforeAutospacing="0" w:after="0" w:afterAutospacing="0"/>
        <w:contextualSpacing/>
        <w:jc w:val="both"/>
        <w:rPr>
          <w:rFonts w:ascii="Arial" w:hAnsi="Arial" w:cs="Arial"/>
          <w:sz w:val="20"/>
          <w:szCs w:val="20"/>
        </w:rPr>
      </w:pPr>
    </w:p>
    <w:p w:rsidR="001F2153" w:rsidRPr="00862285" w:rsidRDefault="001F2153" w:rsidP="001F2153">
      <w:pPr>
        <w:pStyle w:val="NormalWeb"/>
        <w:keepLines/>
        <w:spacing w:before="0" w:beforeAutospacing="0" w:after="0" w:afterAutospacing="0"/>
        <w:contextualSpacing/>
        <w:jc w:val="both"/>
        <w:rPr>
          <w:rFonts w:ascii="Arial" w:hAnsi="Arial" w:cs="Arial"/>
          <w:sz w:val="20"/>
          <w:szCs w:val="20"/>
        </w:rPr>
      </w:pPr>
      <w:r w:rsidRPr="00862285">
        <w:rPr>
          <w:rFonts w:ascii="Arial" w:hAnsi="Arial" w:cs="Arial"/>
          <w:sz w:val="20"/>
          <w:szCs w:val="20"/>
        </w:rPr>
        <w:t xml:space="preserve">Im Rahmen von </w:t>
      </w:r>
      <w:r w:rsidRPr="00862285">
        <w:rPr>
          <w:rFonts w:ascii="Arial" w:hAnsi="Arial" w:cs="Arial"/>
          <w:b/>
          <w:sz w:val="20"/>
          <w:szCs w:val="20"/>
        </w:rPr>
        <w:t xml:space="preserve">IPKey China </w:t>
      </w:r>
      <w:r w:rsidRPr="00862285">
        <w:rPr>
          <w:rFonts w:ascii="Arial" w:hAnsi="Arial" w:cs="Arial"/>
          <w:sz w:val="20"/>
          <w:szCs w:val="20"/>
        </w:rPr>
        <w:t>hatten chinesische Sachverständige in den vergangenen Jahren die Möglichkeit, an einer zweiwöchigen Schulungs</w:t>
      </w:r>
      <w:r>
        <w:rPr>
          <w:rFonts w:ascii="Arial" w:hAnsi="Arial" w:cs="Arial"/>
          <w:sz w:val="20"/>
          <w:szCs w:val="20"/>
        </w:rPr>
        <w:t>tag</w:t>
      </w:r>
      <w:r w:rsidRPr="00862285">
        <w:rPr>
          <w:rFonts w:ascii="Arial" w:hAnsi="Arial" w:cs="Arial"/>
          <w:sz w:val="20"/>
          <w:szCs w:val="20"/>
        </w:rPr>
        <w:t xml:space="preserve">ung über die DUS-Prüfung teilzunehmen, die in den Räumlichkeiten der EU-Prüfungsämter stattfand. Im Oktober 2020 wurde die Veranstaltung dank gemeinsamer </w:t>
      </w:r>
      <w:r>
        <w:rPr>
          <w:rFonts w:ascii="Arial" w:hAnsi="Arial" w:cs="Arial"/>
          <w:sz w:val="20"/>
          <w:szCs w:val="20"/>
        </w:rPr>
        <w:t>Bemühung</w:t>
      </w:r>
      <w:r w:rsidRPr="00862285">
        <w:rPr>
          <w:rFonts w:ascii="Arial" w:hAnsi="Arial" w:cs="Arial"/>
          <w:sz w:val="20"/>
          <w:szCs w:val="20"/>
        </w:rPr>
        <w:t xml:space="preserve">en von sechs Prüfungsämtern der EU-Mitgliedstaaten (Deutschland, Frankreich, Niederlande, Spanien, Tschechische Republik und Ungarn) und dem CPVO in ein Online-Seminar umgewandelt. Mehr als 60 </w:t>
      </w:r>
      <w:r>
        <w:rPr>
          <w:rFonts w:ascii="Arial" w:hAnsi="Arial" w:cs="Arial"/>
          <w:sz w:val="20"/>
          <w:szCs w:val="20"/>
        </w:rPr>
        <w:t>Sachverständige</w:t>
      </w:r>
      <w:r w:rsidRPr="00862285">
        <w:rPr>
          <w:rFonts w:ascii="Arial" w:hAnsi="Arial" w:cs="Arial"/>
          <w:sz w:val="20"/>
          <w:szCs w:val="20"/>
        </w:rPr>
        <w:t xml:space="preserve"> des MARA (Ministerium für Landwirtschaft und ländliche Angelegenheiten) und der NFGA (</w:t>
      </w:r>
      <w:r w:rsidRPr="00290F43">
        <w:rPr>
          <w:rFonts w:ascii="Arial" w:hAnsi="Arial" w:cs="Arial"/>
          <w:i/>
          <w:iCs/>
          <w:sz w:val="20"/>
          <w:szCs w:val="20"/>
        </w:rPr>
        <w:t>National Forestry and Grassland Administration</w:t>
      </w:r>
      <w:r w:rsidRPr="00862285">
        <w:rPr>
          <w:rFonts w:ascii="Arial" w:hAnsi="Arial" w:cs="Arial"/>
          <w:sz w:val="20"/>
          <w:szCs w:val="20"/>
        </w:rPr>
        <w:t xml:space="preserve">) nahmen an der Schulung teil. Im November 2020 nahmen über 150 Teilnehmer und Referenten aus der EU und China an einem Webinar über die </w:t>
      </w:r>
      <w:r>
        <w:rPr>
          <w:rFonts w:ascii="Arial" w:hAnsi="Arial" w:cs="Arial"/>
          <w:sz w:val="20"/>
          <w:szCs w:val="20"/>
        </w:rPr>
        <w:t>Wahrung</w:t>
      </w:r>
      <w:r w:rsidRPr="00862285">
        <w:rPr>
          <w:rFonts w:ascii="Arial" w:hAnsi="Arial" w:cs="Arial"/>
          <w:sz w:val="20"/>
          <w:szCs w:val="20"/>
        </w:rPr>
        <w:t xml:space="preserve"> von </w:t>
      </w:r>
      <w:r>
        <w:rPr>
          <w:rFonts w:ascii="Arial" w:hAnsi="Arial" w:cs="Arial"/>
          <w:sz w:val="20"/>
          <w:szCs w:val="20"/>
        </w:rPr>
        <w:t>Sortenrechte</w:t>
      </w:r>
      <w:r w:rsidRPr="00862285">
        <w:rPr>
          <w:rFonts w:ascii="Arial" w:hAnsi="Arial" w:cs="Arial"/>
          <w:sz w:val="20"/>
          <w:szCs w:val="20"/>
        </w:rPr>
        <w:t xml:space="preserve">n teil. </w:t>
      </w:r>
      <w:r w:rsidRPr="00373CEB">
        <w:rPr>
          <w:rFonts w:ascii="Arial" w:hAnsi="Arial" w:cs="Arial"/>
          <w:sz w:val="20"/>
          <w:szCs w:val="20"/>
        </w:rPr>
        <w:t xml:space="preserve">Die Veranstaltung ermöglichte es </w:t>
      </w:r>
      <w:r>
        <w:rPr>
          <w:rFonts w:ascii="Arial" w:hAnsi="Arial" w:cs="Arial"/>
          <w:sz w:val="20"/>
          <w:szCs w:val="20"/>
        </w:rPr>
        <w:t>d</w:t>
      </w:r>
      <w:r w:rsidRPr="00862285">
        <w:rPr>
          <w:rFonts w:ascii="Arial" w:hAnsi="Arial" w:cs="Arial"/>
          <w:sz w:val="20"/>
          <w:szCs w:val="20"/>
        </w:rPr>
        <w:t xml:space="preserve">ank der Teilnahme aller an der </w:t>
      </w:r>
      <w:r>
        <w:rPr>
          <w:rFonts w:ascii="Arial" w:hAnsi="Arial" w:cs="Arial"/>
          <w:sz w:val="20"/>
          <w:szCs w:val="20"/>
        </w:rPr>
        <w:t>Wahrung</w:t>
      </w:r>
      <w:r w:rsidRPr="00862285">
        <w:rPr>
          <w:rFonts w:ascii="Arial" w:hAnsi="Arial" w:cs="Arial"/>
          <w:sz w:val="20"/>
          <w:szCs w:val="20"/>
        </w:rPr>
        <w:t xml:space="preserve"> beteiligten </w:t>
      </w:r>
      <w:r>
        <w:rPr>
          <w:rFonts w:ascii="Arial" w:hAnsi="Arial" w:cs="Arial"/>
          <w:sz w:val="20"/>
          <w:szCs w:val="20"/>
        </w:rPr>
        <w:t>Interessensvertreter</w:t>
      </w:r>
      <w:r w:rsidRPr="00862285">
        <w:rPr>
          <w:rFonts w:ascii="Arial" w:hAnsi="Arial" w:cs="Arial"/>
          <w:sz w:val="20"/>
          <w:szCs w:val="20"/>
        </w:rPr>
        <w:t xml:space="preserve"> </w:t>
      </w:r>
      <w:r w:rsidRPr="00373CEB">
        <w:rPr>
          <w:rFonts w:ascii="Arial" w:hAnsi="Arial" w:cs="Arial"/>
          <w:sz w:val="20"/>
          <w:szCs w:val="20"/>
        </w:rPr>
        <w:t>beiden Parteien</w:t>
      </w:r>
      <w:r>
        <w:rPr>
          <w:rFonts w:ascii="Arial" w:hAnsi="Arial" w:cs="Arial"/>
          <w:sz w:val="20"/>
          <w:szCs w:val="20"/>
        </w:rPr>
        <w:t xml:space="preserve">, </w:t>
      </w:r>
      <w:r w:rsidRPr="00862285">
        <w:rPr>
          <w:rFonts w:ascii="Arial" w:hAnsi="Arial" w:cs="Arial"/>
          <w:sz w:val="20"/>
          <w:szCs w:val="20"/>
        </w:rPr>
        <w:t>Erfahrungen aus</w:t>
      </w:r>
      <w:r>
        <w:rPr>
          <w:rFonts w:ascii="Arial" w:hAnsi="Arial" w:cs="Arial"/>
          <w:sz w:val="20"/>
          <w:szCs w:val="20"/>
        </w:rPr>
        <w:t>zu</w:t>
      </w:r>
      <w:r w:rsidRPr="00862285">
        <w:rPr>
          <w:rFonts w:ascii="Arial" w:hAnsi="Arial" w:cs="Arial"/>
          <w:sz w:val="20"/>
          <w:szCs w:val="20"/>
        </w:rPr>
        <w:t xml:space="preserve">tauschen und die neuesten Entwicklungen im Bereich der </w:t>
      </w:r>
      <w:r w:rsidRPr="00073708">
        <w:rPr>
          <w:rFonts w:ascii="Arial" w:hAnsi="Arial" w:cs="Arial"/>
          <w:sz w:val="20"/>
          <w:szCs w:val="20"/>
        </w:rPr>
        <w:t>Rechtsvorschriften zum Sortenschutz</w:t>
      </w:r>
      <w:r w:rsidRPr="00862285">
        <w:rPr>
          <w:rFonts w:ascii="Arial" w:hAnsi="Arial" w:cs="Arial"/>
          <w:sz w:val="20"/>
          <w:szCs w:val="20"/>
        </w:rPr>
        <w:t xml:space="preserve"> </w:t>
      </w:r>
      <w:r>
        <w:rPr>
          <w:rFonts w:ascii="Arial" w:hAnsi="Arial" w:cs="Arial"/>
          <w:sz w:val="20"/>
          <w:szCs w:val="20"/>
        </w:rPr>
        <w:t xml:space="preserve">zu </w:t>
      </w:r>
      <w:r w:rsidRPr="00862285">
        <w:rPr>
          <w:rFonts w:ascii="Arial" w:hAnsi="Arial" w:cs="Arial"/>
          <w:sz w:val="20"/>
          <w:szCs w:val="20"/>
        </w:rPr>
        <w:t>erörtern.</w:t>
      </w:r>
    </w:p>
    <w:p w:rsidR="001F2153" w:rsidRPr="00862285" w:rsidRDefault="001F2153" w:rsidP="001F2153">
      <w:pPr>
        <w:pStyle w:val="NormalWeb"/>
        <w:spacing w:before="0" w:beforeAutospacing="0" w:after="0" w:afterAutospacing="0"/>
        <w:contextualSpacing/>
        <w:jc w:val="both"/>
        <w:rPr>
          <w:rFonts w:ascii="Arial" w:hAnsi="Arial" w:cs="Arial"/>
          <w:sz w:val="20"/>
          <w:szCs w:val="20"/>
        </w:rPr>
      </w:pPr>
    </w:p>
    <w:p w:rsidR="001F2153" w:rsidRPr="00862285" w:rsidRDefault="001F2153" w:rsidP="001F2153">
      <w:pPr>
        <w:pStyle w:val="NormalWeb"/>
        <w:spacing w:before="0" w:beforeAutospacing="0" w:after="0" w:afterAutospacing="0"/>
        <w:contextualSpacing/>
        <w:jc w:val="both"/>
        <w:rPr>
          <w:rFonts w:ascii="Arial" w:hAnsi="Arial" w:cs="Arial"/>
          <w:sz w:val="20"/>
          <w:szCs w:val="20"/>
        </w:rPr>
      </w:pPr>
      <w:r w:rsidRPr="00862285">
        <w:rPr>
          <w:rFonts w:ascii="Arial" w:hAnsi="Arial" w:cs="Arial"/>
          <w:sz w:val="20"/>
          <w:szCs w:val="20"/>
        </w:rPr>
        <w:t xml:space="preserve">Im Rahmen von </w:t>
      </w:r>
      <w:r w:rsidRPr="00862285">
        <w:rPr>
          <w:rFonts w:ascii="Arial" w:hAnsi="Arial" w:cs="Arial"/>
          <w:b/>
          <w:sz w:val="20"/>
          <w:szCs w:val="20"/>
        </w:rPr>
        <w:t xml:space="preserve">IPKey South-East Asia </w:t>
      </w:r>
      <w:r w:rsidRPr="00862285">
        <w:rPr>
          <w:rFonts w:ascii="Arial" w:hAnsi="Arial" w:cs="Arial"/>
          <w:sz w:val="20"/>
          <w:szCs w:val="20"/>
        </w:rPr>
        <w:t xml:space="preserve">trug das CPVO zur </w:t>
      </w:r>
      <w:r w:rsidRPr="00073708">
        <w:rPr>
          <w:rFonts w:ascii="Arial" w:hAnsi="Arial" w:cs="Arial"/>
          <w:sz w:val="20"/>
          <w:szCs w:val="20"/>
        </w:rPr>
        <w:t>Umsetzung</w:t>
      </w:r>
      <w:r w:rsidRPr="00862285">
        <w:rPr>
          <w:rFonts w:ascii="Arial" w:hAnsi="Arial" w:cs="Arial"/>
          <w:sz w:val="20"/>
          <w:szCs w:val="20"/>
        </w:rPr>
        <w:t xml:space="preserve"> mehrerer technischer Webinare und Schulungen für IPO-Beamte bei, die hauptsächlich die </w:t>
      </w:r>
      <w:r>
        <w:rPr>
          <w:rFonts w:ascii="Arial" w:hAnsi="Arial" w:cs="Arial"/>
          <w:sz w:val="20"/>
          <w:szCs w:val="20"/>
        </w:rPr>
        <w:t>UPOV-</w:t>
      </w:r>
      <w:r w:rsidRPr="00862285">
        <w:rPr>
          <w:rFonts w:ascii="Arial" w:hAnsi="Arial" w:cs="Arial"/>
          <w:sz w:val="20"/>
          <w:szCs w:val="20"/>
        </w:rPr>
        <w:t xml:space="preserve">Akte von 1991 und die Vorteile des UPOV-Systems betrafen. Zwei </w:t>
      </w:r>
      <w:r>
        <w:rPr>
          <w:rFonts w:ascii="Arial" w:hAnsi="Arial" w:cs="Arial"/>
          <w:sz w:val="20"/>
          <w:szCs w:val="20"/>
        </w:rPr>
        <w:t>Reihen</w:t>
      </w:r>
      <w:r w:rsidRPr="00862285">
        <w:rPr>
          <w:rFonts w:ascii="Arial" w:hAnsi="Arial" w:cs="Arial"/>
          <w:sz w:val="20"/>
          <w:szCs w:val="20"/>
        </w:rPr>
        <w:t xml:space="preserve"> von Webinaren, eines im November 2020 und eines im Juni 2021, konzentrierten sich auf die Vorteile von Sortenschutzsystemen für nachhaltige Landwirtschaft und globale Ernährungssicherheit.</w:t>
      </w:r>
      <w:r>
        <w:rPr>
          <w:rFonts w:ascii="Arial" w:hAnsi="Arial" w:cs="Arial"/>
          <w:sz w:val="20"/>
          <w:szCs w:val="20"/>
        </w:rPr>
        <w:t xml:space="preserve"> </w:t>
      </w:r>
      <w:r w:rsidRPr="00862285">
        <w:rPr>
          <w:rFonts w:ascii="Arial" w:hAnsi="Arial" w:cs="Arial"/>
          <w:sz w:val="20"/>
          <w:szCs w:val="20"/>
        </w:rPr>
        <w:t>Diese Webinar-Reihen boten eine fruchtbare Gelegenheit zum Meinungsaustausch über die Vorteile der Mitgliedschaft bei UPOV 1991 für Landwirte und Züchter sowie über die dringendsten Fragen zum Sortenschutz in Südostasien. Die zweite im Jahr 2021 durchgeführte Tätigkeit bestand in einer juristischen Schulung für thailändische Beamte, die gemeinsam mit der UPOV durchgeführt wurde und sich auf verschiedene Aspekte des UPOV-Übereinkommens konzentrierte.</w:t>
      </w:r>
    </w:p>
    <w:p w:rsidR="001F2153" w:rsidRPr="00862285" w:rsidRDefault="001F2153" w:rsidP="001F2153">
      <w:pPr>
        <w:pStyle w:val="NormalWeb"/>
        <w:spacing w:before="0" w:beforeAutospacing="0" w:after="0" w:afterAutospacing="0"/>
        <w:contextualSpacing/>
        <w:jc w:val="both"/>
        <w:rPr>
          <w:rFonts w:ascii="Arial" w:hAnsi="Arial" w:cs="Arial"/>
          <w:sz w:val="20"/>
          <w:szCs w:val="20"/>
        </w:rPr>
      </w:pPr>
    </w:p>
    <w:p w:rsidR="001F2153" w:rsidRPr="00C8302B" w:rsidRDefault="001F2153" w:rsidP="001F2153">
      <w:pPr>
        <w:pStyle w:val="NormalWeb"/>
        <w:spacing w:before="0" w:beforeAutospacing="0" w:after="0" w:afterAutospacing="0"/>
        <w:contextualSpacing/>
        <w:jc w:val="both"/>
        <w:rPr>
          <w:rFonts w:ascii="Arial" w:hAnsi="Arial" w:cs="Arial"/>
          <w:sz w:val="20"/>
          <w:szCs w:val="20"/>
        </w:rPr>
      </w:pPr>
      <w:r w:rsidRPr="00862285">
        <w:rPr>
          <w:rFonts w:ascii="Arial" w:hAnsi="Arial" w:cs="Arial"/>
          <w:sz w:val="20"/>
          <w:szCs w:val="20"/>
        </w:rPr>
        <w:t xml:space="preserve">Im Rahmen von </w:t>
      </w:r>
      <w:r w:rsidRPr="00862285">
        <w:rPr>
          <w:rFonts w:ascii="Arial" w:hAnsi="Arial" w:cs="Arial"/>
          <w:b/>
          <w:sz w:val="20"/>
          <w:szCs w:val="20"/>
        </w:rPr>
        <w:t xml:space="preserve">IPKey Lateinamerika </w:t>
      </w:r>
      <w:r w:rsidRPr="00CF1366">
        <w:rPr>
          <w:rFonts w:ascii="Arial" w:hAnsi="Arial" w:cs="Arial"/>
          <w:bCs/>
          <w:sz w:val="20"/>
          <w:szCs w:val="20"/>
        </w:rPr>
        <w:t>fand i</w:t>
      </w:r>
      <w:r w:rsidRPr="00862285">
        <w:rPr>
          <w:rFonts w:ascii="Arial" w:hAnsi="Arial" w:cs="Arial"/>
          <w:sz w:val="20"/>
          <w:szCs w:val="20"/>
        </w:rPr>
        <w:t>m November 2020 eine regionale Arbeitstagung über die Zusammenarbeit bei</w:t>
      </w:r>
      <w:r w:rsidRPr="00C8302B">
        <w:rPr>
          <w:rFonts w:ascii="Arial" w:hAnsi="Arial" w:cs="Arial"/>
          <w:sz w:val="20"/>
          <w:szCs w:val="20"/>
        </w:rPr>
        <w:t xml:space="preserve"> der Prüfung von Sortenschutzanträgen statt, an der das CPVO, die UPOV und das spanische Sortenamt (OEVV) beteiligt waren und die sich auf die Unabhängigkeit bei der Durchführung der DUS-Prüfung sowie auf die Ermittlung und Vermeidung von Interessenkonflikten konzentrierte. Die regionale Arbeitstagung war eine wertvolle Gelegenheit für die </w:t>
      </w:r>
      <w:r>
        <w:rPr>
          <w:rFonts w:ascii="Arial" w:hAnsi="Arial" w:cs="Arial"/>
          <w:sz w:val="20"/>
          <w:szCs w:val="20"/>
        </w:rPr>
        <w:t>Teilnehmer</w:t>
      </w:r>
      <w:r w:rsidRPr="00C8302B">
        <w:rPr>
          <w:rFonts w:ascii="Arial" w:hAnsi="Arial" w:cs="Arial"/>
          <w:sz w:val="20"/>
          <w:szCs w:val="20"/>
        </w:rPr>
        <w:t>, ihre Erfahrungen untereinander, mit der EU und mit internationalen Partnern auszutauschen. Während der Veranstaltung bekundeten mehrere Länder ihr Interesse an einer weiteren Erörterung von Qualitätssystemen für die Verwaltung von DUS-Prüfungen.</w:t>
      </w:r>
    </w:p>
    <w:p w:rsidR="001F2153" w:rsidRPr="00C8302B" w:rsidRDefault="001F2153" w:rsidP="001F2153">
      <w:pPr>
        <w:pStyle w:val="NormalWeb"/>
        <w:spacing w:before="0" w:beforeAutospacing="0" w:after="0" w:afterAutospacing="0"/>
        <w:contextualSpacing/>
        <w:jc w:val="both"/>
        <w:rPr>
          <w:rFonts w:ascii="Arial" w:hAnsi="Arial" w:cs="Arial"/>
          <w:sz w:val="20"/>
          <w:szCs w:val="20"/>
        </w:rPr>
      </w:pPr>
    </w:p>
    <w:p w:rsidR="001F2153" w:rsidRPr="00073708" w:rsidRDefault="001F2153" w:rsidP="001F2153">
      <w:pPr>
        <w:pStyle w:val="NormalWeb"/>
        <w:spacing w:before="0" w:beforeAutospacing="0" w:after="0" w:afterAutospacing="0"/>
        <w:contextualSpacing/>
        <w:jc w:val="both"/>
        <w:rPr>
          <w:rFonts w:ascii="Arial" w:hAnsi="Arial" w:cs="Arial"/>
          <w:sz w:val="20"/>
          <w:szCs w:val="20"/>
        </w:rPr>
      </w:pPr>
      <w:r w:rsidRPr="00C8302B">
        <w:rPr>
          <w:rFonts w:ascii="Arial" w:hAnsi="Arial" w:cs="Arial"/>
          <w:sz w:val="20"/>
          <w:szCs w:val="20"/>
        </w:rPr>
        <w:t xml:space="preserve">Was das </w:t>
      </w:r>
      <w:r w:rsidRPr="00290F43">
        <w:rPr>
          <w:rFonts w:ascii="Arial" w:hAnsi="Arial" w:cs="Arial"/>
          <w:b/>
          <w:bCs/>
          <w:sz w:val="20"/>
          <w:szCs w:val="20"/>
        </w:rPr>
        <w:t>CarIPI</w:t>
      </w:r>
      <w:r w:rsidRPr="00C8302B">
        <w:rPr>
          <w:rFonts w:ascii="Arial" w:hAnsi="Arial" w:cs="Arial"/>
          <w:sz w:val="20"/>
          <w:szCs w:val="20"/>
        </w:rPr>
        <w:t xml:space="preserve">-Projekt betrifft, trug das CPVO </w:t>
      </w:r>
      <w:r w:rsidRPr="00073708">
        <w:rPr>
          <w:rFonts w:ascii="Arial" w:hAnsi="Arial" w:cs="Arial"/>
          <w:sz w:val="20"/>
          <w:szCs w:val="20"/>
        </w:rPr>
        <w:t xml:space="preserve">zur Umsetzung von zwei Tätigkeiten </w:t>
      </w:r>
      <w:r w:rsidRPr="00C8302B">
        <w:rPr>
          <w:rFonts w:ascii="Arial" w:hAnsi="Arial" w:cs="Arial"/>
          <w:sz w:val="20"/>
          <w:szCs w:val="20"/>
        </w:rPr>
        <w:t xml:space="preserve">im April 2021 </w:t>
      </w:r>
      <w:r w:rsidRPr="00073708">
        <w:rPr>
          <w:rFonts w:ascii="Arial" w:hAnsi="Arial" w:cs="Arial"/>
          <w:sz w:val="20"/>
          <w:szCs w:val="20"/>
        </w:rPr>
        <w:t xml:space="preserve">bei. Das erste Webinar konzentrierte sich auf die Unabhängigkeit bei der Durchführung der DUS-Prüfung und die Verwaltung von Interessenkonflikten in Prüfungsämtern. Die Hauptzielgruppe waren Ämter für geistiges Eigentum und Sortenschutz sowie die an Forschung und Entwicklung sowie DUS-Prüfung beteiligten technischen Organe der Dominikanischen Republik, St. Vincent und die Grenadinen sowie Trinidad und Tobago. Die Veranstaltung war jedoch auch für die übrigen CARIFORUM-Länder offen. Die zweite Tätigkeit konzentrierte sich auf den Erfahrungsaustausch der Dominikanischen Republik über die Umsetzung eines Sortenschutzsystems, was eine Folgemaßnahme der im Mai 2020 durchgeführten Tätigkeit zur Überarbeitung der Rechtsvorschriften zum Sortenschutz war. Das Webinar richtete sich an alle CARIFORUM-Staaten und war von besonderem Interesse für Länder, die dem UPOV-System gerade beigetreten </w:t>
      </w:r>
      <w:r>
        <w:rPr>
          <w:rFonts w:ascii="Arial" w:hAnsi="Arial" w:cs="Arial"/>
          <w:sz w:val="20"/>
          <w:szCs w:val="20"/>
        </w:rPr>
        <w:t>waren</w:t>
      </w:r>
      <w:r w:rsidRPr="00073708">
        <w:rPr>
          <w:rFonts w:ascii="Arial" w:hAnsi="Arial" w:cs="Arial"/>
          <w:sz w:val="20"/>
          <w:szCs w:val="20"/>
        </w:rPr>
        <w:t>, wie St. Vincent und die Grenadinen.</w:t>
      </w:r>
    </w:p>
    <w:p w:rsidR="001F2153" w:rsidRPr="00073708" w:rsidRDefault="001F2153" w:rsidP="001F2153">
      <w:pPr>
        <w:pStyle w:val="NormalWeb"/>
        <w:spacing w:before="0" w:beforeAutospacing="0" w:after="0" w:afterAutospacing="0"/>
        <w:contextualSpacing/>
        <w:jc w:val="both"/>
        <w:rPr>
          <w:rFonts w:ascii="Arial" w:hAnsi="Arial" w:cs="Arial"/>
          <w:sz w:val="20"/>
          <w:szCs w:val="20"/>
        </w:rPr>
      </w:pPr>
    </w:p>
    <w:p w:rsidR="001F2153" w:rsidRPr="00073708" w:rsidRDefault="001F2153" w:rsidP="001F2153">
      <w:pPr>
        <w:pStyle w:val="NormalWeb"/>
        <w:spacing w:before="0" w:beforeAutospacing="0" w:after="0" w:afterAutospacing="0"/>
        <w:contextualSpacing/>
        <w:jc w:val="both"/>
        <w:rPr>
          <w:rFonts w:ascii="Arial" w:hAnsi="Arial" w:cs="Arial"/>
          <w:sz w:val="20"/>
          <w:szCs w:val="20"/>
        </w:rPr>
      </w:pPr>
      <w:r w:rsidRPr="00073708">
        <w:rPr>
          <w:rFonts w:ascii="Arial" w:hAnsi="Arial" w:cs="Arial"/>
          <w:sz w:val="20"/>
          <w:szCs w:val="20"/>
        </w:rPr>
        <w:t>Nachdem St. Vincent und die Grenadinen (SVG) am 22.</w:t>
      </w:r>
      <w:r w:rsidRPr="00073708">
        <w:rPr>
          <w:rFonts w:ascii="Arial" w:hAnsi="Arial" w:cs="Arial"/>
          <w:sz w:val="20"/>
          <w:szCs w:val="20"/>
          <w:vertAlign w:val="superscript"/>
        </w:rPr>
        <w:t xml:space="preserve"> </w:t>
      </w:r>
      <w:r w:rsidRPr="00073708">
        <w:rPr>
          <w:rFonts w:ascii="Arial" w:hAnsi="Arial" w:cs="Arial"/>
          <w:sz w:val="20"/>
          <w:szCs w:val="20"/>
        </w:rPr>
        <w:t>Februar 2021 ihre Urkunde über den Beitritt zur UPOV hinterlegt haben, ist SVG am 22.</w:t>
      </w:r>
      <w:r w:rsidRPr="00073708">
        <w:rPr>
          <w:rFonts w:ascii="Arial" w:hAnsi="Arial" w:cs="Arial"/>
          <w:sz w:val="20"/>
          <w:szCs w:val="20"/>
          <w:vertAlign w:val="superscript"/>
        </w:rPr>
        <w:t xml:space="preserve"> </w:t>
      </w:r>
      <w:r w:rsidRPr="00073708">
        <w:rPr>
          <w:rFonts w:ascii="Arial" w:hAnsi="Arial" w:cs="Arial"/>
          <w:sz w:val="20"/>
          <w:szCs w:val="20"/>
        </w:rPr>
        <w:t xml:space="preserve">März 2021 das siebenundsiebzigste Mitglied der UPOV geworden. Im Juni 2021 wurde eine </w:t>
      </w:r>
      <w:r>
        <w:rPr>
          <w:rFonts w:ascii="Arial" w:hAnsi="Arial" w:cs="Arial"/>
          <w:sz w:val="20"/>
          <w:szCs w:val="20"/>
        </w:rPr>
        <w:t>Aktivität</w:t>
      </w:r>
      <w:r w:rsidRPr="00073708">
        <w:rPr>
          <w:rFonts w:ascii="Arial" w:hAnsi="Arial" w:cs="Arial"/>
          <w:sz w:val="20"/>
          <w:szCs w:val="20"/>
        </w:rPr>
        <w:t xml:space="preserve"> eingeleitet, um SVG bei der Anpassung der Rechtsvorschriften und bei der Umsetzung der maßgeblichen Verwaltungsvorschriften zu unterstützen.</w:t>
      </w:r>
    </w:p>
    <w:p w:rsidR="001F2153" w:rsidRPr="00073708" w:rsidRDefault="001F2153" w:rsidP="001F2153">
      <w:pPr>
        <w:pStyle w:val="NormalWeb"/>
        <w:spacing w:before="0" w:beforeAutospacing="0" w:after="0" w:afterAutospacing="0"/>
        <w:contextualSpacing/>
        <w:jc w:val="both"/>
        <w:rPr>
          <w:rFonts w:ascii="Arial" w:hAnsi="Arial" w:cs="Arial"/>
          <w:sz w:val="20"/>
          <w:szCs w:val="20"/>
        </w:rPr>
      </w:pPr>
    </w:p>
    <w:p w:rsidR="001F2153" w:rsidRPr="00C8302B" w:rsidRDefault="001F2153" w:rsidP="001F2153">
      <w:pPr>
        <w:pStyle w:val="NormalWeb"/>
        <w:spacing w:before="0" w:beforeAutospacing="0" w:after="0" w:afterAutospacing="0"/>
        <w:contextualSpacing/>
        <w:jc w:val="both"/>
        <w:rPr>
          <w:rFonts w:ascii="Arial" w:hAnsi="Arial" w:cs="Arial"/>
          <w:sz w:val="20"/>
          <w:szCs w:val="20"/>
        </w:rPr>
      </w:pPr>
      <w:r w:rsidRPr="00073708">
        <w:rPr>
          <w:rFonts w:ascii="Arial" w:hAnsi="Arial" w:cs="Arial"/>
          <w:sz w:val="20"/>
          <w:szCs w:val="20"/>
        </w:rPr>
        <w:t>Am 1.</w:t>
      </w:r>
      <w:r w:rsidRPr="00073708">
        <w:rPr>
          <w:rFonts w:ascii="Arial" w:hAnsi="Arial" w:cs="Arial"/>
          <w:sz w:val="20"/>
          <w:szCs w:val="20"/>
          <w:vertAlign w:val="superscript"/>
        </w:rPr>
        <w:t xml:space="preserve"> </w:t>
      </w:r>
      <w:r w:rsidRPr="00073708">
        <w:rPr>
          <w:rFonts w:ascii="Arial" w:hAnsi="Arial" w:cs="Arial"/>
          <w:sz w:val="20"/>
          <w:szCs w:val="20"/>
        </w:rPr>
        <w:t xml:space="preserve">Februar 2020 begann das </w:t>
      </w:r>
      <w:r w:rsidRPr="00073708">
        <w:rPr>
          <w:rFonts w:ascii="Arial" w:hAnsi="Arial" w:cs="Arial"/>
          <w:b/>
          <w:bCs/>
          <w:sz w:val="20"/>
          <w:szCs w:val="20"/>
        </w:rPr>
        <w:t>AfrIPI</w:t>
      </w:r>
      <w:r w:rsidRPr="00073708">
        <w:rPr>
          <w:rFonts w:ascii="Arial" w:hAnsi="Arial" w:cs="Arial"/>
          <w:sz w:val="20"/>
          <w:szCs w:val="20"/>
        </w:rPr>
        <w:t>-Projekt (</w:t>
      </w:r>
      <w:r w:rsidRPr="005E5CE1">
        <w:rPr>
          <w:rFonts w:ascii="Arial" w:hAnsi="Arial" w:cs="Arial"/>
          <w:i/>
          <w:iCs/>
          <w:sz w:val="20"/>
          <w:szCs w:val="20"/>
        </w:rPr>
        <w:t>Intellectual Property Rights Action for Africa</w:t>
      </w:r>
      <w:r w:rsidR="003B64F4">
        <w:rPr>
          <w:rFonts w:ascii="Arial" w:hAnsi="Arial" w:cs="Arial"/>
          <w:sz w:val="20"/>
          <w:szCs w:val="20"/>
        </w:rPr>
        <w:t>) mit einer 7</w:t>
      </w:r>
      <w:r w:rsidR="003B64F4">
        <w:rPr>
          <w:rFonts w:ascii="Arial" w:hAnsi="Arial" w:cs="Arial"/>
          <w:sz w:val="20"/>
          <w:szCs w:val="20"/>
        </w:rPr>
        <w:noBreakHyphen/>
      </w:r>
      <w:r w:rsidRPr="00073708">
        <w:rPr>
          <w:rFonts w:ascii="Arial" w:hAnsi="Arial" w:cs="Arial"/>
          <w:sz w:val="20"/>
          <w:szCs w:val="20"/>
        </w:rPr>
        <w:t xml:space="preserve">monatigen Anlaufphase und wird über einen Zeitraum von vier Jahren laufen. Das Projekt wird im Rahmen des Panafrikanischen Programms finanziert und vom EUIPO umgesetzt. Die Anfangsphase des Projekts </w:t>
      </w:r>
      <w:r>
        <w:rPr>
          <w:rFonts w:ascii="Arial" w:hAnsi="Arial" w:cs="Arial"/>
          <w:sz w:val="20"/>
          <w:szCs w:val="20"/>
        </w:rPr>
        <w:t>war</w:t>
      </w:r>
      <w:r w:rsidRPr="00073708">
        <w:rPr>
          <w:rFonts w:ascii="Arial" w:hAnsi="Arial" w:cs="Arial"/>
          <w:sz w:val="20"/>
          <w:szCs w:val="20"/>
        </w:rPr>
        <w:t xml:space="preserve"> durch die Covid-19-Pandemie stark beeinträchtigt, was die </w:t>
      </w:r>
      <w:r>
        <w:rPr>
          <w:rFonts w:ascii="Arial" w:hAnsi="Arial" w:cs="Arial"/>
          <w:sz w:val="20"/>
          <w:szCs w:val="20"/>
        </w:rPr>
        <w:t>Erfassung</w:t>
      </w:r>
      <w:r w:rsidRPr="00073708">
        <w:rPr>
          <w:rFonts w:ascii="Arial" w:hAnsi="Arial" w:cs="Arial"/>
          <w:sz w:val="20"/>
          <w:szCs w:val="20"/>
        </w:rPr>
        <w:t xml:space="preserve"> von Informationen aus den begünstigten </w:t>
      </w:r>
      <w:r w:rsidRPr="00073708">
        <w:rPr>
          <w:rFonts w:ascii="Arial" w:hAnsi="Arial" w:cs="Arial"/>
          <w:sz w:val="20"/>
          <w:szCs w:val="20"/>
        </w:rPr>
        <w:lastRenderedPageBreak/>
        <w:t xml:space="preserve">Ländern zu einer großen Herausforderung machte. Im ersten Jahresarbeitsplan (AWP, </w:t>
      </w:r>
      <w:r w:rsidRPr="00290F43">
        <w:rPr>
          <w:rFonts w:ascii="Arial" w:hAnsi="Arial" w:cs="Arial"/>
          <w:i/>
          <w:iCs/>
          <w:sz w:val="20"/>
          <w:szCs w:val="20"/>
        </w:rPr>
        <w:t>Annual Working Plan</w:t>
      </w:r>
      <w:r w:rsidRPr="00073708">
        <w:rPr>
          <w:rFonts w:ascii="Arial" w:hAnsi="Arial" w:cs="Arial"/>
          <w:sz w:val="20"/>
          <w:szCs w:val="20"/>
        </w:rPr>
        <w:t>) des Projekts war die Beteiligung des CPVO an der Umsetzung einer Tätigkeit zur Förderung des Arusha-Protokolls vorgesehen. Die Arbeitstagung war ursprünglich für Oktober 2020 vorgesehen, wurde aber auf das dritte Quartal 2021 verschoben. Im Juli 2021</w:t>
      </w:r>
      <w:r w:rsidRPr="00D25E32">
        <w:rPr>
          <w:rFonts w:ascii="Arial" w:hAnsi="Arial" w:cs="Arial"/>
          <w:sz w:val="20"/>
          <w:szCs w:val="20"/>
        </w:rPr>
        <w:t xml:space="preserve"> schlug das CPVO in Zusammenarbeit mit der UPOV drei Tätigkeiten vor</w:t>
      </w:r>
      <w:r w:rsidRPr="00C8302B">
        <w:rPr>
          <w:rFonts w:ascii="Arial" w:hAnsi="Arial" w:cs="Arial"/>
          <w:sz w:val="20"/>
          <w:szCs w:val="20"/>
        </w:rPr>
        <w:t xml:space="preserve">, die in </w:t>
      </w:r>
      <w:r>
        <w:rPr>
          <w:rFonts w:ascii="Arial" w:hAnsi="Arial" w:cs="Arial"/>
          <w:sz w:val="20"/>
          <w:szCs w:val="20"/>
        </w:rPr>
        <w:t>den</w:t>
      </w:r>
      <w:r w:rsidRPr="00C8302B">
        <w:rPr>
          <w:rFonts w:ascii="Arial" w:hAnsi="Arial" w:cs="Arial"/>
          <w:sz w:val="20"/>
          <w:szCs w:val="20"/>
        </w:rPr>
        <w:t xml:space="preserve"> zweite</w:t>
      </w:r>
      <w:r>
        <w:rPr>
          <w:rFonts w:ascii="Arial" w:hAnsi="Arial" w:cs="Arial"/>
          <w:sz w:val="20"/>
          <w:szCs w:val="20"/>
        </w:rPr>
        <w:t>n</w:t>
      </w:r>
      <w:r w:rsidRPr="00C8302B">
        <w:rPr>
          <w:rFonts w:ascii="Arial" w:hAnsi="Arial" w:cs="Arial"/>
          <w:sz w:val="20"/>
          <w:szCs w:val="20"/>
        </w:rPr>
        <w:t xml:space="preserve"> AWP des AfrIPI-Projekts aufgenommen werden sollten.</w:t>
      </w:r>
    </w:p>
    <w:p w:rsidR="001F2153" w:rsidRPr="00C8302B" w:rsidRDefault="001F2153" w:rsidP="001F2153">
      <w:pPr>
        <w:pStyle w:val="NormalWeb"/>
        <w:spacing w:before="0" w:beforeAutospacing="0" w:after="0" w:afterAutospacing="0"/>
        <w:contextualSpacing/>
        <w:jc w:val="both"/>
        <w:rPr>
          <w:rFonts w:ascii="Arial" w:hAnsi="Arial" w:cs="Arial"/>
          <w:sz w:val="20"/>
          <w:szCs w:val="20"/>
        </w:rPr>
      </w:pPr>
    </w:p>
    <w:p w:rsidR="001F2153" w:rsidRPr="00C8302B" w:rsidRDefault="001F2153" w:rsidP="001F2153">
      <w:pPr>
        <w:pStyle w:val="NormalWeb"/>
        <w:spacing w:before="0" w:beforeAutospacing="0" w:after="0" w:afterAutospacing="0"/>
        <w:contextualSpacing/>
        <w:jc w:val="both"/>
        <w:rPr>
          <w:rFonts w:ascii="Arial" w:hAnsi="Arial" w:cs="Arial"/>
          <w:sz w:val="20"/>
          <w:szCs w:val="20"/>
        </w:rPr>
      </w:pPr>
      <w:r w:rsidRPr="00C8302B">
        <w:rPr>
          <w:rFonts w:ascii="Arial" w:hAnsi="Arial" w:cs="Arial"/>
          <w:sz w:val="20"/>
          <w:szCs w:val="20"/>
        </w:rPr>
        <w:t xml:space="preserve">Neben den IPKey-Projekten wurde das CPVO am 22. Juli 2021 als Referent zum Internationalen Symposium über die Erhaltung von Pflanzenzüchtungen eingeladen, das von der Chinesischen Akademie für Forstwirtschaft (NFGA) veranstaltet wurde. Das Seminar konzentrierte sich auf verschiedene Schlüsselkonzepte im Rahmen </w:t>
      </w:r>
      <w:r>
        <w:rPr>
          <w:rFonts w:ascii="Arial" w:hAnsi="Arial" w:cs="Arial"/>
          <w:sz w:val="20"/>
          <w:szCs w:val="20"/>
        </w:rPr>
        <w:t>von</w:t>
      </w:r>
      <w:r w:rsidRPr="00C8302B">
        <w:rPr>
          <w:rFonts w:ascii="Arial" w:hAnsi="Arial" w:cs="Arial"/>
          <w:sz w:val="20"/>
          <w:szCs w:val="20"/>
        </w:rPr>
        <w:t xml:space="preserve"> UPOV 1991, wie z. B. </w:t>
      </w:r>
      <w:r w:rsidRPr="008311FC">
        <w:rPr>
          <w:rFonts w:ascii="Arial" w:hAnsi="Arial" w:cs="Arial"/>
          <w:sz w:val="20"/>
          <w:szCs w:val="20"/>
        </w:rPr>
        <w:t>im wesentlichen abgeleitete Sorten</w:t>
      </w:r>
      <w:r w:rsidRPr="00C8302B">
        <w:rPr>
          <w:rFonts w:ascii="Arial" w:hAnsi="Arial" w:cs="Arial"/>
          <w:sz w:val="20"/>
          <w:szCs w:val="20"/>
        </w:rPr>
        <w:t xml:space="preserve">, Neuheit und allgemein bekannte Sorten sowie den Schutz von Erntegut. An der Veranstaltung nahmen auch Vertreter aus China teil, die die Rechte der Landwirte nach dem chinesischen Sortenschutzsystem und die verschiedenen Szenarien für </w:t>
      </w:r>
      <w:r>
        <w:rPr>
          <w:rFonts w:ascii="Arial" w:hAnsi="Arial" w:cs="Arial"/>
          <w:sz w:val="20"/>
          <w:szCs w:val="20"/>
        </w:rPr>
        <w:t>die</w:t>
      </w:r>
      <w:r w:rsidRPr="00C8302B">
        <w:rPr>
          <w:rFonts w:ascii="Arial" w:hAnsi="Arial" w:cs="Arial"/>
          <w:sz w:val="20"/>
          <w:szCs w:val="20"/>
        </w:rPr>
        <w:t xml:space="preserve"> </w:t>
      </w:r>
      <w:r>
        <w:rPr>
          <w:rFonts w:ascii="Arial" w:hAnsi="Arial" w:cs="Arial"/>
          <w:sz w:val="20"/>
          <w:szCs w:val="20"/>
        </w:rPr>
        <w:t>Verwendung</w:t>
      </w:r>
      <w:r w:rsidRPr="00C8302B">
        <w:rPr>
          <w:rFonts w:ascii="Arial" w:hAnsi="Arial" w:cs="Arial"/>
          <w:sz w:val="20"/>
          <w:szCs w:val="20"/>
        </w:rPr>
        <w:t xml:space="preserve"> molekularer Verfahren im </w:t>
      </w:r>
      <w:r w:rsidRPr="00267B3D">
        <w:rPr>
          <w:rFonts w:ascii="Arial" w:hAnsi="Arial" w:cs="Arial"/>
          <w:sz w:val="20"/>
          <w:szCs w:val="20"/>
        </w:rPr>
        <w:t>Rahmen des Sortenschutzsystems erläuterten.</w:t>
      </w:r>
    </w:p>
    <w:p w:rsidR="001F2153" w:rsidRPr="00C8302B" w:rsidRDefault="001F2153" w:rsidP="001F2153">
      <w:pPr>
        <w:autoSpaceDE w:val="0"/>
        <w:autoSpaceDN w:val="0"/>
        <w:adjustRightInd w:val="0"/>
        <w:contextualSpacing/>
        <w:rPr>
          <w:rFonts w:cs="Arial"/>
        </w:rPr>
      </w:pPr>
    </w:p>
    <w:p w:rsidR="001F2153" w:rsidRPr="00C8302B" w:rsidRDefault="001F2153" w:rsidP="001F2153">
      <w:pPr>
        <w:autoSpaceDE w:val="0"/>
        <w:autoSpaceDN w:val="0"/>
        <w:adjustRightInd w:val="0"/>
        <w:contextualSpacing/>
        <w:rPr>
          <w:rFonts w:cs="Arial"/>
          <w:u w:val="single"/>
        </w:rPr>
      </w:pPr>
      <w:r w:rsidRPr="001B472E">
        <w:rPr>
          <w:rFonts w:cs="Arial"/>
          <w:u w:val="single"/>
        </w:rPr>
        <w:t>UPOV-Tagungen</w:t>
      </w:r>
    </w:p>
    <w:p w:rsidR="001F2153" w:rsidRPr="00C8302B" w:rsidRDefault="001F2153" w:rsidP="001F2153">
      <w:pPr>
        <w:pStyle w:val="NormalWeb"/>
        <w:spacing w:before="0" w:beforeAutospacing="0" w:after="0" w:afterAutospacing="0"/>
        <w:contextualSpacing/>
        <w:jc w:val="both"/>
        <w:rPr>
          <w:rFonts w:ascii="Arial" w:hAnsi="Arial" w:cs="Arial"/>
          <w:sz w:val="20"/>
          <w:szCs w:val="20"/>
        </w:rPr>
      </w:pPr>
    </w:p>
    <w:p w:rsidR="001F2153" w:rsidRPr="00C8302B" w:rsidRDefault="001F2153" w:rsidP="001F2153">
      <w:pPr>
        <w:pStyle w:val="NormalWeb"/>
        <w:spacing w:before="0" w:beforeAutospacing="0" w:after="0" w:afterAutospacing="0"/>
        <w:contextualSpacing/>
        <w:jc w:val="both"/>
        <w:rPr>
          <w:rFonts w:ascii="Arial" w:hAnsi="Arial" w:cs="Arial"/>
          <w:sz w:val="20"/>
          <w:szCs w:val="20"/>
        </w:rPr>
      </w:pPr>
      <w:r w:rsidRPr="001B472E">
        <w:rPr>
          <w:rFonts w:ascii="Arial" w:hAnsi="Arial" w:cs="Arial"/>
          <w:sz w:val="20"/>
          <w:szCs w:val="20"/>
        </w:rPr>
        <w:t>Die Vertreter</w:t>
      </w:r>
      <w:r w:rsidRPr="00C8302B">
        <w:rPr>
          <w:rFonts w:ascii="Arial" w:hAnsi="Arial" w:cs="Arial"/>
          <w:sz w:val="20"/>
          <w:szCs w:val="20"/>
        </w:rPr>
        <w:t xml:space="preserve"> der Europäischen Kommission und des CPVO nahmen am Rat der UPOV, am Beratenden Ausschuss, am </w:t>
      </w:r>
      <w:r w:rsidRPr="005F560F">
        <w:rPr>
          <w:rFonts w:ascii="Arial" w:hAnsi="Arial" w:cs="Arial"/>
          <w:sz w:val="20"/>
          <w:szCs w:val="20"/>
        </w:rPr>
        <w:t>Rechts- und Verwaltungsausschuss</w:t>
      </w:r>
      <w:r w:rsidRPr="00C8302B">
        <w:rPr>
          <w:rFonts w:ascii="Arial" w:hAnsi="Arial" w:cs="Arial"/>
          <w:sz w:val="20"/>
          <w:szCs w:val="20"/>
        </w:rPr>
        <w:t xml:space="preserve"> sowie an den Arbeitsgruppen für internationale Zusammenarbeit, das </w:t>
      </w:r>
      <w:r w:rsidRPr="009273F0">
        <w:rPr>
          <w:rFonts w:ascii="Arial" w:hAnsi="Arial" w:cs="Arial"/>
          <w:sz w:val="20"/>
          <w:szCs w:val="20"/>
        </w:rPr>
        <w:t>elektronische Antragsformblatt</w:t>
      </w:r>
      <w:r>
        <w:rPr>
          <w:rFonts w:ascii="Arial" w:hAnsi="Arial" w:cs="Arial"/>
          <w:sz w:val="20"/>
          <w:szCs w:val="20"/>
        </w:rPr>
        <w:t xml:space="preserve"> und </w:t>
      </w:r>
      <w:r w:rsidRPr="00C8302B">
        <w:rPr>
          <w:rFonts w:ascii="Arial" w:hAnsi="Arial" w:cs="Arial"/>
          <w:sz w:val="20"/>
          <w:szCs w:val="20"/>
        </w:rPr>
        <w:t xml:space="preserve">Sortenbezeichnungen und an den </w:t>
      </w:r>
      <w:r>
        <w:rPr>
          <w:rFonts w:ascii="Arial" w:hAnsi="Arial" w:cs="Arial"/>
          <w:sz w:val="20"/>
          <w:szCs w:val="20"/>
        </w:rPr>
        <w:t>Tagungen</w:t>
      </w:r>
      <w:r w:rsidRPr="00C8302B">
        <w:rPr>
          <w:rFonts w:ascii="Arial" w:hAnsi="Arial" w:cs="Arial"/>
          <w:sz w:val="20"/>
          <w:szCs w:val="20"/>
        </w:rPr>
        <w:t xml:space="preserve"> der Technischen Arbeitsgruppen teil.</w:t>
      </w:r>
    </w:p>
    <w:p w:rsidR="001F2153" w:rsidRPr="00C8302B" w:rsidRDefault="001F2153" w:rsidP="001F2153">
      <w:pPr>
        <w:autoSpaceDE w:val="0"/>
        <w:autoSpaceDN w:val="0"/>
        <w:adjustRightInd w:val="0"/>
        <w:contextualSpacing/>
        <w:rPr>
          <w:rFonts w:cs="Arial"/>
        </w:rPr>
      </w:pPr>
    </w:p>
    <w:p w:rsidR="001F2153" w:rsidRPr="00C8302B" w:rsidRDefault="001F2153" w:rsidP="001F2153">
      <w:pPr>
        <w:keepNext/>
        <w:autoSpaceDE w:val="0"/>
        <w:autoSpaceDN w:val="0"/>
        <w:adjustRightInd w:val="0"/>
        <w:contextualSpacing/>
        <w:rPr>
          <w:rFonts w:cs="Arial"/>
          <w:u w:val="single"/>
        </w:rPr>
      </w:pPr>
      <w:r w:rsidRPr="00C8302B">
        <w:rPr>
          <w:rFonts w:cs="Arial"/>
          <w:u w:val="single"/>
        </w:rPr>
        <w:t>EAPVP</w:t>
      </w:r>
    </w:p>
    <w:p w:rsidR="001F2153" w:rsidRPr="00C8302B" w:rsidRDefault="001F2153" w:rsidP="001F2153">
      <w:pPr>
        <w:keepNext/>
        <w:autoSpaceDE w:val="0"/>
        <w:autoSpaceDN w:val="0"/>
        <w:adjustRightInd w:val="0"/>
        <w:contextualSpacing/>
        <w:rPr>
          <w:rFonts w:cs="Arial"/>
        </w:rPr>
      </w:pPr>
    </w:p>
    <w:p w:rsidR="001F2153" w:rsidRPr="00237F23" w:rsidRDefault="001F2153" w:rsidP="001F2153">
      <w:pPr>
        <w:autoSpaceDE w:val="0"/>
        <w:autoSpaceDN w:val="0"/>
        <w:adjustRightInd w:val="0"/>
        <w:contextualSpacing/>
        <w:rPr>
          <w:rFonts w:cs="Arial"/>
        </w:rPr>
      </w:pPr>
      <w:r>
        <w:rPr>
          <w:rFonts w:cs="Arial"/>
        </w:rPr>
        <w:t>Aufgrund der</w:t>
      </w:r>
      <w:r w:rsidRPr="00C8302B">
        <w:rPr>
          <w:rFonts w:cs="Arial"/>
        </w:rPr>
        <w:t xml:space="preserve"> Covid-19-Pandemie wurde die </w:t>
      </w:r>
      <w:r w:rsidRPr="00611A59">
        <w:rPr>
          <w:rFonts w:cs="Arial"/>
        </w:rPr>
        <w:t>13.</w:t>
      </w:r>
      <w:r w:rsidRPr="00C8302B">
        <w:rPr>
          <w:rFonts w:cs="Arial"/>
          <w:vertAlign w:val="superscript"/>
        </w:rPr>
        <w:t xml:space="preserve"> </w:t>
      </w:r>
      <w:r w:rsidRPr="00C8302B">
        <w:rPr>
          <w:rFonts w:cs="Arial"/>
        </w:rPr>
        <w:t xml:space="preserve">Tagung des Ostasien-Forums für Sortenschutz (EAPVP) </w:t>
      </w:r>
      <w:r>
        <w:rPr>
          <w:rFonts w:cs="Arial"/>
        </w:rPr>
        <w:t>vertagt</w:t>
      </w:r>
      <w:r w:rsidRPr="00C8302B">
        <w:rPr>
          <w:rFonts w:cs="Arial"/>
        </w:rPr>
        <w:t xml:space="preserve"> und fand im November 2020 statt. Das </w:t>
      </w:r>
      <w:r w:rsidRPr="00E46B38">
        <w:rPr>
          <w:rFonts w:cs="Arial"/>
        </w:rPr>
        <w:t>14.</w:t>
      </w:r>
      <w:r w:rsidRPr="00C8302B">
        <w:rPr>
          <w:rFonts w:cs="Arial"/>
          <w:vertAlign w:val="superscript"/>
        </w:rPr>
        <w:t xml:space="preserve"> </w:t>
      </w:r>
      <w:r w:rsidRPr="00C8302B">
        <w:rPr>
          <w:rFonts w:cs="Arial"/>
        </w:rPr>
        <w:t>jährliche Forum ist für August</w:t>
      </w:r>
      <w:r>
        <w:rPr>
          <w:rFonts w:cs="Arial"/>
        </w:rPr>
        <w:t xml:space="preserve"> - </w:t>
      </w:r>
      <w:r w:rsidRPr="00C8302B">
        <w:rPr>
          <w:rFonts w:cs="Arial"/>
        </w:rPr>
        <w:t>September 2021 vorgesehen und wird von Japan ausgerichtet</w:t>
      </w:r>
      <w:r>
        <w:rPr>
          <w:rFonts w:cs="Arial"/>
        </w:rPr>
        <w:t xml:space="preserve"> werden</w:t>
      </w:r>
      <w:r w:rsidRPr="00C8302B">
        <w:rPr>
          <w:rFonts w:cs="Arial"/>
        </w:rPr>
        <w:t xml:space="preserve">. Die Jahrestagung des EAPVP-Forums dient dem Zweck, über die </w:t>
      </w:r>
      <w:r w:rsidRPr="00237F23">
        <w:rPr>
          <w:rFonts w:cs="Arial"/>
        </w:rPr>
        <w:t>Tätigkeiten des vergangenen Jahres zu berichten und künftige Initiativen zur Zusammenarbeit zu planen, einschließlich aktueller Informationen über das EAPVP-Pilotprojekt zur Einrichtung einer e-PVP-Plattform.</w:t>
      </w:r>
      <w:r>
        <w:rPr>
          <w:rFonts w:cs="Arial"/>
        </w:rPr>
        <w:t xml:space="preserve"> </w:t>
      </w:r>
    </w:p>
    <w:p w:rsidR="001F2153" w:rsidRPr="00237F23" w:rsidRDefault="001F2153" w:rsidP="001F2153">
      <w:pPr>
        <w:autoSpaceDE w:val="0"/>
        <w:autoSpaceDN w:val="0"/>
        <w:adjustRightInd w:val="0"/>
        <w:contextualSpacing/>
        <w:rPr>
          <w:rFonts w:cs="Arial"/>
        </w:rPr>
      </w:pPr>
    </w:p>
    <w:p w:rsidR="001F2153" w:rsidRPr="00C8302B" w:rsidRDefault="001F2153" w:rsidP="001F2153">
      <w:pPr>
        <w:autoSpaceDE w:val="0"/>
        <w:autoSpaceDN w:val="0"/>
        <w:adjustRightInd w:val="0"/>
        <w:contextualSpacing/>
        <w:rPr>
          <w:rFonts w:cs="Arial"/>
          <w:u w:val="single"/>
        </w:rPr>
      </w:pPr>
      <w:r w:rsidRPr="00237F23">
        <w:rPr>
          <w:rFonts w:cs="Arial"/>
          <w:u w:val="single"/>
        </w:rPr>
        <w:t>CPVO - Europäisches Patentamt</w:t>
      </w:r>
      <w:r w:rsidRPr="00C8302B">
        <w:rPr>
          <w:rFonts w:cs="Arial"/>
          <w:u w:val="single"/>
        </w:rPr>
        <w:t xml:space="preserve"> </w:t>
      </w:r>
    </w:p>
    <w:p w:rsidR="001F2153" w:rsidRPr="00C8302B" w:rsidRDefault="001F2153" w:rsidP="001F2153">
      <w:pPr>
        <w:autoSpaceDE w:val="0"/>
        <w:autoSpaceDN w:val="0"/>
        <w:adjustRightInd w:val="0"/>
        <w:contextualSpacing/>
        <w:rPr>
          <w:rFonts w:cs="Arial"/>
        </w:rPr>
      </w:pPr>
    </w:p>
    <w:p w:rsidR="001F2153" w:rsidRPr="00746B30" w:rsidRDefault="001F2153" w:rsidP="001F2153">
      <w:pPr>
        <w:autoSpaceDE w:val="0"/>
        <w:autoSpaceDN w:val="0"/>
        <w:adjustRightInd w:val="0"/>
        <w:contextualSpacing/>
        <w:rPr>
          <w:rFonts w:cs="Arial"/>
        </w:rPr>
      </w:pPr>
      <w:r w:rsidRPr="00746B30">
        <w:rPr>
          <w:rFonts w:cs="Arial"/>
        </w:rPr>
        <w:t xml:space="preserve">Das CPVO und das Europäische Patentamt (EPA) arbeiten </w:t>
      </w:r>
      <w:r>
        <w:rPr>
          <w:rFonts w:cs="Arial"/>
        </w:rPr>
        <w:t>kontinuierlich</w:t>
      </w:r>
      <w:r w:rsidRPr="00746B30">
        <w:rPr>
          <w:rFonts w:cs="Arial"/>
        </w:rPr>
        <w:t xml:space="preserve"> zusammen, und zwar </w:t>
      </w:r>
      <w:r>
        <w:rPr>
          <w:rFonts w:cs="Arial"/>
        </w:rPr>
        <w:t>im Rahmen</w:t>
      </w:r>
      <w:r w:rsidRPr="00746B30">
        <w:rPr>
          <w:rFonts w:cs="Arial"/>
        </w:rPr>
        <w:t xml:space="preserve"> zwei</w:t>
      </w:r>
      <w:r>
        <w:rPr>
          <w:rFonts w:cs="Arial"/>
        </w:rPr>
        <w:t>er</w:t>
      </w:r>
      <w:r w:rsidRPr="00746B30">
        <w:rPr>
          <w:rFonts w:cs="Arial"/>
        </w:rPr>
        <w:t xml:space="preserve"> Vereinbarungen, der am 11. Februar 2016 unterzeichneten Verwaltungsvereinbarung Nr. 2016/0009 über die bilaterale Zusammenarbeit zum Austausch von Informationen und bewährten </w:t>
      </w:r>
      <w:r w:rsidRPr="009B7E9A">
        <w:rPr>
          <w:rFonts w:cs="Arial"/>
        </w:rPr>
        <w:t>Praktiken</w:t>
      </w:r>
      <w:r w:rsidRPr="00746B30">
        <w:rPr>
          <w:rFonts w:cs="Arial"/>
        </w:rPr>
        <w:t xml:space="preserve"> </w:t>
      </w:r>
      <w:r>
        <w:rPr>
          <w:rFonts w:cs="Arial"/>
        </w:rPr>
        <w:t>auf dem Gebiet</w:t>
      </w:r>
      <w:r w:rsidRPr="00746B30">
        <w:rPr>
          <w:rFonts w:cs="Arial"/>
        </w:rPr>
        <w:t xml:space="preserve"> der pflanzenbezogenen Patente und </w:t>
      </w:r>
      <w:r>
        <w:rPr>
          <w:rFonts w:cs="Arial"/>
        </w:rPr>
        <w:t>Sortenrechte</w:t>
      </w:r>
      <w:r w:rsidRPr="00746B30">
        <w:rPr>
          <w:rFonts w:cs="Arial"/>
        </w:rPr>
        <w:t xml:space="preserve"> </w:t>
      </w:r>
      <w:r w:rsidRPr="008F238F">
        <w:rPr>
          <w:rFonts w:cs="Arial"/>
        </w:rPr>
        <w:t>sowie der Vereinbarung 2018/0264 zu praktischen Aspekten d</w:t>
      </w:r>
      <w:r w:rsidRPr="00746B30">
        <w:rPr>
          <w:rFonts w:cs="Arial"/>
        </w:rPr>
        <w:t xml:space="preserve">er Umsetzung der Verwaltungsvereinbarung. Beide </w:t>
      </w:r>
      <w:r>
        <w:rPr>
          <w:rFonts w:cs="Arial"/>
        </w:rPr>
        <w:t>Vereinbarungen</w:t>
      </w:r>
      <w:r w:rsidRPr="00746B30">
        <w:rPr>
          <w:rFonts w:cs="Arial"/>
        </w:rPr>
        <w:t xml:space="preserve"> laufen im Februar 2022 aus und die Gespräche über eine Verlängerung sind derzeit im Gange. </w:t>
      </w:r>
    </w:p>
    <w:p w:rsidR="001F2153" w:rsidRPr="00746B30" w:rsidRDefault="001F2153" w:rsidP="001F2153">
      <w:pPr>
        <w:autoSpaceDE w:val="0"/>
        <w:autoSpaceDN w:val="0"/>
        <w:adjustRightInd w:val="0"/>
        <w:contextualSpacing/>
        <w:rPr>
          <w:rFonts w:cs="Arial"/>
        </w:rPr>
      </w:pPr>
    </w:p>
    <w:p w:rsidR="001F2153" w:rsidRPr="00746B30" w:rsidRDefault="001F2153" w:rsidP="001F2153">
      <w:pPr>
        <w:autoSpaceDE w:val="0"/>
        <w:autoSpaceDN w:val="0"/>
        <w:adjustRightInd w:val="0"/>
        <w:contextualSpacing/>
        <w:rPr>
          <w:rFonts w:cs="Arial"/>
        </w:rPr>
      </w:pPr>
      <w:r w:rsidRPr="00746B30">
        <w:rPr>
          <w:rFonts w:cs="Arial"/>
        </w:rPr>
        <w:t xml:space="preserve">Zur Umsetzung der Vereinbarung veranstalteten die beiden Organisationen im Januar 2021 eine gemeinsame </w:t>
      </w:r>
      <w:r w:rsidRPr="00382436">
        <w:rPr>
          <w:rFonts w:cs="Arial"/>
        </w:rPr>
        <w:t>Arbeitstagung über die Ergebnisse</w:t>
      </w:r>
      <w:r w:rsidRPr="00746B30">
        <w:rPr>
          <w:rFonts w:cs="Arial"/>
        </w:rPr>
        <w:t xml:space="preserve"> des Gutachtens G3/19 der Großen Beschwerdekammer des EPA. Dabei ging es vor allem um die Patentierbarkeit von Mutagenese</w:t>
      </w:r>
      <w:r>
        <w:rPr>
          <w:rFonts w:cs="Arial"/>
        </w:rPr>
        <w:t>prozessen</w:t>
      </w:r>
      <w:r w:rsidRPr="00746B30">
        <w:rPr>
          <w:rFonts w:cs="Arial"/>
        </w:rPr>
        <w:t xml:space="preserve"> und de</w:t>
      </w:r>
      <w:r>
        <w:rPr>
          <w:rFonts w:cs="Arial"/>
        </w:rPr>
        <w:t>r</w:t>
      </w:r>
      <w:r w:rsidRPr="00746B30">
        <w:rPr>
          <w:rFonts w:cs="Arial"/>
        </w:rPr>
        <w:t xml:space="preserve"> daraus gewonnenen Produkte. </w:t>
      </w:r>
      <w:r>
        <w:rPr>
          <w:rFonts w:cs="Arial"/>
        </w:rPr>
        <w:t>Die</w:t>
      </w:r>
      <w:r w:rsidRPr="00746B30">
        <w:rPr>
          <w:rFonts w:cs="Arial"/>
        </w:rPr>
        <w:t xml:space="preserve"> </w:t>
      </w:r>
      <w:r>
        <w:rPr>
          <w:rFonts w:cs="Arial"/>
        </w:rPr>
        <w:t>Tagung</w:t>
      </w:r>
      <w:r w:rsidRPr="00746B30">
        <w:rPr>
          <w:rFonts w:cs="Arial"/>
        </w:rPr>
        <w:t xml:space="preserve"> bot auch </w:t>
      </w:r>
      <w:r>
        <w:rPr>
          <w:rFonts w:cs="Arial"/>
        </w:rPr>
        <w:t>eine</w:t>
      </w:r>
      <w:r w:rsidRPr="00746B30">
        <w:rPr>
          <w:rFonts w:cs="Arial"/>
        </w:rPr>
        <w:t xml:space="preserve"> Gelegenheit, die rechtlichen Rahmenbedingungen für Anhörungen per Videokonferenz zu erörtern, um Situationen </w:t>
      </w:r>
      <w:r>
        <w:rPr>
          <w:rFonts w:cs="Arial"/>
        </w:rPr>
        <w:t xml:space="preserve">ohne Präzedenzfälle </w:t>
      </w:r>
      <w:r w:rsidRPr="00746B30">
        <w:rPr>
          <w:rFonts w:cs="Arial"/>
        </w:rPr>
        <w:t>wie die Covid-19-Pandemie zu bewältigen und die Möglichkeiten neue</w:t>
      </w:r>
      <w:r>
        <w:rPr>
          <w:rFonts w:cs="Arial"/>
        </w:rPr>
        <w:t>r</w:t>
      </w:r>
      <w:r w:rsidRPr="00746B30">
        <w:rPr>
          <w:rFonts w:cs="Arial"/>
        </w:rPr>
        <w:t xml:space="preserve"> Technologien zu nutzen.</w:t>
      </w:r>
    </w:p>
    <w:p w:rsidR="001F2153" w:rsidRPr="00746B30" w:rsidRDefault="001F2153" w:rsidP="001F2153">
      <w:pPr>
        <w:autoSpaceDE w:val="0"/>
        <w:autoSpaceDN w:val="0"/>
        <w:adjustRightInd w:val="0"/>
        <w:contextualSpacing/>
        <w:rPr>
          <w:rFonts w:cs="Arial"/>
        </w:rPr>
      </w:pPr>
    </w:p>
    <w:p w:rsidR="001F2153" w:rsidRPr="00746B30" w:rsidRDefault="001F2153" w:rsidP="001F2153">
      <w:pPr>
        <w:autoSpaceDE w:val="0"/>
        <w:autoSpaceDN w:val="0"/>
        <w:adjustRightInd w:val="0"/>
        <w:contextualSpacing/>
        <w:rPr>
          <w:rFonts w:cs="Arial"/>
          <w:u w:val="single"/>
        </w:rPr>
      </w:pPr>
      <w:r w:rsidRPr="00746B30">
        <w:rPr>
          <w:rFonts w:cs="Arial"/>
          <w:u w:val="single"/>
        </w:rPr>
        <w:t>OAPI</w:t>
      </w:r>
    </w:p>
    <w:p w:rsidR="001F2153" w:rsidRPr="00746B30" w:rsidRDefault="001F2153" w:rsidP="001F2153">
      <w:pPr>
        <w:pStyle w:val="NormalWeb"/>
        <w:spacing w:before="0" w:beforeAutospacing="0" w:after="0" w:afterAutospacing="0"/>
        <w:contextualSpacing/>
        <w:jc w:val="both"/>
        <w:rPr>
          <w:rFonts w:ascii="Arial" w:hAnsi="Arial" w:cs="Arial"/>
          <w:sz w:val="20"/>
          <w:szCs w:val="20"/>
        </w:rPr>
      </w:pPr>
    </w:p>
    <w:p w:rsidR="001F2153" w:rsidRPr="00746B30" w:rsidRDefault="001F2153" w:rsidP="001F2153">
      <w:pPr>
        <w:pStyle w:val="NormalWeb"/>
        <w:spacing w:before="0" w:beforeAutospacing="0" w:after="0" w:afterAutospacing="0"/>
        <w:contextualSpacing/>
        <w:jc w:val="both"/>
        <w:rPr>
          <w:rFonts w:ascii="Arial" w:hAnsi="Arial" w:cs="Arial"/>
          <w:sz w:val="20"/>
          <w:szCs w:val="20"/>
        </w:rPr>
      </w:pPr>
      <w:r w:rsidRPr="00746B30">
        <w:rPr>
          <w:rFonts w:ascii="Arial" w:hAnsi="Arial" w:cs="Arial"/>
          <w:sz w:val="20"/>
          <w:szCs w:val="20"/>
        </w:rPr>
        <w:t xml:space="preserve">Anfang Juli 2019 unterzeichnete die EU-Kommission einen Vertrag mit dem Afrikanischen Amt für geistiges Eigentum (OAPI) in Genf über </w:t>
      </w:r>
      <w:r>
        <w:rPr>
          <w:rFonts w:ascii="Arial" w:hAnsi="Arial" w:cs="Arial"/>
          <w:sz w:val="20"/>
          <w:szCs w:val="20"/>
        </w:rPr>
        <w:t>d</w:t>
      </w:r>
      <w:r w:rsidRPr="00746B30">
        <w:rPr>
          <w:rFonts w:ascii="Arial" w:hAnsi="Arial" w:cs="Arial"/>
          <w:sz w:val="20"/>
          <w:szCs w:val="20"/>
        </w:rPr>
        <w:t>ie Bereitstellung von Mitteln für eine sogenannte Road Map</w:t>
      </w:r>
      <w:r>
        <w:rPr>
          <w:rFonts w:ascii="Arial" w:hAnsi="Arial" w:cs="Arial"/>
          <w:sz w:val="20"/>
          <w:szCs w:val="20"/>
        </w:rPr>
        <w:t xml:space="preserve"> zur</w:t>
      </w:r>
      <w:r w:rsidRPr="00746B30">
        <w:rPr>
          <w:rFonts w:ascii="Arial" w:hAnsi="Arial" w:cs="Arial"/>
          <w:sz w:val="20"/>
          <w:szCs w:val="20"/>
        </w:rPr>
        <w:t xml:space="preserve"> Förderung</w:t>
      </w:r>
      <w:r>
        <w:rPr>
          <w:rFonts w:ascii="Arial" w:hAnsi="Arial" w:cs="Arial"/>
          <w:sz w:val="20"/>
          <w:szCs w:val="20"/>
        </w:rPr>
        <w:t xml:space="preserve"> </w:t>
      </w:r>
      <w:r w:rsidRPr="00567AC7">
        <w:rPr>
          <w:rFonts w:ascii="Arial" w:hAnsi="Arial" w:cs="Arial"/>
          <w:sz w:val="20"/>
          <w:szCs w:val="20"/>
        </w:rPr>
        <w:t>des geistigen Eigentums</w:t>
      </w:r>
      <w:r w:rsidRPr="00746B30">
        <w:rPr>
          <w:rFonts w:ascii="Arial" w:hAnsi="Arial" w:cs="Arial"/>
          <w:sz w:val="20"/>
          <w:szCs w:val="20"/>
        </w:rPr>
        <w:t xml:space="preserve">, um die Entwicklung neuer, an den afrikanischen Markt angepasster Sorten zu fördern und einen Anreiz dafür zu </w:t>
      </w:r>
      <w:r w:rsidRPr="008F3ACB">
        <w:rPr>
          <w:rFonts w:ascii="Arial" w:hAnsi="Arial" w:cs="Arial"/>
          <w:sz w:val="20"/>
          <w:szCs w:val="20"/>
        </w:rPr>
        <w:t xml:space="preserve">schaffen, </w:t>
      </w:r>
      <w:r>
        <w:rPr>
          <w:rFonts w:ascii="Arial" w:hAnsi="Arial" w:cs="Arial"/>
          <w:sz w:val="20"/>
          <w:szCs w:val="20"/>
        </w:rPr>
        <w:t>anderswo erhältliche hochwertige</w:t>
      </w:r>
      <w:r w:rsidRPr="008F3ACB">
        <w:rPr>
          <w:rFonts w:ascii="Arial" w:hAnsi="Arial" w:cs="Arial"/>
          <w:sz w:val="20"/>
          <w:szCs w:val="20"/>
        </w:rPr>
        <w:t xml:space="preserve"> Sorten </w:t>
      </w:r>
      <w:r>
        <w:rPr>
          <w:rFonts w:ascii="Arial" w:hAnsi="Arial" w:cs="Arial"/>
          <w:sz w:val="20"/>
          <w:szCs w:val="20"/>
        </w:rPr>
        <w:t>für den</w:t>
      </w:r>
      <w:r w:rsidRPr="008F3ACB">
        <w:rPr>
          <w:rFonts w:ascii="Arial" w:hAnsi="Arial" w:cs="Arial"/>
          <w:sz w:val="20"/>
          <w:szCs w:val="20"/>
        </w:rPr>
        <w:t xml:space="preserve"> OAPI-</w:t>
      </w:r>
      <w:r>
        <w:rPr>
          <w:rFonts w:ascii="Arial" w:hAnsi="Arial" w:cs="Arial"/>
          <w:sz w:val="20"/>
          <w:szCs w:val="20"/>
        </w:rPr>
        <w:t>Bereich</w:t>
      </w:r>
      <w:r w:rsidRPr="008F3ACB">
        <w:rPr>
          <w:rFonts w:ascii="Arial" w:hAnsi="Arial" w:cs="Arial"/>
          <w:sz w:val="20"/>
          <w:szCs w:val="20"/>
        </w:rPr>
        <w:t xml:space="preserve"> verfügbar zu machen. Das Projekt wird </w:t>
      </w:r>
      <w:r>
        <w:rPr>
          <w:rFonts w:ascii="Arial" w:hAnsi="Arial" w:cs="Arial"/>
          <w:sz w:val="20"/>
          <w:szCs w:val="20"/>
        </w:rPr>
        <w:t>vom</w:t>
      </w:r>
      <w:r w:rsidRPr="00746B30">
        <w:rPr>
          <w:rFonts w:ascii="Arial" w:hAnsi="Arial" w:cs="Arial"/>
          <w:sz w:val="20"/>
          <w:szCs w:val="20"/>
        </w:rPr>
        <w:t xml:space="preserve"> OAPI geleitet, das CPVO ist - zusammen mit UPOV, GEVES, GNIS und Naktuinbouw - ein Partner. </w:t>
      </w:r>
    </w:p>
    <w:p w:rsidR="001F2153" w:rsidRPr="00746B30" w:rsidRDefault="001F2153" w:rsidP="001F2153">
      <w:pPr>
        <w:pStyle w:val="NormalWeb"/>
        <w:spacing w:before="0" w:beforeAutospacing="0" w:after="0" w:afterAutospacing="0"/>
        <w:contextualSpacing/>
        <w:jc w:val="both"/>
        <w:rPr>
          <w:rFonts w:ascii="Arial" w:hAnsi="Arial" w:cs="Arial"/>
          <w:sz w:val="20"/>
          <w:szCs w:val="20"/>
        </w:rPr>
      </w:pPr>
    </w:p>
    <w:p w:rsidR="001F2153" w:rsidRPr="00C8302B" w:rsidRDefault="001F2153" w:rsidP="001F2153">
      <w:pPr>
        <w:pStyle w:val="NormalWeb"/>
        <w:spacing w:before="0" w:beforeAutospacing="0" w:after="0" w:afterAutospacing="0"/>
        <w:contextualSpacing/>
        <w:jc w:val="both"/>
        <w:rPr>
          <w:rFonts w:ascii="Arial" w:hAnsi="Arial" w:cs="Arial"/>
          <w:sz w:val="20"/>
          <w:szCs w:val="20"/>
        </w:rPr>
      </w:pPr>
      <w:r>
        <w:rPr>
          <w:rFonts w:ascii="Arial" w:hAnsi="Arial" w:cs="Arial"/>
          <w:sz w:val="20"/>
          <w:szCs w:val="20"/>
        </w:rPr>
        <w:t>Aufgrund</w:t>
      </w:r>
      <w:r w:rsidRPr="00746B30">
        <w:rPr>
          <w:rFonts w:ascii="Arial" w:hAnsi="Arial" w:cs="Arial"/>
          <w:sz w:val="20"/>
          <w:szCs w:val="20"/>
        </w:rPr>
        <w:t xml:space="preserve"> </w:t>
      </w:r>
      <w:r>
        <w:rPr>
          <w:rFonts w:ascii="Arial" w:hAnsi="Arial" w:cs="Arial"/>
          <w:sz w:val="20"/>
          <w:szCs w:val="20"/>
        </w:rPr>
        <w:t>gesundheitspolitischer</w:t>
      </w:r>
      <w:r w:rsidRPr="00746B30">
        <w:rPr>
          <w:rFonts w:ascii="Arial" w:hAnsi="Arial" w:cs="Arial"/>
          <w:sz w:val="20"/>
          <w:szCs w:val="20"/>
        </w:rPr>
        <w:t xml:space="preserve"> Ei</w:t>
      </w:r>
      <w:r w:rsidRPr="00C8302B">
        <w:rPr>
          <w:rFonts w:ascii="Arial" w:hAnsi="Arial" w:cs="Arial"/>
          <w:sz w:val="20"/>
          <w:szCs w:val="20"/>
        </w:rPr>
        <w:t xml:space="preserve">nschränkungen im Zusammenhang mit der Covid-19-Pandemie mussten die für Januar und Februar 2021 </w:t>
      </w:r>
      <w:r>
        <w:rPr>
          <w:rFonts w:ascii="Arial" w:hAnsi="Arial" w:cs="Arial"/>
          <w:sz w:val="20"/>
          <w:szCs w:val="20"/>
        </w:rPr>
        <w:t>vorgesehenen</w:t>
      </w:r>
      <w:r w:rsidRPr="00C8302B">
        <w:rPr>
          <w:rFonts w:ascii="Arial" w:hAnsi="Arial" w:cs="Arial"/>
          <w:sz w:val="20"/>
          <w:szCs w:val="20"/>
        </w:rPr>
        <w:t xml:space="preserve"> </w:t>
      </w:r>
      <w:r w:rsidRPr="00DB3BE1">
        <w:rPr>
          <w:rFonts w:ascii="Arial" w:hAnsi="Arial" w:cs="Arial"/>
          <w:sz w:val="20"/>
          <w:szCs w:val="20"/>
        </w:rPr>
        <w:t>Tätigkeiten</w:t>
      </w:r>
      <w:r w:rsidRPr="00C8302B">
        <w:rPr>
          <w:rFonts w:ascii="Arial" w:hAnsi="Arial" w:cs="Arial"/>
          <w:sz w:val="20"/>
          <w:szCs w:val="20"/>
        </w:rPr>
        <w:t xml:space="preserve"> mit </w:t>
      </w:r>
      <w:r>
        <w:rPr>
          <w:rFonts w:ascii="Arial" w:hAnsi="Arial" w:cs="Arial"/>
          <w:sz w:val="20"/>
          <w:szCs w:val="20"/>
        </w:rPr>
        <w:t xml:space="preserve">einer </w:t>
      </w:r>
      <w:r w:rsidRPr="00C8302B">
        <w:rPr>
          <w:rFonts w:ascii="Arial" w:hAnsi="Arial" w:cs="Arial"/>
          <w:sz w:val="20"/>
          <w:szCs w:val="20"/>
        </w:rPr>
        <w:t xml:space="preserve">Beteiligung von </w:t>
      </w:r>
      <w:r>
        <w:rPr>
          <w:rFonts w:ascii="Arial" w:hAnsi="Arial" w:cs="Arial"/>
          <w:sz w:val="20"/>
          <w:szCs w:val="20"/>
        </w:rPr>
        <w:t>S</w:t>
      </w:r>
      <w:r w:rsidRPr="00C8302B">
        <w:rPr>
          <w:rFonts w:ascii="Arial" w:hAnsi="Arial" w:cs="Arial"/>
          <w:sz w:val="20"/>
          <w:szCs w:val="20"/>
        </w:rPr>
        <w:t>achverständigen</w:t>
      </w:r>
      <w:r>
        <w:rPr>
          <w:rFonts w:ascii="Arial" w:hAnsi="Arial" w:cs="Arial"/>
          <w:sz w:val="20"/>
          <w:szCs w:val="20"/>
        </w:rPr>
        <w:t xml:space="preserve"> des CPVO</w:t>
      </w:r>
      <w:r w:rsidRPr="00C8302B">
        <w:rPr>
          <w:rFonts w:ascii="Arial" w:hAnsi="Arial" w:cs="Arial"/>
          <w:sz w:val="20"/>
          <w:szCs w:val="20"/>
        </w:rPr>
        <w:t>, die eine physische Anwesenheit erfordern (</w:t>
      </w:r>
      <w:r>
        <w:rPr>
          <w:rFonts w:ascii="Arial" w:hAnsi="Arial" w:cs="Arial"/>
          <w:sz w:val="20"/>
          <w:szCs w:val="20"/>
        </w:rPr>
        <w:t>Beurteilung</w:t>
      </w:r>
      <w:r w:rsidRPr="00C8302B">
        <w:rPr>
          <w:rFonts w:ascii="Arial" w:hAnsi="Arial" w:cs="Arial"/>
          <w:sz w:val="20"/>
          <w:szCs w:val="20"/>
        </w:rPr>
        <w:t xml:space="preserve"> von </w:t>
      </w:r>
      <w:r>
        <w:rPr>
          <w:rFonts w:ascii="Arial" w:hAnsi="Arial" w:cs="Arial"/>
          <w:sz w:val="20"/>
          <w:szCs w:val="20"/>
        </w:rPr>
        <w:t>Prüfungseinrichtung</w:t>
      </w:r>
      <w:r w:rsidRPr="00C8302B">
        <w:rPr>
          <w:rFonts w:ascii="Arial" w:hAnsi="Arial" w:cs="Arial"/>
          <w:sz w:val="20"/>
          <w:szCs w:val="20"/>
        </w:rPr>
        <w:t xml:space="preserve">en), verschoben werden. Die </w:t>
      </w:r>
      <w:r w:rsidRPr="0076300A">
        <w:rPr>
          <w:rFonts w:ascii="Arial" w:hAnsi="Arial" w:cs="Arial"/>
          <w:sz w:val="20"/>
          <w:szCs w:val="20"/>
        </w:rPr>
        <w:t>Umsetzung</w:t>
      </w:r>
      <w:r w:rsidRPr="00C8302B">
        <w:rPr>
          <w:rFonts w:ascii="Arial" w:hAnsi="Arial" w:cs="Arial"/>
          <w:sz w:val="20"/>
          <w:szCs w:val="20"/>
        </w:rPr>
        <w:t xml:space="preserve"> des Projekts wird bis zum zweiten Quartal 2022 fortgesetzt. </w:t>
      </w:r>
      <w:r>
        <w:rPr>
          <w:rFonts w:ascii="Arial" w:hAnsi="Arial" w:cs="Arial"/>
          <w:sz w:val="20"/>
          <w:szCs w:val="20"/>
        </w:rPr>
        <w:t>Das</w:t>
      </w:r>
      <w:r w:rsidRPr="00C8302B">
        <w:rPr>
          <w:rFonts w:ascii="Arial" w:hAnsi="Arial" w:cs="Arial"/>
          <w:sz w:val="20"/>
          <w:szCs w:val="20"/>
        </w:rPr>
        <w:t xml:space="preserve"> OAPI führte dennoch im Mai in Brazzaville und im Juni 2021 in Libreville Seminare für Züchter und Saatguterzeuger durch, </w:t>
      </w:r>
      <w:r>
        <w:rPr>
          <w:rFonts w:ascii="Arial" w:hAnsi="Arial" w:cs="Arial"/>
          <w:sz w:val="20"/>
          <w:szCs w:val="20"/>
        </w:rPr>
        <w:t>an</w:t>
      </w:r>
      <w:r w:rsidRPr="00C8302B">
        <w:rPr>
          <w:rFonts w:ascii="Arial" w:hAnsi="Arial" w:cs="Arial"/>
          <w:sz w:val="20"/>
          <w:szCs w:val="20"/>
        </w:rPr>
        <w:t xml:space="preserve"> denen das CPVO auf elektronischem Wege </w:t>
      </w:r>
      <w:r>
        <w:rPr>
          <w:rFonts w:ascii="Arial" w:hAnsi="Arial" w:cs="Arial"/>
          <w:sz w:val="20"/>
          <w:szCs w:val="20"/>
        </w:rPr>
        <w:t>mitwirkte</w:t>
      </w:r>
      <w:r w:rsidRPr="00C8302B">
        <w:rPr>
          <w:rFonts w:ascii="Arial" w:hAnsi="Arial" w:cs="Arial"/>
          <w:sz w:val="20"/>
          <w:szCs w:val="20"/>
        </w:rPr>
        <w:t xml:space="preserve">. </w:t>
      </w:r>
    </w:p>
    <w:p w:rsidR="001F2153" w:rsidRPr="00C8302B" w:rsidRDefault="001F2153" w:rsidP="001F2153">
      <w:pPr>
        <w:autoSpaceDE w:val="0"/>
        <w:autoSpaceDN w:val="0"/>
        <w:adjustRightInd w:val="0"/>
        <w:contextualSpacing/>
        <w:rPr>
          <w:rFonts w:cs="Arial"/>
        </w:rPr>
      </w:pPr>
    </w:p>
    <w:p w:rsidR="001F2153" w:rsidRPr="00C8302B" w:rsidRDefault="001F2153" w:rsidP="003B64F4">
      <w:pPr>
        <w:keepNext/>
        <w:autoSpaceDE w:val="0"/>
        <w:autoSpaceDN w:val="0"/>
        <w:adjustRightInd w:val="0"/>
        <w:contextualSpacing/>
        <w:rPr>
          <w:rFonts w:cs="Arial"/>
          <w:u w:val="single"/>
        </w:rPr>
      </w:pPr>
      <w:r w:rsidRPr="00837F48">
        <w:rPr>
          <w:rFonts w:cs="Arial"/>
          <w:u w:val="single"/>
        </w:rPr>
        <w:lastRenderedPageBreak/>
        <w:t>5.2</w:t>
      </w:r>
      <w:r w:rsidRPr="00C8302B">
        <w:rPr>
          <w:rFonts w:cs="Arial"/>
          <w:u w:val="single"/>
        </w:rPr>
        <w:t xml:space="preserve"> </w:t>
      </w:r>
      <w:r>
        <w:rPr>
          <w:rFonts w:cs="Arial"/>
          <w:u w:val="single"/>
        </w:rPr>
        <w:t>Schulung</w:t>
      </w:r>
    </w:p>
    <w:p w:rsidR="001F2153" w:rsidRPr="00C8302B" w:rsidRDefault="001F2153" w:rsidP="003B64F4">
      <w:pPr>
        <w:keepNext/>
        <w:autoSpaceDE w:val="0"/>
        <w:autoSpaceDN w:val="0"/>
        <w:adjustRightInd w:val="0"/>
        <w:contextualSpacing/>
        <w:rPr>
          <w:rFonts w:cs="Arial"/>
        </w:rPr>
      </w:pPr>
    </w:p>
    <w:p w:rsidR="001F2153" w:rsidRPr="00C8302B" w:rsidRDefault="001F2153" w:rsidP="001F2153">
      <w:pPr>
        <w:autoSpaceDE w:val="0"/>
        <w:autoSpaceDN w:val="0"/>
        <w:adjustRightInd w:val="0"/>
        <w:contextualSpacing/>
        <w:rPr>
          <w:rFonts w:cs="Arial"/>
        </w:rPr>
      </w:pPr>
      <w:r>
        <w:rPr>
          <w:rFonts w:cs="Arial"/>
        </w:rPr>
        <w:t>Im Laufe der Jahre</w:t>
      </w:r>
      <w:r w:rsidRPr="00C8302B">
        <w:rPr>
          <w:rFonts w:cs="Arial"/>
        </w:rPr>
        <w:t xml:space="preserve"> 2020-2021 war das CPVO an der Vorbereitung mehrerer Schulungen beteiligt, die </w:t>
      </w:r>
      <w:r>
        <w:rPr>
          <w:rFonts w:cs="Arial"/>
        </w:rPr>
        <w:t>aufgrund des</w:t>
      </w:r>
      <w:r w:rsidRPr="00C8302B">
        <w:rPr>
          <w:rFonts w:cs="Arial"/>
        </w:rPr>
        <w:t xml:space="preserve"> Ausbruch</w:t>
      </w:r>
      <w:r>
        <w:rPr>
          <w:rFonts w:cs="Arial"/>
        </w:rPr>
        <w:t>s</w:t>
      </w:r>
      <w:r w:rsidRPr="00C8302B">
        <w:rPr>
          <w:rFonts w:cs="Arial"/>
        </w:rPr>
        <w:t xml:space="preserve"> der Covid-19-Pandemie hauptsächlich online durchgeführt wurden</w:t>
      </w:r>
      <w:r w:rsidRPr="00B823A1">
        <w:rPr>
          <w:rFonts w:cs="Arial"/>
        </w:rPr>
        <w:t>, darunter</w:t>
      </w:r>
      <w:r w:rsidRPr="00C8302B">
        <w:rPr>
          <w:rFonts w:cs="Arial"/>
        </w:rPr>
        <w:t xml:space="preserve">: </w:t>
      </w:r>
    </w:p>
    <w:p w:rsidR="001F2153" w:rsidRPr="00C8302B" w:rsidRDefault="001F2153" w:rsidP="001F2153">
      <w:pPr>
        <w:autoSpaceDE w:val="0"/>
        <w:autoSpaceDN w:val="0"/>
        <w:adjustRightInd w:val="0"/>
        <w:contextualSpacing/>
        <w:rPr>
          <w:rFonts w:cs="Arial"/>
        </w:rPr>
      </w:pPr>
    </w:p>
    <w:p w:rsidR="001F2153" w:rsidRPr="001A6040" w:rsidRDefault="001F2153" w:rsidP="001F2153">
      <w:pPr>
        <w:numPr>
          <w:ilvl w:val="0"/>
          <w:numId w:val="21"/>
        </w:numPr>
        <w:autoSpaceDE w:val="0"/>
        <w:autoSpaceDN w:val="0"/>
        <w:adjustRightInd w:val="0"/>
        <w:contextualSpacing/>
        <w:rPr>
          <w:rFonts w:cs="Arial"/>
        </w:rPr>
      </w:pPr>
      <w:r>
        <w:rPr>
          <w:rFonts w:cs="Arial"/>
        </w:rPr>
        <w:t>ein</w:t>
      </w:r>
      <w:r w:rsidRPr="00BE3C79">
        <w:rPr>
          <w:rFonts w:cs="Arial"/>
        </w:rPr>
        <w:t xml:space="preserve"> </w:t>
      </w:r>
      <w:r>
        <w:rPr>
          <w:rFonts w:cs="Arial"/>
        </w:rPr>
        <w:t>Referat</w:t>
      </w:r>
      <w:r w:rsidRPr="00BE3C79">
        <w:rPr>
          <w:rFonts w:cs="Arial"/>
        </w:rPr>
        <w:t xml:space="preserve"> des </w:t>
      </w:r>
      <w:r w:rsidRPr="001A6040">
        <w:rPr>
          <w:rFonts w:cs="Arial"/>
        </w:rPr>
        <w:t>CPVO für Masterstudenten der Pflanzenzüchtung des Institut Polytechnique UniLaSalle in Beauvais am 28. September 2020</w:t>
      </w:r>
    </w:p>
    <w:p w:rsidR="001F2153" w:rsidRPr="001A6040" w:rsidRDefault="001F2153" w:rsidP="001F2153">
      <w:pPr>
        <w:numPr>
          <w:ilvl w:val="0"/>
          <w:numId w:val="21"/>
        </w:numPr>
        <w:autoSpaceDE w:val="0"/>
        <w:autoSpaceDN w:val="0"/>
        <w:adjustRightInd w:val="0"/>
        <w:contextualSpacing/>
        <w:rPr>
          <w:rFonts w:cs="Arial"/>
        </w:rPr>
      </w:pPr>
      <w:r>
        <w:rPr>
          <w:rFonts w:cs="Arial"/>
        </w:rPr>
        <w:t xml:space="preserve">ein </w:t>
      </w:r>
      <w:r w:rsidRPr="001A6040">
        <w:rPr>
          <w:rFonts w:cs="Arial"/>
        </w:rPr>
        <w:t xml:space="preserve">Webinar </w:t>
      </w:r>
      <w:r>
        <w:rPr>
          <w:rFonts w:cs="Arial"/>
        </w:rPr>
        <w:t>über</w:t>
      </w:r>
      <w:r w:rsidRPr="001A6040">
        <w:rPr>
          <w:rFonts w:cs="Arial"/>
        </w:rPr>
        <w:t xml:space="preserve"> </w:t>
      </w:r>
      <w:r>
        <w:rPr>
          <w:rFonts w:cs="Arial"/>
        </w:rPr>
        <w:t>im wesentlichen abgeleitete Sorten</w:t>
      </w:r>
      <w:r w:rsidRPr="001A6040">
        <w:rPr>
          <w:rFonts w:cs="Arial"/>
        </w:rPr>
        <w:t xml:space="preserve"> in Zusammenarbeit mit Vegepolys am 9. Oktober 2020</w:t>
      </w:r>
    </w:p>
    <w:p w:rsidR="001F2153" w:rsidRPr="001A6040" w:rsidRDefault="001F2153" w:rsidP="001F2153">
      <w:pPr>
        <w:numPr>
          <w:ilvl w:val="0"/>
          <w:numId w:val="21"/>
        </w:numPr>
        <w:autoSpaceDE w:val="0"/>
        <w:autoSpaceDN w:val="0"/>
        <w:adjustRightInd w:val="0"/>
        <w:contextualSpacing/>
        <w:rPr>
          <w:rFonts w:cs="Arial"/>
        </w:rPr>
      </w:pPr>
      <w:r>
        <w:rPr>
          <w:rFonts w:cs="Arial"/>
        </w:rPr>
        <w:t>ein Referat</w:t>
      </w:r>
      <w:r w:rsidRPr="001A6040">
        <w:rPr>
          <w:rFonts w:cs="Arial"/>
        </w:rPr>
        <w:t xml:space="preserve"> des CPVO für ESA-Studenten am 5. November 2020</w:t>
      </w:r>
    </w:p>
    <w:p w:rsidR="001F2153" w:rsidRPr="001A6040" w:rsidRDefault="001F2153" w:rsidP="001F2153">
      <w:pPr>
        <w:numPr>
          <w:ilvl w:val="0"/>
          <w:numId w:val="21"/>
        </w:numPr>
        <w:autoSpaceDE w:val="0"/>
        <w:autoSpaceDN w:val="0"/>
        <w:adjustRightInd w:val="0"/>
        <w:contextualSpacing/>
        <w:rPr>
          <w:rFonts w:cs="Arial"/>
        </w:rPr>
      </w:pPr>
      <w:r>
        <w:rPr>
          <w:rFonts w:cs="Arial"/>
        </w:rPr>
        <w:t>ein Referat</w:t>
      </w:r>
      <w:r w:rsidRPr="001A6040">
        <w:rPr>
          <w:rFonts w:cs="Arial"/>
        </w:rPr>
        <w:t xml:space="preserve"> des CPVR-Systems im Rahmen des LLM in </w:t>
      </w:r>
      <w:r>
        <w:rPr>
          <w:rFonts w:cs="Arial"/>
        </w:rPr>
        <w:t>geistigem Eigentum</w:t>
      </w:r>
      <w:r w:rsidRPr="001A6040">
        <w:rPr>
          <w:rFonts w:cs="Arial"/>
        </w:rPr>
        <w:t xml:space="preserve"> der Universität Maastricht am 12. Januar 2021</w:t>
      </w:r>
    </w:p>
    <w:p w:rsidR="001F2153" w:rsidRPr="001A6040" w:rsidRDefault="001F2153" w:rsidP="001F2153">
      <w:pPr>
        <w:numPr>
          <w:ilvl w:val="0"/>
          <w:numId w:val="21"/>
        </w:numPr>
        <w:autoSpaceDE w:val="0"/>
        <w:autoSpaceDN w:val="0"/>
        <w:adjustRightInd w:val="0"/>
        <w:contextualSpacing/>
        <w:rPr>
          <w:rFonts w:cs="Arial"/>
        </w:rPr>
      </w:pPr>
      <w:r>
        <w:rPr>
          <w:rFonts w:cs="Arial"/>
        </w:rPr>
        <w:t xml:space="preserve">ein </w:t>
      </w:r>
      <w:r w:rsidRPr="001A6040">
        <w:rPr>
          <w:rFonts w:cs="Arial"/>
        </w:rPr>
        <w:t xml:space="preserve">Seminar </w:t>
      </w:r>
      <w:r>
        <w:rPr>
          <w:rFonts w:cs="Arial"/>
        </w:rPr>
        <w:t>am</w:t>
      </w:r>
      <w:r w:rsidRPr="001A6040">
        <w:rPr>
          <w:rFonts w:cs="Arial"/>
        </w:rPr>
        <w:t xml:space="preserve"> CEIPI und </w:t>
      </w:r>
      <w:r>
        <w:rPr>
          <w:rFonts w:cs="Arial"/>
        </w:rPr>
        <w:t>der</w:t>
      </w:r>
      <w:r w:rsidRPr="001A6040">
        <w:rPr>
          <w:rFonts w:cs="Arial"/>
        </w:rPr>
        <w:t xml:space="preserve"> Pariser Anwaltskammer zum Gutachten G3/19 der Beschwerdekammer des EPA</w:t>
      </w:r>
    </w:p>
    <w:p w:rsidR="001F2153" w:rsidRPr="001A6040" w:rsidRDefault="001F2153" w:rsidP="001F2153">
      <w:pPr>
        <w:numPr>
          <w:ilvl w:val="0"/>
          <w:numId w:val="21"/>
        </w:numPr>
        <w:autoSpaceDE w:val="0"/>
        <w:autoSpaceDN w:val="0"/>
        <w:adjustRightInd w:val="0"/>
        <w:contextualSpacing/>
        <w:rPr>
          <w:rFonts w:cs="Arial"/>
        </w:rPr>
      </w:pPr>
      <w:r w:rsidRPr="00382436">
        <w:rPr>
          <w:rFonts w:cs="Arial"/>
        </w:rPr>
        <w:t>ein Seminar über die Harmonisierung</w:t>
      </w:r>
      <w:r w:rsidRPr="001A6040">
        <w:rPr>
          <w:rFonts w:cs="Arial"/>
        </w:rPr>
        <w:t xml:space="preserve"> </w:t>
      </w:r>
      <w:r>
        <w:rPr>
          <w:rFonts w:cs="Arial"/>
        </w:rPr>
        <w:t>von</w:t>
      </w:r>
      <w:r w:rsidRPr="001A6040">
        <w:rPr>
          <w:rFonts w:cs="Arial"/>
        </w:rPr>
        <w:t xml:space="preserve"> </w:t>
      </w:r>
      <w:r w:rsidRPr="00DB3BE1">
        <w:rPr>
          <w:rFonts w:cs="Arial"/>
        </w:rPr>
        <w:t>IP-Praktiken</w:t>
      </w:r>
      <w:r w:rsidRPr="001A6040">
        <w:rPr>
          <w:rFonts w:cs="Arial"/>
        </w:rPr>
        <w:t xml:space="preserve"> in der EU bei CEIPI am 13. April 2021</w:t>
      </w:r>
    </w:p>
    <w:p w:rsidR="001F2153" w:rsidRPr="001A6040" w:rsidRDefault="001F2153" w:rsidP="001F2153">
      <w:pPr>
        <w:numPr>
          <w:ilvl w:val="0"/>
          <w:numId w:val="21"/>
        </w:numPr>
        <w:autoSpaceDE w:val="0"/>
        <w:autoSpaceDN w:val="0"/>
        <w:adjustRightInd w:val="0"/>
        <w:contextualSpacing/>
        <w:rPr>
          <w:rFonts w:cs="Arial"/>
        </w:rPr>
      </w:pPr>
      <w:r>
        <w:rPr>
          <w:rFonts w:cs="Arial"/>
        </w:rPr>
        <w:t xml:space="preserve">eine </w:t>
      </w:r>
      <w:r w:rsidRPr="001A6040">
        <w:rPr>
          <w:rFonts w:cs="Arial"/>
        </w:rPr>
        <w:t xml:space="preserve">Schulung für EUIPO-Prüfer </w:t>
      </w:r>
      <w:r w:rsidRPr="002513BA">
        <w:rPr>
          <w:rFonts w:cs="Arial"/>
        </w:rPr>
        <w:t>zum Thema</w:t>
      </w:r>
      <w:r w:rsidRPr="001A6040">
        <w:rPr>
          <w:rFonts w:cs="Arial"/>
        </w:rPr>
        <w:t xml:space="preserve"> Variety</w:t>
      </w:r>
      <w:r>
        <w:rPr>
          <w:rFonts w:cs="Arial"/>
        </w:rPr>
        <w:t>-</w:t>
      </w:r>
      <w:r w:rsidRPr="001A6040">
        <w:rPr>
          <w:rFonts w:cs="Arial"/>
        </w:rPr>
        <w:t>Finder am 19. April 2021</w:t>
      </w:r>
    </w:p>
    <w:p w:rsidR="001F2153" w:rsidRPr="001A6040" w:rsidRDefault="001F2153" w:rsidP="001F2153">
      <w:pPr>
        <w:numPr>
          <w:ilvl w:val="0"/>
          <w:numId w:val="21"/>
        </w:numPr>
        <w:autoSpaceDE w:val="0"/>
        <w:autoSpaceDN w:val="0"/>
        <w:adjustRightInd w:val="0"/>
        <w:contextualSpacing/>
        <w:rPr>
          <w:rFonts w:cs="Arial"/>
        </w:rPr>
      </w:pPr>
      <w:r>
        <w:rPr>
          <w:rFonts w:cs="Arial"/>
        </w:rPr>
        <w:t>ein Referat</w:t>
      </w:r>
      <w:r w:rsidRPr="001A6040">
        <w:rPr>
          <w:rFonts w:cs="Arial"/>
        </w:rPr>
        <w:t xml:space="preserve"> des CPVR-Systems im Rahmen des LLM in </w:t>
      </w:r>
      <w:r>
        <w:rPr>
          <w:rFonts w:cs="Arial"/>
        </w:rPr>
        <w:t>geistigem Eigentum</w:t>
      </w:r>
      <w:r w:rsidRPr="001A6040">
        <w:rPr>
          <w:rFonts w:cs="Arial"/>
        </w:rPr>
        <w:t xml:space="preserve"> des Trinity College, Dublin</w:t>
      </w:r>
      <w:r>
        <w:rPr>
          <w:rFonts w:cs="Arial"/>
        </w:rPr>
        <w:t>,</w:t>
      </w:r>
      <w:r w:rsidRPr="001A6040">
        <w:rPr>
          <w:rFonts w:cs="Arial"/>
        </w:rPr>
        <w:t xml:space="preserve"> am 23. April 2021</w:t>
      </w:r>
    </w:p>
    <w:p w:rsidR="001F2153" w:rsidRPr="001A6040" w:rsidRDefault="001F2153" w:rsidP="001F2153">
      <w:pPr>
        <w:numPr>
          <w:ilvl w:val="0"/>
          <w:numId w:val="21"/>
        </w:numPr>
        <w:autoSpaceDE w:val="0"/>
        <w:autoSpaceDN w:val="0"/>
        <w:adjustRightInd w:val="0"/>
        <w:contextualSpacing/>
        <w:rPr>
          <w:rFonts w:cs="Arial"/>
        </w:rPr>
      </w:pPr>
      <w:r>
        <w:rPr>
          <w:rFonts w:cs="Arial"/>
        </w:rPr>
        <w:t>ein Referat</w:t>
      </w:r>
      <w:r w:rsidRPr="001A6040">
        <w:rPr>
          <w:rFonts w:cs="Arial"/>
        </w:rPr>
        <w:t xml:space="preserve"> zum Welttag des geistigen Eigentums </w:t>
      </w:r>
      <w:r>
        <w:rPr>
          <w:rFonts w:cs="Arial"/>
        </w:rPr>
        <w:t>über</w:t>
      </w:r>
      <w:r w:rsidRPr="001A6040">
        <w:rPr>
          <w:rFonts w:cs="Arial"/>
        </w:rPr>
        <w:t xml:space="preserve"> PVR (</w:t>
      </w:r>
      <w:r>
        <w:rPr>
          <w:rFonts w:cs="Arial"/>
        </w:rPr>
        <w:t xml:space="preserve">Amt für geistiges Eigentum </w:t>
      </w:r>
      <w:r w:rsidRPr="001A6040">
        <w:rPr>
          <w:rFonts w:cs="Arial"/>
        </w:rPr>
        <w:t>Luxemburg) am 26. April 2021</w:t>
      </w:r>
    </w:p>
    <w:p w:rsidR="001F2153" w:rsidRPr="001A6040" w:rsidRDefault="001F2153" w:rsidP="001F2153">
      <w:pPr>
        <w:numPr>
          <w:ilvl w:val="0"/>
          <w:numId w:val="21"/>
        </w:numPr>
        <w:autoSpaceDE w:val="0"/>
        <w:autoSpaceDN w:val="0"/>
        <w:adjustRightInd w:val="0"/>
        <w:contextualSpacing/>
        <w:rPr>
          <w:rFonts w:cs="Arial"/>
        </w:rPr>
      </w:pPr>
      <w:r>
        <w:rPr>
          <w:rFonts w:cs="Arial"/>
        </w:rPr>
        <w:t xml:space="preserve">eine </w:t>
      </w:r>
      <w:r w:rsidRPr="001A6040">
        <w:rPr>
          <w:rFonts w:cs="Arial"/>
        </w:rPr>
        <w:t>Seminar an der Université Claude Bernard</w:t>
      </w:r>
      <w:r>
        <w:rPr>
          <w:rFonts w:cs="Arial"/>
        </w:rPr>
        <w:t>,</w:t>
      </w:r>
      <w:r w:rsidRPr="001A6040">
        <w:rPr>
          <w:rFonts w:cs="Arial"/>
        </w:rPr>
        <w:t xml:space="preserve"> Lyon</w:t>
      </w:r>
      <w:r>
        <w:rPr>
          <w:rFonts w:cs="Arial"/>
        </w:rPr>
        <w:t>,</w:t>
      </w:r>
      <w:r w:rsidRPr="001A6040">
        <w:rPr>
          <w:rFonts w:cs="Arial"/>
        </w:rPr>
        <w:t xml:space="preserve"> 1 am 6. Mai 2021</w:t>
      </w:r>
    </w:p>
    <w:p w:rsidR="001F2153" w:rsidRPr="001A6040" w:rsidRDefault="001F2153" w:rsidP="001F2153">
      <w:pPr>
        <w:numPr>
          <w:ilvl w:val="0"/>
          <w:numId w:val="21"/>
        </w:numPr>
        <w:autoSpaceDE w:val="0"/>
        <w:autoSpaceDN w:val="0"/>
        <w:adjustRightInd w:val="0"/>
        <w:contextualSpacing/>
        <w:rPr>
          <w:rFonts w:cs="Arial"/>
        </w:rPr>
      </w:pPr>
      <w:r>
        <w:rPr>
          <w:rFonts w:cs="Arial"/>
        </w:rPr>
        <w:t>ein Referat</w:t>
      </w:r>
      <w:r w:rsidRPr="001A6040">
        <w:rPr>
          <w:rFonts w:cs="Arial"/>
        </w:rPr>
        <w:t xml:space="preserve"> des CPVR-Systems im Rahmen des Magister Lvcentinvs (IP LLM) der Universität von Alicante am 10. Mai 2021</w:t>
      </w:r>
    </w:p>
    <w:p w:rsidR="001F2153" w:rsidRPr="001A6040" w:rsidRDefault="001F2153" w:rsidP="001F2153">
      <w:pPr>
        <w:numPr>
          <w:ilvl w:val="0"/>
          <w:numId w:val="21"/>
        </w:numPr>
        <w:autoSpaceDE w:val="0"/>
        <w:autoSpaceDN w:val="0"/>
        <w:adjustRightInd w:val="0"/>
        <w:contextualSpacing/>
        <w:rPr>
          <w:rFonts w:cs="Arial"/>
        </w:rPr>
      </w:pPr>
      <w:r w:rsidRPr="001A6040">
        <w:rPr>
          <w:rFonts w:cs="Arial"/>
        </w:rPr>
        <w:t>3 für den Kurs der Universität Wageningen über Züchterrechte aufgezeichnet</w:t>
      </w:r>
      <w:r>
        <w:rPr>
          <w:rFonts w:cs="Arial"/>
        </w:rPr>
        <w:t xml:space="preserve">e </w:t>
      </w:r>
      <w:r w:rsidRPr="001A6040">
        <w:rPr>
          <w:rFonts w:cs="Arial"/>
        </w:rPr>
        <w:t>Webinare</w:t>
      </w:r>
    </w:p>
    <w:p w:rsidR="001F2153" w:rsidRPr="001A6040" w:rsidRDefault="001F2153" w:rsidP="001F2153">
      <w:pPr>
        <w:numPr>
          <w:ilvl w:val="0"/>
          <w:numId w:val="21"/>
        </w:numPr>
        <w:autoSpaceDE w:val="0"/>
        <w:autoSpaceDN w:val="0"/>
        <w:adjustRightInd w:val="0"/>
        <w:contextualSpacing/>
        <w:rPr>
          <w:rFonts w:cs="Arial"/>
        </w:rPr>
      </w:pPr>
      <w:r w:rsidRPr="00E31EF1">
        <w:rPr>
          <w:rFonts w:cs="Arial"/>
          <w:lang w:val="en-US"/>
        </w:rPr>
        <w:t>Teilnahme an dem Webinar „</w:t>
      </w:r>
      <w:r w:rsidRPr="00E31EF1">
        <w:rPr>
          <w:rFonts w:cs="Arial"/>
          <w:i/>
          <w:iCs/>
          <w:lang w:val="en-US"/>
        </w:rPr>
        <w:t>How innovation in plant breeding boosts sustainable farming in the EU</w:t>
      </w:r>
      <w:r w:rsidRPr="00E31EF1">
        <w:rPr>
          <w:rFonts w:cs="Arial"/>
          <w:lang w:val="en-US"/>
        </w:rPr>
        <w:t xml:space="preserve">“ (Euroseeds/HFFA) am 17. </w:t>
      </w:r>
      <w:r w:rsidRPr="001A6040">
        <w:rPr>
          <w:rFonts w:cs="Arial"/>
        </w:rPr>
        <w:t>Mai 2021</w:t>
      </w:r>
    </w:p>
    <w:p w:rsidR="001F2153" w:rsidRPr="001A6040" w:rsidRDefault="001F2153" w:rsidP="001F2153">
      <w:pPr>
        <w:numPr>
          <w:ilvl w:val="0"/>
          <w:numId w:val="21"/>
        </w:numPr>
        <w:autoSpaceDE w:val="0"/>
        <w:autoSpaceDN w:val="0"/>
        <w:adjustRightInd w:val="0"/>
        <w:contextualSpacing/>
        <w:rPr>
          <w:rFonts w:cs="Arial"/>
        </w:rPr>
      </w:pPr>
      <w:r w:rsidRPr="001A6040">
        <w:rPr>
          <w:rFonts w:cs="Arial"/>
        </w:rPr>
        <w:t>IP HELPDESK-Webinare:</w:t>
      </w:r>
    </w:p>
    <w:p w:rsidR="001F2153" w:rsidRPr="001A6040" w:rsidRDefault="001F2153" w:rsidP="001F2153">
      <w:pPr>
        <w:numPr>
          <w:ilvl w:val="1"/>
          <w:numId w:val="17"/>
        </w:numPr>
        <w:autoSpaceDE w:val="0"/>
        <w:autoSpaceDN w:val="0"/>
        <w:adjustRightInd w:val="0"/>
        <w:contextualSpacing/>
        <w:rPr>
          <w:rFonts w:cs="Arial"/>
        </w:rPr>
      </w:pPr>
      <w:r w:rsidRPr="001A6040">
        <w:rPr>
          <w:rFonts w:cs="Arial"/>
        </w:rPr>
        <w:t xml:space="preserve">Einführung in den Sortenschutz in der EU </w:t>
      </w:r>
      <w:r>
        <w:rPr>
          <w:rFonts w:cs="Arial"/>
        </w:rPr>
        <w:t xml:space="preserve">am </w:t>
      </w:r>
      <w:r w:rsidRPr="001A6040">
        <w:rPr>
          <w:rFonts w:cs="Arial"/>
        </w:rPr>
        <w:t>9. März 2021</w:t>
      </w:r>
    </w:p>
    <w:p w:rsidR="001F2153" w:rsidRPr="001A6040" w:rsidRDefault="001F2153" w:rsidP="001F2153">
      <w:pPr>
        <w:numPr>
          <w:ilvl w:val="1"/>
          <w:numId w:val="17"/>
        </w:numPr>
        <w:autoSpaceDE w:val="0"/>
        <w:autoSpaceDN w:val="0"/>
        <w:adjustRightInd w:val="0"/>
        <w:contextualSpacing/>
        <w:rPr>
          <w:rFonts w:cs="Arial"/>
        </w:rPr>
      </w:pPr>
      <w:r w:rsidRPr="001A6040">
        <w:rPr>
          <w:rFonts w:cs="Arial"/>
        </w:rPr>
        <w:t xml:space="preserve">Geistiges Eigentum im Agrar- und Lebensmittelsektor </w:t>
      </w:r>
      <w:r>
        <w:rPr>
          <w:rFonts w:cs="Arial"/>
        </w:rPr>
        <w:t xml:space="preserve">am </w:t>
      </w:r>
      <w:r w:rsidRPr="001A6040">
        <w:rPr>
          <w:rFonts w:cs="Arial"/>
        </w:rPr>
        <w:t>29. April 2021</w:t>
      </w:r>
    </w:p>
    <w:p w:rsidR="001F2153" w:rsidRPr="001A6040" w:rsidRDefault="001F2153" w:rsidP="001F2153">
      <w:pPr>
        <w:numPr>
          <w:ilvl w:val="1"/>
          <w:numId w:val="17"/>
        </w:numPr>
        <w:autoSpaceDE w:val="0"/>
        <w:autoSpaceDN w:val="0"/>
        <w:adjustRightInd w:val="0"/>
        <w:contextualSpacing/>
        <w:rPr>
          <w:rFonts w:cs="Arial"/>
        </w:rPr>
      </w:pPr>
      <w:r w:rsidRPr="001A6040">
        <w:rPr>
          <w:rFonts w:cs="Arial"/>
        </w:rPr>
        <w:t>NBT</w:t>
      </w:r>
      <w:r>
        <w:rPr>
          <w:rFonts w:cs="Arial"/>
        </w:rPr>
        <w:t xml:space="preserve"> am</w:t>
      </w:r>
      <w:r w:rsidRPr="001A6040">
        <w:rPr>
          <w:rFonts w:cs="Arial"/>
        </w:rPr>
        <w:t xml:space="preserve"> 8. Juni 2021</w:t>
      </w:r>
    </w:p>
    <w:p w:rsidR="001F2153" w:rsidRPr="001A6040" w:rsidRDefault="001F2153" w:rsidP="001F2153">
      <w:pPr>
        <w:keepNext/>
        <w:numPr>
          <w:ilvl w:val="0"/>
          <w:numId w:val="22"/>
        </w:numPr>
        <w:autoSpaceDE w:val="0"/>
        <w:autoSpaceDN w:val="0"/>
        <w:adjustRightInd w:val="0"/>
        <w:contextualSpacing/>
        <w:rPr>
          <w:rFonts w:cs="Arial"/>
        </w:rPr>
      </w:pPr>
      <w:r w:rsidRPr="001A6040">
        <w:rPr>
          <w:rFonts w:cs="Arial"/>
        </w:rPr>
        <w:t xml:space="preserve">Virtuelles Schulungszentrum </w:t>
      </w:r>
      <w:r>
        <w:rPr>
          <w:rFonts w:cs="Arial"/>
        </w:rPr>
        <w:t>–</w:t>
      </w:r>
      <w:r w:rsidRPr="001A6040">
        <w:rPr>
          <w:rFonts w:cs="Arial"/>
        </w:rPr>
        <w:t xml:space="preserve"> </w:t>
      </w:r>
      <w:r>
        <w:rPr>
          <w:rFonts w:cs="Arial"/>
        </w:rPr>
        <w:t xml:space="preserve">ein </w:t>
      </w:r>
      <w:r w:rsidRPr="001A6040">
        <w:rPr>
          <w:rFonts w:cs="Arial"/>
        </w:rPr>
        <w:t xml:space="preserve">Webinar </w:t>
      </w:r>
      <w:r w:rsidRPr="00A16067">
        <w:rPr>
          <w:rFonts w:cs="Arial"/>
        </w:rPr>
        <w:t>über die</w:t>
      </w:r>
      <w:r w:rsidRPr="001A6040">
        <w:rPr>
          <w:rFonts w:cs="Arial"/>
        </w:rPr>
        <w:t xml:space="preserve"> </w:t>
      </w:r>
      <w:r>
        <w:rPr>
          <w:rFonts w:cs="Arial"/>
        </w:rPr>
        <w:t>Wahrung</w:t>
      </w:r>
      <w:r w:rsidRPr="001A6040">
        <w:rPr>
          <w:rFonts w:cs="Arial"/>
        </w:rPr>
        <w:t xml:space="preserve"> von </w:t>
      </w:r>
      <w:r>
        <w:rPr>
          <w:rFonts w:cs="Arial"/>
        </w:rPr>
        <w:t>Züchterrechten</w:t>
      </w:r>
      <w:r w:rsidRPr="001A6040">
        <w:rPr>
          <w:rFonts w:cs="Arial"/>
        </w:rPr>
        <w:t xml:space="preserve"> am 25. Mai 2021</w:t>
      </w:r>
    </w:p>
    <w:p w:rsidR="001F2153" w:rsidRPr="001A6040" w:rsidRDefault="001F2153" w:rsidP="001F2153">
      <w:pPr>
        <w:numPr>
          <w:ilvl w:val="0"/>
          <w:numId w:val="22"/>
        </w:numPr>
        <w:autoSpaceDE w:val="0"/>
        <w:autoSpaceDN w:val="0"/>
        <w:adjustRightInd w:val="0"/>
        <w:contextualSpacing/>
        <w:rPr>
          <w:rFonts w:cs="Arial"/>
        </w:rPr>
      </w:pPr>
      <w:r>
        <w:rPr>
          <w:rFonts w:cs="Arial"/>
        </w:rPr>
        <w:t xml:space="preserve">eine </w:t>
      </w:r>
      <w:r w:rsidRPr="001A6040">
        <w:rPr>
          <w:rFonts w:cs="Arial"/>
        </w:rPr>
        <w:t xml:space="preserve">Arbeitstagung über </w:t>
      </w:r>
      <w:r w:rsidRPr="00F92C4F">
        <w:rPr>
          <w:rFonts w:cs="Arial"/>
        </w:rPr>
        <w:t>den gemeinsamen Dienst für die Prüfung von Sortenbezeichnungen und</w:t>
      </w:r>
      <w:r w:rsidRPr="001A6040">
        <w:rPr>
          <w:rFonts w:cs="Arial"/>
        </w:rPr>
        <w:t xml:space="preserve"> den Variety</w:t>
      </w:r>
      <w:r>
        <w:rPr>
          <w:rFonts w:cs="Arial"/>
        </w:rPr>
        <w:t>-</w:t>
      </w:r>
      <w:r w:rsidRPr="001A6040">
        <w:rPr>
          <w:rFonts w:cs="Arial"/>
        </w:rPr>
        <w:t>Finder am 3. Juni 2021 (Ständige Arbeitsgruppe für Sortenbezeichnungen).</w:t>
      </w:r>
    </w:p>
    <w:p w:rsidR="001F2153" w:rsidRPr="00C8302B" w:rsidRDefault="001F2153" w:rsidP="001F2153">
      <w:pPr>
        <w:autoSpaceDE w:val="0"/>
        <w:autoSpaceDN w:val="0"/>
        <w:adjustRightInd w:val="0"/>
        <w:contextualSpacing/>
        <w:rPr>
          <w:rFonts w:cs="Arial"/>
        </w:rPr>
      </w:pPr>
    </w:p>
    <w:p w:rsidR="001F2153" w:rsidRPr="00C8302B" w:rsidRDefault="001F2153" w:rsidP="001F2153">
      <w:pPr>
        <w:keepNext/>
        <w:autoSpaceDE w:val="0"/>
        <w:autoSpaceDN w:val="0"/>
        <w:adjustRightInd w:val="0"/>
        <w:contextualSpacing/>
        <w:rPr>
          <w:rFonts w:cs="Arial"/>
          <w:u w:val="single"/>
        </w:rPr>
      </w:pPr>
      <w:r w:rsidRPr="0002773A">
        <w:rPr>
          <w:rFonts w:cs="Arial"/>
          <w:u w:val="single"/>
        </w:rPr>
        <w:t xml:space="preserve">5.3 </w:t>
      </w:r>
      <w:r>
        <w:rPr>
          <w:rFonts w:cs="Arial"/>
          <w:u w:val="single"/>
        </w:rPr>
        <w:t>Zusammenkünfte</w:t>
      </w:r>
      <w:r w:rsidRPr="00C8302B">
        <w:rPr>
          <w:rFonts w:cs="Arial"/>
          <w:u w:val="single"/>
        </w:rPr>
        <w:t xml:space="preserve"> mit </w:t>
      </w:r>
      <w:r w:rsidRPr="00B823A1">
        <w:rPr>
          <w:rFonts w:cs="Arial"/>
          <w:u w:val="single"/>
        </w:rPr>
        <w:t>Organisationen von Interessenvertretern</w:t>
      </w:r>
    </w:p>
    <w:p w:rsidR="001F2153" w:rsidRPr="00C8302B" w:rsidRDefault="001F2153" w:rsidP="001F2153">
      <w:pPr>
        <w:keepNext/>
        <w:autoSpaceDE w:val="0"/>
        <w:autoSpaceDN w:val="0"/>
        <w:adjustRightInd w:val="0"/>
        <w:contextualSpacing/>
        <w:rPr>
          <w:rFonts w:cs="Arial"/>
        </w:rPr>
      </w:pPr>
    </w:p>
    <w:p w:rsidR="001F2153" w:rsidRPr="00C8302B" w:rsidRDefault="001F2153" w:rsidP="001F2153">
      <w:pPr>
        <w:autoSpaceDE w:val="0"/>
        <w:autoSpaceDN w:val="0"/>
        <w:adjustRightInd w:val="0"/>
        <w:contextualSpacing/>
        <w:rPr>
          <w:rFonts w:cs="Arial"/>
        </w:rPr>
      </w:pPr>
      <w:r w:rsidRPr="00C8302B">
        <w:rPr>
          <w:rFonts w:cs="Arial"/>
        </w:rPr>
        <w:t>Die Europäische Kommission und das CPVO nahmen an der virtuellen Jahrestagung</w:t>
      </w:r>
      <w:r>
        <w:rPr>
          <w:rFonts w:cs="Arial"/>
        </w:rPr>
        <w:t xml:space="preserve"> von </w:t>
      </w:r>
      <w:r w:rsidRPr="00C8302B">
        <w:rPr>
          <w:rFonts w:cs="Arial"/>
        </w:rPr>
        <w:t>Euroseeds</w:t>
      </w:r>
      <w:r w:rsidR="003B64F4">
        <w:rPr>
          <w:rFonts w:cs="Arial"/>
        </w:rPr>
        <w:t xml:space="preserve"> vom 11. </w:t>
      </w:r>
      <w:r w:rsidRPr="00C8302B">
        <w:rPr>
          <w:rFonts w:cs="Arial"/>
        </w:rPr>
        <w:t xml:space="preserve">bis 13. Oktober 2020 und an der virtuellen Jahrestagung von CIOPORA Deutschland am </w:t>
      </w:r>
      <w:r w:rsidRPr="00B6749C">
        <w:rPr>
          <w:rFonts w:cs="Arial"/>
        </w:rPr>
        <w:t>24.</w:t>
      </w:r>
      <w:r w:rsidRPr="00C8302B">
        <w:rPr>
          <w:rFonts w:cs="Arial"/>
          <w:vertAlign w:val="superscript"/>
        </w:rPr>
        <w:t xml:space="preserve"> </w:t>
      </w:r>
      <w:r w:rsidRPr="00C8302B">
        <w:rPr>
          <w:rFonts w:cs="Arial"/>
        </w:rPr>
        <w:t xml:space="preserve">Februar 2021 teil. Die Europäische Kommission und das CPVO </w:t>
      </w:r>
      <w:r>
        <w:rPr>
          <w:rFonts w:cs="Arial"/>
        </w:rPr>
        <w:t>kamen</w:t>
      </w:r>
      <w:r w:rsidRPr="00E8457E">
        <w:rPr>
          <w:rFonts w:cs="Arial"/>
        </w:rPr>
        <w:t xml:space="preserve"> auch auf bilateraler Basis mit den Züchterorganisationen zusammen</w:t>
      </w:r>
      <w:r w:rsidRPr="00C8302B">
        <w:rPr>
          <w:rFonts w:cs="Arial"/>
        </w:rPr>
        <w:t xml:space="preserve">: z.B. CIOPORA 17/03/2021 und Euroseeds &amp; Plantum 03/03/2021. Das CPVO organisierte auch eine formelle jährliche bilaterale </w:t>
      </w:r>
      <w:r>
        <w:rPr>
          <w:rFonts w:cs="Arial"/>
        </w:rPr>
        <w:t>Zusammenkunft</w:t>
      </w:r>
      <w:r w:rsidRPr="00C8302B">
        <w:rPr>
          <w:rFonts w:cs="Arial"/>
        </w:rPr>
        <w:t xml:space="preserve"> mit der AIPH.</w:t>
      </w:r>
    </w:p>
    <w:p w:rsidR="001F2153" w:rsidRPr="00C8302B" w:rsidRDefault="001F2153" w:rsidP="001F2153">
      <w:pPr>
        <w:autoSpaceDE w:val="0"/>
        <w:autoSpaceDN w:val="0"/>
        <w:adjustRightInd w:val="0"/>
        <w:contextualSpacing/>
        <w:rPr>
          <w:rFonts w:cs="Arial"/>
        </w:rPr>
      </w:pPr>
    </w:p>
    <w:p w:rsidR="001F2153" w:rsidRPr="00C8302B" w:rsidRDefault="001F2153" w:rsidP="001F2153">
      <w:pPr>
        <w:ind w:left="720" w:hanging="720"/>
        <w:contextualSpacing/>
        <w:rPr>
          <w:rFonts w:cs="Arial"/>
          <w:u w:val="single"/>
        </w:rPr>
      </w:pPr>
      <w:r w:rsidRPr="00EF452B">
        <w:rPr>
          <w:rFonts w:cs="Arial"/>
          <w:u w:val="single"/>
        </w:rPr>
        <w:t>5.4</w:t>
      </w:r>
      <w:r w:rsidRPr="00C8302B">
        <w:rPr>
          <w:rFonts w:cs="Arial"/>
          <w:u w:val="single"/>
        </w:rPr>
        <w:t xml:space="preserve"> Teilnahme an internationalen Messen und Tagen der offenen Tür</w:t>
      </w:r>
    </w:p>
    <w:p w:rsidR="001F2153" w:rsidRPr="00C8302B" w:rsidRDefault="001F2153" w:rsidP="001F2153"/>
    <w:p w:rsidR="001F2153" w:rsidRPr="00677DBC" w:rsidRDefault="001F2153" w:rsidP="001F2153">
      <w:r w:rsidRPr="00C8302B">
        <w:t xml:space="preserve">Das CPVO betrachtet seine Teilnahme an internationalen Messen und Tagen der offenen Tür </w:t>
      </w:r>
      <w:r>
        <w:t>bei</w:t>
      </w:r>
      <w:r w:rsidRPr="00C8302B">
        <w:t xml:space="preserve"> Prüfungsämtern als nützliches </w:t>
      </w:r>
      <w:r>
        <w:t>Instrument</w:t>
      </w:r>
      <w:r w:rsidRPr="00C8302B">
        <w:t xml:space="preserve"> zur Förderung des gemeinschaftlichen Sortenschutzsystems, um direkten Kontakt mit Antragstellern zu haben und </w:t>
      </w:r>
      <w:r w:rsidRPr="005851A8">
        <w:t>um Züchtern Informationen zu liefern</w:t>
      </w:r>
      <w:r w:rsidRPr="00C8302B">
        <w:t xml:space="preserve">. </w:t>
      </w:r>
      <w:r>
        <w:t>Aufgrund</w:t>
      </w:r>
      <w:r w:rsidRPr="00526E1A">
        <w:t xml:space="preserve"> gesundheitspolitische</w:t>
      </w:r>
      <w:r>
        <w:t>r</w:t>
      </w:r>
      <w:r w:rsidRPr="00526E1A">
        <w:t xml:space="preserve"> Einschränkungen</w:t>
      </w:r>
      <w:r w:rsidRPr="00677DBC">
        <w:t xml:space="preserve"> im Zusammenhang mit der Covid-19-Pandemie wurden jedoch die Messen, an denen das </w:t>
      </w:r>
      <w:r w:rsidRPr="00D066A8">
        <w:t>Amt</w:t>
      </w:r>
      <w:r w:rsidRPr="00677DBC">
        <w:t xml:space="preserve"> normalerweise zusammen mit seinen Partnern aus den Prüfungsämtern teilnimmt („IPM“ in Essen und „Salon Sival“ in Angers), abgesagt.</w:t>
      </w:r>
    </w:p>
    <w:p w:rsidR="001F2153" w:rsidRPr="00677DBC" w:rsidRDefault="001F2153" w:rsidP="001F2153"/>
    <w:p w:rsidR="001F2153" w:rsidRPr="00677DBC" w:rsidRDefault="001F2153" w:rsidP="001F2153">
      <w:pPr>
        <w:contextualSpacing/>
        <w:rPr>
          <w:rFonts w:cs="Arial"/>
          <w:u w:val="single"/>
        </w:rPr>
      </w:pPr>
      <w:r w:rsidRPr="00D22A20">
        <w:rPr>
          <w:rFonts w:cs="Arial"/>
          <w:u w:val="single"/>
        </w:rPr>
        <w:t>5.5</w:t>
      </w:r>
      <w:r w:rsidRPr="003C026C">
        <w:rPr>
          <w:rFonts w:cs="Arial"/>
          <w:u w:val="single"/>
        </w:rPr>
        <w:t xml:space="preserve"> IT-Entwicklungen</w:t>
      </w:r>
      <w:r w:rsidRPr="00677DBC">
        <w:rPr>
          <w:rFonts w:cs="Arial"/>
          <w:u w:val="single"/>
        </w:rPr>
        <w:t xml:space="preserve"> </w:t>
      </w:r>
    </w:p>
    <w:p w:rsidR="001F2153" w:rsidRPr="00677DBC" w:rsidRDefault="001F2153" w:rsidP="001F2153">
      <w:pPr>
        <w:contextualSpacing/>
        <w:rPr>
          <w:rFonts w:cs="Arial"/>
        </w:rPr>
      </w:pPr>
    </w:p>
    <w:p w:rsidR="001F2153" w:rsidRPr="00677DBC" w:rsidRDefault="001F2153" w:rsidP="001F2153">
      <w:pPr>
        <w:contextualSpacing/>
        <w:rPr>
          <w:rFonts w:cs="Arial"/>
        </w:rPr>
      </w:pPr>
      <w:r w:rsidRPr="00677DBC">
        <w:rPr>
          <w:rFonts w:cs="Arial"/>
        </w:rPr>
        <w:t>Das Online-Antrags</w:t>
      </w:r>
      <w:r>
        <w:rPr>
          <w:rFonts w:cs="Arial"/>
        </w:rPr>
        <w:t>instrument</w:t>
      </w:r>
      <w:r w:rsidRPr="00677DBC">
        <w:rPr>
          <w:rFonts w:cs="Arial"/>
        </w:rPr>
        <w:t xml:space="preserve"> des CPVO ist so konzipiert, dass es von den EU-Mitgliedstaaten für die Entgegennahme nationaler Anträge genutzt werden kann, und ist seit Ende 2019 für Anträge auf </w:t>
      </w:r>
      <w:r>
        <w:rPr>
          <w:rFonts w:cs="Arial"/>
        </w:rPr>
        <w:t>Aufnahme</w:t>
      </w:r>
      <w:r w:rsidRPr="00677DBC">
        <w:rPr>
          <w:rFonts w:cs="Arial"/>
        </w:rPr>
        <w:t xml:space="preserve"> in die nationale Liste </w:t>
      </w:r>
      <w:r>
        <w:rPr>
          <w:rFonts w:cs="Arial"/>
        </w:rPr>
        <w:t xml:space="preserve">der Niederlande </w:t>
      </w:r>
      <w:r w:rsidRPr="00677DBC">
        <w:rPr>
          <w:rFonts w:cs="Arial"/>
        </w:rPr>
        <w:t xml:space="preserve">und auf Erteilung von Sortenrechten voll einsatzfähig. </w:t>
      </w:r>
      <w:r w:rsidRPr="004E2770">
        <w:rPr>
          <w:rFonts w:cs="Arial"/>
        </w:rPr>
        <w:t>Eine weitere Integration zusätzlicher EU-Mitgliedstaaten ist möglich und wird mit dem Fortschreiten der Arbe</w:t>
      </w:r>
      <w:r w:rsidRPr="00677DBC">
        <w:rPr>
          <w:rFonts w:cs="Arial"/>
        </w:rPr>
        <w:t xml:space="preserve">iten zur Harmonisierung der technischen Fragebögen </w:t>
      </w:r>
      <w:r>
        <w:rPr>
          <w:rFonts w:cs="Arial"/>
        </w:rPr>
        <w:t>in</w:t>
      </w:r>
      <w:r w:rsidRPr="00677DBC">
        <w:rPr>
          <w:rFonts w:cs="Arial"/>
        </w:rPr>
        <w:t xml:space="preserve"> der EU weiter erleichtert werden. </w:t>
      </w:r>
    </w:p>
    <w:p w:rsidR="001F2153" w:rsidRPr="00677DBC" w:rsidRDefault="001F2153" w:rsidP="001F2153">
      <w:pPr>
        <w:contextualSpacing/>
        <w:rPr>
          <w:rFonts w:cs="Arial"/>
        </w:rPr>
      </w:pPr>
    </w:p>
    <w:p w:rsidR="001F2153" w:rsidRPr="00677DBC" w:rsidRDefault="001F2153" w:rsidP="001F2153">
      <w:pPr>
        <w:contextualSpacing/>
        <w:rPr>
          <w:rFonts w:cs="Arial"/>
        </w:rPr>
      </w:pPr>
      <w:r w:rsidRPr="00F125EC">
        <w:rPr>
          <w:rFonts w:cs="Arial"/>
        </w:rPr>
        <w:t>Nachdem</w:t>
      </w:r>
      <w:r w:rsidRPr="00677DBC">
        <w:rPr>
          <w:rFonts w:cs="Arial"/>
        </w:rPr>
        <w:t xml:space="preserve"> es mehrere Jahre lang möglich war, PRISMA-Anträge elektronisch in das CPVO-System für Online-Anträge zu übertragen, setzt das CPVO seine Zusammenarbeit mit UPOV PRISMA fort und hat gemeinsam </w:t>
      </w:r>
      <w:r>
        <w:rPr>
          <w:rFonts w:cs="Arial"/>
        </w:rPr>
        <w:t xml:space="preserve">die folgenden </w:t>
      </w:r>
      <w:r w:rsidRPr="00677DBC">
        <w:rPr>
          <w:rFonts w:cs="Arial"/>
        </w:rPr>
        <w:t xml:space="preserve">vier Projekte beschlossen, um </w:t>
      </w:r>
      <w:r>
        <w:rPr>
          <w:rFonts w:cs="Arial"/>
        </w:rPr>
        <w:t>diverse</w:t>
      </w:r>
      <w:r w:rsidRPr="00677DBC">
        <w:rPr>
          <w:rFonts w:cs="Arial"/>
        </w:rPr>
        <w:t xml:space="preserve"> Mängel des ursprünglichen Projekts </w:t>
      </w:r>
      <w:r>
        <w:rPr>
          <w:rFonts w:cs="Arial"/>
        </w:rPr>
        <w:t>anzugehen</w:t>
      </w:r>
      <w:r w:rsidRPr="00677DBC">
        <w:rPr>
          <w:rFonts w:cs="Arial"/>
        </w:rPr>
        <w:t>:</w:t>
      </w:r>
    </w:p>
    <w:p w:rsidR="001F2153" w:rsidRPr="00677DBC" w:rsidRDefault="001F2153" w:rsidP="001F2153">
      <w:pPr>
        <w:contextualSpacing/>
        <w:rPr>
          <w:rFonts w:cs="Arial"/>
        </w:rPr>
      </w:pPr>
    </w:p>
    <w:p w:rsidR="001F2153" w:rsidRPr="00677DBC" w:rsidRDefault="001F2153" w:rsidP="003B64F4">
      <w:pPr>
        <w:keepNext/>
        <w:numPr>
          <w:ilvl w:val="0"/>
          <w:numId w:val="23"/>
        </w:numPr>
        <w:contextualSpacing/>
        <w:rPr>
          <w:rFonts w:cs="Arial"/>
        </w:rPr>
      </w:pPr>
      <w:r w:rsidRPr="00677DBC">
        <w:rPr>
          <w:rFonts w:cs="Arial"/>
        </w:rPr>
        <w:lastRenderedPageBreak/>
        <w:t>eine Prüfung des aktuellen Stands des Projekts</w:t>
      </w:r>
    </w:p>
    <w:p w:rsidR="001F2153" w:rsidRPr="00677DBC" w:rsidRDefault="001F2153" w:rsidP="001F2153">
      <w:pPr>
        <w:numPr>
          <w:ilvl w:val="0"/>
          <w:numId w:val="23"/>
        </w:numPr>
        <w:contextualSpacing/>
        <w:rPr>
          <w:rFonts w:cs="Arial"/>
        </w:rPr>
      </w:pPr>
      <w:r w:rsidRPr="00677DBC">
        <w:rPr>
          <w:rFonts w:cs="Arial"/>
        </w:rPr>
        <w:t xml:space="preserve">eine Untersuchung und </w:t>
      </w:r>
      <w:r w:rsidRPr="0076300A">
        <w:rPr>
          <w:rFonts w:cs="Arial"/>
        </w:rPr>
        <w:t>Umsetzung</w:t>
      </w:r>
      <w:r w:rsidRPr="00921740">
        <w:rPr>
          <w:rFonts w:cs="Arial"/>
        </w:rPr>
        <w:t xml:space="preserve"> von </w:t>
      </w:r>
      <w:r>
        <w:rPr>
          <w:rFonts w:cs="Arial"/>
        </w:rPr>
        <w:t>Verfahren</w:t>
      </w:r>
      <w:r w:rsidRPr="00677DBC">
        <w:rPr>
          <w:rFonts w:cs="Arial"/>
        </w:rPr>
        <w:t xml:space="preserve"> </w:t>
      </w:r>
      <w:r>
        <w:rPr>
          <w:rFonts w:cs="Arial"/>
        </w:rPr>
        <w:t>für eine</w:t>
      </w:r>
      <w:r w:rsidRPr="00677DBC">
        <w:rPr>
          <w:rFonts w:cs="Arial"/>
        </w:rPr>
        <w:t xml:space="preserve"> bessere Organisation und Automatisierung der Umsetzung von Änderungen an Formularen in beiden Systemen</w:t>
      </w:r>
    </w:p>
    <w:p w:rsidR="001F2153" w:rsidRPr="00677DBC" w:rsidRDefault="001F2153" w:rsidP="001F2153">
      <w:pPr>
        <w:numPr>
          <w:ilvl w:val="0"/>
          <w:numId w:val="23"/>
        </w:numPr>
        <w:contextualSpacing/>
        <w:rPr>
          <w:rFonts w:cs="Arial"/>
        </w:rPr>
      </w:pPr>
      <w:r w:rsidRPr="00677DBC">
        <w:rPr>
          <w:rFonts w:cs="Arial"/>
        </w:rPr>
        <w:t xml:space="preserve">die Unterstützung eines </w:t>
      </w:r>
      <w:r>
        <w:rPr>
          <w:rFonts w:cs="Arial"/>
        </w:rPr>
        <w:t>sogenannt</w:t>
      </w:r>
      <w:r w:rsidRPr="00677DBC">
        <w:rPr>
          <w:rFonts w:cs="Arial"/>
        </w:rPr>
        <w:t xml:space="preserve">en </w:t>
      </w:r>
      <w:r w:rsidRPr="000A719F">
        <w:rPr>
          <w:rFonts w:cs="Arial"/>
        </w:rPr>
        <w:t>„Bulk-Uploads“ von</w:t>
      </w:r>
      <w:r w:rsidRPr="00677DBC">
        <w:rPr>
          <w:rFonts w:cs="Arial"/>
        </w:rPr>
        <w:t xml:space="preserve"> Anträgen von PRISMA </w:t>
      </w:r>
      <w:r>
        <w:rPr>
          <w:rFonts w:cs="Arial"/>
        </w:rPr>
        <w:t>beim</w:t>
      </w:r>
      <w:r w:rsidRPr="00677DBC">
        <w:rPr>
          <w:rFonts w:cs="Arial"/>
        </w:rPr>
        <w:t xml:space="preserve"> CPVO (für eine begrenzte Liste von Arten und Kunden)</w:t>
      </w:r>
    </w:p>
    <w:p w:rsidR="001F2153" w:rsidRPr="00677DBC" w:rsidRDefault="001F2153" w:rsidP="001F2153">
      <w:pPr>
        <w:numPr>
          <w:ilvl w:val="0"/>
          <w:numId w:val="23"/>
        </w:numPr>
        <w:contextualSpacing/>
        <w:rPr>
          <w:rFonts w:cs="Arial"/>
        </w:rPr>
      </w:pPr>
      <w:r w:rsidRPr="00677DBC">
        <w:rPr>
          <w:rFonts w:cs="Arial"/>
        </w:rPr>
        <w:t>die bidirektionale Übertragung von Antragsdaten (d.h. auch die Unterstützung der Über</w:t>
      </w:r>
      <w:r>
        <w:rPr>
          <w:rFonts w:cs="Arial"/>
        </w:rPr>
        <w:t>tragung</w:t>
      </w:r>
      <w:r w:rsidRPr="00677DBC">
        <w:rPr>
          <w:rFonts w:cs="Arial"/>
        </w:rPr>
        <w:t xml:space="preserve"> von Antragsdaten </w:t>
      </w:r>
      <w:r>
        <w:rPr>
          <w:rFonts w:cs="Arial"/>
        </w:rPr>
        <w:t>des</w:t>
      </w:r>
      <w:r w:rsidRPr="00677DBC">
        <w:rPr>
          <w:rFonts w:cs="Arial"/>
        </w:rPr>
        <w:t xml:space="preserve"> Online-Antragssystem</w:t>
      </w:r>
      <w:r>
        <w:rPr>
          <w:rFonts w:cs="Arial"/>
        </w:rPr>
        <w:t>s des CPVO</w:t>
      </w:r>
      <w:r w:rsidRPr="00677DBC">
        <w:rPr>
          <w:rFonts w:cs="Arial"/>
        </w:rPr>
        <w:t xml:space="preserve"> an das PRISMA-System der UPOV).</w:t>
      </w:r>
    </w:p>
    <w:p w:rsidR="001F2153" w:rsidRPr="00677DBC" w:rsidRDefault="001F2153" w:rsidP="001F2153">
      <w:pPr>
        <w:contextualSpacing/>
        <w:rPr>
          <w:rFonts w:cs="Arial"/>
        </w:rPr>
      </w:pPr>
    </w:p>
    <w:p w:rsidR="001F2153" w:rsidRPr="00C8302B" w:rsidRDefault="001F2153" w:rsidP="001F2153">
      <w:pPr>
        <w:contextualSpacing/>
        <w:rPr>
          <w:rFonts w:cs="Arial"/>
        </w:rPr>
      </w:pPr>
      <w:r w:rsidRPr="00677DBC">
        <w:rPr>
          <w:rFonts w:cs="Arial"/>
        </w:rPr>
        <w:t xml:space="preserve">Das dritte Projekt wird sich vorrangig mit Mais als </w:t>
      </w:r>
      <w:r w:rsidRPr="0022586C">
        <w:rPr>
          <w:rFonts w:cs="Arial"/>
        </w:rPr>
        <w:t>Pilotart befassen</w:t>
      </w:r>
      <w:r w:rsidRPr="00677DBC">
        <w:rPr>
          <w:rFonts w:cs="Arial"/>
        </w:rPr>
        <w:t>.</w:t>
      </w:r>
    </w:p>
    <w:p w:rsidR="001F2153" w:rsidRPr="00C8302B" w:rsidRDefault="001F2153" w:rsidP="001F2153">
      <w:pPr>
        <w:contextualSpacing/>
        <w:rPr>
          <w:rFonts w:cs="Arial"/>
        </w:rPr>
      </w:pPr>
    </w:p>
    <w:p w:rsidR="001F2153" w:rsidRPr="00C8302B" w:rsidRDefault="001F2153" w:rsidP="001F2153">
      <w:r w:rsidRPr="00C8302B">
        <w:t>6.</w:t>
      </w:r>
      <w:r w:rsidRPr="00C8302B">
        <w:tab/>
      </w:r>
      <w:r>
        <w:rPr>
          <w:u w:val="single"/>
        </w:rPr>
        <w:t>Forschung und Entwicklung</w:t>
      </w:r>
      <w:r w:rsidRPr="00C8302B">
        <w:rPr>
          <w:u w:val="single"/>
        </w:rPr>
        <w:t xml:space="preserve"> </w:t>
      </w:r>
    </w:p>
    <w:p w:rsidR="001F2153" w:rsidRPr="00C8302B" w:rsidRDefault="001F2153" w:rsidP="001F2153">
      <w:pPr>
        <w:pStyle w:val="ListBullet"/>
        <w:numPr>
          <w:ilvl w:val="0"/>
          <w:numId w:val="0"/>
        </w:numPr>
        <w:tabs>
          <w:tab w:val="left" w:pos="720"/>
        </w:tabs>
        <w:spacing w:after="0"/>
        <w:ind w:left="283" w:hanging="283"/>
        <w:contextualSpacing/>
        <w:rPr>
          <w:rFonts w:cs="Arial"/>
          <w:u w:val="single"/>
          <w:lang w:val="de-DE"/>
        </w:rPr>
      </w:pPr>
    </w:p>
    <w:p w:rsidR="001F2153" w:rsidRPr="00C8302B" w:rsidRDefault="001F2153" w:rsidP="001F2153">
      <w:pPr>
        <w:pStyle w:val="ListBullet"/>
        <w:numPr>
          <w:ilvl w:val="0"/>
          <w:numId w:val="0"/>
        </w:numPr>
        <w:tabs>
          <w:tab w:val="left" w:pos="720"/>
        </w:tabs>
        <w:spacing w:after="0"/>
        <w:ind w:left="283" w:hanging="283"/>
        <w:contextualSpacing/>
        <w:rPr>
          <w:rFonts w:cs="Arial"/>
          <w:u w:val="single"/>
          <w:lang w:val="de-DE"/>
        </w:rPr>
      </w:pPr>
      <w:r w:rsidRPr="00F87281">
        <w:rPr>
          <w:rFonts w:cs="Arial"/>
          <w:u w:val="single"/>
          <w:lang w:val="de-DE"/>
        </w:rPr>
        <w:t>6.1</w:t>
      </w:r>
      <w:r w:rsidRPr="00C8302B">
        <w:rPr>
          <w:rFonts w:cs="Arial"/>
          <w:u w:val="single"/>
          <w:lang w:val="de-DE"/>
        </w:rPr>
        <w:t xml:space="preserve"> Ad-hoc-Arbeitsgruppe IMODDUS</w:t>
      </w:r>
    </w:p>
    <w:p w:rsidR="001F2153" w:rsidRPr="00C8302B" w:rsidRDefault="001F2153" w:rsidP="001F2153">
      <w:pPr>
        <w:contextualSpacing/>
        <w:rPr>
          <w:rFonts w:cs="Arial"/>
        </w:rPr>
      </w:pPr>
    </w:p>
    <w:p w:rsidR="001F2153" w:rsidRPr="00C8302B" w:rsidRDefault="001F2153" w:rsidP="001F2153">
      <w:pPr>
        <w:contextualSpacing/>
        <w:rPr>
          <w:rFonts w:cs="Arial"/>
        </w:rPr>
      </w:pPr>
      <w:r w:rsidRPr="00C8302B">
        <w:rPr>
          <w:rFonts w:cs="Arial"/>
        </w:rPr>
        <w:t xml:space="preserve">Als eines der drei Ziele der vorherigen </w:t>
      </w:r>
      <w:r w:rsidRPr="0024030F">
        <w:rPr>
          <w:rFonts w:cs="Arial"/>
        </w:rPr>
        <w:t>Forschungs- und Entwicklungsstrategie</w:t>
      </w:r>
      <w:r w:rsidRPr="00C8302B">
        <w:rPr>
          <w:rFonts w:cs="Arial"/>
        </w:rPr>
        <w:t xml:space="preserve"> des CPVO, die vom Verwaltungsrat (</w:t>
      </w:r>
      <w:r>
        <w:rPr>
          <w:rFonts w:cs="Arial"/>
        </w:rPr>
        <w:t>VR</w:t>
      </w:r>
      <w:r w:rsidRPr="00C8302B">
        <w:rPr>
          <w:rFonts w:cs="Arial"/>
        </w:rPr>
        <w:t xml:space="preserve">) im März 2015 angenommen wurde, hat der </w:t>
      </w:r>
      <w:r>
        <w:rPr>
          <w:rFonts w:cs="Arial"/>
        </w:rPr>
        <w:t>VR</w:t>
      </w:r>
      <w:r w:rsidRPr="00C8302B">
        <w:rPr>
          <w:rFonts w:cs="Arial"/>
        </w:rPr>
        <w:t xml:space="preserve"> für die </w:t>
      </w:r>
      <w:r>
        <w:rPr>
          <w:rFonts w:cs="Arial"/>
        </w:rPr>
        <w:t>Schaffung</w:t>
      </w:r>
      <w:r w:rsidRPr="00C8302B">
        <w:rPr>
          <w:rFonts w:cs="Arial"/>
        </w:rPr>
        <w:t xml:space="preserve"> einer Ad-hoc-Arbeitsgruppe für biomolekulare Verfahren </w:t>
      </w:r>
      <w:r>
        <w:rPr>
          <w:rFonts w:cs="Arial"/>
        </w:rPr>
        <w:t xml:space="preserve">des </w:t>
      </w:r>
      <w:r w:rsidRPr="00C8302B">
        <w:rPr>
          <w:rFonts w:cs="Arial"/>
        </w:rPr>
        <w:t>CPVO</w:t>
      </w:r>
      <w:r>
        <w:rPr>
          <w:rFonts w:cs="Arial"/>
        </w:rPr>
        <w:t xml:space="preserve"> </w:t>
      </w:r>
      <w:r w:rsidRPr="00C8302B">
        <w:rPr>
          <w:rFonts w:cs="Arial"/>
        </w:rPr>
        <w:t xml:space="preserve">gestimmt. Diese Arbeitsgruppe trägt den Namen IMODDUS, </w:t>
      </w:r>
      <w:r w:rsidRPr="00493374">
        <w:rPr>
          <w:rFonts w:cs="Arial"/>
        </w:rPr>
        <w:t xml:space="preserve">gemäß der englischen Bezeichnung </w:t>
      </w:r>
      <w:r w:rsidRPr="00290F43">
        <w:rPr>
          <w:rFonts w:cs="Arial"/>
          <w:i/>
          <w:iCs/>
        </w:rPr>
        <w:t>Integration of Molecular Data into DUS-Testing</w:t>
      </w:r>
      <w:r w:rsidRPr="00493374">
        <w:rPr>
          <w:rFonts w:cs="Arial"/>
        </w:rPr>
        <w:t xml:space="preserve"> (Integration molekularer Daten bei der DUS-Prüfung)</w:t>
      </w:r>
      <w:r w:rsidRPr="00C8302B">
        <w:rPr>
          <w:rFonts w:cs="Arial"/>
        </w:rPr>
        <w:t xml:space="preserve">. Ziel der Gruppe ist </w:t>
      </w:r>
      <w:r w:rsidRPr="001D26D0">
        <w:rPr>
          <w:rFonts w:cs="Arial"/>
        </w:rPr>
        <w:t>die Arbeit an Projekten in den verschiedenen Pflanzensektoren</w:t>
      </w:r>
      <w:r w:rsidRPr="00C8302B">
        <w:rPr>
          <w:rFonts w:cs="Arial"/>
        </w:rPr>
        <w:t xml:space="preserve">, </w:t>
      </w:r>
      <w:r w:rsidRPr="00E2240C">
        <w:rPr>
          <w:rFonts w:cs="Arial"/>
        </w:rPr>
        <w:t>in denen die Anwendung biomolekularer Verfahren bei der DUS-Prüfung möglich wäre und diese Verfahren zu Effizienz und Qualität beitragen können</w:t>
      </w:r>
      <w:r w:rsidRPr="00C8302B">
        <w:rPr>
          <w:rFonts w:cs="Arial"/>
        </w:rPr>
        <w:t>.</w:t>
      </w:r>
    </w:p>
    <w:p w:rsidR="001F2153" w:rsidRPr="00C8302B" w:rsidRDefault="001F2153" w:rsidP="001F2153">
      <w:pPr>
        <w:contextualSpacing/>
        <w:rPr>
          <w:rFonts w:cs="Arial"/>
        </w:rPr>
      </w:pPr>
    </w:p>
    <w:p w:rsidR="001F2153" w:rsidRPr="00C8302B" w:rsidRDefault="001F2153" w:rsidP="001F2153">
      <w:pPr>
        <w:contextualSpacing/>
        <w:rPr>
          <w:rFonts w:cs="Arial"/>
        </w:rPr>
      </w:pPr>
      <w:r w:rsidRPr="00C8302B">
        <w:rPr>
          <w:rFonts w:cs="Arial"/>
        </w:rPr>
        <w:t xml:space="preserve">Die Gruppe setzt sich aus BMT-Sachverständigen </w:t>
      </w:r>
      <w:r>
        <w:rPr>
          <w:rFonts w:cs="Arial"/>
        </w:rPr>
        <w:t xml:space="preserve">von </w:t>
      </w:r>
      <w:r w:rsidRPr="00C8302B">
        <w:rPr>
          <w:rFonts w:cs="Arial"/>
        </w:rPr>
        <w:t>interessierte</w:t>
      </w:r>
      <w:r>
        <w:rPr>
          <w:rFonts w:cs="Arial"/>
        </w:rPr>
        <w:t>n</w:t>
      </w:r>
      <w:r w:rsidRPr="00C8302B">
        <w:rPr>
          <w:rFonts w:cs="Arial"/>
        </w:rPr>
        <w:t xml:space="preserve"> Prüfungsämter</w:t>
      </w:r>
      <w:r>
        <w:rPr>
          <w:rFonts w:cs="Arial"/>
        </w:rPr>
        <w:t>n</w:t>
      </w:r>
      <w:r w:rsidRPr="00C8302B">
        <w:rPr>
          <w:rFonts w:cs="Arial"/>
        </w:rPr>
        <w:t xml:space="preserve"> und Züchterorganisationen zusammen. Sachverständige aus </w:t>
      </w:r>
      <w:r>
        <w:rPr>
          <w:rFonts w:cs="Arial"/>
        </w:rPr>
        <w:t>Laboren</w:t>
      </w:r>
      <w:r w:rsidRPr="00C8302B">
        <w:rPr>
          <w:rFonts w:cs="Arial"/>
        </w:rPr>
        <w:t xml:space="preserve">, Universitäten, der Industrie usw. können ebenfalls vom Vorsitzenden der Gruppe eingeladen werden. </w:t>
      </w:r>
    </w:p>
    <w:p w:rsidR="001F2153" w:rsidRPr="00C8302B" w:rsidRDefault="001F2153" w:rsidP="001F2153">
      <w:pPr>
        <w:contextualSpacing/>
        <w:rPr>
          <w:rFonts w:cs="Arial"/>
        </w:rPr>
      </w:pPr>
    </w:p>
    <w:p w:rsidR="001F2153" w:rsidRPr="00C8302B" w:rsidRDefault="001F2153" w:rsidP="001F2153">
      <w:pPr>
        <w:contextualSpacing/>
        <w:rPr>
          <w:rFonts w:cs="Arial"/>
        </w:rPr>
      </w:pPr>
      <w:r w:rsidRPr="00C977D0">
        <w:rPr>
          <w:rFonts w:cs="Arial"/>
        </w:rPr>
        <w:t>Im Februar 2</w:t>
      </w:r>
      <w:r w:rsidRPr="00C8302B">
        <w:rPr>
          <w:rFonts w:cs="Arial"/>
        </w:rPr>
        <w:t xml:space="preserve">021 wurde eine Videokonferenz organisiert. Auf der Tagesordnung standen </w:t>
      </w:r>
      <w:r>
        <w:rPr>
          <w:rFonts w:cs="Arial"/>
        </w:rPr>
        <w:t>Referate</w:t>
      </w:r>
      <w:r w:rsidRPr="00C8302B">
        <w:rPr>
          <w:rFonts w:cs="Arial"/>
        </w:rPr>
        <w:t xml:space="preserve"> und </w:t>
      </w:r>
      <w:r w:rsidRPr="00852AE7">
        <w:rPr>
          <w:rFonts w:cs="Arial"/>
        </w:rPr>
        <w:t>Erörterungen</w:t>
      </w:r>
      <w:r w:rsidRPr="00C8302B">
        <w:rPr>
          <w:rFonts w:cs="Arial"/>
        </w:rPr>
        <w:t xml:space="preserve"> zu den folgenden </w:t>
      </w:r>
      <w:r w:rsidRPr="00C977D0">
        <w:rPr>
          <w:rFonts w:cs="Arial"/>
        </w:rPr>
        <w:t>Themen</w:t>
      </w:r>
      <w:r w:rsidRPr="00C8302B">
        <w:rPr>
          <w:rFonts w:cs="Arial"/>
        </w:rPr>
        <w:t>:</w:t>
      </w:r>
    </w:p>
    <w:p w:rsidR="001F2153" w:rsidRPr="00C8302B" w:rsidRDefault="001F2153" w:rsidP="001F2153">
      <w:pPr>
        <w:contextualSpacing/>
        <w:rPr>
          <w:rFonts w:cs="Arial"/>
        </w:rPr>
      </w:pPr>
    </w:p>
    <w:p w:rsidR="001F2153" w:rsidRPr="00677DBC" w:rsidRDefault="001F2153" w:rsidP="001F2153">
      <w:pPr>
        <w:pStyle w:val="ListParagraph"/>
        <w:numPr>
          <w:ilvl w:val="0"/>
          <w:numId w:val="25"/>
        </w:numPr>
        <w:contextualSpacing/>
        <w:rPr>
          <w:rFonts w:cs="Arial"/>
        </w:rPr>
      </w:pPr>
      <w:r>
        <w:rPr>
          <w:rFonts w:cs="Arial"/>
        </w:rPr>
        <w:t xml:space="preserve">Der </w:t>
      </w:r>
      <w:r w:rsidRPr="00677DBC">
        <w:rPr>
          <w:rFonts w:cs="Arial"/>
        </w:rPr>
        <w:t xml:space="preserve">Entwurf der </w:t>
      </w:r>
      <w:r w:rsidRPr="00223900">
        <w:rPr>
          <w:rFonts w:cs="Arial"/>
        </w:rPr>
        <w:t>Forschungs- und Entwicklungs</w:t>
      </w:r>
      <w:r>
        <w:rPr>
          <w:rFonts w:cs="Arial"/>
        </w:rPr>
        <w:t>s</w:t>
      </w:r>
      <w:r w:rsidRPr="00677DBC">
        <w:rPr>
          <w:rFonts w:cs="Arial"/>
        </w:rPr>
        <w:t>trategie des CPVO für 2021-2025,</w:t>
      </w:r>
    </w:p>
    <w:p w:rsidR="001F2153" w:rsidRPr="00677DBC" w:rsidRDefault="001F2153" w:rsidP="001F2153">
      <w:pPr>
        <w:pStyle w:val="ListParagraph"/>
        <w:numPr>
          <w:ilvl w:val="0"/>
          <w:numId w:val="25"/>
        </w:numPr>
        <w:contextualSpacing/>
        <w:rPr>
          <w:rFonts w:cs="Arial"/>
        </w:rPr>
      </w:pPr>
      <w:r w:rsidRPr="00223900">
        <w:rPr>
          <w:rFonts w:cs="Arial"/>
        </w:rPr>
        <w:t>Forschung und Entwicklung</w:t>
      </w:r>
      <w:r>
        <w:rPr>
          <w:rFonts w:cs="Arial"/>
        </w:rPr>
        <w:t xml:space="preserve"> </w:t>
      </w:r>
      <w:r w:rsidRPr="00677DBC">
        <w:rPr>
          <w:rFonts w:cs="Arial"/>
        </w:rPr>
        <w:t xml:space="preserve">im Kontext des Green Deal: Integration </w:t>
      </w:r>
      <w:r>
        <w:rPr>
          <w:rFonts w:cs="Arial"/>
        </w:rPr>
        <w:t>von</w:t>
      </w:r>
      <w:r w:rsidRPr="00677DBC">
        <w:rPr>
          <w:rFonts w:cs="Arial"/>
        </w:rPr>
        <w:t xml:space="preserve"> SDG in Züchtungsprogramme und ihre mögliche Verwendung als </w:t>
      </w:r>
      <w:r>
        <w:rPr>
          <w:rFonts w:cs="Arial"/>
        </w:rPr>
        <w:t>Bewertung</w:t>
      </w:r>
      <w:r w:rsidRPr="00677DBC">
        <w:rPr>
          <w:rFonts w:cs="Arial"/>
        </w:rPr>
        <w:t>skriterien für vo</w:t>
      </w:r>
      <w:r>
        <w:rPr>
          <w:rFonts w:cs="Arial"/>
        </w:rPr>
        <w:t>n de</w:t>
      </w:r>
      <w:r w:rsidRPr="00677DBC">
        <w:rPr>
          <w:rFonts w:cs="Arial"/>
        </w:rPr>
        <w:t xml:space="preserve">m CPVO unterstützte </w:t>
      </w:r>
      <w:r w:rsidRPr="00223900">
        <w:rPr>
          <w:rFonts w:cs="Arial"/>
        </w:rPr>
        <w:t>Forschungs- und Entwicklungsprojekte</w:t>
      </w:r>
      <w:r w:rsidRPr="00677DBC">
        <w:rPr>
          <w:rFonts w:cs="Arial"/>
        </w:rPr>
        <w:t>,</w:t>
      </w:r>
    </w:p>
    <w:p w:rsidR="001F2153" w:rsidRPr="00677DBC" w:rsidRDefault="001F2153" w:rsidP="001F2153">
      <w:pPr>
        <w:pStyle w:val="ListParagraph"/>
        <w:numPr>
          <w:ilvl w:val="0"/>
          <w:numId w:val="25"/>
        </w:numPr>
        <w:contextualSpacing/>
        <w:rPr>
          <w:rFonts w:cs="Arial"/>
        </w:rPr>
      </w:pPr>
      <w:r>
        <w:rPr>
          <w:rFonts w:cs="Arial"/>
        </w:rPr>
        <w:t>N</w:t>
      </w:r>
      <w:r w:rsidRPr="00677DBC">
        <w:rPr>
          <w:rFonts w:cs="Arial"/>
        </w:rPr>
        <w:t>eueste molekulare Entwicklungen</w:t>
      </w:r>
      <w:r>
        <w:rPr>
          <w:rFonts w:cs="Arial"/>
        </w:rPr>
        <w:t xml:space="preserve"> bei der UPOV</w:t>
      </w:r>
      <w:r w:rsidRPr="00677DBC">
        <w:rPr>
          <w:rFonts w:cs="Arial"/>
        </w:rPr>
        <w:t>,</w:t>
      </w:r>
    </w:p>
    <w:p w:rsidR="001F2153" w:rsidRPr="00677DBC" w:rsidRDefault="001F2153" w:rsidP="001F2153">
      <w:pPr>
        <w:pStyle w:val="ListParagraph"/>
        <w:numPr>
          <w:ilvl w:val="0"/>
          <w:numId w:val="25"/>
        </w:numPr>
        <w:contextualSpacing/>
        <w:rPr>
          <w:rFonts w:cs="Arial"/>
        </w:rPr>
      </w:pPr>
      <w:r>
        <w:rPr>
          <w:rFonts w:cs="Arial"/>
        </w:rPr>
        <w:t>Aktuelle Informationen</w:t>
      </w:r>
      <w:r w:rsidRPr="00B926FA">
        <w:rPr>
          <w:rFonts w:cs="Arial"/>
        </w:rPr>
        <w:t xml:space="preserve"> </w:t>
      </w:r>
      <w:r>
        <w:rPr>
          <w:rFonts w:cs="Arial"/>
        </w:rPr>
        <w:t xml:space="preserve">zum </w:t>
      </w:r>
      <w:r w:rsidRPr="00B926FA">
        <w:rPr>
          <w:rFonts w:cs="Arial"/>
        </w:rPr>
        <w:t>US-Sortenschutzsystem und die Verwendung molekularer Verfahren bei der Entscheidungsfindung</w:t>
      </w:r>
      <w:r>
        <w:rPr>
          <w:rFonts w:cs="Arial"/>
        </w:rPr>
        <w:t>,</w:t>
      </w:r>
    </w:p>
    <w:p w:rsidR="001F2153" w:rsidRPr="00677DBC" w:rsidRDefault="001F2153" w:rsidP="001F2153">
      <w:pPr>
        <w:pStyle w:val="ListParagraph"/>
        <w:numPr>
          <w:ilvl w:val="0"/>
          <w:numId w:val="25"/>
        </w:numPr>
        <w:contextualSpacing/>
        <w:rPr>
          <w:rFonts w:cs="Arial"/>
        </w:rPr>
      </w:pPr>
      <w:r w:rsidRPr="00677DBC">
        <w:rPr>
          <w:rFonts w:cs="Arial"/>
        </w:rPr>
        <w:t xml:space="preserve">Laufende </w:t>
      </w:r>
      <w:r w:rsidRPr="00223900">
        <w:rPr>
          <w:rFonts w:cs="Arial"/>
        </w:rPr>
        <w:t>Forschungs- und Entwicklungsprojekte</w:t>
      </w:r>
      <w:r>
        <w:rPr>
          <w:rFonts w:cs="Arial"/>
        </w:rPr>
        <w:t xml:space="preserve"> von </w:t>
      </w:r>
      <w:r w:rsidRPr="00677DBC">
        <w:rPr>
          <w:rFonts w:cs="Arial"/>
        </w:rPr>
        <w:t>IMODDUS;</w:t>
      </w:r>
    </w:p>
    <w:p w:rsidR="001F2153" w:rsidRPr="00677DBC" w:rsidRDefault="001F2153" w:rsidP="001F2153">
      <w:pPr>
        <w:pStyle w:val="ListParagraph"/>
        <w:numPr>
          <w:ilvl w:val="0"/>
          <w:numId w:val="25"/>
        </w:numPr>
        <w:contextualSpacing/>
        <w:rPr>
          <w:rFonts w:cs="Arial"/>
        </w:rPr>
      </w:pPr>
      <w:r w:rsidRPr="00677DBC">
        <w:rPr>
          <w:rFonts w:cs="Arial"/>
        </w:rPr>
        <w:t>Molekulare Aufgaben des EU-Projekts INVITE,</w:t>
      </w:r>
    </w:p>
    <w:p w:rsidR="001F2153" w:rsidRPr="00677DBC" w:rsidRDefault="001F2153" w:rsidP="001F2153">
      <w:pPr>
        <w:pStyle w:val="ListParagraph"/>
        <w:numPr>
          <w:ilvl w:val="0"/>
          <w:numId w:val="25"/>
        </w:numPr>
        <w:contextualSpacing/>
        <w:rPr>
          <w:rFonts w:cs="Arial"/>
        </w:rPr>
      </w:pPr>
      <w:r w:rsidRPr="00677DBC">
        <w:rPr>
          <w:rFonts w:cs="Arial"/>
        </w:rPr>
        <w:t xml:space="preserve">Molekulare Marker zur Unterstützung der </w:t>
      </w:r>
      <w:r>
        <w:rPr>
          <w:rFonts w:cs="Arial"/>
        </w:rPr>
        <w:t>Prüfung</w:t>
      </w:r>
      <w:r w:rsidRPr="00677DBC">
        <w:rPr>
          <w:rFonts w:cs="Arial"/>
        </w:rPr>
        <w:t xml:space="preserve"> der Unterscheidbarkeit bei fremdbefruchtenden Arten: Allelhäufigkeiten und Konzept </w:t>
      </w:r>
      <w:r>
        <w:rPr>
          <w:rFonts w:cs="Arial"/>
        </w:rPr>
        <w:t>von</w:t>
      </w:r>
      <w:r w:rsidRPr="00677DBC">
        <w:rPr>
          <w:rFonts w:cs="Arial"/>
        </w:rPr>
        <w:t xml:space="preserve"> vmD (</w:t>
      </w:r>
      <w:r w:rsidRPr="00290F43">
        <w:rPr>
          <w:rFonts w:cs="Arial"/>
          <w:i/>
          <w:iCs/>
        </w:rPr>
        <w:t>value molecular Distinctness</w:t>
      </w:r>
      <w:r w:rsidRPr="00677DBC">
        <w:rPr>
          <w:rFonts w:cs="Arial"/>
        </w:rPr>
        <w:t>),</w:t>
      </w:r>
    </w:p>
    <w:p w:rsidR="001F2153" w:rsidRPr="00E439D5" w:rsidRDefault="001F2153" w:rsidP="001F2153">
      <w:pPr>
        <w:pStyle w:val="ListParagraph"/>
        <w:numPr>
          <w:ilvl w:val="0"/>
          <w:numId w:val="25"/>
        </w:numPr>
        <w:contextualSpacing/>
        <w:rPr>
          <w:rFonts w:cs="Arial"/>
        </w:rPr>
      </w:pPr>
      <w:r w:rsidRPr="00677DBC">
        <w:rPr>
          <w:rFonts w:cs="Arial"/>
        </w:rPr>
        <w:t xml:space="preserve">Zugang zu Datenbanken, Vertraulichkeit und Kostenteilung: z. B. INVITE-Mustervereinbarung, </w:t>
      </w:r>
      <w:r w:rsidRPr="00E439D5">
        <w:rPr>
          <w:rFonts w:cs="Arial"/>
        </w:rPr>
        <w:t xml:space="preserve">Partnerschaftsvereinbarung des CPVO </w:t>
      </w:r>
      <w:r>
        <w:rPr>
          <w:rFonts w:cs="Arial"/>
        </w:rPr>
        <w:t>über die</w:t>
      </w:r>
      <w:r w:rsidRPr="00E439D5">
        <w:rPr>
          <w:rFonts w:cs="Arial"/>
        </w:rPr>
        <w:t xml:space="preserve"> Kartoffeldatenbank.</w:t>
      </w:r>
    </w:p>
    <w:p w:rsidR="001F2153" w:rsidRPr="00C8302B" w:rsidRDefault="001F2153" w:rsidP="001F2153">
      <w:pPr>
        <w:contextualSpacing/>
        <w:rPr>
          <w:rFonts w:cs="Arial"/>
        </w:rPr>
      </w:pPr>
    </w:p>
    <w:p w:rsidR="001F2153" w:rsidRPr="00C8302B" w:rsidRDefault="001F2153" w:rsidP="001F2153">
      <w:pPr>
        <w:contextualSpacing/>
        <w:rPr>
          <w:rFonts w:cs="Arial"/>
        </w:rPr>
      </w:pPr>
      <w:r w:rsidRPr="00B926FA">
        <w:rPr>
          <w:rFonts w:cs="Arial"/>
        </w:rPr>
        <w:t>Im Jahr 2021 wirkte IMODDUS</w:t>
      </w:r>
      <w:r w:rsidRPr="00C8302B">
        <w:rPr>
          <w:rFonts w:cs="Arial"/>
        </w:rPr>
        <w:t xml:space="preserve"> an der </w:t>
      </w:r>
      <w:r>
        <w:rPr>
          <w:rFonts w:cs="Arial"/>
        </w:rPr>
        <w:t>Beurteilung</w:t>
      </w:r>
      <w:r w:rsidRPr="00C8302B">
        <w:rPr>
          <w:rFonts w:cs="Arial"/>
        </w:rPr>
        <w:t xml:space="preserve"> von zwei neuen </w:t>
      </w:r>
      <w:r>
        <w:rPr>
          <w:rFonts w:cs="Arial"/>
        </w:rPr>
        <w:t xml:space="preserve">Vorschlägen für </w:t>
      </w:r>
      <w:r w:rsidRPr="00223900">
        <w:rPr>
          <w:rFonts w:cs="Arial"/>
        </w:rPr>
        <w:t>Forschungs- und Entwicklungsprojekte</w:t>
      </w:r>
      <w:r>
        <w:rPr>
          <w:rFonts w:cs="Arial"/>
        </w:rPr>
        <w:t xml:space="preserve"> </w:t>
      </w:r>
      <w:r w:rsidRPr="00C8302B">
        <w:rPr>
          <w:rFonts w:cs="Arial"/>
        </w:rPr>
        <w:t xml:space="preserve">mit, deren </w:t>
      </w:r>
      <w:r>
        <w:rPr>
          <w:rFonts w:cs="Arial"/>
        </w:rPr>
        <w:t>Beurteilung</w:t>
      </w:r>
      <w:r w:rsidRPr="00C8302B">
        <w:rPr>
          <w:rFonts w:cs="Arial"/>
        </w:rPr>
        <w:t xml:space="preserve">sverfahren vor Ende des Jahres abgeschlossen sein dürfte. </w:t>
      </w:r>
      <w:r w:rsidRPr="00E31EF1">
        <w:rPr>
          <w:rFonts w:cs="Arial"/>
          <w:lang w:val="en-US"/>
        </w:rPr>
        <w:t xml:space="preserve">Im Jahr 2021 begann ein von IMODDUS im Jahr 2020 positiv geprüftes Projekt zu Hartweizen (DurdusTools): </w:t>
      </w:r>
      <w:r w:rsidRPr="00E31EF1">
        <w:rPr>
          <w:rFonts w:cs="Arial"/>
          <w:i/>
          <w:iCs/>
          <w:lang w:val="en-US"/>
        </w:rPr>
        <w:t>„Integration of molecular data into DUS testing in Durum wheat - development of a common online molecular database and a genetic distance calculation tool“</w:t>
      </w:r>
      <w:r w:rsidRPr="00E31EF1">
        <w:rPr>
          <w:rFonts w:cs="Arial"/>
          <w:lang w:val="en-US"/>
        </w:rPr>
        <w:t xml:space="preserve">. </w:t>
      </w:r>
      <w:r w:rsidRPr="00C8302B">
        <w:rPr>
          <w:rFonts w:cs="Arial"/>
        </w:rPr>
        <w:t xml:space="preserve">Es handelt sich um eine </w:t>
      </w:r>
      <w:r w:rsidRPr="00C67722">
        <w:rPr>
          <w:rFonts w:cs="Arial"/>
        </w:rPr>
        <w:t>Folgemaßnahme</w:t>
      </w:r>
      <w:r w:rsidRPr="00C8302B">
        <w:rPr>
          <w:rFonts w:cs="Arial"/>
        </w:rPr>
        <w:t xml:space="preserve"> des Durdus-Projekts, das die Entwicklung eines Genotypisierungsprotokolls unter Verwendung eines kommerziellen Chips und die Festlegung eine</w:t>
      </w:r>
      <w:r>
        <w:rPr>
          <w:rFonts w:cs="Arial"/>
        </w:rPr>
        <w:t>s</w:t>
      </w:r>
      <w:r w:rsidRPr="00C8302B">
        <w:rPr>
          <w:rFonts w:cs="Arial"/>
        </w:rPr>
        <w:t xml:space="preserve"> vorläufigen genetischen Schwelle</w:t>
      </w:r>
      <w:r>
        <w:rPr>
          <w:rFonts w:cs="Arial"/>
        </w:rPr>
        <w:t>nwerts</w:t>
      </w:r>
      <w:r w:rsidRPr="00C8302B">
        <w:rPr>
          <w:rFonts w:cs="Arial"/>
        </w:rPr>
        <w:t xml:space="preserve"> für die Verwaltung der </w:t>
      </w:r>
      <w:r>
        <w:rPr>
          <w:rFonts w:cs="Arial"/>
        </w:rPr>
        <w:t>Vergleichs</w:t>
      </w:r>
      <w:r w:rsidRPr="00C8302B">
        <w:rPr>
          <w:rFonts w:cs="Arial"/>
        </w:rPr>
        <w:t>sammlung ermöglichte.</w:t>
      </w:r>
    </w:p>
    <w:p w:rsidR="001F2153" w:rsidRPr="00C8302B" w:rsidRDefault="001F2153" w:rsidP="001F2153">
      <w:pPr>
        <w:contextualSpacing/>
        <w:rPr>
          <w:rFonts w:cs="Arial"/>
        </w:rPr>
      </w:pPr>
    </w:p>
    <w:p w:rsidR="001F2153" w:rsidRPr="00C8302B" w:rsidRDefault="001F2153" w:rsidP="001F2153">
      <w:pPr>
        <w:contextualSpacing/>
        <w:rPr>
          <w:rFonts w:cs="Arial"/>
        </w:rPr>
      </w:pPr>
      <w:r w:rsidRPr="00C8302B">
        <w:rPr>
          <w:rFonts w:cs="Arial"/>
        </w:rPr>
        <w:t xml:space="preserve">In der Zwischenzeit wurden bei vier anderen Projekten, die zuvor von IMODDUS validiert </w:t>
      </w:r>
      <w:r>
        <w:rPr>
          <w:rFonts w:cs="Arial"/>
        </w:rPr>
        <w:t>wurden</w:t>
      </w:r>
      <w:r w:rsidRPr="00C8302B">
        <w:rPr>
          <w:rFonts w:cs="Arial"/>
        </w:rPr>
        <w:t xml:space="preserve">, weitere </w:t>
      </w:r>
      <w:r w:rsidRPr="00917814">
        <w:rPr>
          <w:rFonts w:cs="Arial"/>
        </w:rPr>
        <w:t>Fortschritte erzielt</w:t>
      </w:r>
      <w:r w:rsidRPr="00C8302B">
        <w:rPr>
          <w:rFonts w:cs="Arial"/>
        </w:rPr>
        <w:t>:</w:t>
      </w:r>
    </w:p>
    <w:p w:rsidR="001F2153" w:rsidRPr="00C8302B" w:rsidRDefault="001F2153" w:rsidP="001F2153">
      <w:pPr>
        <w:contextualSpacing/>
        <w:rPr>
          <w:rFonts w:cs="Arial"/>
          <w:i/>
        </w:rPr>
      </w:pPr>
    </w:p>
    <w:p w:rsidR="001F2153" w:rsidRPr="00C8302B" w:rsidRDefault="001F2153" w:rsidP="001F2153">
      <w:pPr>
        <w:contextualSpacing/>
        <w:rPr>
          <w:rFonts w:cs="Arial"/>
          <w:i/>
        </w:rPr>
      </w:pPr>
      <w:r w:rsidRPr="00172123">
        <w:rPr>
          <w:rFonts w:cs="Arial"/>
          <w:i/>
        </w:rPr>
        <w:t>Hanf</w:t>
      </w:r>
    </w:p>
    <w:p w:rsidR="001F2153" w:rsidRDefault="001F2153" w:rsidP="001F2153">
      <w:pPr>
        <w:rPr>
          <w:szCs w:val="24"/>
        </w:rPr>
      </w:pPr>
      <w:r w:rsidRPr="000B6CB6">
        <w:rPr>
          <w:szCs w:val="24"/>
          <w:lang w:val="de-CH"/>
        </w:rPr>
        <w:t>„Entwicklung eines SNP-Marker</w:t>
      </w:r>
      <w:r>
        <w:rPr>
          <w:szCs w:val="24"/>
          <w:lang w:val="de-CH"/>
        </w:rPr>
        <w:t>-Satzes</w:t>
      </w:r>
      <w:r w:rsidRPr="000B6CB6">
        <w:rPr>
          <w:szCs w:val="24"/>
          <w:lang w:val="de-CH"/>
        </w:rPr>
        <w:t xml:space="preserve"> bei Cannabis zur Unterstützung der DUS-Prüfung“.</w:t>
      </w:r>
      <w:r w:rsidRPr="000B6CB6">
        <w:rPr>
          <w:szCs w:val="24"/>
        </w:rPr>
        <w:t xml:space="preserve"> </w:t>
      </w:r>
    </w:p>
    <w:p w:rsidR="001F2153" w:rsidRDefault="001F2153" w:rsidP="001F2153">
      <w:pPr>
        <w:rPr>
          <w:szCs w:val="24"/>
        </w:rPr>
      </w:pPr>
    </w:p>
    <w:p w:rsidR="001F2153" w:rsidRPr="000B6CB6" w:rsidRDefault="001F2153" w:rsidP="001F2153">
      <w:pPr>
        <w:rPr>
          <w:szCs w:val="24"/>
        </w:rPr>
      </w:pPr>
      <w:r w:rsidRPr="000B6CB6">
        <w:rPr>
          <w:szCs w:val="24"/>
          <w:lang w:val="de-CH"/>
        </w:rPr>
        <w:t>Die anderen Forschungs- und Entwicklungsprojekte, die zuvor von IMODDUS positiv bewertet und mitfinanziert wurden, machten während des Berichtszeitraums stetige Fortschritte.</w:t>
      </w:r>
    </w:p>
    <w:p w:rsidR="001F2153" w:rsidRDefault="001F2153" w:rsidP="001F2153">
      <w:pPr>
        <w:contextualSpacing/>
        <w:rPr>
          <w:rFonts w:cs="Arial"/>
          <w:i/>
        </w:rPr>
      </w:pPr>
    </w:p>
    <w:p w:rsidR="001F2153" w:rsidRPr="00C8302B" w:rsidRDefault="001F2153" w:rsidP="001F2153">
      <w:pPr>
        <w:contextualSpacing/>
        <w:rPr>
          <w:rFonts w:cs="Arial"/>
          <w:i/>
        </w:rPr>
      </w:pPr>
      <w:r w:rsidRPr="00AA165A">
        <w:rPr>
          <w:rFonts w:cs="Arial"/>
          <w:i/>
        </w:rPr>
        <w:t>Tomate</w:t>
      </w:r>
    </w:p>
    <w:p w:rsidR="001F2153" w:rsidRPr="00C8302B" w:rsidRDefault="001F2153" w:rsidP="001F2153">
      <w:pPr>
        <w:contextualSpacing/>
        <w:rPr>
          <w:rFonts w:cs="Arial"/>
        </w:rPr>
      </w:pPr>
      <w:r>
        <w:rPr>
          <w:rFonts w:cs="Arial"/>
        </w:rPr>
        <w:t>„</w:t>
      </w:r>
      <w:r w:rsidRPr="00C8302B">
        <w:rPr>
          <w:rFonts w:cs="Arial"/>
        </w:rPr>
        <w:t xml:space="preserve">Internationale Validierung eines SNP-Satzes zur Bestimmung genetischer </w:t>
      </w:r>
      <w:r>
        <w:rPr>
          <w:rFonts w:cs="Arial"/>
        </w:rPr>
        <w:t>Abstände</w:t>
      </w:r>
      <w:r w:rsidRPr="00C8302B">
        <w:rPr>
          <w:rFonts w:cs="Arial"/>
        </w:rPr>
        <w:t xml:space="preserve"> für die Verwaltung einer </w:t>
      </w:r>
      <w:r>
        <w:rPr>
          <w:rFonts w:cs="Arial"/>
        </w:rPr>
        <w:t>Vergleichs</w:t>
      </w:r>
      <w:r w:rsidRPr="00C8302B">
        <w:rPr>
          <w:rFonts w:cs="Arial"/>
        </w:rPr>
        <w:t xml:space="preserve">sammlung </w:t>
      </w:r>
      <w:r>
        <w:rPr>
          <w:rFonts w:cs="Arial"/>
        </w:rPr>
        <w:t>für</w:t>
      </w:r>
      <w:r w:rsidRPr="00C8302B">
        <w:rPr>
          <w:rFonts w:cs="Arial"/>
        </w:rPr>
        <w:t xml:space="preserve"> Tomate</w:t>
      </w:r>
      <w:r>
        <w:rPr>
          <w:rFonts w:cs="Arial"/>
        </w:rPr>
        <w:t>“</w:t>
      </w:r>
      <w:r w:rsidRPr="00C8302B">
        <w:rPr>
          <w:rFonts w:cs="Arial"/>
        </w:rPr>
        <w:t>.</w:t>
      </w:r>
    </w:p>
    <w:p w:rsidR="001F2153" w:rsidRPr="00C8302B" w:rsidRDefault="001F2153" w:rsidP="001F2153">
      <w:pPr>
        <w:contextualSpacing/>
        <w:rPr>
          <w:rFonts w:cs="Arial"/>
        </w:rPr>
      </w:pPr>
    </w:p>
    <w:p w:rsidR="001F2153" w:rsidRPr="00C8302B" w:rsidRDefault="001F2153" w:rsidP="001F2153">
      <w:pPr>
        <w:contextualSpacing/>
        <w:rPr>
          <w:rFonts w:cs="Arial"/>
          <w:i/>
        </w:rPr>
      </w:pPr>
      <w:r w:rsidRPr="00FC1CD9">
        <w:rPr>
          <w:rFonts w:cs="Arial"/>
          <w:bCs/>
          <w:i/>
        </w:rPr>
        <w:t>Raps</w:t>
      </w:r>
      <w:r w:rsidRPr="00C8302B">
        <w:rPr>
          <w:rFonts w:cs="Arial"/>
          <w:bCs/>
          <w:i/>
        </w:rPr>
        <w:t xml:space="preserve"> </w:t>
      </w:r>
    </w:p>
    <w:p w:rsidR="001F2153" w:rsidRPr="00C8302B" w:rsidRDefault="001F2153" w:rsidP="001F2153">
      <w:pPr>
        <w:contextualSpacing/>
        <w:rPr>
          <w:rFonts w:cs="Arial"/>
        </w:rPr>
      </w:pPr>
      <w:r>
        <w:rPr>
          <w:rFonts w:cs="Arial"/>
          <w:iCs/>
        </w:rPr>
        <w:t>„</w:t>
      </w:r>
      <w:r w:rsidRPr="00C8302B">
        <w:rPr>
          <w:rFonts w:cs="Arial"/>
          <w:iCs/>
        </w:rPr>
        <w:t>Entwicklung einer Strategie zur Anwendung molekularer SNP-Marker im Rahmen der DUS-Prüfung von Winterraps</w:t>
      </w:r>
      <w:r>
        <w:rPr>
          <w:rFonts w:cs="Arial"/>
          <w:iCs/>
        </w:rPr>
        <w:t>“</w:t>
      </w:r>
      <w:r w:rsidRPr="00C8302B">
        <w:rPr>
          <w:rFonts w:cs="Arial"/>
        </w:rPr>
        <w:t xml:space="preserve">. </w:t>
      </w:r>
    </w:p>
    <w:p w:rsidR="001F2153" w:rsidRPr="00C8302B" w:rsidRDefault="001F2153" w:rsidP="001F2153">
      <w:pPr>
        <w:contextualSpacing/>
        <w:rPr>
          <w:rFonts w:cs="Arial"/>
        </w:rPr>
      </w:pPr>
    </w:p>
    <w:p w:rsidR="001F2153" w:rsidRPr="00C8302B" w:rsidRDefault="001F2153" w:rsidP="001F2153">
      <w:pPr>
        <w:contextualSpacing/>
        <w:rPr>
          <w:rFonts w:cs="Arial"/>
          <w:i/>
        </w:rPr>
      </w:pPr>
      <w:r w:rsidRPr="00C8302B">
        <w:rPr>
          <w:rFonts w:cs="Arial"/>
          <w:i/>
        </w:rPr>
        <w:t>Apfel</w:t>
      </w:r>
    </w:p>
    <w:p w:rsidR="001F2153" w:rsidRPr="00C8302B" w:rsidRDefault="001F2153" w:rsidP="001F2153">
      <w:pPr>
        <w:contextualSpacing/>
        <w:rPr>
          <w:rFonts w:cs="Arial"/>
        </w:rPr>
      </w:pPr>
      <w:r>
        <w:rPr>
          <w:rFonts w:cs="Arial"/>
        </w:rPr>
        <w:t>„</w:t>
      </w:r>
      <w:r w:rsidRPr="0037434E">
        <w:rPr>
          <w:rFonts w:cs="Arial"/>
        </w:rPr>
        <w:t>„Entwicklung molekularer Marker, welche die Unterscheidung von Apfelmutanten (Sport) ermöglichen“ (durch Verknüpfung von Sequenzierung, Transkriptomik und epigenetischen Daten)</w:t>
      </w:r>
      <w:r w:rsidRPr="00C8302B">
        <w:rPr>
          <w:rFonts w:cs="Arial"/>
        </w:rPr>
        <w:t>.</w:t>
      </w:r>
    </w:p>
    <w:p w:rsidR="001F2153" w:rsidRPr="00C8302B" w:rsidRDefault="001F2153" w:rsidP="001F2153">
      <w:pPr>
        <w:contextualSpacing/>
        <w:rPr>
          <w:rFonts w:cs="Arial"/>
        </w:rPr>
      </w:pPr>
    </w:p>
    <w:p w:rsidR="001F2153" w:rsidRPr="00C8302B" w:rsidRDefault="001F2153" w:rsidP="001F2153">
      <w:pPr>
        <w:contextualSpacing/>
        <w:rPr>
          <w:rFonts w:cs="Arial"/>
        </w:rPr>
      </w:pPr>
      <w:r w:rsidRPr="00A849FA">
        <w:rPr>
          <w:rFonts w:cs="Arial"/>
          <w:u w:val="single"/>
        </w:rPr>
        <w:t>6.2</w:t>
      </w:r>
      <w:r w:rsidRPr="00C8302B">
        <w:rPr>
          <w:rFonts w:cs="Arial"/>
          <w:u w:val="single"/>
        </w:rPr>
        <w:t xml:space="preserve"> INVITE</w:t>
      </w:r>
    </w:p>
    <w:p w:rsidR="001F2153" w:rsidRPr="00C8302B" w:rsidRDefault="001F2153" w:rsidP="001F2153">
      <w:pPr>
        <w:contextualSpacing/>
        <w:rPr>
          <w:rFonts w:cs="Arial"/>
        </w:rPr>
      </w:pPr>
    </w:p>
    <w:p w:rsidR="001F2153" w:rsidRPr="00C8302B" w:rsidRDefault="001F2153" w:rsidP="001F2153">
      <w:pPr>
        <w:contextualSpacing/>
        <w:rPr>
          <w:rFonts w:cs="Arial"/>
        </w:rPr>
      </w:pPr>
      <w:r w:rsidRPr="00C8302B">
        <w:rPr>
          <w:rFonts w:cs="Arial"/>
        </w:rPr>
        <w:t xml:space="preserve">INVITE </w:t>
      </w:r>
      <w:r w:rsidRPr="000C0158">
        <w:rPr>
          <w:rFonts w:cs="Arial"/>
        </w:rPr>
        <w:t>(</w:t>
      </w:r>
      <w:r w:rsidRPr="00290F43">
        <w:rPr>
          <w:rFonts w:cs="Arial"/>
          <w:i/>
          <w:iCs/>
        </w:rPr>
        <w:t>INnovations in plant VarIety Testing in Europe</w:t>
      </w:r>
      <w:r w:rsidRPr="000C0158">
        <w:rPr>
          <w:rFonts w:cs="Arial"/>
        </w:rPr>
        <w:t>) steht für „Innovationen bei der Sortenprüfung in Europa zur Förderung der Einführung neuer Sorten, die besser an unterschiedliche biotische und abiotische Bedingungen und an nachhaltigere Anbaumethoden angepa</w:t>
      </w:r>
      <w:r>
        <w:rPr>
          <w:rFonts w:cs="Arial"/>
        </w:rPr>
        <w:t>ss</w:t>
      </w:r>
      <w:r w:rsidRPr="000C0158">
        <w:rPr>
          <w:rFonts w:cs="Arial"/>
        </w:rPr>
        <w:t>t sind</w:t>
      </w:r>
      <w:r>
        <w:rPr>
          <w:rFonts w:cs="Arial"/>
        </w:rPr>
        <w:t>“</w:t>
      </w:r>
      <w:r w:rsidRPr="00C8302B">
        <w:rPr>
          <w:rFonts w:cs="Arial"/>
        </w:rPr>
        <w:t xml:space="preserve">. </w:t>
      </w:r>
      <w:r w:rsidRPr="00F84E60">
        <w:rPr>
          <w:rFonts w:cs="Arial"/>
        </w:rPr>
        <w:t>Ziel ist es, die Effizienz der Sortenprüfung und die Verfügbarkeit von Informationen für Interessenvertreter über die Leistungen von Sorten unter diversifizierten Produktionsbedingungen und über biotische und abiotische Belastungen bei zehn Pflanzen zu verbessern. Es behandelt DUS und Leistungsprüfungen in ausgewogener Weise und beabsichtigt, die Synergien zwischen ihnen durch verwandte Aktivitäten auf der Grundlage von Phänotypisierung, Genotypisierung, Modellierung und Datenbankverwaltung zu maximieren</w:t>
      </w:r>
      <w:r w:rsidRPr="00C8302B">
        <w:rPr>
          <w:rFonts w:cs="Arial"/>
        </w:rPr>
        <w:t xml:space="preserve">. </w:t>
      </w:r>
    </w:p>
    <w:p w:rsidR="001F2153" w:rsidRPr="00C8302B" w:rsidRDefault="001F2153" w:rsidP="001F2153">
      <w:pPr>
        <w:contextualSpacing/>
        <w:rPr>
          <w:rFonts w:cs="Arial"/>
        </w:rPr>
      </w:pPr>
    </w:p>
    <w:p w:rsidR="001F2153" w:rsidRPr="00C8302B" w:rsidRDefault="001F2153" w:rsidP="001F2153">
      <w:pPr>
        <w:contextualSpacing/>
        <w:rPr>
          <w:rFonts w:cs="Arial"/>
        </w:rPr>
      </w:pPr>
      <w:r w:rsidRPr="004F65DE">
        <w:rPr>
          <w:rFonts w:cs="Arial"/>
        </w:rPr>
        <w:t>Zusätzlich zu seiner Beteiligung an den Aufgaben des Projekts ist das CPVO für die Verwaltung aller Fragen im Zusammenhang mit dem Zugang zu Daten aus der Vergangenheit und Referenzmaterialien, die sich im Besitz der Prüfungsämter (EO) befinden, zuständig. In Zusammenarbeit mit Euroseeds, den Leitern der Arbeitspakete und den teilnehmenden Prüfungsämtern entwarf das CPVO eine Vereinbarung, um den Zugang zu diesen Daten und Materialien durch die Partner des INVITE-Konsortiums zu regeln</w:t>
      </w:r>
      <w:r w:rsidRPr="00A06508">
        <w:rPr>
          <w:rFonts w:cs="Arial"/>
        </w:rPr>
        <w:t xml:space="preserve">. Im Jahr 2021 unterstützte das CPVO auf der Grundlage der von den teilnehmenden Prüfungsämtern bei den Züchtern eingeholten individuellen Zustimmungen die </w:t>
      </w:r>
      <w:r>
        <w:rPr>
          <w:rFonts w:cs="Arial"/>
        </w:rPr>
        <w:t>Definition</w:t>
      </w:r>
      <w:r w:rsidRPr="00A06508">
        <w:rPr>
          <w:rFonts w:cs="Arial"/>
        </w:rPr>
        <w:t xml:space="preserve"> von </w:t>
      </w:r>
      <w:r>
        <w:rPr>
          <w:rFonts w:cs="Arial"/>
        </w:rPr>
        <w:t>K</w:t>
      </w:r>
      <w:r w:rsidRPr="00A06508">
        <w:rPr>
          <w:rFonts w:cs="Arial"/>
        </w:rPr>
        <w:t>odierungsschlüsseln für die zugelassenen Sorten (~6800) und die</w:t>
      </w:r>
      <w:r w:rsidRPr="00573D3F">
        <w:rPr>
          <w:rFonts w:cs="Arial"/>
        </w:rPr>
        <w:t xml:space="preserve"> Koordinierung der Datenextraktion</w:t>
      </w:r>
      <w:r w:rsidRPr="00C8302B">
        <w:rPr>
          <w:rFonts w:cs="Arial"/>
        </w:rPr>
        <w:t>.</w:t>
      </w:r>
    </w:p>
    <w:p w:rsidR="001F2153" w:rsidRPr="00C8302B" w:rsidRDefault="001F2153" w:rsidP="001F2153">
      <w:pPr>
        <w:contextualSpacing/>
        <w:rPr>
          <w:rFonts w:cs="Arial"/>
        </w:rPr>
      </w:pPr>
    </w:p>
    <w:p w:rsidR="001F2153" w:rsidRPr="00790636" w:rsidRDefault="001F2153" w:rsidP="001F2153">
      <w:pPr>
        <w:contextualSpacing/>
        <w:rPr>
          <w:rFonts w:cs="Arial"/>
        </w:rPr>
      </w:pPr>
      <w:r w:rsidRPr="00872F7D">
        <w:rPr>
          <w:rFonts w:cs="Arial"/>
        </w:rPr>
        <w:t>Die</w:t>
      </w:r>
      <w:r w:rsidRPr="007A724A">
        <w:rPr>
          <w:rFonts w:cs="Arial"/>
        </w:rPr>
        <w:t xml:space="preserve"> erste</w:t>
      </w:r>
      <w:r w:rsidRPr="00C8302B">
        <w:rPr>
          <w:rFonts w:cs="Arial"/>
        </w:rPr>
        <w:t xml:space="preserve"> Überprüfung des Projekts durch von der Kommission beauftragte externe </w:t>
      </w:r>
      <w:r>
        <w:rPr>
          <w:rFonts w:cs="Arial"/>
        </w:rPr>
        <w:t>Sachverständige</w:t>
      </w:r>
      <w:r w:rsidRPr="00C8302B">
        <w:rPr>
          <w:rFonts w:cs="Arial"/>
        </w:rPr>
        <w:t xml:space="preserve"> fand im Juni 2021 statt. Die im periodischen technischen Bericht (der die ersten 18 Monate des Projekts vom 01.07.2019 (M1) bis zum 31.12.2020 (M18) abdeckt) beschriebenen Fortschritte wurden von den Gutachtern sehr positiv bewertet. Trotz der Verzögerungen </w:t>
      </w:r>
      <w:r>
        <w:rPr>
          <w:rFonts w:cs="Arial"/>
        </w:rPr>
        <w:t>aufgrund der</w:t>
      </w:r>
      <w:r w:rsidRPr="00C8302B">
        <w:rPr>
          <w:rFonts w:cs="Arial"/>
        </w:rPr>
        <w:t xml:space="preserve"> Covid19-Pandemie und der Verhandlungen mit den Züchtern über den Zugang zu historischen Daten </w:t>
      </w:r>
      <w:r w:rsidRPr="00790636">
        <w:rPr>
          <w:rFonts w:cs="Arial"/>
        </w:rPr>
        <w:t xml:space="preserve">und Referenzmaterial hat INVITE in diesem Zeitraum 17 der 19 erwarteten Ergebnisse erzielt und 23 der 32 vorgesehenen Meilensteine erreicht. Der Koordinator schlägt eine Verlängerung des Projektzeitraums um 6 Monate vor, um alle vorgesehenen Aufgaben abzuschließen. Die Zusammenarbeit mit INNOVAR (dem zweiten Preisträgerkonsortium </w:t>
      </w:r>
      <w:r>
        <w:rPr>
          <w:rFonts w:cs="Arial"/>
        </w:rPr>
        <w:t>des Aufrufs</w:t>
      </w:r>
      <w:r w:rsidRPr="00790636">
        <w:rPr>
          <w:rFonts w:cs="Arial"/>
        </w:rPr>
        <w:t xml:space="preserve"> SFS-29-2018, </w:t>
      </w:r>
      <w:r>
        <w:rPr>
          <w:rFonts w:cs="Arial"/>
        </w:rPr>
        <w:t>der</w:t>
      </w:r>
      <w:r w:rsidRPr="00790636">
        <w:rPr>
          <w:rFonts w:cs="Arial"/>
        </w:rPr>
        <w:t xml:space="preserve"> sich auf die Entwicklung eines maschinellen Lernansatzes für die Optimierung der Sortenprüfung bei Weizen konzentriert) wurde fortgesetzt, wobei der Schwerpunkt auf der Festlegung gemeinsamer </w:t>
      </w:r>
      <w:r>
        <w:rPr>
          <w:rFonts w:cs="Arial"/>
        </w:rPr>
        <w:t>Tests</w:t>
      </w:r>
      <w:r w:rsidRPr="00790636">
        <w:rPr>
          <w:rFonts w:cs="Arial"/>
        </w:rPr>
        <w:t xml:space="preserve"> für Weizen lag.</w:t>
      </w:r>
    </w:p>
    <w:p w:rsidR="001F2153" w:rsidRPr="00790636" w:rsidRDefault="001F2153" w:rsidP="001F2153">
      <w:pPr>
        <w:contextualSpacing/>
        <w:rPr>
          <w:rFonts w:cs="Arial"/>
        </w:rPr>
      </w:pPr>
    </w:p>
    <w:p w:rsidR="001F2153" w:rsidRPr="00790636" w:rsidRDefault="001F2153" w:rsidP="001F2153">
      <w:pPr>
        <w:pStyle w:val="ListBullet"/>
        <w:keepNext/>
        <w:numPr>
          <w:ilvl w:val="0"/>
          <w:numId w:val="0"/>
        </w:numPr>
        <w:tabs>
          <w:tab w:val="left" w:pos="720"/>
        </w:tabs>
        <w:spacing w:after="0"/>
        <w:ind w:left="283" w:hanging="283"/>
        <w:contextualSpacing/>
        <w:rPr>
          <w:rFonts w:cs="Arial"/>
          <w:u w:val="single"/>
          <w:lang w:val="de-DE"/>
        </w:rPr>
      </w:pPr>
      <w:r w:rsidRPr="00790636">
        <w:rPr>
          <w:rFonts w:cs="Arial"/>
          <w:u w:val="single"/>
          <w:lang w:val="de-DE"/>
        </w:rPr>
        <w:t xml:space="preserve">6.3 Sonstige Forschungs- und Entwicklungsprojekte </w:t>
      </w:r>
    </w:p>
    <w:p w:rsidR="001F2153" w:rsidRPr="00790636" w:rsidRDefault="001F2153" w:rsidP="001F2153">
      <w:pPr>
        <w:keepNext/>
        <w:contextualSpacing/>
        <w:rPr>
          <w:rFonts w:cs="Arial"/>
          <w:i/>
        </w:rPr>
      </w:pPr>
    </w:p>
    <w:p w:rsidR="001F2153" w:rsidRPr="00790636" w:rsidRDefault="001F2153" w:rsidP="001F2153">
      <w:pPr>
        <w:keepNext/>
        <w:contextualSpacing/>
        <w:rPr>
          <w:rFonts w:cs="Arial"/>
          <w:i/>
        </w:rPr>
      </w:pPr>
      <w:r w:rsidRPr="00790636">
        <w:rPr>
          <w:rFonts w:cs="Arial"/>
          <w:i/>
        </w:rPr>
        <w:t>Harmorescoll</w:t>
      </w:r>
    </w:p>
    <w:p w:rsidR="001F2153" w:rsidRPr="000B6CB6" w:rsidRDefault="001F2153" w:rsidP="001F2153">
      <w:pPr>
        <w:rPr>
          <w:szCs w:val="24"/>
        </w:rPr>
      </w:pPr>
      <w:r w:rsidRPr="000B6CB6">
        <w:rPr>
          <w:szCs w:val="24"/>
          <w:lang w:val="de-CH"/>
        </w:rPr>
        <w:t xml:space="preserve">HARMORESCOLL hat zum Ziel, auf europäischer Ebene ein koordiniertes System zu errichten, um Zugang zu Referenzmaterial für die Durchführung von Krankheitsprüfungen für DUS gemäß den CPVO-Protokollen und UPOV-Richtlinien </w:t>
      </w:r>
      <w:r>
        <w:rPr>
          <w:szCs w:val="24"/>
          <w:lang w:val="de-CH"/>
        </w:rPr>
        <w:t>bereitzustellen</w:t>
      </w:r>
      <w:r w:rsidRPr="000B6CB6">
        <w:rPr>
          <w:szCs w:val="24"/>
          <w:lang w:val="de-CH"/>
        </w:rPr>
        <w:t>.</w:t>
      </w:r>
      <w:r w:rsidRPr="000B6CB6">
        <w:rPr>
          <w:szCs w:val="24"/>
        </w:rPr>
        <w:t xml:space="preserve"> </w:t>
      </w:r>
      <w:r>
        <w:rPr>
          <w:szCs w:val="24"/>
          <w:lang w:val="de-CH"/>
        </w:rPr>
        <w:t>Beteiligt sind</w:t>
      </w:r>
      <w:r w:rsidRPr="000B6CB6">
        <w:rPr>
          <w:szCs w:val="24"/>
          <w:lang w:val="de-CH"/>
        </w:rPr>
        <w:t xml:space="preserve"> Prüfungsämter und Saatgutunternehmen mit Euroseeds-Mitgliedschaft.</w:t>
      </w:r>
      <w:r>
        <w:rPr>
          <w:szCs w:val="24"/>
          <w:lang w:val="de-CH"/>
        </w:rPr>
        <w:t xml:space="preserve"> </w:t>
      </w:r>
      <w:r w:rsidRPr="000B6CB6">
        <w:rPr>
          <w:szCs w:val="24"/>
          <w:lang w:val="de-CH"/>
        </w:rPr>
        <w:t>Das Projekt wird von GEVES und Naktuinbouw koordiniert. Es wurde im Jahre 2020 lanciert und ist auf 3 Jahre angelegt.</w:t>
      </w:r>
    </w:p>
    <w:p w:rsidR="001F2153" w:rsidRPr="00790636" w:rsidRDefault="001F2153" w:rsidP="001F2153">
      <w:pPr>
        <w:contextualSpacing/>
        <w:rPr>
          <w:rFonts w:cs="Arial"/>
          <w:i/>
        </w:rPr>
      </w:pPr>
    </w:p>
    <w:p w:rsidR="001F2153" w:rsidRPr="00790636" w:rsidRDefault="001F2153" w:rsidP="001F2153">
      <w:pPr>
        <w:keepNext/>
        <w:contextualSpacing/>
        <w:rPr>
          <w:rFonts w:cs="Arial"/>
          <w:i/>
        </w:rPr>
      </w:pPr>
      <w:r w:rsidRPr="00790636">
        <w:rPr>
          <w:rFonts w:cs="Arial"/>
          <w:i/>
        </w:rPr>
        <w:t xml:space="preserve">Melone </w:t>
      </w:r>
    </w:p>
    <w:p w:rsidR="001F2153" w:rsidRPr="00C8302B" w:rsidRDefault="001F2153" w:rsidP="001F2153">
      <w:pPr>
        <w:contextualSpacing/>
        <w:rPr>
          <w:rFonts w:cs="Arial"/>
        </w:rPr>
      </w:pPr>
      <w:r w:rsidRPr="00790636">
        <w:rPr>
          <w:rFonts w:cs="Arial"/>
        </w:rPr>
        <w:t xml:space="preserve">Ziel war die Einrichtung einer gemeinsamen Datenbank </w:t>
      </w:r>
      <w:r>
        <w:rPr>
          <w:rFonts w:cs="Arial"/>
        </w:rPr>
        <w:t>mit</w:t>
      </w:r>
      <w:r w:rsidRPr="00790636">
        <w:rPr>
          <w:rFonts w:cs="Arial"/>
        </w:rPr>
        <w:t xml:space="preserve"> Sortenbeschreibungen und Fotos, die in allen vom CPVO beauftragten Prüfungsämtern für Melone gespeichert </w:t>
      </w:r>
      <w:r>
        <w:rPr>
          <w:rFonts w:cs="Arial"/>
        </w:rPr>
        <w:t>werden</w:t>
      </w:r>
      <w:r w:rsidRPr="00790636">
        <w:rPr>
          <w:rFonts w:cs="Arial"/>
        </w:rPr>
        <w:t xml:space="preserve">. Da die Daten zwischen den Ländern nicht harmonisiert werden, wird die Datenbank nicht direkt </w:t>
      </w:r>
      <w:r>
        <w:rPr>
          <w:rFonts w:cs="Arial"/>
        </w:rPr>
        <w:t>zur</w:t>
      </w:r>
      <w:r w:rsidRPr="00790636">
        <w:rPr>
          <w:rFonts w:cs="Arial"/>
        </w:rPr>
        <w:t xml:space="preserve"> Auswahl der Vergleichssorten verwendet, die mit den Kandidaten verglichen werden sollen, </w:t>
      </w:r>
      <w:r>
        <w:rPr>
          <w:rFonts w:cs="Arial"/>
        </w:rPr>
        <w:t>aber</w:t>
      </w:r>
      <w:r w:rsidRPr="00790636">
        <w:rPr>
          <w:rFonts w:cs="Arial"/>
        </w:rPr>
        <w:t xml:space="preserve"> die Identifizierung des verfügbaren Vergleichsmaterials und </w:t>
      </w:r>
      <w:r>
        <w:rPr>
          <w:rFonts w:cs="Arial"/>
        </w:rPr>
        <w:t>ihrer</w:t>
      </w:r>
      <w:r w:rsidRPr="00790636">
        <w:rPr>
          <w:rFonts w:cs="Arial"/>
        </w:rPr>
        <w:t xml:space="preserve"> Erhalt</w:t>
      </w:r>
      <w:r>
        <w:rPr>
          <w:rFonts w:cs="Arial"/>
        </w:rPr>
        <w:t>ungszüchter</w:t>
      </w:r>
      <w:r w:rsidRPr="00790636">
        <w:rPr>
          <w:rFonts w:cs="Arial"/>
        </w:rPr>
        <w:t xml:space="preserve"> erleichtern. Die Datenbank ist nun betriebsbereit und wurde dieses Jahr von Naktuinbouw (NL), GEVES (FR), INIA/OEVV (ES), UKSUP</w:t>
      </w:r>
      <w:r w:rsidRPr="00D705E7">
        <w:rPr>
          <w:rFonts w:cs="Arial"/>
        </w:rPr>
        <w:t xml:space="preserve"> (SK) und DGAV (PT) </w:t>
      </w:r>
      <w:r>
        <w:rPr>
          <w:rFonts w:cs="Arial"/>
        </w:rPr>
        <w:t>verwendet</w:t>
      </w:r>
      <w:r w:rsidRPr="00C8302B">
        <w:rPr>
          <w:rFonts w:cs="Arial"/>
        </w:rPr>
        <w:t xml:space="preserve">. </w:t>
      </w:r>
    </w:p>
    <w:p w:rsidR="001F2153" w:rsidRPr="00C8302B" w:rsidRDefault="001F2153" w:rsidP="001F2153">
      <w:pPr>
        <w:contextualSpacing/>
        <w:rPr>
          <w:rFonts w:cs="Arial"/>
        </w:rPr>
      </w:pPr>
    </w:p>
    <w:p w:rsidR="001F2153" w:rsidRPr="00C8302B" w:rsidRDefault="001F2153" w:rsidP="001F2153">
      <w:pPr>
        <w:contextualSpacing/>
        <w:rPr>
          <w:rFonts w:cs="Arial"/>
        </w:rPr>
      </w:pPr>
      <w:r w:rsidRPr="003D7C7D">
        <w:rPr>
          <w:rFonts w:cs="Arial"/>
        </w:rPr>
        <w:t>Die folgenden</w:t>
      </w:r>
      <w:r w:rsidRPr="00C8302B">
        <w:rPr>
          <w:rFonts w:cs="Arial"/>
        </w:rPr>
        <w:t xml:space="preserve"> 2 Projekte werden im Jahr 2022 beginnen, </w:t>
      </w:r>
      <w:r>
        <w:rPr>
          <w:rFonts w:cs="Arial"/>
        </w:rPr>
        <w:t xml:space="preserve">vorbehaltlich der Annahme des </w:t>
      </w:r>
      <w:r w:rsidRPr="00C8302B">
        <w:rPr>
          <w:rFonts w:cs="Arial"/>
        </w:rPr>
        <w:t>Haushalt</w:t>
      </w:r>
      <w:r>
        <w:rPr>
          <w:rFonts w:cs="Arial"/>
        </w:rPr>
        <w:t>s</w:t>
      </w:r>
      <w:r w:rsidRPr="00C8302B">
        <w:rPr>
          <w:rFonts w:cs="Arial"/>
        </w:rPr>
        <w:t xml:space="preserve"> des CPVO im Oktober 2021:</w:t>
      </w:r>
    </w:p>
    <w:p w:rsidR="001F2153" w:rsidRPr="00C8302B" w:rsidRDefault="001F2153" w:rsidP="001F2153">
      <w:pPr>
        <w:contextualSpacing/>
        <w:rPr>
          <w:rFonts w:cs="Arial"/>
          <w:i/>
        </w:rPr>
      </w:pPr>
    </w:p>
    <w:p w:rsidR="001F2153" w:rsidRPr="00C8302B" w:rsidRDefault="001F2153" w:rsidP="001F2153">
      <w:pPr>
        <w:contextualSpacing/>
        <w:rPr>
          <w:rFonts w:cs="Arial"/>
          <w:i/>
        </w:rPr>
      </w:pPr>
      <w:r w:rsidRPr="00C8302B">
        <w:rPr>
          <w:rFonts w:cs="Arial"/>
          <w:i/>
        </w:rPr>
        <w:t>Hortensie</w:t>
      </w:r>
    </w:p>
    <w:p w:rsidR="001F2153" w:rsidRPr="00C8302B" w:rsidRDefault="001F2153" w:rsidP="001F2153">
      <w:pPr>
        <w:contextualSpacing/>
        <w:rPr>
          <w:rFonts w:cs="Arial"/>
        </w:rPr>
      </w:pPr>
      <w:r w:rsidRPr="00C8302B">
        <w:rPr>
          <w:rFonts w:cs="Arial"/>
        </w:rPr>
        <w:t xml:space="preserve">Nutzung molekularer Daten zur Unterstützung der DUS-Prüfung bei Zierpflanzen: eine Fallstudie über Hortensie. </w:t>
      </w:r>
    </w:p>
    <w:p w:rsidR="001F2153" w:rsidRPr="00C8302B" w:rsidRDefault="001F2153" w:rsidP="001F2153">
      <w:pPr>
        <w:contextualSpacing/>
        <w:rPr>
          <w:rFonts w:cs="Arial"/>
          <w:i/>
        </w:rPr>
      </w:pPr>
    </w:p>
    <w:p w:rsidR="001F2153" w:rsidRPr="00C8302B" w:rsidRDefault="001F2153" w:rsidP="001F2153">
      <w:pPr>
        <w:contextualSpacing/>
        <w:rPr>
          <w:rFonts w:cs="Arial"/>
          <w:i/>
        </w:rPr>
      </w:pPr>
      <w:r w:rsidRPr="00C8302B">
        <w:rPr>
          <w:rFonts w:cs="Arial"/>
          <w:i/>
        </w:rPr>
        <w:t>Tomate - Paprika - Melone</w:t>
      </w:r>
    </w:p>
    <w:p w:rsidR="001F2153" w:rsidRPr="00C8302B" w:rsidRDefault="001F2153" w:rsidP="001F2153">
      <w:pPr>
        <w:contextualSpacing/>
        <w:rPr>
          <w:rFonts w:cs="Arial"/>
        </w:rPr>
      </w:pPr>
      <w:r w:rsidRPr="00C8302B">
        <w:rPr>
          <w:rFonts w:cs="Arial"/>
        </w:rPr>
        <w:t xml:space="preserve">Aktualisierung der DUS-Resistenzprüfungen </w:t>
      </w:r>
      <w:r>
        <w:rPr>
          <w:rFonts w:cs="Arial"/>
        </w:rPr>
        <w:t>gemäß</w:t>
      </w:r>
      <w:r w:rsidRPr="00C8302B">
        <w:rPr>
          <w:rFonts w:cs="Arial"/>
        </w:rPr>
        <w:t xml:space="preserve"> der Entwicklung </w:t>
      </w:r>
      <w:r>
        <w:rPr>
          <w:rFonts w:cs="Arial"/>
        </w:rPr>
        <w:t>von</w:t>
      </w:r>
      <w:r w:rsidRPr="00C8302B">
        <w:rPr>
          <w:rFonts w:cs="Arial"/>
        </w:rPr>
        <w:t xml:space="preserve"> Schädlinge</w:t>
      </w:r>
      <w:r>
        <w:rPr>
          <w:rFonts w:cs="Arial"/>
        </w:rPr>
        <w:t>n</w:t>
      </w:r>
      <w:r w:rsidRPr="00C8302B">
        <w:rPr>
          <w:rFonts w:cs="Arial"/>
        </w:rPr>
        <w:t>:</w:t>
      </w:r>
    </w:p>
    <w:p w:rsidR="001F2153" w:rsidRPr="00C8302B" w:rsidRDefault="001F2153" w:rsidP="001F2153">
      <w:pPr>
        <w:contextualSpacing/>
        <w:rPr>
          <w:rFonts w:cs="Arial"/>
        </w:rPr>
      </w:pPr>
      <w:r w:rsidRPr="00C8302B">
        <w:rPr>
          <w:rFonts w:cs="Arial"/>
        </w:rPr>
        <w:t xml:space="preserve">- Einrichtung von </w:t>
      </w:r>
      <w:r>
        <w:rPr>
          <w:rFonts w:cs="Arial"/>
        </w:rPr>
        <w:t>Prüfungen</w:t>
      </w:r>
      <w:r w:rsidRPr="00C8302B">
        <w:rPr>
          <w:rFonts w:cs="Arial"/>
        </w:rPr>
        <w:t xml:space="preserve"> </w:t>
      </w:r>
      <w:r>
        <w:rPr>
          <w:rFonts w:cs="Arial"/>
        </w:rPr>
        <w:t xml:space="preserve">der Resistenz </w:t>
      </w:r>
      <w:r w:rsidRPr="00C8302B">
        <w:rPr>
          <w:rFonts w:cs="Arial"/>
        </w:rPr>
        <w:t xml:space="preserve">gegen ToBRFV für Tomate und Paprika </w:t>
      </w:r>
    </w:p>
    <w:p w:rsidR="001F2153" w:rsidRPr="00C8302B" w:rsidRDefault="001F2153" w:rsidP="001F2153">
      <w:pPr>
        <w:contextualSpacing/>
        <w:rPr>
          <w:rFonts w:cs="Arial"/>
        </w:rPr>
      </w:pPr>
      <w:r w:rsidRPr="00C8302B">
        <w:rPr>
          <w:rFonts w:cs="Arial"/>
        </w:rPr>
        <w:t>- Verbesserung de</w:t>
      </w:r>
      <w:r>
        <w:rPr>
          <w:rFonts w:cs="Arial"/>
        </w:rPr>
        <w:t>r</w:t>
      </w:r>
      <w:r w:rsidRPr="00C8302B">
        <w:rPr>
          <w:rFonts w:cs="Arial"/>
        </w:rPr>
        <w:t xml:space="preserve"> Resistenz</w:t>
      </w:r>
      <w:r>
        <w:rPr>
          <w:rFonts w:cs="Arial"/>
        </w:rPr>
        <w:t>prüfung</w:t>
      </w:r>
      <w:r w:rsidRPr="00C8302B">
        <w:rPr>
          <w:rFonts w:cs="Arial"/>
        </w:rPr>
        <w:t xml:space="preserve"> </w:t>
      </w:r>
      <w:r>
        <w:rPr>
          <w:rFonts w:cs="Arial"/>
        </w:rPr>
        <w:t xml:space="preserve">für </w:t>
      </w:r>
      <w:r w:rsidRPr="00C8302B">
        <w:rPr>
          <w:rFonts w:cs="Arial"/>
        </w:rPr>
        <w:t>Melone/</w:t>
      </w:r>
      <w:r w:rsidRPr="003D7C7D">
        <w:rPr>
          <w:rFonts w:cs="Arial"/>
        </w:rPr>
        <w:t>Aphis gossypii.</w:t>
      </w:r>
    </w:p>
    <w:p w:rsidR="001F2153" w:rsidRPr="00C8302B" w:rsidRDefault="001F2153" w:rsidP="001F2153">
      <w:pPr>
        <w:contextualSpacing/>
        <w:rPr>
          <w:rFonts w:cs="Arial"/>
        </w:rPr>
      </w:pPr>
    </w:p>
    <w:p w:rsidR="001F2153" w:rsidRPr="00C8302B" w:rsidRDefault="001F2153" w:rsidP="001F2153">
      <w:pPr>
        <w:contextualSpacing/>
        <w:jc w:val="left"/>
        <w:rPr>
          <w:rFonts w:cs="Arial"/>
        </w:rPr>
      </w:pPr>
    </w:p>
    <w:p w:rsidR="00C95C46" w:rsidRPr="000B6CB6" w:rsidRDefault="00C95C46" w:rsidP="006E5028">
      <w:pPr>
        <w:jc w:val="left"/>
        <w:rPr>
          <w:szCs w:val="24"/>
        </w:rPr>
      </w:pPr>
    </w:p>
    <w:p w:rsidR="004128AB" w:rsidRPr="006F3121" w:rsidRDefault="004128AB" w:rsidP="004128AB">
      <w:pPr>
        <w:jc w:val="right"/>
      </w:pPr>
      <w:r w:rsidRPr="006F3121">
        <w:t>[Ende der Anlage XVI und des Dokuments]</w:t>
      </w:r>
    </w:p>
    <w:p w:rsidR="004128AB" w:rsidRDefault="004128AB" w:rsidP="004128AB"/>
    <w:p w:rsidR="003B64F4" w:rsidRPr="006F3121" w:rsidRDefault="003B64F4" w:rsidP="004128AB"/>
    <w:p w:rsidR="00050E16" w:rsidRPr="006F3121" w:rsidRDefault="00050E16" w:rsidP="009B440E">
      <w:pPr>
        <w:jc w:val="left"/>
      </w:pPr>
    </w:p>
    <w:sectPr w:rsidR="00050E16" w:rsidRPr="006F3121" w:rsidSect="00C95C46">
      <w:headerReference w:type="default" r:id="rId54"/>
      <w:pgSz w:w="11907" w:h="16840" w:code="9"/>
      <w:pgMar w:top="510" w:right="1134" w:bottom="709"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87F" w:rsidRDefault="00CE587F" w:rsidP="00C95C46">
      <w:pPr>
        <w:spacing w:after="120"/>
      </w:pPr>
      <w:r>
        <w:separator/>
      </w:r>
    </w:p>
  </w:endnote>
  <w:endnote w:type="continuationSeparator" w:id="0">
    <w:p w:rsidR="00CE587F" w:rsidRDefault="00CE587F" w:rsidP="006655D3">
      <w:r>
        <w:separator/>
      </w:r>
    </w:p>
    <w:p w:rsidR="00CE587F" w:rsidRPr="00294751" w:rsidRDefault="00CE587F">
      <w:pPr>
        <w:pStyle w:val="Footer"/>
        <w:spacing w:after="60"/>
        <w:rPr>
          <w:sz w:val="18"/>
          <w:lang w:val="fr-FR"/>
        </w:rPr>
      </w:pPr>
      <w:r w:rsidRPr="00294751">
        <w:rPr>
          <w:sz w:val="18"/>
          <w:lang w:val="fr-FR"/>
        </w:rPr>
        <w:t>[Suite de la note de la page précédente]</w:t>
      </w:r>
    </w:p>
    <w:p w:rsidR="00CE587F" w:rsidRPr="00294751" w:rsidRDefault="00CE587F" w:rsidP="006655D3">
      <w:pPr>
        <w:rPr>
          <w:lang w:val="fr-FR"/>
        </w:rPr>
      </w:pPr>
    </w:p>
    <w:p w:rsidR="00CE587F" w:rsidRPr="00294751" w:rsidRDefault="00CE587F" w:rsidP="006655D3">
      <w:pPr>
        <w:rPr>
          <w:lang w:val="fr-FR"/>
        </w:rPr>
      </w:pPr>
    </w:p>
  </w:endnote>
  <w:endnote w:type="continuationNotice" w:id="1">
    <w:p w:rsidR="00CE587F" w:rsidRPr="00294751" w:rsidRDefault="00CE587F" w:rsidP="006655D3">
      <w:pPr>
        <w:rPr>
          <w:lang w:val="fr-FR"/>
        </w:rPr>
      </w:pPr>
      <w:r w:rsidRPr="00294751">
        <w:rPr>
          <w:lang w:val="fr-FR"/>
        </w:rPr>
        <w:t>[Suite de la note page suivante]</w:t>
      </w:r>
    </w:p>
    <w:p w:rsidR="00CE587F" w:rsidRPr="00294751" w:rsidRDefault="00CE587F" w:rsidP="006655D3">
      <w:pPr>
        <w:rPr>
          <w:lang w:val="fr-FR"/>
        </w:rPr>
      </w:pPr>
    </w:p>
    <w:p w:rsidR="00CE587F" w:rsidRPr="00294751" w:rsidRDefault="00CE587F" w:rsidP="006655D3">
      <w:pPr>
        <w:rPr>
          <w:lang w:val="fr-FR"/>
        </w:rPr>
      </w:pPr>
    </w:p>
  </w:endnote>
  <w:endnote w:id="2">
    <w:p w:rsidR="006E5028" w:rsidRPr="00785F41" w:rsidRDefault="006E5028" w:rsidP="00713625">
      <w:pPr>
        <w:pStyle w:val="EndnoteText"/>
        <w:tabs>
          <w:tab w:val="left" w:pos="284"/>
        </w:tabs>
        <w:rPr>
          <w:sz w:val="16"/>
          <w:szCs w:val="24"/>
          <w:lang w:val="de-CH"/>
        </w:rPr>
      </w:pPr>
      <w:r w:rsidRPr="00785F41">
        <w:rPr>
          <w:rStyle w:val="EndnoteReference"/>
          <w:sz w:val="16"/>
          <w:szCs w:val="24"/>
        </w:rPr>
        <w:endnoteRef/>
      </w:r>
      <w:r w:rsidRPr="00785F41">
        <w:rPr>
          <w:sz w:val="16"/>
          <w:szCs w:val="24"/>
          <w:lang w:val="de-CH"/>
        </w:rPr>
        <w:tab/>
      </w:r>
      <w:r w:rsidRPr="00785F41">
        <w:rPr>
          <w:noProof/>
          <w:sz w:val="16"/>
          <w:szCs w:val="24"/>
          <w:lang w:val="de-CH"/>
        </w:rPr>
        <w:t>In diesem Bericht wird die Terminologie der Vereinten Nationen verwendet.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Yu Gothic"/>
    <w:charset w:val="EE"/>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함초롬바탕">
    <w:altName w:val="Arial Unicode MS"/>
    <w:charset w:val="81"/>
    <w:family w:val="roman"/>
    <w:pitch w:val="variable"/>
    <w:sig w:usb0="00000000" w:usb1="19DFFFFF" w:usb2="001BFDD7" w:usb3="00000000" w:csb0="001F007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IDFont+F2">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yriadPro-Light">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87F" w:rsidRDefault="00CE587F" w:rsidP="006655D3">
      <w:r>
        <w:separator/>
      </w:r>
    </w:p>
  </w:footnote>
  <w:footnote w:type="continuationSeparator" w:id="0">
    <w:p w:rsidR="00CE587F" w:rsidRDefault="00CE587F" w:rsidP="006655D3">
      <w:r>
        <w:separator/>
      </w:r>
    </w:p>
  </w:footnote>
  <w:footnote w:type="continuationNotice" w:id="1">
    <w:p w:rsidR="00CE587F" w:rsidRPr="00AB530F" w:rsidRDefault="00CE587F"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7F" w:rsidRPr="00C5280D" w:rsidRDefault="006F5780" w:rsidP="00EB048E">
    <w:pPr>
      <w:pStyle w:val="Header"/>
      <w:rPr>
        <w:rStyle w:val="PageNumber"/>
        <w:lang w:val="en-US"/>
      </w:rPr>
    </w:pPr>
    <w:r>
      <w:rPr>
        <w:rStyle w:val="PageNumber"/>
        <w:lang w:val="en-US"/>
      </w:rPr>
      <w:t>C/55/INF/4</w:t>
    </w:r>
  </w:p>
  <w:p w:rsidR="00CE587F" w:rsidRPr="00C5280D" w:rsidRDefault="00CE587F" w:rsidP="00EB048E">
    <w:pPr>
      <w:pStyle w:val="Header"/>
      <w:rPr>
        <w:lang w:val="en-US"/>
      </w:rPr>
    </w:pP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rsidR="00CE587F" w:rsidRPr="00C5280D" w:rsidRDefault="00CE587F"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7F" w:rsidRPr="002A6EA1" w:rsidRDefault="006F5780" w:rsidP="00EB048E">
    <w:pPr>
      <w:pStyle w:val="Header"/>
      <w:rPr>
        <w:rStyle w:val="PageNumber"/>
      </w:rPr>
    </w:pPr>
    <w:r>
      <w:rPr>
        <w:rStyle w:val="PageNumber"/>
      </w:rPr>
      <w:t>C/55/INF/4</w:t>
    </w:r>
  </w:p>
  <w:p w:rsidR="00CE587F" w:rsidRPr="002A6EA1" w:rsidRDefault="00CE587F" w:rsidP="00EB048E">
    <w:pPr>
      <w:pStyle w:val="Header"/>
    </w:pPr>
    <w:r w:rsidRPr="002A6EA1">
      <w:t xml:space="preserve">Anlage IX, Seite </w:t>
    </w:r>
    <w:r w:rsidRPr="002A6EA1">
      <w:rPr>
        <w:rStyle w:val="PageNumber"/>
      </w:rPr>
      <w:fldChar w:fldCharType="begin"/>
    </w:r>
    <w:r w:rsidRPr="002A6EA1">
      <w:rPr>
        <w:rStyle w:val="PageNumber"/>
      </w:rPr>
      <w:instrText xml:space="preserve"> PAGE </w:instrText>
    </w:r>
    <w:r w:rsidRPr="002A6EA1">
      <w:rPr>
        <w:rStyle w:val="PageNumber"/>
      </w:rPr>
      <w:fldChar w:fldCharType="separate"/>
    </w:r>
    <w:r w:rsidR="00713625">
      <w:rPr>
        <w:rStyle w:val="PageNumber"/>
        <w:noProof/>
      </w:rPr>
      <w:t>2</w:t>
    </w:r>
    <w:r w:rsidRPr="002A6EA1">
      <w:rPr>
        <w:rStyle w:val="PageNumber"/>
      </w:rPr>
      <w:fldChar w:fldCharType="end"/>
    </w:r>
  </w:p>
  <w:p w:rsidR="00CE587F" w:rsidRPr="002A6EA1" w:rsidRDefault="00CE587F" w:rsidP="006655D3"/>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7F" w:rsidRPr="002A6EA1" w:rsidRDefault="006F5780" w:rsidP="00EB048E">
    <w:pPr>
      <w:pStyle w:val="Header"/>
      <w:rPr>
        <w:rStyle w:val="PageNumber"/>
      </w:rPr>
    </w:pPr>
    <w:r>
      <w:rPr>
        <w:rStyle w:val="PageNumber"/>
      </w:rPr>
      <w:t>C/55/INF/4</w:t>
    </w:r>
  </w:p>
  <w:p w:rsidR="00CE587F" w:rsidRPr="002A6EA1" w:rsidRDefault="00CE587F" w:rsidP="00EB048E">
    <w:pPr>
      <w:pStyle w:val="Header"/>
    </w:pPr>
    <w:r w:rsidRPr="002A6EA1">
      <w:t xml:space="preserve">Anlage X, Seite </w:t>
    </w:r>
    <w:r w:rsidRPr="002A6EA1">
      <w:rPr>
        <w:rStyle w:val="PageNumber"/>
      </w:rPr>
      <w:fldChar w:fldCharType="begin"/>
    </w:r>
    <w:r w:rsidRPr="002A6EA1">
      <w:rPr>
        <w:rStyle w:val="PageNumber"/>
      </w:rPr>
      <w:instrText xml:space="preserve"> PAGE </w:instrText>
    </w:r>
    <w:r w:rsidRPr="002A6EA1">
      <w:rPr>
        <w:rStyle w:val="PageNumber"/>
      </w:rPr>
      <w:fldChar w:fldCharType="separate"/>
    </w:r>
    <w:r w:rsidR="002E1243">
      <w:rPr>
        <w:rStyle w:val="PageNumber"/>
        <w:noProof/>
      </w:rPr>
      <w:t>2</w:t>
    </w:r>
    <w:r w:rsidRPr="002A6EA1">
      <w:rPr>
        <w:rStyle w:val="PageNumber"/>
      </w:rPr>
      <w:fldChar w:fldCharType="end"/>
    </w:r>
  </w:p>
  <w:p w:rsidR="00CE587F" w:rsidRPr="002A6EA1" w:rsidRDefault="00CE587F" w:rsidP="006655D3"/>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7F" w:rsidRPr="002A6EA1" w:rsidRDefault="006F5780" w:rsidP="00EB048E">
    <w:pPr>
      <w:pStyle w:val="Header"/>
      <w:rPr>
        <w:rStyle w:val="PageNumber"/>
      </w:rPr>
    </w:pPr>
    <w:r>
      <w:rPr>
        <w:rStyle w:val="PageNumber"/>
      </w:rPr>
      <w:t>C/55/INF/4</w:t>
    </w:r>
  </w:p>
  <w:p w:rsidR="00CE587F" w:rsidRPr="002A6EA1" w:rsidRDefault="00CE587F" w:rsidP="00EB048E">
    <w:pPr>
      <w:pStyle w:val="Header"/>
    </w:pPr>
    <w:r w:rsidRPr="002A6EA1">
      <w:t xml:space="preserve">Anlage XI, Seite </w:t>
    </w:r>
    <w:r w:rsidRPr="002A6EA1">
      <w:rPr>
        <w:rStyle w:val="PageNumber"/>
      </w:rPr>
      <w:fldChar w:fldCharType="begin"/>
    </w:r>
    <w:r w:rsidRPr="002A6EA1">
      <w:rPr>
        <w:rStyle w:val="PageNumber"/>
      </w:rPr>
      <w:instrText xml:space="preserve"> PAGE </w:instrText>
    </w:r>
    <w:r w:rsidRPr="002A6EA1">
      <w:rPr>
        <w:rStyle w:val="PageNumber"/>
      </w:rPr>
      <w:fldChar w:fldCharType="separate"/>
    </w:r>
    <w:r w:rsidR="00713625">
      <w:rPr>
        <w:rStyle w:val="PageNumber"/>
        <w:noProof/>
      </w:rPr>
      <w:t>4</w:t>
    </w:r>
    <w:r w:rsidRPr="002A6EA1">
      <w:rPr>
        <w:rStyle w:val="PageNumber"/>
      </w:rPr>
      <w:fldChar w:fldCharType="end"/>
    </w:r>
  </w:p>
  <w:p w:rsidR="00CE587F" w:rsidRPr="002A6EA1" w:rsidRDefault="00CE587F" w:rsidP="006655D3"/>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7F" w:rsidRPr="002A6EA1" w:rsidRDefault="006F5780" w:rsidP="00EB048E">
    <w:pPr>
      <w:pStyle w:val="Header"/>
      <w:rPr>
        <w:rStyle w:val="PageNumber"/>
      </w:rPr>
    </w:pPr>
    <w:r>
      <w:rPr>
        <w:rStyle w:val="PageNumber"/>
      </w:rPr>
      <w:t>C/55/INF/4</w:t>
    </w:r>
  </w:p>
  <w:p w:rsidR="00CE587F" w:rsidRPr="002A6EA1" w:rsidRDefault="00CE587F" w:rsidP="00EB048E">
    <w:pPr>
      <w:pStyle w:val="Header"/>
    </w:pPr>
    <w:r w:rsidRPr="002A6EA1">
      <w:t xml:space="preserve">Anlage XII, Seite </w:t>
    </w:r>
    <w:r w:rsidRPr="002A6EA1">
      <w:rPr>
        <w:rStyle w:val="PageNumber"/>
      </w:rPr>
      <w:fldChar w:fldCharType="begin"/>
    </w:r>
    <w:r w:rsidRPr="002A6EA1">
      <w:rPr>
        <w:rStyle w:val="PageNumber"/>
      </w:rPr>
      <w:instrText xml:space="preserve"> PAGE </w:instrText>
    </w:r>
    <w:r w:rsidRPr="002A6EA1">
      <w:rPr>
        <w:rStyle w:val="PageNumber"/>
      </w:rPr>
      <w:fldChar w:fldCharType="separate"/>
    </w:r>
    <w:r w:rsidR="00713625">
      <w:rPr>
        <w:rStyle w:val="PageNumber"/>
        <w:noProof/>
      </w:rPr>
      <w:t>2</w:t>
    </w:r>
    <w:r w:rsidRPr="002A6EA1">
      <w:rPr>
        <w:rStyle w:val="PageNumber"/>
      </w:rPr>
      <w:fldChar w:fldCharType="end"/>
    </w:r>
  </w:p>
  <w:p w:rsidR="00CE587F" w:rsidRPr="002A6EA1" w:rsidRDefault="00CE587F" w:rsidP="006655D3"/>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7F" w:rsidRPr="005468F4" w:rsidRDefault="006F5780" w:rsidP="00EB048E">
    <w:pPr>
      <w:pStyle w:val="Header"/>
      <w:rPr>
        <w:rStyle w:val="PageNumber"/>
      </w:rPr>
    </w:pPr>
    <w:r>
      <w:rPr>
        <w:rStyle w:val="PageNumber"/>
      </w:rPr>
      <w:t>C/55/INF/4</w:t>
    </w:r>
  </w:p>
  <w:p w:rsidR="00CE587F" w:rsidRPr="005468F4" w:rsidRDefault="00CE587F" w:rsidP="00EB048E">
    <w:pPr>
      <w:pStyle w:val="Header"/>
    </w:pPr>
    <w:r w:rsidRPr="005468F4">
      <w:t xml:space="preserve">Anlage XIII, Seite </w:t>
    </w:r>
    <w:r w:rsidRPr="00C5280D">
      <w:rPr>
        <w:rStyle w:val="PageNumber"/>
        <w:lang w:val="en-US"/>
      </w:rPr>
      <w:fldChar w:fldCharType="begin"/>
    </w:r>
    <w:r w:rsidRPr="005468F4">
      <w:rPr>
        <w:rStyle w:val="PageNumber"/>
      </w:rPr>
      <w:instrText xml:space="preserve"> PAGE </w:instrText>
    </w:r>
    <w:r w:rsidRPr="00C5280D">
      <w:rPr>
        <w:rStyle w:val="PageNumber"/>
        <w:lang w:val="en-US"/>
      </w:rPr>
      <w:fldChar w:fldCharType="separate"/>
    </w:r>
    <w:r w:rsidR="002B07FC" w:rsidRPr="005468F4">
      <w:rPr>
        <w:rStyle w:val="PageNumber"/>
        <w:noProof/>
      </w:rPr>
      <w:t>2</w:t>
    </w:r>
    <w:r w:rsidRPr="00C5280D">
      <w:rPr>
        <w:rStyle w:val="PageNumber"/>
        <w:lang w:val="en-US"/>
      </w:rPr>
      <w:fldChar w:fldCharType="end"/>
    </w:r>
  </w:p>
  <w:p w:rsidR="00CE587F" w:rsidRPr="00C5280D" w:rsidRDefault="00CE587F" w:rsidP="006655D3"/>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7F" w:rsidRPr="002A6EA1" w:rsidRDefault="006F5780" w:rsidP="00EB048E">
    <w:pPr>
      <w:pStyle w:val="Header"/>
      <w:rPr>
        <w:rStyle w:val="PageNumber"/>
      </w:rPr>
    </w:pPr>
    <w:r>
      <w:rPr>
        <w:rStyle w:val="PageNumber"/>
      </w:rPr>
      <w:t>C/55/INF/4</w:t>
    </w:r>
  </w:p>
  <w:p w:rsidR="00CE587F" w:rsidRPr="002A6EA1" w:rsidRDefault="00CE587F" w:rsidP="00EB048E">
    <w:pPr>
      <w:pStyle w:val="Header"/>
    </w:pPr>
    <w:r w:rsidRPr="002A6EA1">
      <w:t xml:space="preserve">Anlage XIV, Seite </w:t>
    </w:r>
    <w:r w:rsidRPr="002A6EA1">
      <w:rPr>
        <w:rStyle w:val="PageNumber"/>
      </w:rPr>
      <w:fldChar w:fldCharType="begin"/>
    </w:r>
    <w:r w:rsidRPr="002A6EA1">
      <w:rPr>
        <w:rStyle w:val="PageNumber"/>
      </w:rPr>
      <w:instrText xml:space="preserve"> PAGE </w:instrText>
    </w:r>
    <w:r w:rsidRPr="002A6EA1">
      <w:rPr>
        <w:rStyle w:val="PageNumber"/>
      </w:rPr>
      <w:fldChar w:fldCharType="separate"/>
    </w:r>
    <w:r w:rsidR="002A6EA1">
      <w:rPr>
        <w:rStyle w:val="PageNumber"/>
        <w:noProof/>
      </w:rPr>
      <w:t>2</w:t>
    </w:r>
    <w:r w:rsidRPr="002A6EA1">
      <w:rPr>
        <w:rStyle w:val="PageNumber"/>
      </w:rPr>
      <w:fldChar w:fldCharType="end"/>
    </w:r>
  </w:p>
  <w:p w:rsidR="00CE587F" w:rsidRPr="002A6EA1" w:rsidRDefault="00CE587F" w:rsidP="006655D3"/>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7F" w:rsidRPr="002A6EA1" w:rsidRDefault="006F5780" w:rsidP="00EB048E">
    <w:pPr>
      <w:pStyle w:val="Header"/>
      <w:rPr>
        <w:rStyle w:val="PageNumber"/>
      </w:rPr>
    </w:pPr>
    <w:r>
      <w:rPr>
        <w:rStyle w:val="PageNumber"/>
      </w:rPr>
      <w:t>C/55/INF/4</w:t>
    </w:r>
  </w:p>
  <w:p w:rsidR="00CE587F" w:rsidRPr="002A6EA1" w:rsidRDefault="00CE587F" w:rsidP="00EB048E">
    <w:pPr>
      <w:pStyle w:val="Header"/>
    </w:pPr>
    <w:r w:rsidRPr="002A6EA1">
      <w:t xml:space="preserve">Anlage XVI, Seite </w:t>
    </w:r>
    <w:r w:rsidRPr="002A6EA1">
      <w:rPr>
        <w:rStyle w:val="PageNumber"/>
      </w:rPr>
      <w:fldChar w:fldCharType="begin"/>
    </w:r>
    <w:r w:rsidRPr="002A6EA1">
      <w:rPr>
        <w:rStyle w:val="PageNumber"/>
      </w:rPr>
      <w:instrText xml:space="preserve"> PAGE </w:instrText>
    </w:r>
    <w:r w:rsidRPr="002A6EA1">
      <w:rPr>
        <w:rStyle w:val="PageNumber"/>
      </w:rPr>
      <w:fldChar w:fldCharType="separate"/>
    </w:r>
    <w:r w:rsidR="00EC69F7">
      <w:rPr>
        <w:rStyle w:val="PageNumber"/>
        <w:noProof/>
      </w:rPr>
      <w:t>2</w:t>
    </w:r>
    <w:r w:rsidRPr="002A6EA1">
      <w:rPr>
        <w:rStyle w:val="PageNumber"/>
      </w:rPr>
      <w:fldChar w:fldCharType="end"/>
    </w:r>
  </w:p>
  <w:p w:rsidR="00CE587F" w:rsidRPr="002A6EA1" w:rsidRDefault="00CE587F" w:rsidP="006655D3"/>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625" w:rsidRPr="002A6EA1" w:rsidRDefault="00713625" w:rsidP="00EB048E">
    <w:pPr>
      <w:pStyle w:val="Header"/>
      <w:rPr>
        <w:rStyle w:val="PageNumber"/>
      </w:rPr>
    </w:pPr>
    <w:r>
      <w:rPr>
        <w:rStyle w:val="PageNumber"/>
      </w:rPr>
      <w:t>C/55/INF/4</w:t>
    </w:r>
  </w:p>
  <w:p w:rsidR="00713625" w:rsidRPr="002A6EA1" w:rsidRDefault="00713625" w:rsidP="00EB048E">
    <w:pPr>
      <w:pStyle w:val="Header"/>
    </w:pPr>
    <w:r w:rsidRPr="002A6EA1">
      <w:t xml:space="preserve">Anlage XV, Seite </w:t>
    </w:r>
    <w:r w:rsidRPr="002A6EA1">
      <w:rPr>
        <w:rStyle w:val="PageNumber"/>
      </w:rPr>
      <w:fldChar w:fldCharType="begin"/>
    </w:r>
    <w:r w:rsidRPr="002A6EA1">
      <w:rPr>
        <w:rStyle w:val="PageNumber"/>
      </w:rPr>
      <w:instrText xml:space="preserve"> PAGE </w:instrText>
    </w:r>
    <w:r w:rsidRPr="002A6EA1">
      <w:rPr>
        <w:rStyle w:val="PageNumber"/>
      </w:rPr>
      <w:fldChar w:fldCharType="separate"/>
    </w:r>
    <w:r w:rsidR="002E1243">
      <w:rPr>
        <w:rStyle w:val="PageNumber"/>
        <w:noProof/>
      </w:rPr>
      <w:t>3</w:t>
    </w:r>
    <w:r w:rsidRPr="002A6EA1">
      <w:rPr>
        <w:rStyle w:val="PageNumber"/>
      </w:rPr>
      <w:fldChar w:fldCharType="end"/>
    </w:r>
  </w:p>
  <w:p w:rsidR="00713625" w:rsidRPr="002A6EA1" w:rsidRDefault="00713625" w:rsidP="006655D3"/>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7F" w:rsidRPr="00202E38" w:rsidRDefault="006F5780" w:rsidP="00EB048E">
    <w:pPr>
      <w:pStyle w:val="Header"/>
      <w:rPr>
        <w:rStyle w:val="PageNumber"/>
      </w:rPr>
    </w:pPr>
    <w:r>
      <w:rPr>
        <w:rStyle w:val="PageNumber"/>
      </w:rPr>
      <w:t>C/55/INF/4</w:t>
    </w:r>
  </w:p>
  <w:p w:rsidR="00CE587F" w:rsidRPr="00202E38" w:rsidRDefault="00CE587F" w:rsidP="00EB048E">
    <w:pPr>
      <w:pStyle w:val="Header"/>
    </w:pPr>
    <w:r>
      <w:t xml:space="preserve">Anlage XVI, </w:t>
    </w: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2E1243">
      <w:rPr>
        <w:rStyle w:val="PageNumber"/>
        <w:noProof/>
      </w:rPr>
      <w:t>11</w:t>
    </w:r>
    <w:r w:rsidRPr="00202E38">
      <w:rPr>
        <w:rStyle w:val="PageNumber"/>
      </w:rPr>
      <w:fldChar w:fldCharType="end"/>
    </w:r>
  </w:p>
  <w:p w:rsidR="00CE587F" w:rsidRPr="00202E38" w:rsidRDefault="00CE587F"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7F" w:rsidRPr="005468F4" w:rsidRDefault="006F5780" w:rsidP="00EB048E">
    <w:pPr>
      <w:pStyle w:val="Header"/>
      <w:rPr>
        <w:rStyle w:val="PageNumber"/>
      </w:rPr>
    </w:pPr>
    <w:r>
      <w:rPr>
        <w:rStyle w:val="PageNumber"/>
      </w:rPr>
      <w:t>C/55/INF/4</w:t>
    </w:r>
  </w:p>
  <w:p w:rsidR="00CE587F" w:rsidRPr="005468F4" w:rsidRDefault="00CE587F" w:rsidP="00EB048E">
    <w:pPr>
      <w:pStyle w:val="Header"/>
    </w:pPr>
    <w:r w:rsidRPr="005468F4">
      <w:t xml:space="preserve">Anlage I, Seite </w:t>
    </w:r>
    <w:r w:rsidRPr="00C5280D">
      <w:rPr>
        <w:rStyle w:val="PageNumber"/>
        <w:lang w:val="en-US"/>
      </w:rPr>
      <w:fldChar w:fldCharType="begin"/>
    </w:r>
    <w:r w:rsidRPr="005468F4">
      <w:rPr>
        <w:rStyle w:val="PageNumber"/>
      </w:rPr>
      <w:instrText xml:space="preserve"> PAGE </w:instrText>
    </w:r>
    <w:r w:rsidRPr="00C5280D">
      <w:rPr>
        <w:rStyle w:val="PageNumber"/>
        <w:lang w:val="en-US"/>
      </w:rPr>
      <w:fldChar w:fldCharType="separate"/>
    </w:r>
    <w:r w:rsidR="0089015A">
      <w:rPr>
        <w:rStyle w:val="PageNumber"/>
        <w:noProof/>
      </w:rPr>
      <w:t>2</w:t>
    </w:r>
    <w:r w:rsidRPr="00C5280D">
      <w:rPr>
        <w:rStyle w:val="PageNumber"/>
        <w:lang w:val="en-US"/>
      </w:rPr>
      <w:fldChar w:fldCharType="end"/>
    </w:r>
  </w:p>
  <w:p w:rsidR="00CE587F" w:rsidRPr="00C5280D" w:rsidRDefault="00CE587F"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7F" w:rsidRPr="005468F4" w:rsidRDefault="006F5780" w:rsidP="00EB048E">
    <w:pPr>
      <w:pStyle w:val="Header"/>
      <w:rPr>
        <w:rStyle w:val="PageNumber"/>
      </w:rPr>
    </w:pPr>
    <w:r>
      <w:rPr>
        <w:rStyle w:val="PageNumber"/>
      </w:rPr>
      <w:t>C/55/INF/4</w:t>
    </w:r>
  </w:p>
  <w:p w:rsidR="00CE587F" w:rsidRPr="005468F4" w:rsidRDefault="00CE587F" w:rsidP="00EB048E">
    <w:pPr>
      <w:pStyle w:val="Header"/>
    </w:pPr>
    <w:r w:rsidRPr="005468F4">
      <w:t xml:space="preserve">Anlage II, Seite </w:t>
    </w:r>
    <w:r w:rsidRPr="00C5280D">
      <w:rPr>
        <w:rStyle w:val="PageNumber"/>
        <w:lang w:val="en-US"/>
      </w:rPr>
      <w:fldChar w:fldCharType="begin"/>
    </w:r>
    <w:r w:rsidRPr="005468F4">
      <w:rPr>
        <w:rStyle w:val="PageNumber"/>
      </w:rPr>
      <w:instrText xml:space="preserve"> PAGE </w:instrText>
    </w:r>
    <w:r w:rsidRPr="00C5280D">
      <w:rPr>
        <w:rStyle w:val="PageNumber"/>
        <w:lang w:val="en-US"/>
      </w:rPr>
      <w:fldChar w:fldCharType="separate"/>
    </w:r>
    <w:r w:rsidR="002E1243">
      <w:rPr>
        <w:rStyle w:val="PageNumber"/>
        <w:noProof/>
      </w:rPr>
      <w:t>2</w:t>
    </w:r>
    <w:r w:rsidRPr="00C5280D">
      <w:rPr>
        <w:rStyle w:val="PageNumber"/>
        <w:lang w:val="en-US"/>
      </w:rPr>
      <w:fldChar w:fldCharType="end"/>
    </w:r>
  </w:p>
  <w:p w:rsidR="00CE587F" w:rsidRPr="00C5280D" w:rsidRDefault="00CE587F"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7F" w:rsidRPr="002A6EA1" w:rsidRDefault="006F5780" w:rsidP="00EB048E">
    <w:pPr>
      <w:pStyle w:val="Header"/>
      <w:rPr>
        <w:rStyle w:val="PageNumber"/>
      </w:rPr>
    </w:pPr>
    <w:r>
      <w:rPr>
        <w:rStyle w:val="PageNumber"/>
      </w:rPr>
      <w:t>C/55/INF/4</w:t>
    </w:r>
  </w:p>
  <w:p w:rsidR="00CE587F" w:rsidRPr="002A6EA1" w:rsidRDefault="00CE587F" w:rsidP="00EB048E">
    <w:pPr>
      <w:pStyle w:val="Header"/>
    </w:pPr>
    <w:r w:rsidRPr="002A6EA1">
      <w:t xml:space="preserve">Anlage III, Seite </w:t>
    </w:r>
    <w:r w:rsidRPr="002A6EA1">
      <w:rPr>
        <w:rStyle w:val="PageNumber"/>
      </w:rPr>
      <w:fldChar w:fldCharType="begin"/>
    </w:r>
    <w:r w:rsidRPr="002A6EA1">
      <w:rPr>
        <w:rStyle w:val="PageNumber"/>
      </w:rPr>
      <w:instrText xml:space="preserve"> PAGE </w:instrText>
    </w:r>
    <w:r w:rsidRPr="002A6EA1">
      <w:rPr>
        <w:rStyle w:val="PageNumber"/>
      </w:rPr>
      <w:fldChar w:fldCharType="separate"/>
    </w:r>
    <w:r w:rsidR="00713625">
      <w:rPr>
        <w:rStyle w:val="PageNumber"/>
        <w:noProof/>
      </w:rPr>
      <w:t>2</w:t>
    </w:r>
    <w:r w:rsidRPr="002A6EA1">
      <w:rPr>
        <w:rStyle w:val="PageNumber"/>
      </w:rPr>
      <w:fldChar w:fldCharType="end"/>
    </w:r>
  </w:p>
  <w:p w:rsidR="00CE587F" w:rsidRPr="002A6EA1" w:rsidRDefault="00CE587F"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7F" w:rsidRPr="005468F4" w:rsidRDefault="006F5780" w:rsidP="00EB048E">
    <w:pPr>
      <w:pStyle w:val="Header"/>
      <w:rPr>
        <w:rStyle w:val="PageNumber"/>
      </w:rPr>
    </w:pPr>
    <w:r>
      <w:rPr>
        <w:rStyle w:val="PageNumber"/>
      </w:rPr>
      <w:t>C/55/INF/4</w:t>
    </w:r>
  </w:p>
  <w:p w:rsidR="00CE587F" w:rsidRPr="005468F4" w:rsidRDefault="00CE587F" w:rsidP="00EB048E">
    <w:pPr>
      <w:pStyle w:val="Header"/>
    </w:pPr>
    <w:r w:rsidRPr="005468F4">
      <w:t xml:space="preserve">Anlage IV, Seite </w:t>
    </w:r>
    <w:r w:rsidRPr="00C5280D">
      <w:rPr>
        <w:rStyle w:val="PageNumber"/>
        <w:lang w:val="en-US"/>
      </w:rPr>
      <w:fldChar w:fldCharType="begin"/>
    </w:r>
    <w:r w:rsidRPr="005468F4">
      <w:rPr>
        <w:rStyle w:val="PageNumber"/>
      </w:rPr>
      <w:instrText xml:space="preserve"> PAGE </w:instrText>
    </w:r>
    <w:r w:rsidRPr="00C5280D">
      <w:rPr>
        <w:rStyle w:val="PageNumber"/>
        <w:lang w:val="en-US"/>
      </w:rPr>
      <w:fldChar w:fldCharType="separate"/>
    </w:r>
    <w:r w:rsidRPr="005468F4">
      <w:rPr>
        <w:rStyle w:val="PageNumber"/>
        <w:noProof/>
      </w:rPr>
      <w:t>2</w:t>
    </w:r>
    <w:r w:rsidRPr="00C5280D">
      <w:rPr>
        <w:rStyle w:val="PageNumber"/>
        <w:lang w:val="en-US"/>
      </w:rPr>
      <w:fldChar w:fldCharType="end"/>
    </w:r>
  </w:p>
  <w:p w:rsidR="00CE587F" w:rsidRPr="00C5280D" w:rsidRDefault="00CE587F"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7F" w:rsidRPr="005468F4" w:rsidRDefault="006F5780" w:rsidP="00EB048E">
    <w:pPr>
      <w:pStyle w:val="Header"/>
      <w:rPr>
        <w:rStyle w:val="PageNumber"/>
      </w:rPr>
    </w:pPr>
    <w:r>
      <w:rPr>
        <w:rStyle w:val="PageNumber"/>
      </w:rPr>
      <w:t>C/55/INF/4</w:t>
    </w:r>
  </w:p>
  <w:p w:rsidR="00CE587F" w:rsidRPr="005468F4" w:rsidRDefault="00CE587F" w:rsidP="00EB048E">
    <w:pPr>
      <w:pStyle w:val="Header"/>
    </w:pPr>
    <w:r w:rsidRPr="005468F4">
      <w:t xml:space="preserve">Anlage V, Seite </w:t>
    </w:r>
    <w:r w:rsidRPr="00C5280D">
      <w:rPr>
        <w:rStyle w:val="PageNumber"/>
        <w:lang w:val="en-US"/>
      </w:rPr>
      <w:fldChar w:fldCharType="begin"/>
    </w:r>
    <w:r w:rsidRPr="005468F4">
      <w:rPr>
        <w:rStyle w:val="PageNumber"/>
      </w:rPr>
      <w:instrText xml:space="preserve"> PAGE </w:instrText>
    </w:r>
    <w:r w:rsidRPr="00C5280D">
      <w:rPr>
        <w:rStyle w:val="PageNumber"/>
        <w:lang w:val="en-US"/>
      </w:rPr>
      <w:fldChar w:fldCharType="separate"/>
    </w:r>
    <w:r w:rsidR="002E1243">
      <w:rPr>
        <w:rStyle w:val="PageNumber"/>
        <w:noProof/>
      </w:rPr>
      <w:t>2</w:t>
    </w:r>
    <w:r w:rsidRPr="00C5280D">
      <w:rPr>
        <w:rStyle w:val="PageNumber"/>
        <w:lang w:val="en-US"/>
      </w:rPr>
      <w:fldChar w:fldCharType="end"/>
    </w:r>
  </w:p>
  <w:p w:rsidR="00CE587F" w:rsidRPr="00C5280D" w:rsidRDefault="00CE587F"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7F" w:rsidRPr="005468F4" w:rsidRDefault="006F5780" w:rsidP="00EB048E">
    <w:pPr>
      <w:pStyle w:val="Header"/>
      <w:rPr>
        <w:rStyle w:val="PageNumber"/>
      </w:rPr>
    </w:pPr>
    <w:r>
      <w:rPr>
        <w:rStyle w:val="PageNumber"/>
      </w:rPr>
      <w:t>C/55/INF/4</w:t>
    </w:r>
  </w:p>
  <w:p w:rsidR="00CE587F" w:rsidRPr="005468F4" w:rsidRDefault="00CE587F" w:rsidP="00EB048E">
    <w:pPr>
      <w:pStyle w:val="Header"/>
    </w:pPr>
    <w:r w:rsidRPr="005468F4">
      <w:t xml:space="preserve">Anlage VI, Seite </w:t>
    </w:r>
    <w:r w:rsidRPr="00C5280D">
      <w:rPr>
        <w:rStyle w:val="PageNumber"/>
        <w:lang w:val="en-US"/>
      </w:rPr>
      <w:fldChar w:fldCharType="begin"/>
    </w:r>
    <w:r w:rsidRPr="005468F4">
      <w:rPr>
        <w:rStyle w:val="PageNumber"/>
      </w:rPr>
      <w:instrText xml:space="preserve"> PAGE </w:instrText>
    </w:r>
    <w:r w:rsidRPr="00C5280D">
      <w:rPr>
        <w:rStyle w:val="PageNumber"/>
        <w:lang w:val="en-US"/>
      </w:rPr>
      <w:fldChar w:fldCharType="separate"/>
    </w:r>
    <w:r w:rsidR="00F21BF0">
      <w:rPr>
        <w:rStyle w:val="PageNumber"/>
        <w:noProof/>
      </w:rPr>
      <w:t>2</w:t>
    </w:r>
    <w:r w:rsidRPr="00C5280D">
      <w:rPr>
        <w:rStyle w:val="PageNumber"/>
        <w:lang w:val="en-US"/>
      </w:rPr>
      <w:fldChar w:fldCharType="end"/>
    </w:r>
  </w:p>
  <w:p w:rsidR="00CE587F" w:rsidRPr="00C5280D" w:rsidRDefault="00CE587F" w:rsidP="006655D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7F" w:rsidRPr="005468F4" w:rsidRDefault="006F5780" w:rsidP="00EB048E">
    <w:pPr>
      <w:pStyle w:val="Header"/>
      <w:rPr>
        <w:rStyle w:val="PageNumber"/>
      </w:rPr>
    </w:pPr>
    <w:r>
      <w:rPr>
        <w:rStyle w:val="PageNumber"/>
      </w:rPr>
      <w:t>C/55/INF/4</w:t>
    </w:r>
  </w:p>
  <w:p w:rsidR="00CE587F" w:rsidRPr="005468F4" w:rsidRDefault="00CE587F" w:rsidP="00EB048E">
    <w:pPr>
      <w:pStyle w:val="Header"/>
    </w:pPr>
    <w:r w:rsidRPr="005468F4">
      <w:t xml:space="preserve">Anlage VII, Seite </w:t>
    </w:r>
    <w:r w:rsidRPr="00C5280D">
      <w:rPr>
        <w:rStyle w:val="PageNumber"/>
        <w:lang w:val="en-US"/>
      </w:rPr>
      <w:fldChar w:fldCharType="begin"/>
    </w:r>
    <w:r w:rsidRPr="005468F4">
      <w:rPr>
        <w:rStyle w:val="PageNumber"/>
      </w:rPr>
      <w:instrText xml:space="preserve"> PAGE </w:instrText>
    </w:r>
    <w:r w:rsidRPr="00C5280D">
      <w:rPr>
        <w:rStyle w:val="PageNumber"/>
        <w:lang w:val="en-US"/>
      </w:rPr>
      <w:fldChar w:fldCharType="separate"/>
    </w:r>
    <w:r w:rsidR="002E1243">
      <w:rPr>
        <w:rStyle w:val="PageNumber"/>
        <w:noProof/>
      </w:rPr>
      <w:t>2</w:t>
    </w:r>
    <w:r w:rsidRPr="00C5280D">
      <w:rPr>
        <w:rStyle w:val="PageNumber"/>
        <w:lang w:val="en-US"/>
      </w:rPr>
      <w:fldChar w:fldCharType="end"/>
    </w:r>
  </w:p>
  <w:p w:rsidR="00CE587F" w:rsidRPr="00C5280D" w:rsidRDefault="00CE587F" w:rsidP="006655D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7F" w:rsidRPr="002A6EA1" w:rsidRDefault="006F5780" w:rsidP="00EB048E">
    <w:pPr>
      <w:pStyle w:val="Header"/>
      <w:rPr>
        <w:rStyle w:val="PageNumber"/>
      </w:rPr>
    </w:pPr>
    <w:r>
      <w:rPr>
        <w:rStyle w:val="PageNumber"/>
      </w:rPr>
      <w:t>C/55/INF/4</w:t>
    </w:r>
  </w:p>
  <w:p w:rsidR="00CE587F" w:rsidRPr="002A6EA1" w:rsidRDefault="00CE587F" w:rsidP="00EB048E">
    <w:pPr>
      <w:pStyle w:val="Header"/>
    </w:pPr>
    <w:r w:rsidRPr="002A6EA1">
      <w:t xml:space="preserve">Anlage VIII, Seite </w:t>
    </w:r>
    <w:r w:rsidRPr="002A6EA1">
      <w:rPr>
        <w:rStyle w:val="PageNumber"/>
      </w:rPr>
      <w:fldChar w:fldCharType="begin"/>
    </w:r>
    <w:r w:rsidRPr="002A6EA1">
      <w:rPr>
        <w:rStyle w:val="PageNumber"/>
      </w:rPr>
      <w:instrText xml:space="preserve"> PAGE </w:instrText>
    </w:r>
    <w:r w:rsidRPr="002A6EA1">
      <w:rPr>
        <w:rStyle w:val="PageNumber"/>
      </w:rPr>
      <w:fldChar w:fldCharType="separate"/>
    </w:r>
    <w:r w:rsidR="002E1243">
      <w:rPr>
        <w:rStyle w:val="PageNumber"/>
        <w:noProof/>
      </w:rPr>
      <w:t>4</w:t>
    </w:r>
    <w:r w:rsidRPr="002A6EA1">
      <w:rPr>
        <w:rStyle w:val="PageNumber"/>
      </w:rPr>
      <w:fldChar w:fldCharType="end"/>
    </w:r>
  </w:p>
  <w:p w:rsidR="00CE587F" w:rsidRPr="002A6EA1" w:rsidRDefault="00CE587F"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74E51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1509F0"/>
    <w:multiLevelType w:val="hybridMultilevel"/>
    <w:tmpl w:val="BD8C28DC"/>
    <w:lvl w:ilvl="0" w:tplc="080C0001">
      <w:start w:val="1"/>
      <w:numFmt w:val="bullet"/>
      <w:lvlText w:val=""/>
      <w:lvlJc w:val="left"/>
      <w:pPr>
        <w:ind w:left="720" w:hanging="360"/>
      </w:pPr>
      <w:rPr>
        <w:rFonts w:ascii="Symbol" w:hAnsi="Symbol" w:hint="default"/>
        <w:color w:val="auto"/>
        <w:u w:color="00B050"/>
      </w:rPr>
    </w:lvl>
    <w:lvl w:ilvl="1" w:tplc="04090003" w:tentative="1">
      <w:start w:val="1"/>
      <w:numFmt w:val="bullet"/>
      <w:lvlText w:val="o"/>
      <w:lvlJc w:val="left"/>
      <w:pPr>
        <w:ind w:left="1439" w:hanging="360"/>
      </w:pPr>
      <w:rPr>
        <w:rFonts w:ascii="Courier New" w:hAnsi="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 w15:restartNumberingAfterBreak="0">
    <w:nsid w:val="070E5A16"/>
    <w:multiLevelType w:val="hybridMultilevel"/>
    <w:tmpl w:val="0C86E46A"/>
    <w:lvl w:ilvl="0" w:tplc="51823D76">
      <w:numFmt w:val="bullet"/>
      <w:lvlText w:val=""/>
      <w:lvlJc w:val="left"/>
      <w:pPr>
        <w:ind w:left="783" w:hanging="360"/>
      </w:pPr>
      <w:rPr>
        <w:rFonts w:ascii="Symbol" w:hAnsi="Symbol" w:cs="Times New Roman" w:hint="default"/>
        <w:sz w:val="24"/>
      </w:rPr>
    </w:lvl>
    <w:lvl w:ilvl="1" w:tplc="59CC7F5E">
      <w:numFmt w:val="bullet"/>
      <w:lvlText w:val="-"/>
      <w:lvlJc w:val="left"/>
      <w:pPr>
        <w:ind w:left="1503" w:hanging="360"/>
      </w:pPr>
      <w:rPr>
        <w:rFonts w:ascii="Times New Roman" w:eastAsia="Times New Roman" w:hAnsi="Times New Roman" w:cs="Times New Roman"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 w15:restartNumberingAfterBreak="0">
    <w:nsid w:val="16283DE3"/>
    <w:multiLevelType w:val="hybridMultilevel"/>
    <w:tmpl w:val="CB061A6E"/>
    <w:lvl w:ilvl="0" w:tplc="4CEEB070">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95B7CE1"/>
    <w:multiLevelType w:val="hybridMultilevel"/>
    <w:tmpl w:val="26D046E0"/>
    <w:lvl w:ilvl="0" w:tplc="040C0001">
      <w:start w:val="1"/>
      <w:numFmt w:val="bullet"/>
      <w:lvlText w:val=""/>
      <w:lvlJc w:val="left"/>
      <w:pPr>
        <w:ind w:left="1502" w:hanging="360"/>
      </w:pPr>
      <w:rPr>
        <w:rFonts w:ascii="Symbol" w:hAnsi="Symbol" w:hint="default"/>
      </w:rPr>
    </w:lvl>
    <w:lvl w:ilvl="1" w:tplc="040C0003" w:tentative="1">
      <w:start w:val="1"/>
      <w:numFmt w:val="bullet"/>
      <w:lvlText w:val="o"/>
      <w:lvlJc w:val="left"/>
      <w:pPr>
        <w:ind w:left="2222" w:hanging="360"/>
      </w:pPr>
      <w:rPr>
        <w:rFonts w:ascii="Courier New" w:hAnsi="Courier New" w:cs="Courier New" w:hint="default"/>
      </w:rPr>
    </w:lvl>
    <w:lvl w:ilvl="2" w:tplc="040C0005" w:tentative="1">
      <w:start w:val="1"/>
      <w:numFmt w:val="bullet"/>
      <w:lvlText w:val=""/>
      <w:lvlJc w:val="left"/>
      <w:pPr>
        <w:ind w:left="2942" w:hanging="360"/>
      </w:pPr>
      <w:rPr>
        <w:rFonts w:ascii="Wingdings" w:hAnsi="Wingdings" w:hint="default"/>
      </w:rPr>
    </w:lvl>
    <w:lvl w:ilvl="3" w:tplc="040C0001" w:tentative="1">
      <w:start w:val="1"/>
      <w:numFmt w:val="bullet"/>
      <w:lvlText w:val=""/>
      <w:lvlJc w:val="left"/>
      <w:pPr>
        <w:ind w:left="3662" w:hanging="360"/>
      </w:pPr>
      <w:rPr>
        <w:rFonts w:ascii="Symbol" w:hAnsi="Symbol" w:hint="default"/>
      </w:rPr>
    </w:lvl>
    <w:lvl w:ilvl="4" w:tplc="040C0003" w:tentative="1">
      <w:start w:val="1"/>
      <w:numFmt w:val="bullet"/>
      <w:lvlText w:val="o"/>
      <w:lvlJc w:val="left"/>
      <w:pPr>
        <w:ind w:left="4382" w:hanging="360"/>
      </w:pPr>
      <w:rPr>
        <w:rFonts w:ascii="Courier New" w:hAnsi="Courier New" w:cs="Courier New" w:hint="default"/>
      </w:rPr>
    </w:lvl>
    <w:lvl w:ilvl="5" w:tplc="040C0005" w:tentative="1">
      <w:start w:val="1"/>
      <w:numFmt w:val="bullet"/>
      <w:lvlText w:val=""/>
      <w:lvlJc w:val="left"/>
      <w:pPr>
        <w:ind w:left="5102" w:hanging="360"/>
      </w:pPr>
      <w:rPr>
        <w:rFonts w:ascii="Wingdings" w:hAnsi="Wingdings" w:hint="default"/>
      </w:rPr>
    </w:lvl>
    <w:lvl w:ilvl="6" w:tplc="040C0001" w:tentative="1">
      <w:start w:val="1"/>
      <w:numFmt w:val="bullet"/>
      <w:lvlText w:val=""/>
      <w:lvlJc w:val="left"/>
      <w:pPr>
        <w:ind w:left="5822" w:hanging="360"/>
      </w:pPr>
      <w:rPr>
        <w:rFonts w:ascii="Symbol" w:hAnsi="Symbol" w:hint="default"/>
      </w:rPr>
    </w:lvl>
    <w:lvl w:ilvl="7" w:tplc="040C0003" w:tentative="1">
      <w:start w:val="1"/>
      <w:numFmt w:val="bullet"/>
      <w:lvlText w:val="o"/>
      <w:lvlJc w:val="left"/>
      <w:pPr>
        <w:ind w:left="6542" w:hanging="360"/>
      </w:pPr>
      <w:rPr>
        <w:rFonts w:ascii="Courier New" w:hAnsi="Courier New" w:cs="Courier New" w:hint="default"/>
      </w:rPr>
    </w:lvl>
    <w:lvl w:ilvl="8" w:tplc="040C0005" w:tentative="1">
      <w:start w:val="1"/>
      <w:numFmt w:val="bullet"/>
      <w:lvlText w:val=""/>
      <w:lvlJc w:val="left"/>
      <w:pPr>
        <w:ind w:left="7262" w:hanging="360"/>
      </w:pPr>
      <w:rPr>
        <w:rFonts w:ascii="Wingdings" w:hAnsi="Wingdings" w:hint="default"/>
      </w:rPr>
    </w:lvl>
  </w:abstractNum>
  <w:abstractNum w:abstractNumId="5" w15:restartNumberingAfterBreak="0">
    <w:nsid w:val="1C94106C"/>
    <w:multiLevelType w:val="hybridMultilevel"/>
    <w:tmpl w:val="484866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CF465E9"/>
    <w:multiLevelType w:val="hybridMultilevel"/>
    <w:tmpl w:val="F022EBAC"/>
    <w:lvl w:ilvl="0" w:tplc="51823D76">
      <w:numFmt w:val="bullet"/>
      <w:lvlText w:val=""/>
      <w:lvlJc w:val="left"/>
      <w:pPr>
        <w:ind w:left="783" w:hanging="360"/>
      </w:pPr>
      <w:rPr>
        <w:rFonts w:ascii="Symbol" w:hAnsi="Symbol" w:cs="Times New Roman" w:hint="default"/>
        <w:sz w:val="24"/>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 w15:restartNumberingAfterBreak="0">
    <w:nsid w:val="2177028B"/>
    <w:multiLevelType w:val="hybridMultilevel"/>
    <w:tmpl w:val="5CE08DA2"/>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64DB4"/>
    <w:multiLevelType w:val="hybridMultilevel"/>
    <w:tmpl w:val="92EE3C3A"/>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93773"/>
    <w:multiLevelType w:val="hybridMultilevel"/>
    <w:tmpl w:val="E93AF7E0"/>
    <w:lvl w:ilvl="0" w:tplc="59CC7F5E">
      <w:numFmt w:val="bullet"/>
      <w:lvlText w:val="-"/>
      <w:lvlJc w:val="left"/>
      <w:pPr>
        <w:ind w:left="1004" w:hanging="360"/>
      </w:pPr>
      <w:rPr>
        <w:rFonts w:ascii="Times New Roman" w:eastAsia="Times New Roman" w:hAnsi="Times New Roman" w:cs="Times New Roman"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2EB9342E"/>
    <w:multiLevelType w:val="hybridMultilevel"/>
    <w:tmpl w:val="ECB209C6"/>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D67894"/>
    <w:multiLevelType w:val="hybridMultilevel"/>
    <w:tmpl w:val="21762B54"/>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D050D1"/>
    <w:multiLevelType w:val="hybridMultilevel"/>
    <w:tmpl w:val="3A9C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96199"/>
    <w:multiLevelType w:val="hybridMultilevel"/>
    <w:tmpl w:val="F08A75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0ED111E"/>
    <w:multiLevelType w:val="hybridMultilevel"/>
    <w:tmpl w:val="A0708602"/>
    <w:lvl w:ilvl="0" w:tplc="04090001">
      <w:start w:val="1"/>
      <w:numFmt w:val="bullet"/>
      <w:lvlText w:val=""/>
      <w:lvlJc w:val="left"/>
      <w:pPr>
        <w:ind w:left="720" w:hanging="360"/>
      </w:pPr>
      <w:rPr>
        <w:rFonts w:ascii="Symbol" w:hAnsi="Symbol" w:hint="default"/>
      </w:rPr>
    </w:lvl>
    <w:lvl w:ilvl="1" w:tplc="5BB0F578">
      <w:numFmt w:val="bullet"/>
      <w:lvlText w:val="•"/>
      <w:lvlJc w:val="left"/>
      <w:pPr>
        <w:ind w:left="1650" w:hanging="57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375642"/>
    <w:multiLevelType w:val="hybridMultilevel"/>
    <w:tmpl w:val="DC86C0DC"/>
    <w:lvl w:ilvl="0" w:tplc="59CC7F5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919056D"/>
    <w:multiLevelType w:val="hybridMultilevel"/>
    <w:tmpl w:val="AA32BDA8"/>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7A6453"/>
    <w:multiLevelType w:val="hybridMultilevel"/>
    <w:tmpl w:val="19FE8C86"/>
    <w:lvl w:ilvl="0" w:tplc="4CEEB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BD0BEC"/>
    <w:multiLevelType w:val="singleLevel"/>
    <w:tmpl w:val="72D6F376"/>
    <w:lvl w:ilvl="0">
      <w:start w:val="1"/>
      <w:numFmt w:val="bullet"/>
      <w:lvlText w:val=""/>
      <w:lvlJc w:val="left"/>
      <w:pPr>
        <w:tabs>
          <w:tab w:val="num" w:pos="283"/>
        </w:tabs>
        <w:ind w:left="283" w:hanging="283"/>
      </w:pPr>
      <w:rPr>
        <w:rFonts w:ascii="Symbol" w:hAnsi="Symbol"/>
      </w:rPr>
    </w:lvl>
  </w:abstractNum>
  <w:abstractNum w:abstractNumId="19" w15:restartNumberingAfterBreak="0">
    <w:nsid w:val="579C4C56"/>
    <w:multiLevelType w:val="hybridMultilevel"/>
    <w:tmpl w:val="A1A00D10"/>
    <w:lvl w:ilvl="0" w:tplc="59CC7F5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58BC7465"/>
    <w:multiLevelType w:val="hybridMultilevel"/>
    <w:tmpl w:val="4FEC8E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FBA3444"/>
    <w:multiLevelType w:val="hybridMultilevel"/>
    <w:tmpl w:val="925C5114"/>
    <w:lvl w:ilvl="0" w:tplc="4CEEB070">
      <w:start w:val="1"/>
      <w:numFmt w:val="bullet"/>
      <w:lvlText w:val=""/>
      <w:lvlJc w:val="left"/>
      <w:pPr>
        <w:ind w:left="720" w:hanging="360"/>
      </w:pPr>
      <w:rPr>
        <w:rFonts w:ascii="Symbol" w:hAnsi="Symbol" w:hint="default"/>
      </w:rPr>
    </w:lvl>
    <w:lvl w:ilvl="1" w:tplc="DE7A83E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545C64"/>
    <w:multiLevelType w:val="hybridMultilevel"/>
    <w:tmpl w:val="7C6CB9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DEF3EAA"/>
    <w:multiLevelType w:val="hybridMultilevel"/>
    <w:tmpl w:val="5EA4416C"/>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B40DC8"/>
    <w:multiLevelType w:val="hybridMultilevel"/>
    <w:tmpl w:val="C1D6E7A2"/>
    <w:lvl w:ilvl="0" w:tplc="6C823796">
      <w:start w:val="1"/>
      <w:numFmt w:val="bullet"/>
      <w:lvlText w:val=""/>
      <w:lvlJc w:val="left"/>
      <w:pPr>
        <w:ind w:left="783" w:hanging="360"/>
      </w:pPr>
      <w:rPr>
        <w:rFonts w:ascii="Symbol" w:hAnsi="Symbol" w:hint="default"/>
        <w:sz w:val="24"/>
      </w:rPr>
    </w:lvl>
    <w:lvl w:ilvl="1" w:tplc="59CC7F5E">
      <w:numFmt w:val="bullet"/>
      <w:lvlText w:val="-"/>
      <w:lvlJc w:val="left"/>
      <w:pPr>
        <w:ind w:left="1503" w:hanging="360"/>
      </w:pPr>
      <w:rPr>
        <w:rFonts w:ascii="Times New Roman" w:eastAsia="Times New Roman" w:hAnsi="Times New Roman" w:cs="Times New Roman" w:hint="default"/>
      </w:rPr>
    </w:lvl>
    <w:lvl w:ilvl="2" w:tplc="08090005">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abstractNumId w:val="12"/>
  </w:num>
  <w:num w:numId="2">
    <w:abstractNumId w:val="16"/>
  </w:num>
  <w:num w:numId="3">
    <w:abstractNumId w:val="23"/>
  </w:num>
  <w:num w:numId="4">
    <w:abstractNumId w:val="11"/>
  </w:num>
  <w:num w:numId="5">
    <w:abstractNumId w:val="8"/>
  </w:num>
  <w:num w:numId="6">
    <w:abstractNumId w:val="7"/>
  </w:num>
  <w:num w:numId="7">
    <w:abstractNumId w:val="14"/>
  </w:num>
  <w:num w:numId="8">
    <w:abstractNumId w:val="10"/>
  </w:num>
  <w:num w:numId="9">
    <w:abstractNumId w:val="3"/>
  </w:num>
  <w:num w:numId="10">
    <w:abstractNumId w:val="17"/>
  </w:num>
  <w:num w:numId="11">
    <w:abstractNumId w:val="21"/>
  </w:num>
  <w:num w:numId="12">
    <w:abstractNumId w:val="18"/>
  </w:num>
  <w:num w:numId="13">
    <w:abstractNumId w:val="13"/>
  </w:num>
  <w:num w:numId="14">
    <w:abstractNumId w:val="6"/>
  </w:num>
  <w:num w:numId="15">
    <w:abstractNumId w:val="2"/>
  </w:num>
  <w:num w:numId="16">
    <w:abstractNumId w:val="4"/>
  </w:num>
  <w:num w:numId="17">
    <w:abstractNumId w:val="24"/>
  </w:num>
  <w:num w:numId="18">
    <w:abstractNumId w:val="22"/>
  </w:num>
  <w:num w:numId="19">
    <w:abstractNumId w:val="1"/>
  </w:num>
  <w:num w:numId="20">
    <w:abstractNumId w:val="20"/>
  </w:num>
  <w:num w:numId="21">
    <w:abstractNumId w:val="15"/>
  </w:num>
  <w:num w:numId="22">
    <w:abstractNumId w:val="19"/>
  </w:num>
  <w:num w:numId="23">
    <w:abstractNumId w:val="5"/>
  </w:num>
  <w:num w:numId="24">
    <w:abstractNumId w:val="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8AB"/>
    <w:rsid w:val="00010CF3"/>
    <w:rsid w:val="00011A54"/>
    <w:rsid w:val="00011E27"/>
    <w:rsid w:val="000148BC"/>
    <w:rsid w:val="00024AB8"/>
    <w:rsid w:val="00030854"/>
    <w:rsid w:val="00036028"/>
    <w:rsid w:val="00044642"/>
    <w:rsid w:val="000446B9"/>
    <w:rsid w:val="00047E21"/>
    <w:rsid w:val="00050E16"/>
    <w:rsid w:val="00083093"/>
    <w:rsid w:val="00085505"/>
    <w:rsid w:val="000A204F"/>
    <w:rsid w:val="000C4E25"/>
    <w:rsid w:val="000C7021"/>
    <w:rsid w:val="000D6BBC"/>
    <w:rsid w:val="000D7780"/>
    <w:rsid w:val="000E636A"/>
    <w:rsid w:val="000F2F11"/>
    <w:rsid w:val="00105071"/>
    <w:rsid w:val="00105929"/>
    <w:rsid w:val="00110C36"/>
    <w:rsid w:val="001131D5"/>
    <w:rsid w:val="001163D1"/>
    <w:rsid w:val="00141DB8"/>
    <w:rsid w:val="00172084"/>
    <w:rsid w:val="0017474A"/>
    <w:rsid w:val="001758C6"/>
    <w:rsid w:val="00182B99"/>
    <w:rsid w:val="00184FB7"/>
    <w:rsid w:val="00187C2C"/>
    <w:rsid w:val="001B2619"/>
    <w:rsid w:val="001F2153"/>
    <w:rsid w:val="00202E38"/>
    <w:rsid w:val="0021332C"/>
    <w:rsid w:val="00213982"/>
    <w:rsid w:val="00224E35"/>
    <w:rsid w:val="0024416D"/>
    <w:rsid w:val="002464A3"/>
    <w:rsid w:val="00271911"/>
    <w:rsid w:val="002800A0"/>
    <w:rsid w:val="002801B3"/>
    <w:rsid w:val="00281060"/>
    <w:rsid w:val="002940E8"/>
    <w:rsid w:val="00294751"/>
    <w:rsid w:val="002A072D"/>
    <w:rsid w:val="002A6E50"/>
    <w:rsid w:val="002A6EA1"/>
    <w:rsid w:val="002B07FC"/>
    <w:rsid w:val="002B4298"/>
    <w:rsid w:val="002C256A"/>
    <w:rsid w:val="002E1243"/>
    <w:rsid w:val="00305A7F"/>
    <w:rsid w:val="003137B0"/>
    <w:rsid w:val="003152FE"/>
    <w:rsid w:val="00327436"/>
    <w:rsid w:val="00344BD6"/>
    <w:rsid w:val="0035528D"/>
    <w:rsid w:val="00361821"/>
    <w:rsid w:val="00361E9E"/>
    <w:rsid w:val="00376C5F"/>
    <w:rsid w:val="003B031A"/>
    <w:rsid w:val="003B64F4"/>
    <w:rsid w:val="003C7FBE"/>
    <w:rsid w:val="003D227C"/>
    <w:rsid w:val="003D2B4D"/>
    <w:rsid w:val="0040557F"/>
    <w:rsid w:val="004128AB"/>
    <w:rsid w:val="00444A88"/>
    <w:rsid w:val="00474DA4"/>
    <w:rsid w:val="00476B4D"/>
    <w:rsid w:val="004805FA"/>
    <w:rsid w:val="004935D2"/>
    <w:rsid w:val="004B1215"/>
    <w:rsid w:val="004C448F"/>
    <w:rsid w:val="004D047D"/>
    <w:rsid w:val="004F1E9E"/>
    <w:rsid w:val="004F305A"/>
    <w:rsid w:val="00512164"/>
    <w:rsid w:val="00520297"/>
    <w:rsid w:val="005338F9"/>
    <w:rsid w:val="00537BEE"/>
    <w:rsid w:val="0054281C"/>
    <w:rsid w:val="00544581"/>
    <w:rsid w:val="00545E42"/>
    <w:rsid w:val="005468F4"/>
    <w:rsid w:val="0055268D"/>
    <w:rsid w:val="00576BE4"/>
    <w:rsid w:val="005A400A"/>
    <w:rsid w:val="005E47FC"/>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3489"/>
    <w:rsid w:val="006D780A"/>
    <w:rsid w:val="006E5028"/>
    <w:rsid w:val="006F3121"/>
    <w:rsid w:val="006F5780"/>
    <w:rsid w:val="0071271E"/>
    <w:rsid w:val="00713625"/>
    <w:rsid w:val="00732DEC"/>
    <w:rsid w:val="00735BD5"/>
    <w:rsid w:val="00751613"/>
    <w:rsid w:val="007556F6"/>
    <w:rsid w:val="00760EEF"/>
    <w:rsid w:val="007672C4"/>
    <w:rsid w:val="00777EE5"/>
    <w:rsid w:val="00784836"/>
    <w:rsid w:val="00785F41"/>
    <w:rsid w:val="0079023E"/>
    <w:rsid w:val="007A2854"/>
    <w:rsid w:val="007C1A30"/>
    <w:rsid w:val="007C1D92"/>
    <w:rsid w:val="007C4CB9"/>
    <w:rsid w:val="007C595A"/>
    <w:rsid w:val="007D0B9D"/>
    <w:rsid w:val="007D19B0"/>
    <w:rsid w:val="007D612E"/>
    <w:rsid w:val="007F498F"/>
    <w:rsid w:val="007F593A"/>
    <w:rsid w:val="0080679D"/>
    <w:rsid w:val="008108B0"/>
    <w:rsid w:val="00811B20"/>
    <w:rsid w:val="008211B5"/>
    <w:rsid w:val="0082296E"/>
    <w:rsid w:val="00824099"/>
    <w:rsid w:val="00825BFE"/>
    <w:rsid w:val="00833054"/>
    <w:rsid w:val="008450B8"/>
    <w:rsid w:val="00846D7C"/>
    <w:rsid w:val="00864C55"/>
    <w:rsid w:val="00867AC1"/>
    <w:rsid w:val="0089015A"/>
    <w:rsid w:val="00890977"/>
    <w:rsid w:val="00890DF8"/>
    <w:rsid w:val="008A743F"/>
    <w:rsid w:val="008C0970"/>
    <w:rsid w:val="008D0BC5"/>
    <w:rsid w:val="008D2CF7"/>
    <w:rsid w:val="00900C26"/>
    <w:rsid w:val="0090197F"/>
    <w:rsid w:val="00906DDC"/>
    <w:rsid w:val="00907043"/>
    <w:rsid w:val="00934E09"/>
    <w:rsid w:val="00936253"/>
    <w:rsid w:val="00940D46"/>
    <w:rsid w:val="00952DD4"/>
    <w:rsid w:val="00965AE7"/>
    <w:rsid w:val="00970FED"/>
    <w:rsid w:val="00971CA4"/>
    <w:rsid w:val="00982740"/>
    <w:rsid w:val="00992D82"/>
    <w:rsid w:val="00997029"/>
    <w:rsid w:val="009A7339"/>
    <w:rsid w:val="009B440E"/>
    <w:rsid w:val="009D690D"/>
    <w:rsid w:val="009E65B6"/>
    <w:rsid w:val="009E6A44"/>
    <w:rsid w:val="00A136B3"/>
    <w:rsid w:val="00A24C10"/>
    <w:rsid w:val="00A42AC3"/>
    <w:rsid w:val="00A430CF"/>
    <w:rsid w:val="00A442B7"/>
    <w:rsid w:val="00A54309"/>
    <w:rsid w:val="00A706D3"/>
    <w:rsid w:val="00A7227F"/>
    <w:rsid w:val="00AB2B93"/>
    <w:rsid w:val="00AB530F"/>
    <w:rsid w:val="00AB5DB5"/>
    <w:rsid w:val="00AB7E5B"/>
    <w:rsid w:val="00AC2883"/>
    <w:rsid w:val="00AD7E12"/>
    <w:rsid w:val="00AE0EF1"/>
    <w:rsid w:val="00AE2937"/>
    <w:rsid w:val="00B07301"/>
    <w:rsid w:val="00B11F3E"/>
    <w:rsid w:val="00B224DE"/>
    <w:rsid w:val="00B324D4"/>
    <w:rsid w:val="00B41422"/>
    <w:rsid w:val="00B46575"/>
    <w:rsid w:val="00B61777"/>
    <w:rsid w:val="00B84BBD"/>
    <w:rsid w:val="00B91309"/>
    <w:rsid w:val="00B94B0E"/>
    <w:rsid w:val="00BA43FB"/>
    <w:rsid w:val="00BA6E5D"/>
    <w:rsid w:val="00BC0BD4"/>
    <w:rsid w:val="00BC127D"/>
    <w:rsid w:val="00BC1E54"/>
    <w:rsid w:val="00BC1FE6"/>
    <w:rsid w:val="00C061B6"/>
    <w:rsid w:val="00C06316"/>
    <w:rsid w:val="00C2446C"/>
    <w:rsid w:val="00C36AE5"/>
    <w:rsid w:val="00C41F17"/>
    <w:rsid w:val="00C527FA"/>
    <w:rsid w:val="00C5280D"/>
    <w:rsid w:val="00C53EB3"/>
    <w:rsid w:val="00C5791C"/>
    <w:rsid w:val="00C66290"/>
    <w:rsid w:val="00C72B7A"/>
    <w:rsid w:val="00C95C46"/>
    <w:rsid w:val="00C973F2"/>
    <w:rsid w:val="00CA09AA"/>
    <w:rsid w:val="00CA304C"/>
    <w:rsid w:val="00CA774A"/>
    <w:rsid w:val="00CC11B0"/>
    <w:rsid w:val="00CC2841"/>
    <w:rsid w:val="00CC6951"/>
    <w:rsid w:val="00CE587F"/>
    <w:rsid w:val="00CF1330"/>
    <w:rsid w:val="00CF7E36"/>
    <w:rsid w:val="00D0040C"/>
    <w:rsid w:val="00D14C69"/>
    <w:rsid w:val="00D3708D"/>
    <w:rsid w:val="00D40426"/>
    <w:rsid w:val="00D57C96"/>
    <w:rsid w:val="00D57D18"/>
    <w:rsid w:val="00D8481F"/>
    <w:rsid w:val="00D91203"/>
    <w:rsid w:val="00D95174"/>
    <w:rsid w:val="00DA3C12"/>
    <w:rsid w:val="00DA4973"/>
    <w:rsid w:val="00DA6F36"/>
    <w:rsid w:val="00DB596E"/>
    <w:rsid w:val="00DB7773"/>
    <w:rsid w:val="00DC00EA"/>
    <w:rsid w:val="00DC3802"/>
    <w:rsid w:val="00DE5973"/>
    <w:rsid w:val="00E07D87"/>
    <w:rsid w:val="00E13369"/>
    <w:rsid w:val="00E32F7E"/>
    <w:rsid w:val="00E50FB5"/>
    <w:rsid w:val="00E5267B"/>
    <w:rsid w:val="00E63C0E"/>
    <w:rsid w:val="00E72D49"/>
    <w:rsid w:val="00E7593C"/>
    <w:rsid w:val="00E7678A"/>
    <w:rsid w:val="00E917E1"/>
    <w:rsid w:val="00E935F1"/>
    <w:rsid w:val="00E94A81"/>
    <w:rsid w:val="00EA1FFB"/>
    <w:rsid w:val="00EB048E"/>
    <w:rsid w:val="00EB4E9C"/>
    <w:rsid w:val="00EC69F7"/>
    <w:rsid w:val="00ED3885"/>
    <w:rsid w:val="00EE34DF"/>
    <w:rsid w:val="00EF2F89"/>
    <w:rsid w:val="00F03E98"/>
    <w:rsid w:val="00F052E2"/>
    <w:rsid w:val="00F1237A"/>
    <w:rsid w:val="00F21BF0"/>
    <w:rsid w:val="00F21FD7"/>
    <w:rsid w:val="00F22CBD"/>
    <w:rsid w:val="00F272F1"/>
    <w:rsid w:val="00F45372"/>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6A06AE9"/>
  <w15:docId w15:val="{8EDF53C0-C6F6-48E5-A008-EBAA40BFB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7">
    <w:name w:val="heading 7"/>
    <w:basedOn w:val="Normal"/>
    <w:next w:val="Normal"/>
    <w:link w:val="Heading7Char"/>
    <w:qFormat/>
    <w:rsid w:val="001F2153"/>
    <w:pPr>
      <w:keepNext/>
      <w:outlineLvl w:val="6"/>
    </w:pPr>
    <w:rPr>
      <w:rFonts w:ascii="Times New Roman" w:hAnsi="Times New Roman"/>
      <w:sz w:val="22"/>
      <w:szCs w:val="22"/>
      <w:u w:val="single"/>
      <w:lang w:val="en-GB"/>
    </w:rPr>
  </w:style>
  <w:style w:type="paragraph" w:styleId="Heading8">
    <w:name w:val="heading 8"/>
    <w:basedOn w:val="Normal"/>
    <w:next w:val="Normal"/>
    <w:link w:val="Heading8Char"/>
    <w:qFormat/>
    <w:rsid w:val="000A204F"/>
    <w:pPr>
      <w:keepNext/>
      <w:tabs>
        <w:tab w:val="left" w:pos="567"/>
        <w:tab w:val="left" w:pos="4962"/>
      </w:tabs>
      <w:jc w:val="center"/>
      <w:outlineLvl w:val="7"/>
    </w:pPr>
    <w:rPr>
      <w:u w:val="single"/>
      <w:lang w:eastAsia="pl-PL"/>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202E38"/>
    <w:pPr>
      <w:jc w:val="center"/>
    </w:pPr>
    <w:rPr>
      <w:rFonts w:ascii="Arial" w:hAnsi="Arial"/>
      <w:lang w:val="de-DE"/>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136B3"/>
    <w:pPr>
      <w:tabs>
        <w:tab w:val="left" w:pos="5387"/>
        <w:tab w:val="left" w:pos="5954"/>
      </w:tabs>
      <w:ind w:left="4820"/>
    </w:pPr>
    <w:rPr>
      <w:i/>
    </w:rPr>
  </w:style>
  <w:style w:type="paragraph" w:styleId="FootnoteText">
    <w:name w:val="footnote text"/>
    <w:link w:val="FootnoteTextChar"/>
    <w:autoRedefine/>
    <w:rsid w:val="00DE5973"/>
    <w:pPr>
      <w:spacing w:before="60"/>
      <w:ind w:left="567" w:hanging="567"/>
      <w:jc w:val="both"/>
    </w:pPr>
    <w:rPr>
      <w:rFonts w:ascii="Arial" w:hAnsi="Arial"/>
      <w:sz w:val="16"/>
      <w:lang w:val="de-DE"/>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825BFE"/>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825BFE"/>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907043"/>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907043"/>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907043"/>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907043"/>
    <w:pPr>
      <w:tabs>
        <w:tab w:val="right" w:leader="dot" w:pos="9639"/>
      </w:tabs>
      <w:spacing w:after="120"/>
      <w:jc w:val="center"/>
    </w:pPr>
    <w:rPr>
      <w:rFonts w:ascii="Arial" w:hAnsi="Arial"/>
      <w:caps/>
    </w:rPr>
  </w:style>
  <w:style w:type="paragraph" w:styleId="TOC5">
    <w:name w:val="toc 5"/>
    <w:next w:val="Normal"/>
    <w:autoRedefine/>
    <w:rsid w:val="00907043"/>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A442B7"/>
    <w:pPr>
      <w:ind w:left="1134" w:hanging="567"/>
      <w:jc w:val="left"/>
    </w:pPr>
    <w:rPr>
      <w:szCs w:val="22"/>
    </w:rPr>
  </w:style>
  <w:style w:type="table" w:styleId="TableGrid">
    <w:name w:val="Table Grid"/>
    <w:basedOn w:val="TableNormal"/>
    <w:rsid w:val="00A442B7"/>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0A204F"/>
    <w:rPr>
      <w:rFonts w:ascii="Arial" w:hAnsi="Arial"/>
      <w:u w:val="single"/>
      <w:lang w:val="de-DE" w:eastAsia="pl-PL"/>
    </w:rPr>
  </w:style>
  <w:style w:type="paragraph" w:styleId="BodyText2">
    <w:name w:val="Body Text 2"/>
    <w:basedOn w:val="Normal"/>
    <w:link w:val="BodyText2Char"/>
    <w:rsid w:val="000A204F"/>
    <w:pPr>
      <w:jc w:val="left"/>
    </w:pPr>
    <w:rPr>
      <w:rFonts w:ascii="Times New Roman" w:hAnsi="Times New Roman"/>
      <w:sz w:val="28"/>
      <w:lang w:eastAsia="pl-PL"/>
    </w:rPr>
  </w:style>
  <w:style w:type="character" w:customStyle="1" w:styleId="BodyText2Char">
    <w:name w:val="Body Text 2 Char"/>
    <w:basedOn w:val="DefaultParagraphFont"/>
    <w:link w:val="BodyText2"/>
    <w:rsid w:val="000A204F"/>
    <w:rPr>
      <w:sz w:val="28"/>
      <w:lang w:val="de-DE" w:eastAsia="pl-PL"/>
    </w:rPr>
  </w:style>
  <w:style w:type="character" w:customStyle="1" w:styleId="FooterChar">
    <w:name w:val="Footer Char"/>
    <w:aliases w:val="doc_path_name Char"/>
    <w:basedOn w:val="DefaultParagraphFont"/>
    <w:link w:val="Footer"/>
    <w:rsid w:val="000A204F"/>
    <w:rPr>
      <w:rFonts w:ascii="Arial" w:hAnsi="Arial"/>
      <w:sz w:val="14"/>
    </w:rPr>
  </w:style>
  <w:style w:type="paragraph" w:styleId="BodyTextIndent2">
    <w:name w:val="Body Text Indent 2"/>
    <w:basedOn w:val="Normal"/>
    <w:link w:val="BodyTextIndent2Char"/>
    <w:rsid w:val="00BC1E54"/>
    <w:pPr>
      <w:spacing w:after="120" w:line="480" w:lineRule="auto"/>
      <w:ind w:left="283"/>
    </w:pPr>
  </w:style>
  <w:style w:type="character" w:customStyle="1" w:styleId="BodyTextIndent2Char">
    <w:name w:val="Body Text Indent 2 Char"/>
    <w:basedOn w:val="DefaultParagraphFont"/>
    <w:link w:val="BodyTextIndent2"/>
    <w:rsid w:val="00BC1E54"/>
    <w:rPr>
      <w:rFonts w:ascii="Arial" w:hAnsi="Arial"/>
      <w:lang w:val="de-DE"/>
    </w:rPr>
  </w:style>
  <w:style w:type="paragraph" w:customStyle="1" w:styleId="TableParagraph">
    <w:name w:val="Table Paragraph"/>
    <w:basedOn w:val="Normal"/>
    <w:uiPriority w:val="1"/>
    <w:qFormat/>
    <w:rsid w:val="0089015A"/>
    <w:pPr>
      <w:widowControl w:val="0"/>
      <w:autoSpaceDE w:val="0"/>
      <w:autoSpaceDN w:val="0"/>
      <w:ind w:left="56"/>
      <w:jc w:val="left"/>
    </w:pPr>
    <w:rPr>
      <w:rFonts w:eastAsia="Arial" w:cs="Arial"/>
      <w:sz w:val="22"/>
      <w:szCs w:val="22"/>
      <w:lang w:eastAsia="de-DE" w:bidi="de-DE"/>
    </w:rPr>
  </w:style>
  <w:style w:type="character" w:styleId="Emphasis">
    <w:name w:val="Emphasis"/>
    <w:uiPriority w:val="99"/>
    <w:qFormat/>
    <w:rsid w:val="009E6A44"/>
    <w:rPr>
      <w:rFonts w:ascii="Times New Roman" w:hAnsi="Times New Roman" w:cs="Times New Roman"/>
      <w:i/>
      <w:iCs/>
    </w:rPr>
  </w:style>
  <w:style w:type="character" w:customStyle="1" w:styleId="Heading7Char">
    <w:name w:val="Heading 7 Char"/>
    <w:basedOn w:val="DefaultParagraphFont"/>
    <w:link w:val="Heading7"/>
    <w:rsid w:val="001F2153"/>
    <w:rPr>
      <w:sz w:val="22"/>
      <w:szCs w:val="22"/>
      <w:u w:val="single"/>
      <w:lang w:val="en-GB"/>
    </w:rPr>
  </w:style>
  <w:style w:type="paragraph" w:styleId="ListBullet">
    <w:name w:val="List Bullet"/>
    <w:basedOn w:val="Normal"/>
    <w:rsid w:val="001F2153"/>
    <w:pPr>
      <w:numPr>
        <w:numId w:val="24"/>
      </w:numPr>
      <w:tabs>
        <w:tab w:val="clear" w:pos="360"/>
        <w:tab w:val="num" w:pos="283"/>
      </w:tabs>
      <w:spacing w:after="240"/>
      <w:ind w:left="283" w:hanging="283"/>
    </w:pPr>
    <w:rPr>
      <w:lang w:val="en-GB"/>
    </w:rPr>
  </w:style>
  <w:style w:type="paragraph" w:customStyle="1" w:styleId="Default">
    <w:name w:val="Default"/>
    <w:rsid w:val="001F2153"/>
    <w:pPr>
      <w:autoSpaceDE w:val="0"/>
      <w:autoSpaceDN w:val="0"/>
      <w:adjustRightInd w:val="0"/>
    </w:pPr>
    <w:rPr>
      <w:rFonts w:ascii="Arial" w:hAnsi="Arial" w:cs="Arial"/>
      <w:color w:val="000000"/>
      <w:sz w:val="24"/>
      <w:szCs w:val="24"/>
    </w:rPr>
  </w:style>
  <w:style w:type="character" w:customStyle="1" w:styleId="StyleDoclangBold">
    <w:name w:val="Style Doc_lang + Bold"/>
    <w:basedOn w:val="Doclang"/>
    <w:rsid w:val="001F2153"/>
    <w:rPr>
      <w:rFonts w:ascii="Arial" w:hAnsi="Arial"/>
      <w:b/>
      <w:bCs/>
      <w:sz w:val="20"/>
      <w:lang w:val="en-US"/>
    </w:rPr>
  </w:style>
  <w:style w:type="paragraph" w:customStyle="1" w:styleId="StyleDocnumber">
    <w:name w:val="Style Doc_number"/>
    <w:basedOn w:val="Docoriginal"/>
    <w:rsid w:val="001F2153"/>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1F2153"/>
    <w:pPr>
      <w:spacing w:before="0" w:line="280" w:lineRule="exact"/>
      <w:ind w:left="1361"/>
      <w:contextualSpacing w:val="0"/>
      <w:jc w:val="both"/>
    </w:pPr>
  </w:style>
  <w:style w:type="paragraph" w:customStyle="1" w:styleId="StyleDocoriginalNotBold">
    <w:name w:val="Style Doc_original + Not Bold"/>
    <w:basedOn w:val="Docoriginal"/>
    <w:link w:val="StyleDocoriginalNotBoldChar"/>
    <w:autoRedefine/>
    <w:rsid w:val="001F2153"/>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1F2153"/>
    <w:rPr>
      <w:rFonts w:ascii="Arial" w:hAnsi="Arial"/>
      <w:b/>
      <w:bCs/>
      <w:spacing w:val="10"/>
      <w:sz w:val="18"/>
      <w:lang w:val="de-DE" w:eastAsia="en-US" w:bidi="ar-SA"/>
    </w:rPr>
  </w:style>
  <w:style w:type="character" w:customStyle="1" w:styleId="StyleStyleDocoriginalNotBoldNotBoldChar">
    <w:name w:val="Style Style Doc_original + Not Bold + Not Bold Char"/>
    <w:basedOn w:val="StyleDocoriginalNotBoldChar"/>
    <w:link w:val="StyleStyleDocoriginalNotBoldNotBold"/>
    <w:rsid w:val="001F2153"/>
    <w:rPr>
      <w:rFonts w:ascii="Arial" w:hAnsi="Arial"/>
      <w:b/>
      <w:bCs/>
      <w:spacing w:val="10"/>
      <w:sz w:val="18"/>
      <w:lang w:val="de-DE" w:eastAsia="en-US" w:bidi="ar-SA"/>
    </w:rPr>
  </w:style>
  <w:style w:type="character" w:customStyle="1" w:styleId="StyleDocoriginalNotBold1">
    <w:name w:val="Style Doc_original + Not Bold1"/>
    <w:basedOn w:val="StyleStyleDocoriginalNotBoldNotBoldChar"/>
    <w:rsid w:val="001F2153"/>
    <w:rPr>
      <w:rFonts w:ascii="Arial" w:hAnsi="Arial"/>
      <w:b/>
      <w:bCs/>
      <w:spacing w:val="10"/>
      <w:sz w:val="18"/>
      <w:lang w:val="de-DE" w:eastAsia="en-US" w:bidi="ar-SA"/>
    </w:rPr>
  </w:style>
  <w:style w:type="character" w:customStyle="1" w:styleId="StyleDocoriginalChar">
    <w:name w:val="Style Doc_original Char"/>
    <w:basedOn w:val="DocoriginalChar"/>
    <w:link w:val="StyleDocoriginal"/>
    <w:rsid w:val="001F2153"/>
    <w:rPr>
      <w:rFonts w:ascii="Arial" w:hAnsi="Arial"/>
      <w:b/>
      <w:bCs/>
      <w:spacing w:val="10"/>
      <w:sz w:val="18"/>
      <w:lang w:val="de-DE" w:eastAsia="en-US" w:bidi="ar-SA"/>
    </w:rPr>
  </w:style>
  <w:style w:type="paragraph" w:customStyle="1" w:styleId="StyleStyleDocoriginalNotBoldNotBold">
    <w:name w:val="Style Style Doc_original + Not Bold + Not Bold"/>
    <w:basedOn w:val="StyleDocoriginalNotBold"/>
    <w:link w:val="StyleStyleDocoriginalNotBoldNotBoldChar"/>
    <w:rsid w:val="001F2153"/>
  </w:style>
  <w:style w:type="character" w:styleId="Strong">
    <w:name w:val="Strong"/>
    <w:uiPriority w:val="22"/>
    <w:qFormat/>
    <w:rsid w:val="001F2153"/>
    <w:rPr>
      <w:b/>
      <w:bCs/>
    </w:rPr>
  </w:style>
  <w:style w:type="paragraph" w:styleId="BodyText3">
    <w:name w:val="Body Text 3"/>
    <w:basedOn w:val="Normal"/>
    <w:link w:val="BodyText3Char"/>
    <w:rsid w:val="001F2153"/>
    <w:pPr>
      <w:spacing w:after="120"/>
    </w:pPr>
    <w:rPr>
      <w:sz w:val="16"/>
      <w:szCs w:val="16"/>
    </w:rPr>
  </w:style>
  <w:style w:type="character" w:customStyle="1" w:styleId="BodyText3Char">
    <w:name w:val="Body Text 3 Char"/>
    <w:basedOn w:val="DefaultParagraphFont"/>
    <w:link w:val="BodyText3"/>
    <w:rsid w:val="001F2153"/>
    <w:rPr>
      <w:rFonts w:ascii="Arial" w:hAnsi="Arial"/>
      <w:sz w:val="16"/>
      <w:szCs w:val="16"/>
      <w:lang w:val="de-DE"/>
    </w:rPr>
  </w:style>
  <w:style w:type="character" w:customStyle="1" w:styleId="FootnoteTextChar">
    <w:name w:val="Footnote Text Char"/>
    <w:link w:val="FootnoteText"/>
    <w:rsid w:val="001F2153"/>
    <w:rPr>
      <w:rFonts w:ascii="Arial" w:hAnsi="Arial"/>
      <w:sz w:val="16"/>
      <w:lang w:val="de-DE"/>
    </w:rPr>
  </w:style>
  <w:style w:type="character" w:customStyle="1" w:styleId="shorttext">
    <w:name w:val="short_text"/>
    <w:basedOn w:val="DefaultParagraphFont"/>
    <w:rsid w:val="001F2153"/>
  </w:style>
  <w:style w:type="paragraph" w:customStyle="1" w:styleId="AddressBlock">
    <w:name w:val="Address Block"/>
    <w:basedOn w:val="Normal"/>
    <w:uiPriority w:val="99"/>
    <w:qFormat/>
    <w:rsid w:val="001F2153"/>
    <w:pPr>
      <w:jc w:val="left"/>
    </w:pPr>
    <w:rPr>
      <w:sz w:val="24"/>
      <w:lang w:val="en-NZ"/>
    </w:rPr>
  </w:style>
  <w:style w:type="paragraph" w:styleId="NormalWeb">
    <w:name w:val="Normal (Web)"/>
    <w:basedOn w:val="Normal"/>
    <w:uiPriority w:val="99"/>
    <w:unhideWhenUsed/>
    <w:rsid w:val="001F2153"/>
    <w:pPr>
      <w:spacing w:before="100" w:beforeAutospacing="1" w:after="100" w:afterAutospacing="1"/>
      <w:jc w:val="left"/>
    </w:pPr>
    <w:rPr>
      <w:rFonts w:ascii="Times New Roman" w:hAnsi="Times New Roman"/>
      <w:sz w:val="24"/>
      <w:szCs w:val="24"/>
    </w:rPr>
  </w:style>
  <w:style w:type="paragraph" w:styleId="BodyTextIndent">
    <w:name w:val="Body Text Indent"/>
    <w:basedOn w:val="Normal"/>
    <w:link w:val="BodyTextIndentChar"/>
    <w:uiPriority w:val="99"/>
    <w:rsid w:val="001F2153"/>
    <w:pPr>
      <w:widowControl w:val="0"/>
      <w:autoSpaceDE w:val="0"/>
      <w:autoSpaceDN w:val="0"/>
      <w:adjustRightInd w:val="0"/>
      <w:spacing w:after="120"/>
      <w:ind w:left="283"/>
      <w:jc w:val="left"/>
    </w:pPr>
    <w:rPr>
      <w:rFonts w:ascii="Times New Roman" w:hAnsi="Times New Roman"/>
      <w:lang w:val="ru-RU" w:eastAsia="ru-RU"/>
    </w:rPr>
  </w:style>
  <w:style w:type="character" w:customStyle="1" w:styleId="BodyTextIndentChar">
    <w:name w:val="Body Text Indent Char"/>
    <w:basedOn w:val="DefaultParagraphFont"/>
    <w:link w:val="BodyTextIndent"/>
    <w:uiPriority w:val="99"/>
    <w:rsid w:val="001F2153"/>
    <w:rPr>
      <w:lang w:val="ru-RU" w:eastAsia="ru-RU"/>
    </w:rPr>
  </w:style>
  <w:style w:type="paragraph" w:styleId="NoSpacing">
    <w:name w:val="No Spacing"/>
    <w:uiPriority w:val="1"/>
    <w:qFormat/>
    <w:rsid w:val="001F2153"/>
    <w:pPr>
      <w:widowControl w:val="0"/>
      <w:autoSpaceDE w:val="0"/>
      <w:autoSpaceDN w:val="0"/>
      <w:adjustRightInd w:val="0"/>
    </w:pPr>
    <w:rPr>
      <w:lang w:val="ru-RU" w:eastAsia="ru-RU"/>
    </w:rPr>
  </w:style>
  <w:style w:type="paragraph" w:styleId="PlainText">
    <w:name w:val="Plain Text"/>
    <w:basedOn w:val="Normal"/>
    <w:link w:val="PlainTextChar"/>
    <w:semiHidden/>
    <w:rsid w:val="001F2153"/>
    <w:pPr>
      <w:jc w:val="left"/>
    </w:pPr>
    <w:rPr>
      <w:rFonts w:ascii="Courier New" w:hAnsi="Courier New"/>
      <w:lang w:val="en-GB" w:eastAsia="hu-HU"/>
    </w:rPr>
  </w:style>
  <w:style w:type="character" w:customStyle="1" w:styleId="PlainTextChar">
    <w:name w:val="Plain Text Char"/>
    <w:basedOn w:val="DefaultParagraphFont"/>
    <w:link w:val="PlainText"/>
    <w:semiHidden/>
    <w:rsid w:val="001F2153"/>
    <w:rPr>
      <w:rFonts w:ascii="Courier New" w:hAnsi="Courier New"/>
      <w:lang w:val="en-GB" w:eastAsia="hu-HU"/>
    </w:rPr>
  </w:style>
  <w:style w:type="paragraph" w:customStyle="1" w:styleId="TextBody">
    <w:name w:val="Text Body"/>
    <w:basedOn w:val="Normal"/>
    <w:rsid w:val="001F2153"/>
    <w:pPr>
      <w:widowControl w:val="0"/>
      <w:suppressAutoHyphens/>
      <w:spacing w:after="140" w:line="288" w:lineRule="auto"/>
      <w:jc w:val="left"/>
    </w:pPr>
    <w:rPr>
      <w:rFonts w:ascii="Liberation Serif" w:eastAsia="Droid Sans Fallback" w:hAnsi="Liberation Serif" w:cs="FreeSans"/>
      <w:sz w:val="24"/>
      <w:szCs w:val="24"/>
      <w:lang w:val="hu-HU" w:eastAsia="zh-CN" w:bidi="hi-IN"/>
    </w:rPr>
  </w:style>
  <w:style w:type="character" w:styleId="FollowedHyperlink">
    <w:name w:val="FollowedHyperlink"/>
    <w:basedOn w:val="DefaultParagraphFont"/>
    <w:semiHidden/>
    <w:unhideWhenUsed/>
    <w:rsid w:val="001F2153"/>
    <w:rPr>
      <w:color w:val="800080" w:themeColor="followedHyperlink"/>
      <w:u w:val="single"/>
    </w:rPr>
  </w:style>
  <w:style w:type="paragraph" w:customStyle="1" w:styleId="a">
    <w:name w:val="바탕글"/>
    <w:basedOn w:val="Normal"/>
    <w:rsid w:val="001F2153"/>
    <w:pPr>
      <w:widowControl w:val="0"/>
      <w:wordWrap w:val="0"/>
      <w:autoSpaceDE w:val="0"/>
      <w:autoSpaceDN w:val="0"/>
      <w:spacing w:line="384" w:lineRule="auto"/>
      <w:textAlignment w:val="baseline"/>
    </w:pPr>
    <w:rPr>
      <w:rFonts w:ascii="함초롬바탕" w:eastAsia="Gulim" w:hAnsi="Gulim" w:cs="Gulim"/>
      <w:color w:val="000000"/>
      <w:lang w:eastAsia="ko-KR"/>
    </w:rPr>
  </w:style>
  <w:style w:type="character" w:styleId="CommentReference">
    <w:name w:val="annotation reference"/>
    <w:basedOn w:val="DefaultParagraphFont"/>
    <w:semiHidden/>
    <w:unhideWhenUsed/>
    <w:rsid w:val="001F2153"/>
    <w:rPr>
      <w:sz w:val="16"/>
      <w:szCs w:val="16"/>
    </w:rPr>
  </w:style>
  <w:style w:type="paragraph" w:styleId="CommentText">
    <w:name w:val="annotation text"/>
    <w:basedOn w:val="Normal"/>
    <w:link w:val="CommentTextChar"/>
    <w:semiHidden/>
    <w:unhideWhenUsed/>
    <w:rsid w:val="001F2153"/>
  </w:style>
  <w:style w:type="character" w:customStyle="1" w:styleId="CommentTextChar">
    <w:name w:val="Comment Text Char"/>
    <w:basedOn w:val="DefaultParagraphFont"/>
    <w:link w:val="CommentText"/>
    <w:semiHidden/>
    <w:rsid w:val="001F2153"/>
    <w:rPr>
      <w:rFonts w:ascii="Arial" w:hAnsi="Arial"/>
      <w:lang w:val="de-DE"/>
    </w:rPr>
  </w:style>
  <w:style w:type="paragraph" w:styleId="CommentSubject">
    <w:name w:val="annotation subject"/>
    <w:basedOn w:val="CommentText"/>
    <w:next w:val="CommentText"/>
    <w:link w:val="CommentSubjectChar"/>
    <w:semiHidden/>
    <w:unhideWhenUsed/>
    <w:rsid w:val="001F2153"/>
    <w:rPr>
      <w:b/>
      <w:bCs/>
    </w:rPr>
  </w:style>
  <w:style w:type="character" w:customStyle="1" w:styleId="CommentSubjectChar">
    <w:name w:val="Comment Subject Char"/>
    <w:basedOn w:val="CommentTextChar"/>
    <w:link w:val="CommentSubject"/>
    <w:semiHidden/>
    <w:rsid w:val="001F2153"/>
    <w:rPr>
      <w:rFonts w:ascii="Arial" w:hAnsi="Arial"/>
      <w:b/>
      <w:bCs/>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youtu.be/S9J5atZWZYo" TargetMode="External"/><Relationship Id="rId18" Type="http://schemas.openxmlformats.org/officeDocument/2006/relationships/hyperlink" Target="https://youtu.be/GRMlPeLhLSohttps://youtu.be/GRMlPeLhLSo" TargetMode="External"/><Relationship Id="rId26" Type="http://schemas.openxmlformats.org/officeDocument/2006/relationships/header" Target="header7.xml"/><Relationship Id="rId39" Type="http://schemas.openxmlformats.org/officeDocument/2006/relationships/header" Target="header13.xml"/><Relationship Id="rId21" Type="http://schemas.openxmlformats.org/officeDocument/2006/relationships/header" Target="header3.xml"/><Relationship Id="rId34" Type="http://schemas.openxmlformats.org/officeDocument/2006/relationships/header" Target="header9.xml"/><Relationship Id="rId42" Type="http://schemas.openxmlformats.org/officeDocument/2006/relationships/header" Target="header15.xml"/><Relationship Id="rId47" Type="http://schemas.openxmlformats.org/officeDocument/2006/relationships/hyperlink" Target="https://conference.ukragroexpert.com.ua" TargetMode="External"/><Relationship Id="rId50" Type="http://schemas.openxmlformats.org/officeDocument/2006/relationships/header" Target="header17.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outu.be/ATgTtFiLAiAhttps://youtu.be/ATgTtFiLAiA" TargetMode="External"/><Relationship Id="rId29" Type="http://schemas.openxmlformats.org/officeDocument/2006/relationships/hyperlink" Target="http://www.coboru.pl/Polska/Podstawy_prawne/D20040567.pdf" TargetMode="External"/><Relationship Id="rId11" Type="http://schemas.openxmlformats.org/officeDocument/2006/relationships/hyperlink" Target="https://www.upov.int/genie/details.xhtml?cropId=3285" TargetMode="External"/><Relationship Id="rId24" Type="http://schemas.openxmlformats.org/officeDocument/2006/relationships/header" Target="header6.xml"/><Relationship Id="rId32" Type="http://schemas.openxmlformats.org/officeDocument/2006/relationships/hyperlink" Target="http://www.coboru.gov.pl" TargetMode="External"/><Relationship Id="rId37" Type="http://schemas.openxmlformats.org/officeDocument/2006/relationships/header" Target="header11.xml"/><Relationship Id="rId40" Type="http://schemas.openxmlformats.org/officeDocument/2006/relationships/hyperlink" Target="https://www.uzb.minpolj.gov.rs/index.php?option=com_content&amp;view=article&amp;id=61&amp;Itemid=14&amp;lang=en" TargetMode="External"/><Relationship Id="rId45" Type="http://schemas.openxmlformats.org/officeDocument/2006/relationships/hyperlink" Target="https://sops.gov.ua/uploads/page/buleten/B_3_2020.pdf" TargetMode="External"/><Relationship Id="rId53"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hyperlink" Target="https://youtu.be/GRMlPeLhLSohttps://youtu.be/GRMlPeLhLSo" TargetMode="External"/><Relationship Id="rId31" Type="http://schemas.openxmlformats.org/officeDocument/2006/relationships/image" Target="media/image2.jpeg"/><Relationship Id="rId44" Type="http://schemas.openxmlformats.org/officeDocument/2006/relationships/hyperlink" Target="http://journal.sops.gov.ua/" TargetMode="External"/><Relationship Id="rId52"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youtu.be/S9J5atZWZYo" TargetMode="External"/><Relationship Id="rId22" Type="http://schemas.openxmlformats.org/officeDocument/2006/relationships/header" Target="header4.xml"/><Relationship Id="rId27" Type="http://schemas.openxmlformats.org/officeDocument/2006/relationships/hyperlink" Target="https://www.mbie.govt.nz/business-and-employment/business/intellectual-property/plant-variety-rights/plant-variety-rights-act-review/" TargetMode="External"/><Relationship Id="rId30" Type="http://schemas.openxmlformats.org/officeDocument/2006/relationships/hyperlink" Target="http://www.coboru.pl/Polska/Podstawy_prawne/DU20152166.pdf" TargetMode="External"/><Relationship Id="rId35" Type="http://schemas.openxmlformats.org/officeDocument/2006/relationships/header" Target="header10.xml"/><Relationship Id="rId43" Type="http://schemas.openxmlformats.org/officeDocument/2006/relationships/header" Target="header16.xml"/><Relationship Id="rId48" Type="http://schemas.openxmlformats.org/officeDocument/2006/relationships/hyperlink" Target="https://conference-ua.ukragroexpert.com.ua/wp-content/uploads/2020/09/&#1047;&#1073;&#1110;&#1088;&#1085;&#1080;&#1082;.pdf"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mailto:upov.mail@upov.int" TargetMode="External"/><Relationship Id="rId3" Type="http://schemas.openxmlformats.org/officeDocument/2006/relationships/styles" Target="styles.xml"/><Relationship Id="rId12" Type="http://schemas.openxmlformats.org/officeDocument/2006/relationships/hyperlink" Target="https://youtu.be/S9J5atZWZYo" TargetMode="External"/><Relationship Id="rId17" Type="http://schemas.openxmlformats.org/officeDocument/2006/relationships/hyperlink" Target="https://youtu.be/ATgTtFiLAiAhttps://youtu.be/ATgTtFiLAiA" TargetMode="External"/><Relationship Id="rId25" Type="http://schemas.openxmlformats.org/officeDocument/2006/relationships/hyperlink" Target="https://www.gob.mx/cms/uploads/attachment/file/606574/Cuotas-Derechos-2021.pdf" TargetMode="External"/><Relationship Id="rId33" Type="http://schemas.openxmlformats.org/officeDocument/2006/relationships/hyperlink" Target="http://www.coboru.gov.pl" TargetMode="External"/><Relationship Id="rId38" Type="http://schemas.openxmlformats.org/officeDocument/2006/relationships/header" Target="header12.xml"/><Relationship Id="rId46" Type="http://schemas.openxmlformats.org/officeDocument/2006/relationships/hyperlink" Target="https://sops.gov.ua/uploads/page/5ea14c5ce8a3e.pdf" TargetMode="External"/><Relationship Id="rId20" Type="http://schemas.openxmlformats.org/officeDocument/2006/relationships/hyperlink" Target="https://youtu.be/GRMlPeLhLSohttps://youtu.be/GRMlPeLhLSo" TargetMode="External"/><Relationship Id="rId41" Type="http://schemas.openxmlformats.org/officeDocument/2006/relationships/header" Target="header14.xml"/><Relationship Id="rId54"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outu.be/ATgTtFiLAiAhttps://youtu.be/ATgTtFiLAiA" TargetMode="Externa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hyperlink" Target="http://www.agepi.gov.md" TargetMode="External"/><Relationship Id="rId49" Type="http://schemas.openxmlformats.org/officeDocument/2006/relationships/hyperlink" Target="https://sops.gov.ua/uploads/page/5f634fd4031c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4\templates\c_54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2E395-2B90-4B29-8FD1-59E8BBA71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c_54_DE.dotx</Template>
  <TotalTime>44</TotalTime>
  <Pages>36</Pages>
  <Words>11807</Words>
  <Characters>79107</Characters>
  <Application>Microsoft Office Word</Application>
  <DocSecurity>0</DocSecurity>
  <Lines>2551</Lines>
  <Paragraphs>1108</Paragraphs>
  <ScaleCrop>false</ScaleCrop>
  <HeadingPairs>
    <vt:vector size="2" baseType="variant">
      <vt:variant>
        <vt:lpstr>Title</vt:lpstr>
      </vt:variant>
      <vt:variant>
        <vt:i4>1</vt:i4>
      </vt:variant>
    </vt:vector>
  </HeadingPairs>
  <TitlesOfParts>
    <vt:vector size="1" baseType="lpstr">
      <vt:lpstr>C/54/INF/4</vt:lpstr>
    </vt:vector>
  </TitlesOfParts>
  <Company>UPOV</Company>
  <LinksUpToDate>false</LinksUpToDate>
  <CharactersWithSpaces>89806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C/55/INF/4</dc:title>
  <dc:creator>SANCHEZ VIZCAINO GOMEZ Rosa Maria</dc:creator>
  <cp:lastModifiedBy>SANCHEZ VIZCAINO GOMEZ Rosa Maria</cp:lastModifiedBy>
  <cp:revision>16</cp:revision>
  <cp:lastPrinted>2016-11-22T15:41:00Z</cp:lastPrinted>
  <dcterms:created xsi:type="dcterms:W3CDTF">2021-10-04T18:17:00Z</dcterms:created>
  <dcterms:modified xsi:type="dcterms:W3CDTF">2021-10-05T10:29:00Z</dcterms:modified>
</cp:coreProperties>
</file>