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C66D18" w:rsidTr="0096342F">
        <w:tc>
          <w:tcPr>
            <w:tcW w:w="6522" w:type="dxa"/>
          </w:tcPr>
          <w:p w:rsidR="00784E02" w:rsidRPr="00C66D18" w:rsidRDefault="00784E02" w:rsidP="00330FB5">
            <w:r w:rsidRPr="00C66D18">
              <w:rPr>
                <w:noProof/>
                <w:lang w:val="en-US"/>
              </w:rPr>
              <w:drawing>
                <wp:inline distT="0" distB="0" distL="0" distR="0" wp14:anchorId="0435C082" wp14:editId="1D26E7F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C66D18" w:rsidRDefault="00C00903" w:rsidP="0096342F">
            <w:pPr>
              <w:pStyle w:val="Lettrine"/>
            </w:pPr>
            <w:r w:rsidRPr="00C66D18">
              <w:t>G</w:t>
            </w:r>
          </w:p>
        </w:tc>
      </w:tr>
      <w:tr w:rsidR="00784E02" w:rsidRPr="00C66D18" w:rsidTr="0096342F">
        <w:trPr>
          <w:trHeight w:val="219"/>
        </w:trPr>
        <w:tc>
          <w:tcPr>
            <w:tcW w:w="6522" w:type="dxa"/>
          </w:tcPr>
          <w:p w:rsidR="00784E02" w:rsidRPr="00C66D18" w:rsidRDefault="00156F49" w:rsidP="0096342F">
            <w:pPr>
              <w:pStyle w:val="upove"/>
            </w:pPr>
            <w:r w:rsidRPr="00C66D18">
              <w:t>Internationaler Verband zum Schutz von Pflanzenzüchtungen</w:t>
            </w:r>
          </w:p>
        </w:tc>
        <w:tc>
          <w:tcPr>
            <w:tcW w:w="3117" w:type="dxa"/>
          </w:tcPr>
          <w:p w:rsidR="00784E02" w:rsidRPr="00C66D18" w:rsidRDefault="00784E02" w:rsidP="0096342F"/>
        </w:tc>
      </w:tr>
    </w:tbl>
    <w:p w:rsidR="00784E02" w:rsidRPr="00C66D18" w:rsidRDefault="00784E02" w:rsidP="00784E02"/>
    <w:p w:rsidR="00784E02" w:rsidRPr="00C66D18"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C66D18" w:rsidTr="0096342F">
        <w:tc>
          <w:tcPr>
            <w:tcW w:w="6512" w:type="dxa"/>
          </w:tcPr>
          <w:p w:rsidR="00784E02" w:rsidRPr="00C66D18" w:rsidRDefault="00784E02" w:rsidP="0096342F">
            <w:pPr>
              <w:pStyle w:val="Sessiontcplacedate"/>
              <w:spacing w:before="0"/>
              <w:contextualSpacing w:val="0"/>
            </w:pPr>
          </w:p>
        </w:tc>
        <w:tc>
          <w:tcPr>
            <w:tcW w:w="3127" w:type="dxa"/>
          </w:tcPr>
          <w:p w:rsidR="00784E02" w:rsidRPr="00872F50" w:rsidRDefault="006F5556" w:rsidP="0096342F">
            <w:pPr>
              <w:pStyle w:val="Doccode"/>
              <w:rPr>
                <w:lang w:val="de-DE"/>
              </w:rPr>
            </w:pPr>
            <w:r w:rsidRPr="00872F50">
              <w:rPr>
                <w:lang w:val="de-DE"/>
              </w:rPr>
              <w:t xml:space="preserve">TGP/15/3 </w:t>
            </w:r>
            <w:proofErr w:type="spellStart"/>
            <w:r w:rsidRPr="00872F50">
              <w:rPr>
                <w:lang w:val="de-DE"/>
              </w:rPr>
              <w:t>Draft</w:t>
            </w:r>
            <w:proofErr w:type="spellEnd"/>
            <w:r w:rsidRPr="00872F50">
              <w:rPr>
                <w:lang w:val="de-DE"/>
              </w:rPr>
              <w:t xml:space="preserve"> 1</w:t>
            </w:r>
          </w:p>
          <w:p w:rsidR="00784E02" w:rsidRPr="00872F50" w:rsidRDefault="00784E02" w:rsidP="0096342F">
            <w:pPr>
              <w:pStyle w:val="Docoriginal"/>
              <w:rPr>
                <w:lang w:val="de-DE"/>
              </w:rPr>
            </w:pPr>
            <w:r w:rsidRPr="00872F50">
              <w:rPr>
                <w:lang w:val="de-DE"/>
              </w:rPr>
              <w:t>Original:</w:t>
            </w:r>
            <w:r w:rsidR="00B344CA" w:rsidRPr="00872F50">
              <w:rPr>
                <w:b w:val="0"/>
                <w:spacing w:val="0"/>
                <w:lang w:val="de-DE"/>
              </w:rPr>
              <w:t xml:space="preserve"> </w:t>
            </w:r>
            <w:r w:rsidR="009210E3" w:rsidRPr="00872F50">
              <w:rPr>
                <w:b w:val="0"/>
                <w:spacing w:val="0"/>
                <w:lang w:val="de-DE"/>
              </w:rPr>
              <w:t>e</w:t>
            </w:r>
            <w:r w:rsidRPr="00872F50">
              <w:rPr>
                <w:b w:val="0"/>
                <w:spacing w:val="0"/>
                <w:lang w:val="de-DE"/>
              </w:rPr>
              <w:t>nglis</w:t>
            </w:r>
            <w:r w:rsidR="00156F49" w:rsidRPr="00872F50">
              <w:rPr>
                <w:b w:val="0"/>
                <w:spacing w:val="0"/>
                <w:lang w:val="de-DE"/>
              </w:rPr>
              <w:t>c</w:t>
            </w:r>
            <w:r w:rsidRPr="00872F50">
              <w:rPr>
                <w:b w:val="0"/>
                <w:spacing w:val="0"/>
                <w:lang w:val="de-DE"/>
              </w:rPr>
              <w:t>h</w:t>
            </w:r>
          </w:p>
          <w:p w:rsidR="00784E02" w:rsidRPr="00C66D18" w:rsidRDefault="009210E3" w:rsidP="00872F50">
            <w:pPr>
              <w:pStyle w:val="Docoriginal"/>
              <w:rPr>
                <w:lang w:val="de-DE"/>
              </w:rPr>
            </w:pPr>
            <w:r w:rsidRPr="00872F50">
              <w:rPr>
                <w:lang w:val="de-DE"/>
              </w:rPr>
              <w:t>Datum</w:t>
            </w:r>
            <w:r w:rsidR="00784E02" w:rsidRPr="00872F50">
              <w:rPr>
                <w:lang w:val="de-DE"/>
              </w:rPr>
              <w:t>:</w:t>
            </w:r>
            <w:r w:rsidR="00B344CA" w:rsidRPr="00872F50">
              <w:rPr>
                <w:b w:val="0"/>
                <w:spacing w:val="0"/>
                <w:lang w:val="de-DE"/>
              </w:rPr>
              <w:t xml:space="preserve"> </w:t>
            </w:r>
            <w:r w:rsidR="00872F50" w:rsidRPr="00872F50">
              <w:rPr>
                <w:b w:val="0"/>
                <w:spacing w:val="0"/>
                <w:lang w:val="de-DE"/>
              </w:rPr>
              <w:t>10</w:t>
            </w:r>
            <w:r w:rsidR="006F5556" w:rsidRPr="00872F50">
              <w:rPr>
                <w:b w:val="0"/>
                <w:spacing w:val="0"/>
                <w:lang w:val="de-DE"/>
              </w:rPr>
              <w:t xml:space="preserve">. </w:t>
            </w:r>
            <w:r w:rsidR="001B1991" w:rsidRPr="00872F50">
              <w:rPr>
                <w:b w:val="0"/>
                <w:spacing w:val="0"/>
                <w:lang w:val="de-DE"/>
              </w:rPr>
              <w:t xml:space="preserve">August </w:t>
            </w:r>
            <w:r w:rsidR="006F5556" w:rsidRPr="00872F50">
              <w:rPr>
                <w:b w:val="0"/>
                <w:spacing w:val="0"/>
                <w:lang w:val="de-DE"/>
              </w:rPr>
              <w:t>2020</w:t>
            </w:r>
            <w:bookmarkStart w:id="0" w:name="_GoBack"/>
            <w:bookmarkEnd w:id="0"/>
          </w:p>
        </w:tc>
      </w:tr>
      <w:tr w:rsidR="001B1991" w:rsidRPr="00D8283E" w:rsidTr="00336332">
        <w:tc>
          <w:tcPr>
            <w:tcW w:w="6512" w:type="dxa"/>
            <w:tcBorders>
              <w:top w:val="single" w:sz="4" w:space="0" w:color="auto"/>
              <w:bottom w:val="single" w:sz="4" w:space="0" w:color="auto"/>
            </w:tcBorders>
          </w:tcPr>
          <w:p w:rsidR="001B1991" w:rsidRPr="00E46F26" w:rsidRDefault="001B1991" w:rsidP="00336332">
            <w:pPr>
              <w:pStyle w:val="Sessiontc"/>
              <w:spacing w:line="240" w:lineRule="auto"/>
              <w:rPr>
                <w:bCs w:val="0"/>
                <w:i/>
                <w:szCs w:val="24"/>
              </w:rPr>
            </w:pPr>
            <w:r w:rsidRPr="00962EB1">
              <w:rPr>
                <w:bCs w:val="0"/>
                <w:i/>
                <w:szCs w:val="24"/>
              </w:rPr>
              <w:t>zur Prüfung auf dem Schriftweg</w:t>
            </w:r>
          </w:p>
        </w:tc>
        <w:tc>
          <w:tcPr>
            <w:tcW w:w="3127" w:type="dxa"/>
            <w:tcBorders>
              <w:top w:val="single" w:sz="4" w:space="0" w:color="auto"/>
              <w:bottom w:val="single" w:sz="4" w:space="0" w:color="auto"/>
            </w:tcBorders>
          </w:tcPr>
          <w:p w:rsidR="001B1991" w:rsidRPr="00D8283E" w:rsidRDefault="001B1991" w:rsidP="00336332">
            <w:pPr>
              <w:pStyle w:val="Doccode"/>
              <w:rPr>
                <w:bCs w:val="0"/>
                <w:szCs w:val="24"/>
                <w:lang w:val="de-DE"/>
              </w:rPr>
            </w:pPr>
          </w:p>
        </w:tc>
      </w:tr>
    </w:tbl>
    <w:p w:rsidR="006F5556" w:rsidRDefault="006F5556" w:rsidP="006F5556"/>
    <w:p w:rsidR="006F5556" w:rsidRDefault="006F5556" w:rsidP="006F5556"/>
    <w:p w:rsidR="006F5556" w:rsidRDefault="006F5556" w:rsidP="006F5556"/>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F5556" w:rsidRPr="00C5280D" w:rsidTr="007740B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F5556" w:rsidRDefault="006F5556" w:rsidP="007740BA">
            <w:pPr>
              <w:jc w:val="center"/>
              <w:rPr>
                <w:b/>
              </w:rPr>
            </w:pPr>
            <w:r>
              <w:rPr>
                <w:b/>
              </w:rPr>
              <w:t>ENTWURF</w:t>
            </w:r>
          </w:p>
          <w:p w:rsidR="006F5556" w:rsidRPr="007C1D92" w:rsidRDefault="006F5556" w:rsidP="007740BA">
            <w:pPr>
              <w:jc w:val="center"/>
            </w:pPr>
            <w:r>
              <w:rPr>
                <w:b/>
              </w:rPr>
              <w:t>(ÜBERARBEITUNG)</w:t>
            </w:r>
          </w:p>
        </w:tc>
      </w:tr>
    </w:tbl>
    <w:p w:rsidR="006F5556" w:rsidRDefault="006F5556" w:rsidP="006F5556">
      <w:pPr>
        <w:pStyle w:val="TitleofDoc"/>
      </w:pPr>
    </w:p>
    <w:p w:rsidR="006F5556" w:rsidRDefault="006F5556" w:rsidP="006F5556">
      <w:pPr>
        <w:pStyle w:val="TitleofDoc"/>
      </w:pPr>
    </w:p>
    <w:p w:rsidR="006F5556" w:rsidRDefault="006F5556" w:rsidP="006F5556">
      <w:pPr>
        <w:pStyle w:val="TitleofDoc"/>
      </w:pPr>
    </w:p>
    <w:p w:rsidR="00D70948" w:rsidRPr="00C66D18" w:rsidRDefault="009210E3" w:rsidP="009210E3">
      <w:pPr>
        <w:pStyle w:val="TitleofDoc"/>
      </w:pPr>
      <w:r w:rsidRPr="00C66D18">
        <w:t xml:space="preserve">Verbundenes Dokument zur </w:t>
      </w:r>
      <w:r w:rsidRPr="00C66D18">
        <w:br/>
      </w:r>
      <w:r w:rsidR="00156F49" w:rsidRPr="00C66D18">
        <w:t>Allgemeine Einführung zur Prüfung auf Unterscheidbarkeit, Homogenität und Beständigkeit und Erarbeitung harmonisierter Beschreibungen von neuen Pflanzensorten (Dok</w:t>
      </w:r>
      <w:r w:rsidR="00D70948" w:rsidRPr="00C66D18">
        <w:t>ument TG/1/3)</w:t>
      </w:r>
    </w:p>
    <w:p w:rsidR="00784E02" w:rsidRPr="00C66D18" w:rsidRDefault="00156F49" w:rsidP="00EC4EC6">
      <w:pPr>
        <w:pStyle w:val="Titleofdoc0"/>
      </w:pPr>
      <w:r w:rsidRPr="00C66D18">
        <w:t>DOK</w:t>
      </w:r>
      <w:r w:rsidR="00784E02" w:rsidRPr="00C66D18">
        <w:t>UMENT TGP/</w:t>
      </w:r>
      <w:r w:rsidR="005F385A" w:rsidRPr="00C66D18">
        <w:t>15</w:t>
      </w:r>
      <w:r w:rsidR="00784E02" w:rsidRPr="00C66D18">
        <w:br/>
      </w:r>
      <w:r w:rsidR="00784E02" w:rsidRPr="00C66D18">
        <w:br/>
      </w:r>
      <w:r w:rsidRPr="00C66D18">
        <w:t>ANLEITUNG ZUR VERWENDUNG BIOCHEMISCHER UND MOLEKULARER MARKER BEI DER PRÜFUNG DER UNTERSCHEIDBARKEIT, HOMOGENITÄT UND BESTÄNDIGKEIT (DUS)</w:t>
      </w:r>
    </w:p>
    <w:p w:rsidR="00726E02" w:rsidRDefault="00726E02" w:rsidP="00726E02">
      <w:pPr>
        <w:pStyle w:val="preparedby1"/>
      </w:pPr>
      <w:r>
        <w:t>Vom Verbandsbüro erstelltes Dokument</w:t>
      </w:r>
    </w:p>
    <w:p w:rsidR="00726E02" w:rsidRDefault="00726E02" w:rsidP="00726E02">
      <w:pPr>
        <w:pStyle w:val="preparedby1"/>
      </w:pPr>
    </w:p>
    <w:p w:rsidR="00726E02" w:rsidRDefault="00726E02" w:rsidP="00726E02">
      <w:pPr>
        <w:pStyle w:val="preparedby1"/>
      </w:pPr>
      <w:r>
        <w:t>zu prüfen vom</w:t>
      </w:r>
    </w:p>
    <w:p w:rsidR="00726E02" w:rsidRDefault="00726E02" w:rsidP="00726E02">
      <w:pPr>
        <w:pStyle w:val="preparedby1"/>
      </w:pPr>
      <w:r>
        <w:t>Technischen Ausschuss, Verwaltungs- und Rechtsausschuss, und vom Rat in 2020</w:t>
      </w:r>
    </w:p>
    <w:p w:rsidR="00726E02" w:rsidRDefault="00726E02" w:rsidP="00726E02">
      <w:pPr>
        <w:pStyle w:val="preparedby1"/>
      </w:pPr>
    </w:p>
    <w:p w:rsidR="00726E02" w:rsidRDefault="00726E02" w:rsidP="00726E02">
      <w:pPr>
        <w:pStyle w:val="preparedby1"/>
      </w:pPr>
    </w:p>
    <w:p w:rsidR="00726E02" w:rsidRPr="008442AB" w:rsidRDefault="00726E02" w:rsidP="00726E02">
      <w:pPr>
        <w:pStyle w:val="Disclaimer"/>
        <w:rPr>
          <w:lang w:val="de-DE"/>
        </w:rPr>
      </w:pPr>
      <w:r w:rsidRPr="008442AB">
        <w:rPr>
          <w:lang w:val="de-DE"/>
        </w:rPr>
        <w:t>Haftungsausschluss: dieses Dokument gibt nicht die Grundsätze oder eine Anleitung der UPOV wieder</w:t>
      </w:r>
    </w:p>
    <w:p w:rsidR="00C66D18" w:rsidRPr="00C66D18" w:rsidRDefault="00C66D18">
      <w:pPr>
        <w:jc w:val="left"/>
      </w:pPr>
      <w:r w:rsidRPr="00C66D18">
        <w:br w:type="page"/>
      </w:r>
    </w:p>
    <w:p w:rsidR="008922C9" w:rsidRPr="00C66D18" w:rsidRDefault="008922C9" w:rsidP="00C66D18"/>
    <w:p w:rsidR="00984926" w:rsidRPr="00C66D18" w:rsidRDefault="00984926" w:rsidP="00E306B7">
      <w:pPr>
        <w:jc w:val="center"/>
      </w:pPr>
    </w:p>
    <w:p w:rsidR="00E306B7" w:rsidRPr="00C66D18" w:rsidRDefault="005D7588" w:rsidP="00E306B7">
      <w:pPr>
        <w:jc w:val="center"/>
      </w:pPr>
      <w:r w:rsidRPr="00C66D18">
        <w:t>INHALTSVERZEICHNIS</w:t>
      </w:r>
    </w:p>
    <w:p w:rsidR="00E306B7" w:rsidRPr="00C66D18" w:rsidRDefault="00E306B7" w:rsidP="00E306B7">
      <w:pPr>
        <w:tabs>
          <w:tab w:val="left" w:pos="3800"/>
        </w:tabs>
        <w:spacing w:before="120" w:after="120"/>
        <w:ind w:left="567" w:hanging="567"/>
        <w:rPr>
          <w:rFonts w:cs="Arial"/>
        </w:rPr>
      </w:pPr>
    </w:p>
    <w:p w:rsidR="00F267EC" w:rsidRPr="00F267EC" w:rsidRDefault="00E306B7">
      <w:pPr>
        <w:pStyle w:val="TOC1"/>
        <w:rPr>
          <w:rFonts w:asciiTheme="minorHAnsi" w:eastAsiaTheme="minorEastAsia" w:hAnsiTheme="minorHAnsi" w:cstheme="minorBidi"/>
          <w:b w:val="0"/>
          <w:caps w:val="0"/>
          <w:sz w:val="22"/>
          <w:szCs w:val="22"/>
        </w:rPr>
      </w:pPr>
      <w:r w:rsidRPr="00C66D18">
        <w:rPr>
          <w:sz w:val="18"/>
        </w:rPr>
        <w:fldChar w:fldCharType="begin"/>
      </w:r>
      <w:r w:rsidRPr="00C66D18">
        <w:instrText xml:space="preserve"> TOC \o "1-3" </w:instrText>
      </w:r>
      <w:r w:rsidRPr="00C66D18">
        <w:rPr>
          <w:sz w:val="18"/>
        </w:rPr>
        <w:fldChar w:fldCharType="separate"/>
      </w:r>
      <w:r w:rsidR="00F267EC" w:rsidRPr="008A2C0E">
        <w:t>1.</w:t>
      </w:r>
      <w:r w:rsidR="00F267EC" w:rsidRPr="00F267EC">
        <w:rPr>
          <w:rFonts w:asciiTheme="minorHAnsi" w:eastAsiaTheme="minorEastAsia" w:hAnsiTheme="minorHAnsi" w:cstheme="minorBidi"/>
          <w:b w:val="0"/>
          <w:caps w:val="0"/>
          <w:sz w:val="22"/>
          <w:szCs w:val="22"/>
        </w:rPr>
        <w:tab/>
      </w:r>
      <w:r w:rsidR="00F267EC" w:rsidRPr="008A2C0E">
        <w:t>einleitung</w:t>
      </w:r>
      <w:r w:rsidR="00F267EC">
        <w:tab/>
      </w:r>
      <w:r w:rsidR="00F267EC">
        <w:fldChar w:fldCharType="begin"/>
      </w:r>
      <w:r w:rsidR="00F267EC">
        <w:instrText xml:space="preserve"> PAGEREF _Toc42109023 \h </w:instrText>
      </w:r>
      <w:r w:rsidR="00F267EC">
        <w:fldChar w:fldCharType="separate"/>
      </w:r>
      <w:r w:rsidR="00F267EC">
        <w:t>3</w:t>
      </w:r>
      <w:r w:rsidR="00F267EC">
        <w:fldChar w:fldCharType="end"/>
      </w:r>
    </w:p>
    <w:p w:rsidR="00F267EC" w:rsidRPr="00F267EC" w:rsidRDefault="00F267EC">
      <w:pPr>
        <w:pStyle w:val="TOC1"/>
        <w:rPr>
          <w:rFonts w:asciiTheme="minorHAnsi" w:eastAsiaTheme="minorEastAsia" w:hAnsiTheme="minorHAnsi" w:cstheme="minorBidi"/>
          <w:b w:val="0"/>
          <w:caps w:val="0"/>
          <w:sz w:val="22"/>
          <w:szCs w:val="22"/>
        </w:rPr>
      </w:pPr>
      <w:r w:rsidRPr="008A2C0E">
        <w:t>2.</w:t>
      </w:r>
      <w:r w:rsidRPr="00F267EC">
        <w:rPr>
          <w:rFonts w:asciiTheme="minorHAnsi" w:eastAsiaTheme="minorEastAsia" w:hAnsiTheme="minorHAnsi" w:cstheme="minorBidi"/>
          <w:b w:val="0"/>
          <w:caps w:val="0"/>
          <w:sz w:val="22"/>
          <w:szCs w:val="22"/>
        </w:rPr>
        <w:tab/>
      </w:r>
      <w:r w:rsidRPr="008A2C0E">
        <w:t>MODELLE FÜR DIE ANWENDUNG</w:t>
      </w:r>
      <w:r>
        <w:tab/>
      </w:r>
      <w:r>
        <w:fldChar w:fldCharType="begin"/>
      </w:r>
      <w:r>
        <w:instrText xml:space="preserve"> PAGEREF _Toc42109024 \h </w:instrText>
      </w:r>
      <w:r>
        <w:fldChar w:fldCharType="separate"/>
      </w:r>
      <w:r>
        <w:t>3</w:t>
      </w:r>
      <w:r>
        <w:fldChar w:fldCharType="end"/>
      </w:r>
    </w:p>
    <w:p w:rsidR="00F267EC" w:rsidRPr="00F267EC" w:rsidRDefault="00F267EC">
      <w:pPr>
        <w:pStyle w:val="TOC2"/>
        <w:rPr>
          <w:rFonts w:asciiTheme="minorHAnsi" w:eastAsiaTheme="minorEastAsia" w:hAnsiTheme="minorHAnsi" w:cstheme="minorBidi"/>
          <w:sz w:val="22"/>
          <w:szCs w:val="22"/>
          <w:lang w:val="de-DE"/>
        </w:rPr>
      </w:pPr>
      <w:r w:rsidRPr="00F267EC">
        <w:rPr>
          <w:lang w:val="de-DE"/>
        </w:rPr>
        <w:t>2.1</w:t>
      </w:r>
      <w:r w:rsidRPr="00F267EC">
        <w:rPr>
          <w:rFonts w:asciiTheme="minorHAnsi" w:eastAsiaTheme="minorEastAsia" w:hAnsiTheme="minorHAnsi" w:cstheme="minorBidi"/>
          <w:sz w:val="22"/>
          <w:szCs w:val="22"/>
          <w:lang w:val="de-DE"/>
        </w:rPr>
        <w:tab/>
      </w:r>
      <w:r w:rsidRPr="00F267EC">
        <w:rPr>
          <w:lang w:val="de-DE"/>
        </w:rPr>
        <w:t>Merkmalsspezifische molekulare Marker (vergleiche Anlage I)</w:t>
      </w:r>
      <w:r w:rsidRPr="00F267EC">
        <w:rPr>
          <w:lang w:val="de-DE"/>
        </w:rPr>
        <w:tab/>
      </w:r>
      <w:r>
        <w:fldChar w:fldCharType="begin"/>
      </w:r>
      <w:r w:rsidRPr="00F267EC">
        <w:rPr>
          <w:lang w:val="de-DE"/>
        </w:rPr>
        <w:instrText xml:space="preserve"> PAGEREF _Toc42109025 \h </w:instrText>
      </w:r>
      <w:r>
        <w:fldChar w:fldCharType="separate"/>
      </w:r>
      <w:r w:rsidRPr="00F267EC">
        <w:rPr>
          <w:lang w:val="de-DE"/>
        </w:rPr>
        <w:t>3</w:t>
      </w:r>
      <w:r>
        <w:fldChar w:fldCharType="end"/>
      </w:r>
    </w:p>
    <w:p w:rsidR="00F267EC" w:rsidRPr="00F267EC" w:rsidRDefault="00F267EC">
      <w:pPr>
        <w:pStyle w:val="TOC2"/>
        <w:rPr>
          <w:rFonts w:asciiTheme="minorHAnsi" w:eastAsiaTheme="minorEastAsia" w:hAnsiTheme="minorHAnsi" w:cstheme="minorBidi"/>
          <w:sz w:val="22"/>
          <w:szCs w:val="22"/>
          <w:lang w:val="de-DE"/>
        </w:rPr>
      </w:pPr>
      <w:r w:rsidRPr="00F267EC">
        <w:rPr>
          <w:lang w:val="de-DE"/>
        </w:rPr>
        <w:t>2.2</w:t>
      </w:r>
      <w:r w:rsidRPr="00F267EC">
        <w:rPr>
          <w:rFonts w:asciiTheme="minorHAnsi" w:eastAsiaTheme="minorEastAsia" w:hAnsiTheme="minorHAnsi" w:cstheme="minorBidi"/>
          <w:sz w:val="22"/>
          <w:szCs w:val="22"/>
          <w:lang w:val="de-DE"/>
        </w:rPr>
        <w:tab/>
      </w:r>
      <w:r w:rsidRPr="00F267EC">
        <w:rPr>
          <w:lang w:val="de-DE"/>
        </w:rPr>
        <w:t>Kombination phänotypischer und molekularer Abstände bei der Verwaltung von Sortensammlungen (vergleiche Anlage II)</w:t>
      </w:r>
      <w:r w:rsidRPr="00F267EC">
        <w:rPr>
          <w:lang w:val="de-DE"/>
        </w:rPr>
        <w:tab/>
      </w:r>
      <w:r>
        <w:fldChar w:fldCharType="begin"/>
      </w:r>
      <w:r w:rsidRPr="00F267EC">
        <w:rPr>
          <w:lang w:val="de-DE"/>
        </w:rPr>
        <w:instrText xml:space="preserve"> PAGEREF _Toc42109026 \h </w:instrText>
      </w:r>
      <w:r>
        <w:fldChar w:fldCharType="separate"/>
      </w:r>
      <w:r w:rsidRPr="00F267EC">
        <w:rPr>
          <w:lang w:val="de-DE"/>
        </w:rPr>
        <w:t>4</w:t>
      </w:r>
      <w:r>
        <w:fldChar w:fldCharType="end"/>
      </w:r>
    </w:p>
    <w:p w:rsidR="00F267EC" w:rsidRPr="00F267EC" w:rsidRDefault="00F267EC" w:rsidP="00F267EC">
      <w:pPr>
        <w:pStyle w:val="TOC3"/>
        <w:rPr>
          <w:rFonts w:asciiTheme="minorHAnsi" w:eastAsiaTheme="minorEastAsia" w:hAnsiTheme="minorHAnsi" w:cstheme="minorBidi"/>
          <w:sz w:val="22"/>
          <w:szCs w:val="22"/>
        </w:rPr>
      </w:pPr>
      <w:r w:rsidRPr="00F267EC">
        <w:t>Beispiel 1:  Elternlinien von Mais (vergleiche Anlage II, Beispiel 1)</w:t>
      </w:r>
      <w:r w:rsidRPr="00F267EC">
        <w:tab/>
      </w:r>
      <w:r>
        <w:fldChar w:fldCharType="begin"/>
      </w:r>
      <w:r w:rsidRPr="00F267EC">
        <w:instrText xml:space="preserve"> PAGEREF _Toc42109027 \h </w:instrText>
      </w:r>
      <w:r>
        <w:fldChar w:fldCharType="separate"/>
      </w:r>
      <w:r w:rsidRPr="00F267EC">
        <w:t>4</w:t>
      </w:r>
      <w:r>
        <w:fldChar w:fldCharType="end"/>
      </w:r>
    </w:p>
    <w:p w:rsidR="00F267EC" w:rsidRPr="00F267EC" w:rsidRDefault="00F267EC" w:rsidP="00F267EC">
      <w:pPr>
        <w:pStyle w:val="TOC3"/>
        <w:rPr>
          <w:rFonts w:asciiTheme="minorHAnsi" w:eastAsiaTheme="minorEastAsia" w:hAnsiTheme="minorHAnsi" w:cstheme="minorBidi"/>
          <w:sz w:val="22"/>
          <w:szCs w:val="22"/>
        </w:rPr>
      </w:pPr>
      <w:r w:rsidRPr="008A2C0E">
        <w:rPr>
          <w:rFonts w:cs="Arial"/>
        </w:rPr>
        <w:t xml:space="preserve">Beispiel 2: </w:t>
      </w:r>
      <w:r w:rsidRPr="008A2C0E">
        <w:t xml:space="preserve">Genetische Auswahl von ähnlichen Sorten für die erste Wachstumsperiode </w:t>
      </w:r>
      <w:r w:rsidRPr="008A2C0E">
        <w:rPr>
          <w:rFonts w:cs="Arial"/>
        </w:rPr>
        <w:t>(vergleiche Anlage II, Beispiel 2)</w:t>
      </w:r>
      <w:r w:rsidRPr="00F267EC">
        <w:tab/>
      </w:r>
      <w:r>
        <w:fldChar w:fldCharType="begin"/>
      </w:r>
      <w:r w:rsidRPr="00F267EC">
        <w:instrText xml:space="preserve"> PAGEREF _Toc42109028 \h </w:instrText>
      </w:r>
      <w:r>
        <w:fldChar w:fldCharType="separate"/>
      </w:r>
      <w:r w:rsidRPr="00F267EC">
        <w:t>4</w:t>
      </w:r>
      <w:r>
        <w:fldChar w:fldCharType="end"/>
      </w:r>
    </w:p>
    <w:p w:rsidR="00E306B7" w:rsidRPr="00C66D18" w:rsidRDefault="00E306B7" w:rsidP="00E306B7">
      <w:pPr>
        <w:tabs>
          <w:tab w:val="left" w:pos="1980"/>
        </w:tabs>
        <w:rPr>
          <w:rFonts w:cs="Arial"/>
          <w:snapToGrid w:val="0"/>
        </w:rPr>
      </w:pPr>
      <w:r w:rsidRPr="00C66D18">
        <w:rPr>
          <w:rFonts w:cs="Arial"/>
          <w:snapToGrid w:val="0"/>
        </w:rPr>
        <w:fldChar w:fldCharType="end"/>
      </w:r>
    </w:p>
    <w:p w:rsidR="00544CE4" w:rsidRPr="00143403" w:rsidRDefault="00544CE4" w:rsidP="00544CE4">
      <w:pPr>
        <w:tabs>
          <w:tab w:val="left" w:pos="1134"/>
          <w:tab w:val="left" w:pos="2127"/>
        </w:tabs>
        <w:spacing w:after="120"/>
        <w:ind w:left="2127" w:hanging="2127"/>
        <w:rPr>
          <w:rFonts w:cs="Arial"/>
          <w:snapToGrid w:val="0"/>
        </w:rPr>
      </w:pPr>
      <w:r w:rsidRPr="00143403">
        <w:rPr>
          <w:rFonts w:cs="Arial"/>
          <w:snapToGrid w:val="0"/>
        </w:rPr>
        <w:t>ANLAGE I</w:t>
      </w:r>
      <w:r w:rsidRPr="00143403">
        <w:rPr>
          <w:rFonts w:cs="Arial"/>
          <w:snapToGrid w:val="0"/>
        </w:rPr>
        <w:tab/>
        <w:t>MODELL:</w:t>
      </w:r>
      <w:r w:rsidRPr="00143403">
        <w:rPr>
          <w:rFonts w:cs="Arial"/>
          <w:snapToGrid w:val="0"/>
        </w:rPr>
        <w:tab/>
        <w:t>MERKMALSPEZIFISCHE MOLEKULARE MARKER</w:t>
      </w:r>
    </w:p>
    <w:p w:rsidR="00544CE4" w:rsidRPr="000901A8" w:rsidRDefault="00544CE4" w:rsidP="00544CE4">
      <w:pPr>
        <w:spacing w:after="120"/>
        <w:ind w:left="2410" w:hanging="1276"/>
        <w:jc w:val="left"/>
        <w:rPr>
          <w:rFonts w:cs="Arial"/>
          <w:snapToGrid w:val="0"/>
          <w:sz w:val="18"/>
          <w:szCs w:val="18"/>
        </w:rPr>
      </w:pPr>
      <w:r w:rsidRPr="000901A8">
        <w:rPr>
          <w:rFonts w:cs="Arial"/>
          <w:snapToGrid w:val="0"/>
          <w:sz w:val="18"/>
          <w:szCs w:val="18"/>
        </w:rPr>
        <w:t>BEISPIEL 1:</w:t>
      </w:r>
      <w:r w:rsidRPr="000901A8">
        <w:rPr>
          <w:rFonts w:cs="Arial"/>
          <w:snapToGrid w:val="0"/>
          <w:sz w:val="18"/>
          <w:szCs w:val="18"/>
        </w:rPr>
        <w:tab/>
        <w:t>GENSPEZIFISCHE MARKER FÜR HERBIZIDTOLERANZ</w:t>
      </w:r>
    </w:p>
    <w:p w:rsidR="00544CE4" w:rsidRPr="000901A8" w:rsidRDefault="00544CE4" w:rsidP="00544CE4">
      <w:pPr>
        <w:spacing w:after="120"/>
        <w:ind w:left="2410" w:hanging="1276"/>
        <w:jc w:val="left"/>
        <w:rPr>
          <w:rFonts w:cs="Arial"/>
          <w:snapToGrid w:val="0"/>
          <w:sz w:val="18"/>
          <w:szCs w:val="18"/>
        </w:rPr>
      </w:pPr>
      <w:r w:rsidRPr="000901A8">
        <w:rPr>
          <w:rFonts w:cs="Arial"/>
          <w:snapToGrid w:val="0"/>
          <w:sz w:val="18"/>
          <w:szCs w:val="18"/>
        </w:rPr>
        <w:t>BEISPIEL 2:</w:t>
      </w:r>
      <w:r w:rsidRPr="000901A8">
        <w:rPr>
          <w:rFonts w:cs="Arial"/>
          <w:snapToGrid w:val="0"/>
          <w:sz w:val="18"/>
          <w:szCs w:val="18"/>
        </w:rPr>
        <w:tab/>
        <w:t>GEN-SPEZIFISCHER MARKER MIT UNVOLLSTÄNDIGEN INFORMATIONEN ÜBER DIE AUSPRÄGUNGSSTUFE FÜR KRANKHEITSRESISTENZ BEI TOMATE</w:t>
      </w:r>
    </w:p>
    <w:p w:rsidR="00544CE4" w:rsidRPr="000901A8" w:rsidRDefault="00544CE4" w:rsidP="00544CE4">
      <w:pPr>
        <w:tabs>
          <w:tab w:val="left" w:pos="1980"/>
        </w:tabs>
        <w:jc w:val="left"/>
        <w:rPr>
          <w:rFonts w:cs="Arial"/>
          <w:snapToGrid w:val="0"/>
        </w:rPr>
      </w:pPr>
    </w:p>
    <w:p w:rsidR="00544CE4" w:rsidRPr="000901A8" w:rsidRDefault="00544CE4" w:rsidP="00544CE4">
      <w:pPr>
        <w:tabs>
          <w:tab w:val="left" w:pos="1134"/>
          <w:tab w:val="left" w:pos="2127"/>
        </w:tabs>
        <w:spacing w:after="120"/>
        <w:ind w:left="2127" w:hanging="2127"/>
        <w:rPr>
          <w:rFonts w:cs="Arial"/>
          <w:snapToGrid w:val="0"/>
        </w:rPr>
      </w:pPr>
      <w:r w:rsidRPr="000901A8">
        <w:rPr>
          <w:rFonts w:cs="Arial"/>
          <w:snapToGrid w:val="0"/>
        </w:rPr>
        <w:t>ANLAGE II</w:t>
      </w:r>
      <w:r w:rsidRPr="000901A8">
        <w:rPr>
          <w:rFonts w:cs="Arial"/>
          <w:snapToGrid w:val="0"/>
        </w:rPr>
        <w:tab/>
        <w:t>MODELL:</w:t>
      </w:r>
      <w:r w:rsidRPr="000901A8">
        <w:rPr>
          <w:rFonts w:cs="Arial"/>
          <w:snapToGrid w:val="0"/>
        </w:rPr>
        <w:tab/>
        <w:t>KOMBINATION PHÄNOTYPISCHER UND MOLEKULARER ABSTÄNDE BEI DER VERWALTUNG VON SORTENSAMMLUNGEN</w:t>
      </w:r>
    </w:p>
    <w:p w:rsidR="00544CE4" w:rsidRPr="000901A8" w:rsidRDefault="00544CE4" w:rsidP="00544CE4">
      <w:pPr>
        <w:spacing w:after="120"/>
        <w:ind w:left="2410" w:hanging="1276"/>
        <w:jc w:val="left"/>
        <w:rPr>
          <w:rFonts w:cs="Arial"/>
          <w:snapToGrid w:val="0"/>
          <w:sz w:val="18"/>
          <w:szCs w:val="18"/>
        </w:rPr>
      </w:pPr>
      <w:r w:rsidRPr="000901A8">
        <w:rPr>
          <w:rFonts w:cs="Arial"/>
          <w:snapToGrid w:val="0"/>
          <w:sz w:val="18"/>
          <w:szCs w:val="18"/>
        </w:rPr>
        <w:t>BEISPIEL 1:</w:t>
      </w:r>
      <w:r w:rsidRPr="000901A8">
        <w:rPr>
          <w:rFonts w:cs="Arial"/>
          <w:snapToGrid w:val="0"/>
          <w:sz w:val="18"/>
          <w:szCs w:val="18"/>
        </w:rPr>
        <w:tab/>
        <w:t>ELTERNLINIEN VON MAIS</w:t>
      </w:r>
    </w:p>
    <w:p w:rsidR="00544CE4" w:rsidRPr="000901A8" w:rsidRDefault="00544CE4" w:rsidP="00544CE4">
      <w:pPr>
        <w:spacing w:after="120"/>
        <w:ind w:left="2410" w:hanging="1276"/>
        <w:jc w:val="left"/>
        <w:rPr>
          <w:rFonts w:cs="Arial"/>
          <w:snapToGrid w:val="0"/>
          <w:sz w:val="18"/>
          <w:szCs w:val="18"/>
        </w:rPr>
      </w:pPr>
      <w:r w:rsidRPr="000901A8">
        <w:rPr>
          <w:rFonts w:cs="Arial"/>
          <w:snapToGrid w:val="0"/>
          <w:sz w:val="18"/>
          <w:szCs w:val="18"/>
        </w:rPr>
        <w:t>BEISPIEL 2:</w:t>
      </w:r>
      <w:r w:rsidRPr="000901A8">
        <w:rPr>
          <w:rFonts w:cs="Arial"/>
          <w:snapToGrid w:val="0"/>
          <w:sz w:val="18"/>
          <w:szCs w:val="18"/>
        </w:rPr>
        <w:tab/>
        <w:t>GENETISCHE AUSWAHL VON ÄHNLICHEN SORTEN FÜR DIE ERSTE WACHSTUMSPERIODE: GARTENBOHNE</w:t>
      </w:r>
    </w:p>
    <w:p w:rsidR="00544CE4" w:rsidRPr="00143403" w:rsidRDefault="00544CE4" w:rsidP="00544CE4">
      <w:pPr>
        <w:tabs>
          <w:tab w:val="left" w:pos="1980"/>
        </w:tabs>
        <w:jc w:val="left"/>
        <w:rPr>
          <w:rFonts w:cs="Arial"/>
          <w:snapToGrid w:val="0"/>
        </w:rPr>
      </w:pPr>
    </w:p>
    <w:p w:rsidR="00E306B7" w:rsidRPr="00C66D18" w:rsidRDefault="00E306B7" w:rsidP="00E306B7">
      <w:pPr>
        <w:pStyle w:val="Heading1"/>
        <w:rPr>
          <w:lang w:val="de-DE"/>
        </w:rPr>
      </w:pPr>
      <w:r w:rsidRPr="00C66D18">
        <w:rPr>
          <w:snapToGrid w:val="0"/>
          <w:lang w:val="de-DE"/>
        </w:rPr>
        <w:br w:type="page"/>
      </w:r>
      <w:bookmarkStart w:id="1" w:name="_Toc42109023"/>
      <w:r w:rsidRPr="00C66D18">
        <w:rPr>
          <w:lang w:val="de-DE"/>
        </w:rPr>
        <w:lastRenderedPageBreak/>
        <w:t>1.</w:t>
      </w:r>
      <w:r w:rsidRPr="00C66D18">
        <w:rPr>
          <w:lang w:val="de-DE"/>
        </w:rPr>
        <w:tab/>
      </w:r>
      <w:r w:rsidR="00205EF7" w:rsidRPr="00C66D18">
        <w:rPr>
          <w:lang w:val="de-DE"/>
        </w:rPr>
        <w:t>einleitung</w:t>
      </w:r>
      <w:bookmarkEnd w:id="1"/>
    </w:p>
    <w:p w:rsidR="00E306B7" w:rsidRPr="00C66D18" w:rsidRDefault="00E306B7" w:rsidP="00E306B7">
      <w:pPr>
        <w:rPr>
          <w:rFonts w:cs="Arial"/>
        </w:rPr>
      </w:pPr>
      <w:r w:rsidRPr="00C66D18">
        <w:rPr>
          <w:rFonts w:cs="Arial"/>
        </w:rPr>
        <w:t>1.1</w:t>
      </w:r>
      <w:r w:rsidRPr="00C66D18">
        <w:rPr>
          <w:rFonts w:cs="Arial"/>
        </w:rPr>
        <w:tab/>
      </w:r>
      <w:r w:rsidR="00205EF7" w:rsidRPr="00C66D18">
        <w:rPr>
          <w:rFonts w:cs="Arial"/>
        </w:rPr>
        <w:t xml:space="preserve">In Dokument UPOV/INF/18 „Mögliche Verwendung molekularer Marker bei der Prüfung der Unterscheidbarkeit, der Homogenität und der Beständigkeit (DUS)“ werden mögliche Anwendungsmodelle für die Verwendung biochemischer und molekularer Marker bei der DUS-Prüfung untersucht, die der Technische </w:t>
      </w:r>
      <w:r w:rsidR="004A5537" w:rsidRPr="00C66D18">
        <w:rPr>
          <w:rFonts w:cs="Arial"/>
        </w:rPr>
        <w:t>Ausschuss</w:t>
      </w:r>
      <w:r w:rsidR="00205EF7" w:rsidRPr="00C66D18">
        <w:rPr>
          <w:rFonts w:cs="Arial"/>
        </w:rPr>
        <w:t xml:space="preserve"> </w:t>
      </w:r>
      <w:r w:rsidR="00C66D18">
        <w:rPr>
          <w:rFonts w:cs="Arial"/>
        </w:rPr>
        <w:t xml:space="preserve">(TC) </w:t>
      </w:r>
      <w:r w:rsidR="00205EF7" w:rsidRPr="00C66D18">
        <w:rPr>
          <w:rFonts w:cs="Arial"/>
        </w:rPr>
        <w:t xml:space="preserve">der Ad-hoc-Untergruppe technischer und juristischer Sachverständiger für biochemische und molekulare Verfahren (BMT-Überprüfungsgruppe) auf der Grundlage der Arbeiten der Arbeitsgruppe für biochemische und molekulare Verfahren und insbesondere für DNS-Profilierungsverfahren (BMT) und der artenspezifischen Untergruppen für molekulare Verfahren (artenspezifische Untergruppen) (vergleiche </w:t>
      </w:r>
      <w:hyperlink r:id="rId9" w:history="1">
        <w:r w:rsidR="00205EF7" w:rsidRPr="00C66D18">
          <w:rPr>
            <w:rStyle w:val="Hyperlink"/>
            <w:rFonts w:cs="Arial"/>
          </w:rPr>
          <w:t>http://www.upov.int/about/de/organigram.html</w:t>
        </w:r>
      </w:hyperlink>
      <w:r w:rsidR="00205EF7" w:rsidRPr="00C66D18">
        <w:rPr>
          <w:rFonts w:cs="Arial"/>
        </w:rPr>
        <w:t>) vorgeschlagen hat</w:t>
      </w:r>
      <w:r w:rsidR="004F6F42" w:rsidRPr="00C66D18">
        <w:rPr>
          <w:rFonts w:cs="Arial"/>
        </w:rPr>
        <w:t>. Die Beurteilung durch die BMT</w:t>
      </w:r>
      <w:r w:rsidR="004F6F42" w:rsidRPr="00C66D18">
        <w:rPr>
          <w:rFonts w:cs="Arial"/>
        </w:rPr>
        <w:noBreakHyphen/>
      </w:r>
      <w:r w:rsidR="00205EF7" w:rsidRPr="00C66D18">
        <w:rPr>
          <w:rFonts w:cs="Arial"/>
        </w:rPr>
        <w:t>Überprüfungsgruppe und die Meinungen des Technischen Ausschusses und des Verwaltungs- und Rechtsausschusses (CAJ) zu diesen Modellen werden in Dokument UPOV/INF/18 dargelegt.</w:t>
      </w:r>
    </w:p>
    <w:p w:rsidR="00E306B7" w:rsidRPr="00C66D18" w:rsidRDefault="00E306B7" w:rsidP="00E306B7">
      <w:pPr>
        <w:rPr>
          <w:rFonts w:cs="Arial"/>
        </w:rPr>
      </w:pPr>
    </w:p>
    <w:p w:rsidR="00E306B7" w:rsidRPr="00C66D18" w:rsidRDefault="00E306B7" w:rsidP="00E306B7">
      <w:pPr>
        <w:rPr>
          <w:rFonts w:cs="Arial"/>
        </w:rPr>
      </w:pPr>
      <w:r w:rsidRPr="00C66D18">
        <w:rPr>
          <w:rFonts w:cs="Arial"/>
        </w:rPr>
        <w:t>1.2</w:t>
      </w:r>
      <w:r w:rsidRPr="00C66D18">
        <w:rPr>
          <w:rFonts w:cs="Arial"/>
        </w:rPr>
        <w:tab/>
      </w:r>
      <w:r w:rsidR="00205EF7" w:rsidRPr="00C66D18">
        <w:rPr>
          <w:rFonts w:cs="Arial"/>
        </w:rPr>
        <w:t>Dieses Dokument soll Anleitung zur Verwendung biochemischer und molekularer Marker bei der Prüfung der Unterscheidbarkeit, der Homogenität und der Beständigkeit (DUS) auf der Grundlage der Modelle</w:t>
      </w:r>
      <w:r w:rsidR="00C66D18">
        <w:rPr>
          <w:rFonts w:cs="Arial"/>
        </w:rPr>
        <w:t>,</w:t>
      </w:r>
      <w:r w:rsidR="00205EF7" w:rsidRPr="00C66D18">
        <w:rPr>
          <w:rFonts w:cs="Arial"/>
        </w:rPr>
        <w:t xml:space="preserve"> </w:t>
      </w:r>
      <w:r w:rsidR="00A154FC" w:rsidRPr="00C66D18">
        <w:rPr>
          <w:rFonts w:cs="Arial"/>
        </w:rPr>
        <w:t>die positiv beurteilt wurden und für die anerkannte Beispiele gegeben wurden.</w:t>
      </w:r>
    </w:p>
    <w:p w:rsidR="00E306B7" w:rsidRPr="00C66D18" w:rsidRDefault="00E306B7" w:rsidP="00E306B7">
      <w:pPr>
        <w:rPr>
          <w:rFonts w:cs="Arial"/>
        </w:rPr>
      </w:pPr>
    </w:p>
    <w:p w:rsidR="00E306B7" w:rsidRPr="00C66D18" w:rsidRDefault="00E306B7" w:rsidP="00E306B7">
      <w:pPr>
        <w:rPr>
          <w:rFonts w:cs="Arial"/>
        </w:rPr>
      </w:pPr>
      <w:r w:rsidRPr="00C66D18">
        <w:rPr>
          <w:rFonts w:cs="Arial"/>
        </w:rPr>
        <w:t>1.3</w:t>
      </w:r>
      <w:r w:rsidRPr="00C66D18">
        <w:rPr>
          <w:rFonts w:cs="Arial"/>
        </w:rPr>
        <w:tab/>
      </w:r>
      <w:r w:rsidR="00A154FC" w:rsidRPr="00C66D18">
        <w:rPr>
          <w:rFonts w:cs="Arial"/>
        </w:rPr>
        <w:t>Die einzigen verbindlichen Verpflichtungen für die Verbandsmitglieder sind diejenigen, die das UPOV-Übereinkommen selbst vorsieht, und das vorliegende Dokument darf nicht in einer Weise ausgelegt werden, die in Widerspruch zu der für das jeweilige Verbandsmitglied geltenden Akte steht.</w:t>
      </w:r>
    </w:p>
    <w:p w:rsidR="00E306B7" w:rsidRPr="00C66D18" w:rsidRDefault="00E306B7" w:rsidP="00E306B7">
      <w:pPr>
        <w:rPr>
          <w:rFonts w:cs="Arial"/>
        </w:rPr>
      </w:pPr>
    </w:p>
    <w:p w:rsidR="00E306B7" w:rsidRPr="00C66D18" w:rsidRDefault="00E306B7" w:rsidP="00E306B7">
      <w:pPr>
        <w:rPr>
          <w:rFonts w:cs="Arial"/>
          <w:color w:val="000000"/>
        </w:rPr>
      </w:pPr>
      <w:r w:rsidRPr="00C66D18">
        <w:rPr>
          <w:rFonts w:cs="Arial"/>
          <w:color w:val="000000"/>
        </w:rPr>
        <w:t>1.4</w:t>
      </w:r>
      <w:r w:rsidRPr="00C66D18">
        <w:rPr>
          <w:rFonts w:cs="Arial"/>
          <w:color w:val="000000"/>
        </w:rPr>
        <w:tab/>
      </w:r>
      <w:r w:rsidR="00A154FC" w:rsidRPr="00C66D18">
        <w:rPr>
          <w:rFonts w:cs="Arial"/>
          <w:color w:val="000000"/>
        </w:rPr>
        <w:t>Folgende Abkürzungen werden in diesem Dokument verwendet:</w:t>
      </w:r>
    </w:p>
    <w:p w:rsidR="00E306B7" w:rsidRPr="00C66D18" w:rsidRDefault="00E306B7" w:rsidP="00E306B7">
      <w:pPr>
        <w:keepNext/>
        <w:rPr>
          <w:rFonts w:cs="Arial"/>
          <w:color w:val="000000"/>
        </w:rPr>
      </w:pPr>
    </w:p>
    <w:p w:rsidR="00BD7F45" w:rsidRPr="00C66D18" w:rsidRDefault="00BD7F45" w:rsidP="00330FB5">
      <w:pPr>
        <w:ind w:left="2694" w:hanging="2127"/>
        <w:rPr>
          <w:rFonts w:cs="Arial"/>
          <w:color w:val="000000"/>
        </w:rPr>
      </w:pPr>
      <w:r w:rsidRPr="00C66D18">
        <w:rPr>
          <w:rFonts w:cs="Arial"/>
          <w:color w:val="000000"/>
        </w:rPr>
        <w:t>CAJ:</w:t>
      </w:r>
      <w:r w:rsidRPr="00C66D18">
        <w:rPr>
          <w:rFonts w:cs="Arial"/>
          <w:color w:val="000000"/>
        </w:rPr>
        <w:tab/>
        <w:t xml:space="preserve">Verwaltungs- und </w:t>
      </w:r>
      <w:r w:rsidR="004A5537" w:rsidRPr="00C66D18">
        <w:rPr>
          <w:rFonts w:cs="Arial"/>
          <w:color w:val="000000"/>
        </w:rPr>
        <w:t>Rechtsausschuss</w:t>
      </w:r>
    </w:p>
    <w:p w:rsidR="00BD7F45" w:rsidRPr="00C66D18" w:rsidRDefault="00BD7F45" w:rsidP="00330FB5">
      <w:pPr>
        <w:ind w:left="2694" w:hanging="2127"/>
        <w:rPr>
          <w:rFonts w:cs="Arial"/>
          <w:color w:val="000000"/>
        </w:rPr>
      </w:pPr>
      <w:r w:rsidRPr="00C66D18">
        <w:rPr>
          <w:rFonts w:cs="Arial"/>
          <w:color w:val="000000"/>
        </w:rPr>
        <w:t>TC:</w:t>
      </w:r>
      <w:r w:rsidRPr="00C66D18">
        <w:rPr>
          <w:rFonts w:cs="Arial"/>
          <w:color w:val="000000"/>
        </w:rPr>
        <w:tab/>
        <w:t xml:space="preserve">Technischer </w:t>
      </w:r>
      <w:r w:rsidR="004A5537" w:rsidRPr="00C66D18">
        <w:rPr>
          <w:rFonts w:cs="Arial"/>
          <w:color w:val="000000"/>
        </w:rPr>
        <w:t>Ausschuss</w:t>
      </w:r>
    </w:p>
    <w:p w:rsidR="00BD7F45" w:rsidRPr="00C66D18" w:rsidRDefault="00BD7F45" w:rsidP="00330FB5">
      <w:pPr>
        <w:ind w:left="2694" w:hanging="2127"/>
        <w:rPr>
          <w:rFonts w:cs="Arial"/>
          <w:color w:val="000000"/>
        </w:rPr>
      </w:pPr>
      <w:r w:rsidRPr="00C66D18">
        <w:rPr>
          <w:rFonts w:cs="Arial"/>
          <w:color w:val="000000"/>
        </w:rPr>
        <w:t>TWP:</w:t>
      </w:r>
      <w:r w:rsidRPr="00C66D18">
        <w:rPr>
          <w:rFonts w:cs="Arial"/>
          <w:color w:val="000000"/>
        </w:rPr>
        <w:tab/>
        <w:t>Technische Arbeitsgruppen</w:t>
      </w:r>
    </w:p>
    <w:p w:rsidR="00BD7F45" w:rsidRPr="00C66D18" w:rsidRDefault="00BD7F45" w:rsidP="00330FB5">
      <w:pPr>
        <w:ind w:left="2694" w:hanging="2127"/>
        <w:rPr>
          <w:rFonts w:cs="Arial"/>
          <w:color w:val="000000"/>
        </w:rPr>
      </w:pPr>
      <w:r w:rsidRPr="00C66D18">
        <w:rPr>
          <w:rFonts w:cs="Arial"/>
          <w:color w:val="000000"/>
        </w:rPr>
        <w:t>BMT:</w:t>
      </w:r>
      <w:r w:rsidRPr="00C66D18">
        <w:rPr>
          <w:rFonts w:cs="Arial"/>
          <w:color w:val="000000"/>
        </w:rPr>
        <w:tab/>
        <w:t>Arbeitsgruppe für biochemische und molekulare Verfahren und insbesondere für DNS-Profilierungsverfahren</w:t>
      </w:r>
    </w:p>
    <w:p w:rsidR="00BD7F45" w:rsidRPr="00C66D18" w:rsidRDefault="00BD7F45" w:rsidP="00330FB5">
      <w:pPr>
        <w:ind w:left="2694" w:hanging="2127"/>
        <w:rPr>
          <w:rFonts w:cs="Arial"/>
          <w:color w:val="000000"/>
        </w:rPr>
      </w:pPr>
      <w:r w:rsidRPr="00C66D18">
        <w:rPr>
          <w:rFonts w:cs="Arial"/>
          <w:color w:val="000000"/>
        </w:rPr>
        <w:t>BMT-</w:t>
      </w:r>
    </w:p>
    <w:p w:rsidR="00BD7F45" w:rsidRPr="00C66D18" w:rsidRDefault="00BD7F45" w:rsidP="00330FB5">
      <w:pPr>
        <w:ind w:left="2694" w:hanging="2127"/>
        <w:rPr>
          <w:rFonts w:cs="Arial"/>
          <w:color w:val="000000"/>
        </w:rPr>
      </w:pPr>
      <w:r w:rsidRPr="00C66D18">
        <w:rPr>
          <w:rFonts w:cs="Arial"/>
          <w:color w:val="000000"/>
        </w:rPr>
        <w:t>Überprüfungsgruppe:</w:t>
      </w:r>
      <w:r w:rsidRPr="00C66D18">
        <w:rPr>
          <w:rFonts w:cs="Arial"/>
          <w:color w:val="000000"/>
        </w:rPr>
        <w:tab/>
        <w:t>Ad-hoc-Untergruppe technischer und juristischer Sachverständiger für biochemische und molekulare Verfahren</w:t>
      </w:r>
    </w:p>
    <w:p w:rsidR="00BD7F45" w:rsidRPr="00C66D18" w:rsidRDefault="00BD7F45" w:rsidP="00330FB5">
      <w:pPr>
        <w:ind w:left="2694" w:hanging="2127"/>
        <w:rPr>
          <w:rFonts w:cs="Arial"/>
          <w:color w:val="000000"/>
        </w:rPr>
      </w:pPr>
      <w:r w:rsidRPr="00C66D18">
        <w:rPr>
          <w:rFonts w:cs="Arial"/>
          <w:color w:val="000000"/>
        </w:rPr>
        <w:t>Artenspezifische</w:t>
      </w:r>
    </w:p>
    <w:p w:rsidR="00E306B7" w:rsidRPr="00C66D18" w:rsidRDefault="00BD7F45" w:rsidP="00330FB5">
      <w:pPr>
        <w:ind w:left="2694" w:hanging="2127"/>
        <w:rPr>
          <w:rFonts w:cs="Arial"/>
          <w:color w:val="000000"/>
        </w:rPr>
      </w:pPr>
      <w:r w:rsidRPr="00C66D18">
        <w:rPr>
          <w:rFonts w:cs="Arial"/>
          <w:color w:val="000000"/>
        </w:rPr>
        <w:t>Untergruppe:</w:t>
      </w:r>
      <w:r w:rsidRPr="00C66D18">
        <w:rPr>
          <w:rFonts w:cs="Arial"/>
          <w:color w:val="000000"/>
        </w:rPr>
        <w:tab/>
        <w:t>artenspezifische Ad-hoc-Untergruppe für molekulare Verfahren</w:t>
      </w:r>
    </w:p>
    <w:p w:rsidR="00E306B7" w:rsidRPr="00C66D18" w:rsidRDefault="00E306B7" w:rsidP="00E306B7">
      <w:pPr>
        <w:ind w:left="2835" w:hanging="2126"/>
        <w:rPr>
          <w:rFonts w:cs="Arial"/>
          <w:color w:val="000000"/>
        </w:rPr>
      </w:pPr>
    </w:p>
    <w:p w:rsidR="00074123" w:rsidRPr="00C66D18" w:rsidRDefault="00074123" w:rsidP="00E306B7">
      <w:pPr>
        <w:ind w:left="2835" w:hanging="2126"/>
        <w:rPr>
          <w:rFonts w:cs="Arial"/>
          <w:color w:val="000000"/>
        </w:rPr>
      </w:pPr>
    </w:p>
    <w:p w:rsidR="00E306B7" w:rsidRPr="00C66D18" w:rsidRDefault="00E306B7" w:rsidP="00B854DE">
      <w:pPr>
        <w:pStyle w:val="Heading1"/>
        <w:spacing w:after="0"/>
        <w:rPr>
          <w:lang w:val="de-DE"/>
        </w:rPr>
      </w:pPr>
      <w:bookmarkStart w:id="2" w:name="_Toc311473359"/>
      <w:bookmarkStart w:id="3" w:name="_Toc42109024"/>
      <w:r w:rsidRPr="00C66D18">
        <w:rPr>
          <w:rStyle w:val="TitleofDocChar"/>
          <w:lang w:val="de-DE"/>
        </w:rPr>
        <w:t>2.</w:t>
      </w:r>
      <w:r w:rsidRPr="00C66D18">
        <w:rPr>
          <w:rStyle w:val="TitleofDocChar"/>
          <w:lang w:val="de-DE"/>
        </w:rPr>
        <w:tab/>
      </w:r>
      <w:bookmarkEnd w:id="2"/>
      <w:r w:rsidR="00A154FC" w:rsidRPr="00C66D18">
        <w:rPr>
          <w:lang w:val="de-DE"/>
        </w:rPr>
        <w:t>MODELLE FÜR DIE ANWENDUNG</w:t>
      </w:r>
      <w:bookmarkEnd w:id="3"/>
    </w:p>
    <w:p w:rsidR="00E306B7" w:rsidRPr="005B58D3" w:rsidRDefault="00E306B7" w:rsidP="00E306B7">
      <w:pPr>
        <w:rPr>
          <w:snapToGrid w:val="0"/>
          <w:lang w:eastAsia="zh-CN"/>
        </w:rPr>
      </w:pPr>
      <w:bookmarkStart w:id="4" w:name="_Toc311473360"/>
    </w:p>
    <w:p w:rsidR="00E306B7" w:rsidRPr="00C66D18" w:rsidRDefault="00E306B7" w:rsidP="00AF3F4B">
      <w:pPr>
        <w:pStyle w:val="Heading2"/>
      </w:pPr>
      <w:bookmarkStart w:id="5" w:name="_Toc311473361"/>
      <w:bookmarkStart w:id="6" w:name="_Toc42109025"/>
      <w:bookmarkEnd w:id="4"/>
      <w:r w:rsidRPr="00C66D18">
        <w:t>2.1</w:t>
      </w:r>
      <w:r w:rsidRPr="00C66D18">
        <w:tab/>
      </w:r>
      <w:bookmarkEnd w:id="5"/>
      <w:r w:rsidR="00A154FC" w:rsidRPr="00C66D18">
        <w:t>Merkmals</w:t>
      </w:r>
      <w:r w:rsidR="00302DDB" w:rsidRPr="00C66D18">
        <w:t>s</w:t>
      </w:r>
      <w:r w:rsidR="00A154FC" w:rsidRPr="00C66D18">
        <w:t>pezifische moleku</w:t>
      </w:r>
      <w:r w:rsidR="00384A87" w:rsidRPr="00C66D18">
        <w:t>lare Marker (vergleiche Anlage I</w:t>
      </w:r>
      <w:r w:rsidR="00A154FC" w:rsidRPr="00C66D18">
        <w:t>)</w:t>
      </w:r>
      <w:bookmarkEnd w:id="6"/>
    </w:p>
    <w:p w:rsidR="00E306B7" w:rsidRPr="00C66D18" w:rsidRDefault="00E306B7" w:rsidP="00E306B7"/>
    <w:p w:rsidR="00B32CF4" w:rsidRPr="00C66D18" w:rsidRDefault="00B32CF4" w:rsidP="009A11A0">
      <w:pPr>
        <w:rPr>
          <w:rFonts w:cs="Arial"/>
        </w:rPr>
      </w:pPr>
      <w:r w:rsidRPr="00C66D18">
        <w:rPr>
          <w:rFonts w:cs="Arial"/>
        </w:rPr>
        <w:t>2.1.1</w:t>
      </w:r>
      <w:r w:rsidRPr="00C66D18">
        <w:rPr>
          <w:rFonts w:cs="Arial"/>
        </w:rPr>
        <w:tab/>
        <w:t>Molekulare Marker können auf der folgenden Grundlage als eine Methode zur Prüfung von DUS Merkmalen, die die Kriterien für die in der Allgemeinen Einführung, Kapitel 4, Abschnitt 4.2 dargelegten Merkmale erfüllen, verwendet werden:</w:t>
      </w:r>
    </w:p>
    <w:p w:rsidR="00B32CF4" w:rsidRPr="00C66D18" w:rsidRDefault="00B32CF4" w:rsidP="00B32CF4">
      <w:pPr>
        <w:ind w:firstLine="567"/>
        <w:rPr>
          <w:rFonts w:cs="Arial"/>
        </w:rPr>
      </w:pPr>
    </w:p>
    <w:p w:rsidR="00B32CF4" w:rsidRPr="00C66D18" w:rsidRDefault="00B32CF4" w:rsidP="00330FB5">
      <w:pPr>
        <w:ind w:firstLine="567"/>
        <w:rPr>
          <w:rFonts w:cs="Arial"/>
        </w:rPr>
      </w:pPr>
      <w:r w:rsidRPr="00C66D18">
        <w:rPr>
          <w:rFonts w:cs="Arial"/>
        </w:rPr>
        <w:t>a)</w:t>
      </w:r>
      <w:r w:rsidRPr="00C66D18">
        <w:rPr>
          <w:rFonts w:cs="Arial"/>
        </w:rPr>
        <w:tab/>
        <w:t>die Prüfung des Markers wird für die gleiche Anzahl Einzelpflanzen mit den gleichen Kriterien für die Unterscheidbarkeit, die Homogenität und die Beständigkeit durchgeführt wie bei der Prüfung des Merkmals durch eine biologische Prüfung;</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b)</w:t>
      </w:r>
      <w:r w:rsidRPr="00C66D18">
        <w:rPr>
          <w:rFonts w:cs="Arial"/>
        </w:rPr>
        <w:tab/>
        <w:t>es erfolgt eine Überprüfung der Zuverlässigkeit der Kopplung zwischen dem Marker und dem Merkmal;</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c)</w:t>
      </w:r>
      <w:r w:rsidRPr="00C66D18">
        <w:rPr>
          <w:rFonts w:cs="Arial"/>
        </w:rPr>
        <w:tab/>
        <w:t>verschiedene Marker für dasselbe Merkmal sind verschiedene Methoden für die Prüfung desselben Merkmals;</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d)</w:t>
      </w:r>
      <w:r w:rsidRPr="00C66D18">
        <w:rPr>
          <w:rFonts w:cs="Arial"/>
        </w:rPr>
        <w:tab/>
        <w:t>Marker, die mit verschiedenen Genen gekoppelt sind, die die Ausprägung desselben Merkmals übertragen, sind verschiedene Methoden für die Prüfung desselben Merkmals; und</w:t>
      </w:r>
    </w:p>
    <w:p w:rsidR="00B32CF4" w:rsidRPr="00C66D18" w:rsidRDefault="00B32CF4" w:rsidP="00330FB5">
      <w:pPr>
        <w:ind w:firstLine="567"/>
        <w:rPr>
          <w:rFonts w:cs="Arial"/>
        </w:rPr>
      </w:pPr>
    </w:p>
    <w:p w:rsidR="00E05E8D" w:rsidRPr="00143403" w:rsidRDefault="00E05E8D" w:rsidP="00E05E8D">
      <w:pPr>
        <w:ind w:firstLine="567"/>
        <w:rPr>
          <w:rFonts w:cs="Arial"/>
        </w:rPr>
      </w:pPr>
      <w:r w:rsidRPr="00143403">
        <w:rPr>
          <w:rFonts w:cs="Arial"/>
        </w:rPr>
        <w:t>e)</w:t>
      </w:r>
      <w:r w:rsidRPr="00143403">
        <w:rPr>
          <w:rFonts w:cs="Arial"/>
        </w:rPr>
        <w:tab/>
        <w:t>Marker, die mit verschiedenen regulatorischen Elementen für dasselbe Gen verbunden sind, das die Ausprägung desselben Merkmals überträgt, sind verschiedene Methoden für die Prüfung desselben Merkmals</w:t>
      </w:r>
      <w:r w:rsidRPr="0092016E">
        <w:rPr>
          <w:rFonts w:cs="Arial"/>
        </w:rPr>
        <w:t>.</w:t>
      </w:r>
    </w:p>
    <w:p w:rsidR="00E05E8D" w:rsidRPr="00143403" w:rsidRDefault="00E05E8D" w:rsidP="00E05E8D">
      <w:pPr>
        <w:ind w:firstLine="567"/>
        <w:rPr>
          <w:rFonts w:cs="Arial"/>
          <w:u w:val="single"/>
        </w:rPr>
      </w:pPr>
    </w:p>
    <w:p w:rsidR="00E05E8D" w:rsidRPr="0092016E" w:rsidRDefault="00E05E8D" w:rsidP="00E05E8D">
      <w:pPr>
        <w:rPr>
          <w:rFonts w:cs="Arial"/>
        </w:rPr>
      </w:pPr>
      <w:r w:rsidRPr="0092016E">
        <w:rPr>
          <w:rFonts w:cs="Arial"/>
        </w:rPr>
        <w:t>2.1.2</w:t>
      </w:r>
      <w:r w:rsidRPr="0092016E">
        <w:rPr>
          <w:rFonts w:cs="Arial"/>
        </w:rPr>
        <w:tab/>
        <w:t>Anlage I dieses Dokuments enthält Beispiele für die Verwendung merkmalsspezifischer molekularer Marker.</w:t>
      </w:r>
    </w:p>
    <w:p w:rsidR="00E05E8D" w:rsidRPr="00143403" w:rsidRDefault="00E05E8D" w:rsidP="00E05E8D">
      <w:pPr>
        <w:rPr>
          <w:rFonts w:cs="Arial"/>
        </w:rPr>
      </w:pPr>
    </w:p>
    <w:p w:rsidR="00E05E8D" w:rsidRPr="00F5741E" w:rsidRDefault="00E05E8D" w:rsidP="00E05E8D">
      <w:pPr>
        <w:rPr>
          <w:rFonts w:cs="Arial"/>
        </w:rPr>
      </w:pPr>
      <w:r w:rsidRPr="00F5741E">
        <w:rPr>
          <w:rFonts w:cs="Arial"/>
        </w:rPr>
        <w:lastRenderedPageBreak/>
        <w:t>2.1.3</w:t>
      </w:r>
      <w:r w:rsidRPr="00F5741E">
        <w:rPr>
          <w:rFonts w:cs="Arial"/>
        </w:rPr>
        <w:tab/>
        <w:t>Es ist Sache der entsprechenden Behörde, zu prüfen, ob die Annahmen bei Anwendung des Modells und der Beispiele, wie in Anlage I dieses Dokuments dargelegt, erfüllt sind.</w:t>
      </w:r>
    </w:p>
    <w:p w:rsidR="00E05E8D" w:rsidRPr="00143403" w:rsidRDefault="00E05E8D" w:rsidP="00E05E8D">
      <w:pPr>
        <w:rPr>
          <w:rFonts w:cs="Arial"/>
        </w:rPr>
      </w:pPr>
    </w:p>
    <w:p w:rsidR="00E05E8D" w:rsidRPr="00143403" w:rsidRDefault="00E05E8D" w:rsidP="00E05E8D">
      <w:pPr>
        <w:rPr>
          <w:rFonts w:cs="Arial"/>
        </w:rPr>
      </w:pPr>
      <w:r w:rsidRPr="00143403">
        <w:rPr>
          <w:rFonts w:cs="Arial"/>
        </w:rPr>
        <w:t>2.1.</w:t>
      </w:r>
      <w:r w:rsidRPr="00F5741E">
        <w:rPr>
          <w:rFonts w:cs="Arial"/>
        </w:rPr>
        <w:t>4</w:t>
      </w:r>
      <w:r w:rsidRPr="00143403">
        <w:rPr>
          <w:rFonts w:cs="Arial"/>
        </w:rPr>
        <w:t>.</w:t>
      </w:r>
      <w:r w:rsidRPr="00143403">
        <w:rPr>
          <w:rFonts w:cs="Arial"/>
        </w:rPr>
        <w:tab/>
        <w:t>Zur Aufnahme einer Methode aufgrund des Modells in Anlage I dieses Dokuments in die Prüfungsrichtlinien müssten die entsprechende Technische Arbeitsgruppe und der TC vereinbaren, dass die Anforderung der Zuverlässigkeit der Kopplung zwischen dem Gen und der Ausprägung des Merkmals erfüllt ist.</w:t>
      </w:r>
    </w:p>
    <w:p w:rsidR="00552861" w:rsidRDefault="00552861" w:rsidP="00E306B7"/>
    <w:p w:rsidR="004C7034" w:rsidRPr="00C66D18" w:rsidRDefault="004C7034" w:rsidP="00E306B7"/>
    <w:p w:rsidR="00E306B7" w:rsidRPr="00C66D18" w:rsidRDefault="00E306B7">
      <w:pPr>
        <w:pStyle w:val="Heading2"/>
      </w:pPr>
      <w:bookmarkStart w:id="7" w:name="_Toc311473362"/>
      <w:bookmarkStart w:id="8" w:name="_Toc42109026"/>
      <w:r w:rsidRPr="00C66D18">
        <w:t>2.2</w:t>
      </w:r>
      <w:r w:rsidRPr="00C66D18">
        <w:tab/>
      </w:r>
      <w:bookmarkEnd w:id="7"/>
      <w:r w:rsidR="00E27D04" w:rsidRPr="00C66D18">
        <w:t>Kombination phänotypischer und molekularer Abstände bei der Verwaltung von Sortensammlungen (vergleiche Anlage II)</w:t>
      </w:r>
      <w:bookmarkEnd w:id="8"/>
    </w:p>
    <w:p w:rsidR="00E306B7" w:rsidRPr="00C66D18" w:rsidRDefault="00E306B7" w:rsidP="00E306B7">
      <w:pPr>
        <w:keepNext/>
      </w:pPr>
    </w:p>
    <w:p w:rsidR="00E05E8D" w:rsidRPr="00143403" w:rsidRDefault="00E05E8D" w:rsidP="00E05E8D">
      <w:pPr>
        <w:pStyle w:val="Heading3"/>
      </w:pPr>
      <w:bookmarkStart w:id="9" w:name="_Toc41498954"/>
      <w:bookmarkStart w:id="10" w:name="_Toc42109027"/>
      <w:r w:rsidRPr="004467D0">
        <w:t xml:space="preserve">Beispiel 1:  </w:t>
      </w:r>
      <w:bookmarkEnd w:id="9"/>
      <w:r w:rsidRPr="004467D0">
        <w:t>Elternlinien von Mais (vergleiche Anlage II, Beispiel 1)</w:t>
      </w:r>
      <w:bookmarkEnd w:id="10"/>
    </w:p>
    <w:p w:rsidR="00E27D04" w:rsidRPr="00C66D18" w:rsidRDefault="00E27D04" w:rsidP="00AF3F4B">
      <w:r w:rsidRPr="00C66D18">
        <w:t>2.2.1</w:t>
      </w:r>
      <w:r w:rsidRPr="00C66D18">
        <w:tab/>
        <w:t xml:space="preserve">Ein Schlüsselaspekt des Prozesses der Eliminierung allgemein bekannter Sorten vor der DUS Anbauprüfung ist, </w:t>
      </w:r>
      <w:r w:rsidR="004A5537" w:rsidRPr="00C66D18">
        <w:t>dass</w:t>
      </w:r>
      <w:r w:rsidRPr="00C66D18">
        <w:t xml:space="preserve"> die Schwelle mit einer angemessenen Sicherheitsmarge festgesetzt wird. Diese Schwelle wird als „Unterscheidbarkeitsschwelle plus“ bezeichnet, was bedeutet, </w:t>
      </w:r>
      <w:r w:rsidR="004A5537" w:rsidRPr="00C66D18">
        <w:t>dass</w:t>
      </w:r>
      <w:r w:rsidRPr="00C66D18">
        <w:t xml:space="preserve"> die Abstände zwischen einer Kandidatensorte und Sorten mit „Unterscheidbarkeit plus“ robust genug sind, um ohne direkten Vergleich in der Anbauprüfung eine Entscheidung zu treffen.</w:t>
      </w:r>
    </w:p>
    <w:p w:rsidR="00E27D04" w:rsidRPr="00C66D18" w:rsidRDefault="00E27D04" w:rsidP="00E27D04"/>
    <w:p w:rsidR="00E27D04" w:rsidRPr="00C66D18" w:rsidRDefault="00E27D04" w:rsidP="00E27D04">
      <w:r w:rsidRPr="00C66D18">
        <w:t>2.2.2</w:t>
      </w:r>
      <w:r w:rsidRPr="00C66D18">
        <w:tab/>
        <w:t>Eine Kombination phänotypischer Unterschiede und molekularer Abstände kann auf folgender Grundlage verwendet werden, um innerhalb der Sortensammlung diejenigen Sorten auszuweisen, die mit Kandidatensorten verglichen werden müssen, um die Auswahl der Sorten mit „Unterscheidbarkeit plus“ zu verbessern:</w:t>
      </w:r>
    </w:p>
    <w:p w:rsidR="00E27D04" w:rsidRPr="00C66D18" w:rsidRDefault="00E27D04" w:rsidP="00E27D04"/>
    <w:p w:rsidR="00E27D04" w:rsidRPr="00C66D18" w:rsidRDefault="00E27D04" w:rsidP="00330FB5">
      <w:pPr>
        <w:ind w:firstLine="567"/>
      </w:pPr>
      <w:r w:rsidRPr="00C66D18">
        <w:t>a)</w:t>
      </w:r>
      <w:r w:rsidRPr="00C66D18">
        <w:tab/>
        <w:t xml:space="preserve">es gibt zuverlässige Information, </w:t>
      </w:r>
      <w:r w:rsidR="004A5537" w:rsidRPr="00C66D18">
        <w:t>dass</w:t>
      </w:r>
      <w:r w:rsidRPr="00C66D18">
        <w:t xml:space="preserve"> die molekularen Abstände in ausreichendem Bezug zu phänotypischen Unterschieden stehen, so </w:t>
      </w:r>
      <w:r w:rsidR="004A5537" w:rsidRPr="00C66D18">
        <w:t>dass</w:t>
      </w:r>
    </w:p>
    <w:p w:rsidR="00E27D04" w:rsidRPr="00C66D18" w:rsidRDefault="00E27D04" w:rsidP="00330FB5">
      <w:pPr>
        <w:ind w:firstLine="567"/>
      </w:pPr>
    </w:p>
    <w:p w:rsidR="00E27D04" w:rsidRPr="00C66D18" w:rsidRDefault="00E27D04" w:rsidP="00330FB5">
      <w:pPr>
        <w:ind w:firstLine="567"/>
      </w:pPr>
      <w:r w:rsidRPr="00C66D18">
        <w:t>b)</w:t>
      </w:r>
      <w:r w:rsidRPr="00C66D18">
        <w:tab/>
        <w:t>die Methode Sorten in der Sortensammlung auswählt, die den Kandidatensorten ähnlich sind; und</w:t>
      </w:r>
    </w:p>
    <w:p w:rsidR="00E27D04" w:rsidRPr="00C66D18" w:rsidRDefault="00E27D04" w:rsidP="00330FB5">
      <w:pPr>
        <w:ind w:firstLine="567"/>
      </w:pPr>
    </w:p>
    <w:p w:rsidR="00E27D04" w:rsidRPr="00C66D18" w:rsidRDefault="00E27D04" w:rsidP="00330FB5">
      <w:pPr>
        <w:ind w:firstLine="567"/>
      </w:pPr>
      <w:r w:rsidRPr="00C66D18">
        <w:t>c)</w:t>
      </w:r>
      <w:r w:rsidRPr="00C66D18">
        <w:tab/>
        <w:t xml:space="preserve">die Methode kein erhöhtes Risiko schafft, </w:t>
      </w:r>
      <w:r w:rsidR="004A5537" w:rsidRPr="00C66D18">
        <w:t>dass</w:t>
      </w:r>
      <w:r w:rsidRPr="00C66D18">
        <w:t xml:space="preserve"> eine Sorte in der Sortensammlung, die im Feld mit den Kandidatensorten verglichen werden </w:t>
      </w:r>
      <w:r w:rsidR="004A5537" w:rsidRPr="00C66D18">
        <w:t>muss</w:t>
      </w:r>
      <w:r w:rsidRPr="00C66D18">
        <w:t>, nicht ausgewählt wird.</w:t>
      </w:r>
    </w:p>
    <w:p w:rsidR="00E27D04" w:rsidRPr="00C66D18" w:rsidRDefault="00E27D04" w:rsidP="00E27D04"/>
    <w:p w:rsidR="00552861" w:rsidRPr="00C66D18" w:rsidRDefault="00E27D04" w:rsidP="00E27D04">
      <w:r w:rsidRPr="00C66D18">
        <w:t>2.2.3</w:t>
      </w:r>
      <w:r w:rsidRPr="00C66D18">
        <w:tab/>
        <w:t xml:space="preserve">Anlage </w:t>
      </w:r>
      <w:r w:rsidR="00764B1B" w:rsidRPr="00C66D18">
        <w:t>II</w:t>
      </w:r>
      <w:r w:rsidRPr="00C66D18">
        <w:t xml:space="preserve"> dieses Dokuments „Kombination phänotypischer und molekularer Abstände bei der Verwaltung von Sortensammlungen“ gibt ein Beispiel für die Verwendung der Kombination phänotypischer Unterschiede und molekularer Abstände bei der Verwaltung von Sortensammlungen</w:t>
      </w:r>
      <w:r w:rsidR="009E03F2" w:rsidRPr="00C66D18">
        <w:t>.</w:t>
      </w:r>
    </w:p>
    <w:p w:rsidR="00552861" w:rsidRDefault="00552861" w:rsidP="00552861"/>
    <w:p w:rsidR="004C7034" w:rsidRPr="00C66D18" w:rsidRDefault="004C7034" w:rsidP="00552861"/>
    <w:p w:rsidR="00AF3F4B" w:rsidRPr="00AC081C" w:rsidRDefault="00AC081C" w:rsidP="00AC081C">
      <w:pPr>
        <w:pStyle w:val="Heading3"/>
        <w:rPr>
          <w:lang w:val="de-DE"/>
        </w:rPr>
      </w:pPr>
      <w:bookmarkStart w:id="11" w:name="_Toc42109028"/>
      <w:r w:rsidRPr="00F32673">
        <w:rPr>
          <w:rFonts w:cs="Arial"/>
          <w:lang w:val="de-DE"/>
        </w:rPr>
        <w:t xml:space="preserve">Beispiel 2: </w:t>
      </w:r>
      <w:r w:rsidR="00AF3F4B" w:rsidRPr="00F32673">
        <w:rPr>
          <w:lang w:val="de-DE"/>
        </w:rPr>
        <w:t xml:space="preserve">Genetische Auswahl von ähnlichen Sorten für die erste Wachstumsperiode </w:t>
      </w:r>
      <w:r w:rsidRPr="00F32673">
        <w:rPr>
          <w:rFonts w:cs="Arial"/>
          <w:lang w:val="de-DE"/>
        </w:rPr>
        <w:t>(vergleiche Anlage II, Beispiel 2)</w:t>
      </w:r>
      <w:bookmarkEnd w:id="11"/>
    </w:p>
    <w:p w:rsidR="00650758" w:rsidRPr="00475ABF" w:rsidRDefault="00650758" w:rsidP="00650758">
      <w:pPr>
        <w:rPr>
          <w:rFonts w:cs="Arial"/>
        </w:rPr>
      </w:pPr>
      <w:r w:rsidRPr="00475ABF">
        <w:rPr>
          <w:rFonts w:cs="Arial"/>
        </w:rPr>
        <w:t xml:space="preserve">2.2.4 </w:t>
      </w:r>
      <w:r w:rsidRPr="00475ABF">
        <w:rPr>
          <w:rFonts w:cs="Arial"/>
        </w:rPr>
        <w:tab/>
        <w:t>Dieser Ansatz beinhaltet einen Schritt zur Prüfung auf genetische Ähnlichkeit vor der ersten Wachstumsperiode.</w:t>
      </w:r>
    </w:p>
    <w:p w:rsidR="00650758" w:rsidRPr="00475ABF" w:rsidRDefault="00650758" w:rsidP="00650758">
      <w:pPr>
        <w:rPr>
          <w:rFonts w:cs="Arial"/>
        </w:rPr>
      </w:pPr>
    </w:p>
    <w:p w:rsidR="00650758" w:rsidRPr="00475ABF" w:rsidRDefault="00650758" w:rsidP="00650758">
      <w:pPr>
        <w:rPr>
          <w:rFonts w:cs="Arial"/>
        </w:rPr>
      </w:pPr>
      <w:r w:rsidRPr="00475ABF">
        <w:rPr>
          <w:rFonts w:cs="Arial"/>
        </w:rPr>
        <w:t>2.2.5</w:t>
      </w:r>
      <w:r w:rsidRPr="00475ABF">
        <w:rPr>
          <w:rFonts w:cs="Arial"/>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rsidR="00650758" w:rsidRPr="00475ABF" w:rsidRDefault="00650758" w:rsidP="00650758">
      <w:pPr>
        <w:rPr>
          <w:rFonts w:cs="Arial"/>
        </w:rPr>
      </w:pPr>
    </w:p>
    <w:p w:rsidR="00650758" w:rsidRPr="00475ABF" w:rsidRDefault="00650758" w:rsidP="00650758">
      <w:pPr>
        <w:rPr>
          <w:rFonts w:cs="Arial"/>
        </w:rPr>
      </w:pPr>
      <w:r w:rsidRPr="00475ABF">
        <w:rPr>
          <w:rFonts w:cs="Arial"/>
        </w:rPr>
        <w:t>2.2.6</w:t>
      </w:r>
      <w:r w:rsidRPr="00475ABF">
        <w:rPr>
          <w:rFonts w:cs="Arial"/>
        </w:rPr>
        <w:tab/>
        <w:t>Auf der Grundlage der in der ersten Wachstumsperiode erstellten Sortenbeschreibung von DUS</w:t>
      </w:r>
      <w:r w:rsidRPr="00475ABF">
        <w:rPr>
          <w:rFonts w:cs="Arial"/>
        </w:rPr>
        <w:noBreakHyphen/>
        <w:t>Merkmalen wird unter den</w:t>
      </w:r>
      <w:r w:rsidRPr="00475ABF" w:rsidDel="00250BCC">
        <w:rPr>
          <w:rFonts w:cs="Arial"/>
        </w:rPr>
        <w:t xml:space="preserve"> </w:t>
      </w:r>
      <w:r w:rsidRPr="00475ABF">
        <w:rPr>
          <w:rFonts w:cs="Arial"/>
        </w:rPr>
        <w:t xml:space="preserve">Sorten in der Sortensammlung weiter nach ähnlichen Sorten gesucht, die in der ersten Wachstumsperiode nicht verglichen wurden und die in der zweiten Wachstumsperiode mit der Kandidatensorte verglichen werden sollten. </w:t>
      </w:r>
    </w:p>
    <w:p w:rsidR="00650758" w:rsidRPr="00475ABF" w:rsidRDefault="00650758" w:rsidP="00650758">
      <w:pPr>
        <w:rPr>
          <w:rFonts w:cs="Arial"/>
        </w:rPr>
      </w:pPr>
    </w:p>
    <w:p w:rsidR="00650758" w:rsidRPr="00475ABF" w:rsidRDefault="00650758" w:rsidP="00650758">
      <w:pPr>
        <w:rPr>
          <w:rFonts w:cs="Arial"/>
        </w:rPr>
      </w:pPr>
      <w:r w:rsidRPr="00475ABF">
        <w:rPr>
          <w:rFonts w:cs="Arial"/>
        </w:rPr>
        <w:t>2.2.7</w:t>
      </w:r>
      <w:r w:rsidRPr="00475ABF">
        <w:rPr>
          <w:rFonts w:cs="Arial"/>
        </w:rPr>
        <w:tab/>
      </w:r>
      <w:r w:rsidR="001F780E" w:rsidRPr="00475ABF">
        <w:rPr>
          <w:rFonts w:cs="Arial"/>
        </w:rPr>
        <w:t>Beispiel 2 in A</w:t>
      </w:r>
      <w:r w:rsidRPr="00475ABF">
        <w:rPr>
          <w:rFonts w:cs="Arial"/>
        </w:rPr>
        <w:t>nlage II</w:t>
      </w:r>
      <w:r w:rsidR="001F780E" w:rsidRPr="00475ABF">
        <w:rPr>
          <w:rFonts w:cs="Arial"/>
        </w:rPr>
        <w:t xml:space="preserve"> dieses Dokuments</w:t>
      </w:r>
      <w:r w:rsidRPr="00475ABF">
        <w:rPr>
          <w:rFonts w:cs="Arial"/>
        </w:rPr>
        <w:t xml:space="preserve"> enthält ein Beispiel für die genetische Auswahl ähnlicher Sorten für die erste Wachstumsperiode.</w:t>
      </w:r>
    </w:p>
    <w:p w:rsidR="00E306B7" w:rsidRPr="00AF3F4B" w:rsidRDefault="00E306B7" w:rsidP="00AF3F4B"/>
    <w:p w:rsidR="00E306B7" w:rsidRDefault="00E306B7" w:rsidP="00AF3F4B"/>
    <w:p w:rsidR="00E054E2" w:rsidRPr="00AF3F4B" w:rsidRDefault="00E054E2" w:rsidP="00AF3F4B"/>
    <w:p w:rsidR="00E306B7" w:rsidRPr="00C66D18" w:rsidRDefault="00F47866" w:rsidP="00F47866">
      <w:pPr>
        <w:jc w:val="right"/>
      </w:pPr>
      <w:r w:rsidRPr="00C66D18">
        <w:t>[Anlagen folgen]</w:t>
      </w:r>
    </w:p>
    <w:p w:rsidR="00E306B7" w:rsidRPr="00C66D18" w:rsidRDefault="00E306B7" w:rsidP="00E306B7">
      <w:pPr>
        <w:pStyle w:val="Header"/>
        <w:jc w:val="both"/>
        <w:rPr>
          <w:lang w:val="de-DE"/>
        </w:rPr>
        <w:sectPr w:rsidR="00E306B7" w:rsidRPr="00C66D18" w:rsidSect="009C58F7">
          <w:headerReference w:type="default" r:id="rId10"/>
          <w:pgSz w:w="11907" w:h="16840" w:code="9"/>
          <w:pgMar w:top="510" w:right="1134" w:bottom="993" w:left="1134" w:header="510" w:footer="680" w:gutter="0"/>
          <w:cols w:space="720"/>
          <w:titlePg/>
        </w:sectPr>
      </w:pPr>
    </w:p>
    <w:p w:rsidR="00E306B7" w:rsidRPr="00C66D18" w:rsidRDefault="00F47866" w:rsidP="00E306B7">
      <w:pPr>
        <w:jc w:val="center"/>
      </w:pPr>
      <w:bookmarkStart w:id="12" w:name="_Toc311473363"/>
      <w:r w:rsidRPr="00C66D18">
        <w:lastRenderedPageBreak/>
        <w:t>ANLAGE</w:t>
      </w:r>
      <w:r w:rsidR="00E306B7" w:rsidRPr="00C66D18">
        <w:t xml:space="preserve"> </w:t>
      </w:r>
      <w:bookmarkEnd w:id="12"/>
      <w:r w:rsidR="00207199" w:rsidRPr="00C66D18">
        <w:t>I</w:t>
      </w:r>
    </w:p>
    <w:p w:rsidR="00E306B7" w:rsidRPr="00C66D18" w:rsidRDefault="00E306B7" w:rsidP="00E306B7">
      <w:pPr>
        <w:jc w:val="center"/>
      </w:pPr>
    </w:p>
    <w:p w:rsidR="00E306B7" w:rsidRPr="00C66D18" w:rsidRDefault="00E306B7" w:rsidP="00E306B7">
      <w:pPr>
        <w:jc w:val="center"/>
      </w:pPr>
    </w:p>
    <w:p w:rsidR="00E306B7" w:rsidRPr="00C66D18" w:rsidRDefault="00F47866" w:rsidP="00E306B7">
      <w:pPr>
        <w:pBdr>
          <w:top w:val="single" w:sz="4" w:space="1" w:color="auto"/>
          <w:left w:val="single" w:sz="4" w:space="4" w:color="auto"/>
          <w:bottom w:val="single" w:sz="4" w:space="1" w:color="auto"/>
          <w:right w:val="single" w:sz="4" w:space="4" w:color="auto"/>
        </w:pBdr>
        <w:jc w:val="center"/>
        <w:rPr>
          <w:snapToGrid w:val="0"/>
          <w:color w:val="000000"/>
        </w:rPr>
      </w:pPr>
      <w:bookmarkStart w:id="13" w:name="_Toc285523706"/>
      <w:bookmarkStart w:id="14" w:name="_Toc311473364"/>
      <w:r w:rsidRPr="00C66D18">
        <w:rPr>
          <w:snapToGrid w:val="0"/>
        </w:rPr>
        <w:t>MODELL: MERKMALS</w:t>
      </w:r>
      <w:r w:rsidR="00421E78" w:rsidRPr="00C66D18">
        <w:rPr>
          <w:snapToGrid w:val="0"/>
        </w:rPr>
        <w:t>S</w:t>
      </w:r>
      <w:r w:rsidRPr="00C66D18">
        <w:rPr>
          <w:snapToGrid w:val="0"/>
        </w:rPr>
        <w:t>PEZIFISCHE MOLEKULARE MARKER</w:t>
      </w:r>
      <w:bookmarkEnd w:id="13"/>
      <w:bookmarkEnd w:id="14"/>
    </w:p>
    <w:p w:rsidR="00E306B7" w:rsidRPr="00C66D18" w:rsidRDefault="00E306B7" w:rsidP="00E306B7">
      <w:pPr>
        <w:jc w:val="center"/>
      </w:pPr>
      <w:bookmarkStart w:id="15" w:name="_Toc311473365"/>
    </w:p>
    <w:p w:rsidR="00E306B7" w:rsidRPr="00C66D18" w:rsidRDefault="00E306B7" w:rsidP="00E306B7">
      <w:pPr>
        <w:jc w:val="center"/>
      </w:pPr>
    </w:p>
    <w:p w:rsidR="00E306B7" w:rsidRPr="00C66D18" w:rsidRDefault="00F47866" w:rsidP="00E306B7">
      <w:pPr>
        <w:jc w:val="center"/>
      </w:pPr>
      <w:r w:rsidRPr="00C66D18">
        <w:t>BEISPIEL</w:t>
      </w:r>
      <w:r w:rsidR="00520102">
        <w:t xml:space="preserve"> </w:t>
      </w:r>
      <w:r w:rsidR="00520102" w:rsidRPr="00E054E2">
        <w:t>1</w:t>
      </w:r>
      <w:r w:rsidRPr="00C66D18">
        <w:t>: GENSPEZIFISCHE MARKER FÜR HERBIZIDTOLERANZ</w:t>
      </w:r>
      <w:bookmarkEnd w:id="15"/>
    </w:p>
    <w:p w:rsidR="00E306B7" w:rsidRPr="00C66D18" w:rsidRDefault="00E306B7" w:rsidP="00E306B7">
      <w:pPr>
        <w:jc w:val="center"/>
      </w:pPr>
    </w:p>
    <w:p w:rsidR="00E306B7" w:rsidRPr="00C66D18" w:rsidRDefault="00E306B7" w:rsidP="00E306B7">
      <w:pPr>
        <w:jc w:val="center"/>
      </w:pPr>
    </w:p>
    <w:p w:rsidR="00E306B7" w:rsidRPr="00C66D18" w:rsidRDefault="00C211BB" w:rsidP="00F47866">
      <w:pPr>
        <w:jc w:val="center"/>
        <w:rPr>
          <w:rFonts w:cs="Arial"/>
        </w:rPr>
      </w:pPr>
      <w:r w:rsidRPr="00C66D18">
        <w:rPr>
          <w:i/>
        </w:rPr>
        <w:t>von Sachverständigen aus Frankreich ausgearbeitet</w:t>
      </w:r>
    </w:p>
    <w:p w:rsidR="00E306B7" w:rsidRPr="00C66D18" w:rsidRDefault="00E306B7" w:rsidP="00E306B7">
      <w:pPr>
        <w:rPr>
          <w:rFonts w:cs="Arial"/>
        </w:rPr>
      </w:pPr>
    </w:p>
    <w:p w:rsidR="00C211BB" w:rsidRPr="005327D1" w:rsidRDefault="00C211BB" w:rsidP="00C211BB">
      <w:pPr>
        <w:rPr>
          <w:u w:val="single"/>
        </w:rPr>
      </w:pPr>
      <w:r w:rsidRPr="005327D1">
        <w:rPr>
          <w:u w:val="single"/>
        </w:rPr>
        <w:t>Beispiel</w:t>
      </w:r>
    </w:p>
    <w:p w:rsidR="00C211BB" w:rsidRPr="00C66D18" w:rsidRDefault="00C211BB" w:rsidP="00C211BB"/>
    <w:p w:rsidR="00C211BB" w:rsidRPr="00C66D18" w:rsidRDefault="00C211BB" w:rsidP="00C211BB">
      <w:r w:rsidRPr="00C66D18">
        <w:t>1.</w:t>
      </w:r>
      <w:r w:rsidRPr="00C66D18">
        <w:tab/>
        <w:t>Eine Sorte wird durch Einführung eines Gens für die Toleranz gegenüber dem Herbizid „</w:t>
      </w:r>
      <w:r w:rsidR="00330FB5">
        <w:t>Formel X</w:t>
      </w:r>
      <w:r w:rsidRPr="00C66D18">
        <w:t xml:space="preserve">” genetisch modifiziert. Sorten mit diesem Gen werden nicht geschädigt, wenn sie mit </w:t>
      </w:r>
      <w:r w:rsidR="00330FB5">
        <w:t>Formel X</w:t>
      </w:r>
      <w:r w:rsidRPr="00C66D18">
        <w:t xml:space="preserve"> besprüht werden; Sorten ohne dieses Gen werden hingegen stets abgetötet, wenn sie mit diesem bestimmten Herbizid behandelt werden. Die Toleranz gegenüber der </w:t>
      </w:r>
      <w:r w:rsidR="00330FB5">
        <w:t>Formel X</w:t>
      </w:r>
      <w:r w:rsidRPr="00C66D18">
        <w:t xml:space="preserve">, die in Feldprüfungen durch Besprühen von Parzellen untersucht wurde, ist ein akzeptiertes DUS-Merkmal und kann zur Begründung der Unterscheidbarkeit von Sorten verwendet werden. </w:t>
      </w:r>
    </w:p>
    <w:p w:rsidR="00C211BB" w:rsidRPr="00C66D18" w:rsidRDefault="00C211BB" w:rsidP="00C211BB"/>
    <w:p w:rsidR="00C211BB" w:rsidRPr="00C66D18" w:rsidRDefault="00C211BB" w:rsidP="00C211BB">
      <w:r w:rsidRPr="00C66D18">
        <w:t>2.</w:t>
      </w:r>
      <w:r w:rsidRPr="00C66D18">
        <w:tab/>
        <w:t xml:space="preserve">Es wird vorgeschlagen, </w:t>
      </w:r>
      <w:r w:rsidR="004A5537" w:rsidRPr="00C66D18">
        <w:t>dass</w:t>
      </w:r>
      <w:r w:rsidRPr="00C66D18">
        <w:t xml:space="preserve"> das Merkmal „Toleranz gegenüber der </w:t>
      </w:r>
      <w:r w:rsidR="00330FB5">
        <w:t>Formel X</w:t>
      </w:r>
      <w:r w:rsidRPr="00C66D18">
        <w:t xml:space="preserve">” geprüft werden sollte, indem eine Prüfung auf Vorhandensein eines mit dem Gen verbundenen molekularen Markers durchgeführt wird, anstatt die Sorten im Feld zu besprühen (dies ist bei der Standard-DUS-Prüfung schwer durchzuführen). Dieser Marker befindet sich auf einem Teil des Gen-„Konstrukts”. Das Gen-„Konstrukt” </w:t>
      </w:r>
      <w:r w:rsidR="004A5537" w:rsidRPr="00C66D18">
        <w:t>umfasst</w:t>
      </w:r>
      <w:r w:rsidRPr="00C66D18">
        <w:t xml:space="preserve"> alle Elemente die während der genetischen Modifizierung in die Pflanze eingeführt werden, und enthält außer dem Gen selbst zusätzliche Elemente für die Regulierung des Gens, wenn es in der Pflanze ist. Der Markerlocus kann sich im Gen, teilweise auf dem Gen oder außerhalb des Gens selbst befinden.</w:t>
      </w:r>
    </w:p>
    <w:p w:rsidR="00C211BB" w:rsidRPr="00C66D18" w:rsidRDefault="00C211BB" w:rsidP="00C211BB"/>
    <w:p w:rsidR="00C211BB" w:rsidRPr="00C66D18" w:rsidRDefault="00C211BB" w:rsidP="00C211BB">
      <w:pPr>
        <w:rPr>
          <w:u w:val="single"/>
        </w:rPr>
      </w:pPr>
      <w:r w:rsidRPr="00C66D18">
        <w:rPr>
          <w:u w:val="single"/>
        </w:rPr>
        <w:t>Annahmen, die im Beispiel aufzustellen sind</w:t>
      </w:r>
    </w:p>
    <w:p w:rsidR="00C211BB" w:rsidRPr="00C66D18" w:rsidRDefault="00C211BB" w:rsidP="00C211BB"/>
    <w:p w:rsidR="00C211BB" w:rsidRPr="00C66D18" w:rsidRDefault="00C211BB" w:rsidP="00C211BB">
      <w:r w:rsidRPr="00C66D18">
        <w:t>3.</w:t>
      </w:r>
      <w:r w:rsidRPr="00C66D18">
        <w:tab/>
        <w:t>Folgende Annahmen werden aufgestellt:</w:t>
      </w:r>
    </w:p>
    <w:p w:rsidR="00C211BB" w:rsidRPr="00C66D18" w:rsidRDefault="00C211BB" w:rsidP="00C211BB"/>
    <w:p w:rsidR="00C211BB" w:rsidRPr="00C66D18" w:rsidRDefault="00C211BB" w:rsidP="00A87385">
      <w:pPr>
        <w:ind w:left="567"/>
      </w:pPr>
      <w:r w:rsidRPr="00C66D18">
        <w:t>a)</w:t>
      </w:r>
      <w:r w:rsidRPr="00C66D18">
        <w:tab/>
        <w:t>Die DUS-Prüfung</w:t>
      </w:r>
    </w:p>
    <w:p w:rsidR="00C211BB" w:rsidRPr="00C66D18" w:rsidRDefault="00C211BB" w:rsidP="00C211BB"/>
    <w:p w:rsidR="00C211BB" w:rsidRPr="00C66D18" w:rsidRDefault="00C211BB" w:rsidP="005327D1">
      <w:pPr>
        <w:ind w:firstLine="567"/>
      </w:pPr>
      <w:r w:rsidRPr="00C66D18">
        <w:t xml:space="preserve">Es wird angenommen, </w:t>
      </w:r>
      <w:r w:rsidR="004A5537" w:rsidRPr="00C66D18">
        <w:t>dass</w:t>
      </w:r>
      <w:r w:rsidRPr="00C66D18">
        <w:t xml:space="preserve"> die Prüfung des Markers im gleichen Umfang wie die Feldprüfung durchgeführt wird, d. h. die gleiche Anzahl Einzelpflanzen über die gleiche Anzahl Jahre und mit den gleichen Kriterien für die Unterscheidbarkeit, die Homogenität und die Beständigkeit.</w:t>
      </w:r>
    </w:p>
    <w:p w:rsidR="00C211BB" w:rsidRPr="00C66D18" w:rsidRDefault="00C211BB" w:rsidP="00C211BB"/>
    <w:p w:rsidR="00C211BB" w:rsidRPr="00C66D18" w:rsidRDefault="00C211BB" w:rsidP="00A87385">
      <w:pPr>
        <w:ind w:left="567"/>
      </w:pPr>
      <w:r w:rsidRPr="00C66D18">
        <w:t>b)</w:t>
      </w:r>
      <w:r w:rsidRPr="00C66D18">
        <w:tab/>
        <w:t>Zuverlässigkeit der Verbindung</w:t>
      </w:r>
    </w:p>
    <w:p w:rsidR="00C211BB" w:rsidRPr="00C66D18" w:rsidRDefault="00C211BB" w:rsidP="00C211BB"/>
    <w:p w:rsidR="00C211BB" w:rsidRPr="00C66D18" w:rsidRDefault="00C211BB" w:rsidP="005327D1">
      <w:pPr>
        <w:ind w:firstLine="567"/>
      </w:pPr>
      <w:r w:rsidRPr="00C66D18">
        <w:t xml:space="preserve">Es wird angenommen, </w:t>
      </w:r>
      <w:r w:rsidR="004A5537" w:rsidRPr="00C66D18">
        <w:t>dass</w:t>
      </w:r>
      <w:r w:rsidRPr="00C66D18">
        <w:t xml:space="preserve"> die Verbindung zwischen dem Marker und dem Gen überprüft würde, um sicherzustellen, </w:t>
      </w:r>
      <w:r w:rsidR="004A5537" w:rsidRPr="00C66D18">
        <w:t>dass</w:t>
      </w:r>
      <w:r w:rsidRPr="00C66D18">
        <w:t xml:space="preserve"> der Marker ein </w:t>
      </w:r>
      <w:r w:rsidR="004A5537" w:rsidRPr="00C66D18">
        <w:t>verlässlicher</w:t>
      </w:r>
      <w:r w:rsidRPr="00C66D18">
        <w:t xml:space="preserve"> Prädiktor für die Toleranz gegenüber der </w:t>
      </w:r>
      <w:r w:rsidR="00330FB5">
        <w:t>Formel X</w:t>
      </w:r>
      <w:r w:rsidRPr="00C66D18">
        <w:t xml:space="preserve"> ist. Diese Überprüfung wäre notwendig, um beispielsweise sicherzustellen, </w:t>
      </w:r>
      <w:r w:rsidR="004A5537" w:rsidRPr="00C66D18">
        <w:t>dass</w:t>
      </w:r>
      <w:r w:rsidRPr="00C66D18">
        <w:t xml:space="preserve"> der Marker nicht vom Gen getrennt wird und </w:t>
      </w:r>
      <w:r w:rsidR="004A5537" w:rsidRPr="00C66D18">
        <w:t>dass</w:t>
      </w:r>
      <w:r w:rsidRPr="00C66D18">
        <w:t xml:space="preserve"> das Vorhandensein des Gens noch immer zur Toleranz gegenüber der </w:t>
      </w:r>
      <w:r w:rsidR="00330FB5">
        <w:t>Formel X</w:t>
      </w:r>
      <w:r w:rsidRPr="00C66D18">
        <w:t xml:space="preserve"> führt.</w:t>
      </w:r>
    </w:p>
    <w:p w:rsidR="00C211BB" w:rsidRPr="00C66D18" w:rsidRDefault="00C211BB" w:rsidP="00C211BB"/>
    <w:p w:rsidR="00C211BB" w:rsidRPr="00C66D18" w:rsidRDefault="00C211BB" w:rsidP="00A87385">
      <w:pPr>
        <w:ind w:left="567"/>
      </w:pPr>
      <w:r w:rsidRPr="00C66D18">
        <w:t>c)</w:t>
      </w:r>
      <w:r w:rsidRPr="00C66D18">
        <w:tab/>
        <w:t>Entwicklung verschiedener molekularer Marker für dasselbe Gen</w:t>
      </w:r>
    </w:p>
    <w:p w:rsidR="00C211BB" w:rsidRPr="00C66D18" w:rsidRDefault="00C211BB" w:rsidP="00C211BB"/>
    <w:p w:rsidR="00C211BB" w:rsidRPr="00C66D18" w:rsidRDefault="00C211BB" w:rsidP="005327D1">
      <w:pPr>
        <w:ind w:firstLine="567"/>
      </w:pPr>
      <w:r w:rsidRPr="00C66D18">
        <w:t xml:space="preserve">Es wäre möglich, verschiedene Genkonstrukte zu entwickeln, die die Toleranz gegenüber der </w:t>
      </w:r>
      <w:r w:rsidR="00330FB5">
        <w:t>Formel X</w:t>
      </w:r>
      <w:r w:rsidRPr="00C66D18">
        <w:t xml:space="preserve"> enthalten, und getrennte molekulare Marker für diese einzelnen Genkonstrukte zu identifizieren, die sämtlich mit genau demselben Gen für die Toleranz gegenüber der </w:t>
      </w:r>
      <w:r w:rsidR="00330FB5">
        <w:t>Formel X</w:t>
      </w:r>
      <w:r w:rsidRPr="00C66D18">
        <w:t xml:space="preserve"> verbunden wären. Wenn alle verschiedenen Marker für dasselbe Gen als verschiedene Methoden für die Prüfung </w:t>
      </w:r>
      <w:r w:rsidRPr="00C66D18">
        <w:rPr>
          <w:i/>
        </w:rPr>
        <w:t>desselben vorhandenen phänotypischen Merkmals</w:t>
      </w:r>
      <w:r w:rsidRPr="00C66D18">
        <w:t xml:space="preserve"> akzeptiert würden, wäre die Prüfung des Vorgehens gleich. Für die Verwendung „Molekularer […] [Marker] als Prädikt</w:t>
      </w:r>
      <w:r w:rsidR="0033787D" w:rsidRPr="00C66D18">
        <w:t>oren für herkömmliche Merkmale”</w:t>
      </w:r>
      <w:r w:rsidRPr="00C66D18">
        <w:t xml:space="preserve"> </w:t>
      </w:r>
      <w:r w:rsidR="004A5537" w:rsidRPr="00C66D18">
        <w:t>muss</w:t>
      </w:r>
      <w:r w:rsidRPr="00C66D18">
        <w:t xml:space="preserve"> auf der Grundlage gearbeitet werden, </w:t>
      </w:r>
      <w:r w:rsidR="004A5537" w:rsidRPr="00C66D18">
        <w:t>dass</w:t>
      </w:r>
      <w:r w:rsidRPr="00C66D18">
        <w:t xml:space="preserve"> die Marker einem herkömmlichen, d. h. bestehenden, akzeptierten Merkmal entsprechen. Daher wird angenommen, </w:t>
      </w:r>
      <w:r w:rsidR="004A5537" w:rsidRPr="00C66D18">
        <w:t>dass</w:t>
      </w:r>
      <w:r w:rsidRPr="00C66D18">
        <w:t xml:space="preserve"> verschiedene Marker für dasselbe Gen als verschiedene Methoden für die Prüfung desselben Merkmals behandelt würden, d. h. der Toleranz gegenüber der </w:t>
      </w:r>
      <w:r w:rsidR="00330FB5">
        <w:t>Formel X</w:t>
      </w:r>
      <w:r w:rsidRPr="00C66D18">
        <w:t>.</w:t>
      </w:r>
    </w:p>
    <w:p w:rsidR="00C211BB" w:rsidRPr="00C66D18" w:rsidRDefault="00C211BB" w:rsidP="00C211BB"/>
    <w:p w:rsidR="00C211BB" w:rsidRPr="00C66D18" w:rsidRDefault="00C211BB" w:rsidP="00A87385">
      <w:pPr>
        <w:ind w:left="567"/>
      </w:pPr>
      <w:r w:rsidRPr="00C66D18">
        <w:t>d)</w:t>
      </w:r>
      <w:r w:rsidRPr="00C66D18">
        <w:tab/>
        <w:t>Verschiedene Gene, die eine Toleranz gegenüber demselben Herbizid erzeugen</w:t>
      </w:r>
    </w:p>
    <w:p w:rsidR="00C211BB" w:rsidRPr="00C66D18" w:rsidRDefault="00C211BB" w:rsidP="00C211BB"/>
    <w:p w:rsidR="00C211BB" w:rsidRPr="00C66D18" w:rsidRDefault="00C211BB" w:rsidP="005327D1">
      <w:pPr>
        <w:ind w:firstLine="567"/>
      </w:pPr>
      <w:r w:rsidRPr="00C66D18">
        <w:t xml:space="preserve">Es wäre möglich, verschiedene Gene zu entwickeln, die die Toleranz gegenüber der </w:t>
      </w:r>
      <w:r w:rsidR="00330FB5">
        <w:t>Formel X</w:t>
      </w:r>
      <w:r w:rsidRPr="00C66D18">
        <w:t xml:space="preserve"> übertragen. Im einfachsten Fall könnte dies gleich angesehen werden wie verschiedene Marker für dasselbe Gen, d. h. die verschiedenen Gene mit ihren entsprechenden Markern würden als verschiedene Methoden für die Prüfung desselben Merkmals, d. h. de</w:t>
      </w:r>
      <w:r w:rsidR="005327D1">
        <w:t xml:space="preserve">r Toleranz gegenüber der </w:t>
      </w:r>
      <w:r w:rsidR="00330FB5">
        <w:t>Formel X</w:t>
      </w:r>
      <w:r w:rsidRPr="00C66D18">
        <w:t xml:space="preserve">, angesehen. Die verschiedenen </w:t>
      </w:r>
      <w:r w:rsidRPr="00C66D18">
        <w:lastRenderedPageBreak/>
        <w:t xml:space="preserve">Gene hätten jedoch vermutlich einen verschiedenen chemischen Mechanismus für die Erzeugung der Toleranz gegenüber der </w:t>
      </w:r>
      <w:r w:rsidR="00330FB5">
        <w:t>Formel X</w:t>
      </w:r>
      <w:r w:rsidRPr="00C66D18">
        <w:t xml:space="preserve">. So werden die aus den verschiedenen Genen erzeugten chemischen Substanzen verschieden sein, und diese verschiedenen chemischen Substanzen könnten in einigen Fällen die Grundlage für die Begründung der Unterscheidbarkeit bilden. Dennoch wäre es nach diesem Modell zunächst notwendig, die chemischen Bestandteile als UPOV-Merkmale zu akzeptieren, bevor die mit diesen potentiellen Merkmalen verbundenen molekularen Marker akzeptiert werden. Dies wiederum wäre ein getrenntes Beispiel. Daher wird angenommen, </w:t>
      </w:r>
      <w:r w:rsidR="004A5537" w:rsidRPr="00C66D18">
        <w:t>dass</w:t>
      </w:r>
      <w:r w:rsidRPr="00C66D18">
        <w:t xml:space="preserve"> verschiedene Gene als verschiedene Methoden für die Prüfung desselben Merkmals, d. h. der Toleranz gegenüber der </w:t>
      </w:r>
      <w:r w:rsidR="00330FB5">
        <w:t>Formel X</w:t>
      </w:r>
      <w:r w:rsidRPr="00C66D18">
        <w:t>, behandelt werden.</w:t>
      </w:r>
    </w:p>
    <w:p w:rsidR="00C211BB" w:rsidRPr="00C66D18" w:rsidRDefault="00C211BB" w:rsidP="00C211BB"/>
    <w:p w:rsidR="00C211BB" w:rsidRPr="00C66D18" w:rsidRDefault="00C211BB" w:rsidP="00A87385">
      <w:pPr>
        <w:ind w:left="567"/>
      </w:pPr>
      <w:r w:rsidRPr="00C66D18">
        <w:t>e)</w:t>
      </w:r>
      <w:r w:rsidRPr="00C66D18">
        <w:tab/>
        <w:t>Verschiedene Genkonstrukte, die dieselbe Herbizidtoleranz erzeugen, jedoch mit einer verschiedenen Ausprägungskontrolle</w:t>
      </w:r>
    </w:p>
    <w:p w:rsidR="00C211BB" w:rsidRPr="00C66D18" w:rsidRDefault="00C211BB" w:rsidP="00C211BB"/>
    <w:p w:rsidR="00E306B7" w:rsidRPr="00C66D18" w:rsidRDefault="00C211BB" w:rsidP="005327D1">
      <w:pPr>
        <w:ind w:firstLine="567"/>
      </w:pPr>
      <w:r w:rsidRPr="00C66D18">
        <w:t xml:space="preserve">Es ist auch möglich, </w:t>
      </w:r>
      <w:r w:rsidR="004A5537" w:rsidRPr="00C66D18">
        <w:t>dass</w:t>
      </w:r>
      <w:r w:rsidRPr="00C66D18">
        <w:t xml:space="preserve"> verschiedene Genkonstrukte entwickelt werden könnten, die dasselbe Gen für die Toleranz gegenüber der </w:t>
      </w:r>
      <w:r w:rsidR="00330FB5">
        <w:t>Formel X</w:t>
      </w:r>
      <w:r w:rsidRPr="00C66D18">
        <w:t xml:space="preserve"> enthalten, jedoch eine unterschiedliche Kontrolle haben. Die Kontrollelemente können beispielsweise dazu führen, </w:t>
      </w:r>
      <w:r w:rsidR="004A5537" w:rsidRPr="00C66D18">
        <w:t>dass</w:t>
      </w:r>
      <w:r w:rsidRPr="00C66D18">
        <w:t xml:space="preserve"> die Toleranz gegenüber der </w:t>
      </w:r>
      <w:r w:rsidR="00330FB5">
        <w:t>Formel X</w:t>
      </w:r>
      <w:r w:rsidRPr="00C66D18">
        <w:t xml:space="preserve"> nur in bestimmten Entwicklungsstadien eingeschaltet wird. Der Einfachheit halber wird bei der Prüfung dieses Beispiels angenommen, </w:t>
      </w:r>
      <w:r w:rsidR="004A5537" w:rsidRPr="00C66D18">
        <w:t>dass</w:t>
      </w:r>
      <w:r w:rsidRPr="00C66D18">
        <w:t xml:space="preserve"> die verschiedenen Marker, die mit verschiedenen Kontrollelementen für dasselbe Gen verbunden sind, sämtlich als verschiedene Methoden für die Prüfung desselben Merkmals der Toleranz gegenüber der </w:t>
      </w:r>
      <w:r w:rsidR="00330FB5">
        <w:t>Formel X</w:t>
      </w:r>
      <w:r w:rsidRPr="00C66D18">
        <w:t xml:space="preserve"> behandelt würden. Es wird jedoch auch angenommen, </w:t>
      </w:r>
      <w:r w:rsidR="004A5537" w:rsidRPr="00C66D18">
        <w:t>dass</w:t>
      </w:r>
      <w:r w:rsidRPr="00C66D18">
        <w:t xml:space="preserve"> diese Frage zu einem späteren Zeitpunkt weiter untersucht wird.</w:t>
      </w:r>
    </w:p>
    <w:p w:rsidR="00E306B7" w:rsidRPr="00C66D18" w:rsidRDefault="00E306B7" w:rsidP="00E306B7"/>
    <w:p w:rsidR="00520102" w:rsidRDefault="00520102">
      <w:pPr>
        <w:jc w:val="left"/>
      </w:pPr>
      <w:r>
        <w:br w:type="page"/>
      </w:r>
    </w:p>
    <w:p w:rsidR="00520102" w:rsidRPr="00E054E2" w:rsidRDefault="00520102" w:rsidP="00520102">
      <w:pPr>
        <w:pBdr>
          <w:top w:val="single" w:sz="4" w:space="1" w:color="auto"/>
          <w:left w:val="single" w:sz="4" w:space="4" w:color="auto"/>
          <w:bottom w:val="single" w:sz="4" w:space="1" w:color="auto"/>
          <w:right w:val="single" w:sz="4" w:space="4" w:color="auto"/>
        </w:pBdr>
        <w:jc w:val="center"/>
        <w:rPr>
          <w:snapToGrid w:val="0"/>
          <w:color w:val="000000"/>
        </w:rPr>
      </w:pPr>
      <w:r w:rsidRPr="00E054E2">
        <w:rPr>
          <w:snapToGrid w:val="0"/>
        </w:rPr>
        <w:lastRenderedPageBreak/>
        <w:t>MODELL: MERKMALSSPEZIFISCHE MOLEKULARE MARKER</w:t>
      </w:r>
    </w:p>
    <w:p w:rsidR="00520102" w:rsidRPr="00E054E2" w:rsidRDefault="00520102" w:rsidP="00520102">
      <w:pPr>
        <w:jc w:val="center"/>
      </w:pPr>
    </w:p>
    <w:p w:rsidR="00520102" w:rsidRPr="00E054E2" w:rsidRDefault="00520102" w:rsidP="00520102">
      <w:pPr>
        <w:jc w:val="center"/>
      </w:pPr>
    </w:p>
    <w:p w:rsidR="00520102" w:rsidRPr="00E054E2" w:rsidRDefault="00520102" w:rsidP="00520102">
      <w:pPr>
        <w:jc w:val="center"/>
        <w:rPr>
          <w:rFonts w:eastAsia="Calibri" w:cs="Arial"/>
        </w:rPr>
      </w:pPr>
      <w:r w:rsidRPr="00E054E2">
        <w:rPr>
          <w:rFonts w:eastAsia="Calibri" w:cs="Arial"/>
        </w:rPr>
        <w:t>BEISPIEL 2: GEN-SPEZIFISCHER MARKER MIT UNVOLLSTÄNDIGEN INFORMATIONEN ÜBER DIE AUSPRÄGUNGSSTUFE FÜR KRANKHEITSRESISTENZ BEI TOMATE</w:t>
      </w:r>
    </w:p>
    <w:p w:rsidR="00520102" w:rsidRPr="00E054E2" w:rsidRDefault="00520102" w:rsidP="00520102">
      <w:pPr>
        <w:jc w:val="center"/>
        <w:rPr>
          <w:rFonts w:eastAsia="Calibri" w:cs="Arial"/>
        </w:rPr>
      </w:pPr>
    </w:p>
    <w:p w:rsidR="00520102" w:rsidRPr="00E054E2" w:rsidRDefault="00520102" w:rsidP="00520102">
      <w:pPr>
        <w:jc w:val="center"/>
        <w:rPr>
          <w:rFonts w:eastAsia="Calibri" w:cs="Arial"/>
        </w:rPr>
      </w:pPr>
    </w:p>
    <w:p w:rsidR="00520102" w:rsidRPr="00E054E2" w:rsidRDefault="00520102" w:rsidP="00520102">
      <w:pPr>
        <w:jc w:val="center"/>
        <w:rPr>
          <w:rFonts w:eastAsia="Calibri" w:cs="Arial"/>
          <w:i/>
          <w:iCs/>
        </w:rPr>
      </w:pPr>
      <w:r w:rsidRPr="00E054E2">
        <w:rPr>
          <w:rFonts w:eastAsia="Calibri" w:cs="Arial"/>
          <w:i/>
          <w:iCs/>
        </w:rPr>
        <w:t>erstellt von Sachverständigen aus den Niederlanden</w:t>
      </w:r>
    </w:p>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u w:val="single"/>
        </w:rPr>
      </w:pPr>
      <w:r w:rsidRPr="00E054E2">
        <w:rPr>
          <w:rFonts w:eastAsia="Calibri" w:cs="Arial"/>
          <w:u w:val="single"/>
        </w:rPr>
        <w:t>Beispiel</w:t>
      </w:r>
    </w:p>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szCs w:val="18"/>
        </w:rPr>
      </w:pPr>
      <w:r w:rsidRPr="00E054E2">
        <w:rPr>
          <w:rFonts w:eastAsia="Calibri" w:cs="Arial"/>
        </w:rPr>
        <w:t>1.</w:t>
      </w:r>
      <w:r w:rsidRPr="00E054E2">
        <w:rPr>
          <w:rFonts w:eastAsia="Calibri" w:cs="Arial"/>
        </w:rPr>
        <w:tab/>
        <w:t>Resistenz gegen das Tomatenmosaikvirus (</w:t>
      </w:r>
      <w:proofErr w:type="spellStart"/>
      <w:r w:rsidRPr="00E054E2">
        <w:rPr>
          <w:rFonts w:eastAsia="Calibri" w:cs="Arial"/>
        </w:rPr>
        <w:t>ToMV</w:t>
      </w:r>
      <w:proofErr w:type="spellEnd"/>
      <w:r w:rsidRPr="00E054E2">
        <w:rPr>
          <w:rFonts w:eastAsia="Calibri" w:cs="Arial"/>
        </w:rPr>
        <w:t xml:space="preserve">) </w:t>
      </w:r>
      <w:proofErr w:type="spellStart"/>
      <w:r w:rsidRPr="00E054E2">
        <w:rPr>
          <w:rFonts w:eastAsia="Calibri" w:cs="Arial"/>
        </w:rPr>
        <w:t>Pathotyp</w:t>
      </w:r>
      <w:proofErr w:type="spellEnd"/>
      <w:r w:rsidRPr="00E054E2">
        <w:rPr>
          <w:rFonts w:eastAsia="Calibri" w:cs="Arial"/>
        </w:rPr>
        <w:t xml:space="preserve"> 0 in Tomate wird durch das Vorhandensein von Allel</w:t>
      </w:r>
      <w:r w:rsidRPr="00E054E2">
        <w:rPr>
          <w:rFonts w:eastAsia="Calibri" w:cs="Arial"/>
          <w:szCs w:val="18"/>
        </w:rPr>
        <w:t xml:space="preserve"> </w:t>
      </w:r>
      <w:r w:rsidRPr="00E054E2">
        <w:rPr>
          <w:rFonts w:eastAsia="Calibri" w:cs="Arial"/>
          <w:i/>
          <w:szCs w:val="18"/>
        </w:rPr>
        <w:t xml:space="preserve">Tm1 </w:t>
      </w:r>
      <w:r w:rsidR="004820A6">
        <w:rPr>
          <w:rFonts w:eastAsia="Calibri" w:cs="Arial"/>
          <w:szCs w:val="18"/>
        </w:rPr>
        <w:t>des</w:t>
      </w:r>
      <w:r w:rsidRPr="00E054E2">
        <w:rPr>
          <w:rFonts w:eastAsia="Calibri" w:cs="Arial"/>
          <w:szCs w:val="18"/>
        </w:rPr>
        <w:t xml:space="preserve"> Gen</w:t>
      </w:r>
      <w:r w:rsidR="004820A6">
        <w:rPr>
          <w:rFonts w:eastAsia="Calibri" w:cs="Arial"/>
          <w:szCs w:val="18"/>
        </w:rPr>
        <w:t>s</w:t>
      </w:r>
      <w:r w:rsidRPr="00E054E2">
        <w:rPr>
          <w:rFonts w:eastAsia="Calibri" w:cs="Arial"/>
          <w:szCs w:val="18"/>
        </w:rPr>
        <w:t xml:space="preserve"> Tm1 oder von Allelen </w:t>
      </w:r>
      <w:r w:rsidRPr="00E054E2">
        <w:rPr>
          <w:rFonts w:eastAsia="Calibri" w:cs="Arial"/>
          <w:i/>
          <w:szCs w:val="18"/>
        </w:rPr>
        <w:t>Tm2</w:t>
      </w:r>
      <w:r w:rsidRPr="00E054E2">
        <w:rPr>
          <w:rFonts w:eastAsia="Calibri" w:cs="Arial"/>
          <w:szCs w:val="18"/>
        </w:rPr>
        <w:t xml:space="preserve"> oder </w:t>
      </w:r>
      <w:r w:rsidRPr="00E054E2">
        <w:rPr>
          <w:rFonts w:eastAsia="Calibri" w:cs="Arial"/>
          <w:i/>
          <w:szCs w:val="18"/>
        </w:rPr>
        <w:t>Tm2</w:t>
      </w:r>
      <w:r w:rsidRPr="00E054E2">
        <w:rPr>
          <w:rFonts w:eastAsia="Calibri" w:cs="Arial"/>
          <w:i/>
          <w:szCs w:val="18"/>
          <w:vertAlign w:val="superscript"/>
        </w:rPr>
        <w:t>2</w:t>
      </w:r>
      <w:r w:rsidRPr="00E054E2">
        <w:rPr>
          <w:rFonts w:eastAsia="Calibri" w:cs="Arial"/>
          <w:szCs w:val="18"/>
        </w:rPr>
        <w:t xml:space="preserve"> de</w:t>
      </w:r>
      <w:r w:rsidR="004820A6">
        <w:rPr>
          <w:rFonts w:eastAsia="Calibri" w:cs="Arial"/>
          <w:szCs w:val="18"/>
        </w:rPr>
        <w:t>s</w:t>
      </w:r>
      <w:r w:rsidRPr="00E054E2">
        <w:rPr>
          <w:rFonts w:eastAsia="Calibri" w:cs="Arial"/>
          <w:szCs w:val="18"/>
        </w:rPr>
        <w:t xml:space="preserve"> Gen</w:t>
      </w:r>
      <w:r w:rsidR="004820A6">
        <w:rPr>
          <w:rFonts w:eastAsia="Calibri" w:cs="Arial"/>
          <w:szCs w:val="18"/>
        </w:rPr>
        <w:t>s</w:t>
      </w:r>
      <w:r w:rsidRPr="00E054E2">
        <w:rPr>
          <w:rFonts w:eastAsia="Calibri" w:cs="Arial"/>
          <w:szCs w:val="18"/>
        </w:rPr>
        <w:t xml:space="preserve"> Tm2 verliehen.</w:t>
      </w:r>
    </w:p>
    <w:p w:rsidR="00520102" w:rsidRPr="00E054E2" w:rsidRDefault="00520102" w:rsidP="00520102">
      <w:pPr>
        <w:autoSpaceDE w:val="0"/>
        <w:autoSpaceDN w:val="0"/>
        <w:adjustRightInd w:val="0"/>
        <w:rPr>
          <w:rFonts w:eastAsia="Calibri" w:cs="Arial"/>
          <w:szCs w:val="18"/>
        </w:rPr>
      </w:pPr>
    </w:p>
    <w:p w:rsidR="00520102" w:rsidRPr="00E054E2" w:rsidRDefault="00520102" w:rsidP="00520102">
      <w:pPr>
        <w:autoSpaceDE w:val="0"/>
        <w:autoSpaceDN w:val="0"/>
        <w:adjustRightInd w:val="0"/>
        <w:rPr>
          <w:rFonts w:eastAsia="Calibri" w:cs="Arial"/>
        </w:rPr>
      </w:pPr>
      <w:r w:rsidRPr="00E054E2">
        <w:rPr>
          <w:rFonts w:eastAsia="Calibri" w:cs="Arial"/>
        </w:rPr>
        <w:t>2.</w:t>
      </w:r>
      <w:r w:rsidRPr="00E054E2">
        <w:rPr>
          <w:rFonts w:eastAsia="Calibri" w:cs="Arial"/>
        </w:rPr>
        <w:tab/>
        <w:t xml:space="preserve">Ein </w:t>
      </w:r>
      <w:r w:rsidR="004820A6">
        <w:rPr>
          <w:rFonts w:eastAsia="Calibri" w:cs="Arial"/>
        </w:rPr>
        <w:t>einzelner</w:t>
      </w:r>
      <w:r w:rsidRPr="00E054E2">
        <w:rPr>
          <w:rFonts w:eastAsia="Calibri" w:cs="Arial"/>
        </w:rPr>
        <w:t xml:space="preserve"> Marker </w:t>
      </w:r>
      <w:r w:rsidR="004820A6">
        <w:rPr>
          <w:rFonts w:eastAsia="Calibri" w:cs="Arial"/>
        </w:rPr>
        <w:t xml:space="preserve">zeigt </w:t>
      </w:r>
      <w:r w:rsidRPr="00E054E2">
        <w:rPr>
          <w:rFonts w:eastAsia="Calibri" w:cs="Arial"/>
        </w:rPr>
        <w:t xml:space="preserve">das Vorhandensein </w:t>
      </w:r>
      <w:r w:rsidR="004820A6">
        <w:rPr>
          <w:rFonts w:eastAsia="Calibri" w:cs="Arial"/>
        </w:rPr>
        <w:t>der Resistenzallele</w:t>
      </w:r>
      <w:r w:rsidRPr="00E054E2">
        <w:rPr>
          <w:rFonts w:eastAsia="Calibri" w:cs="Arial"/>
        </w:rPr>
        <w:t xml:space="preserve"> </w:t>
      </w:r>
      <w:r w:rsidRPr="00E054E2">
        <w:rPr>
          <w:rFonts w:eastAsia="Calibri" w:cs="Arial"/>
          <w:i/>
        </w:rPr>
        <w:t>Tm2</w:t>
      </w:r>
      <w:r w:rsidRPr="00E054E2">
        <w:rPr>
          <w:rFonts w:eastAsia="Calibri" w:cs="Arial"/>
        </w:rPr>
        <w:t xml:space="preserve"> und </w:t>
      </w:r>
      <w:r w:rsidRPr="00E054E2">
        <w:rPr>
          <w:rFonts w:eastAsia="Calibri" w:cs="Arial"/>
          <w:i/>
        </w:rPr>
        <w:t>Tm2</w:t>
      </w:r>
      <w:r w:rsidRPr="00E054E2">
        <w:rPr>
          <w:rFonts w:eastAsia="Calibri" w:cs="Arial"/>
          <w:i/>
          <w:vertAlign w:val="superscript"/>
        </w:rPr>
        <w:t>2</w:t>
      </w:r>
      <w:r w:rsidRPr="00E054E2">
        <w:rPr>
          <w:rFonts w:eastAsia="Calibri" w:cs="Arial"/>
        </w:rPr>
        <w:t xml:space="preserve"> und de</w:t>
      </w:r>
      <w:r w:rsidR="004820A6">
        <w:rPr>
          <w:rFonts w:eastAsia="Calibri" w:cs="Arial"/>
        </w:rPr>
        <w:t>s</w:t>
      </w:r>
      <w:r w:rsidRPr="00E054E2">
        <w:rPr>
          <w:rFonts w:eastAsia="Calibri" w:cs="Arial"/>
        </w:rPr>
        <w:t xml:space="preserve"> Anfälligkeitsallel</w:t>
      </w:r>
      <w:r w:rsidR="004820A6">
        <w:rPr>
          <w:rFonts w:eastAsia="Calibri" w:cs="Arial"/>
        </w:rPr>
        <w:t>s</w:t>
      </w:r>
      <w:r w:rsidRPr="00E054E2">
        <w:rPr>
          <w:rFonts w:eastAsia="Calibri" w:cs="Arial"/>
        </w:rPr>
        <w:t xml:space="preserve"> </w:t>
      </w:r>
      <w:r w:rsidRPr="00E054E2">
        <w:rPr>
          <w:rFonts w:eastAsia="Calibri" w:cs="Arial"/>
          <w:i/>
        </w:rPr>
        <w:t>tm2</w:t>
      </w:r>
      <w:r w:rsidR="004820A6">
        <w:rPr>
          <w:rFonts w:eastAsia="Calibri" w:cs="Arial"/>
        </w:rPr>
        <w:t xml:space="preserve"> an</w:t>
      </w:r>
      <w:r w:rsidRPr="00E054E2">
        <w:rPr>
          <w:rFonts w:eastAsia="Calibri" w:cs="Arial"/>
        </w:rPr>
        <w:t xml:space="preserve">. </w:t>
      </w:r>
      <w:r w:rsidR="004820A6">
        <w:rPr>
          <w:rFonts w:eastAsia="Calibri" w:cs="Arial"/>
        </w:rPr>
        <w:t xml:space="preserve">Der </w:t>
      </w:r>
      <w:r w:rsidRPr="00E054E2">
        <w:rPr>
          <w:rFonts w:eastAsia="Calibri" w:cs="Arial"/>
        </w:rPr>
        <w:t xml:space="preserve">Marker </w:t>
      </w:r>
      <w:r w:rsidR="004820A6">
        <w:rPr>
          <w:rFonts w:eastAsia="Calibri" w:cs="Arial"/>
        </w:rPr>
        <w:t xml:space="preserve">für </w:t>
      </w:r>
      <w:r w:rsidRPr="00E054E2">
        <w:rPr>
          <w:rFonts w:eastAsia="Calibri" w:cs="Arial"/>
          <w:i/>
        </w:rPr>
        <w:t>Tm</w:t>
      </w:r>
      <w:r w:rsidR="004820A6">
        <w:rPr>
          <w:rFonts w:eastAsia="Calibri" w:cs="Arial"/>
          <w:i/>
        </w:rPr>
        <w:t>2/</w:t>
      </w:r>
      <w:r w:rsidRPr="00E054E2">
        <w:rPr>
          <w:rFonts w:eastAsia="Calibri" w:cs="Arial"/>
          <w:i/>
        </w:rPr>
        <w:t>2</w:t>
      </w:r>
      <w:r w:rsidRPr="00E054E2">
        <w:rPr>
          <w:rFonts w:eastAsia="Calibri" w:cs="Arial"/>
          <w:i/>
          <w:vertAlign w:val="superscript"/>
        </w:rPr>
        <w:t>2</w:t>
      </w:r>
      <w:r w:rsidRPr="00E054E2">
        <w:rPr>
          <w:rFonts w:eastAsia="Calibri" w:cs="Arial"/>
        </w:rPr>
        <w:t xml:space="preserve"> liegt in der Protein kodierenden Sequenz.</w:t>
      </w:r>
    </w:p>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rPr>
      </w:pPr>
      <w:r w:rsidRPr="00E054E2">
        <w:rPr>
          <w:rFonts w:eastAsia="Calibri" w:cs="Arial"/>
        </w:rPr>
        <w:t>3.</w:t>
      </w:r>
      <w:r w:rsidRPr="00E054E2">
        <w:rPr>
          <w:rFonts w:eastAsia="Calibri" w:cs="Arial"/>
        </w:rPr>
        <w:tab/>
        <w:t xml:space="preserve">Eine Sorte ist resistent gegen </w:t>
      </w:r>
      <w:proofErr w:type="spellStart"/>
      <w:r w:rsidRPr="00E054E2">
        <w:rPr>
          <w:rFonts w:eastAsia="Calibri" w:cs="Arial"/>
        </w:rPr>
        <w:t>ToMV</w:t>
      </w:r>
      <w:proofErr w:type="spellEnd"/>
      <w:r w:rsidRPr="00E054E2">
        <w:rPr>
          <w:rFonts w:eastAsia="Calibri" w:cs="Arial"/>
        </w:rPr>
        <w:t xml:space="preserve"> </w:t>
      </w:r>
      <w:proofErr w:type="spellStart"/>
      <w:r w:rsidRPr="00E054E2">
        <w:rPr>
          <w:rFonts w:eastAsia="Calibri" w:cs="Arial"/>
        </w:rPr>
        <w:t>Pathotyp</w:t>
      </w:r>
      <w:proofErr w:type="spellEnd"/>
      <w:r w:rsidRPr="00E054E2">
        <w:rPr>
          <w:rFonts w:eastAsia="Calibri" w:cs="Arial"/>
        </w:rPr>
        <w:t xml:space="preserve"> 0, wenn das Resistenzallel </w:t>
      </w:r>
      <w:r w:rsidRPr="00E054E2">
        <w:rPr>
          <w:rFonts w:eastAsia="Calibri" w:cs="Arial"/>
          <w:i/>
        </w:rPr>
        <w:t xml:space="preserve">Tm2 oder </w:t>
      </w:r>
      <w:r w:rsidR="004820A6">
        <w:rPr>
          <w:rFonts w:eastAsia="Calibri" w:cs="Arial"/>
        </w:rPr>
        <w:t xml:space="preserve">das </w:t>
      </w:r>
      <w:r w:rsidRPr="00E054E2">
        <w:rPr>
          <w:rFonts w:eastAsia="Calibri" w:cs="Arial"/>
        </w:rPr>
        <w:t xml:space="preserve">Resistenzallel </w:t>
      </w:r>
      <w:r w:rsidRPr="00E054E2">
        <w:rPr>
          <w:rFonts w:eastAsia="Calibri" w:cs="Arial"/>
          <w:i/>
        </w:rPr>
        <w:t>Tm2</w:t>
      </w:r>
      <w:r w:rsidRPr="00E054E2">
        <w:rPr>
          <w:rFonts w:eastAsia="Calibri" w:cs="Arial"/>
          <w:i/>
          <w:vertAlign w:val="superscript"/>
        </w:rPr>
        <w:t>2</w:t>
      </w:r>
      <w:r w:rsidRPr="00E054E2">
        <w:rPr>
          <w:rFonts w:eastAsia="Calibri" w:cs="Arial"/>
        </w:rPr>
        <w:t xml:space="preserve"> vorhanden ist.</w:t>
      </w:r>
    </w:p>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rPr>
      </w:pPr>
      <w:r w:rsidRPr="00E054E2">
        <w:rPr>
          <w:rFonts w:eastAsia="Calibri" w:cs="Arial"/>
        </w:rPr>
        <w:t>4.</w:t>
      </w:r>
      <w:r w:rsidRPr="00E054E2">
        <w:rPr>
          <w:rFonts w:eastAsia="Calibri" w:cs="Arial"/>
        </w:rPr>
        <w:tab/>
        <w:t>Eine Sorte mit homozygotem Allel</w:t>
      </w:r>
      <w:r w:rsidRPr="00E054E2">
        <w:rPr>
          <w:rFonts w:eastAsia="Calibri" w:cs="Arial"/>
          <w:i/>
        </w:rPr>
        <w:t xml:space="preserve"> tm2</w:t>
      </w:r>
      <w:r w:rsidRPr="00E054E2">
        <w:rPr>
          <w:rFonts w:eastAsia="Calibri" w:cs="Arial"/>
        </w:rPr>
        <w:t xml:space="preserve"> wird anfällig gegen </w:t>
      </w:r>
      <w:proofErr w:type="spellStart"/>
      <w:r w:rsidRPr="00E054E2">
        <w:rPr>
          <w:rFonts w:eastAsia="Calibri" w:cs="Arial"/>
        </w:rPr>
        <w:t>ToMV</w:t>
      </w:r>
      <w:proofErr w:type="spellEnd"/>
      <w:r w:rsidRPr="00E054E2">
        <w:rPr>
          <w:rFonts w:eastAsia="Calibri" w:cs="Arial"/>
        </w:rPr>
        <w:t xml:space="preserve"> </w:t>
      </w:r>
      <w:proofErr w:type="spellStart"/>
      <w:r w:rsidRPr="00E054E2">
        <w:rPr>
          <w:rFonts w:eastAsia="Calibri" w:cs="Arial"/>
        </w:rPr>
        <w:t>Pathotyp</w:t>
      </w:r>
      <w:proofErr w:type="spellEnd"/>
      <w:r w:rsidRPr="00E054E2">
        <w:rPr>
          <w:rFonts w:eastAsia="Calibri" w:cs="Arial"/>
        </w:rPr>
        <w:t xml:space="preserve"> 0 sein, es sei denn, die Resistenz ist durch das Resistenzallel </w:t>
      </w:r>
      <w:r w:rsidRPr="00E054E2">
        <w:rPr>
          <w:rFonts w:eastAsia="Calibri" w:cs="Arial"/>
          <w:i/>
        </w:rPr>
        <w:t>Tm1</w:t>
      </w:r>
      <w:r w:rsidRPr="00E054E2">
        <w:rPr>
          <w:rFonts w:eastAsia="Calibri" w:cs="Arial"/>
        </w:rPr>
        <w:t xml:space="preserve"> codiert. In diesem Fall kann di</w:t>
      </w:r>
      <w:r w:rsidR="004820A6">
        <w:rPr>
          <w:rFonts w:eastAsia="Calibri" w:cs="Arial"/>
        </w:rPr>
        <w:t xml:space="preserve">e Resistenz gegen </w:t>
      </w:r>
      <w:proofErr w:type="spellStart"/>
      <w:r w:rsidR="004820A6">
        <w:rPr>
          <w:rFonts w:eastAsia="Calibri" w:cs="Arial"/>
        </w:rPr>
        <w:t>ToMV</w:t>
      </w:r>
      <w:proofErr w:type="spellEnd"/>
      <w:r w:rsidR="004820A6">
        <w:rPr>
          <w:rFonts w:eastAsia="Calibri" w:cs="Arial"/>
        </w:rPr>
        <w:t xml:space="preserve"> </w:t>
      </w:r>
      <w:proofErr w:type="spellStart"/>
      <w:r w:rsidR="004820A6">
        <w:rPr>
          <w:rFonts w:eastAsia="Calibri" w:cs="Arial"/>
        </w:rPr>
        <w:t>Pathotyp</w:t>
      </w:r>
      <w:proofErr w:type="spellEnd"/>
      <w:r w:rsidR="004820A6">
        <w:rPr>
          <w:rFonts w:eastAsia="Calibri" w:cs="Arial"/>
        </w:rPr>
        <w:t> </w:t>
      </w:r>
      <w:r w:rsidRPr="00E054E2">
        <w:rPr>
          <w:rFonts w:eastAsia="Calibri" w:cs="Arial"/>
        </w:rPr>
        <w:t xml:space="preserve">0 nicht durch einen DNS-Marker-Test beurteilt werden, da es keinen zuverlässigen Marker für das Gen </w:t>
      </w:r>
      <w:r w:rsidRPr="00E054E2">
        <w:rPr>
          <w:rFonts w:eastAsia="Calibri" w:cs="Arial"/>
          <w:i/>
        </w:rPr>
        <w:t>Tm1</w:t>
      </w:r>
      <w:r w:rsidRPr="00E054E2">
        <w:rPr>
          <w:rFonts w:eastAsia="Calibri" w:cs="Arial"/>
        </w:rPr>
        <w:t xml:space="preserve"> gibt.</w:t>
      </w:r>
    </w:p>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rPr>
      </w:pPr>
    </w:p>
    <w:p w:rsidR="00520102" w:rsidRPr="00E054E2" w:rsidRDefault="00520102" w:rsidP="00520102">
      <w:pPr>
        <w:keepNext/>
        <w:autoSpaceDE w:val="0"/>
        <w:autoSpaceDN w:val="0"/>
        <w:adjustRightInd w:val="0"/>
        <w:jc w:val="center"/>
        <w:rPr>
          <w:rFonts w:eastAsia="Calibri" w:cs="Arial"/>
        </w:rPr>
      </w:pPr>
      <w:r w:rsidRPr="00E054E2">
        <w:rPr>
          <w:rFonts w:eastAsia="Calibri" w:cs="Arial"/>
        </w:rPr>
        <w:t>Tabelle 1: Schematischer Überblick über die Resistenz gegen das Tomatenmosaikvirus und Resistenzallelen:</w:t>
      </w:r>
    </w:p>
    <w:p w:rsidR="00520102" w:rsidRPr="00E054E2" w:rsidRDefault="00520102" w:rsidP="00520102">
      <w:pPr>
        <w:keepNext/>
        <w:autoSpaceDE w:val="0"/>
        <w:autoSpaceDN w:val="0"/>
        <w:adjustRightInd w:val="0"/>
        <w:rPr>
          <w:rFonts w:eastAsia="Calibri" w:cs="Arial"/>
          <w:szCs w:val="19"/>
        </w:rPr>
      </w:pPr>
    </w:p>
    <w:tbl>
      <w:tblPr>
        <w:tblStyle w:val="TableGrid"/>
        <w:tblW w:w="9180" w:type="dxa"/>
        <w:tblInd w:w="562" w:type="dxa"/>
        <w:tblLayout w:type="fixed"/>
        <w:tblLook w:val="04A0" w:firstRow="1" w:lastRow="0" w:firstColumn="1" w:lastColumn="0" w:noHBand="0" w:noVBand="1"/>
      </w:tblPr>
      <w:tblGrid>
        <w:gridCol w:w="2376"/>
        <w:gridCol w:w="1985"/>
        <w:gridCol w:w="2977"/>
        <w:gridCol w:w="1842"/>
      </w:tblGrid>
      <w:tr w:rsidR="00520102" w:rsidRPr="00E054E2" w:rsidTr="007740BA">
        <w:tc>
          <w:tcPr>
            <w:tcW w:w="2376" w:type="dxa"/>
            <w:vAlign w:val="center"/>
          </w:tcPr>
          <w:p w:rsidR="00520102" w:rsidRPr="00E054E2" w:rsidRDefault="00520102" w:rsidP="007740BA">
            <w:pPr>
              <w:keepNext/>
              <w:autoSpaceDE w:val="0"/>
              <w:autoSpaceDN w:val="0"/>
              <w:adjustRightInd w:val="0"/>
              <w:ind w:left="180"/>
              <w:jc w:val="left"/>
              <w:rPr>
                <w:rFonts w:cs="Arial"/>
                <w:szCs w:val="19"/>
              </w:rPr>
            </w:pPr>
            <w:r w:rsidRPr="00E054E2">
              <w:rPr>
                <w:rFonts w:cs="Arial"/>
                <w:szCs w:val="19"/>
              </w:rPr>
              <w:t>Genetischer Hintergrund</w:t>
            </w:r>
          </w:p>
        </w:tc>
        <w:tc>
          <w:tcPr>
            <w:tcW w:w="1985" w:type="dxa"/>
            <w:vAlign w:val="center"/>
          </w:tcPr>
          <w:p w:rsidR="00520102" w:rsidRPr="00E054E2" w:rsidRDefault="00520102" w:rsidP="007740BA">
            <w:pPr>
              <w:keepNext/>
              <w:autoSpaceDE w:val="0"/>
              <w:autoSpaceDN w:val="0"/>
              <w:adjustRightInd w:val="0"/>
              <w:ind w:left="36" w:right="34"/>
              <w:jc w:val="left"/>
              <w:rPr>
                <w:rFonts w:cs="Arial"/>
                <w:i/>
                <w:szCs w:val="19"/>
              </w:rPr>
            </w:pPr>
            <w:r w:rsidRPr="00E054E2">
              <w:rPr>
                <w:rFonts w:cs="Arial"/>
                <w:i/>
                <w:szCs w:val="19"/>
              </w:rPr>
              <w:t xml:space="preserve">tm2/tm2 </w:t>
            </w:r>
          </w:p>
          <w:p w:rsidR="00520102" w:rsidRPr="00E054E2" w:rsidRDefault="00520102" w:rsidP="007740BA">
            <w:pPr>
              <w:keepNext/>
              <w:autoSpaceDE w:val="0"/>
              <w:autoSpaceDN w:val="0"/>
              <w:adjustRightInd w:val="0"/>
              <w:ind w:left="36" w:right="34"/>
              <w:jc w:val="left"/>
              <w:rPr>
                <w:rFonts w:cs="Arial"/>
                <w:szCs w:val="19"/>
              </w:rPr>
            </w:pPr>
          </w:p>
          <w:p w:rsidR="00520102" w:rsidRPr="00E054E2" w:rsidRDefault="00520102" w:rsidP="007740BA">
            <w:pPr>
              <w:keepNext/>
              <w:autoSpaceDE w:val="0"/>
              <w:autoSpaceDN w:val="0"/>
              <w:adjustRightInd w:val="0"/>
              <w:ind w:left="36" w:right="34"/>
              <w:jc w:val="left"/>
              <w:rPr>
                <w:rFonts w:cs="Arial"/>
                <w:szCs w:val="19"/>
              </w:rPr>
            </w:pPr>
            <w:r w:rsidRPr="00E054E2">
              <w:rPr>
                <w:rFonts w:cs="Arial"/>
                <w:szCs w:val="19"/>
              </w:rPr>
              <w:t xml:space="preserve">und </w:t>
            </w:r>
          </w:p>
          <w:p w:rsidR="00520102" w:rsidRPr="00E054E2" w:rsidRDefault="00520102" w:rsidP="007740BA">
            <w:pPr>
              <w:keepNext/>
              <w:autoSpaceDE w:val="0"/>
              <w:autoSpaceDN w:val="0"/>
              <w:adjustRightInd w:val="0"/>
              <w:ind w:left="36" w:right="34"/>
              <w:jc w:val="left"/>
              <w:rPr>
                <w:rFonts w:cs="Arial"/>
                <w:szCs w:val="19"/>
              </w:rPr>
            </w:pPr>
          </w:p>
          <w:p w:rsidR="00520102" w:rsidRPr="00E054E2" w:rsidRDefault="00520102" w:rsidP="007740BA">
            <w:pPr>
              <w:keepNext/>
              <w:autoSpaceDE w:val="0"/>
              <w:autoSpaceDN w:val="0"/>
              <w:adjustRightInd w:val="0"/>
              <w:ind w:left="36" w:right="34"/>
              <w:jc w:val="left"/>
              <w:rPr>
                <w:rFonts w:cs="Arial"/>
                <w:i/>
                <w:szCs w:val="19"/>
              </w:rPr>
            </w:pPr>
            <w:r w:rsidRPr="00E054E2">
              <w:rPr>
                <w:rFonts w:cs="Arial"/>
                <w:i/>
                <w:szCs w:val="19"/>
              </w:rPr>
              <w:t>tm1/tm1</w:t>
            </w:r>
          </w:p>
          <w:p w:rsidR="00520102" w:rsidRPr="00E054E2" w:rsidRDefault="00520102" w:rsidP="007740BA">
            <w:pPr>
              <w:keepNext/>
              <w:autoSpaceDE w:val="0"/>
              <w:autoSpaceDN w:val="0"/>
              <w:adjustRightInd w:val="0"/>
              <w:ind w:left="36" w:right="34"/>
              <w:jc w:val="left"/>
              <w:rPr>
                <w:rFonts w:cs="Arial"/>
                <w:szCs w:val="19"/>
              </w:rPr>
            </w:pPr>
          </w:p>
        </w:tc>
        <w:tc>
          <w:tcPr>
            <w:tcW w:w="2977" w:type="dxa"/>
            <w:vAlign w:val="center"/>
          </w:tcPr>
          <w:p w:rsidR="00520102" w:rsidRPr="00E054E2" w:rsidRDefault="00520102" w:rsidP="007740BA">
            <w:pPr>
              <w:keepNext/>
              <w:autoSpaceDE w:val="0"/>
              <w:autoSpaceDN w:val="0"/>
              <w:adjustRightInd w:val="0"/>
              <w:ind w:left="36"/>
              <w:jc w:val="left"/>
              <w:rPr>
                <w:rFonts w:cs="Arial"/>
                <w:szCs w:val="19"/>
              </w:rPr>
            </w:pPr>
            <w:r w:rsidRPr="00E054E2">
              <w:rPr>
                <w:rFonts w:cs="Arial"/>
                <w:i/>
                <w:szCs w:val="19"/>
              </w:rPr>
              <w:t>Tm2/Tm2 oder Tm2</w:t>
            </w:r>
            <w:r w:rsidRPr="00E054E2">
              <w:rPr>
                <w:rFonts w:cs="Arial"/>
                <w:i/>
                <w:szCs w:val="19"/>
                <w:vertAlign w:val="superscript"/>
              </w:rPr>
              <w:t>2</w:t>
            </w:r>
            <w:r w:rsidRPr="00E054E2">
              <w:rPr>
                <w:rFonts w:cs="Arial"/>
                <w:i/>
                <w:szCs w:val="19"/>
              </w:rPr>
              <w:t>/Tm2</w:t>
            </w:r>
            <w:r w:rsidRPr="00E054E2">
              <w:rPr>
                <w:rFonts w:cs="Arial"/>
                <w:i/>
                <w:szCs w:val="19"/>
                <w:vertAlign w:val="superscript"/>
              </w:rPr>
              <w:t>2</w:t>
            </w:r>
            <w:r w:rsidRPr="00E054E2">
              <w:rPr>
                <w:rFonts w:cs="Arial"/>
                <w:szCs w:val="19"/>
              </w:rPr>
              <w:t xml:space="preserve"> oder </w:t>
            </w:r>
            <w:r w:rsidRPr="00E054E2">
              <w:rPr>
                <w:rFonts w:cs="Arial"/>
                <w:i/>
                <w:szCs w:val="19"/>
              </w:rPr>
              <w:t>Tm2</w:t>
            </w:r>
            <w:r w:rsidRPr="00E054E2">
              <w:rPr>
                <w:rFonts w:cs="Arial"/>
                <w:i/>
                <w:szCs w:val="19"/>
                <w:vertAlign w:val="superscript"/>
              </w:rPr>
              <w:t>2</w:t>
            </w:r>
            <w:r w:rsidRPr="00E054E2">
              <w:rPr>
                <w:rFonts w:cs="Arial"/>
                <w:i/>
                <w:szCs w:val="19"/>
              </w:rPr>
              <w:t>/Tm2</w:t>
            </w:r>
            <w:r w:rsidRPr="00E054E2">
              <w:rPr>
                <w:rFonts w:cs="Arial"/>
                <w:szCs w:val="19"/>
              </w:rPr>
              <w:t xml:space="preserve"> oder </w:t>
            </w:r>
          </w:p>
          <w:p w:rsidR="00520102" w:rsidRPr="00E054E2" w:rsidRDefault="00520102" w:rsidP="007740BA">
            <w:pPr>
              <w:keepNext/>
              <w:autoSpaceDE w:val="0"/>
              <w:autoSpaceDN w:val="0"/>
              <w:adjustRightInd w:val="0"/>
              <w:ind w:left="36"/>
              <w:jc w:val="left"/>
              <w:rPr>
                <w:rFonts w:cs="Arial"/>
                <w:i/>
                <w:szCs w:val="19"/>
              </w:rPr>
            </w:pPr>
            <w:r w:rsidRPr="00E054E2">
              <w:rPr>
                <w:rFonts w:cs="Arial"/>
                <w:i/>
                <w:szCs w:val="19"/>
              </w:rPr>
              <w:t>Tm2/tm2 oder Tm2</w:t>
            </w:r>
            <w:r w:rsidRPr="00E054E2">
              <w:rPr>
                <w:rFonts w:cs="Arial"/>
                <w:i/>
                <w:szCs w:val="19"/>
                <w:vertAlign w:val="superscript"/>
              </w:rPr>
              <w:t>2</w:t>
            </w:r>
            <w:r w:rsidRPr="00E054E2">
              <w:rPr>
                <w:rFonts w:cs="Arial"/>
                <w:i/>
                <w:szCs w:val="19"/>
              </w:rPr>
              <w:t>/tm2</w:t>
            </w:r>
          </w:p>
          <w:p w:rsidR="00520102" w:rsidRPr="00E054E2" w:rsidRDefault="00520102" w:rsidP="007740BA">
            <w:pPr>
              <w:keepNext/>
              <w:autoSpaceDE w:val="0"/>
              <w:autoSpaceDN w:val="0"/>
              <w:adjustRightInd w:val="0"/>
              <w:ind w:left="36"/>
              <w:jc w:val="left"/>
              <w:rPr>
                <w:rFonts w:cs="Arial"/>
                <w:szCs w:val="19"/>
              </w:rPr>
            </w:pPr>
          </w:p>
          <w:p w:rsidR="00520102" w:rsidRPr="00E054E2" w:rsidRDefault="00520102" w:rsidP="007740BA">
            <w:pPr>
              <w:keepNext/>
              <w:autoSpaceDE w:val="0"/>
              <w:autoSpaceDN w:val="0"/>
              <w:adjustRightInd w:val="0"/>
              <w:ind w:left="36"/>
              <w:jc w:val="left"/>
              <w:rPr>
                <w:rFonts w:cs="Arial"/>
                <w:szCs w:val="19"/>
              </w:rPr>
            </w:pPr>
            <w:r w:rsidRPr="00E054E2">
              <w:rPr>
                <w:rFonts w:cs="Arial"/>
                <w:szCs w:val="19"/>
              </w:rPr>
              <w:t xml:space="preserve">und </w:t>
            </w:r>
          </w:p>
          <w:p w:rsidR="00520102" w:rsidRPr="00E054E2" w:rsidRDefault="00520102" w:rsidP="007740BA">
            <w:pPr>
              <w:keepNext/>
              <w:autoSpaceDE w:val="0"/>
              <w:autoSpaceDN w:val="0"/>
              <w:adjustRightInd w:val="0"/>
              <w:ind w:left="36"/>
              <w:jc w:val="left"/>
              <w:rPr>
                <w:rFonts w:cs="Arial"/>
                <w:szCs w:val="19"/>
              </w:rPr>
            </w:pPr>
          </w:p>
          <w:p w:rsidR="00520102" w:rsidRPr="00E054E2" w:rsidRDefault="00520102" w:rsidP="007740BA">
            <w:pPr>
              <w:keepNext/>
              <w:autoSpaceDE w:val="0"/>
              <w:autoSpaceDN w:val="0"/>
              <w:adjustRightInd w:val="0"/>
              <w:spacing w:before="60"/>
              <w:ind w:left="36"/>
              <w:jc w:val="left"/>
              <w:rPr>
                <w:rFonts w:cs="Arial"/>
                <w:szCs w:val="19"/>
              </w:rPr>
            </w:pPr>
            <w:r w:rsidRPr="00E054E2">
              <w:rPr>
                <w:rFonts w:cs="Arial"/>
                <w:i/>
                <w:szCs w:val="19"/>
              </w:rPr>
              <w:t>Tm1/Tm1</w:t>
            </w:r>
            <w:r w:rsidRPr="00E054E2">
              <w:rPr>
                <w:rFonts w:cs="Arial"/>
                <w:szCs w:val="19"/>
              </w:rPr>
              <w:t xml:space="preserve"> oder </w:t>
            </w:r>
            <w:r w:rsidRPr="00E054E2">
              <w:rPr>
                <w:rFonts w:cs="Arial"/>
                <w:i/>
                <w:szCs w:val="19"/>
              </w:rPr>
              <w:t>Tm1/tm1</w:t>
            </w:r>
            <w:r w:rsidRPr="00E054E2">
              <w:rPr>
                <w:rFonts w:cs="Arial"/>
                <w:szCs w:val="19"/>
              </w:rPr>
              <w:t xml:space="preserve"> oder </w:t>
            </w:r>
            <w:r w:rsidRPr="00E054E2">
              <w:rPr>
                <w:rFonts w:cs="Arial"/>
                <w:i/>
                <w:szCs w:val="19"/>
              </w:rPr>
              <w:t>tm1/tm1</w:t>
            </w:r>
          </w:p>
        </w:tc>
        <w:tc>
          <w:tcPr>
            <w:tcW w:w="1842" w:type="dxa"/>
            <w:vAlign w:val="center"/>
          </w:tcPr>
          <w:p w:rsidR="00520102" w:rsidRPr="00E054E2" w:rsidRDefault="00520102" w:rsidP="007740BA">
            <w:pPr>
              <w:keepNext/>
              <w:autoSpaceDE w:val="0"/>
              <w:autoSpaceDN w:val="0"/>
              <w:adjustRightInd w:val="0"/>
              <w:ind w:left="20" w:right="-108"/>
              <w:jc w:val="left"/>
              <w:rPr>
                <w:rFonts w:cs="Arial"/>
                <w:i/>
                <w:szCs w:val="19"/>
              </w:rPr>
            </w:pPr>
            <w:r w:rsidRPr="00E054E2">
              <w:rPr>
                <w:rFonts w:cs="Arial"/>
                <w:i/>
                <w:szCs w:val="19"/>
              </w:rPr>
              <w:t xml:space="preserve">tm2/tm2 </w:t>
            </w:r>
          </w:p>
          <w:p w:rsidR="00520102" w:rsidRPr="00E054E2" w:rsidRDefault="00520102" w:rsidP="007740BA">
            <w:pPr>
              <w:keepNext/>
              <w:autoSpaceDE w:val="0"/>
              <w:autoSpaceDN w:val="0"/>
              <w:adjustRightInd w:val="0"/>
              <w:ind w:left="20" w:right="-108"/>
              <w:jc w:val="left"/>
              <w:rPr>
                <w:rFonts w:cs="Arial"/>
                <w:szCs w:val="19"/>
              </w:rPr>
            </w:pPr>
          </w:p>
          <w:p w:rsidR="00520102" w:rsidRPr="00E054E2" w:rsidRDefault="00520102" w:rsidP="007740BA">
            <w:pPr>
              <w:keepNext/>
              <w:autoSpaceDE w:val="0"/>
              <w:autoSpaceDN w:val="0"/>
              <w:adjustRightInd w:val="0"/>
              <w:ind w:left="20" w:right="-108"/>
              <w:jc w:val="left"/>
              <w:rPr>
                <w:rFonts w:cs="Arial"/>
                <w:szCs w:val="19"/>
              </w:rPr>
            </w:pPr>
            <w:r w:rsidRPr="00E054E2">
              <w:rPr>
                <w:rFonts w:cs="Arial"/>
                <w:szCs w:val="19"/>
              </w:rPr>
              <w:t>und</w:t>
            </w:r>
          </w:p>
          <w:p w:rsidR="00520102" w:rsidRPr="00E054E2" w:rsidRDefault="00520102" w:rsidP="007740BA">
            <w:pPr>
              <w:keepNext/>
              <w:autoSpaceDE w:val="0"/>
              <w:autoSpaceDN w:val="0"/>
              <w:adjustRightInd w:val="0"/>
              <w:ind w:left="20" w:right="-108"/>
              <w:jc w:val="left"/>
              <w:rPr>
                <w:rFonts w:cs="Arial"/>
                <w:szCs w:val="19"/>
              </w:rPr>
            </w:pPr>
          </w:p>
          <w:p w:rsidR="00520102" w:rsidRPr="00E054E2" w:rsidRDefault="00520102" w:rsidP="007740BA">
            <w:pPr>
              <w:keepNext/>
              <w:autoSpaceDE w:val="0"/>
              <w:autoSpaceDN w:val="0"/>
              <w:adjustRightInd w:val="0"/>
              <w:ind w:left="20" w:right="-108"/>
              <w:jc w:val="left"/>
              <w:rPr>
                <w:rFonts w:cs="Arial"/>
                <w:i/>
                <w:szCs w:val="19"/>
              </w:rPr>
            </w:pPr>
            <w:r w:rsidRPr="00E054E2">
              <w:rPr>
                <w:rFonts w:cs="Arial"/>
                <w:i/>
                <w:szCs w:val="19"/>
              </w:rPr>
              <w:t>Tm1/Tm1</w:t>
            </w:r>
            <w:r w:rsidRPr="00E054E2">
              <w:rPr>
                <w:rFonts w:cs="Arial"/>
                <w:szCs w:val="19"/>
              </w:rPr>
              <w:t xml:space="preserve"> oder </w:t>
            </w:r>
            <w:r w:rsidRPr="00E054E2">
              <w:rPr>
                <w:rFonts w:cs="Arial"/>
                <w:i/>
                <w:szCs w:val="19"/>
              </w:rPr>
              <w:t xml:space="preserve">Tm1/tm1 </w:t>
            </w:r>
          </w:p>
        </w:tc>
      </w:tr>
      <w:tr w:rsidR="00520102" w:rsidRPr="00E054E2" w:rsidTr="007740BA">
        <w:trPr>
          <w:trHeight w:val="606"/>
        </w:trPr>
        <w:tc>
          <w:tcPr>
            <w:tcW w:w="2376" w:type="dxa"/>
            <w:vAlign w:val="center"/>
          </w:tcPr>
          <w:p w:rsidR="00520102" w:rsidRPr="00E054E2" w:rsidRDefault="00520102" w:rsidP="007740BA">
            <w:pPr>
              <w:autoSpaceDE w:val="0"/>
              <w:autoSpaceDN w:val="0"/>
              <w:adjustRightInd w:val="0"/>
              <w:ind w:left="180"/>
              <w:jc w:val="left"/>
              <w:rPr>
                <w:rFonts w:cs="Arial"/>
                <w:szCs w:val="19"/>
              </w:rPr>
            </w:pPr>
            <w:r w:rsidRPr="00E054E2">
              <w:rPr>
                <w:rFonts w:cs="Arial"/>
                <w:szCs w:val="19"/>
              </w:rPr>
              <w:t xml:space="preserve">Marker </w:t>
            </w:r>
            <w:r w:rsidRPr="00E054E2">
              <w:rPr>
                <w:rFonts w:cs="Arial"/>
                <w:i/>
                <w:szCs w:val="19"/>
              </w:rPr>
              <w:t>Tm2/2</w:t>
            </w:r>
            <w:r w:rsidRPr="00E054E2">
              <w:rPr>
                <w:rFonts w:cs="Arial"/>
                <w:i/>
                <w:szCs w:val="19"/>
                <w:vertAlign w:val="superscript"/>
              </w:rPr>
              <w:t>2</w:t>
            </w:r>
          </w:p>
        </w:tc>
        <w:tc>
          <w:tcPr>
            <w:tcW w:w="1985" w:type="dxa"/>
            <w:vAlign w:val="center"/>
          </w:tcPr>
          <w:p w:rsidR="00520102" w:rsidRPr="00E054E2" w:rsidRDefault="00520102" w:rsidP="007740BA">
            <w:pPr>
              <w:autoSpaceDE w:val="0"/>
              <w:autoSpaceDN w:val="0"/>
              <w:adjustRightInd w:val="0"/>
              <w:ind w:left="36" w:right="34"/>
              <w:jc w:val="left"/>
              <w:rPr>
                <w:rFonts w:cs="Arial"/>
                <w:szCs w:val="19"/>
              </w:rPr>
            </w:pPr>
            <w:r w:rsidRPr="00E054E2">
              <w:rPr>
                <w:rFonts w:eastAsia="Calibri" w:cs="Arial"/>
              </w:rPr>
              <w:t>Anfälligkeitsallel</w:t>
            </w:r>
          </w:p>
        </w:tc>
        <w:tc>
          <w:tcPr>
            <w:tcW w:w="2977" w:type="dxa"/>
            <w:vAlign w:val="center"/>
          </w:tcPr>
          <w:p w:rsidR="00520102" w:rsidRPr="00E054E2" w:rsidRDefault="00520102" w:rsidP="007740BA">
            <w:pPr>
              <w:autoSpaceDE w:val="0"/>
              <w:autoSpaceDN w:val="0"/>
              <w:adjustRightInd w:val="0"/>
              <w:ind w:left="36"/>
              <w:jc w:val="left"/>
              <w:rPr>
                <w:rFonts w:cs="Arial"/>
                <w:szCs w:val="19"/>
              </w:rPr>
            </w:pPr>
            <w:r w:rsidRPr="00E054E2">
              <w:rPr>
                <w:rFonts w:eastAsia="Calibri" w:cs="Arial"/>
              </w:rPr>
              <w:t>Resistenzallel</w:t>
            </w:r>
          </w:p>
        </w:tc>
        <w:tc>
          <w:tcPr>
            <w:tcW w:w="1842" w:type="dxa"/>
            <w:vAlign w:val="center"/>
          </w:tcPr>
          <w:p w:rsidR="00520102" w:rsidRPr="00E054E2" w:rsidRDefault="00520102" w:rsidP="007740BA">
            <w:pPr>
              <w:autoSpaceDE w:val="0"/>
              <w:autoSpaceDN w:val="0"/>
              <w:adjustRightInd w:val="0"/>
              <w:ind w:left="20" w:right="-108"/>
              <w:jc w:val="left"/>
              <w:rPr>
                <w:rFonts w:cs="Arial"/>
                <w:szCs w:val="19"/>
              </w:rPr>
            </w:pPr>
            <w:r w:rsidRPr="00E054E2">
              <w:rPr>
                <w:rFonts w:eastAsia="Calibri" w:cs="Arial"/>
              </w:rPr>
              <w:t>Anfälligkeitsallel</w:t>
            </w:r>
          </w:p>
        </w:tc>
      </w:tr>
      <w:tr w:rsidR="00520102" w:rsidRPr="00E054E2" w:rsidTr="007740BA">
        <w:trPr>
          <w:trHeight w:val="558"/>
        </w:trPr>
        <w:tc>
          <w:tcPr>
            <w:tcW w:w="2376" w:type="dxa"/>
            <w:vAlign w:val="center"/>
          </w:tcPr>
          <w:p w:rsidR="00520102" w:rsidRPr="00E054E2" w:rsidRDefault="00520102" w:rsidP="007740BA">
            <w:pPr>
              <w:autoSpaceDE w:val="0"/>
              <w:autoSpaceDN w:val="0"/>
              <w:adjustRightInd w:val="0"/>
              <w:spacing w:before="120" w:after="120"/>
              <w:ind w:left="180"/>
              <w:jc w:val="left"/>
              <w:rPr>
                <w:rFonts w:cs="Arial"/>
                <w:szCs w:val="19"/>
              </w:rPr>
            </w:pPr>
            <w:r w:rsidRPr="00E054E2">
              <w:rPr>
                <w:rFonts w:cs="Arial"/>
                <w:szCs w:val="19"/>
              </w:rPr>
              <w:t xml:space="preserve">Resistenz gegen </w:t>
            </w:r>
            <w:proofErr w:type="spellStart"/>
            <w:r w:rsidRPr="00E054E2">
              <w:rPr>
                <w:rFonts w:cs="Arial"/>
                <w:szCs w:val="19"/>
              </w:rPr>
              <w:t>ToMV</w:t>
            </w:r>
            <w:proofErr w:type="spellEnd"/>
            <w:r w:rsidRPr="00E054E2">
              <w:rPr>
                <w:rFonts w:cs="Arial"/>
                <w:szCs w:val="19"/>
              </w:rPr>
              <w:t xml:space="preserve"> - </w:t>
            </w:r>
            <w:proofErr w:type="spellStart"/>
            <w:r w:rsidRPr="00E054E2">
              <w:rPr>
                <w:rFonts w:cs="Arial"/>
                <w:szCs w:val="19"/>
              </w:rPr>
              <w:t>Pathotyp</w:t>
            </w:r>
            <w:proofErr w:type="spellEnd"/>
            <w:r w:rsidRPr="00E054E2">
              <w:rPr>
                <w:rFonts w:cs="Arial"/>
                <w:szCs w:val="19"/>
              </w:rPr>
              <w:t xml:space="preserve"> 0</w:t>
            </w:r>
          </w:p>
        </w:tc>
        <w:tc>
          <w:tcPr>
            <w:tcW w:w="1985" w:type="dxa"/>
            <w:vAlign w:val="center"/>
          </w:tcPr>
          <w:p w:rsidR="00520102" w:rsidRPr="00E054E2" w:rsidRDefault="00520102" w:rsidP="007740BA">
            <w:pPr>
              <w:autoSpaceDE w:val="0"/>
              <w:autoSpaceDN w:val="0"/>
              <w:adjustRightInd w:val="0"/>
              <w:ind w:left="36" w:right="34"/>
              <w:jc w:val="left"/>
              <w:rPr>
                <w:rFonts w:cs="Arial"/>
                <w:szCs w:val="19"/>
              </w:rPr>
            </w:pPr>
            <w:r w:rsidRPr="00E054E2">
              <w:rPr>
                <w:rFonts w:cs="Arial"/>
                <w:szCs w:val="19"/>
              </w:rPr>
              <w:t>fehlend</w:t>
            </w:r>
          </w:p>
        </w:tc>
        <w:tc>
          <w:tcPr>
            <w:tcW w:w="2977" w:type="dxa"/>
            <w:vAlign w:val="center"/>
          </w:tcPr>
          <w:p w:rsidR="00520102" w:rsidRPr="00E054E2" w:rsidRDefault="00520102" w:rsidP="007740BA">
            <w:pPr>
              <w:autoSpaceDE w:val="0"/>
              <w:autoSpaceDN w:val="0"/>
              <w:adjustRightInd w:val="0"/>
              <w:ind w:left="36"/>
              <w:jc w:val="left"/>
              <w:rPr>
                <w:rFonts w:cs="Arial"/>
                <w:szCs w:val="19"/>
              </w:rPr>
            </w:pPr>
            <w:r w:rsidRPr="00E054E2">
              <w:rPr>
                <w:rFonts w:cs="Arial"/>
                <w:szCs w:val="19"/>
              </w:rPr>
              <w:t>vorhanden</w:t>
            </w:r>
          </w:p>
        </w:tc>
        <w:tc>
          <w:tcPr>
            <w:tcW w:w="1842" w:type="dxa"/>
            <w:vAlign w:val="center"/>
          </w:tcPr>
          <w:p w:rsidR="00520102" w:rsidRPr="00E054E2" w:rsidRDefault="00520102" w:rsidP="007740BA">
            <w:pPr>
              <w:autoSpaceDE w:val="0"/>
              <w:autoSpaceDN w:val="0"/>
              <w:adjustRightInd w:val="0"/>
              <w:ind w:left="20" w:right="-108"/>
              <w:jc w:val="left"/>
              <w:rPr>
                <w:rFonts w:cs="Arial"/>
                <w:szCs w:val="19"/>
              </w:rPr>
            </w:pPr>
            <w:r w:rsidRPr="00E054E2">
              <w:rPr>
                <w:rFonts w:cs="Arial"/>
                <w:szCs w:val="19"/>
              </w:rPr>
              <w:t>vorhanden</w:t>
            </w:r>
          </w:p>
        </w:tc>
      </w:tr>
    </w:tbl>
    <w:p w:rsidR="00520102" w:rsidRPr="00E054E2" w:rsidRDefault="00520102" w:rsidP="00520102">
      <w:pPr>
        <w:autoSpaceDE w:val="0"/>
        <w:autoSpaceDN w:val="0"/>
        <w:adjustRightInd w:val="0"/>
        <w:rPr>
          <w:rFonts w:eastAsia="Calibri" w:cs="Arial"/>
        </w:rPr>
      </w:pPr>
    </w:p>
    <w:p w:rsidR="00520102" w:rsidRPr="00E054E2" w:rsidRDefault="00520102" w:rsidP="00520102">
      <w:pPr>
        <w:autoSpaceDE w:val="0"/>
        <w:autoSpaceDN w:val="0"/>
        <w:adjustRightInd w:val="0"/>
        <w:rPr>
          <w:rFonts w:eastAsia="Calibri" w:cs="Arial"/>
        </w:rPr>
      </w:pPr>
      <w:r w:rsidRPr="00E054E2">
        <w:rPr>
          <w:rFonts w:eastAsia="Calibri" w:cs="Arial"/>
        </w:rPr>
        <w:t>5.</w:t>
      </w:r>
      <w:r w:rsidRPr="00E054E2">
        <w:rPr>
          <w:rFonts w:eastAsia="Calibri" w:cs="Arial"/>
        </w:rPr>
        <w:tab/>
        <w:t xml:space="preserve">Wenn eine Sorte als resistent gegen </w:t>
      </w:r>
      <w:proofErr w:type="spellStart"/>
      <w:r w:rsidRPr="00E054E2">
        <w:rPr>
          <w:rFonts w:eastAsia="Calibri" w:cs="Arial"/>
        </w:rPr>
        <w:t>ToMV</w:t>
      </w:r>
      <w:proofErr w:type="spellEnd"/>
      <w:r w:rsidRPr="00E054E2">
        <w:rPr>
          <w:rFonts w:eastAsia="Calibri" w:cs="Arial"/>
        </w:rPr>
        <w:t xml:space="preserve"> </w:t>
      </w:r>
      <w:proofErr w:type="spellStart"/>
      <w:r w:rsidRPr="00E054E2">
        <w:rPr>
          <w:rFonts w:eastAsia="Calibri" w:cs="Arial"/>
        </w:rPr>
        <w:t>Pathotyp</w:t>
      </w:r>
      <w:proofErr w:type="spellEnd"/>
      <w:r w:rsidRPr="00E054E2">
        <w:rPr>
          <w:rFonts w:eastAsia="Calibri" w:cs="Arial"/>
        </w:rPr>
        <w:t xml:space="preserve"> 0 angegeben wird, kann der DNS-Marker-Test durchgeführt werden. In Fällen, in denen die Resistenz auf dem Vorhandensein des Allels </w:t>
      </w:r>
      <w:r w:rsidRPr="00E054E2">
        <w:rPr>
          <w:rFonts w:eastAsia="Calibri" w:cs="Arial"/>
          <w:i/>
        </w:rPr>
        <w:t>Tm2</w:t>
      </w:r>
      <w:r w:rsidRPr="00E054E2">
        <w:rPr>
          <w:rFonts w:eastAsia="Calibri" w:cs="Arial"/>
        </w:rPr>
        <w:t xml:space="preserve"> oder </w:t>
      </w:r>
      <w:r w:rsidRPr="00E054E2">
        <w:rPr>
          <w:rFonts w:eastAsia="Calibri" w:cs="Arial"/>
          <w:i/>
        </w:rPr>
        <w:t>Tm2</w:t>
      </w:r>
      <w:r w:rsidRPr="00E054E2">
        <w:rPr>
          <w:rFonts w:eastAsia="Calibri" w:cs="Arial"/>
          <w:i/>
          <w:vertAlign w:val="superscript"/>
        </w:rPr>
        <w:t>2</w:t>
      </w:r>
      <w:r w:rsidRPr="00E054E2">
        <w:rPr>
          <w:rFonts w:eastAsia="Calibri" w:cs="Arial"/>
        </w:rPr>
        <w:t xml:space="preserve"> basiert, könnte der DNS-Marker-Test den herkömmlichen Biotest ersetzen.</w:t>
      </w:r>
    </w:p>
    <w:p w:rsidR="00520102" w:rsidRPr="00E054E2" w:rsidRDefault="00520102" w:rsidP="00520102">
      <w:pPr>
        <w:autoSpaceDE w:val="0"/>
        <w:autoSpaceDN w:val="0"/>
        <w:adjustRightInd w:val="0"/>
        <w:rPr>
          <w:rFonts w:eastAsia="Calibri" w:cs="Arial"/>
        </w:rPr>
      </w:pPr>
    </w:p>
    <w:p w:rsidR="00520102" w:rsidRPr="00520102" w:rsidRDefault="00520102" w:rsidP="00520102">
      <w:pPr>
        <w:autoSpaceDE w:val="0"/>
        <w:autoSpaceDN w:val="0"/>
        <w:adjustRightInd w:val="0"/>
        <w:rPr>
          <w:rFonts w:cs="Arial"/>
        </w:rPr>
      </w:pPr>
      <w:r w:rsidRPr="00E054E2">
        <w:rPr>
          <w:rFonts w:eastAsia="Calibri" w:cs="Arial"/>
        </w:rPr>
        <w:t>6.</w:t>
      </w:r>
      <w:r w:rsidRPr="00E054E2">
        <w:rPr>
          <w:rFonts w:eastAsia="Calibri" w:cs="Arial"/>
        </w:rPr>
        <w:tab/>
        <w:t xml:space="preserve">Wenn der DNS-Marker-Test </w:t>
      </w:r>
      <w:r w:rsidR="004820A6">
        <w:rPr>
          <w:rFonts w:eastAsia="Calibri" w:cs="Arial"/>
        </w:rPr>
        <w:t xml:space="preserve">die angegebene </w:t>
      </w:r>
      <w:r w:rsidRPr="00E054E2">
        <w:rPr>
          <w:rFonts w:eastAsia="Calibri" w:cs="Arial"/>
        </w:rPr>
        <w:t>Resis</w:t>
      </w:r>
      <w:r w:rsidR="004820A6">
        <w:rPr>
          <w:rFonts w:eastAsia="Calibri" w:cs="Arial"/>
        </w:rPr>
        <w:t>tenz</w:t>
      </w:r>
      <w:r w:rsidRPr="00E054E2">
        <w:rPr>
          <w:rFonts w:eastAsia="Calibri" w:cs="Arial"/>
        </w:rPr>
        <w:t xml:space="preserve"> nicht bestätigt oder wenn die Sorte als anfällig angegeben wird, muss ein Biotest durchgeführt werden.</w:t>
      </w:r>
    </w:p>
    <w:p w:rsidR="00D562DA" w:rsidRPr="00520102" w:rsidRDefault="00D562DA" w:rsidP="00E306B7"/>
    <w:p w:rsidR="00E306B7" w:rsidRDefault="00E306B7" w:rsidP="00E306B7"/>
    <w:p w:rsidR="00520102" w:rsidRPr="00520102" w:rsidRDefault="00520102" w:rsidP="00E306B7"/>
    <w:p w:rsidR="00E306B7" w:rsidRPr="005B58D3" w:rsidRDefault="0063720F" w:rsidP="0063720F">
      <w:pPr>
        <w:jc w:val="right"/>
        <w:rPr>
          <w:u w:val="single"/>
        </w:rPr>
      </w:pPr>
      <w:r w:rsidRPr="005B58D3">
        <w:rPr>
          <w:rFonts w:cs="Arial"/>
        </w:rPr>
        <w:t>[Anlage II folgt]</w:t>
      </w:r>
    </w:p>
    <w:p w:rsidR="00E306B7" w:rsidRPr="005B58D3" w:rsidRDefault="00E306B7" w:rsidP="00E306B7">
      <w:pPr>
        <w:pBdr>
          <w:top w:val="single" w:sz="4" w:space="1" w:color="auto"/>
          <w:left w:val="single" w:sz="4" w:space="4" w:color="auto"/>
          <w:bottom w:val="single" w:sz="4" w:space="1" w:color="auto"/>
          <w:right w:val="single" w:sz="4" w:space="4" w:color="auto"/>
        </w:pBdr>
        <w:rPr>
          <w:u w:val="single"/>
        </w:rPr>
        <w:sectPr w:rsidR="00E306B7" w:rsidRPr="005B58D3" w:rsidSect="009C58F7">
          <w:headerReference w:type="default" r:id="rId11"/>
          <w:headerReference w:type="first" r:id="rId12"/>
          <w:footerReference w:type="first" r:id="rId13"/>
          <w:pgSz w:w="11907" w:h="16840" w:code="9"/>
          <w:pgMar w:top="510" w:right="1134" w:bottom="1134" w:left="1134" w:header="510" w:footer="567" w:gutter="0"/>
          <w:pgNumType w:start="1"/>
          <w:cols w:space="720"/>
          <w:titlePg/>
        </w:sectPr>
      </w:pPr>
    </w:p>
    <w:p w:rsidR="00E306B7" w:rsidRPr="00C66D18" w:rsidRDefault="0063720F" w:rsidP="00E306B7">
      <w:pPr>
        <w:jc w:val="center"/>
      </w:pPr>
      <w:bookmarkStart w:id="16" w:name="_Toc311473366"/>
      <w:r w:rsidRPr="00C66D18">
        <w:lastRenderedPageBreak/>
        <w:t>ANLAGE</w:t>
      </w:r>
      <w:r w:rsidR="00E306B7" w:rsidRPr="00C66D18">
        <w:t xml:space="preserve"> </w:t>
      </w:r>
      <w:bookmarkEnd w:id="16"/>
      <w:r w:rsidR="00207199" w:rsidRPr="00C66D18">
        <w:t>II</w:t>
      </w:r>
    </w:p>
    <w:p w:rsidR="00E306B7" w:rsidRPr="00C66D18" w:rsidRDefault="00E306B7" w:rsidP="00E306B7">
      <w:pPr>
        <w:jc w:val="center"/>
        <w:rPr>
          <w:snapToGrid w:val="0"/>
        </w:rPr>
      </w:pPr>
    </w:p>
    <w:p w:rsidR="00E306B7" w:rsidRPr="00C66D18" w:rsidRDefault="00E306B7" w:rsidP="00E306B7">
      <w:pPr>
        <w:jc w:val="center"/>
        <w:rPr>
          <w:snapToGrid w:val="0"/>
        </w:rPr>
      </w:pPr>
    </w:p>
    <w:p w:rsidR="00BF6089" w:rsidRPr="00C66D18" w:rsidRDefault="00BF6089" w:rsidP="00BF6089">
      <w:pPr>
        <w:pBdr>
          <w:top w:val="single" w:sz="6" w:space="1" w:color="auto"/>
          <w:left w:val="single" w:sz="6" w:space="4" w:color="auto"/>
          <w:bottom w:val="single" w:sz="6" w:space="1" w:color="auto"/>
          <w:right w:val="single" w:sz="6" w:space="4" w:color="auto"/>
        </w:pBdr>
        <w:jc w:val="center"/>
      </w:pPr>
      <w:bookmarkStart w:id="17" w:name="_Toc309140230"/>
      <w:bookmarkStart w:id="18" w:name="_Toc278111183"/>
      <w:r w:rsidRPr="00C66D18">
        <w:t>MODELL: KOMBINATION PHÄNOTYPISCHER UND MOLEKULARER ABSTÄNDE BEI DER VERWALTUNG VON SORTENSAMMLUNGEN</w:t>
      </w:r>
      <w:bookmarkEnd w:id="17"/>
    </w:p>
    <w:bookmarkEnd w:id="18"/>
    <w:p w:rsidR="00E306B7" w:rsidRPr="00C66D18" w:rsidRDefault="00E306B7" w:rsidP="00E306B7">
      <w:pPr>
        <w:jc w:val="center"/>
        <w:rPr>
          <w:bCs/>
          <w:snapToGrid w:val="0"/>
        </w:rPr>
      </w:pPr>
    </w:p>
    <w:p w:rsidR="00E306B7" w:rsidRPr="00C66D18" w:rsidRDefault="00E306B7" w:rsidP="00E306B7">
      <w:pPr>
        <w:jc w:val="center"/>
        <w:rPr>
          <w:snapToGrid w:val="0"/>
          <w:color w:val="000000"/>
        </w:rPr>
      </w:pPr>
    </w:p>
    <w:p w:rsidR="00E306B7" w:rsidRPr="00C66D18" w:rsidRDefault="0063720F" w:rsidP="00E306B7">
      <w:pPr>
        <w:jc w:val="center"/>
      </w:pPr>
      <w:bookmarkStart w:id="19" w:name="_Toc311473368"/>
      <w:r w:rsidRPr="00C66D18">
        <w:t>BEISPIEL</w:t>
      </w:r>
      <w:r w:rsidR="009C58F7">
        <w:t xml:space="preserve"> </w:t>
      </w:r>
      <w:r w:rsidR="009C58F7" w:rsidRPr="00E054E2">
        <w:t>1</w:t>
      </w:r>
      <w:r w:rsidRPr="00C66D18">
        <w:t>: ELTERNLINIEN VON MAIS</w:t>
      </w:r>
      <w:bookmarkEnd w:id="19"/>
    </w:p>
    <w:p w:rsidR="00E306B7" w:rsidRPr="00C66D18" w:rsidRDefault="00E306B7" w:rsidP="00E306B7">
      <w:pPr>
        <w:jc w:val="center"/>
      </w:pPr>
    </w:p>
    <w:p w:rsidR="00E306B7" w:rsidRPr="00C66D18" w:rsidRDefault="00E306B7" w:rsidP="00E306B7">
      <w:pPr>
        <w:jc w:val="center"/>
      </w:pPr>
    </w:p>
    <w:p w:rsidR="00E306B7" w:rsidRPr="00C66D18" w:rsidRDefault="0063720F" w:rsidP="00E306B7">
      <w:pPr>
        <w:jc w:val="center"/>
        <w:rPr>
          <w:i/>
        </w:rPr>
      </w:pPr>
      <w:r w:rsidRPr="00C66D18">
        <w:rPr>
          <w:i/>
        </w:rPr>
        <w:t>von Sachverständigen aus Frankreich ausgearbeitet</w:t>
      </w:r>
    </w:p>
    <w:p w:rsidR="00E306B7" w:rsidRPr="00C66D18" w:rsidRDefault="00E306B7" w:rsidP="00E306B7">
      <w:pPr>
        <w:jc w:val="center"/>
        <w:rPr>
          <w:i/>
        </w:rPr>
      </w:pPr>
    </w:p>
    <w:p w:rsidR="00E306B7" w:rsidRPr="00C66D18" w:rsidRDefault="00E306B7" w:rsidP="00E306B7">
      <w:pPr>
        <w:pStyle w:val="Header"/>
        <w:rPr>
          <w:rFonts w:cs="Arial"/>
          <w:i/>
          <w:lang w:val="de-DE"/>
        </w:rPr>
      </w:pPr>
    </w:p>
    <w:p w:rsidR="00E306B7" w:rsidRPr="00C66D18" w:rsidRDefault="00E306B7" w:rsidP="00E306B7">
      <w:pPr>
        <w:pStyle w:val="Header"/>
        <w:rPr>
          <w:rFonts w:cs="Arial"/>
          <w:i/>
          <w:lang w:val="de-DE"/>
        </w:rPr>
      </w:pPr>
    </w:p>
    <w:p w:rsidR="00BF6089" w:rsidRPr="00C66D18" w:rsidRDefault="00BF6089" w:rsidP="00BF6089">
      <w:r w:rsidRPr="00C66D18">
        <w:t>1.</w:t>
      </w:r>
      <w:r w:rsidRPr="00C66D18">
        <w:tab/>
      </w:r>
      <w:r w:rsidRPr="00C66D18">
        <w:rPr>
          <w:u w:val="single"/>
        </w:rPr>
        <w:t>Beschreibung</w:t>
      </w:r>
    </w:p>
    <w:p w:rsidR="00BF6089" w:rsidRPr="00C66D18" w:rsidRDefault="00BF6089" w:rsidP="00BF6089">
      <w:pPr>
        <w:rPr>
          <w:rFonts w:ascii="TimesNewRoman" w:hAnsi="TimesNewRoman"/>
        </w:rPr>
      </w:pPr>
    </w:p>
    <w:p w:rsidR="00BF6089" w:rsidRPr="00C66D18" w:rsidRDefault="00BF6089" w:rsidP="00BF6089">
      <w:r w:rsidRPr="00C66D18">
        <w:t>1.1</w:t>
      </w:r>
      <w:r w:rsidRPr="00C66D18">
        <w:tab/>
        <w:t xml:space="preserve">Ein Schlüsselaspekt des Prozesses der Eliminierung allgemein bekannter Sorten vor der DUS-Anbauprüfung ist, </w:t>
      </w:r>
      <w:r w:rsidR="004A5537" w:rsidRPr="00C66D18">
        <w:t>dass</w:t>
      </w:r>
      <w:r w:rsidRPr="00C66D18">
        <w:t xml:space="preserve"> die Schwelle für die Entscheidung, welche Sorten mit Sicherheit ausgeschlossen werden können (d. h. aufgrund der Beschreibungen unterscheidbar sind), mit einer angemessenen Sicherheitsmarge festgesetzt werden kann, weil diejenigen Sorten, die eliminiert werden, nicht in die Anbauprüfung eingeschlossen werden. Diese Schwelle mit einer Sicherheitsmarge wird als „Unterscheidbarkeitsschwelle plus“ bezeichnet, was bedeutet, </w:t>
      </w:r>
      <w:r w:rsidR="004A5537" w:rsidRPr="00C66D18">
        <w:t>dass</w:t>
      </w:r>
      <w:r w:rsidRPr="00C66D18">
        <w:t xml:space="preserve"> die Abstände zwischen einer Kandidatensorte und Sorten mit „Unterscheidbarkeit plus“ robust genug sind, um ohne direkten Vergleich in der Anbauprüfung eine Entscheidung zu treffen.</w:t>
      </w:r>
    </w:p>
    <w:p w:rsidR="00BF6089" w:rsidRPr="00C66D18" w:rsidRDefault="00BF6089" w:rsidP="00BF6089"/>
    <w:p w:rsidR="00BF6089" w:rsidRPr="00C66D18" w:rsidRDefault="00BF6089" w:rsidP="00BF6089">
      <w:r w:rsidRPr="00C66D18">
        <w:t>1.2</w:t>
      </w:r>
      <w:r w:rsidRPr="00C66D18">
        <w:tab/>
        <w:t>Zweck dieses Beispiels ist es, ein effizientes Hilfsmittel aufgrund einer Kombination phänotypischer und molekularer Abstände zu entwickeln, um innerhalb der Sortensammlung diejenigen Sorten auszuweisen, die mit Kandidatensorten verglichen werden müssen (vergleiche Abbildung 1), um die Auswahl der Sorten mit „Unterscheidbarkeit plus“ zu verbessern und dadurch die Arbeitsbelastung zu begrenzen, ohne die Qualität der Prüfung zu verringern. Die Herausforderung besteht darin, ein sicheres System zu entwickeln, das</w:t>
      </w:r>
    </w:p>
    <w:p w:rsidR="00BF6089" w:rsidRPr="00C66D18" w:rsidRDefault="00BF6089" w:rsidP="00BF6089"/>
    <w:p w:rsidR="00BF6089" w:rsidRPr="00187D23" w:rsidRDefault="00BF6089" w:rsidP="00BF6089">
      <w:pPr>
        <w:ind w:left="1134" w:hanging="567"/>
      </w:pPr>
      <w:r w:rsidRPr="00187D23">
        <w:t>a)</w:t>
      </w:r>
      <w:r w:rsidRPr="00187D23">
        <w:tab/>
        <w:t>nur Sorten auswählt, die der Kandidatensorte ähnlich sind, und</w:t>
      </w:r>
    </w:p>
    <w:p w:rsidR="00BF6089" w:rsidRPr="00187D23" w:rsidRDefault="00BF6089" w:rsidP="00BF6089">
      <w:pPr>
        <w:ind w:left="1134" w:hanging="567"/>
      </w:pPr>
    </w:p>
    <w:p w:rsidR="00BF6089" w:rsidRPr="00C66D18" w:rsidRDefault="00BF6089" w:rsidP="00BF6089">
      <w:pPr>
        <w:ind w:left="1134" w:hanging="567"/>
      </w:pPr>
      <w:r w:rsidRPr="00187D23">
        <w:t>b)</w:t>
      </w:r>
      <w:r w:rsidRPr="00187D23">
        <w:tab/>
        <w:t xml:space="preserve">das Risiko begrenzt, </w:t>
      </w:r>
      <w:r w:rsidR="004A5537" w:rsidRPr="00187D23">
        <w:t>dass</w:t>
      </w:r>
      <w:r w:rsidRPr="00187D23">
        <w:t xml:space="preserve"> eine Sorte in der Sortensammlung, die im Feld verglichen werden </w:t>
      </w:r>
      <w:r w:rsidR="004A5537" w:rsidRPr="00187D23">
        <w:t>muss</w:t>
      </w:r>
      <w:r w:rsidRPr="00187D23">
        <w:t>, nicht ausgewählt wird, insbesondere wenn eine umfangreiche oder aufwendige Sortensammlung vorhanden ist.</w:t>
      </w:r>
    </w:p>
    <w:p w:rsidR="00E306B7" w:rsidRPr="00C66D18" w:rsidRDefault="00E306B7" w:rsidP="00E306B7">
      <w:pPr>
        <w:spacing w:line="360" w:lineRule="auto"/>
        <w:ind w:left="1440" w:hanging="720"/>
        <w:rPr>
          <w:rFonts w:cs="Arial"/>
          <w:snapToGrid w:val="0"/>
        </w:rPr>
      </w:pPr>
    </w:p>
    <w:p w:rsidR="00E306B7" w:rsidRPr="00C66D18" w:rsidRDefault="0063720F" w:rsidP="00E306B7">
      <w:pPr>
        <w:spacing w:after="240"/>
        <w:rPr>
          <w:rFonts w:cs="Arial"/>
          <w:i/>
          <w:iCs/>
          <w:snapToGrid w:val="0"/>
        </w:rPr>
      </w:pPr>
      <w:r w:rsidRPr="00C66D18">
        <w:rPr>
          <w:rFonts w:cs="Arial"/>
          <w:i/>
          <w:iCs/>
          <w:snapToGrid w:val="0"/>
        </w:rPr>
        <w:t>Abbildung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1"/>
      </w:tblGrid>
      <w:tr w:rsidR="00E306B7" w:rsidRPr="00C66D18" w:rsidTr="00A87385">
        <w:trPr>
          <w:jc w:val="center"/>
        </w:trPr>
        <w:tc>
          <w:tcPr>
            <w:tcW w:w="9071" w:type="dxa"/>
          </w:tcPr>
          <w:p w:rsidR="0000680F" w:rsidRPr="00C66D18" w:rsidRDefault="00A87385" w:rsidP="0000680F">
            <w:pPr>
              <w:jc w:val="center"/>
              <w:rPr>
                <w:rFonts w:ascii="TimesNewRoman" w:hAnsi="TimesNewRoman"/>
              </w:rPr>
            </w:pPr>
            <w:r w:rsidRPr="00C66D18">
              <w:object w:dxaOrig="7082"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51.2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lide.8" ShapeID="_x0000_i1025" DrawAspect="Content" ObjectID="_1658817476" r:id="rId15"/>
              </w:object>
            </w:r>
          </w:p>
          <w:p w:rsidR="00E306B7" w:rsidRPr="00C66D18" w:rsidRDefault="00E306B7" w:rsidP="001B3500">
            <w:pPr>
              <w:jc w:val="center"/>
              <w:rPr>
                <w:rFonts w:cs="Arial"/>
                <w:snapToGrid w:val="0"/>
              </w:rPr>
            </w:pPr>
          </w:p>
        </w:tc>
      </w:tr>
    </w:tbl>
    <w:p w:rsidR="00BF6089" w:rsidRPr="00C66D18" w:rsidRDefault="00E306B7" w:rsidP="00BF6089">
      <w:pPr>
        <w:keepNext/>
      </w:pPr>
      <w:r w:rsidRPr="00C66D18">
        <w:rPr>
          <w:rFonts w:cs="Arial"/>
          <w:snapToGrid w:val="0"/>
        </w:rPr>
        <w:br w:type="page"/>
      </w:r>
      <w:r w:rsidR="00BF6089" w:rsidRPr="00C66D18">
        <w:lastRenderedPageBreak/>
        <w:t>1.3</w:t>
      </w:r>
      <w:r w:rsidR="00BF6089" w:rsidRPr="00C66D18">
        <w:tab/>
        <w:t>Das neue System wurde vor nachstehendem Hintergrund ausgearbeitet:</w:t>
      </w:r>
    </w:p>
    <w:p w:rsidR="00BF6089" w:rsidRPr="00C66D18" w:rsidRDefault="00BF6089" w:rsidP="00BF6089"/>
    <w:p w:rsidR="00BF6089" w:rsidRPr="00C66D18" w:rsidRDefault="00BF6089" w:rsidP="00A87385">
      <w:pPr>
        <w:ind w:firstLine="567"/>
      </w:pPr>
      <w:r w:rsidRPr="00C66D18">
        <w:t>a)</w:t>
      </w:r>
      <w:r w:rsidRPr="00C66D18">
        <w:tab/>
        <w:t xml:space="preserve">Studien über molekulare Abstände bei Mais für die DUS-Prüfung und die wesentliche Ableitung, die den Zusammenhang mit dem Verwandtschaftsgrad zwischen Sorten aufzeigten (vergleiche Dokumente BMT/3/6 „The </w:t>
      </w:r>
      <w:proofErr w:type="spellStart"/>
      <w:r w:rsidRPr="00C66D18">
        <w:t>Estimation</w:t>
      </w:r>
      <w:proofErr w:type="spellEnd"/>
      <w:r w:rsidRPr="00C66D18">
        <w:t xml:space="preserve"> </w:t>
      </w:r>
      <w:proofErr w:type="spellStart"/>
      <w:r w:rsidRPr="00C66D18">
        <w:t>of</w:t>
      </w:r>
      <w:proofErr w:type="spellEnd"/>
      <w:r w:rsidRPr="00C66D18">
        <w:t xml:space="preserve"> </w:t>
      </w:r>
      <w:proofErr w:type="spellStart"/>
      <w:r w:rsidRPr="00C66D18">
        <w:t>Molecular</w:t>
      </w:r>
      <w:proofErr w:type="spellEnd"/>
      <w:r w:rsidRPr="00C66D18">
        <w:t xml:space="preserve"> </w:t>
      </w:r>
      <w:proofErr w:type="spellStart"/>
      <w:r w:rsidRPr="00C66D18">
        <w:t>Genetic</w:t>
      </w:r>
      <w:proofErr w:type="spellEnd"/>
      <w:r w:rsidRPr="00C66D18">
        <w:t xml:space="preserve"> </w:t>
      </w:r>
      <w:proofErr w:type="spellStart"/>
      <w:r w:rsidRPr="00C66D18">
        <w:t>Distances</w:t>
      </w:r>
      <w:proofErr w:type="spellEnd"/>
      <w:r w:rsidRPr="00C66D18">
        <w:t xml:space="preserve"> in </w:t>
      </w:r>
      <w:proofErr w:type="spellStart"/>
      <w:r w:rsidRPr="00C66D18">
        <w:t>Maize</w:t>
      </w:r>
      <w:proofErr w:type="spellEnd"/>
      <w:r w:rsidRPr="00C66D18">
        <w:t xml:space="preserve"> </w:t>
      </w:r>
      <w:proofErr w:type="spellStart"/>
      <w:r w:rsidRPr="00C66D18">
        <w:t>or</w:t>
      </w:r>
      <w:proofErr w:type="spellEnd"/>
      <w:r w:rsidRPr="00C66D18">
        <w:t xml:space="preserve"> DUS and ED </w:t>
      </w:r>
      <w:proofErr w:type="spellStart"/>
      <w:r w:rsidRPr="00C66D18">
        <w:t>Protocols</w:t>
      </w:r>
      <w:proofErr w:type="spellEnd"/>
      <w:r w:rsidRPr="00C66D18">
        <w:t>: Optimierung der Informationen und neue Ansätze für die Verwandtschaft“ und Dokument BMT/3/6 Add.);</w:t>
      </w:r>
    </w:p>
    <w:p w:rsidR="00BF6089" w:rsidRPr="00C66D18" w:rsidRDefault="00BF6089" w:rsidP="00A87385">
      <w:pPr>
        <w:ind w:left="1134" w:firstLine="567"/>
      </w:pPr>
    </w:p>
    <w:p w:rsidR="00BF6089" w:rsidRPr="00C66D18" w:rsidRDefault="00BF6089" w:rsidP="00A87385">
      <w:pPr>
        <w:ind w:firstLine="567"/>
      </w:pPr>
      <w:r w:rsidRPr="00C66D18">
        <w:t>b)</w:t>
      </w:r>
      <w:r w:rsidRPr="00C66D18">
        <w:tab/>
        <w:t xml:space="preserve">Ein von GEVES durchgeführtes Experiment an einer Serie von Elternlinien von Mais, das aufzeigte, </w:t>
      </w:r>
      <w:r w:rsidR="004A5537" w:rsidRPr="00C66D18">
        <w:t>dass</w:t>
      </w:r>
      <w:r w:rsidRPr="00C66D18">
        <w:t xml:space="preserve"> eine Verbindung zwischen der Beurteilung der Unterscheidbarkeit durch Sachverständige (globale Prüfung) und einem molekularen Abstand besteht, der anhand molekularer Daten aufgrund einfacher Sequenzwiederholungen (Simple </w:t>
      </w:r>
      <w:proofErr w:type="spellStart"/>
      <w:r w:rsidRPr="00C66D18">
        <w:t>Sequence</w:t>
      </w:r>
      <w:proofErr w:type="spellEnd"/>
      <w:r w:rsidRPr="00C66D18">
        <w:t xml:space="preserve"> Repeat, SSR) berechnet wird (vergleiche Abbildung 2).</w:t>
      </w:r>
    </w:p>
    <w:p w:rsidR="00E306B7" w:rsidRPr="00C66D18" w:rsidRDefault="00E306B7" w:rsidP="00A87385">
      <w:pPr>
        <w:ind w:firstLine="567"/>
        <w:rPr>
          <w:rFonts w:cs="Arial"/>
          <w:snapToGrid w:val="0"/>
        </w:rPr>
      </w:pPr>
    </w:p>
    <w:p w:rsidR="00E306B7" w:rsidRPr="00C66D18" w:rsidRDefault="00E306B7" w:rsidP="00E306B7">
      <w:pPr>
        <w:rPr>
          <w:rFonts w:cs="Arial"/>
          <w:snapToGrid w:val="0"/>
        </w:rPr>
      </w:pPr>
      <w:r w:rsidRPr="00C66D18">
        <w:rPr>
          <w:rFonts w:cs="Arial"/>
          <w:snapToGrid w:val="0"/>
        </w:rPr>
        <w:t>1.4</w:t>
      </w:r>
      <w:r w:rsidRPr="00C66D18">
        <w:rPr>
          <w:rFonts w:cs="Arial"/>
          <w:snapToGrid w:val="0"/>
        </w:rPr>
        <w:tab/>
      </w:r>
      <w:r w:rsidR="0063720F" w:rsidRPr="00C66D18">
        <w:rPr>
          <w:rFonts w:cs="Arial"/>
          <w:snapToGrid w:val="0"/>
        </w:rPr>
        <w:t>Komponenten des Systems</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1.4.1</w:t>
      </w:r>
      <w:r w:rsidRPr="00C66D18">
        <w:rPr>
          <w:rFonts w:cs="Arial"/>
          <w:snapToGrid w:val="0"/>
        </w:rPr>
        <w:tab/>
      </w:r>
      <w:r w:rsidR="0063720F" w:rsidRPr="00C66D18">
        <w:rPr>
          <w:rFonts w:cs="Arial"/>
          <w:snapToGrid w:val="0"/>
        </w:rPr>
        <w:t>GAIA-Abstand</w:t>
      </w:r>
    </w:p>
    <w:p w:rsidR="00E306B7" w:rsidRPr="00C66D18" w:rsidRDefault="00E306B7" w:rsidP="00E306B7">
      <w:pPr>
        <w:rPr>
          <w:rFonts w:cs="Arial"/>
          <w:snapToGrid w:val="0"/>
        </w:rPr>
      </w:pPr>
    </w:p>
    <w:p w:rsidR="00C200A3" w:rsidRPr="00C66D18" w:rsidRDefault="00C200A3" w:rsidP="00C200A3">
      <w:r w:rsidRPr="00C66D18">
        <w:t xml:space="preserve">Die Komponente GAIA-Abstand wird mit der von GEVES entwickelten GAIA-Software berechnet. Der GAIA-Abstand ist eine Kombination von Unterschieden, die an phänotypischen Merkmalen </w:t>
      </w:r>
      <w:r w:rsidR="004A5537" w:rsidRPr="00C66D18">
        <w:t>erfasst</w:t>
      </w:r>
      <w:r w:rsidRPr="00C66D18">
        <w:t xml:space="preserve"> werden, wobei jeder Unterschied je nach Zuverlässigkeit der Merkmale, insbesondere ihrer Variabilität und Umweltanfälligkeit, zum Abstand beiträgt. Je größer der Unterschied und je größer die Zuverlässigkeit des Merkmals ist, desto stärker trägt der Unterschied zum GAIA-Abstand bei. Lediglich diejenigen Unterschiede, die gleich oder größer als der für jedes einzelne Merkmal erforderliche Mindestabstand sind, werden einbezogen.</w:t>
      </w:r>
    </w:p>
    <w:p w:rsidR="00E306B7" w:rsidRPr="00C66D18" w:rsidRDefault="00E306B7" w:rsidP="000619BA">
      <w:pPr>
        <w:rPr>
          <w:snapToGrid w:val="0"/>
        </w:rPr>
      </w:pPr>
    </w:p>
    <w:p w:rsidR="00E306B7" w:rsidRPr="00C66D18" w:rsidRDefault="00E306B7" w:rsidP="00E306B7">
      <w:pPr>
        <w:rPr>
          <w:rFonts w:cs="Arial"/>
          <w:snapToGrid w:val="0"/>
        </w:rPr>
      </w:pPr>
      <w:r w:rsidRPr="00C66D18">
        <w:rPr>
          <w:rFonts w:cs="Arial"/>
          <w:snapToGrid w:val="0"/>
        </w:rPr>
        <w:t>1.4.2</w:t>
      </w:r>
      <w:r w:rsidRPr="00C66D18">
        <w:rPr>
          <w:rFonts w:cs="Arial"/>
          <w:snapToGrid w:val="0"/>
        </w:rPr>
        <w:tab/>
      </w:r>
      <w:r w:rsidR="0063720F" w:rsidRPr="00C66D18">
        <w:rPr>
          <w:rFonts w:cs="Arial"/>
          <w:snapToGrid w:val="0"/>
        </w:rPr>
        <w:t>Molekularer Abstand</w:t>
      </w:r>
    </w:p>
    <w:p w:rsidR="00C200A3" w:rsidRPr="00C66D18" w:rsidRDefault="00C200A3" w:rsidP="00C200A3">
      <w:pPr>
        <w:keepNext/>
        <w:keepLines/>
      </w:pPr>
    </w:p>
    <w:p w:rsidR="00C200A3" w:rsidRPr="00C66D18" w:rsidRDefault="00C200A3" w:rsidP="00C200A3">
      <w:r w:rsidRPr="00C66D18">
        <w:t xml:space="preserve">Die Komponente des molekularen Abstands wird anhand der an einem Markersatz </w:t>
      </w:r>
      <w:r w:rsidR="004A5537" w:rsidRPr="00C66D18">
        <w:t>erfassten</w:t>
      </w:r>
      <w:r w:rsidRPr="00C66D18">
        <w:t xml:space="preserve"> Unterschiede berechnet. Es können verschiedene Typen molekularer Marker und Abstände angewandt werden. Im Falle der in Frankreich an Mais durchgeführten Studie wurden 60 SSR-Marker und der </w:t>
      </w:r>
      <w:proofErr w:type="spellStart"/>
      <w:r w:rsidRPr="00C66D18">
        <w:t>Rogers’sche</w:t>
      </w:r>
      <w:proofErr w:type="spellEnd"/>
      <w:r w:rsidRPr="00C66D18">
        <w:t xml:space="preserve"> Abstand angewandt. Es ist wichtig, </w:t>
      </w:r>
      <w:r w:rsidR="004A5537" w:rsidRPr="00C66D18">
        <w:t>dass</w:t>
      </w:r>
      <w:r w:rsidRPr="00C66D18">
        <w:t xml:space="preserve"> genügend Marker mit einer angemessenen Verteilung auf den Chromosomen verwendet werden. Der Typ der Marker, der Effekt der Anzahl Marker und die Verteilung der Marker müssen je nach der betreffenden Art berücksichtigt werden. </w:t>
      </w:r>
    </w:p>
    <w:p w:rsidR="00C200A3" w:rsidRPr="00C66D18" w:rsidRDefault="00C200A3" w:rsidP="00C200A3">
      <w:pPr>
        <w:rPr>
          <w:rFonts w:cs="Arial"/>
          <w:snapToGrid w:val="0"/>
        </w:rPr>
      </w:pPr>
    </w:p>
    <w:p w:rsidR="00E306B7" w:rsidRPr="00C66D18" w:rsidRDefault="00E306B7" w:rsidP="00E306B7">
      <w:pPr>
        <w:rPr>
          <w:rFonts w:cs="Arial"/>
          <w:snapToGrid w:val="0"/>
        </w:rPr>
      </w:pPr>
      <w:r w:rsidRPr="00C66D18">
        <w:rPr>
          <w:rFonts w:cs="Arial"/>
          <w:snapToGrid w:val="0"/>
        </w:rPr>
        <w:t>1.4.3</w:t>
      </w:r>
      <w:r w:rsidRPr="00C66D18">
        <w:rPr>
          <w:rFonts w:cs="Arial"/>
          <w:snapToGrid w:val="0"/>
        </w:rPr>
        <w:tab/>
      </w:r>
      <w:r w:rsidR="00C200A3" w:rsidRPr="00C66D18">
        <w:t xml:space="preserve">Bevor diese beiden Komponenten kombiniert werden, </w:t>
      </w:r>
      <w:r w:rsidR="004A5537" w:rsidRPr="00C66D18">
        <w:t>muss</w:t>
      </w:r>
      <w:r w:rsidR="00C200A3" w:rsidRPr="00C66D18">
        <w:t xml:space="preserve"> eine Beurteilung des Zusammenhanges zwischen dem molekularen Abstand und einer globalen Beurteilung der Unterscheidbarkeit durch ein Gremium von Sachverständigen an einer Serie von Sortenpaaren erfolgen. Im Falle von Mais wurde diese Beurteilung auf folgender Grundlage durchgeführt:</w:t>
      </w:r>
    </w:p>
    <w:p w:rsidR="00E306B7" w:rsidRPr="00C66D18" w:rsidRDefault="00E306B7" w:rsidP="00E306B7">
      <w:pPr>
        <w:rPr>
          <w:rFonts w:cs="Arial"/>
          <w:snapToGrid w:val="0"/>
        </w:rPr>
      </w:pPr>
    </w:p>
    <w:p w:rsidR="00E306B7" w:rsidRPr="00C66D18" w:rsidRDefault="0063720F" w:rsidP="00E306B7">
      <w:pPr>
        <w:ind w:firstLine="567"/>
        <w:rPr>
          <w:rFonts w:cs="Arial"/>
          <w:snapToGrid w:val="0"/>
        </w:rPr>
      </w:pPr>
      <w:r w:rsidRPr="00C66D18">
        <w:rPr>
          <w:rFonts w:cs="Arial"/>
          <w:snapToGrid w:val="0"/>
        </w:rPr>
        <w:t xml:space="preserve">Material: </w:t>
      </w:r>
      <w:r w:rsidR="00C200A3" w:rsidRPr="00C66D18">
        <w:t>504 Sortenpaare, die parallel mit molekularen Markern geprüft wurden</w:t>
      </w:r>
    </w:p>
    <w:p w:rsidR="00E306B7" w:rsidRPr="00C66D18" w:rsidRDefault="00E306B7" w:rsidP="00E306B7">
      <w:pPr>
        <w:ind w:firstLine="720"/>
        <w:rPr>
          <w:rFonts w:cs="Arial"/>
          <w:snapToGrid w:val="0"/>
        </w:rPr>
      </w:pPr>
    </w:p>
    <w:p w:rsidR="0063720F" w:rsidRPr="00C66D18" w:rsidRDefault="0063720F" w:rsidP="00E306B7">
      <w:pPr>
        <w:ind w:left="1440" w:hanging="873"/>
        <w:jc w:val="left"/>
        <w:rPr>
          <w:rFonts w:cs="Arial"/>
          <w:snapToGrid w:val="0"/>
        </w:rPr>
      </w:pPr>
      <w:r w:rsidRPr="00C66D18">
        <w:rPr>
          <w:rFonts w:cs="Arial"/>
          <w:snapToGrid w:val="0"/>
        </w:rPr>
        <w:t>Feldanlage:</w:t>
      </w:r>
      <w:r w:rsidR="00AC5F71" w:rsidRPr="00C66D18">
        <w:rPr>
          <w:rFonts w:cs="Arial"/>
          <w:snapToGrid w:val="0"/>
        </w:rPr>
        <w:t xml:space="preserve"> </w:t>
      </w:r>
      <w:r w:rsidRPr="00C66D18">
        <w:rPr>
          <w:rFonts w:cs="Arial"/>
          <w:snapToGrid w:val="0"/>
        </w:rPr>
        <w:t xml:space="preserve">nebeneinander angebaute Sortenpaare </w:t>
      </w:r>
    </w:p>
    <w:p w:rsidR="00E306B7" w:rsidRPr="00C66D18" w:rsidRDefault="0063720F" w:rsidP="00E306B7">
      <w:pPr>
        <w:ind w:left="1440" w:hanging="873"/>
        <w:jc w:val="left"/>
        <w:rPr>
          <w:rFonts w:cs="Arial"/>
          <w:snapToGrid w:val="0"/>
        </w:rPr>
      </w:pPr>
      <w:r w:rsidRPr="00C66D18">
        <w:rPr>
          <w:rFonts w:cs="Arial"/>
          <w:snapToGrid w:val="0"/>
        </w:rPr>
        <w:t xml:space="preserve">(1 Parzelle = 2 Reihen mit je 15 Pflanzen) </w:t>
      </w:r>
    </w:p>
    <w:p w:rsidR="00E306B7" w:rsidRPr="00C66D18" w:rsidRDefault="00E306B7" w:rsidP="00E306B7">
      <w:pPr>
        <w:ind w:left="1440" w:hanging="720"/>
        <w:jc w:val="left"/>
        <w:rPr>
          <w:rFonts w:cs="Arial"/>
          <w:snapToGrid w:val="0"/>
        </w:rPr>
      </w:pPr>
    </w:p>
    <w:p w:rsidR="00E306B7" w:rsidRPr="00C66D18" w:rsidRDefault="0063720F" w:rsidP="00E306B7">
      <w:pPr>
        <w:ind w:firstLine="567"/>
        <w:rPr>
          <w:rFonts w:cs="Arial"/>
          <w:snapToGrid w:val="0"/>
        </w:rPr>
      </w:pPr>
      <w:r w:rsidRPr="00C66D18">
        <w:rPr>
          <w:rFonts w:cs="Arial"/>
          <w:snapToGrid w:val="0"/>
        </w:rPr>
        <w:t>Visuelle Erfassung durch Sachverständige für Mais:</w:t>
      </w:r>
    </w:p>
    <w:p w:rsidR="00E306B7" w:rsidRPr="00C66D18" w:rsidRDefault="00E306B7" w:rsidP="00E306B7">
      <w:pPr>
        <w:ind w:firstLine="720"/>
        <w:rPr>
          <w:rFonts w:cs="Arial"/>
          <w:snapToGrid w:val="0"/>
        </w:rPr>
      </w:pPr>
    </w:p>
    <w:p w:rsidR="00E306B7" w:rsidRPr="00C66D18" w:rsidRDefault="0063720F" w:rsidP="00E306B7">
      <w:pPr>
        <w:ind w:firstLine="567"/>
        <w:rPr>
          <w:rFonts w:cs="Arial"/>
          <w:snapToGrid w:val="0"/>
        </w:rPr>
      </w:pPr>
      <w:r w:rsidRPr="00C66D18">
        <w:rPr>
          <w:rFonts w:cs="Arial"/>
          <w:snapToGrid w:val="0"/>
        </w:rPr>
        <w:t>Ähnlichkeitsskala:</w:t>
      </w:r>
    </w:p>
    <w:p w:rsidR="00E306B7" w:rsidRPr="00C66D18" w:rsidRDefault="00E306B7" w:rsidP="00E306B7">
      <w:pPr>
        <w:ind w:firstLine="709"/>
        <w:rPr>
          <w:rFonts w:cs="Arial"/>
          <w:snapToGrid w:val="0"/>
        </w:rPr>
      </w:pPr>
    </w:p>
    <w:p w:rsidR="00C200A3" w:rsidRPr="00C66D18" w:rsidRDefault="00C200A3" w:rsidP="003841B0">
      <w:pPr>
        <w:keepNext/>
        <w:ind w:left="993" w:right="99" w:hanging="426"/>
        <w:jc w:val="left"/>
      </w:pPr>
      <w:r w:rsidRPr="00C66D18">
        <w:t xml:space="preserve">1. </w:t>
      </w:r>
      <w:r w:rsidRPr="00C66D18">
        <w:tab/>
        <w:t>die beiden Sorten sind gleich oder sehr ähnlich</w:t>
      </w:r>
    </w:p>
    <w:p w:rsidR="00C200A3" w:rsidRPr="00C66D18" w:rsidRDefault="00C200A3" w:rsidP="003841B0">
      <w:pPr>
        <w:keepNext/>
        <w:ind w:left="993" w:right="99" w:hanging="426"/>
        <w:jc w:val="left"/>
      </w:pPr>
      <w:r w:rsidRPr="00C66D18">
        <w:t xml:space="preserve">3. </w:t>
      </w:r>
      <w:r w:rsidRPr="00C66D18">
        <w:tab/>
        <w:t>die beiden Sorten sind unterscheidbar, jedoch ähnlich</w:t>
      </w:r>
    </w:p>
    <w:p w:rsidR="00C200A3" w:rsidRPr="00C66D18" w:rsidRDefault="00C200A3" w:rsidP="003841B0">
      <w:pPr>
        <w:keepNext/>
        <w:ind w:left="993" w:right="99" w:hanging="426"/>
        <w:jc w:val="left"/>
      </w:pPr>
      <w:r w:rsidRPr="00C66D18">
        <w:t xml:space="preserve">5. </w:t>
      </w:r>
      <w:r w:rsidRPr="00C66D18">
        <w:tab/>
        <w:t>der Vergleich war nützlich, doch die Sorten sind deutlich unterscheidbar</w:t>
      </w:r>
    </w:p>
    <w:p w:rsidR="00C200A3" w:rsidRPr="00C66D18" w:rsidRDefault="00C200A3" w:rsidP="003841B0">
      <w:pPr>
        <w:keepNext/>
        <w:ind w:left="993" w:right="99" w:hanging="426"/>
        <w:jc w:val="left"/>
      </w:pPr>
      <w:r w:rsidRPr="00C66D18">
        <w:t xml:space="preserve">7. </w:t>
      </w:r>
      <w:r w:rsidRPr="00C66D18">
        <w:tab/>
        <w:t>der Vergleich hätte vermieden werden sollen, weil die Sorten stark verschieden sind</w:t>
      </w:r>
    </w:p>
    <w:p w:rsidR="00C200A3" w:rsidRPr="00C66D18" w:rsidRDefault="00C200A3" w:rsidP="003841B0">
      <w:pPr>
        <w:keepNext/>
        <w:ind w:left="993" w:right="99" w:hanging="426"/>
        <w:jc w:val="left"/>
      </w:pPr>
      <w:r w:rsidRPr="00C66D18">
        <w:t xml:space="preserve">9. </w:t>
      </w:r>
      <w:r w:rsidRPr="00C66D18">
        <w:tab/>
      </w:r>
      <w:r w:rsidRPr="003841B0">
        <w:rPr>
          <w:spacing w:val="-2"/>
        </w:rPr>
        <w:t>der Vergleich hätte vermieden werden sollen, weil die Sorten vollkommen verschieden sind</w:t>
      </w:r>
      <w:r w:rsidR="00CD0E03" w:rsidRPr="00C66D18">
        <w:t xml:space="preserve"> </w:t>
      </w:r>
      <w:r w:rsidRPr="00C66D18">
        <w:t>(„gerade“ Noten werden in der Skala nicht benutzt)</w:t>
      </w:r>
    </w:p>
    <w:p w:rsidR="000619BA" w:rsidRPr="00C66D18" w:rsidRDefault="000619BA" w:rsidP="00C200A3"/>
    <w:p w:rsidR="003841B0" w:rsidRDefault="00C200A3" w:rsidP="003841B0">
      <w:r w:rsidRPr="00C66D18">
        <w:t xml:space="preserve">Im Falle von Mais zeigte diese Beurteilung, </w:t>
      </w:r>
      <w:r w:rsidR="004A5537" w:rsidRPr="00C66D18">
        <w:t>dass</w:t>
      </w:r>
      <w:r w:rsidRPr="00C66D18">
        <w:t xml:space="preserve"> keine Elternlinien mit einem molekularen Abstand von mehr als 0,15 bei einer Beurteilung durch einen DUS-Sachverständigen als gleich oder sehr ähnlich angesehen wurden (vergleiche Abbildung 2).</w:t>
      </w:r>
    </w:p>
    <w:p w:rsidR="003841B0" w:rsidRDefault="003841B0" w:rsidP="003841B0"/>
    <w:p w:rsidR="003821A0" w:rsidRPr="00C66D18" w:rsidRDefault="002204CA" w:rsidP="003841B0">
      <w:pPr>
        <w:keepNext/>
        <w:ind w:left="426"/>
      </w:pPr>
      <w:r w:rsidRPr="00C66D18">
        <w:rPr>
          <w:snapToGrid w:val="0"/>
        </w:rPr>
        <w:lastRenderedPageBreak/>
        <w:t>Abbildung 2</w:t>
      </w:r>
    </w:p>
    <w:p w:rsidR="003821A0" w:rsidRPr="00C66D18" w:rsidRDefault="003821A0" w:rsidP="003841B0">
      <w:pPr>
        <w:keepNext/>
        <w:ind w:left="426"/>
        <w:rPr>
          <w:snapToGrid w:val="0"/>
          <w:shd w:val="pct15" w:color="auto" w:fill="FFFFFF"/>
        </w:rPr>
      </w:pPr>
    </w:p>
    <w:p w:rsidR="003821A0" w:rsidRPr="00C66D18" w:rsidRDefault="003841B0" w:rsidP="003841B0">
      <w:pPr>
        <w:jc w:val="center"/>
        <w:rPr>
          <w:snapToGrid w:val="0"/>
        </w:rPr>
      </w:pPr>
      <w:r w:rsidRPr="00C66D18">
        <w:rPr>
          <w:sz w:val="10"/>
        </w:rPr>
        <w:object w:dxaOrig="7370" w:dyaOrig="5515">
          <v:shape id="_x0000_i1026" type="#_x0000_t75" style="width:405pt;height:303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6" DrawAspect="Content" ObjectID="_1658817477" r:id="rId17"/>
        </w:object>
      </w:r>
    </w:p>
    <w:p w:rsidR="00797A76" w:rsidRPr="00C66D18" w:rsidRDefault="00797A76" w:rsidP="003841B0">
      <w:pPr>
        <w:jc w:val="center"/>
        <w:rPr>
          <w:snapToGrid w:val="0"/>
        </w:rPr>
      </w:pPr>
    </w:p>
    <w:p w:rsidR="00E306B7" w:rsidRPr="003841B0" w:rsidRDefault="00E306B7" w:rsidP="003841B0">
      <w:pPr>
        <w:jc w:val="center"/>
      </w:pPr>
    </w:p>
    <w:p w:rsidR="003821A0" w:rsidRPr="003841B0" w:rsidRDefault="003821A0" w:rsidP="003841B0">
      <w:r w:rsidRPr="003841B0">
        <w:t>1.4.4</w:t>
      </w:r>
      <w:r w:rsidRPr="003841B0">
        <w:tab/>
      </w:r>
      <w:r w:rsidR="002204CA" w:rsidRPr="003841B0">
        <w:t>Aufgrund dieses Ergebnisses bietet die Kombination morphologischer und molekularer Abstände die Möglichkeit, folgendes Entscheidungsschema aufzustellen (vergleiche Abbildung 3):</w:t>
      </w:r>
    </w:p>
    <w:p w:rsidR="003821A0" w:rsidRPr="003841B0" w:rsidRDefault="003821A0" w:rsidP="003841B0"/>
    <w:p w:rsidR="002204CA" w:rsidRDefault="002204CA" w:rsidP="003841B0">
      <w:pPr>
        <w:ind w:left="567"/>
      </w:pPr>
      <w:r w:rsidRPr="003841B0">
        <w:t xml:space="preserve">Abbildung 3 </w:t>
      </w:r>
    </w:p>
    <w:p w:rsidR="003841B0" w:rsidRPr="003841B0" w:rsidRDefault="003841B0" w:rsidP="003841B0">
      <w:pPr>
        <w:ind w:left="567"/>
      </w:pPr>
    </w:p>
    <w:p w:rsidR="00E306B7" w:rsidRPr="003841B0" w:rsidRDefault="003841B0" w:rsidP="003841B0">
      <w:pPr>
        <w:jc w:val="center"/>
      </w:pPr>
      <w:r w:rsidRPr="003841B0">
        <w:object w:dxaOrig="7099" w:dyaOrig="5322">
          <v:shape id="_x0000_i1027" type="#_x0000_t75" style="width:392.25pt;height:291.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12" ShapeID="_x0000_i1027" DrawAspect="Content" ObjectID="_1658817478" r:id="rId19"/>
        </w:object>
      </w:r>
    </w:p>
    <w:p w:rsidR="00E306B7" w:rsidRPr="00C66D18" w:rsidRDefault="00E306B7" w:rsidP="00E306B7">
      <w:pPr>
        <w:keepNext/>
        <w:ind w:left="567"/>
        <w:jc w:val="center"/>
        <w:rPr>
          <w:rFonts w:cs="Arial"/>
          <w:i/>
          <w:iCs/>
          <w:snapToGrid w:val="0"/>
        </w:rPr>
      </w:pPr>
    </w:p>
    <w:p w:rsidR="00E306B7" w:rsidRPr="00C66D18" w:rsidRDefault="00E306B7" w:rsidP="00E306B7">
      <w:pPr>
        <w:jc w:val="center"/>
        <w:rPr>
          <w:rFonts w:cs="Arial"/>
        </w:rPr>
      </w:pPr>
      <w:bookmarkStart w:id="20" w:name="_MON_1375793324"/>
      <w:bookmarkStart w:id="21" w:name="_MON_1311498427"/>
      <w:bookmarkStart w:id="22" w:name="_MON_1314444884"/>
      <w:bookmarkEnd w:id="20"/>
      <w:bookmarkEnd w:id="21"/>
      <w:bookmarkEnd w:id="22"/>
    </w:p>
    <w:p w:rsidR="00E306B7" w:rsidRPr="003841B0" w:rsidRDefault="00E306B7" w:rsidP="003841B0">
      <w:r w:rsidRPr="003841B0">
        <w:lastRenderedPageBreak/>
        <w:t>1.4.5</w:t>
      </w:r>
      <w:r w:rsidRPr="003841B0">
        <w:tab/>
      </w:r>
      <w:r w:rsidR="002204CA" w:rsidRPr="003841B0">
        <w:t>Alle Sortenpaare mit einem GAIA-Abstand, der gleich oder größer als 6 ist, und alle Sorten mit einem GAIA-Abstand zwischen 2 und 6 zuzüglich eines molekularen Abstandes, der gleich oder größer als 0,2 ist, werden als „unterscheidbar plus“ bezeichnet.</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1.4.6</w:t>
      </w:r>
      <w:r w:rsidRPr="00C66D18">
        <w:rPr>
          <w:rFonts w:cs="Arial"/>
          <w:snapToGrid w:val="0"/>
        </w:rPr>
        <w:tab/>
      </w:r>
      <w:r w:rsidR="002204CA" w:rsidRPr="00C66D18">
        <w:rPr>
          <w:rFonts w:cs="Arial"/>
          <w:snapToGrid w:val="0"/>
        </w:rPr>
        <w:t xml:space="preserve">Dieses Schema zeigt, </w:t>
      </w:r>
      <w:r w:rsidR="004A5537" w:rsidRPr="00C66D18">
        <w:rPr>
          <w:rFonts w:cs="Arial"/>
          <w:snapToGrid w:val="0"/>
        </w:rPr>
        <w:t>dass</w:t>
      </w:r>
      <w:r w:rsidR="002204CA" w:rsidRPr="00C66D18">
        <w:rPr>
          <w:rFonts w:cs="Arial"/>
          <w:snapToGrid w:val="0"/>
        </w:rPr>
        <w:t xml:space="preserve"> im Vergleich zu der Situation, in der lediglich ein GAIA</w:t>
      </w:r>
      <w:r w:rsidR="00E239CE" w:rsidRPr="00C66D18">
        <w:rPr>
          <w:rFonts w:cs="Arial"/>
          <w:snapToGrid w:val="0"/>
        </w:rPr>
        <w:t>-</w:t>
      </w:r>
      <w:r w:rsidR="002204CA" w:rsidRPr="00C66D18">
        <w:rPr>
          <w:rFonts w:cs="Arial"/>
          <w:snapToGrid w:val="0"/>
        </w:rPr>
        <w:t xml:space="preserve">Abstand von 6 allein benutzt wird, weniger Elternlinien im Feld </w:t>
      </w:r>
      <w:r w:rsidR="004A5537" w:rsidRPr="00C66D18">
        <w:rPr>
          <w:rFonts w:cs="Arial"/>
          <w:snapToGrid w:val="0"/>
        </w:rPr>
        <w:t>erfasst</w:t>
      </w:r>
      <w:r w:rsidR="002204CA" w:rsidRPr="00C66D18">
        <w:rPr>
          <w:rFonts w:cs="Arial"/>
          <w:snapToGrid w:val="0"/>
        </w:rPr>
        <w:t xml:space="preserve"> werden müssen.</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1.4.7</w:t>
      </w:r>
      <w:r w:rsidRPr="00C66D18">
        <w:rPr>
          <w:rFonts w:cs="Arial"/>
          <w:snapToGrid w:val="0"/>
        </w:rPr>
        <w:tab/>
      </w:r>
      <w:r w:rsidR="002204CA" w:rsidRPr="00C66D18">
        <w:rPr>
          <w:rFonts w:cs="Arial"/>
          <w:snapToGrid w:val="0"/>
        </w:rPr>
        <w:t>Die Robustheit dieses Systems wurde anhand verschiedener GAIA- und molekularer Abstände untersucht.</w:t>
      </w:r>
    </w:p>
    <w:p w:rsidR="00E306B7" w:rsidRPr="00C66D18" w:rsidRDefault="00E306B7" w:rsidP="00E306B7">
      <w:pPr>
        <w:rPr>
          <w:rFonts w:cs="Arial"/>
          <w:snapToGrid w:val="0"/>
          <w:u w:val="single"/>
          <w:shd w:val="pct15" w:color="auto" w:fill="FFFFFF"/>
        </w:rPr>
      </w:pPr>
    </w:p>
    <w:p w:rsidR="00E306B7" w:rsidRPr="00C66D18" w:rsidRDefault="00E306B7" w:rsidP="00E306B7">
      <w:pPr>
        <w:rPr>
          <w:rFonts w:cs="Arial"/>
          <w:snapToGrid w:val="0"/>
          <w:u w:val="single"/>
          <w:shd w:val="pct15" w:color="auto" w:fill="FFFFFF"/>
        </w:rPr>
      </w:pPr>
    </w:p>
    <w:p w:rsidR="00E306B7" w:rsidRPr="00C66D18" w:rsidRDefault="00E306B7" w:rsidP="00E306B7">
      <w:pPr>
        <w:keepNext/>
        <w:rPr>
          <w:rFonts w:cs="Arial"/>
          <w:snapToGrid w:val="0"/>
        </w:rPr>
      </w:pPr>
      <w:r w:rsidRPr="00C66D18">
        <w:rPr>
          <w:rFonts w:cs="Arial"/>
          <w:snapToGrid w:val="0"/>
        </w:rPr>
        <w:t>2.</w:t>
      </w:r>
      <w:r w:rsidRPr="00C66D18">
        <w:rPr>
          <w:rFonts w:cs="Arial"/>
          <w:snapToGrid w:val="0"/>
        </w:rPr>
        <w:tab/>
      </w:r>
      <w:r w:rsidR="002204CA" w:rsidRPr="00C66D18">
        <w:rPr>
          <w:rFonts w:cs="Arial"/>
          <w:snapToGrid w:val="0"/>
          <w:u w:val="single"/>
        </w:rPr>
        <w:t>Vorteile und Einschränkungen</w:t>
      </w:r>
    </w:p>
    <w:p w:rsidR="00E306B7" w:rsidRPr="00C66D18" w:rsidRDefault="00E306B7" w:rsidP="00E306B7">
      <w:pPr>
        <w:keepNext/>
        <w:rPr>
          <w:rFonts w:cs="Arial"/>
          <w:snapToGrid w:val="0"/>
        </w:rPr>
      </w:pPr>
    </w:p>
    <w:p w:rsidR="00C7757A" w:rsidRPr="00C66D18" w:rsidRDefault="00C7757A" w:rsidP="00C7757A">
      <w:r w:rsidRPr="00C66D18">
        <w:t>2.1</w:t>
      </w:r>
      <w:r w:rsidRPr="00C66D18">
        <w:tab/>
        <w:t>Vorteile</w:t>
      </w:r>
    </w:p>
    <w:p w:rsidR="00C7757A" w:rsidRPr="00C66D18" w:rsidRDefault="00C7757A" w:rsidP="00C7757A"/>
    <w:p w:rsidR="00C7757A" w:rsidRPr="00C66D18" w:rsidRDefault="00C7757A" w:rsidP="00C7757A">
      <w:pPr>
        <w:ind w:firstLine="567"/>
      </w:pPr>
      <w:r w:rsidRPr="00C66D18">
        <w:t>a)</w:t>
      </w:r>
      <w:r w:rsidRPr="00C66D18">
        <w:tab/>
        <w:t>Verbesserung der Verwaltung von Sortensammlungen, da weniger Sorten im Feld verglichen werden müssen</w:t>
      </w:r>
    </w:p>
    <w:p w:rsidR="00C7757A" w:rsidRPr="00C66D18" w:rsidRDefault="00C7757A" w:rsidP="00C7757A">
      <w:pPr>
        <w:ind w:firstLine="567"/>
      </w:pPr>
    </w:p>
    <w:p w:rsidR="00C7757A" w:rsidRPr="00C66D18" w:rsidRDefault="00C7757A" w:rsidP="00C7757A">
      <w:pPr>
        <w:ind w:firstLine="567"/>
      </w:pPr>
      <w:r w:rsidRPr="00C66D18">
        <w:t>b)</w:t>
      </w:r>
      <w:r w:rsidRPr="00C66D18">
        <w:tab/>
        <w:t>Anwendung morphologischer und molekularer Abstände mit Schwellenwerten, die von DUS-Sachverständigen festgelegt werden. GAIA wurde bei der Entwicklung durch GEVES auch gegen die Beurteilungen von DUS-Sachverständigen kalibriert;</w:t>
      </w:r>
    </w:p>
    <w:p w:rsidR="00C7757A" w:rsidRPr="00C66D18" w:rsidRDefault="00C7757A" w:rsidP="00C7757A">
      <w:pPr>
        <w:ind w:firstLine="567"/>
      </w:pPr>
    </w:p>
    <w:p w:rsidR="00C7757A" w:rsidRPr="00C66D18" w:rsidRDefault="00C7757A" w:rsidP="00C7757A">
      <w:pPr>
        <w:ind w:firstLine="567"/>
      </w:pPr>
      <w:r w:rsidRPr="00C66D18">
        <w:t>c)</w:t>
      </w:r>
      <w:r w:rsidRPr="00C66D18">
        <w:tab/>
        <w:t>Verwendung molekularer Daten, die nicht umweltanfällig sind; der Markersatz und das Laborprotokoll sind gut definiert;</w:t>
      </w:r>
    </w:p>
    <w:p w:rsidR="00C7757A" w:rsidRPr="00C66D18" w:rsidRDefault="00C7757A" w:rsidP="00C7757A">
      <w:pPr>
        <w:ind w:firstLine="567"/>
      </w:pPr>
    </w:p>
    <w:p w:rsidR="00C7757A" w:rsidRPr="00C66D18" w:rsidRDefault="00C7757A" w:rsidP="00C7757A">
      <w:pPr>
        <w:ind w:firstLine="567"/>
      </w:pPr>
      <w:r w:rsidRPr="00C66D18">
        <w:t>d)</w:t>
      </w:r>
      <w:r w:rsidRPr="00C66D18">
        <w:tab/>
        <w:t>nur Verwendung phänotypischer Merkmale mit einer angemessenen Robustheit und Möglichkeit, Beschreibungen zu verwenden, die verschiedener Herkunft sind und aus enger Zusammenarbeit stammen (die Maisdatenbank, die in Zusammenarbeit zwischen Deutschland, Frankreich, Spanien und dem Gemeinschaftlichen Sortenamt der Europäischen Union (CPVO) entwickelt wurde, ist ein gutes Beispiel, um den Nutzen dieses Ansatzes bei einer Sortensammlung, die von verschiedenen Ämtern gemeinsam genutzt wird, zu verdeutlichen);</w:t>
      </w:r>
    </w:p>
    <w:p w:rsidR="00C7757A" w:rsidRPr="00C66D18" w:rsidRDefault="00C7757A" w:rsidP="00C7757A">
      <w:pPr>
        <w:ind w:firstLine="567"/>
      </w:pPr>
    </w:p>
    <w:p w:rsidR="00C7757A" w:rsidRPr="00C66D18" w:rsidRDefault="00C7757A" w:rsidP="00C7757A">
      <w:pPr>
        <w:ind w:firstLine="567"/>
      </w:pPr>
      <w:r w:rsidRPr="00C66D18">
        <w:t>e)</w:t>
      </w:r>
      <w:r w:rsidRPr="00C66D18">
        <w:tab/>
        <w:t>Elektrophoresemerkmale können auch ersetzt werden, und</w:t>
      </w:r>
    </w:p>
    <w:p w:rsidR="00C7757A" w:rsidRPr="00C66D18" w:rsidRDefault="00C7757A" w:rsidP="00C7757A">
      <w:pPr>
        <w:ind w:firstLine="567"/>
      </w:pPr>
    </w:p>
    <w:p w:rsidR="00C7757A" w:rsidRPr="00C66D18" w:rsidRDefault="00C7757A" w:rsidP="00C7757A">
      <w:pPr>
        <w:ind w:firstLine="567"/>
      </w:pPr>
      <w:r w:rsidRPr="00C66D18">
        <w:t>f)</w:t>
      </w:r>
      <w:r w:rsidRPr="00C66D18">
        <w:tab/>
        <w:t xml:space="preserve">fehlende Homogenität bei molekularen Profilen übt keinen </w:t>
      </w:r>
      <w:r w:rsidR="004A5537" w:rsidRPr="00C66D18">
        <w:t>Einfluss</w:t>
      </w:r>
      <w:r w:rsidRPr="00C66D18">
        <w:t xml:space="preserve"> aus, sofern genügend Marker verwendet werden und die Zahl der Varianten gering ist. Im Falle von Elternlinien von Mais ist das Niveau der molekularen Homogenität hoch; dies könnte bei anderen Pflanzen jedoch ein Problem sein.</w:t>
      </w:r>
    </w:p>
    <w:p w:rsidR="00C7757A" w:rsidRPr="00C66D18" w:rsidRDefault="00C7757A" w:rsidP="00C7757A"/>
    <w:p w:rsidR="00C7757A" w:rsidRPr="00C66D18" w:rsidRDefault="00C7757A" w:rsidP="00C7757A">
      <w:r w:rsidRPr="00C66D18">
        <w:t>2.2</w:t>
      </w:r>
      <w:r w:rsidRPr="00C66D18">
        <w:tab/>
        <w:t>Einschränkungen</w:t>
      </w:r>
    </w:p>
    <w:p w:rsidR="00C7757A" w:rsidRPr="00C66D18" w:rsidRDefault="00C7757A" w:rsidP="00C7757A"/>
    <w:p w:rsidR="00C7757A" w:rsidRPr="00C66D18" w:rsidRDefault="00C7757A" w:rsidP="00C7757A">
      <w:pPr>
        <w:ind w:firstLine="567"/>
      </w:pPr>
      <w:r w:rsidRPr="00C66D18">
        <w:t>a)</w:t>
      </w:r>
      <w:r w:rsidRPr="00C66D18">
        <w:tab/>
        <w:t>Nicht oder weniger effizient für Arten mit synthetischen Sorten oder Populationen;</w:t>
      </w:r>
    </w:p>
    <w:p w:rsidR="00C7757A" w:rsidRPr="00C66D18" w:rsidRDefault="00C7757A" w:rsidP="00C7757A">
      <w:pPr>
        <w:ind w:firstLine="567"/>
      </w:pPr>
    </w:p>
    <w:p w:rsidR="00C7757A" w:rsidRPr="00C66D18" w:rsidRDefault="00C7757A" w:rsidP="00C7757A">
      <w:pPr>
        <w:ind w:firstLine="567"/>
      </w:pPr>
      <w:r w:rsidRPr="00C66D18">
        <w:t>b)</w:t>
      </w:r>
      <w:r w:rsidRPr="00C66D18">
        <w:tab/>
        <w:t>es ist notwendig, über hinreichend gute DNS-Marker und genügend phänotypische Merkmale mit geringer Umweltanfälligkeit zu verfügen, und</w:t>
      </w:r>
    </w:p>
    <w:p w:rsidR="00C7757A" w:rsidRPr="00C66D18" w:rsidRDefault="00C7757A" w:rsidP="00C7757A">
      <w:pPr>
        <w:ind w:firstLine="567"/>
      </w:pPr>
    </w:p>
    <w:p w:rsidR="00C7757A" w:rsidRPr="00C66D18" w:rsidRDefault="00C7757A" w:rsidP="00C7757A">
      <w:pPr>
        <w:ind w:firstLine="567"/>
      </w:pPr>
      <w:r w:rsidRPr="00C66D18">
        <w:t>c)</w:t>
      </w:r>
      <w:r w:rsidRPr="00C66D18">
        <w:tab/>
        <w:t>vorherige Arbeit mit der Kalibrierung im Vergleich zur Beurteilung der Unterscheidbarkeit durch DUS-Sachverständige.</w:t>
      </w:r>
    </w:p>
    <w:p w:rsidR="00F40E8E" w:rsidRPr="00C66D18" w:rsidRDefault="00F40E8E" w:rsidP="00F40E8E"/>
    <w:p w:rsidR="00986778" w:rsidRDefault="00986778">
      <w:pPr>
        <w:jc w:val="left"/>
      </w:pPr>
      <w:r>
        <w:br w:type="page"/>
      </w:r>
    </w:p>
    <w:p w:rsidR="00986778" w:rsidRPr="00E054E2" w:rsidRDefault="00986778" w:rsidP="00986778">
      <w:pPr>
        <w:pBdr>
          <w:top w:val="single" w:sz="6" w:space="1" w:color="auto"/>
          <w:left w:val="single" w:sz="6" w:space="4" w:color="auto"/>
          <w:bottom w:val="single" w:sz="6" w:space="1" w:color="auto"/>
          <w:right w:val="single" w:sz="6" w:space="4" w:color="auto"/>
        </w:pBdr>
        <w:jc w:val="center"/>
      </w:pPr>
      <w:r w:rsidRPr="00E054E2">
        <w:lastRenderedPageBreak/>
        <w:t>MODELL: KOMBINATION PHÄNOTYPISCHER UND MOLEKULARER ABSTÄNDE BEI DER VERWALTUNG VON SORTENSAMMLUNGEN</w:t>
      </w:r>
    </w:p>
    <w:p w:rsidR="00986778" w:rsidRPr="00E054E2" w:rsidRDefault="00986778" w:rsidP="00986778">
      <w:pPr>
        <w:jc w:val="center"/>
        <w:rPr>
          <w:bCs/>
          <w:snapToGrid w:val="0"/>
        </w:rPr>
      </w:pPr>
    </w:p>
    <w:p w:rsidR="00986778" w:rsidRPr="00E054E2" w:rsidRDefault="00986778" w:rsidP="00986778">
      <w:pPr>
        <w:jc w:val="center"/>
        <w:rPr>
          <w:snapToGrid w:val="0"/>
          <w:color w:val="000000"/>
        </w:rPr>
      </w:pPr>
    </w:p>
    <w:p w:rsidR="00986778" w:rsidRPr="00E054E2" w:rsidRDefault="00986778" w:rsidP="00986778">
      <w:pPr>
        <w:jc w:val="center"/>
      </w:pPr>
      <w:r w:rsidRPr="00E054E2">
        <w:t>BEISPIEL 2:  GENETISCHE AUSWAHL VON ÄHNLICHEN SORTEN FÜR DIE ERSTE WACHSTUMSPERIODE: GARTENBOHNE</w:t>
      </w:r>
    </w:p>
    <w:p w:rsidR="00986778" w:rsidRPr="00E054E2" w:rsidRDefault="00986778" w:rsidP="00986778">
      <w:pPr>
        <w:jc w:val="center"/>
      </w:pPr>
    </w:p>
    <w:p w:rsidR="00986778" w:rsidRPr="00E054E2" w:rsidRDefault="00986778" w:rsidP="00986778">
      <w:pPr>
        <w:jc w:val="center"/>
      </w:pPr>
    </w:p>
    <w:p w:rsidR="00986778" w:rsidRPr="00157152" w:rsidRDefault="00986778" w:rsidP="00986778">
      <w:pPr>
        <w:jc w:val="center"/>
        <w:rPr>
          <w:i/>
        </w:rPr>
      </w:pPr>
      <w:r w:rsidRPr="00E054E2">
        <w:rPr>
          <w:i/>
        </w:rPr>
        <w:t>erstellt von Sachverständigen aus den Niederlanden</w:t>
      </w:r>
    </w:p>
    <w:p w:rsidR="00986778" w:rsidRPr="00157152" w:rsidRDefault="00986778" w:rsidP="00986778"/>
    <w:p w:rsidR="00986778" w:rsidRPr="00157152" w:rsidRDefault="00986778" w:rsidP="00986778"/>
    <w:p w:rsidR="00986778" w:rsidRPr="00157152" w:rsidRDefault="00986778" w:rsidP="00986778"/>
    <w:p w:rsidR="00986778" w:rsidRPr="00157152" w:rsidRDefault="00986778" w:rsidP="00986778">
      <w:pPr>
        <w:rPr>
          <w:u w:val="single"/>
        </w:rPr>
      </w:pPr>
      <w:r w:rsidRPr="00157152">
        <w:t>1.</w:t>
      </w:r>
      <w:r w:rsidRPr="00157152">
        <w:tab/>
      </w:r>
      <w:r w:rsidRPr="00157152">
        <w:rPr>
          <w:u w:val="single"/>
        </w:rPr>
        <w:t>Einleitung</w:t>
      </w:r>
    </w:p>
    <w:p w:rsidR="00986778" w:rsidRPr="00157152" w:rsidRDefault="00986778" w:rsidP="00986778"/>
    <w:p w:rsidR="00986778" w:rsidRPr="00157152" w:rsidRDefault="00986778" w:rsidP="00986778">
      <w:r w:rsidRPr="00157152">
        <w:t xml:space="preserve">1.1 </w:t>
      </w:r>
      <w:r w:rsidRPr="00157152">
        <w:tab/>
        <w:t xml:space="preserve">Dieser Ansatz beinhaltet einen Schritt zur Prüfung auf genetische Ähnlichkeit vor der ersten Wachstumsperiode. </w:t>
      </w:r>
    </w:p>
    <w:p w:rsidR="00986778" w:rsidRPr="00157152" w:rsidRDefault="00986778" w:rsidP="00986778"/>
    <w:p w:rsidR="00986778" w:rsidRPr="00157152" w:rsidRDefault="00986778" w:rsidP="00986778">
      <w:r w:rsidRPr="00157152">
        <w:t>1.2</w:t>
      </w:r>
      <w:r w:rsidRPr="00157152">
        <w:tab/>
        <w:t xml:space="preserve">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unterschiedlicher DUS-Merkmale nicht in einer Anbauprüfung verglichen werden müssen. </w:t>
      </w:r>
    </w:p>
    <w:p w:rsidR="00986778" w:rsidRPr="00157152" w:rsidRDefault="00986778" w:rsidP="00986778"/>
    <w:p w:rsidR="00986778" w:rsidRPr="00157152" w:rsidRDefault="00986778" w:rsidP="00986778">
      <w:r w:rsidRPr="00157152">
        <w:t>1.3</w:t>
      </w:r>
      <w:r w:rsidRPr="00157152">
        <w:tab/>
        <w:t xml:space="preserve">Auf der Grundlage einer in der ersten Wachstumsperiode erstellten Sortenbeschreibung von DUS-Merkmalen wird unter den Sorten in der Sortensammlung weiter nach ähnlichen Sorten gesucht, die in der ersten Wachstumsperiode nicht verglichen wurden und die in der zweiten Wachstumsperiode mit der Kandidatensorte verglichen werden sollten. </w:t>
      </w:r>
    </w:p>
    <w:p w:rsidR="00986778" w:rsidRPr="00157152" w:rsidRDefault="00986778" w:rsidP="00986778"/>
    <w:p w:rsidR="00986778" w:rsidRPr="00157152" w:rsidRDefault="00986778" w:rsidP="00986778">
      <w:pPr>
        <w:keepNext/>
        <w:outlineLvl w:val="1"/>
        <w:rPr>
          <w:u w:val="single"/>
        </w:rPr>
      </w:pPr>
      <w:r w:rsidRPr="00157152">
        <w:t>2</w:t>
      </w:r>
      <w:r w:rsidRPr="00157152">
        <w:tab/>
      </w:r>
      <w:r w:rsidRPr="00157152">
        <w:rPr>
          <w:u w:val="single"/>
        </w:rPr>
        <w:t>Verfahren</w:t>
      </w:r>
    </w:p>
    <w:p w:rsidR="00986778" w:rsidRPr="00157152" w:rsidRDefault="00986778" w:rsidP="00986778">
      <w:pPr>
        <w:keepNext/>
        <w:outlineLvl w:val="2"/>
        <w:rPr>
          <w:i/>
        </w:rPr>
      </w:pPr>
    </w:p>
    <w:p w:rsidR="00986778" w:rsidRPr="00157152" w:rsidRDefault="00986778" w:rsidP="00986778">
      <w:pPr>
        <w:keepNext/>
        <w:outlineLvl w:val="2"/>
        <w:rPr>
          <w:i/>
        </w:rPr>
      </w:pPr>
      <w:r w:rsidRPr="00157152">
        <w:rPr>
          <w:i/>
        </w:rPr>
        <w:t>Bestimmung genetischer Ähnlichkeit</w:t>
      </w:r>
    </w:p>
    <w:p w:rsidR="00986778" w:rsidRPr="00157152" w:rsidRDefault="00986778" w:rsidP="00986778"/>
    <w:p w:rsidR="00986778" w:rsidRPr="00157152" w:rsidRDefault="00986778" w:rsidP="00986778">
      <w:r w:rsidRPr="00157152">
        <w:t>2.1</w:t>
      </w:r>
      <w:r w:rsidRPr="00157152">
        <w:tab/>
        <w:t>Das DNS-Profil der Kandidatensorte wird erstellt, sobald das Pflanzenmaterial eingetroffen ist.</w:t>
      </w:r>
    </w:p>
    <w:p w:rsidR="00986778" w:rsidRPr="00157152" w:rsidRDefault="00986778" w:rsidP="00986778"/>
    <w:p w:rsidR="00986778" w:rsidRPr="00157152" w:rsidRDefault="00986778" w:rsidP="00986778">
      <w:r w:rsidRPr="00157152">
        <w:t>2.2</w:t>
      </w:r>
      <w:r w:rsidRPr="00157152">
        <w:tab/>
        <w:t xml:space="preserve">Das DNS-Profil wird mit den Profilen aller Sorten in der Sortensammlung verglichen und genetisch ähnliche Sorten werden ermittelt. </w:t>
      </w:r>
    </w:p>
    <w:p w:rsidR="00986778" w:rsidRPr="00157152" w:rsidRDefault="00986778" w:rsidP="00986778"/>
    <w:p w:rsidR="00986778" w:rsidRPr="00157152" w:rsidRDefault="00986778" w:rsidP="00986778">
      <w:pPr>
        <w:rPr>
          <w:i/>
        </w:rPr>
      </w:pPr>
      <w:r w:rsidRPr="00157152">
        <w:rPr>
          <w:i/>
        </w:rPr>
        <w:t>Angaben im Technischen Fragebogen</w:t>
      </w:r>
    </w:p>
    <w:p w:rsidR="00986778" w:rsidRPr="00157152" w:rsidRDefault="00986778" w:rsidP="00986778"/>
    <w:p w:rsidR="00986778" w:rsidRPr="00157152" w:rsidRDefault="00986778" w:rsidP="00986778">
      <w:r w:rsidRPr="00157152">
        <w:t>2.3</w:t>
      </w:r>
      <w:r w:rsidRPr="00157152">
        <w:tab/>
        <w:t xml:space="preserve">Dann wird anhand der vom Antragsteller im Technischen Fragebogen (TQ) gemachten Angaben geprüft, ob es bei den DUS-Merkmalen klare Unterschiede von einigen der genetisch ähnlichen Sorten gibt, so dass sie nicht mit den Kandidatensorten in einer Anbauprüfung verglichen werden müssen. </w:t>
      </w:r>
    </w:p>
    <w:p w:rsidR="00986778" w:rsidRPr="00157152" w:rsidRDefault="00986778" w:rsidP="00986778"/>
    <w:p w:rsidR="00986778" w:rsidRPr="00157152" w:rsidRDefault="00986778" w:rsidP="00986778">
      <w:pPr>
        <w:keepNext/>
        <w:outlineLvl w:val="2"/>
        <w:rPr>
          <w:i/>
        </w:rPr>
      </w:pPr>
      <w:r w:rsidRPr="00157152">
        <w:rPr>
          <w:i/>
        </w:rPr>
        <w:t>Anbauprüfung:</w:t>
      </w:r>
    </w:p>
    <w:p w:rsidR="00986778" w:rsidRPr="00157152" w:rsidRDefault="00986778" w:rsidP="00986778"/>
    <w:p w:rsidR="00986778" w:rsidRPr="00157152" w:rsidRDefault="00986778" w:rsidP="00986778">
      <w:pPr>
        <w:ind w:left="567"/>
        <w:rPr>
          <w:u w:val="single"/>
        </w:rPr>
      </w:pPr>
      <w:r w:rsidRPr="00157152">
        <w:rPr>
          <w:u w:val="single"/>
        </w:rPr>
        <w:t>Erste Wachstumsperiode</w:t>
      </w:r>
    </w:p>
    <w:p w:rsidR="00986778" w:rsidRPr="00157152" w:rsidRDefault="00986778" w:rsidP="00986778"/>
    <w:p w:rsidR="00986778" w:rsidRPr="00157152" w:rsidRDefault="00986778" w:rsidP="00986778">
      <w:r w:rsidRPr="00157152">
        <w:t>2.4</w:t>
      </w:r>
      <w:r w:rsidRPr="00157152">
        <w:tab/>
        <w:t>Die Kandidatensorte und die mittels des oben beschriebenen Verfahrens ausgewählten genetisch ähnlichen Sorten werden in derselben Prüfung angebaut. Eine vollständige Beschreibung der DUS</w:t>
      </w:r>
      <w:r w:rsidRPr="00157152">
        <w:noBreakHyphen/>
        <w:t xml:space="preserve">Merkmale der Kandidatensorte wird erstellt und mit den Beschreibungen aller Sorten in der Sortensammlung anhand einer Datenbank, die in den Vorjahren am selben Ort erstellte Beschreibungen enthält, verglichen. </w:t>
      </w:r>
    </w:p>
    <w:p w:rsidR="00986778" w:rsidRPr="00157152" w:rsidRDefault="00986778" w:rsidP="00986778"/>
    <w:p w:rsidR="00986778" w:rsidRPr="00157152" w:rsidRDefault="00986778" w:rsidP="00986778">
      <w:pPr>
        <w:ind w:left="567"/>
        <w:rPr>
          <w:i/>
        </w:rPr>
      </w:pPr>
      <w:r w:rsidRPr="00157152">
        <w:rPr>
          <w:i/>
        </w:rPr>
        <w:t xml:space="preserve">Mögliche Ergebnisse: </w:t>
      </w:r>
    </w:p>
    <w:p w:rsidR="00986778" w:rsidRPr="00157152" w:rsidRDefault="00986778" w:rsidP="00986778"/>
    <w:p w:rsidR="00986778" w:rsidRPr="00157152" w:rsidRDefault="00986778" w:rsidP="00986778">
      <w:r w:rsidRPr="00157152">
        <w:t>2.5</w:t>
      </w:r>
      <w:r w:rsidRPr="00157152">
        <w:tab/>
        <w:t xml:space="preserve">Ist die Kandidatensorte aufgrund von DUS-Merkmalen nicht von den genetisch ähnlichen Sorten unterscheidbar, wird die Prüfung für eine weitere Wachstumsperiode fortgesetzt. </w:t>
      </w:r>
    </w:p>
    <w:p w:rsidR="00986778" w:rsidRPr="00157152" w:rsidRDefault="00986778" w:rsidP="00986778"/>
    <w:p w:rsidR="00986778" w:rsidRPr="00157152" w:rsidRDefault="00986778" w:rsidP="00986778">
      <w:r w:rsidRPr="00157152">
        <w:t>2.6</w:t>
      </w:r>
      <w:r w:rsidRPr="00157152">
        <w:tab/>
        <w:t xml:space="preserve">Auf jeden Fall wird die in der ersten Wachstumsperiode von der Kandidatensorte erstellte Beschreibung anhand einer Datenbank, die am selben Ort erstellte Beschreibungen enthält, mit den Beschreibungen der Sorten in der Sortensammlung verglichen. </w:t>
      </w:r>
    </w:p>
    <w:p w:rsidR="00986778" w:rsidRPr="00157152" w:rsidRDefault="00986778" w:rsidP="00986778"/>
    <w:p w:rsidR="00986778" w:rsidRPr="00157152" w:rsidRDefault="00986778" w:rsidP="00986778">
      <w:r w:rsidRPr="00157152">
        <w:lastRenderedPageBreak/>
        <w:tab/>
        <w:t>a)</w:t>
      </w:r>
      <w:r w:rsidRPr="00157152">
        <w:tab/>
        <w:t>Wird festgestellt, dass sich die Kandidatensorte am Ende der ersten Wachstumsperiode von allen Sorten, die in der ersten Wachstumsperiode angebaut wurden, und von allen anderen Sorten in der Sortensammlung unterscheidet und sie die Anforderungen der Homogenität und Beständigkeit erfüllt, kann die DUS-Prüfung nach der ersten Wachstumsperiode beendet werden.</w:t>
      </w:r>
    </w:p>
    <w:p w:rsidR="00986778" w:rsidRPr="00157152" w:rsidRDefault="00986778" w:rsidP="00986778"/>
    <w:p w:rsidR="00986778" w:rsidRPr="00157152" w:rsidRDefault="00986778" w:rsidP="00986778">
      <w:r w:rsidRPr="00157152">
        <w:tab/>
        <w:t>b)</w:t>
      </w:r>
      <w:r w:rsidRPr="00157152">
        <w:tab/>
        <w:t xml:space="preserve">In allen anderen Fällen wird eine zweite Wachstumsperiode durchgeführt. </w:t>
      </w:r>
    </w:p>
    <w:p w:rsidR="00986778" w:rsidRPr="00157152" w:rsidRDefault="00986778" w:rsidP="00986778"/>
    <w:p w:rsidR="00986778" w:rsidRPr="00157152" w:rsidRDefault="00986778" w:rsidP="00986778">
      <w:pPr>
        <w:keepNext/>
        <w:ind w:left="567"/>
        <w:outlineLvl w:val="3"/>
        <w:rPr>
          <w:u w:val="single"/>
        </w:rPr>
      </w:pPr>
      <w:r w:rsidRPr="00157152">
        <w:rPr>
          <w:u w:val="single"/>
        </w:rPr>
        <w:t>Zweite Wachstumsperiode</w:t>
      </w:r>
    </w:p>
    <w:p w:rsidR="00986778" w:rsidRPr="00157152" w:rsidRDefault="00986778" w:rsidP="00986778"/>
    <w:p w:rsidR="00986778" w:rsidRPr="00157152" w:rsidRDefault="00986778" w:rsidP="00986778">
      <w:r w:rsidRPr="00157152">
        <w:t>2.7</w:t>
      </w:r>
      <w:r w:rsidRPr="00157152">
        <w:tab/>
        <w:t xml:space="preserve">In der zweiten Wachstumsperiode wird die Kandidatensorte mit allen Sorten in der Sortensammlung, von denen sie am Ende der ersten Wachstumsperiode als nicht unterscheidbar befunden wurde, angebaut. </w:t>
      </w:r>
    </w:p>
    <w:p w:rsidR="00986778" w:rsidRPr="00157152" w:rsidRDefault="00986778" w:rsidP="00986778"/>
    <w:p w:rsidR="00986778" w:rsidRPr="00157152" w:rsidRDefault="00986778" w:rsidP="00986778">
      <w:r w:rsidRPr="00157152">
        <w:t>2.8</w:t>
      </w:r>
      <w:r w:rsidRPr="00157152">
        <w:tab/>
        <w:t>Am Ende der zweiten Wachstumsperiode wird eine DUS-Bewertung vorgenommen. Ist es nicht möglich, am Ende der zweiten Wachstumsperiode eine Entscheidung über DUS zu treffen, kann eine weitere Wachstumsperiode durchgeführt werden.</w:t>
      </w:r>
    </w:p>
    <w:p w:rsidR="00F40E8E" w:rsidRPr="00C66D18" w:rsidRDefault="00F40E8E" w:rsidP="00F40E8E"/>
    <w:p w:rsidR="00F40E8E" w:rsidRDefault="00F40E8E" w:rsidP="00F40E8E"/>
    <w:p w:rsidR="00AE2546" w:rsidRPr="00C66D18" w:rsidRDefault="00AE2546" w:rsidP="00F40E8E"/>
    <w:p w:rsidR="00AE2546" w:rsidRPr="00FF683B" w:rsidRDefault="00AE2546" w:rsidP="00F40E8E">
      <w:pPr>
        <w:jc w:val="right"/>
        <w:rPr>
          <w:rFonts w:cs="Arial"/>
        </w:rPr>
      </w:pPr>
      <w:r w:rsidRPr="00FF683B">
        <w:rPr>
          <w:rFonts w:cs="Arial"/>
        </w:rPr>
        <w:t>[Ende der Anlage II und des Dokuments]</w:t>
      </w:r>
    </w:p>
    <w:p w:rsidR="00F40E8E" w:rsidRPr="005B58D3" w:rsidRDefault="00F40E8E" w:rsidP="00F40E8E">
      <w:pPr>
        <w:rPr>
          <w:u w:val="single"/>
        </w:rPr>
      </w:pPr>
    </w:p>
    <w:sectPr w:rsidR="00F40E8E" w:rsidRPr="005B58D3" w:rsidSect="00FF683B">
      <w:headerReference w:type="default" r:id="rId20"/>
      <w:headerReference w:type="first" r:id="rId21"/>
      <w:pgSz w:w="11907" w:h="16840" w:code="9"/>
      <w:pgMar w:top="510" w:right="1134" w:bottom="1134" w:left="1134"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8B" w:rsidRDefault="00C62D8B" w:rsidP="006655D3">
      <w:r>
        <w:separator/>
      </w:r>
    </w:p>
    <w:p w:rsidR="00C62D8B" w:rsidRDefault="00C62D8B" w:rsidP="006655D3"/>
    <w:p w:rsidR="00C62D8B" w:rsidRDefault="00C62D8B" w:rsidP="006655D3"/>
  </w:endnote>
  <w:endnote w:type="continuationSeparator" w:id="0">
    <w:p w:rsidR="00C62D8B" w:rsidRDefault="00C62D8B" w:rsidP="006655D3">
      <w:r>
        <w:separator/>
      </w:r>
    </w:p>
    <w:p w:rsidR="00C62D8B" w:rsidRPr="005F385A" w:rsidRDefault="00C62D8B">
      <w:pPr>
        <w:pStyle w:val="Footer"/>
        <w:spacing w:after="60"/>
        <w:rPr>
          <w:sz w:val="18"/>
          <w:lang w:val="fr-CH"/>
        </w:rPr>
      </w:pPr>
      <w:r w:rsidRPr="005F385A">
        <w:rPr>
          <w:sz w:val="18"/>
          <w:lang w:val="fr-CH"/>
        </w:rPr>
        <w:t>[Suite de la note de la page précédente]</w:t>
      </w:r>
    </w:p>
    <w:p w:rsidR="00C62D8B" w:rsidRPr="005F385A" w:rsidRDefault="00C62D8B" w:rsidP="006655D3">
      <w:pPr>
        <w:rPr>
          <w:lang w:val="fr-CH"/>
        </w:rPr>
      </w:pPr>
    </w:p>
    <w:p w:rsidR="00C62D8B" w:rsidRPr="005F385A" w:rsidRDefault="00C62D8B" w:rsidP="006655D3">
      <w:pPr>
        <w:rPr>
          <w:lang w:val="fr-CH"/>
        </w:rPr>
      </w:pPr>
    </w:p>
  </w:endnote>
  <w:endnote w:type="continuationNotice" w:id="1">
    <w:p w:rsidR="00C62D8B" w:rsidRPr="005F385A" w:rsidRDefault="00C62D8B" w:rsidP="006655D3">
      <w:pPr>
        <w:rPr>
          <w:lang w:val="fr-CH"/>
        </w:rPr>
      </w:pPr>
      <w:r w:rsidRPr="005F385A">
        <w:rPr>
          <w:lang w:val="fr-CH"/>
        </w:rPr>
        <w:t>[Suite de la note page suivante]</w:t>
      </w:r>
    </w:p>
    <w:p w:rsidR="00C62D8B" w:rsidRPr="005F385A" w:rsidRDefault="00C62D8B" w:rsidP="006655D3">
      <w:pPr>
        <w:rPr>
          <w:lang w:val="fr-CH"/>
        </w:rPr>
      </w:pPr>
    </w:p>
    <w:p w:rsidR="00C62D8B" w:rsidRPr="005F385A" w:rsidRDefault="00C62D8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A384F" w:rsidRDefault="001B3500" w:rsidP="001B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8B" w:rsidRDefault="00C62D8B" w:rsidP="006655D3">
      <w:r>
        <w:separator/>
      </w:r>
    </w:p>
  </w:footnote>
  <w:footnote w:type="continuationSeparator" w:id="0">
    <w:p w:rsidR="00C62D8B" w:rsidRDefault="00C62D8B" w:rsidP="006655D3">
      <w:r>
        <w:separator/>
      </w:r>
    </w:p>
  </w:footnote>
  <w:footnote w:type="continuationNotice" w:id="1">
    <w:p w:rsidR="00C62D8B" w:rsidRPr="00AB5028" w:rsidRDefault="00C62D8B"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61C6B" w:rsidRDefault="006F5556" w:rsidP="001B3500">
    <w:pPr>
      <w:pStyle w:val="Header"/>
      <w:rPr>
        <w:rFonts w:cs="Arial"/>
      </w:rPr>
    </w:pPr>
    <w:r>
      <w:rPr>
        <w:rFonts w:cs="Arial"/>
      </w:rPr>
      <w:t xml:space="preserve">TGP/15/3 </w:t>
    </w:r>
    <w:proofErr w:type="spellStart"/>
    <w:r>
      <w:rPr>
        <w:rFonts w:cs="Arial"/>
      </w:rPr>
      <w:t>Draft</w:t>
    </w:r>
    <w:proofErr w:type="spellEnd"/>
    <w:r>
      <w:rPr>
        <w:rFonts w:cs="Arial"/>
      </w:rPr>
      <w:t xml:space="preserve"> 1</w:t>
    </w:r>
  </w:p>
  <w:p w:rsidR="001B3500" w:rsidRPr="00C61C6B" w:rsidRDefault="001B3500" w:rsidP="001B3500">
    <w:pPr>
      <w:pStyle w:val="Header"/>
      <w:rPr>
        <w:rStyle w:val="PageNumber"/>
        <w:rFonts w:cs="Arial"/>
      </w:rPr>
    </w:pPr>
    <w:r>
      <w:rPr>
        <w:rFonts w:cs="Arial"/>
      </w:rPr>
      <w:t>Seite</w:t>
    </w:r>
    <w:r w:rsidRPr="00C61C6B">
      <w:rPr>
        <w:rFonts w:cs="Arial"/>
      </w:rPr>
      <w:t xml:space="preserv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872F50">
      <w:rPr>
        <w:rStyle w:val="PageNumber"/>
        <w:rFonts w:cs="Arial"/>
        <w:noProof/>
      </w:rPr>
      <w:t>4</w:t>
    </w:r>
    <w:r w:rsidRPr="00C61C6B">
      <w:rPr>
        <w:rStyle w:val="PageNumber"/>
        <w:rFonts w:cs="Arial"/>
      </w:rPr>
      <w:fldChar w:fldCharType="end"/>
    </w:r>
  </w:p>
  <w:p w:rsidR="001B3500" w:rsidRDefault="001B350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E85E8A" w:rsidRDefault="006F5556" w:rsidP="001B3500">
    <w:pPr>
      <w:pStyle w:val="Header"/>
      <w:rPr>
        <w:rFonts w:cs="Arial"/>
        <w:lang w:val="de-DE"/>
      </w:rPr>
    </w:pPr>
    <w:r>
      <w:rPr>
        <w:rFonts w:cs="Arial"/>
        <w:lang w:val="de-DE"/>
      </w:rPr>
      <w:t xml:space="preserve">TGP/15/3 </w:t>
    </w:r>
    <w:proofErr w:type="spellStart"/>
    <w:r>
      <w:rPr>
        <w:rFonts w:cs="Arial"/>
        <w:lang w:val="de-DE"/>
      </w:rPr>
      <w:t>Draft</w:t>
    </w:r>
    <w:proofErr w:type="spellEnd"/>
    <w:r>
      <w:rPr>
        <w:rFonts w:cs="Arial"/>
        <w:lang w:val="de-DE"/>
      </w:rPr>
      <w:t xml:space="preserve"> 1</w:t>
    </w:r>
  </w:p>
  <w:p w:rsidR="001B3500" w:rsidRPr="00E85E8A" w:rsidRDefault="001B3500">
    <w:pPr>
      <w:jc w:val="center"/>
      <w:rPr>
        <w:rFonts w:cs="Arial"/>
      </w:rPr>
    </w:pPr>
    <w:r w:rsidRPr="00E85E8A">
      <w:rPr>
        <w:rFonts w:cs="Arial"/>
      </w:rPr>
      <w:t xml:space="preserve">Anlage I, Seite </w:t>
    </w:r>
    <w:r w:rsidRPr="00C61C6B">
      <w:rPr>
        <w:rFonts w:cs="Arial"/>
      </w:rPr>
      <w:fldChar w:fldCharType="begin"/>
    </w:r>
    <w:r w:rsidRPr="00E85E8A">
      <w:rPr>
        <w:rFonts w:cs="Arial"/>
      </w:rPr>
      <w:instrText xml:space="preserve"> PAGE  \* MERGEFORMAT </w:instrText>
    </w:r>
    <w:r w:rsidRPr="00C61C6B">
      <w:rPr>
        <w:rFonts w:cs="Arial"/>
      </w:rPr>
      <w:fldChar w:fldCharType="separate"/>
    </w:r>
    <w:r w:rsidR="00872F50">
      <w:rPr>
        <w:rFonts w:cs="Arial"/>
        <w:noProof/>
      </w:rPr>
      <w:t>3</w:t>
    </w:r>
    <w:r w:rsidRPr="00C61C6B">
      <w:rPr>
        <w:rFonts w:cs="Arial"/>
      </w:rPr>
      <w:fldChar w:fldCharType="end"/>
    </w:r>
  </w:p>
  <w:p w:rsidR="001B3500" w:rsidRPr="00E85E8A" w:rsidRDefault="001B3500">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61C6B" w:rsidRDefault="006F5556" w:rsidP="001B3500">
    <w:pPr>
      <w:pStyle w:val="Header"/>
      <w:rPr>
        <w:rFonts w:cs="Arial"/>
      </w:rPr>
    </w:pPr>
    <w:r>
      <w:rPr>
        <w:rFonts w:cs="Arial"/>
      </w:rPr>
      <w:t xml:space="preserve">TGP/15/3 </w:t>
    </w:r>
    <w:proofErr w:type="spellStart"/>
    <w:r>
      <w:rPr>
        <w:rFonts w:cs="Arial"/>
      </w:rPr>
      <w:t>Draft</w:t>
    </w:r>
    <w:proofErr w:type="spellEnd"/>
    <w:r>
      <w:rPr>
        <w:rFonts w:cs="Arial"/>
      </w:rPr>
      <w:t xml:space="preserve"> 1</w:t>
    </w:r>
  </w:p>
  <w:p w:rsidR="001B3500" w:rsidRPr="00C61C6B" w:rsidRDefault="001B3500">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1B3500" w:rsidRPr="00E85E8A" w:rsidRDefault="006F5556" w:rsidP="00E306B7">
        <w:pPr>
          <w:pStyle w:val="Header"/>
          <w:rPr>
            <w:lang w:val="de-DE"/>
          </w:rPr>
        </w:pPr>
        <w:r>
          <w:rPr>
            <w:lang w:val="de-DE"/>
          </w:rPr>
          <w:t xml:space="preserve">TGP/15/3 </w:t>
        </w:r>
        <w:proofErr w:type="spellStart"/>
        <w:r>
          <w:rPr>
            <w:lang w:val="de-DE"/>
          </w:rPr>
          <w:t>Draft</w:t>
        </w:r>
        <w:proofErr w:type="spellEnd"/>
        <w:r>
          <w:rPr>
            <w:lang w:val="de-DE"/>
          </w:rPr>
          <w:t xml:space="preserve"> 1</w:t>
        </w:r>
      </w:p>
      <w:p w:rsidR="001B3500" w:rsidRPr="00E85E8A" w:rsidRDefault="001B3500">
        <w:pPr>
          <w:pStyle w:val="Header"/>
          <w:rPr>
            <w:lang w:val="de-DE"/>
          </w:rPr>
        </w:pPr>
        <w:r w:rsidRPr="00E85E8A">
          <w:rPr>
            <w:lang w:val="de-DE"/>
          </w:rPr>
          <w:t xml:space="preserve">Anlage II, Seite </w:t>
        </w:r>
        <w:r>
          <w:fldChar w:fldCharType="begin"/>
        </w:r>
        <w:r w:rsidRPr="00E85E8A">
          <w:rPr>
            <w:lang w:val="de-DE"/>
          </w:rPr>
          <w:instrText xml:space="preserve"> PAGE   \* MERGEFORMAT </w:instrText>
        </w:r>
        <w:r>
          <w:fldChar w:fldCharType="separate"/>
        </w:r>
        <w:r w:rsidR="00872F50">
          <w:rPr>
            <w:noProof/>
            <w:lang w:val="de-DE"/>
          </w:rPr>
          <w:t>6</w:t>
        </w:r>
        <w:r>
          <w:rPr>
            <w:noProof/>
          </w:rPr>
          <w:fldChar w:fldCharType="end"/>
        </w:r>
      </w:p>
    </w:sdtContent>
  </w:sdt>
  <w:p w:rsidR="001B3500" w:rsidRPr="00E85E8A" w:rsidRDefault="001B350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Default="006F5556" w:rsidP="00E306B7">
    <w:pPr>
      <w:pStyle w:val="Header"/>
    </w:pPr>
    <w:r>
      <w:t xml:space="preserve">TGP/15/3 </w:t>
    </w:r>
    <w:proofErr w:type="spellStart"/>
    <w:r>
      <w:t>Draft</w:t>
    </w:r>
    <w:proofErr w:type="spellEnd"/>
    <w:r>
      <w:t xml:space="preserve"> 1</w:t>
    </w:r>
  </w:p>
  <w:p w:rsidR="001B3500" w:rsidRDefault="001B3500"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406610"/>
    <w:multiLevelType w:val="hybridMultilevel"/>
    <w:tmpl w:val="6FD00E7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6A16D1"/>
    <w:multiLevelType w:val="hybridMultilevel"/>
    <w:tmpl w:val="6846A502"/>
    <w:lvl w:ilvl="0" w:tplc="8FF2D4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0"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6"/>
  </w:num>
  <w:num w:numId="3">
    <w:abstractNumId w:val="15"/>
  </w:num>
  <w:num w:numId="4">
    <w:abstractNumId w:val="21"/>
  </w:num>
  <w:num w:numId="5">
    <w:abstractNumId w:val="12"/>
  </w:num>
  <w:num w:numId="6">
    <w:abstractNumId w:val="17"/>
  </w:num>
  <w:num w:numId="7">
    <w:abstractNumId w:val="2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22"/>
  </w:num>
  <w:num w:numId="22">
    <w:abstractNumId w:val="23"/>
  </w:num>
  <w:num w:numId="23">
    <w:abstractNumId w:val="20"/>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0680F"/>
    <w:rsid w:val="00010CF3"/>
    <w:rsid w:val="00011E27"/>
    <w:rsid w:val="000148BC"/>
    <w:rsid w:val="00021037"/>
    <w:rsid w:val="00021FA3"/>
    <w:rsid w:val="00024909"/>
    <w:rsid w:val="00024AB8"/>
    <w:rsid w:val="00030854"/>
    <w:rsid w:val="00036028"/>
    <w:rsid w:val="00037F34"/>
    <w:rsid w:val="00044642"/>
    <w:rsid w:val="000446B9"/>
    <w:rsid w:val="00047D7F"/>
    <w:rsid w:val="00047E21"/>
    <w:rsid w:val="000619BA"/>
    <w:rsid w:val="0006248B"/>
    <w:rsid w:val="00063D11"/>
    <w:rsid w:val="0007356B"/>
    <w:rsid w:val="00074123"/>
    <w:rsid w:val="00080A8D"/>
    <w:rsid w:val="00085052"/>
    <w:rsid w:val="00085505"/>
    <w:rsid w:val="00085A45"/>
    <w:rsid w:val="000901A8"/>
    <w:rsid w:val="00091A19"/>
    <w:rsid w:val="00094E01"/>
    <w:rsid w:val="0009590A"/>
    <w:rsid w:val="00096D16"/>
    <w:rsid w:val="000A04B8"/>
    <w:rsid w:val="000A1E07"/>
    <w:rsid w:val="000A68B4"/>
    <w:rsid w:val="000B2492"/>
    <w:rsid w:val="000C1312"/>
    <w:rsid w:val="000C7021"/>
    <w:rsid w:val="000D268A"/>
    <w:rsid w:val="000D528D"/>
    <w:rsid w:val="000D551C"/>
    <w:rsid w:val="000D647D"/>
    <w:rsid w:val="000D6BBC"/>
    <w:rsid w:val="000D7536"/>
    <w:rsid w:val="000D7780"/>
    <w:rsid w:val="000E1FD1"/>
    <w:rsid w:val="000F413B"/>
    <w:rsid w:val="000F647B"/>
    <w:rsid w:val="000F7A18"/>
    <w:rsid w:val="0010207D"/>
    <w:rsid w:val="00103BC4"/>
    <w:rsid w:val="00104C61"/>
    <w:rsid w:val="001052CF"/>
    <w:rsid w:val="00105929"/>
    <w:rsid w:val="001117A4"/>
    <w:rsid w:val="001131D5"/>
    <w:rsid w:val="00130D68"/>
    <w:rsid w:val="00141DB8"/>
    <w:rsid w:val="00151CB4"/>
    <w:rsid w:val="00151E16"/>
    <w:rsid w:val="0015579B"/>
    <w:rsid w:val="00156F49"/>
    <w:rsid w:val="00157152"/>
    <w:rsid w:val="00167822"/>
    <w:rsid w:val="0017474A"/>
    <w:rsid w:val="001758C6"/>
    <w:rsid w:val="00175E25"/>
    <w:rsid w:val="00182B99"/>
    <w:rsid w:val="001847F8"/>
    <w:rsid w:val="00187D23"/>
    <w:rsid w:val="001A344A"/>
    <w:rsid w:val="001B1991"/>
    <w:rsid w:val="001B3500"/>
    <w:rsid w:val="001B5948"/>
    <w:rsid w:val="001D6281"/>
    <w:rsid w:val="001E3B46"/>
    <w:rsid w:val="001F62AE"/>
    <w:rsid w:val="001F780E"/>
    <w:rsid w:val="0020017F"/>
    <w:rsid w:val="002029C6"/>
    <w:rsid w:val="00205EF7"/>
    <w:rsid w:val="00207199"/>
    <w:rsid w:val="0021332C"/>
    <w:rsid w:val="00213982"/>
    <w:rsid w:val="00214587"/>
    <w:rsid w:val="0021545B"/>
    <w:rsid w:val="002178C8"/>
    <w:rsid w:val="002204CA"/>
    <w:rsid w:val="00227397"/>
    <w:rsid w:val="00237965"/>
    <w:rsid w:val="002406AD"/>
    <w:rsid w:val="0024416D"/>
    <w:rsid w:val="0024623A"/>
    <w:rsid w:val="00252F7A"/>
    <w:rsid w:val="0026729D"/>
    <w:rsid w:val="00271233"/>
    <w:rsid w:val="00274294"/>
    <w:rsid w:val="00277A4C"/>
    <w:rsid w:val="002800A0"/>
    <w:rsid w:val="002801B3"/>
    <w:rsid w:val="00281060"/>
    <w:rsid w:val="002852D1"/>
    <w:rsid w:val="002853F5"/>
    <w:rsid w:val="00286ABE"/>
    <w:rsid w:val="00292CEE"/>
    <w:rsid w:val="00294032"/>
    <w:rsid w:val="002940E8"/>
    <w:rsid w:val="002A6E50"/>
    <w:rsid w:val="002B14BC"/>
    <w:rsid w:val="002B26AA"/>
    <w:rsid w:val="002B43DD"/>
    <w:rsid w:val="002C256A"/>
    <w:rsid w:val="002C4789"/>
    <w:rsid w:val="002D3495"/>
    <w:rsid w:val="002D72B7"/>
    <w:rsid w:val="002E0195"/>
    <w:rsid w:val="002E4023"/>
    <w:rsid w:val="002F1FC3"/>
    <w:rsid w:val="002F245E"/>
    <w:rsid w:val="002F519B"/>
    <w:rsid w:val="002F6472"/>
    <w:rsid w:val="002F6C61"/>
    <w:rsid w:val="002F7F64"/>
    <w:rsid w:val="0030140A"/>
    <w:rsid w:val="00302DDB"/>
    <w:rsid w:val="00305A7F"/>
    <w:rsid w:val="00306C98"/>
    <w:rsid w:val="003152FE"/>
    <w:rsid w:val="0031534C"/>
    <w:rsid w:val="00323E46"/>
    <w:rsid w:val="0032649B"/>
    <w:rsid w:val="003273FC"/>
    <w:rsid w:val="00327436"/>
    <w:rsid w:val="00330FB5"/>
    <w:rsid w:val="00332177"/>
    <w:rsid w:val="00334D2A"/>
    <w:rsid w:val="0033506E"/>
    <w:rsid w:val="0033787D"/>
    <w:rsid w:val="00344BD6"/>
    <w:rsid w:val="003544E6"/>
    <w:rsid w:val="0035528D"/>
    <w:rsid w:val="0036046C"/>
    <w:rsid w:val="00361821"/>
    <w:rsid w:val="00361EB5"/>
    <w:rsid w:val="00365765"/>
    <w:rsid w:val="00365BB2"/>
    <w:rsid w:val="00370355"/>
    <w:rsid w:val="00381161"/>
    <w:rsid w:val="003821A0"/>
    <w:rsid w:val="003841B0"/>
    <w:rsid w:val="00384A87"/>
    <w:rsid w:val="00384E18"/>
    <w:rsid w:val="00385B32"/>
    <w:rsid w:val="003A0212"/>
    <w:rsid w:val="003A0B4E"/>
    <w:rsid w:val="003A1881"/>
    <w:rsid w:val="003A7DE4"/>
    <w:rsid w:val="003B027E"/>
    <w:rsid w:val="003B3258"/>
    <w:rsid w:val="003D227C"/>
    <w:rsid w:val="003D2B4D"/>
    <w:rsid w:val="003D4BA0"/>
    <w:rsid w:val="003D54D5"/>
    <w:rsid w:val="003D5873"/>
    <w:rsid w:val="003E00E4"/>
    <w:rsid w:val="003E1C24"/>
    <w:rsid w:val="003E24A1"/>
    <w:rsid w:val="003E4CA3"/>
    <w:rsid w:val="003E7E58"/>
    <w:rsid w:val="00403D56"/>
    <w:rsid w:val="00406356"/>
    <w:rsid w:val="00420F50"/>
    <w:rsid w:val="00421E78"/>
    <w:rsid w:val="00423762"/>
    <w:rsid w:val="004310B2"/>
    <w:rsid w:val="0043571A"/>
    <w:rsid w:val="0044051F"/>
    <w:rsid w:val="0044135C"/>
    <w:rsid w:val="00444A88"/>
    <w:rsid w:val="00445188"/>
    <w:rsid w:val="00445C1E"/>
    <w:rsid w:val="004467D0"/>
    <w:rsid w:val="00451574"/>
    <w:rsid w:val="004552E5"/>
    <w:rsid w:val="00456626"/>
    <w:rsid w:val="00472F4E"/>
    <w:rsid w:val="00474DA4"/>
    <w:rsid w:val="00475ABF"/>
    <w:rsid w:val="00476B4D"/>
    <w:rsid w:val="004805FA"/>
    <w:rsid w:val="004820A6"/>
    <w:rsid w:val="00482BCB"/>
    <w:rsid w:val="00483F49"/>
    <w:rsid w:val="00487959"/>
    <w:rsid w:val="00494CA3"/>
    <w:rsid w:val="004A2DA0"/>
    <w:rsid w:val="004A5537"/>
    <w:rsid w:val="004A5BAE"/>
    <w:rsid w:val="004B34FD"/>
    <w:rsid w:val="004C30E2"/>
    <w:rsid w:val="004C7034"/>
    <w:rsid w:val="004D047D"/>
    <w:rsid w:val="004E4D85"/>
    <w:rsid w:val="004F0F95"/>
    <w:rsid w:val="004F1F27"/>
    <w:rsid w:val="004F305A"/>
    <w:rsid w:val="004F6F42"/>
    <w:rsid w:val="00500B9A"/>
    <w:rsid w:val="00501C91"/>
    <w:rsid w:val="00504662"/>
    <w:rsid w:val="00512164"/>
    <w:rsid w:val="00520102"/>
    <w:rsid w:val="00520297"/>
    <w:rsid w:val="00524276"/>
    <w:rsid w:val="005327D1"/>
    <w:rsid w:val="005338F9"/>
    <w:rsid w:val="005341F9"/>
    <w:rsid w:val="00537DDF"/>
    <w:rsid w:val="0054281C"/>
    <w:rsid w:val="00543C85"/>
    <w:rsid w:val="00544CE4"/>
    <w:rsid w:val="0055268D"/>
    <w:rsid w:val="00552861"/>
    <w:rsid w:val="00555C14"/>
    <w:rsid w:val="0056212E"/>
    <w:rsid w:val="00572D60"/>
    <w:rsid w:val="00576BE4"/>
    <w:rsid w:val="00576FBC"/>
    <w:rsid w:val="00580E99"/>
    <w:rsid w:val="005812FB"/>
    <w:rsid w:val="00582EE2"/>
    <w:rsid w:val="00584315"/>
    <w:rsid w:val="005966EE"/>
    <w:rsid w:val="005A400A"/>
    <w:rsid w:val="005B322E"/>
    <w:rsid w:val="005B58D3"/>
    <w:rsid w:val="005B6B81"/>
    <w:rsid w:val="005D7588"/>
    <w:rsid w:val="005E2477"/>
    <w:rsid w:val="005E4E42"/>
    <w:rsid w:val="005F05B6"/>
    <w:rsid w:val="005F2C30"/>
    <w:rsid w:val="005F385A"/>
    <w:rsid w:val="00607B08"/>
    <w:rsid w:val="00612379"/>
    <w:rsid w:val="006131EC"/>
    <w:rsid w:val="0061555F"/>
    <w:rsid w:val="00621C0E"/>
    <w:rsid w:val="00624019"/>
    <w:rsid w:val="0062476F"/>
    <w:rsid w:val="00632015"/>
    <w:rsid w:val="00632C1F"/>
    <w:rsid w:val="00632D06"/>
    <w:rsid w:val="0063720F"/>
    <w:rsid w:val="0064102C"/>
    <w:rsid w:val="00641200"/>
    <w:rsid w:val="0064276D"/>
    <w:rsid w:val="00644BA2"/>
    <w:rsid w:val="00644FD6"/>
    <w:rsid w:val="00645124"/>
    <w:rsid w:val="00646C7D"/>
    <w:rsid w:val="00647749"/>
    <w:rsid w:val="00650758"/>
    <w:rsid w:val="0065149B"/>
    <w:rsid w:val="00651834"/>
    <w:rsid w:val="006521C0"/>
    <w:rsid w:val="0065632F"/>
    <w:rsid w:val="00656665"/>
    <w:rsid w:val="0065781E"/>
    <w:rsid w:val="00657DE2"/>
    <w:rsid w:val="006655D3"/>
    <w:rsid w:val="00665F55"/>
    <w:rsid w:val="00676455"/>
    <w:rsid w:val="00677241"/>
    <w:rsid w:val="006777EF"/>
    <w:rsid w:val="006847C8"/>
    <w:rsid w:val="00687EB4"/>
    <w:rsid w:val="00691A9A"/>
    <w:rsid w:val="00694BE3"/>
    <w:rsid w:val="006957A7"/>
    <w:rsid w:val="0069668B"/>
    <w:rsid w:val="00696AC1"/>
    <w:rsid w:val="006B17D2"/>
    <w:rsid w:val="006B4BD0"/>
    <w:rsid w:val="006B6D49"/>
    <w:rsid w:val="006B7CF6"/>
    <w:rsid w:val="006C224E"/>
    <w:rsid w:val="006C4C00"/>
    <w:rsid w:val="006D4692"/>
    <w:rsid w:val="006D780A"/>
    <w:rsid w:val="006E3A97"/>
    <w:rsid w:val="006E4913"/>
    <w:rsid w:val="006E5781"/>
    <w:rsid w:val="006F5556"/>
    <w:rsid w:val="006F55C4"/>
    <w:rsid w:val="006F67E1"/>
    <w:rsid w:val="00700ABF"/>
    <w:rsid w:val="007113FE"/>
    <w:rsid w:val="00722BA8"/>
    <w:rsid w:val="00726E02"/>
    <w:rsid w:val="00732DEC"/>
    <w:rsid w:val="00735BD5"/>
    <w:rsid w:val="00743740"/>
    <w:rsid w:val="00744B92"/>
    <w:rsid w:val="007556F6"/>
    <w:rsid w:val="00760EEF"/>
    <w:rsid w:val="0076106B"/>
    <w:rsid w:val="00764B1B"/>
    <w:rsid w:val="00777956"/>
    <w:rsid w:val="00777EE5"/>
    <w:rsid w:val="00780F3A"/>
    <w:rsid w:val="007811C0"/>
    <w:rsid w:val="007812D8"/>
    <w:rsid w:val="00783D10"/>
    <w:rsid w:val="00784836"/>
    <w:rsid w:val="00784E02"/>
    <w:rsid w:val="0079023E"/>
    <w:rsid w:val="00797A76"/>
    <w:rsid w:val="007A1E0E"/>
    <w:rsid w:val="007A2854"/>
    <w:rsid w:val="007A2E2F"/>
    <w:rsid w:val="007A3C0F"/>
    <w:rsid w:val="007A54DE"/>
    <w:rsid w:val="007D0B9D"/>
    <w:rsid w:val="007D19B0"/>
    <w:rsid w:val="007D2474"/>
    <w:rsid w:val="007E634C"/>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442AB"/>
    <w:rsid w:val="00852307"/>
    <w:rsid w:val="00860D33"/>
    <w:rsid w:val="008633C4"/>
    <w:rsid w:val="0086442B"/>
    <w:rsid w:val="00866F5B"/>
    <w:rsid w:val="00867AC1"/>
    <w:rsid w:val="0087038C"/>
    <w:rsid w:val="00872F50"/>
    <w:rsid w:val="008810C9"/>
    <w:rsid w:val="00883D93"/>
    <w:rsid w:val="008922C9"/>
    <w:rsid w:val="00895017"/>
    <w:rsid w:val="00896810"/>
    <w:rsid w:val="008A170E"/>
    <w:rsid w:val="008A4DF1"/>
    <w:rsid w:val="008A5258"/>
    <w:rsid w:val="008A71F5"/>
    <w:rsid w:val="008A743F"/>
    <w:rsid w:val="008B64FB"/>
    <w:rsid w:val="008B75DB"/>
    <w:rsid w:val="008C0970"/>
    <w:rsid w:val="008C43CA"/>
    <w:rsid w:val="008C59AE"/>
    <w:rsid w:val="008C5A23"/>
    <w:rsid w:val="008C77DD"/>
    <w:rsid w:val="008D07A0"/>
    <w:rsid w:val="008D14E8"/>
    <w:rsid w:val="008D2CF7"/>
    <w:rsid w:val="008D6532"/>
    <w:rsid w:val="008D6917"/>
    <w:rsid w:val="008E1599"/>
    <w:rsid w:val="008F0487"/>
    <w:rsid w:val="008F4EE1"/>
    <w:rsid w:val="00900C26"/>
    <w:rsid w:val="0090197F"/>
    <w:rsid w:val="00901A3F"/>
    <w:rsid w:val="00905CC6"/>
    <w:rsid w:val="00906DDC"/>
    <w:rsid w:val="0091167F"/>
    <w:rsid w:val="0091205B"/>
    <w:rsid w:val="009146DE"/>
    <w:rsid w:val="00915498"/>
    <w:rsid w:val="00916272"/>
    <w:rsid w:val="0092016E"/>
    <w:rsid w:val="00920564"/>
    <w:rsid w:val="0092080C"/>
    <w:rsid w:val="009210E3"/>
    <w:rsid w:val="00923507"/>
    <w:rsid w:val="00924B07"/>
    <w:rsid w:val="0093152F"/>
    <w:rsid w:val="00932F4A"/>
    <w:rsid w:val="00934E09"/>
    <w:rsid w:val="00935A6E"/>
    <w:rsid w:val="00936253"/>
    <w:rsid w:val="009362C5"/>
    <w:rsid w:val="00944D7B"/>
    <w:rsid w:val="00946283"/>
    <w:rsid w:val="00947E51"/>
    <w:rsid w:val="0095033D"/>
    <w:rsid w:val="00952DD4"/>
    <w:rsid w:val="0096342F"/>
    <w:rsid w:val="00964611"/>
    <w:rsid w:val="0096477D"/>
    <w:rsid w:val="00970FED"/>
    <w:rsid w:val="00971630"/>
    <w:rsid w:val="00972496"/>
    <w:rsid w:val="009728E1"/>
    <w:rsid w:val="00973275"/>
    <w:rsid w:val="00973CBA"/>
    <w:rsid w:val="00984926"/>
    <w:rsid w:val="00984F7B"/>
    <w:rsid w:val="00986778"/>
    <w:rsid w:val="00986A34"/>
    <w:rsid w:val="00993CE3"/>
    <w:rsid w:val="00995131"/>
    <w:rsid w:val="00997029"/>
    <w:rsid w:val="009A0F0E"/>
    <w:rsid w:val="009A11A0"/>
    <w:rsid w:val="009A2D8D"/>
    <w:rsid w:val="009B49EB"/>
    <w:rsid w:val="009C58F7"/>
    <w:rsid w:val="009D0931"/>
    <w:rsid w:val="009D38DC"/>
    <w:rsid w:val="009D690D"/>
    <w:rsid w:val="009D7123"/>
    <w:rsid w:val="009D749F"/>
    <w:rsid w:val="009E03F2"/>
    <w:rsid w:val="009E22C7"/>
    <w:rsid w:val="009E65B6"/>
    <w:rsid w:val="009F0D5B"/>
    <w:rsid w:val="009F2C4A"/>
    <w:rsid w:val="009F3920"/>
    <w:rsid w:val="00A0258E"/>
    <w:rsid w:val="00A0456E"/>
    <w:rsid w:val="00A07DBE"/>
    <w:rsid w:val="00A14082"/>
    <w:rsid w:val="00A154FC"/>
    <w:rsid w:val="00A163C1"/>
    <w:rsid w:val="00A26568"/>
    <w:rsid w:val="00A305B8"/>
    <w:rsid w:val="00A42666"/>
    <w:rsid w:val="00A42AC3"/>
    <w:rsid w:val="00A430CF"/>
    <w:rsid w:val="00A518B7"/>
    <w:rsid w:val="00A54309"/>
    <w:rsid w:val="00A631A8"/>
    <w:rsid w:val="00A647FE"/>
    <w:rsid w:val="00A65DC5"/>
    <w:rsid w:val="00A67B2C"/>
    <w:rsid w:val="00A74864"/>
    <w:rsid w:val="00A750FD"/>
    <w:rsid w:val="00A75746"/>
    <w:rsid w:val="00A76776"/>
    <w:rsid w:val="00A77192"/>
    <w:rsid w:val="00A87385"/>
    <w:rsid w:val="00A925F9"/>
    <w:rsid w:val="00A92668"/>
    <w:rsid w:val="00A92D6A"/>
    <w:rsid w:val="00A95BAF"/>
    <w:rsid w:val="00AB0DB3"/>
    <w:rsid w:val="00AB2B93"/>
    <w:rsid w:val="00AB3E7A"/>
    <w:rsid w:val="00AB3EDA"/>
    <w:rsid w:val="00AB4CCF"/>
    <w:rsid w:val="00AB5028"/>
    <w:rsid w:val="00AB70E1"/>
    <w:rsid w:val="00AB7E5B"/>
    <w:rsid w:val="00AC0062"/>
    <w:rsid w:val="00AC081C"/>
    <w:rsid w:val="00AC57D1"/>
    <w:rsid w:val="00AC5F71"/>
    <w:rsid w:val="00AD4B61"/>
    <w:rsid w:val="00AD789A"/>
    <w:rsid w:val="00AE0EF1"/>
    <w:rsid w:val="00AE2546"/>
    <w:rsid w:val="00AE2937"/>
    <w:rsid w:val="00AE3273"/>
    <w:rsid w:val="00AE3B95"/>
    <w:rsid w:val="00AF01FB"/>
    <w:rsid w:val="00AF06A8"/>
    <w:rsid w:val="00AF3F4B"/>
    <w:rsid w:val="00AF428C"/>
    <w:rsid w:val="00B07301"/>
    <w:rsid w:val="00B1091F"/>
    <w:rsid w:val="00B10A38"/>
    <w:rsid w:val="00B1160E"/>
    <w:rsid w:val="00B20179"/>
    <w:rsid w:val="00B224DE"/>
    <w:rsid w:val="00B2678C"/>
    <w:rsid w:val="00B26D2A"/>
    <w:rsid w:val="00B32CF4"/>
    <w:rsid w:val="00B344CA"/>
    <w:rsid w:val="00B43A23"/>
    <w:rsid w:val="00B46575"/>
    <w:rsid w:val="00B50120"/>
    <w:rsid w:val="00B6238F"/>
    <w:rsid w:val="00B6263B"/>
    <w:rsid w:val="00B84BBD"/>
    <w:rsid w:val="00B854DE"/>
    <w:rsid w:val="00B95EE4"/>
    <w:rsid w:val="00B9606E"/>
    <w:rsid w:val="00BA0EE5"/>
    <w:rsid w:val="00BA43FB"/>
    <w:rsid w:val="00BA446E"/>
    <w:rsid w:val="00BA6BD5"/>
    <w:rsid w:val="00BC127D"/>
    <w:rsid w:val="00BC1FE6"/>
    <w:rsid w:val="00BD288D"/>
    <w:rsid w:val="00BD4C45"/>
    <w:rsid w:val="00BD7F45"/>
    <w:rsid w:val="00BE2221"/>
    <w:rsid w:val="00BE3D62"/>
    <w:rsid w:val="00BE3F1F"/>
    <w:rsid w:val="00BE4D76"/>
    <w:rsid w:val="00BE4EF2"/>
    <w:rsid w:val="00BE7681"/>
    <w:rsid w:val="00BF08DC"/>
    <w:rsid w:val="00BF0CCC"/>
    <w:rsid w:val="00BF0E88"/>
    <w:rsid w:val="00BF6089"/>
    <w:rsid w:val="00BF7754"/>
    <w:rsid w:val="00C00575"/>
    <w:rsid w:val="00C00903"/>
    <w:rsid w:val="00C02E35"/>
    <w:rsid w:val="00C05A38"/>
    <w:rsid w:val="00C05F97"/>
    <w:rsid w:val="00C061B6"/>
    <w:rsid w:val="00C11CBB"/>
    <w:rsid w:val="00C13749"/>
    <w:rsid w:val="00C15962"/>
    <w:rsid w:val="00C200A3"/>
    <w:rsid w:val="00C204FF"/>
    <w:rsid w:val="00C211BB"/>
    <w:rsid w:val="00C2446C"/>
    <w:rsid w:val="00C323D0"/>
    <w:rsid w:val="00C3548A"/>
    <w:rsid w:val="00C36AE5"/>
    <w:rsid w:val="00C37908"/>
    <w:rsid w:val="00C415D7"/>
    <w:rsid w:val="00C41F17"/>
    <w:rsid w:val="00C443D0"/>
    <w:rsid w:val="00C51D44"/>
    <w:rsid w:val="00C5280D"/>
    <w:rsid w:val="00C5337B"/>
    <w:rsid w:val="00C5791C"/>
    <w:rsid w:val="00C61E5A"/>
    <w:rsid w:val="00C62D8B"/>
    <w:rsid w:val="00C65583"/>
    <w:rsid w:val="00C66290"/>
    <w:rsid w:val="00C66D18"/>
    <w:rsid w:val="00C676CA"/>
    <w:rsid w:val="00C72B7A"/>
    <w:rsid w:val="00C7757A"/>
    <w:rsid w:val="00C77C32"/>
    <w:rsid w:val="00C81327"/>
    <w:rsid w:val="00C81842"/>
    <w:rsid w:val="00C96814"/>
    <w:rsid w:val="00C973F2"/>
    <w:rsid w:val="00CA304C"/>
    <w:rsid w:val="00CA774A"/>
    <w:rsid w:val="00CB1354"/>
    <w:rsid w:val="00CB79FE"/>
    <w:rsid w:val="00CC11B0"/>
    <w:rsid w:val="00CC51D2"/>
    <w:rsid w:val="00CD070D"/>
    <w:rsid w:val="00CD0E03"/>
    <w:rsid w:val="00CD1382"/>
    <w:rsid w:val="00CD5E29"/>
    <w:rsid w:val="00CD7B1A"/>
    <w:rsid w:val="00CF1F62"/>
    <w:rsid w:val="00CF7E36"/>
    <w:rsid w:val="00D01647"/>
    <w:rsid w:val="00D06C97"/>
    <w:rsid w:val="00D35D5C"/>
    <w:rsid w:val="00D3708D"/>
    <w:rsid w:val="00D3734C"/>
    <w:rsid w:val="00D40426"/>
    <w:rsid w:val="00D477B4"/>
    <w:rsid w:val="00D4796C"/>
    <w:rsid w:val="00D51426"/>
    <w:rsid w:val="00D52471"/>
    <w:rsid w:val="00D527D3"/>
    <w:rsid w:val="00D55FD2"/>
    <w:rsid w:val="00D562DA"/>
    <w:rsid w:val="00D57C96"/>
    <w:rsid w:val="00D57FA0"/>
    <w:rsid w:val="00D6061A"/>
    <w:rsid w:val="00D61759"/>
    <w:rsid w:val="00D70948"/>
    <w:rsid w:val="00D769D1"/>
    <w:rsid w:val="00D77A63"/>
    <w:rsid w:val="00D8383E"/>
    <w:rsid w:val="00D86A69"/>
    <w:rsid w:val="00D87B92"/>
    <w:rsid w:val="00D91203"/>
    <w:rsid w:val="00D926EB"/>
    <w:rsid w:val="00D93BFC"/>
    <w:rsid w:val="00D94FFB"/>
    <w:rsid w:val="00D95174"/>
    <w:rsid w:val="00DA3175"/>
    <w:rsid w:val="00DA6F36"/>
    <w:rsid w:val="00DB2E65"/>
    <w:rsid w:val="00DB596E"/>
    <w:rsid w:val="00DC00EA"/>
    <w:rsid w:val="00DD1507"/>
    <w:rsid w:val="00DD2EF9"/>
    <w:rsid w:val="00DD5008"/>
    <w:rsid w:val="00DE0EFA"/>
    <w:rsid w:val="00DF246E"/>
    <w:rsid w:val="00E01E8D"/>
    <w:rsid w:val="00E03AB8"/>
    <w:rsid w:val="00E054E2"/>
    <w:rsid w:val="00E05E8D"/>
    <w:rsid w:val="00E06043"/>
    <w:rsid w:val="00E07D89"/>
    <w:rsid w:val="00E239CE"/>
    <w:rsid w:val="00E27D04"/>
    <w:rsid w:val="00E306B7"/>
    <w:rsid w:val="00E32F7E"/>
    <w:rsid w:val="00E3312D"/>
    <w:rsid w:val="00E432B4"/>
    <w:rsid w:val="00E44B9D"/>
    <w:rsid w:val="00E5324E"/>
    <w:rsid w:val="00E71BFC"/>
    <w:rsid w:val="00E72D49"/>
    <w:rsid w:val="00E73741"/>
    <w:rsid w:val="00E74DED"/>
    <w:rsid w:val="00E7593C"/>
    <w:rsid w:val="00E7678A"/>
    <w:rsid w:val="00E767C2"/>
    <w:rsid w:val="00E83DC6"/>
    <w:rsid w:val="00E85E8A"/>
    <w:rsid w:val="00E91AF0"/>
    <w:rsid w:val="00E935F1"/>
    <w:rsid w:val="00E940BC"/>
    <w:rsid w:val="00E94A81"/>
    <w:rsid w:val="00E97774"/>
    <w:rsid w:val="00EA1FFB"/>
    <w:rsid w:val="00EA7607"/>
    <w:rsid w:val="00EB048E"/>
    <w:rsid w:val="00EC4EC6"/>
    <w:rsid w:val="00EC75D8"/>
    <w:rsid w:val="00ED0F62"/>
    <w:rsid w:val="00ED17CB"/>
    <w:rsid w:val="00ED3946"/>
    <w:rsid w:val="00EE04DD"/>
    <w:rsid w:val="00EE34DF"/>
    <w:rsid w:val="00EE55F6"/>
    <w:rsid w:val="00EF0059"/>
    <w:rsid w:val="00EF2AC6"/>
    <w:rsid w:val="00EF2F89"/>
    <w:rsid w:val="00EF302E"/>
    <w:rsid w:val="00EF30A6"/>
    <w:rsid w:val="00EF7C50"/>
    <w:rsid w:val="00F02927"/>
    <w:rsid w:val="00F04433"/>
    <w:rsid w:val="00F05B58"/>
    <w:rsid w:val="00F1237A"/>
    <w:rsid w:val="00F14677"/>
    <w:rsid w:val="00F14B5F"/>
    <w:rsid w:val="00F2061E"/>
    <w:rsid w:val="00F20B1F"/>
    <w:rsid w:val="00F226BC"/>
    <w:rsid w:val="00F22CBD"/>
    <w:rsid w:val="00F2539C"/>
    <w:rsid w:val="00F267EC"/>
    <w:rsid w:val="00F32006"/>
    <w:rsid w:val="00F32673"/>
    <w:rsid w:val="00F33D27"/>
    <w:rsid w:val="00F341B8"/>
    <w:rsid w:val="00F40D71"/>
    <w:rsid w:val="00F40E8E"/>
    <w:rsid w:val="00F45372"/>
    <w:rsid w:val="00F47866"/>
    <w:rsid w:val="00F53A7E"/>
    <w:rsid w:val="00F560F7"/>
    <w:rsid w:val="00F5741E"/>
    <w:rsid w:val="00F60815"/>
    <w:rsid w:val="00F6334D"/>
    <w:rsid w:val="00F64538"/>
    <w:rsid w:val="00F760C4"/>
    <w:rsid w:val="00F7780C"/>
    <w:rsid w:val="00F85794"/>
    <w:rsid w:val="00F871FD"/>
    <w:rsid w:val="00FA067D"/>
    <w:rsid w:val="00FA291B"/>
    <w:rsid w:val="00FA49AB"/>
    <w:rsid w:val="00FA4BDE"/>
    <w:rsid w:val="00FA5372"/>
    <w:rsid w:val="00FA7C0B"/>
    <w:rsid w:val="00FB274F"/>
    <w:rsid w:val="00FB4D39"/>
    <w:rsid w:val="00FC26DB"/>
    <w:rsid w:val="00FC533A"/>
    <w:rsid w:val="00FC6EEB"/>
    <w:rsid w:val="00FC7507"/>
    <w:rsid w:val="00FC7E92"/>
    <w:rsid w:val="00FD6007"/>
    <w:rsid w:val="00FE39C7"/>
    <w:rsid w:val="00FE4EA5"/>
    <w:rsid w:val="00FE5D28"/>
    <w:rsid w:val="00FE7119"/>
    <w:rsid w:val="00FE7AE9"/>
    <w:rsid w:val="00FF3C0F"/>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2442293"/>
  <w15:docId w15:val="{6647D831-95A3-499D-900E-844719A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18"/>
    <w:pPr>
      <w:jc w:val="both"/>
    </w:pPr>
    <w:rPr>
      <w:rFonts w:ascii="Arial" w:hAnsi="Arial"/>
      <w:lang w:val="de-DE"/>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qFormat/>
    <w:rsid w:val="00AF3F4B"/>
    <w:pPr>
      <w:keepNext/>
      <w:ind w:left="567" w:hanging="567"/>
      <w:jc w:val="both"/>
      <w:outlineLvl w:val="1"/>
    </w:pPr>
    <w:rPr>
      <w:rFonts w:ascii="Arial" w:hAnsi="Arial"/>
      <w:b/>
      <w:lang w:val="de-DE"/>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3734C"/>
    <w:pPr>
      <w:tabs>
        <w:tab w:val="right" w:leader="dot" w:pos="9639"/>
      </w:tabs>
      <w:spacing w:after="60"/>
      <w:ind w:left="851" w:right="851" w:hanging="567"/>
    </w:pPr>
    <w:rPr>
      <w:rFonts w:ascii="Arial" w:hAnsi="Arial"/>
      <w:noProof/>
    </w:rPr>
  </w:style>
  <w:style w:type="paragraph" w:styleId="TOC3">
    <w:name w:val="toc 3"/>
    <w:next w:val="Normal"/>
    <w:autoRedefine/>
    <w:uiPriority w:val="39"/>
    <w:rsid w:val="00F267EC"/>
    <w:pPr>
      <w:tabs>
        <w:tab w:val="left" w:pos="1418"/>
        <w:tab w:val="right" w:leader="dot" w:pos="9639"/>
      </w:tabs>
      <w:spacing w:before="120" w:after="120"/>
      <w:ind w:left="1985" w:right="851" w:hanging="851"/>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3734C"/>
    <w:pPr>
      <w:keepNext/>
      <w:tabs>
        <w:tab w:val="right" w:leader="dot" w:pos="9639"/>
      </w:tabs>
      <w:spacing w:before="240" w:after="240"/>
      <w:ind w:left="284" w:right="284" w:hanging="284"/>
    </w:pPr>
    <w:rPr>
      <w:rFonts w:ascii="Arial" w:hAnsi="Arial"/>
      <w:b/>
      <w:caps/>
      <w:noProof/>
      <w:lang w:val="de-DE"/>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AF3F4B"/>
    <w:rPr>
      <w:rFonts w:ascii="Arial" w:hAnsi="Arial"/>
      <w:b/>
      <w:lang w:val="de-DE"/>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lang w:eastAsia="ja-JP"/>
    </w:rPr>
  </w:style>
  <w:style w:type="character" w:styleId="CommentReference">
    <w:name w:val="annotation reference"/>
    <w:basedOn w:val="DefaultParagraphFont"/>
    <w:semiHidden/>
    <w:unhideWhenUsed/>
    <w:rsid w:val="00D86A69"/>
    <w:rPr>
      <w:sz w:val="16"/>
      <w:szCs w:val="16"/>
    </w:rPr>
  </w:style>
  <w:style w:type="paragraph" w:styleId="CommentSubject">
    <w:name w:val="annotation subject"/>
    <w:basedOn w:val="CommentText"/>
    <w:next w:val="CommentText"/>
    <w:link w:val="CommentSubjectChar"/>
    <w:semiHidden/>
    <w:unhideWhenUsed/>
    <w:rsid w:val="00D86A69"/>
    <w:pPr>
      <w:jc w:val="both"/>
    </w:pPr>
    <w:rPr>
      <w:rFonts w:ascii="Arial" w:hAnsi="Arial"/>
      <w:b/>
      <w:bCs/>
      <w:sz w:val="20"/>
    </w:rPr>
  </w:style>
  <w:style w:type="character" w:customStyle="1" w:styleId="CommentTextChar">
    <w:name w:val="Comment Text Char"/>
    <w:basedOn w:val="DefaultParagraphFont"/>
    <w:link w:val="CommentText"/>
    <w:semiHidden/>
    <w:rsid w:val="00D86A69"/>
    <w:rPr>
      <w:sz w:val="22"/>
    </w:rPr>
  </w:style>
  <w:style w:type="character" w:customStyle="1" w:styleId="CommentSubjectChar">
    <w:name w:val="Comment Subject Char"/>
    <w:basedOn w:val="CommentTextChar"/>
    <w:link w:val="CommentSubject"/>
    <w:semiHidden/>
    <w:rsid w:val="00D86A69"/>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hyperlink" Target="http://www.upov.int/about/de/organigram.html"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E57F-B3DD-4AA1-9E28-3B83FC349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4078</Words>
  <Characters>23247</Characters>
  <Application>Microsoft Office Word</Application>
  <DocSecurity>0</DocSecurity>
  <Lines>193</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TGP/15/3 Draft 1</vt:lpstr>
      <vt:lpstr>TGP/15/2 Draft 1</vt:lpstr>
    </vt:vector>
  </TitlesOfParts>
  <Company>UPOV</Company>
  <LinksUpToDate>false</LinksUpToDate>
  <CharactersWithSpaces>27271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TGP/15/3 Draft 1</dc:title>
  <dc:creator>MAY Jessica</dc:creator>
  <cp:lastModifiedBy>SANCHEZ VIZCAINO GOMEZ Rosa Maria</cp:lastModifiedBy>
  <cp:revision>7</cp:revision>
  <cp:lastPrinted>2019-07-15T13:08:00Z</cp:lastPrinted>
  <dcterms:created xsi:type="dcterms:W3CDTF">2020-08-05T13:33:00Z</dcterms:created>
  <dcterms:modified xsi:type="dcterms:W3CDTF">2020-08-13T07:44:00Z</dcterms:modified>
</cp:coreProperties>
</file>