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13772" w:rsidRPr="002803A6" w:rsidTr="00B57130">
        <w:tc>
          <w:tcPr>
            <w:tcW w:w="6522" w:type="dxa"/>
          </w:tcPr>
          <w:p w:rsidR="00E13772" w:rsidRPr="002803A6" w:rsidRDefault="00E13772" w:rsidP="00B57130">
            <w:r w:rsidRPr="002803A6">
              <w:rPr>
                <w:noProof/>
                <w:lang w:val="en-US"/>
              </w:rPr>
              <w:drawing>
                <wp:inline distT="0" distB="0" distL="0" distR="0" wp14:anchorId="0ECACAF8" wp14:editId="14D951C8">
                  <wp:extent cx="952031" cy="244054"/>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E13772" w:rsidRPr="002803A6" w:rsidRDefault="00E13772" w:rsidP="00B57130">
            <w:pPr>
              <w:pStyle w:val="Lettrine"/>
            </w:pPr>
            <w:r w:rsidRPr="002803A6">
              <w:t>G</w:t>
            </w:r>
          </w:p>
        </w:tc>
      </w:tr>
      <w:tr w:rsidR="00E13772" w:rsidRPr="002803A6" w:rsidTr="00B57130">
        <w:trPr>
          <w:trHeight w:val="219"/>
        </w:trPr>
        <w:tc>
          <w:tcPr>
            <w:tcW w:w="6522" w:type="dxa"/>
          </w:tcPr>
          <w:p w:rsidR="00E13772" w:rsidRPr="002803A6" w:rsidRDefault="00E13772" w:rsidP="00B57130">
            <w:pPr>
              <w:pStyle w:val="upove"/>
            </w:pPr>
            <w:r w:rsidRPr="002803A6">
              <w:t>Internationaler Verband zum Schutz von Pflanzenzüchtungen</w:t>
            </w:r>
          </w:p>
        </w:tc>
        <w:tc>
          <w:tcPr>
            <w:tcW w:w="3117" w:type="dxa"/>
          </w:tcPr>
          <w:p w:rsidR="00E13772" w:rsidRPr="002803A6" w:rsidRDefault="00E13772" w:rsidP="00B57130"/>
        </w:tc>
      </w:tr>
    </w:tbl>
    <w:p w:rsidR="00E13772" w:rsidRPr="002803A6" w:rsidRDefault="00E13772" w:rsidP="00E13772"/>
    <w:p w:rsidR="00E13772" w:rsidRPr="002803A6" w:rsidRDefault="00E13772" w:rsidP="00E1377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13772" w:rsidRPr="002803A6" w:rsidTr="00B57130">
        <w:tc>
          <w:tcPr>
            <w:tcW w:w="6512" w:type="dxa"/>
          </w:tcPr>
          <w:p w:rsidR="00E13772" w:rsidRPr="002803A6" w:rsidRDefault="00E13772" w:rsidP="00B57130">
            <w:pPr>
              <w:pStyle w:val="Sessiontc"/>
              <w:spacing w:line="240" w:lineRule="auto"/>
            </w:pPr>
            <w:r w:rsidRPr="002803A6">
              <w:t>Der Rat</w:t>
            </w:r>
          </w:p>
          <w:p w:rsidR="00E13772" w:rsidRPr="002803A6" w:rsidRDefault="00E13772" w:rsidP="00B57130">
            <w:pPr>
              <w:pStyle w:val="Sessiontcplacedate"/>
              <w:rPr>
                <w:sz w:val="22"/>
              </w:rPr>
            </w:pPr>
            <w:r w:rsidRPr="002803A6">
              <w:t>Dreiundfünfzigste ordentliche Tagung</w:t>
            </w:r>
            <w:r w:rsidRPr="002803A6">
              <w:br/>
              <w:t>Genf, 1. November 2019</w:t>
            </w:r>
          </w:p>
        </w:tc>
        <w:tc>
          <w:tcPr>
            <w:tcW w:w="3127" w:type="dxa"/>
          </w:tcPr>
          <w:p w:rsidR="00E13772" w:rsidRPr="002803A6" w:rsidRDefault="00E13772" w:rsidP="00E13772">
            <w:pPr>
              <w:pStyle w:val="Doccode"/>
              <w:rPr>
                <w:lang w:val="de-DE"/>
              </w:rPr>
            </w:pPr>
            <w:r w:rsidRPr="002803A6">
              <w:rPr>
                <w:lang w:val="de-DE"/>
              </w:rPr>
              <w:t>C/53/INF/4</w:t>
            </w:r>
          </w:p>
          <w:p w:rsidR="00E13772" w:rsidRPr="002803A6" w:rsidRDefault="00E13772" w:rsidP="00E13772">
            <w:pPr>
              <w:pStyle w:val="Docoriginal"/>
            </w:pPr>
            <w:r w:rsidRPr="002803A6">
              <w:t>Original:</w:t>
            </w:r>
            <w:r w:rsidRPr="002803A6">
              <w:rPr>
                <w:b w:val="0"/>
                <w:spacing w:val="0"/>
              </w:rPr>
              <w:t xml:space="preserve">  English/deutsch/</w:t>
            </w:r>
            <w:proofErr w:type="spellStart"/>
            <w:r w:rsidRPr="002803A6">
              <w:rPr>
                <w:b w:val="0"/>
                <w:spacing w:val="0"/>
              </w:rPr>
              <w:t>español</w:t>
            </w:r>
            <w:proofErr w:type="spellEnd"/>
          </w:p>
          <w:p w:rsidR="00E13772" w:rsidRPr="002803A6" w:rsidRDefault="00E13772" w:rsidP="00E13772">
            <w:pPr>
              <w:pStyle w:val="Docoriginal"/>
            </w:pPr>
            <w:r w:rsidRPr="002803A6">
              <w:t>Date:</w:t>
            </w:r>
            <w:r w:rsidRPr="002803A6">
              <w:rPr>
                <w:b w:val="0"/>
                <w:spacing w:val="0"/>
              </w:rPr>
              <w:t xml:space="preserve">  17. Oktober 2019</w:t>
            </w:r>
          </w:p>
        </w:tc>
      </w:tr>
    </w:tbl>
    <w:p w:rsidR="00E13772" w:rsidRPr="002803A6" w:rsidRDefault="00E13772" w:rsidP="00E13772">
      <w:pPr>
        <w:pStyle w:val="Titleofdoc0"/>
      </w:pPr>
      <w:r w:rsidRPr="002803A6">
        <w:t>BERICHTE DER VERTRETER VON MITGLIEDERN UND BEOBACHTERN ÜBER DIE LAGE AUF DEN GEBIETEN DER GESETZGEBUNG, DER VERWALTUNG UND DER TECHNIK</w:t>
      </w:r>
    </w:p>
    <w:p w:rsidR="00E13772" w:rsidRPr="002803A6" w:rsidRDefault="00E13772" w:rsidP="00E13772">
      <w:pPr>
        <w:pStyle w:val="preparedby1"/>
        <w:jc w:val="left"/>
      </w:pPr>
      <w:r w:rsidRPr="002803A6">
        <w:t>vom Verbandsbüro erstelltes Dokument</w:t>
      </w:r>
    </w:p>
    <w:p w:rsidR="00E13772" w:rsidRPr="002803A6" w:rsidRDefault="00E13772" w:rsidP="00E13772">
      <w:pPr>
        <w:pStyle w:val="Disclaimer"/>
        <w:rPr>
          <w:lang w:val="de-DE"/>
        </w:rPr>
      </w:pPr>
      <w:r w:rsidRPr="002803A6">
        <w:rPr>
          <w:lang w:val="de-DE"/>
        </w:rPr>
        <w:t>Haftungsausschluss: dieses Dokument gibt nicht die Grundsätze oder eine Anleitung der UPOV wieder</w:t>
      </w:r>
    </w:p>
    <w:p w:rsidR="00E13772" w:rsidRPr="002803A6" w:rsidRDefault="00E13772" w:rsidP="00E13772">
      <w:r w:rsidRPr="002803A6">
        <w:fldChar w:fldCharType="begin"/>
      </w:r>
      <w:r w:rsidRPr="002803A6">
        <w:instrText xml:space="preserve"> AUTONUM </w:instrText>
      </w:r>
      <w:r w:rsidRPr="002803A6">
        <w:fldChar w:fldCharType="separate"/>
      </w:r>
      <w:r w:rsidRPr="002803A6">
        <w:t>2.</w:t>
      </w:r>
      <w:r w:rsidRPr="002803A6">
        <w:fldChar w:fldCharType="end"/>
      </w:r>
      <w:r w:rsidRPr="002803A6">
        <w:tab/>
        <w:t xml:space="preserve">Gemäß der auf der sechsundzwanzigsten ordentlichen Tagung des Rates eingeführten Praxis werden die Vertreter von Mitgliedern und Beobachtern gebeten, ihre Berichte über die Lage auf den Gebieten der Gesetzgebung, der Verwaltung und der Technik des Sortenschutzes und in verwandten Bereichen </w:t>
      </w:r>
      <w:r w:rsidR="00445C49" w:rsidRPr="002803A6">
        <w:t>im Voraus</w:t>
      </w:r>
      <w:r w:rsidRPr="002803A6">
        <w:t xml:space="preserve"> schriftlich vorzulegen, damit der Rat Gelegenheit hat, seine Aufgaben wirksam auszuführen.</w:t>
      </w:r>
    </w:p>
    <w:p w:rsidR="00E13772" w:rsidRPr="002803A6" w:rsidRDefault="00E13772" w:rsidP="00E13772"/>
    <w:p w:rsidR="00E13772" w:rsidRPr="002803A6" w:rsidRDefault="00E13772" w:rsidP="00E13772">
      <w:r w:rsidRPr="002803A6">
        <w:fldChar w:fldCharType="begin"/>
      </w:r>
      <w:r w:rsidRPr="002803A6">
        <w:instrText xml:space="preserve"> AUTONUM </w:instrText>
      </w:r>
      <w:r w:rsidRPr="002803A6">
        <w:fldChar w:fldCharType="separate"/>
      </w:r>
      <w:r w:rsidRPr="002803A6">
        <w:t>2.</w:t>
      </w:r>
      <w:r w:rsidRPr="002803A6">
        <w:fldChar w:fldCharType="end"/>
      </w:r>
      <w:r w:rsidRPr="002803A6">
        <w:tab/>
        <w:t>Das Verbandsbüro ersuchte in den Rundschreiben mit der Einladung zu dieser Tagung um schriftliche Berichte und schlug zu diesem Zweck ein Musterformat vor. Folgende Berichte wurden eingereicht (in der alphabetischen Reihenfolge der französischen Namen der Staaten):</w:t>
      </w:r>
    </w:p>
    <w:p w:rsidR="00E13772" w:rsidRPr="002803A6" w:rsidRDefault="00E13772" w:rsidP="00E13772"/>
    <w:p w:rsidR="00E13772" w:rsidRPr="002803A6" w:rsidRDefault="00E13772" w:rsidP="00E13772">
      <w:pPr>
        <w:ind w:left="567"/>
        <w:rPr>
          <w:szCs w:val="24"/>
        </w:rPr>
      </w:pPr>
      <w:r w:rsidRPr="002803A6">
        <w:rPr>
          <w:spacing w:val="-2"/>
          <w:u w:val="single"/>
        </w:rPr>
        <w:t>Mitglieder</w:t>
      </w:r>
      <w:r w:rsidRPr="002803A6">
        <w:rPr>
          <w:spacing w:val="-2"/>
        </w:rPr>
        <w:t xml:space="preserve">: Anlagen I bis XVI: </w:t>
      </w:r>
      <w:r w:rsidRPr="002803A6">
        <w:rPr>
          <w:szCs w:val="24"/>
        </w:rPr>
        <w:t>Südafrika, Deutschland, Bosnien und Herzegowina, Brasilien, Spanien, Ungarn, Israel, Kenia, Litauen, Neuseeland, Polen, Republik Korea, Republik Moldau, Rumänien, Serbien und Europäische Union</w:t>
      </w:r>
    </w:p>
    <w:p w:rsidR="00E13772" w:rsidRPr="002803A6" w:rsidRDefault="00E13772" w:rsidP="00E13772">
      <w:pPr>
        <w:tabs>
          <w:tab w:val="left" w:pos="2694"/>
        </w:tabs>
      </w:pPr>
    </w:p>
    <w:p w:rsidR="00E13772" w:rsidRPr="002803A6" w:rsidRDefault="00E13772" w:rsidP="00E13772">
      <w:r w:rsidRPr="002803A6">
        <w:fldChar w:fldCharType="begin"/>
      </w:r>
      <w:r w:rsidRPr="002803A6">
        <w:instrText xml:space="preserve"> AUTONUM  </w:instrText>
      </w:r>
      <w:r w:rsidRPr="002803A6">
        <w:fldChar w:fldCharType="end"/>
      </w:r>
      <w:r w:rsidRPr="002803A6">
        <w:tab/>
        <w:t>Berichte, die nach dem 10. September 2019 eingereicht wurden, werden später als Ergänzung zu diesem Dokument aufgenommen und nach der Ratssitzung veröffentlicht.</w:t>
      </w:r>
    </w:p>
    <w:p w:rsidR="00E13772" w:rsidRPr="002803A6" w:rsidRDefault="00E13772" w:rsidP="00E13772"/>
    <w:p w:rsidR="00E13772" w:rsidRPr="002803A6" w:rsidRDefault="00E13772" w:rsidP="00E13772">
      <w:pPr>
        <w:jc w:val="left"/>
      </w:pPr>
    </w:p>
    <w:p w:rsidR="00E13772" w:rsidRPr="002803A6" w:rsidRDefault="00E13772" w:rsidP="00E13772"/>
    <w:p w:rsidR="00E13772" w:rsidRPr="002803A6" w:rsidRDefault="00E13772" w:rsidP="00E13772">
      <w:pPr>
        <w:jc w:val="right"/>
      </w:pPr>
      <w:r w:rsidRPr="002803A6">
        <w:t>[Anlagen folgen]</w:t>
      </w:r>
    </w:p>
    <w:p w:rsidR="00701A18" w:rsidRPr="002803A6" w:rsidRDefault="00701A18" w:rsidP="00701A18">
      <w:pPr>
        <w:jc w:val="left"/>
      </w:pPr>
    </w:p>
    <w:p w:rsidR="00701A18" w:rsidRPr="002803A6" w:rsidRDefault="00701A18" w:rsidP="00701A18">
      <w:pPr>
        <w:jc w:val="left"/>
        <w:sectPr w:rsidR="00701A18" w:rsidRPr="002803A6" w:rsidSect="00906DDC">
          <w:headerReference w:type="default" r:id="rId8"/>
          <w:pgSz w:w="11907" w:h="16840" w:code="9"/>
          <w:pgMar w:top="510" w:right="1134" w:bottom="1134" w:left="1134" w:header="510" w:footer="680" w:gutter="0"/>
          <w:cols w:space="720"/>
          <w:titlePg/>
        </w:sectPr>
      </w:pPr>
    </w:p>
    <w:p w:rsidR="00701A18" w:rsidRPr="002803A6" w:rsidRDefault="00701A18" w:rsidP="00701A18">
      <w:pPr>
        <w:jc w:val="center"/>
      </w:pPr>
      <w:r w:rsidRPr="002803A6">
        <w:lastRenderedPageBreak/>
        <w:t>C/53/INF/4</w:t>
      </w:r>
    </w:p>
    <w:p w:rsidR="00701A18" w:rsidRPr="002803A6" w:rsidRDefault="00701A18" w:rsidP="00701A18">
      <w:pPr>
        <w:jc w:val="center"/>
      </w:pPr>
    </w:p>
    <w:p w:rsidR="00701A18" w:rsidRPr="002803A6" w:rsidRDefault="00445C49" w:rsidP="00701A18">
      <w:pPr>
        <w:jc w:val="center"/>
      </w:pPr>
      <w:r w:rsidRPr="002803A6">
        <w:t>ANLAGE</w:t>
      </w:r>
      <w:r w:rsidR="00701A18" w:rsidRPr="002803A6">
        <w:t xml:space="preserve"> I</w:t>
      </w:r>
    </w:p>
    <w:p w:rsidR="00701A18" w:rsidRPr="002803A6" w:rsidRDefault="00701A18" w:rsidP="00701A18">
      <w:pPr>
        <w:jc w:val="center"/>
      </w:pPr>
    </w:p>
    <w:p w:rsidR="00701A18" w:rsidRPr="002803A6" w:rsidRDefault="00701A18" w:rsidP="00701A18">
      <w:pPr>
        <w:jc w:val="center"/>
      </w:pPr>
    </w:p>
    <w:p w:rsidR="00B57130" w:rsidRPr="002803A6" w:rsidRDefault="00B57130" w:rsidP="00B57130">
      <w:pPr>
        <w:jc w:val="center"/>
        <w:rPr>
          <w:color w:val="000000"/>
          <w:szCs w:val="24"/>
        </w:rPr>
      </w:pPr>
      <w:r w:rsidRPr="002803A6">
        <w:rPr>
          <w:color w:val="000000"/>
          <w:szCs w:val="24"/>
        </w:rPr>
        <w:t>SÜDAFRIKA</w:t>
      </w:r>
    </w:p>
    <w:p w:rsidR="00B57130" w:rsidRPr="002803A6" w:rsidRDefault="00B57130" w:rsidP="00B57130"/>
    <w:p w:rsidR="00B57130" w:rsidRPr="002803A6" w:rsidRDefault="00B57130" w:rsidP="00B57130">
      <w:pPr>
        <w:jc w:val="left"/>
      </w:pPr>
    </w:p>
    <w:p w:rsidR="00B57130" w:rsidRPr="002803A6" w:rsidRDefault="00B57130" w:rsidP="00B57130">
      <w:r w:rsidRPr="002803A6">
        <w:t>I.</w:t>
      </w:r>
      <w:r w:rsidRPr="002803A6">
        <w:tab/>
        <w:t>SORTENSCHUTZ</w:t>
      </w:r>
    </w:p>
    <w:p w:rsidR="00B57130" w:rsidRPr="002803A6" w:rsidRDefault="00B57130" w:rsidP="00B57130"/>
    <w:p w:rsidR="00B57130" w:rsidRPr="002803A6" w:rsidRDefault="00B57130" w:rsidP="00B57130">
      <w:pPr>
        <w:rPr>
          <w:u w:val="single"/>
        </w:rPr>
      </w:pPr>
      <w:r w:rsidRPr="002803A6">
        <w:t>1.</w:t>
      </w:r>
      <w:r w:rsidRPr="002803A6">
        <w:tab/>
      </w:r>
      <w:r w:rsidRPr="002803A6">
        <w:rPr>
          <w:u w:val="single"/>
        </w:rPr>
        <w:t>Lage auf dem Gebiet der Gesetzgebung</w:t>
      </w:r>
    </w:p>
    <w:p w:rsidR="00B57130" w:rsidRPr="002803A6" w:rsidRDefault="00B57130" w:rsidP="00B57130"/>
    <w:p w:rsidR="00B57130" w:rsidRPr="002803A6" w:rsidRDefault="00B57130" w:rsidP="00B57130">
      <w:r w:rsidRPr="002803A6">
        <w:t>1.1</w:t>
      </w:r>
      <w:r w:rsidRPr="002803A6">
        <w:tab/>
        <w:t>Änderungen des Gesetzes und der Ausführungsvorschriften</w:t>
      </w:r>
    </w:p>
    <w:p w:rsidR="00B57130" w:rsidRPr="002803A6" w:rsidRDefault="00B57130" w:rsidP="00B57130"/>
    <w:p w:rsidR="00B57130" w:rsidRPr="002803A6" w:rsidRDefault="00B57130" w:rsidP="00B57130">
      <w:r w:rsidRPr="002803A6">
        <w:tab/>
        <w:t>–</w:t>
      </w:r>
      <w:r w:rsidRPr="002803A6">
        <w:tab/>
        <w:t>Anpassung an die Akte von 1991 des Übereinkommens</w:t>
      </w:r>
    </w:p>
    <w:p w:rsidR="00B57130" w:rsidRPr="002803A6" w:rsidRDefault="00B57130" w:rsidP="00B57130"/>
    <w:p w:rsidR="00B57130" w:rsidRPr="002803A6" w:rsidRDefault="00B57130" w:rsidP="00B57130">
      <w:pPr>
        <w:ind w:left="567"/>
      </w:pPr>
      <w:r w:rsidRPr="002803A6">
        <w:t>Südafrika veranstaltete im Oktober 2018 eine Arbeitstagung über den Beitritt zur Akte von 1991 der UPOV, um Beiträge von maßgeblichen Interessenvertretern zur Annahme der Akte von 1991 des Übereinkommens durch Südafrika einzuholen. Das Verfahren ist noch nicht abgeschlossen.</w:t>
      </w:r>
    </w:p>
    <w:p w:rsidR="00B57130" w:rsidRPr="002803A6" w:rsidRDefault="00B57130" w:rsidP="00B57130"/>
    <w:p w:rsidR="00B57130" w:rsidRPr="002803A6" w:rsidRDefault="00B57130" w:rsidP="00B57130">
      <w:r w:rsidRPr="002803A6">
        <w:tab/>
        <w:t>–</w:t>
      </w:r>
      <w:r w:rsidRPr="002803A6">
        <w:tab/>
        <w:t xml:space="preserve">andere Änderungen, auch in </w:t>
      </w:r>
      <w:r w:rsidR="002803A6" w:rsidRPr="002803A6">
        <w:t>Bezug</w:t>
      </w:r>
      <w:r w:rsidRPr="002803A6">
        <w:t xml:space="preserve"> auf die Gebühren</w:t>
      </w:r>
    </w:p>
    <w:p w:rsidR="00B57130" w:rsidRPr="002803A6" w:rsidRDefault="00B57130" w:rsidP="00B57130"/>
    <w:p w:rsidR="00B57130" w:rsidRPr="002803A6" w:rsidRDefault="00B57130" w:rsidP="00B57130">
      <w:pPr>
        <w:ind w:left="1134" w:hanging="567"/>
      </w:pPr>
      <w:r w:rsidRPr="002803A6">
        <w:t>1.1.1</w:t>
      </w:r>
      <w:r w:rsidRPr="002803A6">
        <w:tab/>
        <w:t xml:space="preserve"> Die Gebühren für die Züchterrechte wurden im Amtsblatt der Regierung von SA Nr. 42230 vom 15. Februar 2019 für das Finanzjahr 2019/20 veröffentlicht, das am 31. März 2020 endet.</w:t>
      </w:r>
    </w:p>
    <w:p w:rsidR="00B57130" w:rsidRPr="002803A6" w:rsidRDefault="00B57130" w:rsidP="00B57130">
      <w:pPr>
        <w:ind w:left="1134" w:hanging="567"/>
      </w:pPr>
    </w:p>
    <w:p w:rsidR="00B57130" w:rsidRPr="002803A6" w:rsidRDefault="00B57130" w:rsidP="00B57130">
      <w:pPr>
        <w:ind w:left="1134" w:hanging="567"/>
      </w:pPr>
      <w:r w:rsidRPr="002803A6">
        <w:t>1.1.2</w:t>
      </w:r>
      <w:r w:rsidRPr="002803A6">
        <w:tab/>
        <w:t xml:space="preserve"> Das Gesetz über Züchterrechte, Gesetz Nr.12 von 2018, wurde im Amtsblatt der Regierung von SA Nr. 42347 vom 29. März 2019 veröffentlicht. Die Abteilung arbeitet derzeit an den Vorschriften zur Inkraftsetzung der Akte.</w:t>
      </w:r>
    </w:p>
    <w:p w:rsidR="00B57130" w:rsidRPr="002803A6" w:rsidRDefault="00B57130" w:rsidP="00B57130"/>
    <w:p w:rsidR="00B57130" w:rsidRPr="002803A6" w:rsidRDefault="00B57130" w:rsidP="00B57130">
      <w:r w:rsidRPr="002803A6">
        <w:t>1.2</w:t>
      </w:r>
      <w:r w:rsidRPr="002803A6">
        <w:tab/>
        <w:t>Erstreckung des Schutzes auf weitere Gattungen und Arten (geschehen oder geplant):</w:t>
      </w:r>
    </w:p>
    <w:p w:rsidR="00B57130" w:rsidRPr="002803A6" w:rsidRDefault="00B57130" w:rsidP="00B57130"/>
    <w:p w:rsidR="00B57130" w:rsidRPr="002803A6" w:rsidRDefault="00B57130" w:rsidP="00B57130">
      <w:r w:rsidRPr="002803A6">
        <w:t>Gemäß Tabelle 1 des Gesetzes über Züchterrechte, Gesetz Nr. 15 von 1</w:t>
      </w:r>
      <w:r w:rsidR="003845A7" w:rsidRPr="002803A6">
        <w:t>976, wurden die folgenden sechs </w:t>
      </w:r>
      <w:r w:rsidRPr="002803A6">
        <w:t>zusätzlichen Gattungen und Arten verkündet:</w:t>
      </w:r>
    </w:p>
    <w:p w:rsidR="00B57130" w:rsidRPr="002803A6" w:rsidRDefault="00B57130" w:rsidP="00B57130"/>
    <w:p w:rsidR="00B57130" w:rsidRPr="002803A6" w:rsidRDefault="00B57130" w:rsidP="00B57130">
      <w:pPr>
        <w:pStyle w:val="ListParagraph"/>
        <w:numPr>
          <w:ilvl w:val="0"/>
          <w:numId w:val="9"/>
        </w:numPr>
      </w:pPr>
      <w:proofErr w:type="spellStart"/>
      <w:r w:rsidRPr="002803A6">
        <w:rPr>
          <w:i/>
        </w:rPr>
        <w:t>Akebia</w:t>
      </w:r>
      <w:proofErr w:type="spellEnd"/>
      <w:r w:rsidRPr="002803A6">
        <w:t xml:space="preserve"> </w:t>
      </w:r>
      <w:proofErr w:type="spellStart"/>
      <w:r w:rsidRPr="002803A6">
        <w:t>Decne</w:t>
      </w:r>
      <w:proofErr w:type="spellEnd"/>
      <w:r w:rsidRPr="002803A6">
        <w:t xml:space="preserve"> (all </w:t>
      </w:r>
      <w:proofErr w:type="spellStart"/>
      <w:r w:rsidRPr="002803A6">
        <w:t>spp</w:t>
      </w:r>
      <w:proofErr w:type="spellEnd"/>
      <w:r w:rsidRPr="002803A6">
        <w:t>.)</w:t>
      </w:r>
    </w:p>
    <w:p w:rsidR="00B57130" w:rsidRPr="002803A6" w:rsidRDefault="00B57130" w:rsidP="00B57130">
      <w:pPr>
        <w:pStyle w:val="ListParagraph"/>
        <w:numPr>
          <w:ilvl w:val="0"/>
          <w:numId w:val="9"/>
        </w:numPr>
      </w:pPr>
      <w:proofErr w:type="spellStart"/>
      <w:r w:rsidRPr="002803A6">
        <w:rPr>
          <w:i/>
        </w:rPr>
        <w:t>Cenchrus</w:t>
      </w:r>
      <w:proofErr w:type="spellEnd"/>
      <w:r w:rsidRPr="002803A6">
        <w:t xml:space="preserve"> L. (all </w:t>
      </w:r>
      <w:proofErr w:type="spellStart"/>
      <w:r w:rsidRPr="002803A6">
        <w:t>spp</w:t>
      </w:r>
      <w:proofErr w:type="spellEnd"/>
      <w:r w:rsidRPr="002803A6">
        <w:t>.)</w:t>
      </w:r>
    </w:p>
    <w:p w:rsidR="00B57130" w:rsidRPr="002803A6" w:rsidRDefault="00B57130" w:rsidP="00B57130">
      <w:pPr>
        <w:pStyle w:val="ListParagraph"/>
        <w:numPr>
          <w:ilvl w:val="0"/>
          <w:numId w:val="9"/>
        </w:numPr>
      </w:pPr>
      <w:proofErr w:type="spellStart"/>
      <w:r w:rsidRPr="002803A6">
        <w:rPr>
          <w:i/>
        </w:rPr>
        <w:t>Eleusine</w:t>
      </w:r>
      <w:proofErr w:type="spellEnd"/>
      <w:r w:rsidRPr="002803A6">
        <w:t xml:space="preserve"> </w:t>
      </w:r>
      <w:proofErr w:type="spellStart"/>
      <w:r w:rsidRPr="002803A6">
        <w:t>Gaertn</w:t>
      </w:r>
      <w:proofErr w:type="spellEnd"/>
      <w:r w:rsidRPr="002803A6">
        <w:t xml:space="preserve">. (all </w:t>
      </w:r>
      <w:proofErr w:type="spellStart"/>
      <w:r w:rsidRPr="002803A6">
        <w:t>spp</w:t>
      </w:r>
      <w:proofErr w:type="spellEnd"/>
      <w:r w:rsidRPr="002803A6">
        <w:t>.)</w:t>
      </w:r>
    </w:p>
    <w:p w:rsidR="00B57130" w:rsidRPr="002803A6" w:rsidRDefault="00B57130" w:rsidP="00B57130">
      <w:pPr>
        <w:pStyle w:val="ListParagraph"/>
        <w:numPr>
          <w:ilvl w:val="0"/>
          <w:numId w:val="9"/>
        </w:numPr>
      </w:pPr>
      <w:proofErr w:type="spellStart"/>
      <w:r w:rsidRPr="002803A6">
        <w:rPr>
          <w:i/>
        </w:rPr>
        <w:t>Fagopyrum</w:t>
      </w:r>
      <w:proofErr w:type="spellEnd"/>
      <w:r w:rsidRPr="002803A6">
        <w:t xml:space="preserve"> Mill. (all </w:t>
      </w:r>
      <w:proofErr w:type="spellStart"/>
      <w:r w:rsidRPr="002803A6">
        <w:t>spp</w:t>
      </w:r>
      <w:proofErr w:type="spellEnd"/>
      <w:r w:rsidRPr="002803A6">
        <w:t>.)</w:t>
      </w:r>
    </w:p>
    <w:p w:rsidR="00B57130" w:rsidRPr="002803A6" w:rsidRDefault="00B57130" w:rsidP="00B57130">
      <w:pPr>
        <w:pStyle w:val="ListParagraph"/>
        <w:numPr>
          <w:ilvl w:val="0"/>
          <w:numId w:val="9"/>
        </w:numPr>
      </w:pPr>
      <w:proofErr w:type="spellStart"/>
      <w:r w:rsidRPr="002803A6">
        <w:rPr>
          <w:i/>
        </w:rPr>
        <w:t>Lablab</w:t>
      </w:r>
      <w:proofErr w:type="spellEnd"/>
      <w:r w:rsidRPr="002803A6">
        <w:t xml:space="preserve"> </w:t>
      </w:r>
      <w:proofErr w:type="spellStart"/>
      <w:r w:rsidRPr="002803A6">
        <w:t>Adans</w:t>
      </w:r>
      <w:proofErr w:type="spellEnd"/>
      <w:r w:rsidRPr="002803A6">
        <w:t xml:space="preserve">. (all </w:t>
      </w:r>
      <w:proofErr w:type="spellStart"/>
      <w:r w:rsidRPr="002803A6">
        <w:t>spp</w:t>
      </w:r>
      <w:proofErr w:type="spellEnd"/>
      <w:r w:rsidRPr="002803A6">
        <w:t>.)</w:t>
      </w:r>
    </w:p>
    <w:p w:rsidR="00B57130" w:rsidRPr="002803A6" w:rsidRDefault="00B57130" w:rsidP="00B57130">
      <w:pPr>
        <w:pStyle w:val="ListParagraph"/>
        <w:numPr>
          <w:ilvl w:val="0"/>
          <w:numId w:val="9"/>
        </w:numPr>
      </w:pPr>
      <w:proofErr w:type="spellStart"/>
      <w:r w:rsidRPr="002803A6">
        <w:rPr>
          <w:i/>
        </w:rPr>
        <w:t>Plantago</w:t>
      </w:r>
      <w:proofErr w:type="spellEnd"/>
      <w:r w:rsidRPr="002803A6">
        <w:t xml:space="preserve"> L. (all </w:t>
      </w:r>
      <w:proofErr w:type="spellStart"/>
      <w:r w:rsidRPr="002803A6">
        <w:t>spp</w:t>
      </w:r>
      <w:proofErr w:type="spellEnd"/>
      <w:r w:rsidRPr="002803A6">
        <w:t>.)</w:t>
      </w:r>
    </w:p>
    <w:p w:rsidR="00B57130" w:rsidRPr="002803A6" w:rsidRDefault="00B57130" w:rsidP="00B57130"/>
    <w:p w:rsidR="00B57130" w:rsidRPr="002803A6" w:rsidRDefault="00B57130" w:rsidP="00B57130">
      <w:r w:rsidRPr="002803A6">
        <w:t>Veröffentlicht im Staatsanzeiger Nr. 42010 vom 2. November 2018.</w:t>
      </w:r>
    </w:p>
    <w:p w:rsidR="00B57130" w:rsidRPr="002803A6" w:rsidRDefault="00B57130" w:rsidP="00B57130"/>
    <w:p w:rsidR="00B57130" w:rsidRPr="002803A6" w:rsidRDefault="00B57130" w:rsidP="00B57130">
      <w:r w:rsidRPr="002803A6">
        <w:t>1.3</w:t>
      </w:r>
      <w:r w:rsidRPr="002803A6">
        <w:tab/>
      </w:r>
      <w:r w:rsidR="002803A6" w:rsidRPr="002803A6">
        <w:t>Rechtsprechung</w:t>
      </w:r>
    </w:p>
    <w:p w:rsidR="00B57130" w:rsidRPr="002803A6" w:rsidRDefault="00B57130" w:rsidP="00B57130"/>
    <w:p w:rsidR="00B57130" w:rsidRPr="002803A6" w:rsidRDefault="00B57130" w:rsidP="00B57130">
      <w:r w:rsidRPr="002803A6">
        <w:tab/>
        <w:t>Keine Anmerkungen.</w:t>
      </w:r>
    </w:p>
    <w:p w:rsidR="00B57130" w:rsidRPr="002803A6" w:rsidRDefault="00B57130" w:rsidP="00B57130"/>
    <w:p w:rsidR="00B57130" w:rsidRPr="002803A6" w:rsidRDefault="00B57130" w:rsidP="00B57130">
      <w:pPr>
        <w:rPr>
          <w:u w:val="single"/>
        </w:rPr>
      </w:pPr>
      <w:r w:rsidRPr="002803A6">
        <w:t>2.</w:t>
      </w:r>
      <w:r w:rsidRPr="002803A6">
        <w:tab/>
      </w:r>
      <w:r w:rsidRPr="002803A6">
        <w:rPr>
          <w:u w:val="single"/>
        </w:rPr>
        <w:t>Zusammenarbeit bei der Prüfung</w:t>
      </w:r>
    </w:p>
    <w:p w:rsidR="00B57130" w:rsidRPr="002803A6" w:rsidRDefault="00B57130" w:rsidP="00B57130"/>
    <w:p w:rsidR="00B57130" w:rsidRPr="002803A6" w:rsidRDefault="00B57130" w:rsidP="00B57130">
      <w:r w:rsidRPr="002803A6">
        <w:tab/>
        <w:t>-</w:t>
      </w:r>
      <w:r w:rsidRPr="002803A6">
        <w:tab/>
        <w:t>Schließung neuer Vereinbarungen (geschehen, in Vorbereitung oder geplant):</w:t>
      </w:r>
    </w:p>
    <w:p w:rsidR="00B57130" w:rsidRPr="002803A6" w:rsidRDefault="00B57130" w:rsidP="00B57130">
      <w:r w:rsidRPr="002803A6">
        <w:tab/>
      </w:r>
      <w:r w:rsidRPr="002803A6">
        <w:tab/>
        <w:t>Keine Anmerkungen.</w:t>
      </w:r>
    </w:p>
    <w:p w:rsidR="00B57130" w:rsidRPr="002803A6" w:rsidRDefault="00B57130" w:rsidP="00B57130"/>
    <w:p w:rsidR="00B57130" w:rsidRPr="002803A6" w:rsidRDefault="00B57130" w:rsidP="00B57130">
      <w:r w:rsidRPr="002803A6">
        <w:tab/>
        <w:t xml:space="preserve">- </w:t>
      </w:r>
      <w:r w:rsidRPr="002803A6">
        <w:tab/>
        <w:t>Änderung bestehender Vereinbarungen (geschehen, in Vorbereitung oder geplant):</w:t>
      </w:r>
    </w:p>
    <w:p w:rsidR="00B57130" w:rsidRPr="002803A6" w:rsidRDefault="00B57130" w:rsidP="00B57130">
      <w:r w:rsidRPr="002803A6">
        <w:tab/>
      </w:r>
      <w:r w:rsidRPr="002803A6">
        <w:tab/>
        <w:t>Keine Anmerkungen.</w:t>
      </w:r>
    </w:p>
    <w:p w:rsidR="00B57130" w:rsidRPr="002803A6" w:rsidRDefault="00B57130" w:rsidP="00B57130"/>
    <w:p w:rsidR="00B57130" w:rsidRPr="002803A6" w:rsidRDefault="00B57130" w:rsidP="00B57130">
      <w:pPr>
        <w:rPr>
          <w:u w:val="single"/>
        </w:rPr>
      </w:pPr>
      <w:r w:rsidRPr="002803A6">
        <w:t>3.</w:t>
      </w:r>
      <w:r w:rsidRPr="002803A6">
        <w:tab/>
      </w:r>
      <w:r w:rsidRPr="002803A6">
        <w:rPr>
          <w:u w:val="single"/>
        </w:rPr>
        <w:t>Lage auf dem Gebiet der Verwaltung</w:t>
      </w:r>
    </w:p>
    <w:p w:rsidR="00B57130" w:rsidRPr="002803A6" w:rsidRDefault="00B57130" w:rsidP="00B57130"/>
    <w:p w:rsidR="00B57130" w:rsidRPr="002803A6" w:rsidRDefault="00B57130" w:rsidP="00B57130">
      <w:r w:rsidRPr="002803A6">
        <w:tab/>
        <w:t xml:space="preserve">Keine Änderungen. </w:t>
      </w:r>
    </w:p>
    <w:p w:rsidR="00B57130" w:rsidRPr="002803A6" w:rsidRDefault="00B57130" w:rsidP="00B57130"/>
    <w:p w:rsidR="00B57130" w:rsidRPr="002803A6" w:rsidRDefault="00B57130" w:rsidP="00B57130">
      <w:r w:rsidRPr="002803A6">
        <w:t>4.</w:t>
      </w:r>
      <w:r w:rsidRPr="002803A6">
        <w:tab/>
      </w:r>
      <w:r w:rsidRPr="002803A6">
        <w:rPr>
          <w:u w:val="single"/>
        </w:rPr>
        <w:t>Lage auf dem Gebiet der Technik</w:t>
      </w:r>
    </w:p>
    <w:p w:rsidR="00B57130" w:rsidRPr="002803A6" w:rsidRDefault="00B57130" w:rsidP="00B57130"/>
    <w:p w:rsidR="00B57130" w:rsidRPr="002803A6" w:rsidRDefault="00B57130" w:rsidP="00B57130">
      <w:r w:rsidRPr="002803A6">
        <w:tab/>
        <w:t>Die Prüfstellen sind für die biologische Prüfung (DUS-Prüfung) verantwortlich.</w:t>
      </w:r>
    </w:p>
    <w:p w:rsidR="00B57130" w:rsidRPr="002803A6" w:rsidRDefault="00B57130" w:rsidP="00B57130"/>
    <w:p w:rsidR="00B57130" w:rsidRPr="002803A6" w:rsidRDefault="00B57130" w:rsidP="00B57130">
      <w:r w:rsidRPr="002803A6">
        <w:t xml:space="preserve">242 Anträge auf Erteilung von Züchterrechten gingen 2018 ein, davon 53 % [129] für landwirtschaftliche Arten, 6 % [14] für Zierarten, 30 % [72] für Obstarten und 11 % [27] für Gemüsearten. </w:t>
      </w:r>
    </w:p>
    <w:p w:rsidR="00B57130" w:rsidRPr="002803A6" w:rsidRDefault="00B57130" w:rsidP="00B57130"/>
    <w:p w:rsidR="00B57130" w:rsidRPr="002803A6" w:rsidRDefault="00B57130" w:rsidP="00B57130">
      <w:r w:rsidRPr="002803A6">
        <w:lastRenderedPageBreak/>
        <w:t xml:space="preserve">Zum Dezember 2018 waren in Südafrika für INSGESAMT 3 042 Sorten Züchterrechte in Kraft, davon 24 % [740] für Zierarten, 39 % [1 194] für landwirtschaftliche Arten, 29 % [847] für Obstarten und 8 % [261] für Gemüsearten. </w:t>
      </w:r>
    </w:p>
    <w:p w:rsidR="00B57130" w:rsidRPr="002803A6" w:rsidRDefault="00B57130" w:rsidP="00B57130"/>
    <w:p w:rsidR="00B57130" w:rsidRPr="002803A6" w:rsidRDefault="00B57130" w:rsidP="00B57130"/>
    <w:p w:rsidR="00B57130" w:rsidRPr="002803A6" w:rsidRDefault="00B57130" w:rsidP="00B57130">
      <w:r w:rsidRPr="002803A6">
        <w:t>5.</w:t>
      </w:r>
      <w:r w:rsidRPr="002803A6">
        <w:tab/>
      </w:r>
      <w:r w:rsidRPr="002803A6">
        <w:rPr>
          <w:u w:val="single"/>
        </w:rPr>
        <w:t>Tätigkeiten zur Förderung des Sortenschutzes</w:t>
      </w:r>
    </w:p>
    <w:p w:rsidR="00B57130" w:rsidRPr="002803A6" w:rsidRDefault="00B57130" w:rsidP="00B57130"/>
    <w:tbl>
      <w:tblPr>
        <w:tblStyle w:val="TableGrid"/>
        <w:tblW w:w="9668" w:type="dxa"/>
        <w:tblInd w:w="108" w:type="dxa"/>
        <w:tblLayout w:type="fixed"/>
        <w:tblCellMar>
          <w:top w:w="28" w:type="dxa"/>
          <w:left w:w="28" w:type="dxa"/>
          <w:bottom w:w="28" w:type="dxa"/>
          <w:right w:w="28" w:type="dxa"/>
        </w:tblCellMar>
        <w:tblLook w:val="04A0" w:firstRow="1" w:lastRow="0" w:firstColumn="1" w:lastColumn="0" w:noHBand="0" w:noVBand="1"/>
      </w:tblPr>
      <w:tblGrid>
        <w:gridCol w:w="1447"/>
        <w:gridCol w:w="1134"/>
        <w:gridCol w:w="1247"/>
        <w:gridCol w:w="1417"/>
        <w:gridCol w:w="1730"/>
        <w:gridCol w:w="2693"/>
      </w:tblGrid>
      <w:tr w:rsidR="00B57130" w:rsidRPr="002803A6" w:rsidTr="00B57130">
        <w:tc>
          <w:tcPr>
            <w:tcW w:w="1447" w:type="dxa"/>
          </w:tcPr>
          <w:p w:rsidR="00B57130" w:rsidRPr="002803A6" w:rsidRDefault="00B57130" w:rsidP="00B57130">
            <w:pPr>
              <w:jc w:val="left"/>
              <w:rPr>
                <w:sz w:val="16"/>
              </w:rPr>
            </w:pPr>
            <w:r w:rsidRPr="002803A6">
              <w:rPr>
                <w:sz w:val="16"/>
              </w:rPr>
              <w:t>Bezeichnung der Tätigkeit</w:t>
            </w:r>
          </w:p>
        </w:tc>
        <w:tc>
          <w:tcPr>
            <w:tcW w:w="1134" w:type="dxa"/>
          </w:tcPr>
          <w:p w:rsidR="00B57130" w:rsidRPr="002803A6" w:rsidRDefault="00B57130" w:rsidP="00B57130">
            <w:pPr>
              <w:jc w:val="left"/>
              <w:rPr>
                <w:sz w:val="16"/>
              </w:rPr>
            </w:pPr>
            <w:r w:rsidRPr="002803A6">
              <w:rPr>
                <w:sz w:val="16"/>
              </w:rPr>
              <w:t>Datum</w:t>
            </w:r>
          </w:p>
        </w:tc>
        <w:tc>
          <w:tcPr>
            <w:tcW w:w="1247" w:type="dxa"/>
          </w:tcPr>
          <w:p w:rsidR="00B57130" w:rsidRPr="002803A6" w:rsidRDefault="00B57130" w:rsidP="00B57130">
            <w:pPr>
              <w:jc w:val="left"/>
              <w:rPr>
                <w:sz w:val="16"/>
              </w:rPr>
            </w:pPr>
            <w:r w:rsidRPr="002803A6">
              <w:rPr>
                <w:sz w:val="16"/>
              </w:rPr>
              <w:t>Ort</w:t>
            </w:r>
          </w:p>
        </w:tc>
        <w:tc>
          <w:tcPr>
            <w:tcW w:w="1417" w:type="dxa"/>
          </w:tcPr>
          <w:p w:rsidR="00B57130" w:rsidRPr="002803A6" w:rsidRDefault="00B57130" w:rsidP="00B57130">
            <w:pPr>
              <w:jc w:val="left"/>
              <w:rPr>
                <w:sz w:val="16"/>
              </w:rPr>
            </w:pPr>
            <w:r w:rsidRPr="002803A6">
              <w:rPr>
                <w:sz w:val="16"/>
              </w:rPr>
              <w:t>Organisator(en)</w:t>
            </w:r>
          </w:p>
        </w:tc>
        <w:tc>
          <w:tcPr>
            <w:tcW w:w="1730" w:type="dxa"/>
          </w:tcPr>
          <w:p w:rsidR="00B57130" w:rsidRPr="002803A6" w:rsidRDefault="00B57130" w:rsidP="00B57130">
            <w:pPr>
              <w:jc w:val="left"/>
              <w:rPr>
                <w:sz w:val="16"/>
              </w:rPr>
            </w:pPr>
            <w:r w:rsidRPr="002803A6">
              <w:rPr>
                <w:sz w:val="16"/>
              </w:rPr>
              <w:t>Zweck der Tätigkeit</w:t>
            </w:r>
          </w:p>
        </w:tc>
        <w:tc>
          <w:tcPr>
            <w:tcW w:w="2693" w:type="dxa"/>
          </w:tcPr>
          <w:p w:rsidR="00B57130" w:rsidRPr="002803A6" w:rsidRDefault="00B57130" w:rsidP="00B57130">
            <w:pPr>
              <w:jc w:val="left"/>
              <w:rPr>
                <w:sz w:val="16"/>
              </w:rPr>
            </w:pPr>
            <w:r w:rsidRPr="002803A6">
              <w:rPr>
                <w:sz w:val="16"/>
              </w:rPr>
              <w:t>Teilnehmende Staaten/Organisationen (Zahl der Teilnehmer pro Staat/Organisation)</w:t>
            </w:r>
          </w:p>
        </w:tc>
      </w:tr>
      <w:tr w:rsidR="00B57130" w:rsidRPr="002803A6" w:rsidTr="00B57130">
        <w:tc>
          <w:tcPr>
            <w:tcW w:w="1447" w:type="dxa"/>
          </w:tcPr>
          <w:p w:rsidR="00B57130" w:rsidRPr="002803A6" w:rsidRDefault="00B57130" w:rsidP="00B57130">
            <w:pPr>
              <w:jc w:val="left"/>
              <w:rPr>
                <w:sz w:val="16"/>
              </w:rPr>
            </w:pPr>
            <w:r w:rsidRPr="002803A6">
              <w:rPr>
                <w:sz w:val="16"/>
              </w:rPr>
              <w:t>NUMPRO-Sitzung [</w:t>
            </w:r>
            <w:proofErr w:type="spellStart"/>
            <w:r w:rsidRPr="002803A6">
              <w:rPr>
                <w:sz w:val="16"/>
              </w:rPr>
              <w:t>Kernmaterialher</w:t>
            </w:r>
            <w:proofErr w:type="spellEnd"/>
            <w:r w:rsidRPr="002803A6">
              <w:rPr>
                <w:sz w:val="16"/>
              </w:rPr>
              <w:t xml:space="preserve">-steller] </w:t>
            </w:r>
          </w:p>
        </w:tc>
        <w:tc>
          <w:tcPr>
            <w:tcW w:w="1134" w:type="dxa"/>
          </w:tcPr>
          <w:p w:rsidR="00B57130" w:rsidRPr="002803A6" w:rsidRDefault="00B57130" w:rsidP="00B57130">
            <w:pPr>
              <w:jc w:val="left"/>
              <w:rPr>
                <w:sz w:val="16"/>
              </w:rPr>
            </w:pPr>
            <w:r w:rsidRPr="002803A6">
              <w:rPr>
                <w:sz w:val="16"/>
              </w:rPr>
              <w:t xml:space="preserve">21. Mai 2019 </w:t>
            </w:r>
          </w:p>
        </w:tc>
        <w:tc>
          <w:tcPr>
            <w:tcW w:w="1247" w:type="dxa"/>
          </w:tcPr>
          <w:p w:rsidR="00B57130" w:rsidRPr="002803A6" w:rsidRDefault="00B57130" w:rsidP="00B57130">
            <w:pPr>
              <w:jc w:val="left"/>
              <w:rPr>
                <w:sz w:val="16"/>
              </w:rPr>
            </w:pPr>
            <w:r w:rsidRPr="002803A6">
              <w:rPr>
                <w:sz w:val="16"/>
              </w:rPr>
              <w:t>Pretoria, Südafrika</w:t>
            </w:r>
          </w:p>
        </w:tc>
        <w:tc>
          <w:tcPr>
            <w:tcW w:w="1417" w:type="dxa"/>
          </w:tcPr>
          <w:p w:rsidR="00B57130" w:rsidRPr="002803A6" w:rsidRDefault="00B57130" w:rsidP="00B57130">
            <w:pPr>
              <w:jc w:val="left"/>
              <w:rPr>
                <w:sz w:val="16"/>
              </w:rPr>
            </w:pPr>
            <w:r w:rsidRPr="002803A6">
              <w:rPr>
                <w:sz w:val="16"/>
              </w:rPr>
              <w:t>Kartoffel-Zertifizierungs-zentrum</w:t>
            </w:r>
          </w:p>
        </w:tc>
        <w:tc>
          <w:tcPr>
            <w:tcW w:w="1730" w:type="dxa"/>
          </w:tcPr>
          <w:p w:rsidR="00B57130" w:rsidRPr="002803A6" w:rsidRDefault="00B57130" w:rsidP="00B57130">
            <w:pPr>
              <w:jc w:val="left"/>
              <w:rPr>
                <w:sz w:val="16"/>
              </w:rPr>
            </w:pPr>
            <w:r w:rsidRPr="002803A6">
              <w:rPr>
                <w:sz w:val="16"/>
              </w:rPr>
              <w:t>Züchterrechte für Kartoffelsorten</w:t>
            </w:r>
          </w:p>
        </w:tc>
        <w:tc>
          <w:tcPr>
            <w:tcW w:w="2693" w:type="dxa"/>
          </w:tcPr>
          <w:p w:rsidR="00B57130" w:rsidRPr="002803A6" w:rsidRDefault="00B57130" w:rsidP="00B57130">
            <w:pPr>
              <w:jc w:val="left"/>
              <w:rPr>
                <w:sz w:val="16"/>
              </w:rPr>
            </w:pPr>
            <w:r w:rsidRPr="002803A6">
              <w:rPr>
                <w:sz w:val="16"/>
              </w:rPr>
              <w:t>SA Kartoffelsektor</w:t>
            </w:r>
          </w:p>
          <w:p w:rsidR="00B57130" w:rsidRPr="002803A6" w:rsidRDefault="00B57130" w:rsidP="00B57130">
            <w:pPr>
              <w:jc w:val="left"/>
              <w:rPr>
                <w:sz w:val="16"/>
              </w:rPr>
            </w:pPr>
            <w:r w:rsidRPr="002803A6">
              <w:rPr>
                <w:sz w:val="16"/>
              </w:rPr>
              <w:t>60 Teilnehmer</w:t>
            </w:r>
          </w:p>
        </w:tc>
      </w:tr>
      <w:tr w:rsidR="00B57130" w:rsidRPr="002803A6" w:rsidTr="00B57130">
        <w:tc>
          <w:tcPr>
            <w:tcW w:w="1447" w:type="dxa"/>
          </w:tcPr>
          <w:p w:rsidR="00B57130" w:rsidRPr="002803A6" w:rsidRDefault="00B57130" w:rsidP="00B57130">
            <w:pPr>
              <w:jc w:val="left"/>
              <w:rPr>
                <w:sz w:val="16"/>
              </w:rPr>
            </w:pPr>
            <w:r w:rsidRPr="002803A6">
              <w:rPr>
                <w:sz w:val="16"/>
              </w:rPr>
              <w:t>Welttag des geistigen Eigentums</w:t>
            </w:r>
          </w:p>
        </w:tc>
        <w:tc>
          <w:tcPr>
            <w:tcW w:w="1134" w:type="dxa"/>
          </w:tcPr>
          <w:p w:rsidR="00B57130" w:rsidRPr="002803A6" w:rsidRDefault="00B57130" w:rsidP="00B57130">
            <w:pPr>
              <w:jc w:val="left"/>
              <w:rPr>
                <w:sz w:val="16"/>
              </w:rPr>
            </w:pPr>
            <w:r w:rsidRPr="002803A6">
              <w:rPr>
                <w:sz w:val="16"/>
              </w:rPr>
              <w:t>29. April 2019</w:t>
            </w:r>
          </w:p>
        </w:tc>
        <w:tc>
          <w:tcPr>
            <w:tcW w:w="1247" w:type="dxa"/>
          </w:tcPr>
          <w:p w:rsidR="00B57130" w:rsidRPr="002803A6" w:rsidRDefault="00B57130" w:rsidP="00B57130">
            <w:pPr>
              <w:jc w:val="left"/>
              <w:rPr>
                <w:sz w:val="16"/>
              </w:rPr>
            </w:pPr>
            <w:proofErr w:type="spellStart"/>
            <w:r w:rsidRPr="002803A6">
              <w:rPr>
                <w:sz w:val="16"/>
              </w:rPr>
              <w:t>Thohoyandou</w:t>
            </w:r>
            <w:proofErr w:type="spellEnd"/>
            <w:r w:rsidRPr="002803A6">
              <w:rPr>
                <w:sz w:val="16"/>
              </w:rPr>
              <w:t>, Südafrika</w:t>
            </w:r>
          </w:p>
        </w:tc>
        <w:tc>
          <w:tcPr>
            <w:tcW w:w="1417" w:type="dxa"/>
          </w:tcPr>
          <w:p w:rsidR="00B57130" w:rsidRPr="002803A6" w:rsidRDefault="00B57130" w:rsidP="00B57130">
            <w:pPr>
              <w:jc w:val="left"/>
              <w:rPr>
                <w:sz w:val="16"/>
              </w:rPr>
            </w:pPr>
            <w:r w:rsidRPr="002803A6">
              <w:rPr>
                <w:sz w:val="16"/>
              </w:rPr>
              <w:t>Universität Venda</w:t>
            </w:r>
          </w:p>
        </w:tc>
        <w:tc>
          <w:tcPr>
            <w:tcW w:w="1730" w:type="dxa"/>
          </w:tcPr>
          <w:p w:rsidR="00B57130" w:rsidRPr="002803A6" w:rsidRDefault="00B57130" w:rsidP="00B57130">
            <w:pPr>
              <w:jc w:val="left"/>
              <w:rPr>
                <w:sz w:val="16"/>
              </w:rPr>
            </w:pPr>
            <w:r w:rsidRPr="002803A6">
              <w:rPr>
                <w:sz w:val="16"/>
              </w:rPr>
              <w:t>Förderung von Forschung und Innovation</w:t>
            </w:r>
          </w:p>
        </w:tc>
        <w:tc>
          <w:tcPr>
            <w:tcW w:w="2693" w:type="dxa"/>
          </w:tcPr>
          <w:p w:rsidR="00B57130" w:rsidRPr="002803A6" w:rsidRDefault="00B57130" w:rsidP="00B57130">
            <w:pPr>
              <w:jc w:val="left"/>
              <w:rPr>
                <w:sz w:val="16"/>
              </w:rPr>
            </w:pPr>
            <w:r w:rsidRPr="002803A6">
              <w:rPr>
                <w:sz w:val="16"/>
              </w:rPr>
              <w:t>Forscher, Postgraduierte, Technologietransferbeauftragte, maßgebliche Regierungsstellen</w:t>
            </w:r>
          </w:p>
          <w:p w:rsidR="00B57130" w:rsidRPr="002803A6" w:rsidRDefault="00B57130" w:rsidP="00B57130">
            <w:pPr>
              <w:jc w:val="left"/>
              <w:rPr>
                <w:sz w:val="16"/>
              </w:rPr>
            </w:pPr>
            <w:r w:rsidRPr="002803A6">
              <w:rPr>
                <w:sz w:val="16"/>
              </w:rPr>
              <w:t>(etwa 100 Teilnehmer)</w:t>
            </w:r>
          </w:p>
        </w:tc>
      </w:tr>
    </w:tbl>
    <w:p w:rsidR="00B57130" w:rsidRPr="002803A6" w:rsidRDefault="00B57130" w:rsidP="00B57130"/>
    <w:p w:rsidR="00B57130" w:rsidRPr="002803A6" w:rsidRDefault="00B57130" w:rsidP="00B57130"/>
    <w:p w:rsidR="00B57130" w:rsidRPr="002803A6" w:rsidRDefault="00B57130" w:rsidP="00B57130">
      <w:r w:rsidRPr="002803A6">
        <w:t>II.</w:t>
      </w:r>
      <w:r w:rsidRPr="002803A6">
        <w:tab/>
        <w:t>WEITERE ENTWICKLUNGEN VON BELANG FÜR DIE UPOV</w:t>
      </w:r>
    </w:p>
    <w:p w:rsidR="00B57130" w:rsidRPr="002803A6" w:rsidRDefault="00B57130" w:rsidP="00B57130"/>
    <w:p w:rsidR="00B57130" w:rsidRPr="002803A6" w:rsidRDefault="00B57130" w:rsidP="00B57130">
      <w:r w:rsidRPr="002803A6">
        <w:t>Keine Anmerkungen.</w:t>
      </w:r>
    </w:p>
    <w:p w:rsidR="003C0A21" w:rsidRPr="002803A6" w:rsidRDefault="003C0A21" w:rsidP="003C0A21"/>
    <w:p w:rsidR="00701A18" w:rsidRPr="002803A6" w:rsidRDefault="00701A18" w:rsidP="00701A18">
      <w:pPr>
        <w:jc w:val="left"/>
      </w:pPr>
    </w:p>
    <w:p w:rsidR="00701A18" w:rsidRPr="002803A6" w:rsidRDefault="00701A18" w:rsidP="00701A18">
      <w:pPr>
        <w:jc w:val="left"/>
      </w:pPr>
    </w:p>
    <w:p w:rsidR="00701A18" w:rsidRPr="002803A6" w:rsidRDefault="00701A18" w:rsidP="00701A18">
      <w:pPr>
        <w:jc w:val="right"/>
      </w:pPr>
      <w:r w:rsidRPr="002803A6">
        <w:t>[</w:t>
      </w:r>
      <w:r w:rsidR="00445C49" w:rsidRPr="002803A6">
        <w:t>Anlage</w:t>
      </w:r>
      <w:r w:rsidRPr="002803A6">
        <w:t xml:space="preserve"> II </w:t>
      </w:r>
      <w:r w:rsidR="00445C49" w:rsidRPr="002803A6">
        <w:t>folgt]</w:t>
      </w:r>
    </w:p>
    <w:p w:rsidR="00701A18" w:rsidRPr="002803A6" w:rsidRDefault="00701A18" w:rsidP="00701A18">
      <w:pPr>
        <w:jc w:val="left"/>
      </w:pPr>
    </w:p>
    <w:p w:rsidR="00701A18" w:rsidRPr="002803A6" w:rsidRDefault="00701A18" w:rsidP="00701A18">
      <w:pPr>
        <w:jc w:val="left"/>
        <w:sectPr w:rsidR="00701A18" w:rsidRPr="002803A6" w:rsidSect="003845A7">
          <w:headerReference w:type="default" r:id="rId9"/>
          <w:pgSz w:w="11907" w:h="16840" w:code="9"/>
          <w:pgMar w:top="510" w:right="1134" w:bottom="851" w:left="1134" w:header="510" w:footer="680" w:gutter="0"/>
          <w:pgNumType w:start="1"/>
          <w:cols w:space="720"/>
          <w:titlePg/>
        </w:sectPr>
      </w:pPr>
    </w:p>
    <w:p w:rsidR="00701A18" w:rsidRPr="002803A6" w:rsidRDefault="00701A18" w:rsidP="00701A18">
      <w:pPr>
        <w:jc w:val="center"/>
      </w:pPr>
      <w:r w:rsidRPr="002803A6">
        <w:lastRenderedPageBreak/>
        <w:t>C/53/INF/4</w:t>
      </w:r>
    </w:p>
    <w:p w:rsidR="00701A18" w:rsidRPr="002803A6" w:rsidRDefault="00701A18" w:rsidP="00701A18">
      <w:pPr>
        <w:jc w:val="center"/>
      </w:pPr>
    </w:p>
    <w:p w:rsidR="00701A18" w:rsidRPr="002803A6" w:rsidRDefault="00445C49" w:rsidP="00701A18">
      <w:pPr>
        <w:jc w:val="center"/>
      </w:pPr>
      <w:r w:rsidRPr="002803A6">
        <w:t>ANLAGE</w:t>
      </w:r>
      <w:r w:rsidR="00701A18" w:rsidRPr="002803A6">
        <w:t xml:space="preserve"> II</w:t>
      </w:r>
    </w:p>
    <w:p w:rsidR="00701A18" w:rsidRPr="002803A6" w:rsidRDefault="00701A18" w:rsidP="00701A18">
      <w:pPr>
        <w:jc w:val="center"/>
      </w:pPr>
    </w:p>
    <w:p w:rsidR="00701A18" w:rsidRPr="002803A6" w:rsidRDefault="00701A18" w:rsidP="00701A18">
      <w:pPr>
        <w:jc w:val="center"/>
      </w:pPr>
    </w:p>
    <w:p w:rsidR="00143A42" w:rsidRPr="002803A6" w:rsidRDefault="00143A42" w:rsidP="00143A42">
      <w:pPr>
        <w:jc w:val="center"/>
      </w:pPr>
      <w:bookmarkStart w:id="0" w:name="_GoBack"/>
      <w:r w:rsidRPr="002803A6">
        <w:t>DEUTSCHLAND</w:t>
      </w:r>
      <w:bookmarkEnd w:id="0"/>
    </w:p>
    <w:p w:rsidR="00143A42" w:rsidRPr="002803A6" w:rsidRDefault="00143A42" w:rsidP="00143A42"/>
    <w:p w:rsidR="00143A42" w:rsidRPr="002803A6" w:rsidRDefault="00143A42" w:rsidP="00143A42"/>
    <w:p w:rsidR="00143A42" w:rsidRPr="002803A6" w:rsidRDefault="00143A42" w:rsidP="00143A42">
      <w:r w:rsidRPr="002803A6">
        <w:t>I.</w:t>
      </w:r>
      <w:r w:rsidRPr="002803A6">
        <w:tab/>
        <w:t>SORTENSCHUTZ</w:t>
      </w:r>
    </w:p>
    <w:p w:rsidR="00143A42" w:rsidRPr="002803A6" w:rsidRDefault="00143A42" w:rsidP="00143A42"/>
    <w:p w:rsidR="00143A42" w:rsidRPr="002803A6" w:rsidRDefault="00143A42" w:rsidP="00143A42">
      <w:r w:rsidRPr="002803A6">
        <w:t>1.</w:t>
      </w:r>
      <w:r w:rsidRPr="002803A6">
        <w:tab/>
      </w:r>
      <w:r w:rsidRPr="002803A6">
        <w:rPr>
          <w:u w:val="single"/>
        </w:rPr>
        <w:t>Lage auf dem Gebiet der Gesetzgebung</w:t>
      </w:r>
      <w:r w:rsidR="00C50958" w:rsidRPr="002803A6">
        <w:t xml:space="preserve">:  </w:t>
      </w:r>
      <w:r w:rsidRPr="002803A6">
        <w:t>Keine Anmerkung.</w:t>
      </w:r>
    </w:p>
    <w:p w:rsidR="00143A42" w:rsidRPr="002803A6" w:rsidRDefault="00143A42" w:rsidP="00143A42"/>
    <w:p w:rsidR="00143A42" w:rsidRPr="002803A6" w:rsidRDefault="00143A42" w:rsidP="00143A42">
      <w:r w:rsidRPr="002803A6">
        <w:t>2.</w:t>
      </w:r>
      <w:r w:rsidRPr="002803A6">
        <w:tab/>
      </w:r>
      <w:r w:rsidRPr="002803A6">
        <w:rPr>
          <w:u w:val="single"/>
        </w:rPr>
        <w:t>Zusammenarbeit bei der Prüfung</w:t>
      </w:r>
      <w:r w:rsidR="00C50958" w:rsidRPr="002803A6">
        <w:t xml:space="preserve">:  </w:t>
      </w:r>
      <w:r w:rsidRPr="002803A6">
        <w:t>Keine Anmerkungen</w:t>
      </w:r>
      <w:r w:rsidR="00C50958" w:rsidRPr="002803A6">
        <w:t>.</w:t>
      </w:r>
    </w:p>
    <w:p w:rsidR="00143A42" w:rsidRPr="002803A6" w:rsidRDefault="00143A42" w:rsidP="00143A42"/>
    <w:p w:rsidR="00143A42" w:rsidRPr="002803A6" w:rsidRDefault="00143A42" w:rsidP="00143A42">
      <w:r w:rsidRPr="002803A6">
        <w:t>3.</w:t>
      </w:r>
      <w:r w:rsidRPr="002803A6">
        <w:tab/>
      </w:r>
      <w:r w:rsidRPr="002803A6">
        <w:rPr>
          <w:u w:val="single"/>
        </w:rPr>
        <w:t>Lage auf dem Gebiet der Verwaltung</w:t>
      </w:r>
      <w:r w:rsidR="00C50958" w:rsidRPr="002803A6">
        <w:t xml:space="preserve">:  </w:t>
      </w:r>
      <w:r w:rsidRPr="002803A6">
        <w:t>Keine Anmerkungen</w:t>
      </w:r>
      <w:r w:rsidR="00C50958" w:rsidRPr="002803A6">
        <w:t>.</w:t>
      </w:r>
    </w:p>
    <w:p w:rsidR="00143A42" w:rsidRPr="002803A6" w:rsidRDefault="00143A42" w:rsidP="00143A42"/>
    <w:p w:rsidR="00143A42" w:rsidRPr="002803A6" w:rsidRDefault="00143A42" w:rsidP="00143A42">
      <w:r w:rsidRPr="002803A6">
        <w:t>4.</w:t>
      </w:r>
      <w:r w:rsidRPr="002803A6">
        <w:tab/>
      </w:r>
      <w:r w:rsidRPr="002803A6">
        <w:rPr>
          <w:u w:val="single"/>
        </w:rPr>
        <w:t>Lage auf dem Gebiet der Technik</w:t>
      </w:r>
      <w:r w:rsidR="00C50958" w:rsidRPr="002803A6">
        <w:t xml:space="preserve">:  </w:t>
      </w:r>
      <w:r w:rsidRPr="002803A6">
        <w:t>Keine Anmerkungen.</w:t>
      </w:r>
    </w:p>
    <w:p w:rsidR="00143A42" w:rsidRPr="002803A6" w:rsidRDefault="00143A42" w:rsidP="00143A42"/>
    <w:p w:rsidR="00143A42" w:rsidRPr="002803A6" w:rsidRDefault="00143A42" w:rsidP="00143A42">
      <w:pPr>
        <w:rPr>
          <w:u w:val="single"/>
        </w:rPr>
      </w:pPr>
      <w:r w:rsidRPr="002803A6">
        <w:t>5.</w:t>
      </w:r>
      <w:r w:rsidRPr="002803A6">
        <w:tab/>
      </w:r>
      <w:r w:rsidRPr="002803A6">
        <w:rPr>
          <w:u w:val="single"/>
        </w:rPr>
        <w:t>Tätigkeiten zur Förderung des Sortenschutzes</w:t>
      </w:r>
    </w:p>
    <w:p w:rsidR="00143A42" w:rsidRPr="002803A6" w:rsidRDefault="00143A42" w:rsidP="00143A42"/>
    <w:p w:rsidR="00143A42" w:rsidRPr="002803A6" w:rsidRDefault="00143A42" w:rsidP="00143A42">
      <w:r w:rsidRPr="002803A6">
        <w:t xml:space="preserve">Im Zuge des GFFA (Global Forum </w:t>
      </w:r>
      <w:proofErr w:type="spellStart"/>
      <w:r w:rsidRPr="002803A6">
        <w:t>for</w:t>
      </w:r>
      <w:proofErr w:type="spellEnd"/>
      <w:r w:rsidRPr="002803A6">
        <w:t xml:space="preserve"> Food and </w:t>
      </w:r>
      <w:proofErr w:type="spellStart"/>
      <w:r w:rsidRPr="002803A6">
        <w:t>Agriculture</w:t>
      </w:r>
      <w:proofErr w:type="spellEnd"/>
      <w:r w:rsidRPr="002803A6">
        <w:t xml:space="preserve">) im Januar 2019 in Berlin bestand ein erster Kontakt zu Vertretern des usbekischen Landwirtschaftsministeriums und Sortenamtes. Dies führte zu einem Besuch von Vertretern des mongolischen Sortenamtes beim Bundessortenamt und einem weiteren Besuch des Bundessortenamtes in Taschkent, Usbekistan. Der Besuch in Deutschland wurde dazu genutzt, den usbekischen Kollegen die Aufgaben im Bereich der Sortenprüfung theoretisch und praktisch darzustellen. Beim Gegenbesuch in Taschkent wurde ein „Letter </w:t>
      </w:r>
      <w:proofErr w:type="spellStart"/>
      <w:r w:rsidRPr="002803A6">
        <w:t>of</w:t>
      </w:r>
      <w:proofErr w:type="spellEnd"/>
      <w:r w:rsidRPr="002803A6">
        <w:t xml:space="preserve"> </w:t>
      </w:r>
      <w:proofErr w:type="spellStart"/>
      <w:r w:rsidRPr="002803A6">
        <w:t>Intent</w:t>
      </w:r>
      <w:proofErr w:type="spellEnd"/>
      <w:r w:rsidRPr="002803A6">
        <w:t>“ unterzeichnet, der die Zusammenarbeit der beiden Sortenämter auf fachlicher Ebene vertiefen soll. Für das Folgejahr sollen Workshops im Bereich der Sortenprüfung auf technischer Ebene durchgeführt werden.</w:t>
      </w:r>
    </w:p>
    <w:p w:rsidR="00143A42" w:rsidRPr="002803A6" w:rsidRDefault="00143A42" w:rsidP="00143A42"/>
    <w:p w:rsidR="00143A42" w:rsidRPr="002803A6" w:rsidRDefault="00143A42" w:rsidP="00143A42">
      <w:r w:rsidRPr="002803A6">
        <w:t>Im Zuge eines bilateralen Austausches zwischen den Niederlanden und Iran hatte das Bundessortenamt im Bereich der landwirtschaftlichen Kulturarten (Fokus Getreide), an einem technischen Workshop in Teheran, Iran, teilgenommen und fachlich begleitet.</w:t>
      </w:r>
    </w:p>
    <w:p w:rsidR="00143A42" w:rsidRPr="002803A6" w:rsidRDefault="00143A42" w:rsidP="00143A42"/>
    <w:p w:rsidR="00143A42" w:rsidRPr="002803A6" w:rsidRDefault="00143A42" w:rsidP="00143A42">
      <w:r w:rsidRPr="002803A6">
        <w:t xml:space="preserve">Mit Äthiopien wurde während des Besuches einer Delegation verschiedener Akteure (Sortenamt, Landwirtschaftsministerium, Forschungseinrichtungen) ein „Letter </w:t>
      </w:r>
      <w:proofErr w:type="spellStart"/>
      <w:r w:rsidRPr="002803A6">
        <w:t>of</w:t>
      </w:r>
      <w:proofErr w:type="spellEnd"/>
      <w:r w:rsidRPr="002803A6">
        <w:t xml:space="preserve"> </w:t>
      </w:r>
      <w:proofErr w:type="spellStart"/>
      <w:r w:rsidRPr="002803A6">
        <w:t>Intent</w:t>
      </w:r>
      <w:proofErr w:type="spellEnd"/>
      <w:r w:rsidRPr="002803A6">
        <w:t>“, der die Zusammenarbeit zwischen dem dortigen Sortenamt und dem Bundessortenamt verbessern soll, unterzeichnet. Weiterführend wurde der Delegation die Kernaufgaben des Bundessortenamtes im Bereich der Register- und Wertprüfung dargestellt. Im Laufe der nächsten Monate sollen mögliche Themen konkretisiert werden, um im Folgejahr einen technischen Austausch im Bereich des Sortenwesens zwischen Deutschland und Äthiopien durchzuführen.</w:t>
      </w:r>
    </w:p>
    <w:p w:rsidR="00143A42" w:rsidRPr="002803A6" w:rsidRDefault="00143A42" w:rsidP="00143A42"/>
    <w:p w:rsidR="005A659F" w:rsidRPr="002803A6" w:rsidRDefault="005A659F" w:rsidP="00143A42">
      <w:r w:rsidRPr="002803A6">
        <w:t xml:space="preserve">Am 5. und 6. November 2018 nahm das UPOV-Büro in </w:t>
      </w:r>
      <w:proofErr w:type="spellStart"/>
      <w:r w:rsidRPr="002803A6">
        <w:t>Ulaanbaatar</w:t>
      </w:r>
      <w:proofErr w:type="spellEnd"/>
      <w:r w:rsidRPr="002803A6">
        <w:t>, Mongolei, an Sitzungen mit der Arbeitsgruppe teil, die für die Ausarbeitung des Gesetzes über Pflanzensorten und Saatgut zuständig ist und vom Ministerium für Ernährung, Landwirtschaft und Leichtindustrie (MOFALI) der Mongolei organisiert wurde, mit finanzieller Unterstützung des deutsch-mongolischen Kooperationsprojekts für nachhaltige Landwirtschaft (DMKNL). Ziel der Treffen war es, die Mongolei bei der Ausarbeitung von Rechtsvorschriften und beim Verfahren für den Beitritt zur UPOV zu unterstützen. In getrennten Sitzungen wurden Gespräche mit Experten geführt, um potenzielle Partner für die technische Zusammenarbeit zu ermitteln.</w:t>
      </w:r>
    </w:p>
    <w:p w:rsidR="005A659F" w:rsidRPr="002803A6" w:rsidRDefault="005A659F" w:rsidP="00143A42"/>
    <w:p w:rsidR="00143A42" w:rsidRPr="002803A6" w:rsidRDefault="00143A42" w:rsidP="00143A42">
      <w:r w:rsidRPr="002803A6">
        <w:t>Im November 2018 wurde zusammen mit dem UPOV-Büro das überarbeitete mongolische Saatgutgesetz für einen möglichen späteren Beitritt der Mongolei zu UPOV ‘91 diskutiert. Neben dem fachlichen Austausch zu den Veränderungen der gesetzlichen Bestimmungen wurden in weiteren Gesprächen mögliche Partner identifiziert, die für einen späteren technischen Austausch in Frage kommen.</w:t>
      </w:r>
    </w:p>
    <w:p w:rsidR="00143A42" w:rsidRPr="002803A6" w:rsidRDefault="00143A42" w:rsidP="00143A42"/>
    <w:p w:rsidR="00143A42" w:rsidRPr="002803A6" w:rsidRDefault="00143A42" w:rsidP="00143A42">
      <w:r w:rsidRPr="002803A6">
        <w:t>Das deutsch-indische Kooperationsprojekt des Bundeslandwirtschaftsministeriums wurde für weitere drei Jahre verlängert (Laufzeit Juli 2019 - Juni 2022). In der dritten und letzten Phase wird die Konsolidierung des Projektes angestrebt. Im vergangen Berichtszeitraum gab es einen fachlichen Austausch zur Anwendung molekularer Marker in der Sortenprüfung mit internationalen Experten in New Delhi, Indien. Weiterhin gab es einen Austausch zu IT-Fragen beim Bundessortenamt, die hauptsächlich Themen der elektronischen Datenerhebung, Datenauswertung und Datenbankverwaltung betrafen.</w:t>
      </w:r>
    </w:p>
    <w:p w:rsidR="00143A42" w:rsidRPr="002803A6" w:rsidRDefault="00143A42" w:rsidP="00143A42"/>
    <w:p w:rsidR="00143A42" w:rsidRPr="002803A6" w:rsidRDefault="00143A42" w:rsidP="00143A42"/>
    <w:p w:rsidR="00143A42" w:rsidRPr="002803A6" w:rsidRDefault="00143A42" w:rsidP="00143A42">
      <w:r w:rsidRPr="002803A6">
        <w:t>II.</w:t>
      </w:r>
      <w:r w:rsidRPr="002803A6">
        <w:tab/>
        <w:t>ANDERE ENTWICKLUNGEN VON INTERESSE FÜR DIE UPOV</w:t>
      </w:r>
    </w:p>
    <w:p w:rsidR="00143A42" w:rsidRPr="002803A6" w:rsidRDefault="00143A42" w:rsidP="00143A42"/>
    <w:p w:rsidR="00143A42" w:rsidRPr="002803A6" w:rsidRDefault="00143A42" w:rsidP="00143A42">
      <w:r w:rsidRPr="002803A6">
        <w:t>Keine Anmerkungen.</w:t>
      </w:r>
    </w:p>
    <w:p w:rsidR="00701A18" w:rsidRPr="002803A6" w:rsidRDefault="00701A18" w:rsidP="00701A18"/>
    <w:p w:rsidR="00701A18" w:rsidRPr="002803A6" w:rsidRDefault="00701A18" w:rsidP="003C0A21">
      <w:pPr>
        <w:jc w:val="right"/>
      </w:pPr>
      <w:r w:rsidRPr="002803A6">
        <w:t>[</w:t>
      </w:r>
      <w:r w:rsidR="00445C49" w:rsidRPr="002803A6">
        <w:t>Anlage</w:t>
      </w:r>
      <w:r w:rsidRPr="002803A6">
        <w:t xml:space="preserve"> III </w:t>
      </w:r>
      <w:r w:rsidR="00445C49" w:rsidRPr="002803A6">
        <w:t>folgt]</w:t>
      </w:r>
    </w:p>
    <w:p w:rsidR="00701A18" w:rsidRPr="002803A6" w:rsidRDefault="00701A18" w:rsidP="00701A18">
      <w:pPr>
        <w:jc w:val="left"/>
        <w:sectPr w:rsidR="00701A18" w:rsidRPr="002803A6" w:rsidSect="00C50958">
          <w:headerReference w:type="default" r:id="rId10"/>
          <w:pgSz w:w="11907" w:h="16840" w:code="9"/>
          <w:pgMar w:top="510" w:right="1134" w:bottom="851" w:left="1134" w:header="510" w:footer="680" w:gutter="0"/>
          <w:pgNumType w:start="1"/>
          <w:cols w:space="720"/>
          <w:titlePg/>
        </w:sectPr>
      </w:pPr>
    </w:p>
    <w:p w:rsidR="00701A18" w:rsidRPr="002803A6" w:rsidRDefault="00701A18" w:rsidP="00701A18">
      <w:pPr>
        <w:jc w:val="center"/>
      </w:pPr>
      <w:r w:rsidRPr="002803A6">
        <w:lastRenderedPageBreak/>
        <w:t>C/53/INF/4</w:t>
      </w:r>
    </w:p>
    <w:p w:rsidR="00701A18" w:rsidRPr="002803A6" w:rsidRDefault="00701A18" w:rsidP="00701A18">
      <w:pPr>
        <w:jc w:val="center"/>
      </w:pPr>
    </w:p>
    <w:p w:rsidR="00701A18" w:rsidRPr="002803A6" w:rsidRDefault="00445C49" w:rsidP="00701A18">
      <w:pPr>
        <w:jc w:val="center"/>
      </w:pPr>
      <w:r w:rsidRPr="002803A6">
        <w:t>ANLAGE</w:t>
      </w:r>
      <w:r w:rsidR="00701A18" w:rsidRPr="002803A6">
        <w:t xml:space="preserve"> III</w:t>
      </w:r>
    </w:p>
    <w:p w:rsidR="00701A18" w:rsidRPr="002803A6" w:rsidRDefault="00701A18" w:rsidP="00701A18">
      <w:pPr>
        <w:jc w:val="center"/>
      </w:pPr>
    </w:p>
    <w:p w:rsidR="00701A18" w:rsidRPr="002803A6" w:rsidRDefault="00701A18" w:rsidP="00701A18">
      <w:pPr>
        <w:jc w:val="center"/>
      </w:pPr>
    </w:p>
    <w:p w:rsidR="00B57130" w:rsidRPr="002803A6" w:rsidRDefault="00B57130" w:rsidP="00B57130">
      <w:pPr>
        <w:jc w:val="center"/>
        <w:rPr>
          <w:color w:val="000000"/>
          <w:szCs w:val="24"/>
        </w:rPr>
      </w:pPr>
      <w:r w:rsidRPr="002803A6">
        <w:rPr>
          <w:color w:val="000000"/>
          <w:szCs w:val="24"/>
        </w:rPr>
        <w:t>BOSNIEN-HERZEGOWINA</w:t>
      </w:r>
    </w:p>
    <w:p w:rsidR="00B57130" w:rsidRPr="002803A6" w:rsidRDefault="00B57130" w:rsidP="00B57130"/>
    <w:p w:rsidR="00B57130" w:rsidRPr="002803A6" w:rsidRDefault="00B57130" w:rsidP="00B57130">
      <w:pPr>
        <w:jc w:val="left"/>
      </w:pPr>
    </w:p>
    <w:p w:rsidR="00B57130" w:rsidRPr="002803A6" w:rsidRDefault="00B57130" w:rsidP="00B57130">
      <w:r w:rsidRPr="002803A6">
        <w:t>In Bosnien-Herzegowina wurden keine Bestimmungen des Gesetzes über den Schutz von Pflanzenzüchtungen von Bosnien-Herzegowina umgesetzt („Amtsblatt“, Nr. 14/10 und 32/13). Die gesetzlichen Bestimmungen sind in den gesetzlichen Amtsverfahren enthalten.</w:t>
      </w:r>
    </w:p>
    <w:p w:rsidR="00B57130" w:rsidRPr="002803A6" w:rsidRDefault="00B57130" w:rsidP="00B57130"/>
    <w:p w:rsidR="00B57130" w:rsidRPr="002803A6" w:rsidRDefault="00B57130" w:rsidP="00B57130">
      <w:r w:rsidRPr="002803A6">
        <w:t>Wir verfügen nun über eine nationale Sortenliste für landwirtschaftliche Arten.</w:t>
      </w:r>
    </w:p>
    <w:p w:rsidR="00B57130" w:rsidRPr="002803A6" w:rsidRDefault="00B57130" w:rsidP="00B57130"/>
    <w:p w:rsidR="00B57130" w:rsidRPr="002803A6" w:rsidRDefault="00B57130" w:rsidP="00B57130">
      <w:r w:rsidRPr="002803A6">
        <w:t>Neue Sorten werden auf der Grundlage von DUS-Prüfungen und Eintragungslösungen aus den umliegenden Ländern (Kroatien, Serbien, Montenegro und andere) eingetragen.</w:t>
      </w:r>
    </w:p>
    <w:p w:rsidR="00B57130" w:rsidRPr="002803A6" w:rsidRDefault="00B57130" w:rsidP="00B57130"/>
    <w:p w:rsidR="00B57130" w:rsidRPr="002803A6" w:rsidRDefault="00B57130" w:rsidP="00B57130">
      <w:r w:rsidRPr="002803A6">
        <w:t>Bosnien-Herzegowina verfügt nicht über die Voraussetzungen zur Durchführung einer DUS-Prüfung, doch die Verwaltung von Bosnien-Herzegowina für Pflanzengesundheit verlangt DUS-Berichte für neue Sorten.</w:t>
      </w:r>
    </w:p>
    <w:p w:rsidR="00B57130" w:rsidRPr="002803A6" w:rsidRDefault="00B57130" w:rsidP="00B57130"/>
    <w:p w:rsidR="00B57130" w:rsidRPr="002803A6" w:rsidRDefault="00B57130" w:rsidP="00B57130">
      <w:r w:rsidRPr="002803A6">
        <w:t xml:space="preserve">Für die Annahme der erforderlichen gesetzlichen Regelungen ist es notwendig, die Zustimmung der Stellen des Landwirtschaftsministeriums und des </w:t>
      </w:r>
      <w:proofErr w:type="spellStart"/>
      <w:r w:rsidRPr="002803A6">
        <w:t>Brčko</w:t>
      </w:r>
      <w:proofErr w:type="spellEnd"/>
      <w:r w:rsidRPr="002803A6">
        <w:t xml:space="preserve"> Distrikts B&amp;H zu haben, doch derzeit haben wir sie nicht.</w:t>
      </w:r>
    </w:p>
    <w:p w:rsidR="00B57130" w:rsidRPr="002803A6" w:rsidRDefault="00B57130" w:rsidP="00B57130"/>
    <w:p w:rsidR="00B57130" w:rsidRPr="002803A6" w:rsidRDefault="00B57130" w:rsidP="00B57130">
      <w:r w:rsidRPr="002803A6">
        <w:t>Regelungen nach den gesetzlichen Vorschriften sind:</w:t>
      </w:r>
    </w:p>
    <w:p w:rsidR="00B57130" w:rsidRPr="002803A6" w:rsidRDefault="00B57130" w:rsidP="00B57130"/>
    <w:p w:rsidR="00B57130" w:rsidRPr="002803A6" w:rsidRDefault="00B57130" w:rsidP="00B57130">
      <w:pPr>
        <w:ind w:left="284" w:hanging="284"/>
      </w:pPr>
      <w:r w:rsidRPr="002803A6">
        <w:t>-</w:t>
      </w:r>
      <w:r w:rsidRPr="002803A6">
        <w:tab/>
        <w:t>Regelwerk für die Eintragung ins Register für den Schutz der Züchterrechte;</w:t>
      </w:r>
    </w:p>
    <w:p w:rsidR="00B57130" w:rsidRPr="002803A6" w:rsidRDefault="00B57130" w:rsidP="00B57130">
      <w:pPr>
        <w:ind w:left="284" w:hanging="284"/>
      </w:pPr>
      <w:r w:rsidRPr="002803A6">
        <w:t>-</w:t>
      </w:r>
      <w:r w:rsidRPr="002803A6">
        <w:tab/>
        <w:t>Regelwerk für die Verwendung des Saatguts von Kleinbauern (</w:t>
      </w:r>
      <w:proofErr w:type="spellStart"/>
      <w:r w:rsidRPr="002803A6">
        <w:t>Landwirtesaatgut</w:t>
      </w:r>
      <w:proofErr w:type="spellEnd"/>
      <w:r w:rsidRPr="002803A6">
        <w:t>);</w:t>
      </w:r>
    </w:p>
    <w:p w:rsidR="00B57130" w:rsidRPr="002803A6" w:rsidRDefault="00B57130" w:rsidP="00B57130">
      <w:pPr>
        <w:ind w:left="284" w:hanging="284"/>
      </w:pPr>
      <w:r w:rsidRPr="002803A6">
        <w:t>-</w:t>
      </w:r>
      <w:r w:rsidRPr="002803A6">
        <w:tab/>
        <w:t>Regelwerk über die Kosten für die Verfahren zur Registrierung und Anerkennung von Sorten, die Zertifizierung von Saat- und Pflanzgut und die Züchterrechtsverfahren.</w:t>
      </w:r>
    </w:p>
    <w:p w:rsidR="00B57130" w:rsidRPr="002803A6" w:rsidRDefault="00B57130" w:rsidP="00B57130"/>
    <w:p w:rsidR="00B57130" w:rsidRPr="002803A6" w:rsidRDefault="00B57130" w:rsidP="00B57130">
      <w:r w:rsidRPr="002803A6">
        <w:t>Die Verwaltung von Bosnien-Herzegowina für den Schutz der Pflanzengesundheit wird weiterhin an der Umsetzung der gesetzlichen Regelungen und deren Veröffentlichung im Amtsblatt arbeiten.</w:t>
      </w:r>
    </w:p>
    <w:p w:rsidR="00701A18" w:rsidRPr="002803A6" w:rsidRDefault="00701A18" w:rsidP="00701A18">
      <w:pPr>
        <w:jc w:val="left"/>
      </w:pPr>
    </w:p>
    <w:p w:rsidR="00701A18" w:rsidRPr="002803A6" w:rsidRDefault="00701A18" w:rsidP="00701A18">
      <w:pPr>
        <w:jc w:val="left"/>
      </w:pPr>
    </w:p>
    <w:p w:rsidR="00701A18" w:rsidRPr="002803A6" w:rsidRDefault="00701A18" w:rsidP="00701A18">
      <w:pPr>
        <w:jc w:val="left"/>
      </w:pPr>
    </w:p>
    <w:p w:rsidR="00701A18" w:rsidRPr="002803A6" w:rsidRDefault="00701A18" w:rsidP="00701A18">
      <w:pPr>
        <w:jc w:val="right"/>
      </w:pPr>
      <w:r w:rsidRPr="002803A6">
        <w:t>[</w:t>
      </w:r>
      <w:r w:rsidR="00445C49" w:rsidRPr="002803A6">
        <w:t>Anlage</w:t>
      </w:r>
      <w:r w:rsidRPr="002803A6">
        <w:t xml:space="preserve"> IV </w:t>
      </w:r>
      <w:r w:rsidR="00445C49" w:rsidRPr="002803A6">
        <w:t>folgt]</w:t>
      </w:r>
    </w:p>
    <w:p w:rsidR="00701A18" w:rsidRPr="002803A6" w:rsidRDefault="00701A18" w:rsidP="00701A18">
      <w:pPr>
        <w:jc w:val="left"/>
      </w:pPr>
    </w:p>
    <w:p w:rsidR="00701A18" w:rsidRPr="002803A6" w:rsidRDefault="00701A18" w:rsidP="00701A18">
      <w:pPr>
        <w:jc w:val="left"/>
        <w:sectPr w:rsidR="00701A18" w:rsidRPr="002803A6" w:rsidSect="00823234">
          <w:headerReference w:type="default" r:id="rId11"/>
          <w:pgSz w:w="11907" w:h="16840" w:code="9"/>
          <w:pgMar w:top="510" w:right="1134" w:bottom="1134" w:left="1134" w:header="510" w:footer="680" w:gutter="0"/>
          <w:pgNumType w:start="1"/>
          <w:cols w:space="720"/>
          <w:titlePg/>
        </w:sectPr>
      </w:pPr>
    </w:p>
    <w:p w:rsidR="00701A18" w:rsidRPr="002803A6" w:rsidRDefault="00701A18" w:rsidP="00701A18">
      <w:pPr>
        <w:jc w:val="center"/>
      </w:pPr>
      <w:r w:rsidRPr="002803A6">
        <w:lastRenderedPageBreak/>
        <w:t>C/53/INF/4</w:t>
      </w:r>
    </w:p>
    <w:p w:rsidR="00701A18" w:rsidRPr="002803A6" w:rsidRDefault="00701A18" w:rsidP="00701A18">
      <w:pPr>
        <w:jc w:val="center"/>
      </w:pPr>
    </w:p>
    <w:p w:rsidR="00701A18" w:rsidRPr="002803A6" w:rsidRDefault="00445C49" w:rsidP="00701A18">
      <w:pPr>
        <w:jc w:val="center"/>
      </w:pPr>
      <w:r w:rsidRPr="002803A6">
        <w:t>ANLAGE</w:t>
      </w:r>
      <w:r w:rsidR="00701A18" w:rsidRPr="002803A6">
        <w:t xml:space="preserve"> IV</w:t>
      </w:r>
    </w:p>
    <w:p w:rsidR="00701A18" w:rsidRPr="002803A6" w:rsidRDefault="00701A18" w:rsidP="00701A18">
      <w:pPr>
        <w:jc w:val="center"/>
      </w:pPr>
    </w:p>
    <w:p w:rsidR="00701A18" w:rsidRPr="002803A6" w:rsidRDefault="00701A18" w:rsidP="00701A18">
      <w:pPr>
        <w:jc w:val="center"/>
      </w:pPr>
    </w:p>
    <w:p w:rsidR="00B57130" w:rsidRPr="002803A6" w:rsidRDefault="00B57130" w:rsidP="00B57130">
      <w:pPr>
        <w:jc w:val="center"/>
      </w:pPr>
      <w:r w:rsidRPr="002803A6">
        <w:t>BRASILIEN</w:t>
      </w:r>
    </w:p>
    <w:p w:rsidR="00B57130" w:rsidRPr="002803A6" w:rsidRDefault="00B57130" w:rsidP="00B57130">
      <w:pPr>
        <w:jc w:val="left"/>
      </w:pPr>
    </w:p>
    <w:p w:rsidR="00B57130" w:rsidRPr="002803A6" w:rsidRDefault="00B57130" w:rsidP="00B57130">
      <w:pPr>
        <w:jc w:val="left"/>
      </w:pPr>
    </w:p>
    <w:p w:rsidR="00B57130" w:rsidRPr="002803A6" w:rsidRDefault="00B57130" w:rsidP="00B57130">
      <w:pPr>
        <w:rPr>
          <w:rFonts w:cs="Arial"/>
        </w:rPr>
      </w:pPr>
      <w:r w:rsidRPr="002803A6">
        <w:t>I.</w:t>
      </w:r>
      <w:r w:rsidRPr="002803A6">
        <w:tab/>
        <w:t>SORTENSCHUTZ</w:t>
      </w:r>
    </w:p>
    <w:p w:rsidR="00B57130" w:rsidRPr="002803A6" w:rsidRDefault="00B57130" w:rsidP="00B57130">
      <w:pPr>
        <w:rPr>
          <w:rFonts w:cs="Arial"/>
        </w:rPr>
      </w:pPr>
    </w:p>
    <w:p w:rsidR="00B57130" w:rsidRPr="002803A6" w:rsidRDefault="00B57130" w:rsidP="00B57130">
      <w:pPr>
        <w:rPr>
          <w:rFonts w:cs="Arial"/>
        </w:rPr>
      </w:pPr>
      <w:r w:rsidRPr="002803A6">
        <w:t xml:space="preserve">1. </w:t>
      </w:r>
      <w:r w:rsidRPr="002803A6">
        <w:tab/>
      </w:r>
      <w:r w:rsidRPr="002803A6">
        <w:rPr>
          <w:u w:val="single"/>
        </w:rPr>
        <w:t>Lage auf dem Gebiet der Gesetzgebung</w:t>
      </w:r>
    </w:p>
    <w:p w:rsidR="00B57130" w:rsidRPr="002803A6" w:rsidRDefault="00B57130" w:rsidP="00B57130">
      <w:pPr>
        <w:rPr>
          <w:rFonts w:cs="Arial"/>
        </w:rPr>
      </w:pPr>
    </w:p>
    <w:p w:rsidR="00B57130" w:rsidRPr="002803A6" w:rsidRDefault="00B57130" w:rsidP="00B57130">
      <w:pPr>
        <w:rPr>
          <w:rFonts w:cs="Arial"/>
        </w:rPr>
      </w:pPr>
      <w:r w:rsidRPr="002803A6">
        <w:t>1.1</w:t>
      </w:r>
      <w:r w:rsidRPr="002803A6">
        <w:tab/>
        <w:t>Änderungen des Gesetzes und der Ausführungsvorschriften</w:t>
      </w:r>
    </w:p>
    <w:p w:rsidR="00B57130" w:rsidRPr="002803A6" w:rsidRDefault="00B57130" w:rsidP="00B57130">
      <w:pPr>
        <w:rPr>
          <w:rFonts w:cs="Arial"/>
        </w:rPr>
      </w:pPr>
    </w:p>
    <w:p w:rsidR="00B57130" w:rsidRPr="002803A6" w:rsidRDefault="00B57130" w:rsidP="00B57130">
      <w:pPr>
        <w:rPr>
          <w:rFonts w:cs="Arial"/>
          <w:i/>
        </w:rPr>
      </w:pPr>
      <w:r w:rsidRPr="002803A6">
        <w:tab/>
      </w:r>
      <w:proofErr w:type="spellStart"/>
      <w:r w:rsidRPr="002803A6">
        <w:rPr>
          <w:i/>
        </w:rPr>
        <w:t>Instrução</w:t>
      </w:r>
      <w:proofErr w:type="spellEnd"/>
      <w:r w:rsidRPr="002803A6">
        <w:rPr>
          <w:i/>
        </w:rPr>
        <w:t xml:space="preserve"> </w:t>
      </w:r>
      <w:proofErr w:type="spellStart"/>
      <w:r w:rsidRPr="002803A6">
        <w:rPr>
          <w:i/>
        </w:rPr>
        <w:t>Normativa</w:t>
      </w:r>
      <w:proofErr w:type="spellEnd"/>
      <w:r w:rsidRPr="002803A6">
        <w:rPr>
          <w:i/>
        </w:rPr>
        <w:t xml:space="preserve"> nº 13, 27. Mai, 2019, zur Aktualisierung der Züchterrechtsgebühren.</w:t>
      </w:r>
    </w:p>
    <w:p w:rsidR="00B57130" w:rsidRPr="002803A6" w:rsidRDefault="00B57130" w:rsidP="00B57130">
      <w:pPr>
        <w:rPr>
          <w:rFonts w:cs="Arial"/>
        </w:rPr>
      </w:pPr>
    </w:p>
    <w:p w:rsidR="00B57130" w:rsidRPr="002803A6" w:rsidRDefault="00B57130" w:rsidP="00B57130">
      <w:pPr>
        <w:rPr>
          <w:rFonts w:cs="Arial"/>
        </w:rPr>
      </w:pPr>
      <w:r w:rsidRPr="002803A6">
        <w:t>1.2</w:t>
      </w:r>
      <w:r w:rsidRPr="002803A6">
        <w:tab/>
        <w:t>Erstreckung des Schutzes auf weitere Gattungen und Arten (geschehen oder geplant):</w:t>
      </w:r>
    </w:p>
    <w:p w:rsidR="00B57130" w:rsidRPr="002803A6" w:rsidRDefault="00B57130" w:rsidP="00B57130">
      <w:pPr>
        <w:rPr>
          <w:rFonts w:cs="Arial"/>
        </w:rPr>
      </w:pPr>
    </w:p>
    <w:p w:rsidR="00B57130" w:rsidRPr="002803A6" w:rsidRDefault="00B57130" w:rsidP="00B57130">
      <w:pPr>
        <w:rPr>
          <w:rFonts w:cs="Arial"/>
          <w:i/>
        </w:rPr>
      </w:pPr>
      <w:r w:rsidRPr="002803A6">
        <w:rPr>
          <w:i/>
        </w:rPr>
        <w:tab/>
        <w:t>Erstreckung des Schutzes auf folgende Arten:</w:t>
      </w:r>
    </w:p>
    <w:p w:rsidR="00B57130" w:rsidRPr="002803A6" w:rsidRDefault="00B57130" w:rsidP="00B57130">
      <w:pPr>
        <w:rPr>
          <w:rFonts w:cs="Arial"/>
          <w:i/>
        </w:rPr>
      </w:pPr>
    </w:p>
    <w:tbl>
      <w:tblPr>
        <w:tblW w:w="8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21"/>
        <w:gridCol w:w="1418"/>
      </w:tblGrid>
      <w:tr w:rsidR="00B57130" w:rsidRPr="002803A6" w:rsidTr="00B57130">
        <w:trPr>
          <w:trHeight w:val="315"/>
        </w:trPr>
        <w:tc>
          <w:tcPr>
            <w:tcW w:w="7021" w:type="dxa"/>
            <w:shd w:val="clear" w:color="auto" w:fill="auto"/>
            <w:noWrap/>
          </w:tcPr>
          <w:p w:rsidR="00B57130" w:rsidRPr="002803A6" w:rsidRDefault="00B57130" w:rsidP="00B57130">
            <w:pPr>
              <w:jc w:val="left"/>
              <w:rPr>
                <w:rFonts w:cs="Arial"/>
                <w:b/>
              </w:rPr>
            </w:pPr>
            <w:r w:rsidRPr="002803A6">
              <w:rPr>
                <w:b/>
              </w:rPr>
              <w:t>Arten</w:t>
            </w:r>
          </w:p>
        </w:tc>
        <w:tc>
          <w:tcPr>
            <w:tcW w:w="1418" w:type="dxa"/>
            <w:shd w:val="clear" w:color="auto" w:fill="auto"/>
          </w:tcPr>
          <w:p w:rsidR="00B57130" w:rsidRPr="002803A6" w:rsidRDefault="00B57130" w:rsidP="00B57130">
            <w:pPr>
              <w:jc w:val="left"/>
              <w:rPr>
                <w:rFonts w:cs="Arial"/>
                <w:b/>
              </w:rPr>
            </w:pPr>
            <w:r w:rsidRPr="002803A6">
              <w:rPr>
                <w:b/>
              </w:rPr>
              <w:t>UPOV-CODE</w:t>
            </w:r>
          </w:p>
        </w:tc>
      </w:tr>
      <w:tr w:rsidR="00B57130" w:rsidRPr="002803A6" w:rsidTr="00B57130">
        <w:trPr>
          <w:trHeight w:val="315"/>
        </w:trPr>
        <w:tc>
          <w:tcPr>
            <w:tcW w:w="7021" w:type="dxa"/>
            <w:shd w:val="clear" w:color="auto" w:fill="auto"/>
            <w:noWrap/>
            <w:hideMark/>
          </w:tcPr>
          <w:p w:rsidR="00B57130" w:rsidRPr="002803A6" w:rsidRDefault="00B57130" w:rsidP="00B57130">
            <w:pPr>
              <w:jc w:val="left"/>
              <w:rPr>
                <w:rFonts w:cs="Arial"/>
                <w:color w:val="000000"/>
              </w:rPr>
            </w:pPr>
            <w:proofErr w:type="spellStart"/>
            <w:r w:rsidRPr="002803A6">
              <w:rPr>
                <w:color w:val="000000"/>
              </w:rPr>
              <w:t>Cenchrus</w:t>
            </w:r>
            <w:proofErr w:type="spellEnd"/>
            <w:r w:rsidRPr="002803A6">
              <w:rPr>
                <w:color w:val="000000"/>
              </w:rPr>
              <w:t xml:space="preserve"> </w:t>
            </w:r>
            <w:proofErr w:type="spellStart"/>
            <w:r w:rsidRPr="002803A6">
              <w:rPr>
                <w:color w:val="000000"/>
              </w:rPr>
              <w:t>ciliaris</w:t>
            </w:r>
            <w:proofErr w:type="spellEnd"/>
            <w:r w:rsidRPr="002803A6">
              <w:rPr>
                <w:color w:val="000000"/>
              </w:rPr>
              <w:t xml:space="preserve">; C. </w:t>
            </w:r>
            <w:proofErr w:type="spellStart"/>
            <w:r w:rsidRPr="002803A6">
              <w:rPr>
                <w:color w:val="000000"/>
              </w:rPr>
              <w:t>pennisetiformis</w:t>
            </w:r>
            <w:proofErr w:type="spellEnd"/>
            <w:r w:rsidRPr="002803A6">
              <w:rPr>
                <w:color w:val="000000"/>
              </w:rPr>
              <w:t xml:space="preserve">; C. </w:t>
            </w:r>
            <w:proofErr w:type="spellStart"/>
            <w:r w:rsidRPr="002803A6">
              <w:rPr>
                <w:color w:val="000000"/>
              </w:rPr>
              <w:t>setigerus</w:t>
            </w:r>
            <w:proofErr w:type="spellEnd"/>
          </w:p>
        </w:tc>
        <w:tc>
          <w:tcPr>
            <w:tcW w:w="1418" w:type="dxa"/>
            <w:shd w:val="clear" w:color="auto" w:fill="auto"/>
            <w:hideMark/>
          </w:tcPr>
          <w:p w:rsidR="00B57130" w:rsidRPr="002803A6" w:rsidRDefault="00B57130" w:rsidP="00B57130">
            <w:pPr>
              <w:jc w:val="left"/>
              <w:rPr>
                <w:rFonts w:cs="Arial"/>
                <w:color w:val="000000"/>
              </w:rPr>
            </w:pPr>
            <w:r w:rsidRPr="002803A6">
              <w:rPr>
                <w:color w:val="000000"/>
              </w:rPr>
              <w:t>CENCH</w:t>
            </w:r>
          </w:p>
        </w:tc>
      </w:tr>
      <w:tr w:rsidR="00B57130" w:rsidRPr="002803A6" w:rsidTr="00B57130">
        <w:trPr>
          <w:trHeight w:val="315"/>
        </w:trPr>
        <w:tc>
          <w:tcPr>
            <w:tcW w:w="7021" w:type="dxa"/>
            <w:shd w:val="clear" w:color="auto" w:fill="auto"/>
            <w:noWrap/>
            <w:hideMark/>
          </w:tcPr>
          <w:p w:rsidR="00B57130" w:rsidRPr="002803A6" w:rsidRDefault="00B57130" w:rsidP="00B57130">
            <w:pPr>
              <w:jc w:val="left"/>
              <w:rPr>
                <w:rFonts w:cs="Arial"/>
                <w:color w:val="000000"/>
              </w:rPr>
            </w:pPr>
            <w:proofErr w:type="spellStart"/>
            <w:r w:rsidRPr="002803A6">
              <w:rPr>
                <w:color w:val="000000"/>
              </w:rPr>
              <w:t>Digitaria</w:t>
            </w:r>
            <w:proofErr w:type="spellEnd"/>
            <w:r w:rsidRPr="002803A6">
              <w:rPr>
                <w:color w:val="000000"/>
              </w:rPr>
              <w:t xml:space="preserve"> </w:t>
            </w:r>
            <w:proofErr w:type="spellStart"/>
            <w:r w:rsidRPr="002803A6">
              <w:rPr>
                <w:color w:val="000000"/>
              </w:rPr>
              <w:t>decumbens</w:t>
            </w:r>
            <w:proofErr w:type="spellEnd"/>
            <w:r w:rsidRPr="002803A6">
              <w:rPr>
                <w:color w:val="000000"/>
              </w:rPr>
              <w:t xml:space="preserve">; D. </w:t>
            </w:r>
            <w:proofErr w:type="spellStart"/>
            <w:r w:rsidRPr="002803A6">
              <w:rPr>
                <w:color w:val="000000"/>
              </w:rPr>
              <w:t>eriantha</w:t>
            </w:r>
            <w:proofErr w:type="spellEnd"/>
            <w:r w:rsidRPr="002803A6">
              <w:rPr>
                <w:color w:val="000000"/>
              </w:rPr>
              <w:t xml:space="preserve">; D. </w:t>
            </w:r>
            <w:proofErr w:type="spellStart"/>
            <w:r w:rsidRPr="002803A6">
              <w:rPr>
                <w:color w:val="000000"/>
              </w:rPr>
              <w:t>milanjiana</w:t>
            </w:r>
            <w:proofErr w:type="spellEnd"/>
            <w:r w:rsidRPr="002803A6">
              <w:rPr>
                <w:color w:val="000000"/>
              </w:rPr>
              <w:t xml:space="preserve">; D. </w:t>
            </w:r>
            <w:proofErr w:type="spellStart"/>
            <w:r w:rsidRPr="002803A6">
              <w:rPr>
                <w:color w:val="000000"/>
              </w:rPr>
              <w:t>pentzii</w:t>
            </w:r>
            <w:proofErr w:type="spellEnd"/>
            <w:r w:rsidRPr="002803A6">
              <w:rPr>
                <w:color w:val="000000"/>
              </w:rPr>
              <w:t xml:space="preserve">; D. </w:t>
            </w:r>
            <w:proofErr w:type="spellStart"/>
            <w:r w:rsidRPr="002803A6">
              <w:rPr>
                <w:color w:val="000000"/>
              </w:rPr>
              <w:t>smutsii</w:t>
            </w:r>
            <w:proofErr w:type="spellEnd"/>
            <w:r w:rsidRPr="002803A6">
              <w:rPr>
                <w:color w:val="000000"/>
              </w:rPr>
              <w:t xml:space="preserve">; D. </w:t>
            </w:r>
            <w:proofErr w:type="spellStart"/>
            <w:r w:rsidRPr="002803A6">
              <w:rPr>
                <w:color w:val="000000"/>
              </w:rPr>
              <w:t>swazilandensis</w:t>
            </w:r>
            <w:proofErr w:type="spellEnd"/>
            <w:r w:rsidRPr="002803A6">
              <w:rPr>
                <w:color w:val="000000"/>
              </w:rPr>
              <w:t xml:space="preserve">; D. </w:t>
            </w:r>
            <w:proofErr w:type="spellStart"/>
            <w:r w:rsidRPr="002803A6">
              <w:rPr>
                <w:color w:val="000000"/>
              </w:rPr>
              <w:t>valida</w:t>
            </w:r>
            <w:proofErr w:type="spellEnd"/>
            <w:r w:rsidRPr="002803A6">
              <w:rPr>
                <w:color w:val="000000"/>
              </w:rPr>
              <w:t xml:space="preserve"> </w:t>
            </w:r>
          </w:p>
        </w:tc>
        <w:tc>
          <w:tcPr>
            <w:tcW w:w="1418" w:type="dxa"/>
            <w:shd w:val="clear" w:color="auto" w:fill="auto"/>
            <w:hideMark/>
          </w:tcPr>
          <w:p w:rsidR="00B57130" w:rsidRPr="002803A6" w:rsidRDefault="00B57130" w:rsidP="00B57130">
            <w:pPr>
              <w:jc w:val="left"/>
              <w:rPr>
                <w:rFonts w:cs="Arial"/>
                <w:color w:val="000000"/>
              </w:rPr>
            </w:pPr>
            <w:r w:rsidRPr="002803A6">
              <w:rPr>
                <w:color w:val="000000"/>
              </w:rPr>
              <w:t>DGTRA</w:t>
            </w:r>
          </w:p>
        </w:tc>
      </w:tr>
      <w:tr w:rsidR="00B57130" w:rsidRPr="002803A6" w:rsidTr="00B57130">
        <w:trPr>
          <w:trHeight w:val="315"/>
        </w:trPr>
        <w:tc>
          <w:tcPr>
            <w:tcW w:w="7021" w:type="dxa"/>
            <w:shd w:val="clear" w:color="auto" w:fill="auto"/>
            <w:hideMark/>
          </w:tcPr>
          <w:p w:rsidR="00B57130" w:rsidRPr="002803A6" w:rsidRDefault="00B57130" w:rsidP="00B57130">
            <w:pPr>
              <w:jc w:val="left"/>
              <w:rPr>
                <w:rFonts w:cs="Arial"/>
                <w:color w:val="000000"/>
              </w:rPr>
            </w:pPr>
            <w:proofErr w:type="spellStart"/>
            <w:r w:rsidRPr="002803A6">
              <w:rPr>
                <w:color w:val="000000"/>
              </w:rPr>
              <w:t>Eruca</w:t>
            </w:r>
            <w:proofErr w:type="spellEnd"/>
            <w:r w:rsidRPr="002803A6">
              <w:rPr>
                <w:color w:val="000000"/>
              </w:rPr>
              <w:t xml:space="preserve"> </w:t>
            </w:r>
            <w:proofErr w:type="spellStart"/>
            <w:r w:rsidRPr="002803A6">
              <w:rPr>
                <w:color w:val="000000"/>
              </w:rPr>
              <w:t>sativa</w:t>
            </w:r>
            <w:proofErr w:type="spellEnd"/>
            <w:r w:rsidRPr="002803A6">
              <w:rPr>
                <w:color w:val="000000"/>
              </w:rPr>
              <w:t xml:space="preserve"> Mill.</w:t>
            </w:r>
          </w:p>
        </w:tc>
        <w:tc>
          <w:tcPr>
            <w:tcW w:w="1418" w:type="dxa"/>
            <w:shd w:val="clear" w:color="auto" w:fill="auto"/>
            <w:hideMark/>
          </w:tcPr>
          <w:p w:rsidR="00B57130" w:rsidRPr="002803A6" w:rsidRDefault="00B57130" w:rsidP="00B57130">
            <w:pPr>
              <w:jc w:val="left"/>
              <w:rPr>
                <w:rFonts w:cs="Arial"/>
                <w:color w:val="000000"/>
              </w:rPr>
            </w:pPr>
            <w:r w:rsidRPr="002803A6">
              <w:rPr>
                <w:color w:val="000000"/>
              </w:rPr>
              <w:t>ERUCA_SAT</w:t>
            </w:r>
          </w:p>
        </w:tc>
      </w:tr>
      <w:tr w:rsidR="00B57130" w:rsidRPr="002803A6" w:rsidTr="00B57130">
        <w:trPr>
          <w:trHeight w:val="315"/>
        </w:trPr>
        <w:tc>
          <w:tcPr>
            <w:tcW w:w="7021" w:type="dxa"/>
            <w:shd w:val="clear" w:color="auto" w:fill="auto"/>
            <w:hideMark/>
          </w:tcPr>
          <w:p w:rsidR="00B57130" w:rsidRPr="002803A6" w:rsidRDefault="00B57130" w:rsidP="00B57130">
            <w:pPr>
              <w:jc w:val="left"/>
              <w:rPr>
                <w:rFonts w:cs="Arial"/>
                <w:color w:val="000000"/>
              </w:rPr>
            </w:pPr>
            <w:proofErr w:type="spellStart"/>
            <w:r w:rsidRPr="002803A6">
              <w:rPr>
                <w:color w:val="000000"/>
              </w:rPr>
              <w:t>Hylocereus</w:t>
            </w:r>
            <w:proofErr w:type="spellEnd"/>
            <w:r w:rsidRPr="002803A6">
              <w:rPr>
                <w:color w:val="000000"/>
              </w:rPr>
              <w:t xml:space="preserve"> </w:t>
            </w:r>
            <w:proofErr w:type="spellStart"/>
            <w:r w:rsidRPr="002803A6">
              <w:rPr>
                <w:color w:val="000000"/>
              </w:rPr>
              <w:t>undatus</w:t>
            </w:r>
            <w:proofErr w:type="spellEnd"/>
            <w:r w:rsidRPr="002803A6">
              <w:rPr>
                <w:color w:val="000000"/>
              </w:rPr>
              <w:t xml:space="preserve"> (</w:t>
            </w:r>
            <w:proofErr w:type="spellStart"/>
            <w:r w:rsidRPr="002803A6">
              <w:rPr>
                <w:color w:val="000000"/>
              </w:rPr>
              <w:t>Haw</w:t>
            </w:r>
            <w:proofErr w:type="spellEnd"/>
            <w:r w:rsidRPr="002803A6">
              <w:rPr>
                <w:color w:val="000000"/>
              </w:rPr>
              <w:t>.) Britton &amp; Rose</w:t>
            </w:r>
          </w:p>
        </w:tc>
        <w:tc>
          <w:tcPr>
            <w:tcW w:w="1418" w:type="dxa"/>
            <w:shd w:val="clear" w:color="auto" w:fill="auto"/>
            <w:hideMark/>
          </w:tcPr>
          <w:p w:rsidR="00B57130" w:rsidRPr="002803A6" w:rsidRDefault="00B57130" w:rsidP="00B57130">
            <w:pPr>
              <w:jc w:val="left"/>
              <w:rPr>
                <w:rFonts w:cs="Arial"/>
                <w:color w:val="000000"/>
              </w:rPr>
            </w:pPr>
            <w:r w:rsidRPr="002803A6">
              <w:rPr>
                <w:color w:val="000000"/>
              </w:rPr>
              <w:t>HYLOC_UND</w:t>
            </w:r>
          </w:p>
        </w:tc>
      </w:tr>
      <w:tr w:rsidR="00B57130" w:rsidRPr="002803A6" w:rsidTr="00B57130">
        <w:trPr>
          <w:trHeight w:val="315"/>
        </w:trPr>
        <w:tc>
          <w:tcPr>
            <w:tcW w:w="7021" w:type="dxa"/>
            <w:shd w:val="clear" w:color="auto" w:fill="auto"/>
            <w:hideMark/>
          </w:tcPr>
          <w:p w:rsidR="00B57130" w:rsidRPr="002803A6" w:rsidRDefault="00B57130" w:rsidP="00B57130">
            <w:pPr>
              <w:jc w:val="left"/>
              <w:rPr>
                <w:rFonts w:cs="Arial"/>
                <w:color w:val="000000"/>
              </w:rPr>
            </w:pPr>
            <w:proofErr w:type="spellStart"/>
            <w:r w:rsidRPr="002803A6">
              <w:rPr>
                <w:color w:val="000000"/>
              </w:rPr>
              <w:t>Hylocereus</w:t>
            </w:r>
            <w:proofErr w:type="spellEnd"/>
            <w:r w:rsidRPr="002803A6">
              <w:rPr>
                <w:color w:val="000000"/>
              </w:rPr>
              <w:t xml:space="preserve"> </w:t>
            </w:r>
            <w:proofErr w:type="spellStart"/>
            <w:r w:rsidRPr="002803A6">
              <w:rPr>
                <w:color w:val="000000"/>
              </w:rPr>
              <w:t>costaricensis</w:t>
            </w:r>
            <w:proofErr w:type="spellEnd"/>
            <w:r w:rsidRPr="002803A6">
              <w:rPr>
                <w:color w:val="000000"/>
              </w:rPr>
              <w:t xml:space="preserve"> Britton &amp; Rose</w:t>
            </w:r>
          </w:p>
        </w:tc>
        <w:tc>
          <w:tcPr>
            <w:tcW w:w="1418" w:type="dxa"/>
            <w:shd w:val="clear" w:color="auto" w:fill="auto"/>
            <w:hideMark/>
          </w:tcPr>
          <w:p w:rsidR="00B57130" w:rsidRPr="002803A6" w:rsidRDefault="00B57130" w:rsidP="00B57130">
            <w:pPr>
              <w:jc w:val="left"/>
              <w:rPr>
                <w:rFonts w:cs="Arial"/>
                <w:color w:val="000000"/>
              </w:rPr>
            </w:pPr>
            <w:r w:rsidRPr="002803A6">
              <w:rPr>
                <w:color w:val="000000"/>
              </w:rPr>
              <w:t>HYLOC_COS</w:t>
            </w:r>
          </w:p>
        </w:tc>
      </w:tr>
      <w:tr w:rsidR="00B57130" w:rsidRPr="002803A6" w:rsidTr="00B57130">
        <w:trPr>
          <w:trHeight w:val="315"/>
        </w:trPr>
        <w:tc>
          <w:tcPr>
            <w:tcW w:w="7021" w:type="dxa"/>
            <w:shd w:val="clear" w:color="auto" w:fill="auto"/>
            <w:noWrap/>
            <w:hideMark/>
          </w:tcPr>
          <w:p w:rsidR="00B57130" w:rsidRPr="002803A6" w:rsidRDefault="00B57130" w:rsidP="00B57130">
            <w:pPr>
              <w:jc w:val="left"/>
              <w:rPr>
                <w:rFonts w:cs="Arial"/>
                <w:color w:val="000000"/>
              </w:rPr>
            </w:pPr>
            <w:r w:rsidRPr="002803A6">
              <w:rPr>
                <w:color w:val="000000"/>
              </w:rPr>
              <w:t xml:space="preserve">Ilex </w:t>
            </w:r>
            <w:proofErr w:type="spellStart"/>
            <w:r w:rsidRPr="002803A6">
              <w:rPr>
                <w:color w:val="000000"/>
              </w:rPr>
              <w:t>paraguariensis</w:t>
            </w:r>
            <w:proofErr w:type="spellEnd"/>
            <w:r w:rsidRPr="002803A6">
              <w:rPr>
                <w:color w:val="000000"/>
              </w:rPr>
              <w:t xml:space="preserve"> A. St.-</w:t>
            </w:r>
            <w:proofErr w:type="spellStart"/>
            <w:r w:rsidRPr="002803A6">
              <w:rPr>
                <w:color w:val="000000"/>
              </w:rPr>
              <w:t>Hil</w:t>
            </w:r>
            <w:proofErr w:type="spellEnd"/>
            <w:r w:rsidRPr="002803A6">
              <w:rPr>
                <w:color w:val="000000"/>
              </w:rPr>
              <w:t>.</w:t>
            </w:r>
          </w:p>
        </w:tc>
        <w:tc>
          <w:tcPr>
            <w:tcW w:w="1418" w:type="dxa"/>
            <w:shd w:val="clear" w:color="auto" w:fill="auto"/>
            <w:hideMark/>
          </w:tcPr>
          <w:p w:rsidR="00B57130" w:rsidRPr="002803A6" w:rsidRDefault="00B57130" w:rsidP="00B57130">
            <w:pPr>
              <w:jc w:val="left"/>
              <w:rPr>
                <w:rFonts w:cs="Arial"/>
                <w:color w:val="000000"/>
              </w:rPr>
            </w:pPr>
            <w:r w:rsidRPr="002803A6">
              <w:rPr>
                <w:color w:val="000000"/>
              </w:rPr>
              <w:t>ILEXX_PAR</w:t>
            </w:r>
          </w:p>
        </w:tc>
      </w:tr>
      <w:tr w:rsidR="00B57130" w:rsidRPr="002803A6" w:rsidTr="00B57130">
        <w:trPr>
          <w:trHeight w:val="315"/>
        </w:trPr>
        <w:tc>
          <w:tcPr>
            <w:tcW w:w="7021" w:type="dxa"/>
            <w:shd w:val="clear" w:color="auto" w:fill="auto"/>
            <w:hideMark/>
          </w:tcPr>
          <w:p w:rsidR="00B57130" w:rsidRPr="002803A6" w:rsidRDefault="00B57130" w:rsidP="00B57130">
            <w:pPr>
              <w:jc w:val="left"/>
              <w:rPr>
                <w:rFonts w:cs="Arial"/>
                <w:color w:val="000000"/>
              </w:rPr>
            </w:pPr>
            <w:proofErr w:type="spellStart"/>
            <w:r w:rsidRPr="002803A6">
              <w:rPr>
                <w:color w:val="000000"/>
              </w:rPr>
              <w:t>Selenicereus</w:t>
            </w:r>
            <w:proofErr w:type="spellEnd"/>
            <w:r w:rsidRPr="002803A6">
              <w:rPr>
                <w:color w:val="000000"/>
              </w:rPr>
              <w:t xml:space="preserve"> </w:t>
            </w:r>
            <w:proofErr w:type="spellStart"/>
            <w:r w:rsidRPr="002803A6">
              <w:rPr>
                <w:color w:val="000000"/>
              </w:rPr>
              <w:t>megalanthus</w:t>
            </w:r>
            <w:proofErr w:type="spellEnd"/>
            <w:r w:rsidRPr="002803A6">
              <w:rPr>
                <w:color w:val="000000"/>
              </w:rPr>
              <w:t xml:space="preserve"> (K. </w:t>
            </w:r>
            <w:proofErr w:type="spellStart"/>
            <w:r w:rsidRPr="002803A6">
              <w:rPr>
                <w:color w:val="000000"/>
              </w:rPr>
              <w:t>Schum</w:t>
            </w:r>
            <w:proofErr w:type="spellEnd"/>
            <w:r w:rsidRPr="002803A6">
              <w:rPr>
                <w:color w:val="000000"/>
              </w:rPr>
              <w:t xml:space="preserve">. ex </w:t>
            </w:r>
            <w:proofErr w:type="spellStart"/>
            <w:r w:rsidRPr="002803A6">
              <w:rPr>
                <w:color w:val="000000"/>
              </w:rPr>
              <w:t>Vaupel</w:t>
            </w:r>
            <w:proofErr w:type="spellEnd"/>
            <w:r w:rsidRPr="002803A6">
              <w:rPr>
                <w:color w:val="000000"/>
              </w:rPr>
              <w:t xml:space="preserve">) Moran e </w:t>
            </w:r>
            <w:proofErr w:type="spellStart"/>
            <w:r w:rsidRPr="002803A6">
              <w:rPr>
                <w:color w:val="000000"/>
              </w:rPr>
              <w:t>Selenicereus</w:t>
            </w:r>
            <w:proofErr w:type="spellEnd"/>
            <w:r w:rsidRPr="002803A6">
              <w:rPr>
                <w:color w:val="000000"/>
              </w:rPr>
              <w:t xml:space="preserve"> </w:t>
            </w:r>
            <w:proofErr w:type="spellStart"/>
            <w:r w:rsidRPr="002803A6">
              <w:rPr>
                <w:color w:val="000000"/>
              </w:rPr>
              <w:t>setaceus</w:t>
            </w:r>
            <w:proofErr w:type="spellEnd"/>
            <w:r w:rsidRPr="002803A6">
              <w:rPr>
                <w:color w:val="000000"/>
              </w:rPr>
              <w:t xml:space="preserve"> </w:t>
            </w:r>
            <w:proofErr w:type="spellStart"/>
            <w:r w:rsidRPr="002803A6">
              <w:rPr>
                <w:color w:val="000000"/>
              </w:rPr>
              <w:t>Rizz</w:t>
            </w:r>
            <w:proofErr w:type="spellEnd"/>
            <w:r w:rsidRPr="002803A6">
              <w:rPr>
                <w:color w:val="000000"/>
              </w:rPr>
              <w:t>.</w:t>
            </w:r>
          </w:p>
        </w:tc>
        <w:tc>
          <w:tcPr>
            <w:tcW w:w="1418" w:type="dxa"/>
            <w:shd w:val="clear" w:color="auto" w:fill="auto"/>
            <w:hideMark/>
          </w:tcPr>
          <w:p w:rsidR="00B57130" w:rsidRPr="002803A6" w:rsidRDefault="00B57130" w:rsidP="00B57130">
            <w:pPr>
              <w:jc w:val="left"/>
              <w:rPr>
                <w:rFonts w:cs="Arial"/>
                <w:color w:val="000000"/>
              </w:rPr>
            </w:pPr>
            <w:r w:rsidRPr="002803A6">
              <w:rPr>
                <w:color w:val="000000"/>
              </w:rPr>
              <w:t>SELEN</w:t>
            </w:r>
          </w:p>
        </w:tc>
      </w:tr>
    </w:tbl>
    <w:p w:rsidR="00B57130" w:rsidRPr="002803A6" w:rsidRDefault="00B57130" w:rsidP="00B57130">
      <w:pPr>
        <w:rPr>
          <w:rFonts w:cs="Arial"/>
        </w:rPr>
      </w:pPr>
    </w:p>
    <w:p w:rsidR="00B57130" w:rsidRPr="002803A6" w:rsidRDefault="00B57130" w:rsidP="00B57130">
      <w:pPr>
        <w:rPr>
          <w:rFonts w:cs="Arial"/>
        </w:rPr>
      </w:pPr>
      <w:r w:rsidRPr="002803A6">
        <w:t>1.3</w:t>
      </w:r>
      <w:r w:rsidRPr="002803A6">
        <w:tab/>
      </w:r>
      <w:r w:rsidR="002803A6" w:rsidRPr="002803A6">
        <w:t>Rechtsprechung</w:t>
      </w:r>
    </w:p>
    <w:p w:rsidR="00B57130" w:rsidRPr="002803A6" w:rsidRDefault="00B57130" w:rsidP="00B57130">
      <w:pPr>
        <w:rPr>
          <w:rFonts w:cs="Arial"/>
        </w:rPr>
      </w:pPr>
    </w:p>
    <w:p w:rsidR="00B57130" w:rsidRPr="002803A6" w:rsidRDefault="00B57130" w:rsidP="00B57130">
      <w:pPr>
        <w:rPr>
          <w:rFonts w:cs="Arial"/>
        </w:rPr>
      </w:pPr>
      <w:r w:rsidRPr="002803A6">
        <w:tab/>
        <w:t>Keine Anmerkungen.</w:t>
      </w:r>
    </w:p>
    <w:p w:rsidR="00B57130" w:rsidRPr="002803A6" w:rsidRDefault="00B57130" w:rsidP="00B57130">
      <w:pPr>
        <w:rPr>
          <w:rFonts w:cs="Arial"/>
        </w:rPr>
      </w:pPr>
    </w:p>
    <w:p w:rsidR="00B57130" w:rsidRPr="002803A6" w:rsidRDefault="00B57130" w:rsidP="00B57130">
      <w:pPr>
        <w:rPr>
          <w:rFonts w:cs="Arial"/>
        </w:rPr>
      </w:pPr>
    </w:p>
    <w:p w:rsidR="00B57130" w:rsidRPr="002803A6" w:rsidRDefault="00B57130" w:rsidP="00B57130">
      <w:pPr>
        <w:rPr>
          <w:rFonts w:cs="Arial"/>
        </w:rPr>
      </w:pPr>
      <w:r w:rsidRPr="002803A6">
        <w:t>2.</w:t>
      </w:r>
      <w:r w:rsidRPr="002803A6">
        <w:tab/>
      </w:r>
      <w:r w:rsidRPr="002803A6">
        <w:rPr>
          <w:u w:val="single"/>
        </w:rPr>
        <w:t>Zusammenarbeit bei der Prüfung</w:t>
      </w:r>
    </w:p>
    <w:p w:rsidR="00B57130" w:rsidRPr="002803A6" w:rsidRDefault="00B57130" w:rsidP="00B57130">
      <w:pPr>
        <w:rPr>
          <w:rFonts w:cs="Arial"/>
        </w:rPr>
      </w:pPr>
    </w:p>
    <w:p w:rsidR="00B57130" w:rsidRPr="002803A6" w:rsidRDefault="00B57130" w:rsidP="00B57130">
      <w:pPr>
        <w:rPr>
          <w:rFonts w:cs="Arial"/>
        </w:rPr>
      </w:pPr>
      <w:r w:rsidRPr="002803A6">
        <w:t>Neue Zusammenarbeit wie folgt:</w:t>
      </w:r>
    </w:p>
    <w:p w:rsidR="00B57130" w:rsidRPr="002803A6" w:rsidRDefault="00B57130" w:rsidP="00B57130">
      <w:pPr>
        <w:rPr>
          <w:rFonts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5"/>
        <w:gridCol w:w="1701"/>
        <w:gridCol w:w="2263"/>
      </w:tblGrid>
      <w:tr w:rsidR="00B57130" w:rsidRPr="002803A6" w:rsidTr="00982A9E">
        <w:trPr>
          <w:trHeight w:val="255"/>
        </w:trPr>
        <w:tc>
          <w:tcPr>
            <w:tcW w:w="5245" w:type="dxa"/>
            <w:shd w:val="clear" w:color="auto" w:fill="auto"/>
          </w:tcPr>
          <w:p w:rsidR="00B57130" w:rsidRPr="002803A6" w:rsidRDefault="00B57130" w:rsidP="00B57130">
            <w:pPr>
              <w:jc w:val="left"/>
              <w:rPr>
                <w:rFonts w:cs="Arial"/>
                <w:b/>
              </w:rPr>
            </w:pPr>
            <w:r w:rsidRPr="002803A6">
              <w:rPr>
                <w:b/>
              </w:rPr>
              <w:t>Arten</w:t>
            </w:r>
          </w:p>
        </w:tc>
        <w:tc>
          <w:tcPr>
            <w:tcW w:w="1701" w:type="dxa"/>
            <w:shd w:val="clear" w:color="auto" w:fill="auto"/>
          </w:tcPr>
          <w:p w:rsidR="00B57130" w:rsidRPr="002803A6" w:rsidRDefault="00B57130" w:rsidP="00B57130">
            <w:pPr>
              <w:jc w:val="left"/>
              <w:rPr>
                <w:rFonts w:cs="Arial"/>
                <w:b/>
              </w:rPr>
            </w:pPr>
            <w:r w:rsidRPr="002803A6">
              <w:rPr>
                <w:b/>
              </w:rPr>
              <w:t>UPOV-CODE</w:t>
            </w:r>
          </w:p>
        </w:tc>
        <w:tc>
          <w:tcPr>
            <w:tcW w:w="2263" w:type="dxa"/>
            <w:shd w:val="clear" w:color="auto" w:fill="auto"/>
          </w:tcPr>
          <w:p w:rsidR="00B57130" w:rsidRPr="002803A6" w:rsidRDefault="00B57130" w:rsidP="00982A9E">
            <w:pPr>
              <w:jc w:val="center"/>
              <w:rPr>
                <w:rFonts w:cs="Arial"/>
                <w:b/>
              </w:rPr>
            </w:pPr>
            <w:r w:rsidRPr="002803A6">
              <w:rPr>
                <w:b/>
              </w:rPr>
              <w:t>Anbietende Behörde/ Prüfungsamt</w:t>
            </w:r>
          </w:p>
        </w:tc>
      </w:tr>
      <w:tr w:rsidR="00B57130" w:rsidRPr="002803A6" w:rsidTr="00982A9E">
        <w:trPr>
          <w:trHeight w:val="255"/>
        </w:trPr>
        <w:tc>
          <w:tcPr>
            <w:tcW w:w="5245" w:type="dxa"/>
            <w:shd w:val="clear" w:color="auto" w:fill="auto"/>
            <w:hideMark/>
          </w:tcPr>
          <w:p w:rsidR="00B57130" w:rsidRPr="002803A6" w:rsidRDefault="00B57130" w:rsidP="00B57130">
            <w:pPr>
              <w:jc w:val="left"/>
              <w:rPr>
                <w:rFonts w:cs="Arial"/>
              </w:rPr>
            </w:pPr>
            <w:proofErr w:type="spellStart"/>
            <w:r w:rsidRPr="002803A6">
              <w:t>Mangifera</w:t>
            </w:r>
            <w:proofErr w:type="spellEnd"/>
            <w:r w:rsidRPr="002803A6">
              <w:t xml:space="preserve"> </w:t>
            </w:r>
            <w:proofErr w:type="spellStart"/>
            <w:r w:rsidRPr="002803A6">
              <w:t>indica</w:t>
            </w:r>
            <w:proofErr w:type="spellEnd"/>
          </w:p>
        </w:tc>
        <w:tc>
          <w:tcPr>
            <w:tcW w:w="1701" w:type="dxa"/>
            <w:shd w:val="clear" w:color="auto" w:fill="auto"/>
            <w:hideMark/>
          </w:tcPr>
          <w:p w:rsidR="00B57130" w:rsidRPr="002803A6" w:rsidRDefault="00B57130" w:rsidP="00B57130">
            <w:pPr>
              <w:jc w:val="left"/>
              <w:rPr>
                <w:rFonts w:cs="Arial"/>
              </w:rPr>
            </w:pPr>
            <w:r w:rsidRPr="002803A6">
              <w:t>MANGI_IND</w:t>
            </w:r>
          </w:p>
        </w:tc>
        <w:tc>
          <w:tcPr>
            <w:tcW w:w="2263" w:type="dxa"/>
            <w:shd w:val="clear" w:color="auto" w:fill="auto"/>
          </w:tcPr>
          <w:p w:rsidR="00B57130" w:rsidRPr="002803A6" w:rsidRDefault="00B57130" w:rsidP="00B57130">
            <w:pPr>
              <w:jc w:val="center"/>
              <w:rPr>
                <w:rFonts w:cs="Arial"/>
              </w:rPr>
            </w:pPr>
            <w:r w:rsidRPr="002803A6">
              <w:t>AU</w:t>
            </w:r>
          </w:p>
        </w:tc>
      </w:tr>
      <w:tr w:rsidR="00B57130" w:rsidRPr="002803A6" w:rsidTr="00982A9E">
        <w:trPr>
          <w:trHeight w:val="255"/>
        </w:trPr>
        <w:tc>
          <w:tcPr>
            <w:tcW w:w="5245" w:type="dxa"/>
            <w:shd w:val="clear" w:color="auto" w:fill="auto"/>
            <w:hideMark/>
          </w:tcPr>
          <w:p w:rsidR="00B57130" w:rsidRPr="002803A6" w:rsidRDefault="00B57130" w:rsidP="00B57130">
            <w:pPr>
              <w:jc w:val="left"/>
              <w:rPr>
                <w:rFonts w:cs="Arial"/>
              </w:rPr>
            </w:pPr>
            <w:r w:rsidRPr="002803A6">
              <w:t xml:space="preserve">Olea </w:t>
            </w:r>
            <w:proofErr w:type="spellStart"/>
            <w:r w:rsidRPr="002803A6">
              <w:t>europaea</w:t>
            </w:r>
            <w:proofErr w:type="spellEnd"/>
            <w:r w:rsidRPr="002803A6">
              <w:t xml:space="preserve"> L.</w:t>
            </w:r>
          </w:p>
        </w:tc>
        <w:tc>
          <w:tcPr>
            <w:tcW w:w="1701" w:type="dxa"/>
            <w:shd w:val="clear" w:color="auto" w:fill="auto"/>
            <w:hideMark/>
          </w:tcPr>
          <w:p w:rsidR="00B57130" w:rsidRPr="002803A6" w:rsidRDefault="00B57130" w:rsidP="00B57130">
            <w:pPr>
              <w:jc w:val="left"/>
              <w:rPr>
                <w:rFonts w:cs="Arial"/>
              </w:rPr>
            </w:pPr>
            <w:r w:rsidRPr="002803A6">
              <w:t>OLEAA_EUR</w:t>
            </w:r>
          </w:p>
        </w:tc>
        <w:tc>
          <w:tcPr>
            <w:tcW w:w="2263" w:type="dxa"/>
            <w:shd w:val="clear" w:color="auto" w:fill="auto"/>
          </w:tcPr>
          <w:p w:rsidR="00B57130" w:rsidRPr="002803A6" w:rsidRDefault="00B57130" w:rsidP="00B57130">
            <w:pPr>
              <w:jc w:val="center"/>
              <w:rPr>
                <w:rFonts w:cs="Arial"/>
              </w:rPr>
            </w:pPr>
            <w:r w:rsidRPr="002803A6">
              <w:t>ES</w:t>
            </w:r>
          </w:p>
        </w:tc>
      </w:tr>
      <w:tr w:rsidR="00B57130" w:rsidRPr="002803A6" w:rsidTr="00982A9E">
        <w:trPr>
          <w:trHeight w:val="271"/>
        </w:trPr>
        <w:tc>
          <w:tcPr>
            <w:tcW w:w="5245" w:type="dxa"/>
            <w:shd w:val="clear" w:color="auto" w:fill="auto"/>
            <w:hideMark/>
          </w:tcPr>
          <w:p w:rsidR="00B57130" w:rsidRPr="002803A6" w:rsidRDefault="00B57130" w:rsidP="00B57130">
            <w:pPr>
              <w:jc w:val="left"/>
              <w:rPr>
                <w:rFonts w:cs="Arial"/>
              </w:rPr>
            </w:pPr>
            <w:proofErr w:type="spellStart"/>
            <w:r w:rsidRPr="002803A6">
              <w:t>Pyrus</w:t>
            </w:r>
            <w:proofErr w:type="spellEnd"/>
            <w:r w:rsidRPr="002803A6">
              <w:t xml:space="preserve"> </w:t>
            </w:r>
            <w:proofErr w:type="spellStart"/>
            <w:r w:rsidRPr="002803A6">
              <w:t>communis</w:t>
            </w:r>
            <w:proofErr w:type="spellEnd"/>
            <w:r w:rsidRPr="002803A6">
              <w:t xml:space="preserve"> L. </w:t>
            </w:r>
            <w:proofErr w:type="spellStart"/>
            <w:r w:rsidRPr="002803A6">
              <w:t>Pyrus</w:t>
            </w:r>
            <w:proofErr w:type="spellEnd"/>
            <w:r w:rsidRPr="002803A6">
              <w:t xml:space="preserve"> </w:t>
            </w:r>
            <w:proofErr w:type="spellStart"/>
            <w:r w:rsidRPr="002803A6">
              <w:t>communis</w:t>
            </w:r>
            <w:proofErr w:type="spellEnd"/>
            <w:r w:rsidRPr="002803A6">
              <w:t xml:space="preserve"> L. </w:t>
            </w:r>
            <w:proofErr w:type="spellStart"/>
            <w:r w:rsidRPr="002803A6">
              <w:t>var</w:t>
            </w:r>
            <w:proofErr w:type="spellEnd"/>
            <w:r w:rsidRPr="002803A6">
              <w:t xml:space="preserve"> </w:t>
            </w:r>
            <w:proofErr w:type="spellStart"/>
            <w:r w:rsidRPr="002803A6">
              <w:t>sativa</w:t>
            </w:r>
            <w:proofErr w:type="spellEnd"/>
            <w:r w:rsidRPr="002803A6">
              <w:t xml:space="preserve"> DC.</w:t>
            </w:r>
          </w:p>
        </w:tc>
        <w:tc>
          <w:tcPr>
            <w:tcW w:w="1701" w:type="dxa"/>
            <w:shd w:val="clear" w:color="auto" w:fill="auto"/>
            <w:hideMark/>
          </w:tcPr>
          <w:p w:rsidR="00B57130" w:rsidRPr="002803A6" w:rsidRDefault="00B57130" w:rsidP="00B57130">
            <w:pPr>
              <w:jc w:val="left"/>
              <w:rPr>
                <w:rFonts w:cs="Arial"/>
              </w:rPr>
            </w:pPr>
            <w:r w:rsidRPr="002803A6">
              <w:t>PYRUS_COM</w:t>
            </w:r>
          </w:p>
        </w:tc>
        <w:tc>
          <w:tcPr>
            <w:tcW w:w="2263" w:type="dxa"/>
            <w:shd w:val="clear" w:color="auto" w:fill="auto"/>
          </w:tcPr>
          <w:p w:rsidR="00B57130" w:rsidRPr="002803A6" w:rsidRDefault="00B57130" w:rsidP="00B57130">
            <w:pPr>
              <w:jc w:val="center"/>
              <w:rPr>
                <w:rFonts w:cs="Arial"/>
              </w:rPr>
            </w:pPr>
            <w:r w:rsidRPr="002803A6">
              <w:t>FR</w:t>
            </w:r>
          </w:p>
        </w:tc>
      </w:tr>
      <w:tr w:rsidR="00B57130" w:rsidRPr="002803A6" w:rsidTr="00982A9E">
        <w:trPr>
          <w:trHeight w:val="510"/>
        </w:trPr>
        <w:tc>
          <w:tcPr>
            <w:tcW w:w="5245" w:type="dxa"/>
            <w:shd w:val="clear" w:color="auto" w:fill="auto"/>
            <w:hideMark/>
          </w:tcPr>
          <w:p w:rsidR="00B57130" w:rsidRPr="002803A6" w:rsidRDefault="00B57130" w:rsidP="00B57130">
            <w:pPr>
              <w:jc w:val="left"/>
              <w:rPr>
                <w:rFonts w:cs="Arial"/>
              </w:rPr>
            </w:pPr>
            <w:r w:rsidRPr="002803A6">
              <w:t xml:space="preserve">Malus </w:t>
            </w:r>
            <w:proofErr w:type="spellStart"/>
            <w:r w:rsidRPr="002803A6">
              <w:t>domestica</w:t>
            </w:r>
            <w:proofErr w:type="spellEnd"/>
            <w:r w:rsidRPr="002803A6">
              <w:t xml:space="preserve"> </w:t>
            </w:r>
            <w:proofErr w:type="spellStart"/>
            <w:r w:rsidRPr="002803A6">
              <w:t>Borkh</w:t>
            </w:r>
            <w:proofErr w:type="spellEnd"/>
            <w:r w:rsidRPr="002803A6">
              <w:t xml:space="preserve">. Malus </w:t>
            </w:r>
            <w:proofErr w:type="spellStart"/>
            <w:r w:rsidRPr="002803A6">
              <w:t>pumila</w:t>
            </w:r>
            <w:proofErr w:type="spellEnd"/>
            <w:r w:rsidRPr="002803A6">
              <w:t xml:space="preserve"> Mill </w:t>
            </w:r>
            <w:proofErr w:type="spellStart"/>
            <w:r w:rsidRPr="002803A6">
              <w:t>var</w:t>
            </w:r>
            <w:proofErr w:type="spellEnd"/>
            <w:r w:rsidRPr="002803A6">
              <w:t xml:space="preserve">. </w:t>
            </w:r>
            <w:proofErr w:type="spellStart"/>
            <w:r w:rsidRPr="002803A6">
              <w:t>domestica</w:t>
            </w:r>
            <w:proofErr w:type="spellEnd"/>
            <w:r w:rsidRPr="002803A6">
              <w:t xml:space="preserve"> </w:t>
            </w:r>
            <w:proofErr w:type="spellStart"/>
            <w:r w:rsidRPr="002803A6">
              <w:t>Pyrus</w:t>
            </w:r>
            <w:proofErr w:type="spellEnd"/>
            <w:r w:rsidRPr="002803A6">
              <w:t xml:space="preserve"> </w:t>
            </w:r>
            <w:proofErr w:type="spellStart"/>
            <w:r w:rsidRPr="002803A6">
              <w:t>malus</w:t>
            </w:r>
            <w:proofErr w:type="spellEnd"/>
            <w:r w:rsidRPr="002803A6">
              <w:t xml:space="preserve"> L.</w:t>
            </w:r>
          </w:p>
        </w:tc>
        <w:tc>
          <w:tcPr>
            <w:tcW w:w="1701" w:type="dxa"/>
            <w:shd w:val="clear" w:color="auto" w:fill="auto"/>
            <w:hideMark/>
          </w:tcPr>
          <w:p w:rsidR="00B57130" w:rsidRPr="002803A6" w:rsidRDefault="00B57130" w:rsidP="00B57130">
            <w:pPr>
              <w:jc w:val="left"/>
              <w:rPr>
                <w:rFonts w:cs="Arial"/>
              </w:rPr>
            </w:pPr>
            <w:r w:rsidRPr="002803A6">
              <w:t>MALUS_DOM</w:t>
            </w:r>
          </w:p>
        </w:tc>
        <w:tc>
          <w:tcPr>
            <w:tcW w:w="2263" w:type="dxa"/>
            <w:shd w:val="clear" w:color="auto" w:fill="auto"/>
          </w:tcPr>
          <w:p w:rsidR="00B57130" w:rsidRPr="002803A6" w:rsidRDefault="00B57130" w:rsidP="00B57130">
            <w:pPr>
              <w:jc w:val="center"/>
              <w:rPr>
                <w:rFonts w:cs="Arial"/>
              </w:rPr>
            </w:pPr>
            <w:r w:rsidRPr="002803A6">
              <w:t>DE</w:t>
            </w:r>
          </w:p>
        </w:tc>
      </w:tr>
      <w:tr w:rsidR="00B57130" w:rsidRPr="002803A6" w:rsidTr="00982A9E">
        <w:trPr>
          <w:trHeight w:val="510"/>
        </w:trPr>
        <w:tc>
          <w:tcPr>
            <w:tcW w:w="5245" w:type="dxa"/>
            <w:shd w:val="clear" w:color="auto" w:fill="auto"/>
            <w:hideMark/>
          </w:tcPr>
          <w:p w:rsidR="00B57130" w:rsidRPr="002803A6" w:rsidRDefault="00B57130" w:rsidP="00B57130">
            <w:pPr>
              <w:jc w:val="left"/>
              <w:rPr>
                <w:rFonts w:cs="Arial"/>
              </w:rPr>
            </w:pPr>
            <w:r w:rsidRPr="002803A6">
              <w:t xml:space="preserve">Malus </w:t>
            </w:r>
            <w:proofErr w:type="spellStart"/>
            <w:r w:rsidRPr="002803A6">
              <w:t>domestica</w:t>
            </w:r>
            <w:proofErr w:type="spellEnd"/>
            <w:r w:rsidRPr="002803A6">
              <w:t xml:space="preserve"> </w:t>
            </w:r>
            <w:proofErr w:type="spellStart"/>
            <w:r w:rsidRPr="002803A6">
              <w:t>Borkh</w:t>
            </w:r>
            <w:proofErr w:type="spellEnd"/>
            <w:r w:rsidRPr="002803A6">
              <w:t xml:space="preserve">. Malus </w:t>
            </w:r>
            <w:proofErr w:type="spellStart"/>
            <w:r w:rsidRPr="002803A6">
              <w:t>pumila</w:t>
            </w:r>
            <w:proofErr w:type="spellEnd"/>
            <w:r w:rsidRPr="002803A6">
              <w:t xml:space="preserve"> Mill </w:t>
            </w:r>
            <w:proofErr w:type="spellStart"/>
            <w:r w:rsidRPr="002803A6">
              <w:t>var</w:t>
            </w:r>
            <w:proofErr w:type="spellEnd"/>
            <w:r w:rsidRPr="002803A6">
              <w:t xml:space="preserve">. </w:t>
            </w:r>
            <w:proofErr w:type="spellStart"/>
            <w:r w:rsidRPr="002803A6">
              <w:t>domestica</w:t>
            </w:r>
            <w:proofErr w:type="spellEnd"/>
            <w:r w:rsidRPr="002803A6">
              <w:t xml:space="preserve"> </w:t>
            </w:r>
            <w:proofErr w:type="spellStart"/>
            <w:r w:rsidRPr="002803A6">
              <w:t>Pyrus</w:t>
            </w:r>
            <w:proofErr w:type="spellEnd"/>
            <w:r w:rsidRPr="002803A6">
              <w:t xml:space="preserve"> </w:t>
            </w:r>
            <w:proofErr w:type="spellStart"/>
            <w:r w:rsidRPr="002803A6">
              <w:t>malus</w:t>
            </w:r>
            <w:proofErr w:type="spellEnd"/>
            <w:r w:rsidRPr="002803A6">
              <w:t xml:space="preserve"> L.</w:t>
            </w:r>
          </w:p>
        </w:tc>
        <w:tc>
          <w:tcPr>
            <w:tcW w:w="1701" w:type="dxa"/>
            <w:shd w:val="clear" w:color="auto" w:fill="auto"/>
            <w:hideMark/>
          </w:tcPr>
          <w:p w:rsidR="00B57130" w:rsidRPr="002803A6" w:rsidRDefault="00B57130" w:rsidP="00B57130">
            <w:pPr>
              <w:jc w:val="left"/>
              <w:rPr>
                <w:rFonts w:cs="Arial"/>
              </w:rPr>
            </w:pPr>
            <w:r w:rsidRPr="002803A6">
              <w:t>MALUS_DOM</w:t>
            </w:r>
          </w:p>
        </w:tc>
        <w:tc>
          <w:tcPr>
            <w:tcW w:w="2263" w:type="dxa"/>
            <w:shd w:val="clear" w:color="auto" w:fill="auto"/>
          </w:tcPr>
          <w:p w:rsidR="00B57130" w:rsidRPr="002803A6" w:rsidRDefault="00B57130" w:rsidP="00B57130">
            <w:pPr>
              <w:jc w:val="center"/>
              <w:rPr>
                <w:rFonts w:cs="Arial"/>
              </w:rPr>
            </w:pPr>
            <w:r w:rsidRPr="002803A6">
              <w:t>FR</w:t>
            </w:r>
          </w:p>
        </w:tc>
      </w:tr>
      <w:tr w:rsidR="00B57130" w:rsidRPr="002803A6" w:rsidTr="00982A9E">
        <w:trPr>
          <w:trHeight w:val="77"/>
        </w:trPr>
        <w:tc>
          <w:tcPr>
            <w:tcW w:w="5245" w:type="dxa"/>
            <w:shd w:val="clear" w:color="auto" w:fill="auto"/>
            <w:hideMark/>
          </w:tcPr>
          <w:p w:rsidR="00B57130" w:rsidRPr="002803A6" w:rsidRDefault="00B57130" w:rsidP="00B57130">
            <w:pPr>
              <w:jc w:val="left"/>
              <w:rPr>
                <w:rFonts w:cs="Arial"/>
              </w:rPr>
            </w:pPr>
            <w:r w:rsidRPr="002803A6">
              <w:t xml:space="preserve">Solanum </w:t>
            </w:r>
            <w:proofErr w:type="spellStart"/>
            <w:r w:rsidRPr="002803A6">
              <w:t>lycopersicum</w:t>
            </w:r>
            <w:proofErr w:type="spellEnd"/>
            <w:r w:rsidRPr="002803A6">
              <w:t xml:space="preserve"> L. </w:t>
            </w:r>
            <w:proofErr w:type="spellStart"/>
            <w:r w:rsidRPr="002803A6">
              <w:t>Lycopersicon</w:t>
            </w:r>
            <w:proofErr w:type="spellEnd"/>
            <w:r w:rsidRPr="002803A6">
              <w:t xml:space="preserve"> </w:t>
            </w:r>
            <w:proofErr w:type="spellStart"/>
            <w:r w:rsidRPr="002803A6">
              <w:t>esculentum</w:t>
            </w:r>
            <w:proofErr w:type="spellEnd"/>
            <w:r w:rsidRPr="002803A6">
              <w:t xml:space="preserve"> Mill.</w:t>
            </w:r>
          </w:p>
        </w:tc>
        <w:tc>
          <w:tcPr>
            <w:tcW w:w="1701" w:type="dxa"/>
            <w:shd w:val="clear" w:color="auto" w:fill="auto"/>
            <w:hideMark/>
          </w:tcPr>
          <w:p w:rsidR="00B57130" w:rsidRPr="002803A6" w:rsidRDefault="00B57130" w:rsidP="00B57130">
            <w:pPr>
              <w:jc w:val="left"/>
              <w:rPr>
                <w:rFonts w:cs="Arial"/>
              </w:rPr>
            </w:pPr>
            <w:r w:rsidRPr="002803A6">
              <w:t>SOLAN_LYC</w:t>
            </w:r>
          </w:p>
        </w:tc>
        <w:tc>
          <w:tcPr>
            <w:tcW w:w="2263" w:type="dxa"/>
            <w:shd w:val="clear" w:color="auto" w:fill="auto"/>
          </w:tcPr>
          <w:p w:rsidR="00B57130" w:rsidRPr="002803A6" w:rsidRDefault="00B57130" w:rsidP="00B57130">
            <w:pPr>
              <w:jc w:val="center"/>
              <w:rPr>
                <w:rFonts w:cs="Arial"/>
              </w:rPr>
            </w:pPr>
            <w:r w:rsidRPr="002803A6">
              <w:t>JP</w:t>
            </w:r>
          </w:p>
        </w:tc>
      </w:tr>
      <w:tr w:rsidR="00B57130" w:rsidRPr="002803A6" w:rsidTr="00982A9E">
        <w:trPr>
          <w:trHeight w:val="255"/>
        </w:trPr>
        <w:tc>
          <w:tcPr>
            <w:tcW w:w="5245" w:type="dxa"/>
            <w:shd w:val="clear" w:color="auto" w:fill="auto"/>
            <w:hideMark/>
          </w:tcPr>
          <w:p w:rsidR="00B57130" w:rsidRPr="002803A6" w:rsidRDefault="00B57130" w:rsidP="00B57130">
            <w:pPr>
              <w:jc w:val="left"/>
              <w:rPr>
                <w:rFonts w:cs="Arial"/>
              </w:rPr>
            </w:pPr>
            <w:r w:rsidRPr="002803A6">
              <w:t>Rosa L.</w:t>
            </w:r>
          </w:p>
        </w:tc>
        <w:tc>
          <w:tcPr>
            <w:tcW w:w="1701" w:type="dxa"/>
            <w:shd w:val="clear" w:color="auto" w:fill="auto"/>
            <w:hideMark/>
          </w:tcPr>
          <w:p w:rsidR="00B57130" w:rsidRPr="002803A6" w:rsidRDefault="00B57130" w:rsidP="00B57130">
            <w:pPr>
              <w:jc w:val="left"/>
              <w:rPr>
                <w:rFonts w:cs="Arial"/>
              </w:rPr>
            </w:pPr>
            <w:r w:rsidRPr="002803A6">
              <w:t>ROSAA</w:t>
            </w:r>
          </w:p>
        </w:tc>
        <w:tc>
          <w:tcPr>
            <w:tcW w:w="2263" w:type="dxa"/>
            <w:shd w:val="clear" w:color="auto" w:fill="auto"/>
          </w:tcPr>
          <w:p w:rsidR="00B57130" w:rsidRPr="002803A6" w:rsidRDefault="00B57130" w:rsidP="00B57130">
            <w:pPr>
              <w:jc w:val="center"/>
              <w:rPr>
                <w:rFonts w:cs="Arial"/>
              </w:rPr>
            </w:pPr>
            <w:r w:rsidRPr="002803A6">
              <w:t>JP</w:t>
            </w:r>
          </w:p>
        </w:tc>
      </w:tr>
      <w:tr w:rsidR="00B57130" w:rsidRPr="002803A6" w:rsidTr="00982A9E">
        <w:trPr>
          <w:trHeight w:val="255"/>
        </w:trPr>
        <w:tc>
          <w:tcPr>
            <w:tcW w:w="5245" w:type="dxa"/>
            <w:shd w:val="clear" w:color="auto" w:fill="auto"/>
            <w:hideMark/>
          </w:tcPr>
          <w:p w:rsidR="00B57130" w:rsidRPr="002803A6" w:rsidRDefault="00B57130" w:rsidP="00B57130">
            <w:pPr>
              <w:jc w:val="left"/>
              <w:rPr>
                <w:rFonts w:cs="Arial"/>
              </w:rPr>
            </w:pPr>
            <w:proofErr w:type="spellStart"/>
            <w:r w:rsidRPr="002803A6">
              <w:t>Cymbidium</w:t>
            </w:r>
            <w:proofErr w:type="spellEnd"/>
            <w:r w:rsidRPr="002803A6">
              <w:t xml:space="preserve"> </w:t>
            </w:r>
            <w:proofErr w:type="spellStart"/>
            <w:r w:rsidRPr="002803A6">
              <w:t>Sw</w:t>
            </w:r>
            <w:proofErr w:type="spellEnd"/>
            <w:r w:rsidRPr="002803A6">
              <w:t>.</w:t>
            </w:r>
          </w:p>
        </w:tc>
        <w:tc>
          <w:tcPr>
            <w:tcW w:w="1701" w:type="dxa"/>
            <w:shd w:val="clear" w:color="auto" w:fill="auto"/>
            <w:hideMark/>
          </w:tcPr>
          <w:p w:rsidR="00B57130" w:rsidRPr="002803A6" w:rsidRDefault="00B57130" w:rsidP="00B57130">
            <w:pPr>
              <w:jc w:val="left"/>
              <w:rPr>
                <w:rFonts w:cs="Arial"/>
              </w:rPr>
            </w:pPr>
            <w:r w:rsidRPr="002803A6">
              <w:t>CYMBI</w:t>
            </w:r>
          </w:p>
        </w:tc>
        <w:tc>
          <w:tcPr>
            <w:tcW w:w="2263" w:type="dxa"/>
            <w:shd w:val="clear" w:color="auto" w:fill="auto"/>
          </w:tcPr>
          <w:p w:rsidR="00B57130" w:rsidRPr="002803A6" w:rsidRDefault="00B57130" w:rsidP="00B57130">
            <w:pPr>
              <w:jc w:val="center"/>
              <w:rPr>
                <w:rFonts w:cs="Arial"/>
              </w:rPr>
            </w:pPr>
            <w:r w:rsidRPr="002803A6">
              <w:t>JP</w:t>
            </w:r>
          </w:p>
        </w:tc>
      </w:tr>
    </w:tbl>
    <w:p w:rsidR="00B57130" w:rsidRPr="002803A6" w:rsidRDefault="00B57130" w:rsidP="00B57130">
      <w:pPr>
        <w:rPr>
          <w:rFonts w:cs="Arial"/>
        </w:rPr>
      </w:pPr>
    </w:p>
    <w:p w:rsidR="00B57130" w:rsidRPr="002803A6" w:rsidRDefault="00B57130" w:rsidP="00B57130">
      <w:pPr>
        <w:rPr>
          <w:rFonts w:cs="Arial"/>
        </w:rPr>
      </w:pPr>
    </w:p>
    <w:p w:rsidR="00B57130" w:rsidRPr="002803A6" w:rsidRDefault="00B57130" w:rsidP="00B57130">
      <w:pPr>
        <w:rPr>
          <w:rFonts w:cs="Arial"/>
          <w:u w:val="single"/>
        </w:rPr>
      </w:pPr>
      <w:r w:rsidRPr="002803A6">
        <w:t>3.</w:t>
      </w:r>
      <w:r w:rsidRPr="002803A6">
        <w:tab/>
      </w:r>
      <w:r w:rsidRPr="002803A6">
        <w:rPr>
          <w:u w:val="single"/>
        </w:rPr>
        <w:t>Lage auf dem Gebiet der Verwaltung</w:t>
      </w:r>
    </w:p>
    <w:p w:rsidR="00B57130" w:rsidRPr="002803A6" w:rsidRDefault="00B57130" w:rsidP="00B57130">
      <w:pPr>
        <w:rPr>
          <w:rFonts w:cs="Arial"/>
        </w:rPr>
      </w:pPr>
    </w:p>
    <w:p w:rsidR="00B57130" w:rsidRPr="002803A6" w:rsidRDefault="00B57130" w:rsidP="00B57130">
      <w:pPr>
        <w:rPr>
          <w:rFonts w:cs="Arial"/>
          <w:color w:val="000000"/>
        </w:rPr>
      </w:pPr>
      <w:r w:rsidRPr="002803A6">
        <w:rPr>
          <w:color w:val="000000"/>
        </w:rPr>
        <w:t>Seit Ende 2018 hat das SNPC die elektronische Sortenschutz-Anwendung vollständig umgesetzt und das Amt arbeitet derzeit papierlos.</w:t>
      </w:r>
    </w:p>
    <w:p w:rsidR="00B57130" w:rsidRPr="002803A6" w:rsidRDefault="00B57130" w:rsidP="00B57130">
      <w:pPr>
        <w:rPr>
          <w:rFonts w:cs="Arial"/>
        </w:rPr>
      </w:pPr>
    </w:p>
    <w:p w:rsidR="00B57130" w:rsidRPr="002803A6" w:rsidRDefault="00B57130" w:rsidP="00B57130">
      <w:pPr>
        <w:rPr>
          <w:rFonts w:cs="Arial"/>
        </w:rPr>
      </w:pPr>
    </w:p>
    <w:p w:rsidR="00B57130" w:rsidRPr="002803A6" w:rsidRDefault="00B57130" w:rsidP="00B57130">
      <w:pPr>
        <w:keepNext/>
        <w:rPr>
          <w:rFonts w:cs="Arial"/>
        </w:rPr>
      </w:pPr>
      <w:r w:rsidRPr="002803A6">
        <w:lastRenderedPageBreak/>
        <w:t>4.</w:t>
      </w:r>
      <w:r w:rsidRPr="002803A6">
        <w:tab/>
      </w:r>
      <w:r w:rsidRPr="002803A6">
        <w:rPr>
          <w:u w:val="single"/>
        </w:rPr>
        <w:t>Lage auf dem Gebiet der Technik</w:t>
      </w:r>
    </w:p>
    <w:p w:rsidR="00B57130" w:rsidRPr="002803A6" w:rsidRDefault="00B57130" w:rsidP="00B57130">
      <w:pPr>
        <w:keepNext/>
        <w:rPr>
          <w:rFonts w:cs="Arial"/>
        </w:rPr>
      </w:pPr>
    </w:p>
    <w:p w:rsidR="00B57130" w:rsidRPr="002803A6" w:rsidRDefault="00B57130" w:rsidP="00B57130">
      <w:pPr>
        <w:rPr>
          <w:rFonts w:cs="Arial"/>
        </w:rPr>
      </w:pPr>
      <w:r w:rsidRPr="002803A6">
        <w:t>Keine Anmerkungen.</w:t>
      </w:r>
    </w:p>
    <w:p w:rsidR="00B57130" w:rsidRPr="002803A6" w:rsidRDefault="00B57130" w:rsidP="00B57130">
      <w:pPr>
        <w:rPr>
          <w:rFonts w:cs="Arial"/>
        </w:rPr>
      </w:pPr>
    </w:p>
    <w:p w:rsidR="00B57130" w:rsidRPr="002803A6" w:rsidRDefault="00B57130" w:rsidP="00B57130">
      <w:pPr>
        <w:rPr>
          <w:rFonts w:cs="Arial"/>
        </w:rPr>
      </w:pPr>
    </w:p>
    <w:p w:rsidR="00B57130" w:rsidRPr="002803A6" w:rsidRDefault="00B57130" w:rsidP="00B57130">
      <w:pPr>
        <w:rPr>
          <w:rFonts w:cs="Arial"/>
          <w:u w:val="single"/>
        </w:rPr>
      </w:pPr>
      <w:r w:rsidRPr="002803A6">
        <w:t>5.</w:t>
      </w:r>
      <w:r w:rsidRPr="002803A6">
        <w:tab/>
      </w:r>
      <w:r w:rsidRPr="002803A6">
        <w:rPr>
          <w:u w:val="single"/>
        </w:rPr>
        <w:t>Tätigkeiten zur Förderung des Sortenschutzes</w:t>
      </w:r>
    </w:p>
    <w:p w:rsidR="00B57130" w:rsidRPr="002803A6" w:rsidRDefault="00B57130" w:rsidP="00B57130">
      <w:pPr>
        <w:rPr>
          <w:rFonts w:cs="Arial"/>
        </w:rPr>
      </w:pPr>
    </w:p>
    <w:tbl>
      <w:tblPr>
        <w:tblStyle w:val="TableGrid"/>
        <w:tblW w:w="9776" w:type="dxa"/>
        <w:tblLayout w:type="fixed"/>
        <w:tblCellMar>
          <w:top w:w="28" w:type="dxa"/>
          <w:left w:w="28" w:type="dxa"/>
          <w:bottom w:w="28" w:type="dxa"/>
          <w:right w:w="28" w:type="dxa"/>
        </w:tblCellMar>
        <w:tblLook w:val="01E0" w:firstRow="1" w:lastRow="1" w:firstColumn="1" w:lastColumn="1" w:noHBand="0" w:noVBand="0"/>
      </w:tblPr>
      <w:tblGrid>
        <w:gridCol w:w="1129"/>
        <w:gridCol w:w="993"/>
        <w:gridCol w:w="992"/>
        <w:gridCol w:w="992"/>
        <w:gridCol w:w="1985"/>
        <w:gridCol w:w="1984"/>
        <w:gridCol w:w="1701"/>
      </w:tblGrid>
      <w:tr w:rsidR="00B57130" w:rsidRPr="002803A6" w:rsidTr="00B57130">
        <w:tc>
          <w:tcPr>
            <w:tcW w:w="1129" w:type="dxa"/>
          </w:tcPr>
          <w:p w:rsidR="00B57130" w:rsidRPr="002803A6" w:rsidRDefault="00B57130" w:rsidP="00B57130">
            <w:pPr>
              <w:jc w:val="left"/>
              <w:rPr>
                <w:rFonts w:cs="Arial"/>
                <w:sz w:val="16"/>
              </w:rPr>
            </w:pPr>
            <w:r w:rsidRPr="002803A6">
              <w:rPr>
                <w:sz w:val="16"/>
              </w:rPr>
              <w:t>Bezeichnung der Tätigkeit</w:t>
            </w:r>
          </w:p>
        </w:tc>
        <w:tc>
          <w:tcPr>
            <w:tcW w:w="993" w:type="dxa"/>
          </w:tcPr>
          <w:p w:rsidR="00B57130" w:rsidRPr="002803A6" w:rsidRDefault="00B57130" w:rsidP="00B57130">
            <w:pPr>
              <w:jc w:val="left"/>
              <w:rPr>
                <w:rFonts w:cs="Arial"/>
                <w:sz w:val="16"/>
              </w:rPr>
            </w:pPr>
            <w:r w:rsidRPr="002803A6">
              <w:rPr>
                <w:sz w:val="16"/>
              </w:rPr>
              <w:t>Datum</w:t>
            </w:r>
          </w:p>
        </w:tc>
        <w:tc>
          <w:tcPr>
            <w:tcW w:w="992" w:type="dxa"/>
          </w:tcPr>
          <w:p w:rsidR="00B57130" w:rsidRPr="002803A6" w:rsidRDefault="00B57130" w:rsidP="00B57130">
            <w:pPr>
              <w:jc w:val="left"/>
              <w:rPr>
                <w:rFonts w:cs="Arial"/>
                <w:sz w:val="16"/>
              </w:rPr>
            </w:pPr>
            <w:r w:rsidRPr="002803A6">
              <w:rPr>
                <w:sz w:val="16"/>
              </w:rPr>
              <w:t>Ort</w:t>
            </w:r>
          </w:p>
        </w:tc>
        <w:tc>
          <w:tcPr>
            <w:tcW w:w="992" w:type="dxa"/>
          </w:tcPr>
          <w:p w:rsidR="00B57130" w:rsidRPr="002803A6" w:rsidRDefault="00B57130" w:rsidP="00B57130">
            <w:pPr>
              <w:jc w:val="left"/>
              <w:rPr>
                <w:rFonts w:cs="Arial"/>
                <w:sz w:val="16"/>
              </w:rPr>
            </w:pPr>
            <w:proofErr w:type="spellStart"/>
            <w:r w:rsidRPr="002803A6">
              <w:rPr>
                <w:sz w:val="16"/>
              </w:rPr>
              <w:t>Organisa</w:t>
            </w:r>
            <w:proofErr w:type="spellEnd"/>
            <w:r w:rsidRPr="002803A6">
              <w:rPr>
                <w:sz w:val="16"/>
              </w:rPr>
              <w:t>-tor(en)</w:t>
            </w:r>
          </w:p>
        </w:tc>
        <w:tc>
          <w:tcPr>
            <w:tcW w:w="1985" w:type="dxa"/>
          </w:tcPr>
          <w:p w:rsidR="00B57130" w:rsidRPr="002803A6" w:rsidRDefault="00B57130" w:rsidP="00B57130">
            <w:pPr>
              <w:jc w:val="left"/>
              <w:rPr>
                <w:rFonts w:cs="Arial"/>
                <w:sz w:val="16"/>
              </w:rPr>
            </w:pPr>
            <w:r w:rsidRPr="002803A6">
              <w:rPr>
                <w:sz w:val="16"/>
              </w:rPr>
              <w:t>Zweck der Tätigkeit</w:t>
            </w:r>
          </w:p>
        </w:tc>
        <w:tc>
          <w:tcPr>
            <w:tcW w:w="1984" w:type="dxa"/>
          </w:tcPr>
          <w:p w:rsidR="00B57130" w:rsidRPr="002803A6" w:rsidRDefault="00B57130" w:rsidP="00B57130">
            <w:pPr>
              <w:jc w:val="left"/>
              <w:rPr>
                <w:rFonts w:cs="Arial"/>
                <w:sz w:val="16"/>
              </w:rPr>
            </w:pPr>
            <w:r w:rsidRPr="002803A6">
              <w:rPr>
                <w:sz w:val="16"/>
              </w:rPr>
              <w:t>Teilnehmende Staaten/Organisationen (Zahl der Teilnehmer pro Staat/Organisation)</w:t>
            </w:r>
          </w:p>
        </w:tc>
        <w:tc>
          <w:tcPr>
            <w:tcW w:w="1701" w:type="dxa"/>
          </w:tcPr>
          <w:p w:rsidR="00B57130" w:rsidRPr="002803A6" w:rsidRDefault="00B57130" w:rsidP="00B57130">
            <w:pPr>
              <w:jc w:val="left"/>
              <w:rPr>
                <w:rFonts w:cs="Arial"/>
                <w:sz w:val="16"/>
              </w:rPr>
            </w:pPr>
            <w:r w:rsidRPr="002803A6">
              <w:rPr>
                <w:sz w:val="16"/>
              </w:rPr>
              <w:t>Bemerkungen</w:t>
            </w:r>
          </w:p>
        </w:tc>
      </w:tr>
      <w:tr w:rsidR="00B57130" w:rsidRPr="002803A6" w:rsidTr="00B57130">
        <w:tc>
          <w:tcPr>
            <w:tcW w:w="1129" w:type="dxa"/>
          </w:tcPr>
          <w:p w:rsidR="00B57130" w:rsidRPr="002803A6" w:rsidRDefault="00B57130" w:rsidP="00B57130">
            <w:pPr>
              <w:jc w:val="left"/>
              <w:rPr>
                <w:rFonts w:cs="Arial"/>
                <w:sz w:val="16"/>
              </w:rPr>
            </w:pPr>
            <w:r w:rsidRPr="002803A6">
              <w:rPr>
                <w:sz w:val="16"/>
              </w:rPr>
              <w:t>1. Allgemeiner Lehrgang über Rechte des geistigen Eigentums</w:t>
            </w:r>
          </w:p>
        </w:tc>
        <w:tc>
          <w:tcPr>
            <w:tcW w:w="993" w:type="dxa"/>
          </w:tcPr>
          <w:p w:rsidR="00B57130" w:rsidRPr="002803A6" w:rsidRDefault="00B57130" w:rsidP="00B57130">
            <w:pPr>
              <w:jc w:val="left"/>
              <w:rPr>
                <w:rFonts w:cs="Arial"/>
                <w:sz w:val="16"/>
              </w:rPr>
            </w:pPr>
            <w:r w:rsidRPr="002803A6">
              <w:rPr>
                <w:sz w:val="16"/>
              </w:rPr>
              <w:t>5. Februar bis 5. April 2019</w:t>
            </w:r>
          </w:p>
        </w:tc>
        <w:tc>
          <w:tcPr>
            <w:tcW w:w="992" w:type="dxa"/>
          </w:tcPr>
          <w:p w:rsidR="00B57130" w:rsidRPr="002803A6" w:rsidRDefault="00B57130" w:rsidP="00B57130">
            <w:pPr>
              <w:jc w:val="left"/>
              <w:rPr>
                <w:rFonts w:cs="Arial"/>
                <w:sz w:val="16"/>
              </w:rPr>
            </w:pPr>
            <w:r w:rsidRPr="002803A6">
              <w:rPr>
                <w:sz w:val="16"/>
              </w:rPr>
              <w:t>Fernlehr-gang</w:t>
            </w:r>
          </w:p>
        </w:tc>
        <w:tc>
          <w:tcPr>
            <w:tcW w:w="992" w:type="dxa"/>
          </w:tcPr>
          <w:p w:rsidR="00B57130" w:rsidRPr="002803A6" w:rsidRDefault="00B57130" w:rsidP="00B57130">
            <w:pPr>
              <w:jc w:val="left"/>
              <w:rPr>
                <w:rFonts w:cs="Arial"/>
                <w:sz w:val="16"/>
              </w:rPr>
            </w:pPr>
            <w:r w:rsidRPr="002803A6">
              <w:rPr>
                <w:sz w:val="16"/>
              </w:rPr>
              <w:t xml:space="preserve">INPI (Patent- und Markenamt Brasiliens) </w:t>
            </w:r>
          </w:p>
          <w:p w:rsidR="00B57130" w:rsidRPr="002803A6" w:rsidRDefault="00B57130" w:rsidP="00B57130">
            <w:pPr>
              <w:jc w:val="left"/>
              <w:rPr>
                <w:rFonts w:cs="Arial"/>
                <w:sz w:val="16"/>
              </w:rPr>
            </w:pPr>
            <w:r w:rsidRPr="002803A6">
              <w:rPr>
                <w:sz w:val="16"/>
              </w:rPr>
              <w:t>WIPO</w:t>
            </w:r>
          </w:p>
        </w:tc>
        <w:tc>
          <w:tcPr>
            <w:tcW w:w="1985" w:type="dxa"/>
          </w:tcPr>
          <w:p w:rsidR="00B57130" w:rsidRPr="002803A6" w:rsidRDefault="00B57130" w:rsidP="00B57130">
            <w:pPr>
              <w:jc w:val="left"/>
              <w:rPr>
                <w:rFonts w:cs="Arial"/>
                <w:sz w:val="16"/>
              </w:rPr>
            </w:pPr>
            <w:r w:rsidRPr="002803A6">
              <w:rPr>
                <w:sz w:val="16"/>
              </w:rPr>
              <w:t xml:space="preserve">Allgemeiner Lehrgang über Rechte des geistigen Eigentums mit einem Kapitel über Sortenschutz </w:t>
            </w:r>
          </w:p>
        </w:tc>
        <w:tc>
          <w:tcPr>
            <w:tcW w:w="1984" w:type="dxa"/>
          </w:tcPr>
          <w:p w:rsidR="00B57130" w:rsidRPr="002803A6" w:rsidRDefault="00B57130" w:rsidP="00B57130">
            <w:pPr>
              <w:jc w:val="left"/>
              <w:rPr>
                <w:rFonts w:cs="Arial"/>
                <w:sz w:val="16"/>
              </w:rPr>
            </w:pPr>
            <w:r w:rsidRPr="002803A6">
              <w:rPr>
                <w:sz w:val="16"/>
              </w:rPr>
              <w:t>Rund 2 000 Teilnehmer (allesamt Brasilianer), die in verschiedenen Bereichen tätig sind (Studenten, Anwälte, Rechtsvertreter, Angestellte im öffentlichen Dienst, Forscher usw.)</w:t>
            </w:r>
          </w:p>
        </w:tc>
        <w:tc>
          <w:tcPr>
            <w:tcW w:w="1701" w:type="dxa"/>
          </w:tcPr>
          <w:p w:rsidR="00B57130" w:rsidRPr="002803A6" w:rsidRDefault="00B57130" w:rsidP="00B57130">
            <w:pPr>
              <w:jc w:val="left"/>
              <w:rPr>
                <w:rFonts w:cs="Arial"/>
                <w:sz w:val="16"/>
              </w:rPr>
            </w:pPr>
            <w:r w:rsidRPr="002803A6">
              <w:rPr>
                <w:sz w:val="16"/>
              </w:rPr>
              <w:t xml:space="preserve">Prüfer des SNPC (Sortenamt) fungierten als Tutoren bei den Erörterungen über Sortenschutz </w:t>
            </w:r>
          </w:p>
        </w:tc>
      </w:tr>
      <w:tr w:rsidR="00B57130" w:rsidRPr="002803A6" w:rsidTr="00B57130">
        <w:tc>
          <w:tcPr>
            <w:tcW w:w="1129" w:type="dxa"/>
          </w:tcPr>
          <w:p w:rsidR="00B57130" w:rsidRPr="002803A6" w:rsidRDefault="00B57130" w:rsidP="00B57130">
            <w:pPr>
              <w:jc w:val="left"/>
              <w:rPr>
                <w:rFonts w:cs="Arial"/>
                <w:sz w:val="16"/>
              </w:rPr>
            </w:pPr>
            <w:r w:rsidRPr="002803A6">
              <w:rPr>
                <w:sz w:val="16"/>
              </w:rPr>
              <w:t>2. Allgemeiner Lehrgang über Rechte des geistigen Eigentums</w:t>
            </w:r>
          </w:p>
        </w:tc>
        <w:tc>
          <w:tcPr>
            <w:tcW w:w="993" w:type="dxa"/>
          </w:tcPr>
          <w:p w:rsidR="00B57130" w:rsidRPr="002803A6" w:rsidRDefault="00B57130" w:rsidP="00B57130">
            <w:pPr>
              <w:jc w:val="left"/>
              <w:rPr>
                <w:rFonts w:cs="Arial"/>
                <w:sz w:val="16"/>
              </w:rPr>
            </w:pPr>
            <w:r w:rsidRPr="002803A6">
              <w:rPr>
                <w:sz w:val="16"/>
              </w:rPr>
              <w:t xml:space="preserve">7. Mai bis </w:t>
            </w:r>
            <w:r w:rsidR="00982A9E" w:rsidRPr="002803A6">
              <w:rPr>
                <w:sz w:val="16"/>
              </w:rPr>
              <w:br/>
            </w:r>
            <w:r w:rsidRPr="002803A6">
              <w:rPr>
                <w:sz w:val="16"/>
              </w:rPr>
              <w:t>5. Juli 2019</w:t>
            </w:r>
          </w:p>
        </w:tc>
        <w:tc>
          <w:tcPr>
            <w:tcW w:w="992" w:type="dxa"/>
          </w:tcPr>
          <w:p w:rsidR="00B57130" w:rsidRPr="002803A6" w:rsidRDefault="00B57130" w:rsidP="00B57130">
            <w:pPr>
              <w:jc w:val="left"/>
              <w:rPr>
                <w:rFonts w:cs="Arial"/>
                <w:sz w:val="16"/>
              </w:rPr>
            </w:pPr>
            <w:r w:rsidRPr="002803A6">
              <w:rPr>
                <w:sz w:val="16"/>
              </w:rPr>
              <w:t>Fernlehr-gang</w:t>
            </w:r>
          </w:p>
        </w:tc>
        <w:tc>
          <w:tcPr>
            <w:tcW w:w="992" w:type="dxa"/>
          </w:tcPr>
          <w:p w:rsidR="00B57130" w:rsidRPr="002803A6" w:rsidRDefault="00B57130" w:rsidP="00B57130">
            <w:pPr>
              <w:jc w:val="left"/>
              <w:rPr>
                <w:rFonts w:cs="Arial"/>
                <w:sz w:val="16"/>
              </w:rPr>
            </w:pPr>
            <w:r w:rsidRPr="002803A6">
              <w:rPr>
                <w:sz w:val="16"/>
              </w:rPr>
              <w:t xml:space="preserve">INPI (Patent- und Markenamt) </w:t>
            </w:r>
          </w:p>
          <w:p w:rsidR="00B57130" w:rsidRPr="002803A6" w:rsidRDefault="00B57130" w:rsidP="00B57130">
            <w:pPr>
              <w:jc w:val="left"/>
              <w:rPr>
                <w:rFonts w:cs="Arial"/>
                <w:sz w:val="16"/>
              </w:rPr>
            </w:pPr>
            <w:r w:rsidRPr="002803A6">
              <w:rPr>
                <w:sz w:val="16"/>
              </w:rPr>
              <w:t>WIPO</w:t>
            </w:r>
          </w:p>
        </w:tc>
        <w:tc>
          <w:tcPr>
            <w:tcW w:w="1985" w:type="dxa"/>
          </w:tcPr>
          <w:p w:rsidR="00B57130" w:rsidRPr="002803A6" w:rsidRDefault="00B57130" w:rsidP="00B57130">
            <w:pPr>
              <w:jc w:val="left"/>
              <w:rPr>
                <w:rFonts w:cs="Arial"/>
                <w:sz w:val="16"/>
              </w:rPr>
            </w:pPr>
            <w:r w:rsidRPr="002803A6">
              <w:rPr>
                <w:sz w:val="16"/>
              </w:rPr>
              <w:t xml:space="preserve">Allgemeiner Lehrgang über Rechte des geistigen Eigentums mit einem Kapitel über Sortenschutz </w:t>
            </w:r>
          </w:p>
        </w:tc>
        <w:tc>
          <w:tcPr>
            <w:tcW w:w="1984" w:type="dxa"/>
          </w:tcPr>
          <w:p w:rsidR="00B57130" w:rsidRPr="002803A6" w:rsidRDefault="00B57130" w:rsidP="00B57130">
            <w:pPr>
              <w:jc w:val="left"/>
              <w:rPr>
                <w:rFonts w:cs="Arial"/>
                <w:sz w:val="16"/>
              </w:rPr>
            </w:pPr>
            <w:r w:rsidRPr="002803A6">
              <w:rPr>
                <w:sz w:val="16"/>
              </w:rPr>
              <w:t>Rund 2 000 Teilnehmer (allesamt Brasilianer), die in verschiedenen Bereichen tätig sind (Studenten, Anwälte, Rechtsvertreter, Angestellte im öffentlichen Dienst, Forscher usw.)</w:t>
            </w:r>
          </w:p>
        </w:tc>
        <w:tc>
          <w:tcPr>
            <w:tcW w:w="1701" w:type="dxa"/>
          </w:tcPr>
          <w:p w:rsidR="00B57130" w:rsidRPr="002803A6" w:rsidRDefault="00B57130" w:rsidP="00B57130">
            <w:pPr>
              <w:jc w:val="left"/>
              <w:rPr>
                <w:rFonts w:cs="Arial"/>
                <w:sz w:val="16"/>
              </w:rPr>
            </w:pPr>
            <w:r w:rsidRPr="002803A6">
              <w:rPr>
                <w:sz w:val="16"/>
              </w:rPr>
              <w:t xml:space="preserve">Prüfer des SNPC (Sortenamt) fungierten als Tutoren bei den Erörterungen über Sortenschutz </w:t>
            </w:r>
          </w:p>
        </w:tc>
      </w:tr>
      <w:tr w:rsidR="00B57130" w:rsidRPr="002803A6" w:rsidTr="00B57130">
        <w:tc>
          <w:tcPr>
            <w:tcW w:w="1129" w:type="dxa"/>
          </w:tcPr>
          <w:p w:rsidR="00B57130" w:rsidRPr="002803A6" w:rsidRDefault="00B57130" w:rsidP="00B57130">
            <w:pPr>
              <w:jc w:val="left"/>
              <w:rPr>
                <w:rFonts w:cs="Arial"/>
                <w:sz w:val="16"/>
              </w:rPr>
            </w:pPr>
            <w:r w:rsidRPr="002803A6">
              <w:rPr>
                <w:sz w:val="16"/>
              </w:rPr>
              <w:t>3. Allgemeiner Lehrgang über Rechte des geistigen Eigentums</w:t>
            </w:r>
          </w:p>
        </w:tc>
        <w:tc>
          <w:tcPr>
            <w:tcW w:w="993" w:type="dxa"/>
          </w:tcPr>
          <w:p w:rsidR="00B57130" w:rsidRPr="002803A6" w:rsidRDefault="00B57130" w:rsidP="00B57130">
            <w:pPr>
              <w:jc w:val="left"/>
              <w:rPr>
                <w:rFonts w:cs="Arial"/>
                <w:sz w:val="16"/>
              </w:rPr>
            </w:pPr>
            <w:r w:rsidRPr="002803A6">
              <w:rPr>
                <w:sz w:val="16"/>
              </w:rPr>
              <w:t>6. August bis 4. Oktober 2019 (läuft derzeit)</w:t>
            </w:r>
          </w:p>
        </w:tc>
        <w:tc>
          <w:tcPr>
            <w:tcW w:w="992" w:type="dxa"/>
          </w:tcPr>
          <w:p w:rsidR="00B57130" w:rsidRPr="002803A6" w:rsidRDefault="00B57130" w:rsidP="00B57130">
            <w:pPr>
              <w:jc w:val="left"/>
              <w:rPr>
                <w:rFonts w:cs="Arial"/>
                <w:sz w:val="16"/>
              </w:rPr>
            </w:pPr>
            <w:r w:rsidRPr="002803A6">
              <w:rPr>
                <w:sz w:val="16"/>
              </w:rPr>
              <w:t>Fernlehr-gang</w:t>
            </w:r>
          </w:p>
        </w:tc>
        <w:tc>
          <w:tcPr>
            <w:tcW w:w="992" w:type="dxa"/>
          </w:tcPr>
          <w:p w:rsidR="00B57130" w:rsidRPr="002803A6" w:rsidRDefault="00B57130" w:rsidP="00B57130">
            <w:pPr>
              <w:jc w:val="left"/>
              <w:rPr>
                <w:rFonts w:cs="Arial"/>
                <w:sz w:val="16"/>
              </w:rPr>
            </w:pPr>
            <w:r w:rsidRPr="002803A6">
              <w:rPr>
                <w:sz w:val="16"/>
              </w:rPr>
              <w:t xml:space="preserve">INPI (Patent- und Markenamt) </w:t>
            </w:r>
          </w:p>
          <w:p w:rsidR="00B57130" w:rsidRPr="002803A6" w:rsidRDefault="00B57130" w:rsidP="00B57130">
            <w:pPr>
              <w:jc w:val="left"/>
              <w:rPr>
                <w:rFonts w:cs="Arial"/>
                <w:sz w:val="16"/>
              </w:rPr>
            </w:pPr>
            <w:r w:rsidRPr="002803A6">
              <w:rPr>
                <w:sz w:val="16"/>
              </w:rPr>
              <w:t>WIPO</w:t>
            </w:r>
          </w:p>
        </w:tc>
        <w:tc>
          <w:tcPr>
            <w:tcW w:w="1985" w:type="dxa"/>
          </w:tcPr>
          <w:p w:rsidR="00B57130" w:rsidRPr="002803A6" w:rsidRDefault="00B57130" w:rsidP="00B57130">
            <w:pPr>
              <w:jc w:val="left"/>
              <w:rPr>
                <w:rFonts w:cs="Arial"/>
                <w:sz w:val="16"/>
              </w:rPr>
            </w:pPr>
            <w:r w:rsidRPr="002803A6">
              <w:rPr>
                <w:sz w:val="16"/>
              </w:rPr>
              <w:t xml:space="preserve">Allgemeiner Lehrgang über geistiges Eigentum mit einem Kapitel über Sortenschutz </w:t>
            </w:r>
          </w:p>
        </w:tc>
        <w:tc>
          <w:tcPr>
            <w:tcW w:w="1984" w:type="dxa"/>
          </w:tcPr>
          <w:p w:rsidR="00B57130" w:rsidRPr="002803A6" w:rsidRDefault="00B57130" w:rsidP="00B57130">
            <w:pPr>
              <w:jc w:val="left"/>
              <w:rPr>
                <w:rFonts w:cs="Arial"/>
                <w:sz w:val="16"/>
              </w:rPr>
            </w:pPr>
            <w:r w:rsidRPr="002803A6">
              <w:rPr>
                <w:sz w:val="16"/>
              </w:rPr>
              <w:t>Rund 2 000 Teilnehmer (allesamt Brasilianer), die in verschiedenen Bereichen tätig sind (Studenten, Anwälte, Rechtsvertreter, Angestellte im öffentlichen Dienst, Forscher usw.)</w:t>
            </w:r>
          </w:p>
        </w:tc>
        <w:tc>
          <w:tcPr>
            <w:tcW w:w="1701" w:type="dxa"/>
          </w:tcPr>
          <w:p w:rsidR="00B57130" w:rsidRPr="002803A6" w:rsidRDefault="00B57130" w:rsidP="00B57130">
            <w:pPr>
              <w:jc w:val="left"/>
              <w:rPr>
                <w:rFonts w:cs="Arial"/>
                <w:sz w:val="16"/>
              </w:rPr>
            </w:pPr>
            <w:r w:rsidRPr="002803A6">
              <w:rPr>
                <w:sz w:val="16"/>
              </w:rPr>
              <w:t xml:space="preserve">Prüfer des SNPC (Sortenamt) fungierten als Tutoren bei den Erörterungen über Sortenschutz </w:t>
            </w:r>
          </w:p>
        </w:tc>
      </w:tr>
      <w:tr w:rsidR="00B57130" w:rsidRPr="002803A6" w:rsidTr="00B57130">
        <w:tc>
          <w:tcPr>
            <w:tcW w:w="1129" w:type="dxa"/>
          </w:tcPr>
          <w:p w:rsidR="00B57130" w:rsidRPr="002803A6" w:rsidRDefault="00B57130" w:rsidP="00B57130">
            <w:pPr>
              <w:jc w:val="left"/>
              <w:rPr>
                <w:rFonts w:cs="Arial"/>
                <w:sz w:val="16"/>
              </w:rPr>
            </w:pPr>
            <w:r w:rsidRPr="002803A6">
              <w:rPr>
                <w:sz w:val="16"/>
              </w:rPr>
              <w:t>4. Allgemeiner Lehrgang über Rechte des geistigen Eigentums</w:t>
            </w:r>
          </w:p>
        </w:tc>
        <w:tc>
          <w:tcPr>
            <w:tcW w:w="993" w:type="dxa"/>
          </w:tcPr>
          <w:p w:rsidR="00B57130" w:rsidRPr="002803A6" w:rsidRDefault="00B57130" w:rsidP="00B57130">
            <w:pPr>
              <w:jc w:val="left"/>
              <w:rPr>
                <w:rFonts w:cs="Arial"/>
                <w:sz w:val="16"/>
              </w:rPr>
            </w:pPr>
            <w:r w:rsidRPr="002803A6">
              <w:rPr>
                <w:sz w:val="16"/>
              </w:rPr>
              <w:t>11. bis 22. März 2019</w:t>
            </w:r>
          </w:p>
        </w:tc>
        <w:tc>
          <w:tcPr>
            <w:tcW w:w="992" w:type="dxa"/>
          </w:tcPr>
          <w:p w:rsidR="00B57130" w:rsidRPr="002803A6" w:rsidRDefault="00B57130" w:rsidP="00B57130">
            <w:pPr>
              <w:jc w:val="left"/>
              <w:rPr>
                <w:rFonts w:cs="Arial"/>
                <w:sz w:val="16"/>
              </w:rPr>
            </w:pPr>
            <w:r w:rsidRPr="002803A6">
              <w:rPr>
                <w:sz w:val="16"/>
              </w:rPr>
              <w:t>Rio de Janeiro/RJ</w:t>
            </w:r>
          </w:p>
        </w:tc>
        <w:tc>
          <w:tcPr>
            <w:tcW w:w="992" w:type="dxa"/>
          </w:tcPr>
          <w:p w:rsidR="00B57130" w:rsidRPr="002803A6" w:rsidRDefault="00B57130" w:rsidP="00B57130">
            <w:pPr>
              <w:jc w:val="left"/>
              <w:rPr>
                <w:rFonts w:cs="Arial"/>
                <w:sz w:val="16"/>
              </w:rPr>
            </w:pPr>
            <w:r w:rsidRPr="002803A6">
              <w:rPr>
                <w:sz w:val="16"/>
              </w:rPr>
              <w:t>WIPO- Brasilien</w:t>
            </w:r>
          </w:p>
        </w:tc>
        <w:tc>
          <w:tcPr>
            <w:tcW w:w="1985" w:type="dxa"/>
          </w:tcPr>
          <w:p w:rsidR="00B57130" w:rsidRPr="002803A6" w:rsidRDefault="00B57130" w:rsidP="00B57130">
            <w:pPr>
              <w:jc w:val="left"/>
              <w:rPr>
                <w:rFonts w:cs="Arial"/>
                <w:sz w:val="16"/>
              </w:rPr>
            </w:pPr>
            <w:r w:rsidRPr="002803A6">
              <w:rPr>
                <w:sz w:val="16"/>
              </w:rPr>
              <w:t>Sommerkurs über Rechte des geistigen Eigentums WIPO-Brasilien</w:t>
            </w:r>
          </w:p>
        </w:tc>
        <w:tc>
          <w:tcPr>
            <w:tcW w:w="1984" w:type="dxa"/>
          </w:tcPr>
          <w:p w:rsidR="00B57130" w:rsidRPr="002803A6" w:rsidRDefault="00B57130" w:rsidP="00B57130">
            <w:pPr>
              <w:jc w:val="left"/>
              <w:rPr>
                <w:rFonts w:cs="Arial"/>
                <w:sz w:val="16"/>
              </w:rPr>
            </w:pPr>
            <w:r w:rsidRPr="002803A6">
              <w:rPr>
                <w:sz w:val="16"/>
              </w:rPr>
              <w:t>Rund 50 Teilnehmer (allesamt Brasilianer), die in verschiedenen Bereichen tätig sind (Anwälte, Rechtsvertreter, Angestellte im öffentlichen Dienst, Forscher usw.)</w:t>
            </w:r>
          </w:p>
        </w:tc>
        <w:tc>
          <w:tcPr>
            <w:tcW w:w="1701" w:type="dxa"/>
          </w:tcPr>
          <w:p w:rsidR="00B57130" w:rsidRPr="002803A6" w:rsidRDefault="00B57130" w:rsidP="00B57130">
            <w:pPr>
              <w:jc w:val="left"/>
              <w:rPr>
                <w:rFonts w:cs="Arial"/>
                <w:sz w:val="16"/>
              </w:rPr>
            </w:pPr>
            <w:r w:rsidRPr="002803A6">
              <w:rPr>
                <w:sz w:val="16"/>
              </w:rPr>
              <w:t>Vortrag von einem Vertreter des SNPC (Sortenamt)</w:t>
            </w:r>
          </w:p>
        </w:tc>
      </w:tr>
      <w:tr w:rsidR="00B57130" w:rsidRPr="002803A6" w:rsidTr="00B57130">
        <w:tc>
          <w:tcPr>
            <w:tcW w:w="1129" w:type="dxa"/>
          </w:tcPr>
          <w:p w:rsidR="00B57130" w:rsidRPr="002803A6" w:rsidRDefault="00B57130" w:rsidP="00B57130">
            <w:pPr>
              <w:jc w:val="left"/>
              <w:rPr>
                <w:rFonts w:cs="Arial"/>
                <w:sz w:val="16"/>
              </w:rPr>
            </w:pPr>
            <w:r w:rsidRPr="002803A6">
              <w:rPr>
                <w:sz w:val="16"/>
              </w:rPr>
              <w:t>5. Allgemeiner Lehrgang über Rechte des geistigen Eigentums</w:t>
            </w:r>
          </w:p>
        </w:tc>
        <w:tc>
          <w:tcPr>
            <w:tcW w:w="993" w:type="dxa"/>
          </w:tcPr>
          <w:p w:rsidR="00B57130" w:rsidRPr="002803A6" w:rsidRDefault="00B57130" w:rsidP="00B57130">
            <w:pPr>
              <w:jc w:val="left"/>
              <w:rPr>
                <w:rFonts w:cs="Arial"/>
                <w:sz w:val="16"/>
              </w:rPr>
            </w:pPr>
            <w:r w:rsidRPr="002803A6">
              <w:rPr>
                <w:sz w:val="16"/>
              </w:rPr>
              <w:t>15. bis 26. Juli 2019</w:t>
            </w:r>
          </w:p>
        </w:tc>
        <w:tc>
          <w:tcPr>
            <w:tcW w:w="992" w:type="dxa"/>
          </w:tcPr>
          <w:p w:rsidR="00B57130" w:rsidRPr="002803A6" w:rsidRDefault="00B57130" w:rsidP="00B57130">
            <w:pPr>
              <w:jc w:val="left"/>
              <w:rPr>
                <w:rFonts w:cs="Arial"/>
                <w:sz w:val="16"/>
              </w:rPr>
            </w:pPr>
            <w:r w:rsidRPr="002803A6">
              <w:rPr>
                <w:sz w:val="16"/>
              </w:rPr>
              <w:t>Florianópolis/SC</w:t>
            </w:r>
          </w:p>
        </w:tc>
        <w:tc>
          <w:tcPr>
            <w:tcW w:w="992" w:type="dxa"/>
          </w:tcPr>
          <w:p w:rsidR="00B57130" w:rsidRPr="002803A6" w:rsidRDefault="00B57130" w:rsidP="00B57130">
            <w:pPr>
              <w:jc w:val="left"/>
              <w:rPr>
                <w:rFonts w:cs="Arial"/>
                <w:sz w:val="16"/>
              </w:rPr>
            </w:pPr>
            <w:r w:rsidRPr="002803A6">
              <w:rPr>
                <w:sz w:val="16"/>
              </w:rPr>
              <w:t>WIPO- Brasilien</w:t>
            </w:r>
          </w:p>
        </w:tc>
        <w:tc>
          <w:tcPr>
            <w:tcW w:w="1985" w:type="dxa"/>
          </w:tcPr>
          <w:p w:rsidR="00B57130" w:rsidRPr="002803A6" w:rsidRDefault="00B57130" w:rsidP="00B57130">
            <w:pPr>
              <w:jc w:val="left"/>
              <w:rPr>
                <w:rFonts w:cs="Arial"/>
                <w:sz w:val="16"/>
              </w:rPr>
            </w:pPr>
            <w:r w:rsidRPr="002803A6">
              <w:rPr>
                <w:sz w:val="16"/>
              </w:rPr>
              <w:t>Sommerkurs über geistiges Eigentum WIPO-Brasilien</w:t>
            </w:r>
          </w:p>
        </w:tc>
        <w:tc>
          <w:tcPr>
            <w:tcW w:w="1984" w:type="dxa"/>
          </w:tcPr>
          <w:p w:rsidR="00B57130" w:rsidRPr="002803A6" w:rsidRDefault="00B57130" w:rsidP="00B57130">
            <w:pPr>
              <w:jc w:val="left"/>
              <w:rPr>
                <w:rFonts w:cs="Arial"/>
                <w:sz w:val="16"/>
              </w:rPr>
            </w:pPr>
            <w:r w:rsidRPr="002803A6">
              <w:rPr>
                <w:sz w:val="16"/>
              </w:rPr>
              <w:t>Rund 50 Teilnehmer (alle Brasilianer), die in verschiedenen Bereichen tätig sind (Anwälte, Rechtsvertreter, Angestellte im öffentlichen Dienst, Forscher usw.)</w:t>
            </w:r>
          </w:p>
        </w:tc>
        <w:tc>
          <w:tcPr>
            <w:tcW w:w="1701" w:type="dxa"/>
          </w:tcPr>
          <w:p w:rsidR="00B57130" w:rsidRPr="002803A6" w:rsidRDefault="00B57130" w:rsidP="00B57130">
            <w:pPr>
              <w:jc w:val="left"/>
              <w:rPr>
                <w:rFonts w:cs="Arial"/>
                <w:sz w:val="16"/>
              </w:rPr>
            </w:pPr>
            <w:r w:rsidRPr="002803A6">
              <w:rPr>
                <w:sz w:val="16"/>
              </w:rPr>
              <w:t>Vortrag von einem Vertreter des SNPC (Sortenamt)</w:t>
            </w:r>
          </w:p>
        </w:tc>
      </w:tr>
      <w:tr w:rsidR="00B57130" w:rsidRPr="002803A6" w:rsidTr="00B57130">
        <w:tc>
          <w:tcPr>
            <w:tcW w:w="1129" w:type="dxa"/>
          </w:tcPr>
          <w:p w:rsidR="00B57130" w:rsidRPr="002803A6" w:rsidRDefault="00B57130" w:rsidP="00B57130">
            <w:pPr>
              <w:jc w:val="left"/>
              <w:rPr>
                <w:rFonts w:cs="Arial"/>
                <w:sz w:val="16"/>
              </w:rPr>
            </w:pPr>
            <w:r w:rsidRPr="002803A6">
              <w:rPr>
                <w:sz w:val="16"/>
              </w:rPr>
              <w:t xml:space="preserve">6. Brasilianischer Kongress über Pflanzen-züchtung </w:t>
            </w:r>
          </w:p>
        </w:tc>
        <w:tc>
          <w:tcPr>
            <w:tcW w:w="993" w:type="dxa"/>
          </w:tcPr>
          <w:p w:rsidR="00B57130" w:rsidRPr="002803A6" w:rsidRDefault="00B57130" w:rsidP="00B57130">
            <w:pPr>
              <w:jc w:val="left"/>
              <w:rPr>
                <w:rFonts w:cs="Arial"/>
                <w:sz w:val="16"/>
              </w:rPr>
            </w:pPr>
            <w:r w:rsidRPr="002803A6">
              <w:rPr>
                <w:sz w:val="16"/>
              </w:rPr>
              <w:t>28. bis 31. Juli 2019</w:t>
            </w:r>
          </w:p>
        </w:tc>
        <w:tc>
          <w:tcPr>
            <w:tcW w:w="992" w:type="dxa"/>
          </w:tcPr>
          <w:p w:rsidR="00B57130" w:rsidRPr="002803A6" w:rsidRDefault="00B57130" w:rsidP="00B57130">
            <w:pPr>
              <w:jc w:val="left"/>
              <w:rPr>
                <w:rFonts w:cs="Arial"/>
                <w:sz w:val="16"/>
              </w:rPr>
            </w:pPr>
            <w:proofErr w:type="spellStart"/>
            <w:r w:rsidRPr="002803A6">
              <w:rPr>
                <w:sz w:val="16"/>
              </w:rPr>
              <w:t>Águas</w:t>
            </w:r>
            <w:proofErr w:type="spellEnd"/>
            <w:r w:rsidRPr="002803A6">
              <w:rPr>
                <w:sz w:val="16"/>
              </w:rPr>
              <w:t xml:space="preserve"> de </w:t>
            </w:r>
            <w:proofErr w:type="spellStart"/>
            <w:r w:rsidRPr="002803A6">
              <w:rPr>
                <w:sz w:val="16"/>
              </w:rPr>
              <w:t>Lindoia</w:t>
            </w:r>
            <w:proofErr w:type="spellEnd"/>
            <w:r w:rsidRPr="002803A6">
              <w:rPr>
                <w:sz w:val="16"/>
              </w:rPr>
              <w:t>/SP</w:t>
            </w:r>
          </w:p>
        </w:tc>
        <w:tc>
          <w:tcPr>
            <w:tcW w:w="992" w:type="dxa"/>
          </w:tcPr>
          <w:p w:rsidR="00B57130" w:rsidRPr="002803A6" w:rsidRDefault="00B57130" w:rsidP="00B57130">
            <w:pPr>
              <w:jc w:val="left"/>
              <w:rPr>
                <w:rFonts w:cs="Arial"/>
                <w:sz w:val="16"/>
              </w:rPr>
            </w:pPr>
            <w:r w:rsidRPr="002803A6">
              <w:rPr>
                <w:sz w:val="16"/>
              </w:rPr>
              <w:t>Brasilia-nische Gesellschaft für Pflanzen-züchtung</w:t>
            </w:r>
          </w:p>
        </w:tc>
        <w:tc>
          <w:tcPr>
            <w:tcW w:w="1985" w:type="dxa"/>
          </w:tcPr>
          <w:p w:rsidR="00B57130" w:rsidRPr="002803A6" w:rsidRDefault="00B57130" w:rsidP="00B57130">
            <w:pPr>
              <w:jc w:val="left"/>
              <w:rPr>
                <w:rFonts w:cs="Arial"/>
                <w:sz w:val="16"/>
              </w:rPr>
            </w:pPr>
            <w:r w:rsidRPr="002803A6">
              <w:rPr>
                <w:sz w:val="16"/>
              </w:rPr>
              <w:t>X Brasilianischer Pflanzenzüchterkongress – Referat über Sortenschutz in Brasilien</w:t>
            </w:r>
          </w:p>
        </w:tc>
        <w:tc>
          <w:tcPr>
            <w:tcW w:w="1984" w:type="dxa"/>
          </w:tcPr>
          <w:p w:rsidR="00B57130" w:rsidRPr="002803A6" w:rsidRDefault="00B57130" w:rsidP="00B57130">
            <w:pPr>
              <w:jc w:val="left"/>
              <w:rPr>
                <w:rFonts w:cs="Arial"/>
                <w:sz w:val="16"/>
              </w:rPr>
            </w:pPr>
            <w:r w:rsidRPr="002803A6">
              <w:rPr>
                <w:sz w:val="16"/>
              </w:rPr>
              <w:t>Rund 1 000 Teilnehmer (Studenten, Professoren, Wissenschaftler, Forscher usw.)</w:t>
            </w:r>
          </w:p>
        </w:tc>
        <w:tc>
          <w:tcPr>
            <w:tcW w:w="1701" w:type="dxa"/>
          </w:tcPr>
          <w:p w:rsidR="00B57130" w:rsidRPr="002803A6" w:rsidRDefault="00B57130" w:rsidP="00B57130">
            <w:pPr>
              <w:jc w:val="left"/>
              <w:rPr>
                <w:rFonts w:cs="Arial"/>
                <w:sz w:val="16"/>
              </w:rPr>
            </w:pPr>
            <w:r w:rsidRPr="002803A6">
              <w:rPr>
                <w:sz w:val="16"/>
              </w:rPr>
              <w:t>Vortrag von einem Vertreter des SNPC (Sortenamt)</w:t>
            </w:r>
          </w:p>
        </w:tc>
      </w:tr>
    </w:tbl>
    <w:p w:rsidR="00B57130" w:rsidRPr="002803A6" w:rsidRDefault="00B57130" w:rsidP="00B57130">
      <w:pPr>
        <w:rPr>
          <w:rFonts w:cs="Arial"/>
        </w:rPr>
      </w:pPr>
    </w:p>
    <w:p w:rsidR="00701A18" w:rsidRPr="002803A6" w:rsidRDefault="00701A18" w:rsidP="00701A18">
      <w:pPr>
        <w:jc w:val="left"/>
      </w:pPr>
    </w:p>
    <w:p w:rsidR="00701A18" w:rsidRPr="002803A6" w:rsidRDefault="00701A18" w:rsidP="00701A18">
      <w:pPr>
        <w:jc w:val="left"/>
      </w:pPr>
    </w:p>
    <w:p w:rsidR="00701A18" w:rsidRPr="002803A6" w:rsidRDefault="00701A18" w:rsidP="00701A18">
      <w:pPr>
        <w:jc w:val="right"/>
      </w:pPr>
      <w:r w:rsidRPr="002803A6">
        <w:t>[</w:t>
      </w:r>
      <w:r w:rsidR="00445C49" w:rsidRPr="002803A6">
        <w:t>Anlage</w:t>
      </w:r>
      <w:r w:rsidRPr="002803A6">
        <w:t xml:space="preserve"> V </w:t>
      </w:r>
      <w:r w:rsidR="00445C49" w:rsidRPr="002803A6">
        <w:t>folgt]</w:t>
      </w:r>
    </w:p>
    <w:p w:rsidR="00701A18" w:rsidRPr="002803A6" w:rsidRDefault="00701A18" w:rsidP="00701A18">
      <w:pPr>
        <w:jc w:val="left"/>
      </w:pPr>
    </w:p>
    <w:p w:rsidR="00701A18" w:rsidRPr="002803A6" w:rsidRDefault="00701A18" w:rsidP="00701A18">
      <w:pPr>
        <w:jc w:val="left"/>
        <w:sectPr w:rsidR="00701A18" w:rsidRPr="002803A6" w:rsidSect="00823234">
          <w:headerReference w:type="default" r:id="rId12"/>
          <w:pgSz w:w="11907" w:h="16840" w:code="9"/>
          <w:pgMar w:top="510" w:right="1134" w:bottom="1134" w:left="1134" w:header="510" w:footer="680" w:gutter="0"/>
          <w:pgNumType w:start="1"/>
          <w:cols w:space="720"/>
          <w:titlePg/>
        </w:sectPr>
      </w:pPr>
    </w:p>
    <w:p w:rsidR="00701A18" w:rsidRPr="002803A6" w:rsidRDefault="00701A18" w:rsidP="00701A18">
      <w:pPr>
        <w:jc w:val="center"/>
      </w:pPr>
      <w:r w:rsidRPr="002803A6">
        <w:lastRenderedPageBreak/>
        <w:t>C/53/INF/4</w:t>
      </w:r>
    </w:p>
    <w:p w:rsidR="00701A18" w:rsidRPr="002803A6" w:rsidRDefault="00701A18" w:rsidP="00701A18">
      <w:pPr>
        <w:jc w:val="center"/>
      </w:pPr>
    </w:p>
    <w:p w:rsidR="00701A18" w:rsidRPr="002803A6" w:rsidRDefault="00445C49" w:rsidP="00701A18">
      <w:pPr>
        <w:jc w:val="center"/>
      </w:pPr>
      <w:r w:rsidRPr="002803A6">
        <w:t>ANLAGE</w:t>
      </w:r>
      <w:r w:rsidR="00701A18" w:rsidRPr="002803A6">
        <w:t xml:space="preserve"> V</w:t>
      </w:r>
    </w:p>
    <w:p w:rsidR="00701A18" w:rsidRPr="002803A6" w:rsidRDefault="00701A18" w:rsidP="00701A18">
      <w:pPr>
        <w:jc w:val="center"/>
      </w:pPr>
    </w:p>
    <w:p w:rsidR="00701A18" w:rsidRPr="002803A6" w:rsidRDefault="00701A18" w:rsidP="00701A18">
      <w:pPr>
        <w:jc w:val="center"/>
      </w:pPr>
    </w:p>
    <w:p w:rsidR="00143A42" w:rsidRPr="002803A6" w:rsidRDefault="00143A42" w:rsidP="00143A42">
      <w:pPr>
        <w:jc w:val="center"/>
      </w:pPr>
      <w:r w:rsidRPr="002803A6">
        <w:t>SPANIEN</w:t>
      </w:r>
    </w:p>
    <w:p w:rsidR="00143A42" w:rsidRPr="002803A6" w:rsidRDefault="00143A42" w:rsidP="00143A42"/>
    <w:p w:rsidR="00143A42" w:rsidRPr="002803A6" w:rsidRDefault="00143A42" w:rsidP="00143A42"/>
    <w:p w:rsidR="00143A42" w:rsidRPr="002803A6" w:rsidRDefault="00143A42" w:rsidP="00143A42">
      <w:r w:rsidRPr="002803A6">
        <w:t>I.</w:t>
      </w:r>
      <w:r w:rsidRPr="002803A6">
        <w:tab/>
        <w:t>SORTENSCHUTZ</w:t>
      </w:r>
    </w:p>
    <w:p w:rsidR="00143A42" w:rsidRPr="002803A6" w:rsidRDefault="00143A42" w:rsidP="00143A42">
      <w:pPr>
        <w:rPr>
          <w:rFonts w:cs="Arial"/>
        </w:rPr>
      </w:pPr>
    </w:p>
    <w:p w:rsidR="00143A42" w:rsidRPr="002803A6" w:rsidRDefault="00143A42" w:rsidP="00143A42">
      <w:pPr>
        <w:rPr>
          <w:rFonts w:cs="Arial"/>
          <w:u w:val="single"/>
        </w:rPr>
      </w:pPr>
      <w:r w:rsidRPr="002803A6">
        <w:t>1.</w:t>
      </w:r>
      <w:r w:rsidRPr="002803A6">
        <w:tab/>
      </w:r>
      <w:r w:rsidRPr="002803A6">
        <w:rPr>
          <w:u w:val="single"/>
        </w:rPr>
        <w:t>Lage auf dem Gebiet der Gesetzgebung</w:t>
      </w:r>
    </w:p>
    <w:p w:rsidR="00143A42" w:rsidRPr="002803A6" w:rsidRDefault="00143A42" w:rsidP="00143A42">
      <w:pPr>
        <w:rPr>
          <w:rFonts w:cs="Arial"/>
        </w:rPr>
      </w:pPr>
    </w:p>
    <w:p w:rsidR="00143A42" w:rsidRPr="002803A6" w:rsidRDefault="0072052F" w:rsidP="00143A42">
      <w:r w:rsidRPr="002803A6">
        <w:t>1.1</w:t>
      </w:r>
      <w:r w:rsidRPr="002803A6">
        <w:tab/>
      </w:r>
      <w:r w:rsidR="00143A42" w:rsidRPr="002803A6">
        <w:t>Änderungen des Gesetzes und der Ausführungsvorschriften</w:t>
      </w:r>
    </w:p>
    <w:p w:rsidR="00143A42" w:rsidRPr="002803A6" w:rsidRDefault="00143A42" w:rsidP="00143A42"/>
    <w:p w:rsidR="00143A42" w:rsidRPr="002803A6" w:rsidRDefault="00143A42" w:rsidP="00143A42">
      <w:r w:rsidRPr="002803A6">
        <w:t xml:space="preserve">Der Sortenschutz ist in Spanien durch das seit dem 10. Januar 2000 in Kraft befindliche Gesetz 3/2000 vom 7. Januar 2000 der Rechtsordnung zum Schutz von Pflanzensorten und durch das Königliche Dekret 1261/2005 vom 21. Oktober 2005 zur Billigung der seit dem 5. November 2005 geltenden Verordnungen zum Schutz von Pflanzensorten in der Fassung vom 30. Juli 2014 geregelt. Dieses Gesetz wurde nicht mehr geändert. </w:t>
      </w:r>
    </w:p>
    <w:p w:rsidR="00143A42" w:rsidRPr="002803A6" w:rsidRDefault="00143A42" w:rsidP="00143A42"/>
    <w:p w:rsidR="00143A42" w:rsidRPr="002803A6" w:rsidRDefault="0072052F" w:rsidP="00143A42">
      <w:r w:rsidRPr="002803A6">
        <w:t>1.2</w:t>
      </w:r>
      <w:r w:rsidRPr="002803A6">
        <w:tab/>
      </w:r>
      <w:r w:rsidR="00143A42" w:rsidRPr="002803A6">
        <w:t>Ausweitung des Schutzes auf weitere Gattungen und Arten</w:t>
      </w:r>
    </w:p>
    <w:p w:rsidR="00143A42" w:rsidRPr="002803A6" w:rsidRDefault="00143A42" w:rsidP="00143A42"/>
    <w:p w:rsidR="00143A42" w:rsidRPr="002803A6" w:rsidRDefault="00143A42" w:rsidP="00143A42">
      <w:r w:rsidRPr="002803A6">
        <w:t xml:space="preserve">Die spanische Gesetzgebung erlaubt den Schutz neuer Sorten aller Arten. </w:t>
      </w:r>
    </w:p>
    <w:p w:rsidR="00143A42" w:rsidRPr="002803A6" w:rsidRDefault="00143A42" w:rsidP="00143A42"/>
    <w:p w:rsidR="00143A42" w:rsidRPr="002803A6" w:rsidRDefault="00143A42" w:rsidP="00143A42">
      <w:pPr>
        <w:rPr>
          <w:u w:val="single"/>
        </w:rPr>
      </w:pPr>
      <w:r w:rsidRPr="002803A6">
        <w:t>2.</w:t>
      </w:r>
      <w:r w:rsidRPr="002803A6">
        <w:tab/>
      </w:r>
      <w:r w:rsidRPr="002803A6">
        <w:rPr>
          <w:u w:val="single"/>
        </w:rPr>
        <w:t>Zusammenarbeit bei der Prüfung</w:t>
      </w:r>
    </w:p>
    <w:p w:rsidR="00143A42" w:rsidRPr="002803A6" w:rsidRDefault="00143A42" w:rsidP="00143A42">
      <w:pPr>
        <w:rPr>
          <w:u w:val="single"/>
        </w:rPr>
      </w:pPr>
    </w:p>
    <w:p w:rsidR="00143A42" w:rsidRPr="002803A6" w:rsidRDefault="00143A42" w:rsidP="00143A42">
      <w:r w:rsidRPr="002803A6">
        <w:t>Im Laufe des Jahres 2019 wurden weder neue Abkommen geschlossen noch die bestehenden geändert. Spanien hat sich auch ohne vorherige Vereinbarung bereit erklärt, die DUS-Prüfung für eine Baumwollsorte für die OAPI, zwei Erdbeersorten für das Vereinigte Königreich und eine Walnu</w:t>
      </w:r>
      <w:r w:rsidR="002803A6">
        <w:t>ss</w:t>
      </w:r>
      <w:r w:rsidRPr="002803A6">
        <w:t>sorte für Deutschland durchzuführen. Darüber hinaus sind seit Januar 2019 Anfragen zum Kauf</w:t>
      </w:r>
      <w:r w:rsidR="0072052F" w:rsidRPr="002803A6">
        <w:t xml:space="preserve"> von Prüfungsergebnissen für 96 </w:t>
      </w:r>
      <w:r w:rsidRPr="002803A6">
        <w:t xml:space="preserve">Sorten aus 17 Nicht-EU-Ländern eingegangen. </w:t>
      </w:r>
    </w:p>
    <w:p w:rsidR="00143A42" w:rsidRPr="002803A6" w:rsidRDefault="00143A42" w:rsidP="00143A42"/>
    <w:p w:rsidR="00143A42" w:rsidRPr="002803A6" w:rsidRDefault="00143A42" w:rsidP="00143A42">
      <w:pPr>
        <w:rPr>
          <w:u w:val="single"/>
        </w:rPr>
      </w:pPr>
      <w:r w:rsidRPr="002803A6">
        <w:t>3.</w:t>
      </w:r>
      <w:r w:rsidRPr="002803A6">
        <w:tab/>
      </w:r>
      <w:r w:rsidRPr="002803A6">
        <w:rPr>
          <w:u w:val="single"/>
        </w:rPr>
        <w:t>Lage auf dem Gebiet der Verwaltung</w:t>
      </w:r>
    </w:p>
    <w:p w:rsidR="00143A42" w:rsidRPr="002803A6" w:rsidRDefault="00143A42" w:rsidP="00143A42">
      <w:pPr>
        <w:rPr>
          <w:u w:val="single"/>
        </w:rPr>
      </w:pPr>
    </w:p>
    <w:p w:rsidR="00143A42" w:rsidRPr="002803A6" w:rsidRDefault="00143A42" w:rsidP="00143A42">
      <w:r w:rsidRPr="002803A6">
        <w:t xml:space="preserve">Ein neuer Direktor des spanischen Sortenamtes (OEVV), Herr José Antonio </w:t>
      </w:r>
      <w:proofErr w:type="spellStart"/>
      <w:r w:rsidRPr="002803A6">
        <w:t>Sobrino</w:t>
      </w:r>
      <w:proofErr w:type="spellEnd"/>
      <w:r w:rsidRPr="002803A6">
        <w:t xml:space="preserve"> </w:t>
      </w:r>
      <w:proofErr w:type="spellStart"/>
      <w:r w:rsidRPr="002803A6">
        <w:t>Maté</w:t>
      </w:r>
      <w:proofErr w:type="spellEnd"/>
      <w:r w:rsidRPr="002803A6">
        <w:t>, und eine neue Leiterin des Registers handelsfähiger und geschützter Sorten, Frau Nuria Urquía Fernández, wurden ernannt.</w:t>
      </w:r>
    </w:p>
    <w:p w:rsidR="00143A42" w:rsidRPr="002803A6" w:rsidRDefault="00143A42" w:rsidP="00143A42"/>
    <w:p w:rsidR="00143A42" w:rsidRPr="002803A6" w:rsidRDefault="00143A42" w:rsidP="00143A42">
      <w:r w:rsidRPr="002803A6">
        <w:t xml:space="preserve">Es gab keine Änderungen bei den Verwaltungsverfahren und -systemen des spanischen Sortenamtes. </w:t>
      </w:r>
    </w:p>
    <w:p w:rsidR="00143A42" w:rsidRPr="002803A6" w:rsidRDefault="00143A42" w:rsidP="00143A42"/>
    <w:p w:rsidR="00143A42" w:rsidRPr="002803A6" w:rsidRDefault="00143A42" w:rsidP="00143A42">
      <w:r w:rsidRPr="002803A6">
        <w:t>4.</w:t>
      </w:r>
      <w:r w:rsidRPr="002803A6">
        <w:tab/>
      </w:r>
      <w:r w:rsidRPr="002803A6">
        <w:rPr>
          <w:u w:val="single"/>
        </w:rPr>
        <w:t>Situation auf dem Gebiet der Technik</w:t>
      </w:r>
      <w:r w:rsidRPr="002803A6">
        <w:t xml:space="preserve"> </w:t>
      </w:r>
    </w:p>
    <w:p w:rsidR="00143A42" w:rsidRPr="002803A6" w:rsidRDefault="00143A42" w:rsidP="00143A42"/>
    <w:p w:rsidR="00143A42" w:rsidRPr="002803A6" w:rsidRDefault="00143A42" w:rsidP="00143A42">
      <w:r w:rsidRPr="002803A6">
        <w:t>Die DUS-Prüfungen für landwirtschaftliche und Gemüsearten zur Erteilung von Schutztiteln durch das OEVV werden vom Nationalen agrarwissenschaftlichen Institut, INIA, durchgeführt. Für die Durchführung von DUS-Prüfungen von Obstarten hat das OEVV Abkommen über die Zusammenarbeit mit zehn Forschungszentren abgeschlossen. Für die Durchführung von DUS-Prüfungen von Zierarten gestattet das spanische Recht, um Zusammenarbeit mit anderen Prüfungsämtern außerhalb des Staatsgebiets zu ersuchen.</w:t>
      </w:r>
    </w:p>
    <w:p w:rsidR="00143A42" w:rsidRPr="002803A6" w:rsidRDefault="00143A42" w:rsidP="00143A42"/>
    <w:p w:rsidR="00143A42" w:rsidRPr="002803A6" w:rsidRDefault="00143A42" w:rsidP="00143A42">
      <w:pPr>
        <w:rPr>
          <w:u w:val="single"/>
        </w:rPr>
      </w:pPr>
      <w:r w:rsidRPr="002803A6">
        <w:t>5.</w:t>
      </w:r>
      <w:r w:rsidRPr="002803A6">
        <w:tab/>
      </w:r>
      <w:r w:rsidRPr="002803A6">
        <w:rPr>
          <w:u w:val="single"/>
        </w:rPr>
        <w:t>Tätigkeiten zur Förderung des Sortenschutzes</w:t>
      </w:r>
    </w:p>
    <w:p w:rsidR="00143A42" w:rsidRPr="002803A6" w:rsidRDefault="00143A42" w:rsidP="00143A42"/>
    <w:tbl>
      <w:tblPr>
        <w:tblStyle w:val="TableGrid"/>
        <w:tblW w:w="9776" w:type="dxa"/>
        <w:tblLayout w:type="fixed"/>
        <w:tblCellMar>
          <w:top w:w="28" w:type="dxa"/>
          <w:left w:w="28" w:type="dxa"/>
          <w:bottom w:w="28" w:type="dxa"/>
          <w:right w:w="28" w:type="dxa"/>
        </w:tblCellMar>
        <w:tblLook w:val="01E0" w:firstRow="1" w:lastRow="1" w:firstColumn="1" w:lastColumn="1" w:noHBand="0" w:noVBand="0"/>
      </w:tblPr>
      <w:tblGrid>
        <w:gridCol w:w="1646"/>
        <w:gridCol w:w="1022"/>
        <w:gridCol w:w="729"/>
        <w:gridCol w:w="993"/>
        <w:gridCol w:w="1337"/>
        <w:gridCol w:w="2065"/>
        <w:gridCol w:w="1984"/>
      </w:tblGrid>
      <w:tr w:rsidR="00143A42" w:rsidRPr="002803A6" w:rsidTr="0072052F">
        <w:tc>
          <w:tcPr>
            <w:tcW w:w="1646" w:type="dxa"/>
          </w:tcPr>
          <w:p w:rsidR="00143A42" w:rsidRPr="002803A6" w:rsidRDefault="00143A42" w:rsidP="00E16D6F">
            <w:pPr>
              <w:jc w:val="left"/>
              <w:rPr>
                <w:sz w:val="16"/>
                <w:szCs w:val="18"/>
              </w:rPr>
            </w:pPr>
            <w:r w:rsidRPr="002803A6">
              <w:rPr>
                <w:sz w:val="16"/>
                <w:szCs w:val="18"/>
              </w:rPr>
              <w:t>Art der Tätigkeit</w:t>
            </w:r>
          </w:p>
        </w:tc>
        <w:tc>
          <w:tcPr>
            <w:tcW w:w="1022" w:type="dxa"/>
          </w:tcPr>
          <w:p w:rsidR="00143A42" w:rsidRPr="002803A6" w:rsidRDefault="00143A42" w:rsidP="00E16D6F">
            <w:pPr>
              <w:jc w:val="left"/>
              <w:rPr>
                <w:sz w:val="16"/>
                <w:szCs w:val="18"/>
              </w:rPr>
            </w:pPr>
            <w:r w:rsidRPr="002803A6">
              <w:rPr>
                <w:sz w:val="16"/>
                <w:szCs w:val="18"/>
              </w:rPr>
              <w:t>Datum</w:t>
            </w:r>
          </w:p>
        </w:tc>
        <w:tc>
          <w:tcPr>
            <w:tcW w:w="729" w:type="dxa"/>
          </w:tcPr>
          <w:p w:rsidR="00143A42" w:rsidRPr="002803A6" w:rsidRDefault="00143A42" w:rsidP="00E16D6F">
            <w:pPr>
              <w:jc w:val="left"/>
              <w:rPr>
                <w:sz w:val="16"/>
                <w:szCs w:val="18"/>
              </w:rPr>
            </w:pPr>
            <w:r w:rsidRPr="002803A6">
              <w:rPr>
                <w:sz w:val="16"/>
                <w:szCs w:val="18"/>
              </w:rPr>
              <w:t>Ort</w:t>
            </w:r>
          </w:p>
        </w:tc>
        <w:tc>
          <w:tcPr>
            <w:tcW w:w="993" w:type="dxa"/>
          </w:tcPr>
          <w:p w:rsidR="00143A42" w:rsidRPr="002803A6" w:rsidRDefault="00143A42" w:rsidP="00E16D6F">
            <w:pPr>
              <w:jc w:val="left"/>
              <w:rPr>
                <w:sz w:val="16"/>
                <w:szCs w:val="18"/>
              </w:rPr>
            </w:pPr>
            <w:proofErr w:type="spellStart"/>
            <w:r w:rsidRPr="002803A6">
              <w:rPr>
                <w:sz w:val="16"/>
                <w:szCs w:val="18"/>
              </w:rPr>
              <w:t>Organisa</w:t>
            </w:r>
            <w:proofErr w:type="spellEnd"/>
            <w:r w:rsidRPr="002803A6">
              <w:rPr>
                <w:sz w:val="16"/>
                <w:szCs w:val="18"/>
              </w:rPr>
              <w:t>-tor(en)</w:t>
            </w:r>
          </w:p>
        </w:tc>
        <w:tc>
          <w:tcPr>
            <w:tcW w:w="1337" w:type="dxa"/>
          </w:tcPr>
          <w:p w:rsidR="00143A42" w:rsidRPr="002803A6" w:rsidRDefault="00143A42" w:rsidP="00E16D6F">
            <w:pPr>
              <w:jc w:val="left"/>
              <w:rPr>
                <w:sz w:val="16"/>
                <w:szCs w:val="18"/>
              </w:rPr>
            </w:pPr>
            <w:r w:rsidRPr="002803A6">
              <w:rPr>
                <w:sz w:val="16"/>
                <w:szCs w:val="18"/>
              </w:rPr>
              <w:t>Zweck der Tätigkeit</w:t>
            </w:r>
          </w:p>
        </w:tc>
        <w:tc>
          <w:tcPr>
            <w:tcW w:w="2065" w:type="dxa"/>
          </w:tcPr>
          <w:p w:rsidR="00143A42" w:rsidRPr="002803A6" w:rsidRDefault="00143A42" w:rsidP="00E16D6F">
            <w:pPr>
              <w:jc w:val="left"/>
              <w:rPr>
                <w:sz w:val="16"/>
                <w:szCs w:val="18"/>
              </w:rPr>
            </w:pPr>
            <w:r w:rsidRPr="002803A6">
              <w:rPr>
                <w:sz w:val="16"/>
                <w:szCs w:val="18"/>
              </w:rPr>
              <w:t>Teilnehmende Staaten/ Organisationen (Zahl der Teilnehmer pro Staat/Organisation)</w:t>
            </w:r>
          </w:p>
        </w:tc>
        <w:tc>
          <w:tcPr>
            <w:tcW w:w="1984" w:type="dxa"/>
          </w:tcPr>
          <w:p w:rsidR="00143A42" w:rsidRPr="002803A6" w:rsidRDefault="00143A42" w:rsidP="00E16D6F">
            <w:pPr>
              <w:jc w:val="left"/>
              <w:rPr>
                <w:sz w:val="16"/>
                <w:szCs w:val="18"/>
              </w:rPr>
            </w:pPr>
            <w:r w:rsidRPr="002803A6">
              <w:rPr>
                <w:sz w:val="16"/>
                <w:szCs w:val="18"/>
              </w:rPr>
              <w:t>Kommentare</w:t>
            </w:r>
          </w:p>
        </w:tc>
      </w:tr>
      <w:tr w:rsidR="00143A42" w:rsidRPr="002803A6" w:rsidTr="0072052F">
        <w:tc>
          <w:tcPr>
            <w:tcW w:w="1646" w:type="dxa"/>
          </w:tcPr>
          <w:p w:rsidR="00143A42" w:rsidRPr="002803A6" w:rsidRDefault="00143A42" w:rsidP="00E16D6F">
            <w:pPr>
              <w:jc w:val="left"/>
              <w:rPr>
                <w:sz w:val="16"/>
                <w:szCs w:val="18"/>
              </w:rPr>
            </w:pPr>
            <w:r w:rsidRPr="002803A6">
              <w:rPr>
                <w:sz w:val="16"/>
                <w:szCs w:val="18"/>
              </w:rPr>
              <w:t>Nationale Transfer- und Innovationstage betreffend extensive Winterkulturen, GENVCE</w:t>
            </w:r>
          </w:p>
          <w:p w:rsidR="00143A42" w:rsidRPr="002803A6" w:rsidRDefault="00143A42" w:rsidP="00E16D6F">
            <w:pPr>
              <w:jc w:val="left"/>
              <w:rPr>
                <w:sz w:val="16"/>
                <w:szCs w:val="18"/>
              </w:rPr>
            </w:pPr>
          </w:p>
        </w:tc>
        <w:tc>
          <w:tcPr>
            <w:tcW w:w="1022" w:type="dxa"/>
          </w:tcPr>
          <w:p w:rsidR="00143A42" w:rsidRPr="002803A6" w:rsidRDefault="00143A42" w:rsidP="00E16D6F">
            <w:pPr>
              <w:jc w:val="left"/>
              <w:rPr>
                <w:sz w:val="16"/>
                <w:szCs w:val="18"/>
              </w:rPr>
            </w:pPr>
            <w:r w:rsidRPr="002803A6">
              <w:rPr>
                <w:sz w:val="16"/>
                <w:szCs w:val="18"/>
              </w:rPr>
              <w:t>28. - 29. Mai 2019</w:t>
            </w:r>
          </w:p>
        </w:tc>
        <w:tc>
          <w:tcPr>
            <w:tcW w:w="729" w:type="dxa"/>
          </w:tcPr>
          <w:p w:rsidR="00143A42" w:rsidRPr="002803A6" w:rsidRDefault="00143A42" w:rsidP="00E16D6F">
            <w:pPr>
              <w:jc w:val="left"/>
              <w:rPr>
                <w:sz w:val="16"/>
                <w:szCs w:val="18"/>
              </w:rPr>
            </w:pPr>
            <w:r w:rsidRPr="002803A6">
              <w:rPr>
                <w:sz w:val="16"/>
                <w:szCs w:val="18"/>
              </w:rPr>
              <w:t>Vitoria</w:t>
            </w:r>
          </w:p>
        </w:tc>
        <w:tc>
          <w:tcPr>
            <w:tcW w:w="993" w:type="dxa"/>
          </w:tcPr>
          <w:p w:rsidR="00143A42" w:rsidRPr="002803A6" w:rsidRDefault="00143A42" w:rsidP="00E16D6F">
            <w:pPr>
              <w:jc w:val="left"/>
              <w:rPr>
                <w:sz w:val="16"/>
                <w:szCs w:val="18"/>
              </w:rPr>
            </w:pPr>
            <w:r w:rsidRPr="002803A6">
              <w:rPr>
                <w:sz w:val="16"/>
                <w:szCs w:val="18"/>
              </w:rPr>
              <w:t>-MAPA</w:t>
            </w:r>
          </w:p>
          <w:p w:rsidR="00143A42" w:rsidRPr="002803A6" w:rsidRDefault="00143A42" w:rsidP="00E16D6F">
            <w:pPr>
              <w:jc w:val="left"/>
              <w:rPr>
                <w:sz w:val="16"/>
                <w:szCs w:val="18"/>
              </w:rPr>
            </w:pPr>
            <w:r w:rsidRPr="002803A6">
              <w:rPr>
                <w:sz w:val="16"/>
                <w:szCs w:val="18"/>
              </w:rPr>
              <w:t>-INIA</w:t>
            </w:r>
          </w:p>
          <w:p w:rsidR="00143A42" w:rsidRPr="002803A6" w:rsidRDefault="00143A42" w:rsidP="00E16D6F">
            <w:pPr>
              <w:jc w:val="left"/>
              <w:rPr>
                <w:sz w:val="16"/>
                <w:szCs w:val="18"/>
              </w:rPr>
            </w:pPr>
            <w:r w:rsidRPr="002803A6">
              <w:rPr>
                <w:sz w:val="16"/>
                <w:szCs w:val="18"/>
              </w:rPr>
              <w:t>-NEIKER</w:t>
            </w:r>
          </w:p>
          <w:p w:rsidR="00143A42" w:rsidRPr="002803A6" w:rsidRDefault="00143A42" w:rsidP="00E16D6F">
            <w:pPr>
              <w:jc w:val="left"/>
              <w:rPr>
                <w:sz w:val="16"/>
                <w:szCs w:val="18"/>
              </w:rPr>
            </w:pPr>
            <w:r w:rsidRPr="002803A6">
              <w:rPr>
                <w:sz w:val="16"/>
                <w:szCs w:val="18"/>
              </w:rPr>
              <w:t>-Baskische Regierung</w:t>
            </w:r>
          </w:p>
          <w:p w:rsidR="00143A42" w:rsidRPr="002803A6" w:rsidRDefault="00143A42" w:rsidP="00E16D6F">
            <w:pPr>
              <w:jc w:val="left"/>
              <w:rPr>
                <w:sz w:val="16"/>
                <w:szCs w:val="18"/>
              </w:rPr>
            </w:pPr>
            <w:r w:rsidRPr="002803A6">
              <w:rPr>
                <w:sz w:val="16"/>
                <w:szCs w:val="18"/>
              </w:rPr>
              <w:t>-Privatsektor</w:t>
            </w:r>
          </w:p>
        </w:tc>
        <w:tc>
          <w:tcPr>
            <w:tcW w:w="1337" w:type="dxa"/>
          </w:tcPr>
          <w:p w:rsidR="00143A42" w:rsidRPr="002803A6" w:rsidRDefault="00143A42" w:rsidP="00E16D6F">
            <w:pPr>
              <w:jc w:val="left"/>
              <w:rPr>
                <w:sz w:val="16"/>
                <w:szCs w:val="18"/>
              </w:rPr>
            </w:pPr>
            <w:r w:rsidRPr="002803A6">
              <w:rPr>
                <w:sz w:val="16"/>
                <w:szCs w:val="18"/>
              </w:rPr>
              <w:t>Förderung neuer Pflanzen,</w:t>
            </w:r>
          </w:p>
          <w:p w:rsidR="00143A42" w:rsidRPr="002803A6" w:rsidRDefault="00143A42" w:rsidP="00E16D6F">
            <w:pPr>
              <w:jc w:val="left"/>
              <w:rPr>
                <w:sz w:val="16"/>
                <w:szCs w:val="18"/>
              </w:rPr>
            </w:pPr>
            <w:r w:rsidRPr="002803A6">
              <w:rPr>
                <w:sz w:val="16"/>
                <w:szCs w:val="18"/>
              </w:rPr>
              <w:t>Schutzbedarf zur Förderung des Technologie-transfers</w:t>
            </w:r>
          </w:p>
        </w:tc>
        <w:tc>
          <w:tcPr>
            <w:tcW w:w="2065" w:type="dxa"/>
          </w:tcPr>
          <w:p w:rsidR="00143A42" w:rsidRPr="002803A6" w:rsidRDefault="00143A42" w:rsidP="00E16D6F">
            <w:pPr>
              <w:jc w:val="left"/>
              <w:rPr>
                <w:sz w:val="16"/>
                <w:szCs w:val="18"/>
              </w:rPr>
            </w:pPr>
            <w:r w:rsidRPr="002803A6">
              <w:rPr>
                <w:sz w:val="16"/>
                <w:szCs w:val="18"/>
              </w:rPr>
              <w:t>Spanien</w:t>
            </w:r>
          </w:p>
          <w:p w:rsidR="00143A42" w:rsidRPr="002803A6" w:rsidRDefault="00143A42" w:rsidP="00E16D6F">
            <w:pPr>
              <w:jc w:val="left"/>
              <w:rPr>
                <w:sz w:val="16"/>
                <w:szCs w:val="18"/>
              </w:rPr>
            </w:pPr>
            <w:r w:rsidRPr="002803A6">
              <w:rPr>
                <w:sz w:val="16"/>
                <w:szCs w:val="18"/>
              </w:rPr>
              <w:t xml:space="preserve">Internationaler Privatsektor mit Tätigkeiten in Spanien </w:t>
            </w:r>
          </w:p>
        </w:tc>
        <w:tc>
          <w:tcPr>
            <w:tcW w:w="1984" w:type="dxa"/>
          </w:tcPr>
          <w:p w:rsidR="00143A42" w:rsidRPr="002803A6" w:rsidRDefault="00143A42" w:rsidP="0072052F">
            <w:pPr>
              <w:jc w:val="left"/>
              <w:rPr>
                <w:sz w:val="16"/>
                <w:szCs w:val="18"/>
              </w:rPr>
            </w:pPr>
            <w:r w:rsidRPr="002803A6">
              <w:rPr>
                <w:sz w:val="16"/>
                <w:szCs w:val="18"/>
              </w:rPr>
              <w:t xml:space="preserve">Teilnahme von 1 500 Fachleuten, Feldbesuche mit Möglichkeit zur Beobachtung des Verhaltens der Sorten. Es ist eine jährliche Tätigkeit. </w:t>
            </w:r>
          </w:p>
        </w:tc>
      </w:tr>
    </w:tbl>
    <w:p w:rsidR="00143A42" w:rsidRPr="002803A6" w:rsidRDefault="00143A42" w:rsidP="00143A42"/>
    <w:p w:rsidR="00143A42" w:rsidRPr="002803A6" w:rsidRDefault="00143A42" w:rsidP="00143A42"/>
    <w:p w:rsidR="00143A42" w:rsidRPr="002803A6" w:rsidRDefault="00143A42" w:rsidP="00143A42">
      <w:pPr>
        <w:keepNext/>
      </w:pPr>
      <w:r w:rsidRPr="002803A6">
        <w:t>II.</w:t>
      </w:r>
      <w:r w:rsidRPr="002803A6">
        <w:tab/>
        <w:t>ANDERE ENTWICKLUNGEN VON INTERESSE FÜR DIE UPOV</w:t>
      </w:r>
    </w:p>
    <w:p w:rsidR="00143A42" w:rsidRPr="002803A6" w:rsidRDefault="00143A42" w:rsidP="00143A42">
      <w:pPr>
        <w:keepNext/>
      </w:pPr>
    </w:p>
    <w:p w:rsidR="00143A42" w:rsidRPr="002803A6" w:rsidRDefault="00143A42" w:rsidP="00143A42">
      <w:r w:rsidRPr="002803A6">
        <w:t xml:space="preserve">Spanien äußert seine Besorgnis über die jüngste Entscheidung des Europäischen Patentamts, die Patentierbarkeit von Produkten anzuerkennen, die durch im wesentlichen biologische Verfahren gewonnen wurden, was auch für Pflanzensorten gilt (Rechtssache G 3/19). </w:t>
      </w:r>
    </w:p>
    <w:p w:rsidR="00AA0BC7" w:rsidRPr="002803A6" w:rsidRDefault="00AA0BC7" w:rsidP="00AA0BC7"/>
    <w:p w:rsidR="0072052F" w:rsidRPr="002803A6" w:rsidRDefault="0072052F" w:rsidP="00AA0BC7"/>
    <w:p w:rsidR="00701A18" w:rsidRPr="002803A6" w:rsidRDefault="00701A18" w:rsidP="002A4DDE">
      <w:pPr>
        <w:jc w:val="right"/>
      </w:pPr>
      <w:r w:rsidRPr="002803A6">
        <w:t>[</w:t>
      </w:r>
      <w:r w:rsidR="00445C49" w:rsidRPr="002803A6">
        <w:t>Anlage</w:t>
      </w:r>
      <w:r w:rsidRPr="002803A6">
        <w:t xml:space="preserve"> VI </w:t>
      </w:r>
      <w:r w:rsidR="00445C49" w:rsidRPr="002803A6">
        <w:t>folgt]</w:t>
      </w:r>
    </w:p>
    <w:p w:rsidR="00701A18" w:rsidRPr="002803A6" w:rsidRDefault="00701A18" w:rsidP="00701A18">
      <w:pPr>
        <w:jc w:val="left"/>
        <w:sectPr w:rsidR="00701A18" w:rsidRPr="002803A6" w:rsidSect="002A4DDE">
          <w:headerReference w:type="default" r:id="rId13"/>
          <w:pgSz w:w="11907" w:h="16840" w:code="9"/>
          <w:pgMar w:top="510" w:right="1134" w:bottom="709" w:left="1134" w:header="510" w:footer="680" w:gutter="0"/>
          <w:pgNumType w:start="1"/>
          <w:cols w:space="720"/>
          <w:titlePg/>
        </w:sectPr>
      </w:pPr>
    </w:p>
    <w:p w:rsidR="00701A18" w:rsidRPr="002803A6" w:rsidRDefault="00701A18" w:rsidP="00701A18">
      <w:pPr>
        <w:jc w:val="center"/>
      </w:pPr>
      <w:r w:rsidRPr="002803A6">
        <w:lastRenderedPageBreak/>
        <w:t>C/53/INF/4</w:t>
      </w:r>
    </w:p>
    <w:p w:rsidR="00701A18" w:rsidRPr="002803A6" w:rsidRDefault="00701A18" w:rsidP="00701A18">
      <w:pPr>
        <w:jc w:val="center"/>
      </w:pPr>
    </w:p>
    <w:p w:rsidR="00701A18" w:rsidRPr="002803A6" w:rsidRDefault="00445C49" w:rsidP="00701A18">
      <w:pPr>
        <w:jc w:val="center"/>
      </w:pPr>
      <w:r w:rsidRPr="002803A6">
        <w:t>ANLAGE</w:t>
      </w:r>
      <w:r w:rsidR="00701A18" w:rsidRPr="002803A6">
        <w:t xml:space="preserve"> VI</w:t>
      </w:r>
    </w:p>
    <w:p w:rsidR="00701A18" w:rsidRPr="002803A6" w:rsidRDefault="00701A18" w:rsidP="00701A18">
      <w:pPr>
        <w:jc w:val="center"/>
      </w:pPr>
    </w:p>
    <w:p w:rsidR="00701A18" w:rsidRPr="002803A6" w:rsidRDefault="00701A18" w:rsidP="00701A18">
      <w:pPr>
        <w:jc w:val="center"/>
      </w:pPr>
    </w:p>
    <w:p w:rsidR="002A4DEE" w:rsidRPr="002803A6" w:rsidRDefault="002A4DEE" w:rsidP="002A4DEE">
      <w:pPr>
        <w:jc w:val="center"/>
      </w:pPr>
      <w:r w:rsidRPr="002803A6">
        <w:t>UNGARN</w:t>
      </w:r>
    </w:p>
    <w:p w:rsidR="002A4DEE" w:rsidRPr="002803A6" w:rsidRDefault="002A4DEE" w:rsidP="002A4DEE"/>
    <w:p w:rsidR="002A4DEE" w:rsidRPr="002803A6" w:rsidRDefault="002A4DEE" w:rsidP="002A4DEE"/>
    <w:p w:rsidR="002A4DEE" w:rsidRPr="002803A6" w:rsidRDefault="002A4DEE" w:rsidP="002A4DEE">
      <w:r w:rsidRPr="002803A6">
        <w:t>I.</w:t>
      </w:r>
      <w:r w:rsidRPr="002803A6">
        <w:tab/>
        <w:t>SORTENSCHUTZ</w:t>
      </w:r>
    </w:p>
    <w:p w:rsidR="002A4DEE" w:rsidRPr="002803A6" w:rsidRDefault="002A4DEE" w:rsidP="002A4DEE"/>
    <w:p w:rsidR="002A4DEE" w:rsidRPr="002803A6" w:rsidRDefault="002A4DEE" w:rsidP="002A4DEE">
      <w:r w:rsidRPr="002803A6">
        <w:t xml:space="preserve">1. </w:t>
      </w:r>
      <w:r w:rsidRPr="002803A6">
        <w:tab/>
      </w:r>
      <w:r w:rsidRPr="002803A6">
        <w:rPr>
          <w:u w:val="single"/>
        </w:rPr>
        <w:t>Lage auf dem Gebiet der Gesetzgebung</w:t>
      </w:r>
    </w:p>
    <w:p w:rsidR="002A4DEE" w:rsidRPr="002803A6" w:rsidRDefault="002A4DEE" w:rsidP="002A4DEE"/>
    <w:p w:rsidR="002A4DEE" w:rsidRPr="002803A6" w:rsidRDefault="002A4DEE" w:rsidP="002A4DEE">
      <w:r w:rsidRPr="002803A6">
        <w:t>1.1</w:t>
      </w:r>
      <w:r w:rsidRPr="002803A6">
        <w:tab/>
        <w:t>Änderungen des Gesetzes und der Ausführungsvorschriften</w:t>
      </w:r>
    </w:p>
    <w:p w:rsidR="002A4DEE" w:rsidRPr="002803A6" w:rsidRDefault="002A4DEE" w:rsidP="002A4DEE">
      <w:pPr>
        <w:pStyle w:val="Default"/>
        <w:jc w:val="both"/>
        <w:rPr>
          <w:sz w:val="20"/>
          <w:szCs w:val="20"/>
          <w:lang w:val="de-DE"/>
        </w:rPr>
      </w:pPr>
    </w:p>
    <w:p w:rsidR="002A4DEE" w:rsidRPr="002803A6" w:rsidRDefault="002A4DEE" w:rsidP="002A4DEE">
      <w:pPr>
        <w:pStyle w:val="Default"/>
        <w:jc w:val="both"/>
        <w:rPr>
          <w:sz w:val="20"/>
          <w:szCs w:val="20"/>
          <w:lang w:val="de-DE"/>
        </w:rPr>
      </w:pPr>
      <w:r w:rsidRPr="002803A6">
        <w:rPr>
          <w:sz w:val="20"/>
          <w:szCs w:val="20"/>
          <w:lang w:val="de-DE"/>
        </w:rPr>
        <w:t>Das ungarische Patentgesetz (Gesetz XXXIII von 1995 über den Patentschutz von Erfindungen (‚Patentgesetz‛), das auch die Züchterrechte in Ungarn regelt, wurde am 1. Januar 2019 geändert. Die Änderungen betreffen hauptsächlich administrative Angelegenheiten. Die englische Übersetzung der geänderten Artikel ist nachfolgend dargelegt.</w:t>
      </w:r>
    </w:p>
    <w:p w:rsidR="002A4DEE" w:rsidRPr="002803A6" w:rsidRDefault="002A4DEE" w:rsidP="002A4DEE"/>
    <w:p w:rsidR="002A4DEE" w:rsidRPr="002803A6" w:rsidRDefault="002A4DEE" w:rsidP="002A4DEE">
      <w:pPr>
        <w:ind w:left="284" w:right="283"/>
        <w:rPr>
          <w:rFonts w:cs="Arial"/>
          <w:b/>
          <w:sz w:val="18"/>
        </w:rPr>
      </w:pPr>
      <w:r w:rsidRPr="002803A6">
        <w:rPr>
          <w:b/>
          <w:sz w:val="18"/>
        </w:rPr>
        <w:t>Art.</w:t>
      </w:r>
      <w:r w:rsidRPr="002803A6">
        <w:rPr>
          <w:sz w:val="18"/>
        </w:rPr>
        <w:t xml:space="preserve"> </w:t>
      </w:r>
      <w:r w:rsidRPr="002803A6">
        <w:rPr>
          <w:b/>
          <w:sz w:val="18"/>
        </w:rPr>
        <w:t>114/I.</w:t>
      </w:r>
    </w:p>
    <w:p w:rsidR="002A4DEE" w:rsidRPr="002803A6" w:rsidRDefault="002A4DEE" w:rsidP="002A4DEE">
      <w:pPr>
        <w:pStyle w:val="BodyText"/>
        <w:spacing w:after="120"/>
        <w:ind w:left="284" w:right="283"/>
        <w:rPr>
          <w:rFonts w:cs="Arial"/>
          <w:bCs/>
          <w:iCs/>
          <w:sz w:val="18"/>
        </w:rPr>
      </w:pPr>
    </w:p>
    <w:p w:rsidR="002A4DEE" w:rsidRPr="002803A6" w:rsidRDefault="002A4DEE" w:rsidP="002A4DEE">
      <w:pPr>
        <w:pStyle w:val="BodyText"/>
        <w:spacing w:after="120"/>
        <w:ind w:left="284" w:right="283"/>
        <w:rPr>
          <w:rFonts w:cs="Arial"/>
          <w:bCs/>
          <w:i/>
          <w:iCs/>
          <w:sz w:val="18"/>
        </w:rPr>
      </w:pPr>
      <w:r w:rsidRPr="002803A6">
        <w:rPr>
          <w:bCs/>
          <w:iCs/>
          <w:sz w:val="18"/>
        </w:rPr>
        <w:t xml:space="preserve">3) Zusätzlich zu den in Artikel 45 Absätze 5 und 6 genannten Angaben </w:t>
      </w:r>
      <w:r w:rsidR="002803A6" w:rsidRPr="002803A6">
        <w:rPr>
          <w:bCs/>
          <w:iCs/>
          <w:sz w:val="18"/>
        </w:rPr>
        <w:t>muss</w:t>
      </w:r>
      <w:r w:rsidRPr="002803A6">
        <w:rPr>
          <w:bCs/>
          <w:iCs/>
          <w:sz w:val="18"/>
        </w:rPr>
        <w:t xml:space="preserve"> der Antrag auf Erteilung von Sortenschutz den Namen und die Anschrift des Züchters oder einen Hinweis enthalten, </w:t>
      </w:r>
      <w:r w:rsidR="002803A6" w:rsidRPr="002803A6">
        <w:rPr>
          <w:bCs/>
          <w:iCs/>
          <w:sz w:val="18"/>
        </w:rPr>
        <w:t>dass</w:t>
      </w:r>
      <w:r w:rsidRPr="002803A6">
        <w:rPr>
          <w:bCs/>
          <w:iCs/>
          <w:sz w:val="18"/>
        </w:rPr>
        <w:t xml:space="preserve"> der Züchter verlangt, </w:t>
      </w:r>
      <w:r w:rsidR="002803A6" w:rsidRPr="002803A6">
        <w:rPr>
          <w:bCs/>
          <w:iCs/>
          <w:sz w:val="18"/>
        </w:rPr>
        <w:t>dass</w:t>
      </w:r>
      <w:r w:rsidRPr="002803A6">
        <w:rPr>
          <w:bCs/>
          <w:iCs/>
          <w:sz w:val="18"/>
        </w:rPr>
        <w:t xml:space="preserve"> sein Name und seine Anschrift in den Unterlagen zum Sortenschutz nicht genannt werden und </w:t>
      </w:r>
      <w:r w:rsidR="002803A6" w:rsidRPr="002803A6">
        <w:rPr>
          <w:bCs/>
          <w:iCs/>
          <w:sz w:val="18"/>
        </w:rPr>
        <w:t>dass</w:t>
      </w:r>
      <w:r w:rsidRPr="002803A6">
        <w:rPr>
          <w:bCs/>
          <w:iCs/>
          <w:sz w:val="18"/>
        </w:rPr>
        <w:t xml:space="preserve"> der Züchter seinen Namen und seine Anschrift auf einem separaten Blatt angibt.</w:t>
      </w:r>
    </w:p>
    <w:p w:rsidR="002A4DEE" w:rsidRPr="002803A6" w:rsidRDefault="002A4DEE" w:rsidP="002A4DEE">
      <w:pPr>
        <w:pStyle w:val="BodyTextIndent"/>
        <w:ind w:left="284" w:right="283"/>
        <w:rPr>
          <w:rFonts w:cs="Arial"/>
          <w:bCs/>
          <w:sz w:val="18"/>
        </w:rPr>
      </w:pPr>
      <w:r w:rsidRPr="002803A6">
        <w:rPr>
          <w:bCs/>
          <w:iCs/>
          <w:sz w:val="18"/>
        </w:rPr>
        <w:t xml:space="preserve">3a) </w:t>
      </w:r>
      <w:r w:rsidRPr="002803A6">
        <w:rPr>
          <w:bCs/>
          <w:sz w:val="18"/>
        </w:rPr>
        <w:t>Im Übrigen sind Anträge auf Erteilung von Sortenschutz unter Beachtung der detaillierten Anforderungen des Gesetzes über die genauen Formerfordernisse von Patentanmeldungen und des Gesetzes über die elektronische Einreichung von Anmeldungen zur Erteilung von Schutz des gewerblichen Eigentums zu stellen.</w:t>
      </w:r>
    </w:p>
    <w:p w:rsidR="002A4DEE" w:rsidRPr="002803A6" w:rsidRDefault="002A4DEE" w:rsidP="002A4DEE">
      <w:pPr>
        <w:pStyle w:val="BodyTextIndent"/>
        <w:ind w:left="284" w:right="283"/>
        <w:rPr>
          <w:rFonts w:cs="Arial"/>
          <w:b/>
          <w:sz w:val="18"/>
        </w:rPr>
      </w:pPr>
      <w:r w:rsidRPr="002803A6">
        <w:rPr>
          <w:b/>
          <w:bCs/>
          <w:sz w:val="18"/>
        </w:rPr>
        <w:t xml:space="preserve">Art. </w:t>
      </w:r>
      <w:r w:rsidRPr="002803A6">
        <w:rPr>
          <w:b/>
          <w:sz w:val="18"/>
        </w:rPr>
        <w:t>114/J.</w:t>
      </w:r>
    </w:p>
    <w:p w:rsidR="002A4DEE" w:rsidRPr="002803A6" w:rsidRDefault="002A4DEE" w:rsidP="002A4DEE">
      <w:pPr>
        <w:spacing w:after="120"/>
        <w:ind w:left="284" w:right="283"/>
        <w:rPr>
          <w:rFonts w:cs="Arial"/>
          <w:bCs/>
          <w:sz w:val="18"/>
        </w:rPr>
      </w:pPr>
      <w:r w:rsidRPr="002803A6">
        <w:rPr>
          <w:sz w:val="18"/>
        </w:rPr>
        <w:t>b</w:t>
      </w:r>
      <w:r w:rsidRPr="002803A6">
        <w:rPr>
          <w:bCs/>
          <w:sz w:val="18"/>
        </w:rPr>
        <w:t>) Name des Anmelders, seine Anschrift oder sein Sitz oder seine Adresse bei einem sicheren Zustelldienst, im Falle einer Vertretung Name des Vertreters, seine Anschrift oder sein Sitz oder seine Adresse bei einem sicheren Zustelldienst oder alle anderen Daten, die es ermöglichen, den Anmelder zu kontaktieren,</w:t>
      </w:r>
    </w:p>
    <w:p w:rsidR="002A4DEE" w:rsidRPr="002803A6" w:rsidRDefault="002A4DEE" w:rsidP="002A4DEE">
      <w:pPr>
        <w:pStyle w:val="BodyTextIndent"/>
        <w:ind w:left="284" w:right="283"/>
        <w:rPr>
          <w:rFonts w:cs="Arial"/>
          <w:b/>
          <w:sz w:val="18"/>
        </w:rPr>
      </w:pPr>
      <w:r w:rsidRPr="002803A6">
        <w:rPr>
          <w:b/>
          <w:bCs/>
          <w:iCs/>
          <w:sz w:val="18"/>
        </w:rPr>
        <w:t xml:space="preserve">Art. </w:t>
      </w:r>
      <w:r w:rsidRPr="002803A6">
        <w:rPr>
          <w:b/>
          <w:sz w:val="18"/>
        </w:rPr>
        <w:t xml:space="preserve">45. </w:t>
      </w:r>
    </w:p>
    <w:p w:rsidR="002A4DEE" w:rsidRPr="002803A6" w:rsidRDefault="002A4DEE" w:rsidP="002A4DEE">
      <w:pPr>
        <w:pStyle w:val="PlainText"/>
        <w:spacing w:after="120"/>
        <w:ind w:left="284" w:right="283"/>
        <w:jc w:val="both"/>
        <w:rPr>
          <w:rFonts w:ascii="Arial" w:hAnsi="Arial" w:cs="Arial"/>
          <w:bCs/>
          <w:sz w:val="18"/>
          <w:lang w:val="de-DE"/>
        </w:rPr>
      </w:pPr>
      <w:r w:rsidRPr="002803A6">
        <w:rPr>
          <w:rFonts w:ascii="Arial" w:hAnsi="Arial"/>
          <w:bCs/>
          <w:sz w:val="18"/>
          <w:lang w:val="de-DE"/>
        </w:rPr>
        <w:t>5) In Ermangelung einer gegenteiligen Bestimmung dieses Gesetzes haben Anträge in Patentangelegenheiten, die in die materielle Zuständigkeit des ungarischen Amtes für geistiges Eigentum fallen, zu enthalten:</w:t>
      </w:r>
    </w:p>
    <w:p w:rsidR="002A4DEE" w:rsidRPr="002803A6" w:rsidRDefault="002A4DEE" w:rsidP="002A4DEE">
      <w:pPr>
        <w:pStyle w:val="PlainText"/>
        <w:ind w:left="284" w:right="283"/>
        <w:jc w:val="both"/>
        <w:rPr>
          <w:rFonts w:ascii="Arial" w:hAnsi="Arial" w:cs="Arial"/>
          <w:bCs/>
          <w:sz w:val="18"/>
          <w:lang w:val="de-DE"/>
        </w:rPr>
      </w:pPr>
      <w:r w:rsidRPr="002803A6">
        <w:rPr>
          <w:rFonts w:ascii="Arial" w:hAnsi="Arial"/>
          <w:bCs/>
          <w:sz w:val="18"/>
          <w:lang w:val="de-DE"/>
        </w:rPr>
        <w:t xml:space="preserve">a) Name und Anschrift der antragstellenden natürlichen Person und, im Falle der Vertretung, Name und Anschrift des Vertreters, </w:t>
      </w:r>
    </w:p>
    <w:p w:rsidR="002A4DEE" w:rsidRPr="002803A6" w:rsidRDefault="002A4DEE" w:rsidP="002A4DEE">
      <w:pPr>
        <w:pStyle w:val="PlainText"/>
        <w:ind w:left="284" w:right="283"/>
        <w:jc w:val="both"/>
        <w:rPr>
          <w:rFonts w:ascii="Arial" w:hAnsi="Arial" w:cs="Arial"/>
          <w:bCs/>
          <w:sz w:val="18"/>
          <w:lang w:val="de-DE"/>
        </w:rPr>
      </w:pPr>
      <w:r w:rsidRPr="002803A6">
        <w:rPr>
          <w:rFonts w:ascii="Arial" w:hAnsi="Arial"/>
          <w:bCs/>
          <w:sz w:val="18"/>
          <w:lang w:val="de-DE"/>
        </w:rPr>
        <w:t>b) Name und Anschrift der nicht natürlichen Person, die den Antrag stellt, und im Falle einer Vertretung Name und Sitz des Vertreters, und</w:t>
      </w:r>
    </w:p>
    <w:p w:rsidR="002A4DEE" w:rsidRPr="002803A6" w:rsidRDefault="002A4DEE" w:rsidP="002A4DEE">
      <w:pPr>
        <w:pStyle w:val="PlainText"/>
        <w:spacing w:after="120"/>
        <w:ind w:left="284" w:right="283"/>
        <w:jc w:val="both"/>
        <w:rPr>
          <w:rFonts w:ascii="Arial" w:hAnsi="Arial" w:cs="Arial"/>
          <w:bCs/>
          <w:sz w:val="18"/>
          <w:lang w:val="de-DE"/>
        </w:rPr>
      </w:pPr>
      <w:r w:rsidRPr="002803A6">
        <w:rPr>
          <w:rFonts w:ascii="Arial" w:hAnsi="Arial"/>
          <w:bCs/>
          <w:sz w:val="18"/>
          <w:lang w:val="de-DE"/>
        </w:rPr>
        <w:t xml:space="preserve">c) im Falle der Kommunikation auf nichtelektronischem Wege die Unterschrift des Antragstellers oder seines Vertreters. </w:t>
      </w:r>
    </w:p>
    <w:p w:rsidR="002A4DEE" w:rsidRPr="002803A6" w:rsidRDefault="002A4DEE" w:rsidP="002A4DEE">
      <w:pPr>
        <w:pStyle w:val="TextBody"/>
        <w:widowControl/>
        <w:spacing w:after="120" w:line="240" w:lineRule="auto"/>
        <w:ind w:left="284" w:right="283"/>
        <w:jc w:val="both"/>
        <w:rPr>
          <w:rFonts w:ascii="Arial" w:eastAsia="Times New Roman" w:hAnsi="Arial" w:cs="Arial"/>
          <w:bCs/>
          <w:sz w:val="18"/>
          <w:szCs w:val="20"/>
          <w:lang w:val="de-DE"/>
        </w:rPr>
      </w:pPr>
      <w:r w:rsidRPr="002803A6">
        <w:rPr>
          <w:rFonts w:ascii="Arial" w:hAnsi="Arial"/>
          <w:bCs/>
          <w:sz w:val="18"/>
          <w:szCs w:val="20"/>
          <w:lang w:val="de-DE"/>
        </w:rPr>
        <w:t xml:space="preserve">6) Ist der Anmelder oder sein Vertreter verpflichtet, mit dem Ungarischen Amt für geistiges Eigentum in Patentangelegenheiten im Rahmen der materiellen Zuständigkeit des Ungarischen Amtes für geistiges Eigentum auf elektronischem Wege zu kommunizieren oder wünscht er dies zu tun, so </w:t>
      </w:r>
      <w:r w:rsidR="002803A6" w:rsidRPr="002803A6">
        <w:rPr>
          <w:rFonts w:ascii="Arial" w:hAnsi="Arial"/>
          <w:bCs/>
          <w:sz w:val="18"/>
          <w:szCs w:val="20"/>
          <w:lang w:val="de-DE"/>
        </w:rPr>
        <w:t>muss</w:t>
      </w:r>
      <w:r w:rsidRPr="002803A6">
        <w:rPr>
          <w:rFonts w:ascii="Arial" w:hAnsi="Arial"/>
          <w:bCs/>
          <w:sz w:val="18"/>
          <w:szCs w:val="20"/>
          <w:lang w:val="de-DE"/>
        </w:rPr>
        <w:t xml:space="preserve"> der Antrag zusätzlich zu den in Absatz 5) genannten Angaben folgendes enthalten:</w:t>
      </w:r>
    </w:p>
    <w:p w:rsidR="002A4DEE" w:rsidRPr="002803A6" w:rsidRDefault="002A4DEE" w:rsidP="002A4DEE">
      <w:pPr>
        <w:pStyle w:val="TextBody"/>
        <w:widowControl/>
        <w:spacing w:after="0" w:line="240" w:lineRule="auto"/>
        <w:ind w:left="284" w:right="283"/>
        <w:jc w:val="both"/>
        <w:rPr>
          <w:rFonts w:ascii="Arial" w:eastAsia="Times New Roman" w:hAnsi="Arial" w:cs="Arial"/>
          <w:bCs/>
          <w:sz w:val="18"/>
          <w:szCs w:val="20"/>
          <w:lang w:val="de-DE"/>
        </w:rPr>
      </w:pPr>
      <w:r w:rsidRPr="002803A6">
        <w:rPr>
          <w:rFonts w:ascii="Arial" w:hAnsi="Arial"/>
          <w:bCs/>
          <w:sz w:val="18"/>
          <w:szCs w:val="20"/>
          <w:lang w:val="de-DE"/>
        </w:rPr>
        <w:t xml:space="preserve">a) Ort, Geburtsdatum und Familienname der Mutter der natürlichen Person, die den Antrag stellt oder des Vertreters, </w:t>
      </w:r>
    </w:p>
    <w:p w:rsidR="002A4DEE" w:rsidRPr="002803A6" w:rsidRDefault="002A4DEE" w:rsidP="002A4DEE">
      <w:pPr>
        <w:spacing w:after="120"/>
        <w:ind w:left="284" w:right="283"/>
        <w:rPr>
          <w:rFonts w:cs="Arial"/>
          <w:sz w:val="18"/>
        </w:rPr>
      </w:pPr>
      <w:r w:rsidRPr="002803A6">
        <w:rPr>
          <w:bCs/>
          <w:sz w:val="18"/>
        </w:rPr>
        <w:t>b) die Steuernummer der nicht natürlichen Person, die den Antrag stellt oder des Vertreters.</w:t>
      </w:r>
    </w:p>
    <w:p w:rsidR="002A4DEE" w:rsidRPr="002803A6" w:rsidRDefault="002A4DEE" w:rsidP="002A4DEE"/>
    <w:p w:rsidR="002A4DEE" w:rsidRPr="002803A6" w:rsidRDefault="002A4DEE" w:rsidP="002A4DEE">
      <w:r w:rsidRPr="002803A6">
        <w:t>1.2</w:t>
      </w:r>
      <w:r w:rsidRPr="002803A6">
        <w:tab/>
        <w:t>Erstreckung des Schutzes auf weitere Gattungen und Arten (geschehen oder geplant):</w:t>
      </w:r>
    </w:p>
    <w:p w:rsidR="002A4DEE" w:rsidRPr="002803A6" w:rsidRDefault="002A4DEE" w:rsidP="002A4DEE"/>
    <w:p w:rsidR="002A4DEE" w:rsidRPr="002803A6" w:rsidRDefault="002A4DEE" w:rsidP="002A4DEE">
      <w:r w:rsidRPr="002803A6">
        <w:t>Keine Änderungen. Gemäß den geltenden Regeln erstreckt sich der Sortenschutz auf alle Gattungen und Arten.</w:t>
      </w:r>
    </w:p>
    <w:p w:rsidR="002A4DEE" w:rsidRPr="002803A6" w:rsidRDefault="002A4DEE" w:rsidP="002A4DEE"/>
    <w:p w:rsidR="002A4DEE" w:rsidRPr="002803A6" w:rsidRDefault="002A4DEE" w:rsidP="002A4DEE">
      <w:r w:rsidRPr="002803A6">
        <w:t>1.3</w:t>
      </w:r>
      <w:r w:rsidRPr="002803A6">
        <w:tab/>
      </w:r>
      <w:r w:rsidR="002803A6" w:rsidRPr="002803A6">
        <w:t>Rechtsprechung</w:t>
      </w:r>
    </w:p>
    <w:p w:rsidR="002A4DEE" w:rsidRPr="002803A6" w:rsidRDefault="002A4DEE" w:rsidP="002A4DEE"/>
    <w:p w:rsidR="002A4DEE" w:rsidRPr="002803A6" w:rsidRDefault="002A4DEE" w:rsidP="002A4DEE">
      <w:r w:rsidRPr="002803A6">
        <w:t>Keine Angaben.</w:t>
      </w:r>
    </w:p>
    <w:p w:rsidR="002A4DEE" w:rsidRPr="002803A6" w:rsidRDefault="002A4DEE" w:rsidP="002A4DEE"/>
    <w:p w:rsidR="002A4DEE" w:rsidRPr="002803A6" w:rsidRDefault="002A4DEE" w:rsidP="002A4DEE"/>
    <w:p w:rsidR="00EB4F9F" w:rsidRPr="002803A6" w:rsidRDefault="00EB4F9F">
      <w:pPr>
        <w:jc w:val="left"/>
      </w:pPr>
      <w:r w:rsidRPr="002803A6">
        <w:br w:type="page"/>
      </w:r>
    </w:p>
    <w:p w:rsidR="002A4DEE" w:rsidRPr="002803A6" w:rsidRDefault="002A4DEE" w:rsidP="002A4DEE">
      <w:r w:rsidRPr="002803A6">
        <w:lastRenderedPageBreak/>
        <w:t>2.</w:t>
      </w:r>
      <w:r w:rsidRPr="002803A6">
        <w:tab/>
      </w:r>
      <w:r w:rsidRPr="002803A6">
        <w:rPr>
          <w:u w:val="single"/>
        </w:rPr>
        <w:t>Zusammenarbeit bei der Prüfung</w:t>
      </w:r>
    </w:p>
    <w:p w:rsidR="002A4DEE" w:rsidRPr="002803A6" w:rsidRDefault="002A4DEE" w:rsidP="002A4DEE"/>
    <w:p w:rsidR="002A4DEE" w:rsidRPr="002803A6" w:rsidRDefault="002A4DEE" w:rsidP="002A4DEE">
      <w:r w:rsidRPr="002803A6">
        <w:t xml:space="preserve">Keine Änderungen. Gemäß den Absätzen 3) und 4) des Artikels 114/R des Patentgesetzes können die Ergebnisse der von einer ausländischen zuständigen Behörde durchgeführten Anbauprüfung (DUS-Prüfungsbericht) mit Zustimmung dieser Behörde berücksichtigt werden (...). Die Kosten für die Anbauprüfung sind vom Antragsteller zu übernehmen. Deshalb unternahm das Ungarische Amt für geistiges Eigentum (HIPO) Schritte im Hinblick auf den </w:t>
      </w:r>
      <w:r w:rsidR="002803A6" w:rsidRPr="002803A6">
        <w:t>Abschluss</w:t>
      </w:r>
      <w:r w:rsidRPr="002803A6">
        <w:t xml:space="preserve"> von Vereinbarungen mit nationalen und regionalen Ämtern über die Zustellung von Berichten über die technische DUS-Prüfung durch die entsprechenden Ämter an das HIPO.</w:t>
      </w:r>
    </w:p>
    <w:p w:rsidR="002A4DEE" w:rsidRPr="002803A6" w:rsidRDefault="002A4DEE" w:rsidP="002A4DEE"/>
    <w:p w:rsidR="002A4DEE" w:rsidRPr="002803A6" w:rsidRDefault="002A4DEE" w:rsidP="002A4DEE">
      <w:r w:rsidRPr="002803A6">
        <w:t xml:space="preserve">Das Ungarische Amt für Geistiges Eigentum </w:t>
      </w:r>
      <w:r w:rsidR="002803A6" w:rsidRPr="002803A6">
        <w:t>schloss</w:t>
      </w:r>
      <w:r w:rsidRPr="002803A6">
        <w:t xml:space="preserve"> Vereinbarungen mit dem Gemeinschaftlichen Sortenamt (CPVO), dem Bundessortenamt (Deutschland) und dem </w:t>
      </w:r>
      <w:r w:rsidR="002803A6" w:rsidRPr="002803A6">
        <w:t>Ausschuss</w:t>
      </w:r>
      <w:r w:rsidRPr="002803A6">
        <w:t xml:space="preserve"> für Züchterrechte des Ministeriums für Landwirtschaft, Umwelt und Nahrungsmittelqualität (Niederlande) über die Zustellung von Berichten über die technische DUS-Prüfung.</w:t>
      </w:r>
    </w:p>
    <w:p w:rsidR="002A4DEE" w:rsidRPr="002803A6" w:rsidRDefault="002A4DEE" w:rsidP="002A4DEE"/>
    <w:p w:rsidR="002A4DEE" w:rsidRPr="002803A6" w:rsidRDefault="002A4DEE" w:rsidP="002A4DEE"/>
    <w:p w:rsidR="002A4DEE" w:rsidRPr="002803A6" w:rsidRDefault="002A4DEE" w:rsidP="002A4DEE">
      <w:pPr>
        <w:rPr>
          <w:u w:val="single"/>
        </w:rPr>
      </w:pPr>
      <w:r w:rsidRPr="002803A6">
        <w:t>3.</w:t>
      </w:r>
      <w:r w:rsidRPr="002803A6">
        <w:tab/>
      </w:r>
      <w:r w:rsidRPr="002803A6">
        <w:rPr>
          <w:u w:val="single"/>
        </w:rPr>
        <w:t>Lage auf dem Gebiet der Verwaltung</w:t>
      </w:r>
    </w:p>
    <w:p w:rsidR="002A4DEE" w:rsidRPr="002803A6" w:rsidRDefault="002A4DEE" w:rsidP="002A4DEE"/>
    <w:p w:rsidR="002A4DEE" w:rsidRPr="002803A6" w:rsidRDefault="002A4DEE" w:rsidP="002A4DEE">
      <w:r w:rsidRPr="002803A6">
        <w:t>Keine Änderungen. Das HIPO ist befugt, Sortenschutz zu erteilen. Im nationalen System ist das HIPO für die Prüfung der Neuheit, der Bezeichnung und der Homogenität sowie für die Eintragung von Pflanzensorten zuständig. Das Nationale Amt für Lebensmittelsicherheit ist für die biologische Prüfung (DUS-Prüfung) zuständig.</w:t>
      </w:r>
    </w:p>
    <w:p w:rsidR="002A4DEE" w:rsidRPr="002803A6" w:rsidRDefault="002A4DEE" w:rsidP="002A4DEE"/>
    <w:p w:rsidR="002A4DEE" w:rsidRPr="002803A6" w:rsidRDefault="002A4DEE" w:rsidP="002A4DEE"/>
    <w:p w:rsidR="002A4DEE" w:rsidRPr="002803A6" w:rsidRDefault="002A4DEE" w:rsidP="002A4DEE">
      <w:r w:rsidRPr="002803A6">
        <w:t>4.</w:t>
      </w:r>
      <w:r w:rsidRPr="002803A6">
        <w:tab/>
      </w:r>
      <w:r w:rsidRPr="002803A6">
        <w:rPr>
          <w:u w:val="single"/>
        </w:rPr>
        <w:t>Lage auf dem Gebiet der Technik</w:t>
      </w:r>
    </w:p>
    <w:p w:rsidR="002A4DEE" w:rsidRPr="002803A6" w:rsidRDefault="002A4DEE" w:rsidP="002A4DEE"/>
    <w:p w:rsidR="002A4DEE" w:rsidRPr="002803A6" w:rsidRDefault="002A4DEE" w:rsidP="002A4DEE">
      <w:r w:rsidRPr="002803A6">
        <w:t>Die technische Prüfung wird vom Nationalen Amt für Lebensmittelsicherheit durchgeführt.</w:t>
      </w:r>
    </w:p>
    <w:p w:rsidR="002564B7" w:rsidRPr="002803A6" w:rsidRDefault="002564B7" w:rsidP="002564B7"/>
    <w:p w:rsidR="00701A18" w:rsidRPr="002803A6" w:rsidRDefault="00701A18" w:rsidP="00701A18">
      <w:pPr>
        <w:jc w:val="left"/>
      </w:pPr>
    </w:p>
    <w:p w:rsidR="00701A18" w:rsidRPr="002803A6" w:rsidRDefault="00701A18" w:rsidP="00701A18">
      <w:pPr>
        <w:jc w:val="left"/>
      </w:pPr>
    </w:p>
    <w:p w:rsidR="00701A18" w:rsidRPr="002803A6" w:rsidRDefault="00701A18" w:rsidP="00701A18">
      <w:pPr>
        <w:jc w:val="right"/>
      </w:pPr>
      <w:r w:rsidRPr="002803A6">
        <w:t>[</w:t>
      </w:r>
      <w:r w:rsidR="00445C49" w:rsidRPr="002803A6">
        <w:t>Anlage</w:t>
      </w:r>
      <w:r w:rsidRPr="002803A6">
        <w:t xml:space="preserve"> VII </w:t>
      </w:r>
      <w:r w:rsidR="00445C49" w:rsidRPr="002803A6">
        <w:t>folgt]</w:t>
      </w:r>
    </w:p>
    <w:p w:rsidR="00701A18" w:rsidRPr="002803A6" w:rsidRDefault="00701A18" w:rsidP="00701A18">
      <w:pPr>
        <w:jc w:val="left"/>
      </w:pPr>
    </w:p>
    <w:p w:rsidR="00701A18" w:rsidRPr="002803A6" w:rsidRDefault="00701A18" w:rsidP="00701A18">
      <w:pPr>
        <w:jc w:val="left"/>
        <w:sectPr w:rsidR="00701A18" w:rsidRPr="002803A6" w:rsidSect="00823234">
          <w:headerReference w:type="default" r:id="rId14"/>
          <w:pgSz w:w="11907" w:h="16840" w:code="9"/>
          <w:pgMar w:top="510" w:right="1134" w:bottom="1134" w:left="1134" w:header="510" w:footer="680" w:gutter="0"/>
          <w:pgNumType w:start="1"/>
          <w:cols w:space="720"/>
          <w:titlePg/>
        </w:sectPr>
      </w:pPr>
    </w:p>
    <w:p w:rsidR="00701A18" w:rsidRPr="002803A6" w:rsidRDefault="00701A18" w:rsidP="00701A18">
      <w:pPr>
        <w:jc w:val="center"/>
      </w:pPr>
      <w:r w:rsidRPr="002803A6">
        <w:lastRenderedPageBreak/>
        <w:t>C/53/INF/4</w:t>
      </w:r>
    </w:p>
    <w:p w:rsidR="00701A18" w:rsidRPr="002803A6" w:rsidRDefault="00701A18" w:rsidP="00701A18">
      <w:pPr>
        <w:jc w:val="center"/>
      </w:pPr>
    </w:p>
    <w:p w:rsidR="00701A18" w:rsidRPr="002803A6" w:rsidRDefault="00445C49" w:rsidP="00701A18">
      <w:pPr>
        <w:jc w:val="center"/>
      </w:pPr>
      <w:r w:rsidRPr="002803A6">
        <w:t>ANLAGE</w:t>
      </w:r>
      <w:r w:rsidR="00701A18" w:rsidRPr="002803A6">
        <w:t xml:space="preserve"> VII</w:t>
      </w:r>
    </w:p>
    <w:p w:rsidR="00701A18" w:rsidRPr="002803A6" w:rsidRDefault="00701A18" w:rsidP="00701A18">
      <w:pPr>
        <w:jc w:val="center"/>
      </w:pPr>
    </w:p>
    <w:p w:rsidR="00701A18" w:rsidRPr="002803A6" w:rsidRDefault="00701A18" w:rsidP="00701A18">
      <w:pPr>
        <w:jc w:val="center"/>
      </w:pPr>
    </w:p>
    <w:p w:rsidR="002A4DEE" w:rsidRPr="002803A6" w:rsidRDefault="002A4DEE" w:rsidP="002A4DEE">
      <w:pPr>
        <w:jc w:val="center"/>
      </w:pPr>
      <w:r w:rsidRPr="002803A6">
        <w:t>ISRAEL</w:t>
      </w:r>
    </w:p>
    <w:p w:rsidR="002A4DEE" w:rsidRPr="002803A6" w:rsidRDefault="002A4DEE" w:rsidP="002A4DEE"/>
    <w:p w:rsidR="002A4DEE" w:rsidRPr="002803A6" w:rsidRDefault="002A4DEE" w:rsidP="002A4DEE"/>
    <w:p w:rsidR="002A4DEE" w:rsidRPr="002803A6" w:rsidRDefault="002A4DEE" w:rsidP="002A4DEE">
      <w:r w:rsidRPr="002803A6">
        <w:t>I.</w:t>
      </w:r>
      <w:r w:rsidRPr="002803A6">
        <w:tab/>
        <w:t>SORTENSCHUTZ</w:t>
      </w:r>
    </w:p>
    <w:p w:rsidR="002A4DEE" w:rsidRPr="002803A6" w:rsidRDefault="002A4DEE" w:rsidP="002A4DEE"/>
    <w:p w:rsidR="002A4DEE" w:rsidRPr="002803A6" w:rsidRDefault="002A4DEE" w:rsidP="002A4DEE">
      <w:pPr>
        <w:rPr>
          <w:u w:val="single"/>
        </w:rPr>
      </w:pPr>
      <w:r w:rsidRPr="002803A6">
        <w:t>1.</w:t>
      </w:r>
      <w:r w:rsidRPr="002803A6">
        <w:tab/>
      </w:r>
      <w:r w:rsidRPr="002803A6">
        <w:rPr>
          <w:u w:val="single"/>
        </w:rPr>
        <w:t>Lage auf dem Gebiet der Gesetzgebung</w:t>
      </w:r>
    </w:p>
    <w:p w:rsidR="002A4DEE" w:rsidRPr="002803A6" w:rsidRDefault="002A4DEE" w:rsidP="002A4DEE"/>
    <w:p w:rsidR="002A4DEE" w:rsidRPr="002803A6" w:rsidRDefault="002A4DEE" w:rsidP="002A4DEE">
      <w:r w:rsidRPr="002803A6">
        <w:t>Keine Änderungen.</w:t>
      </w:r>
    </w:p>
    <w:p w:rsidR="002A4DEE" w:rsidRPr="002803A6" w:rsidRDefault="002A4DEE" w:rsidP="002A4DEE"/>
    <w:p w:rsidR="002A4DEE" w:rsidRPr="002803A6" w:rsidRDefault="002A4DEE" w:rsidP="002A4DEE"/>
    <w:p w:rsidR="002A4DEE" w:rsidRPr="002803A6" w:rsidRDefault="002A4DEE" w:rsidP="002A4DEE">
      <w:pPr>
        <w:rPr>
          <w:u w:val="single"/>
        </w:rPr>
      </w:pPr>
      <w:r w:rsidRPr="002803A6">
        <w:t>2.</w:t>
      </w:r>
      <w:r w:rsidRPr="002803A6">
        <w:tab/>
      </w:r>
      <w:r w:rsidRPr="002803A6">
        <w:rPr>
          <w:u w:val="single"/>
        </w:rPr>
        <w:t>Zusammenarbeit bei der Prüfung</w:t>
      </w:r>
    </w:p>
    <w:p w:rsidR="002A4DEE" w:rsidRPr="002803A6" w:rsidRDefault="002A4DEE" w:rsidP="002A4DEE"/>
    <w:p w:rsidR="002A4DEE" w:rsidRPr="002803A6" w:rsidRDefault="002A4DEE" w:rsidP="002A4DEE">
      <w:r w:rsidRPr="002803A6">
        <w:t>Keine Änderungen.</w:t>
      </w:r>
    </w:p>
    <w:p w:rsidR="002A4DEE" w:rsidRPr="002803A6" w:rsidRDefault="002A4DEE" w:rsidP="002A4DEE"/>
    <w:p w:rsidR="002A4DEE" w:rsidRPr="002803A6" w:rsidRDefault="002A4DEE" w:rsidP="002A4DEE"/>
    <w:p w:rsidR="002A4DEE" w:rsidRPr="002803A6" w:rsidRDefault="002A4DEE" w:rsidP="002A4DEE">
      <w:pPr>
        <w:rPr>
          <w:u w:val="single"/>
        </w:rPr>
      </w:pPr>
      <w:r w:rsidRPr="002803A6">
        <w:t>3.</w:t>
      </w:r>
      <w:r w:rsidRPr="002803A6">
        <w:tab/>
      </w:r>
      <w:r w:rsidRPr="002803A6">
        <w:rPr>
          <w:u w:val="single"/>
        </w:rPr>
        <w:t>Lage auf dem Gebiet der Verwaltung</w:t>
      </w:r>
    </w:p>
    <w:p w:rsidR="002A4DEE" w:rsidRPr="002803A6" w:rsidRDefault="002A4DEE" w:rsidP="002A4DEE"/>
    <w:p w:rsidR="002A4DEE" w:rsidRPr="002803A6" w:rsidRDefault="002A4DEE" w:rsidP="002A4DEE">
      <w:pPr>
        <w:ind w:left="851" w:hanging="425"/>
      </w:pPr>
      <w:r w:rsidRPr="002803A6">
        <w:t>-</w:t>
      </w:r>
      <w:r w:rsidRPr="002803A6">
        <w:tab/>
        <w:t xml:space="preserve">Änderungen in der Verwaltungsstruktur:  Ein neuer Rat für Züchterrechte wurde am 18. April 2019 ernannt. </w:t>
      </w:r>
    </w:p>
    <w:p w:rsidR="002A4DEE" w:rsidRPr="002803A6" w:rsidRDefault="002A4DEE" w:rsidP="002A4DEE">
      <w:pPr>
        <w:ind w:left="851" w:hanging="425"/>
      </w:pPr>
      <w:r w:rsidRPr="002803A6">
        <w:t>-</w:t>
      </w:r>
      <w:r w:rsidRPr="002803A6">
        <w:tab/>
        <w:t>Änderungen in den Verfahren und Systemen:  keine.</w:t>
      </w:r>
    </w:p>
    <w:p w:rsidR="002A4DEE" w:rsidRPr="002803A6" w:rsidRDefault="002A4DEE" w:rsidP="002A4DEE"/>
    <w:p w:rsidR="002A4DEE" w:rsidRPr="002803A6" w:rsidRDefault="002A4DEE" w:rsidP="002A4DEE"/>
    <w:p w:rsidR="002A4DEE" w:rsidRPr="002803A6" w:rsidRDefault="002A4DEE" w:rsidP="002A4DEE">
      <w:pPr>
        <w:rPr>
          <w:u w:val="single"/>
        </w:rPr>
      </w:pPr>
      <w:r w:rsidRPr="002803A6">
        <w:t>4.</w:t>
      </w:r>
      <w:r w:rsidRPr="002803A6">
        <w:tab/>
      </w:r>
      <w:r w:rsidRPr="002803A6">
        <w:rPr>
          <w:u w:val="single"/>
        </w:rPr>
        <w:t>Lage auf dem Gebiet der Technik</w:t>
      </w:r>
    </w:p>
    <w:p w:rsidR="002A4DEE" w:rsidRPr="002803A6" w:rsidRDefault="002A4DEE" w:rsidP="002A4DEE"/>
    <w:p w:rsidR="002A4DEE" w:rsidRPr="002803A6" w:rsidRDefault="002A4DEE" w:rsidP="002A4DEE">
      <w:r w:rsidRPr="002803A6">
        <w:t>Keine Änderungen.</w:t>
      </w:r>
    </w:p>
    <w:p w:rsidR="002A4DEE" w:rsidRPr="002803A6" w:rsidRDefault="002A4DEE" w:rsidP="002A4DEE"/>
    <w:p w:rsidR="002A4DEE" w:rsidRPr="002803A6" w:rsidRDefault="002A4DEE" w:rsidP="002A4DEE"/>
    <w:p w:rsidR="002A4DEE" w:rsidRPr="002803A6" w:rsidRDefault="002A4DEE" w:rsidP="002A4DEE">
      <w:pPr>
        <w:rPr>
          <w:u w:val="single"/>
        </w:rPr>
      </w:pPr>
      <w:r w:rsidRPr="002803A6">
        <w:t>5.</w:t>
      </w:r>
      <w:r w:rsidRPr="002803A6">
        <w:tab/>
      </w:r>
      <w:r w:rsidRPr="002803A6">
        <w:rPr>
          <w:u w:val="single"/>
        </w:rPr>
        <w:t>Tätigkeiten zur Förderung des Sortenschutzes</w:t>
      </w:r>
    </w:p>
    <w:p w:rsidR="002A4DEE" w:rsidRPr="002803A6" w:rsidRDefault="002A4DEE" w:rsidP="002A4DEE"/>
    <w:tbl>
      <w:tblPr>
        <w:tblStyle w:val="TableGrid"/>
        <w:tblW w:w="9809" w:type="dxa"/>
        <w:tblLayout w:type="fixed"/>
        <w:tblCellMar>
          <w:top w:w="28" w:type="dxa"/>
          <w:left w:w="28" w:type="dxa"/>
          <w:bottom w:w="28" w:type="dxa"/>
          <w:right w:w="28" w:type="dxa"/>
        </w:tblCellMar>
        <w:tblLook w:val="01E0" w:firstRow="1" w:lastRow="1" w:firstColumn="1" w:lastColumn="1" w:noHBand="0" w:noVBand="0"/>
      </w:tblPr>
      <w:tblGrid>
        <w:gridCol w:w="1101"/>
        <w:gridCol w:w="895"/>
        <w:gridCol w:w="1022"/>
        <w:gridCol w:w="1546"/>
        <w:gridCol w:w="1701"/>
        <w:gridCol w:w="2268"/>
        <w:gridCol w:w="1276"/>
      </w:tblGrid>
      <w:tr w:rsidR="002A4DEE" w:rsidRPr="002803A6" w:rsidTr="00E16D6F">
        <w:tc>
          <w:tcPr>
            <w:tcW w:w="1101" w:type="dxa"/>
          </w:tcPr>
          <w:p w:rsidR="002A4DEE" w:rsidRPr="002803A6" w:rsidRDefault="002A4DEE" w:rsidP="00E16D6F">
            <w:pPr>
              <w:jc w:val="left"/>
              <w:rPr>
                <w:sz w:val="16"/>
                <w:szCs w:val="18"/>
              </w:rPr>
            </w:pPr>
            <w:r w:rsidRPr="002803A6">
              <w:rPr>
                <w:sz w:val="16"/>
                <w:szCs w:val="18"/>
              </w:rPr>
              <w:t>Bezeichnung der Tätigkeit</w:t>
            </w:r>
          </w:p>
        </w:tc>
        <w:tc>
          <w:tcPr>
            <w:tcW w:w="895" w:type="dxa"/>
          </w:tcPr>
          <w:p w:rsidR="002A4DEE" w:rsidRPr="002803A6" w:rsidRDefault="002A4DEE" w:rsidP="00E16D6F">
            <w:pPr>
              <w:jc w:val="left"/>
              <w:rPr>
                <w:sz w:val="16"/>
                <w:szCs w:val="18"/>
              </w:rPr>
            </w:pPr>
            <w:r w:rsidRPr="002803A6">
              <w:rPr>
                <w:sz w:val="16"/>
                <w:szCs w:val="18"/>
              </w:rPr>
              <w:t>Datum</w:t>
            </w:r>
          </w:p>
        </w:tc>
        <w:tc>
          <w:tcPr>
            <w:tcW w:w="1022" w:type="dxa"/>
          </w:tcPr>
          <w:p w:rsidR="002A4DEE" w:rsidRPr="002803A6" w:rsidRDefault="002A4DEE" w:rsidP="00E16D6F">
            <w:pPr>
              <w:jc w:val="left"/>
              <w:rPr>
                <w:sz w:val="16"/>
                <w:szCs w:val="18"/>
              </w:rPr>
            </w:pPr>
            <w:r w:rsidRPr="002803A6">
              <w:rPr>
                <w:sz w:val="16"/>
                <w:szCs w:val="18"/>
              </w:rPr>
              <w:t>Ort</w:t>
            </w:r>
          </w:p>
        </w:tc>
        <w:tc>
          <w:tcPr>
            <w:tcW w:w="1546" w:type="dxa"/>
          </w:tcPr>
          <w:p w:rsidR="002A4DEE" w:rsidRPr="002803A6" w:rsidRDefault="002A4DEE" w:rsidP="00E16D6F">
            <w:pPr>
              <w:jc w:val="left"/>
              <w:rPr>
                <w:sz w:val="16"/>
                <w:szCs w:val="18"/>
              </w:rPr>
            </w:pPr>
            <w:r w:rsidRPr="002803A6">
              <w:rPr>
                <w:sz w:val="16"/>
                <w:szCs w:val="18"/>
              </w:rPr>
              <w:t>Organisator(en)</w:t>
            </w:r>
          </w:p>
        </w:tc>
        <w:tc>
          <w:tcPr>
            <w:tcW w:w="1701" w:type="dxa"/>
          </w:tcPr>
          <w:p w:rsidR="002A4DEE" w:rsidRPr="002803A6" w:rsidRDefault="002A4DEE" w:rsidP="00E16D6F">
            <w:pPr>
              <w:jc w:val="left"/>
              <w:rPr>
                <w:sz w:val="16"/>
                <w:szCs w:val="18"/>
              </w:rPr>
            </w:pPr>
            <w:r w:rsidRPr="002803A6">
              <w:rPr>
                <w:sz w:val="16"/>
                <w:szCs w:val="18"/>
              </w:rPr>
              <w:t>Zweck der Tätigkeit</w:t>
            </w:r>
          </w:p>
        </w:tc>
        <w:tc>
          <w:tcPr>
            <w:tcW w:w="2268" w:type="dxa"/>
          </w:tcPr>
          <w:p w:rsidR="002A4DEE" w:rsidRPr="002803A6" w:rsidRDefault="002A4DEE" w:rsidP="00E16D6F">
            <w:pPr>
              <w:jc w:val="left"/>
              <w:rPr>
                <w:sz w:val="16"/>
                <w:szCs w:val="18"/>
              </w:rPr>
            </w:pPr>
            <w:r w:rsidRPr="002803A6">
              <w:rPr>
                <w:sz w:val="16"/>
                <w:szCs w:val="18"/>
              </w:rPr>
              <w:t xml:space="preserve">Teilnehmende Staaten/Organisationen </w:t>
            </w:r>
            <w:r w:rsidR="00EB4F9F" w:rsidRPr="002803A6">
              <w:rPr>
                <w:sz w:val="16"/>
                <w:szCs w:val="18"/>
              </w:rPr>
              <w:br/>
            </w:r>
            <w:r w:rsidRPr="002803A6">
              <w:rPr>
                <w:sz w:val="16"/>
                <w:szCs w:val="18"/>
              </w:rPr>
              <w:t>(Zahl der Teilnehmer pro Staat/Organisation)</w:t>
            </w:r>
          </w:p>
        </w:tc>
        <w:tc>
          <w:tcPr>
            <w:tcW w:w="1276" w:type="dxa"/>
          </w:tcPr>
          <w:p w:rsidR="002A4DEE" w:rsidRPr="002803A6" w:rsidRDefault="002A4DEE" w:rsidP="00E16D6F">
            <w:pPr>
              <w:jc w:val="left"/>
              <w:rPr>
                <w:sz w:val="16"/>
                <w:szCs w:val="18"/>
              </w:rPr>
            </w:pPr>
            <w:r w:rsidRPr="002803A6">
              <w:rPr>
                <w:sz w:val="16"/>
                <w:szCs w:val="18"/>
              </w:rPr>
              <w:t>Bemerkungen</w:t>
            </w:r>
          </w:p>
        </w:tc>
      </w:tr>
      <w:tr w:rsidR="002A4DEE" w:rsidRPr="002803A6" w:rsidTr="00E16D6F">
        <w:tc>
          <w:tcPr>
            <w:tcW w:w="1101" w:type="dxa"/>
          </w:tcPr>
          <w:p w:rsidR="002A4DEE" w:rsidRPr="002803A6" w:rsidRDefault="002A4DEE" w:rsidP="00E16D6F">
            <w:pPr>
              <w:keepNext/>
              <w:jc w:val="left"/>
              <w:rPr>
                <w:rFonts w:cstheme="minorBidi"/>
                <w:sz w:val="16"/>
                <w:szCs w:val="16"/>
              </w:rPr>
            </w:pPr>
            <w:proofErr w:type="spellStart"/>
            <w:r w:rsidRPr="002803A6">
              <w:rPr>
                <w:sz w:val="16"/>
                <w:szCs w:val="16"/>
              </w:rPr>
              <w:t>Yevul</w:t>
            </w:r>
            <w:proofErr w:type="spellEnd"/>
            <w:r w:rsidRPr="002803A6">
              <w:rPr>
                <w:sz w:val="16"/>
                <w:szCs w:val="16"/>
              </w:rPr>
              <w:t xml:space="preserve"> See Exhibition</w:t>
            </w:r>
          </w:p>
        </w:tc>
        <w:tc>
          <w:tcPr>
            <w:tcW w:w="895" w:type="dxa"/>
          </w:tcPr>
          <w:p w:rsidR="002A4DEE" w:rsidRPr="002803A6" w:rsidRDefault="002A4DEE" w:rsidP="00E16D6F">
            <w:pPr>
              <w:keepNext/>
              <w:jc w:val="left"/>
              <w:rPr>
                <w:rFonts w:cstheme="minorBidi"/>
                <w:sz w:val="16"/>
                <w:szCs w:val="16"/>
              </w:rPr>
            </w:pPr>
            <w:r w:rsidRPr="002803A6">
              <w:rPr>
                <w:sz w:val="16"/>
                <w:szCs w:val="16"/>
              </w:rPr>
              <w:t>17-18.10.18</w:t>
            </w:r>
          </w:p>
        </w:tc>
        <w:tc>
          <w:tcPr>
            <w:tcW w:w="1022" w:type="dxa"/>
          </w:tcPr>
          <w:p w:rsidR="002A4DEE" w:rsidRPr="002803A6" w:rsidRDefault="002A4DEE" w:rsidP="00E16D6F">
            <w:pPr>
              <w:keepNext/>
              <w:jc w:val="left"/>
              <w:rPr>
                <w:sz w:val="16"/>
                <w:szCs w:val="16"/>
              </w:rPr>
            </w:pPr>
            <w:proofErr w:type="spellStart"/>
            <w:r w:rsidRPr="002803A6">
              <w:rPr>
                <w:sz w:val="16"/>
                <w:szCs w:val="16"/>
              </w:rPr>
              <w:t>Ma’ayan</w:t>
            </w:r>
            <w:proofErr w:type="spellEnd"/>
            <w:r w:rsidRPr="002803A6">
              <w:rPr>
                <w:sz w:val="16"/>
                <w:szCs w:val="16"/>
              </w:rPr>
              <w:t xml:space="preserve"> </w:t>
            </w:r>
            <w:proofErr w:type="spellStart"/>
            <w:r w:rsidRPr="002803A6">
              <w:rPr>
                <w:sz w:val="16"/>
                <w:szCs w:val="16"/>
              </w:rPr>
              <w:t>Harod</w:t>
            </w:r>
            <w:proofErr w:type="spellEnd"/>
          </w:p>
        </w:tc>
        <w:tc>
          <w:tcPr>
            <w:tcW w:w="1546" w:type="dxa"/>
          </w:tcPr>
          <w:p w:rsidR="002A4DEE" w:rsidRPr="002803A6" w:rsidRDefault="002A4DEE" w:rsidP="00E16D6F">
            <w:pPr>
              <w:keepNext/>
              <w:jc w:val="left"/>
              <w:rPr>
                <w:sz w:val="16"/>
                <w:szCs w:val="16"/>
              </w:rPr>
            </w:pPr>
            <w:proofErr w:type="spellStart"/>
            <w:r w:rsidRPr="002803A6">
              <w:rPr>
                <w:sz w:val="16"/>
                <w:szCs w:val="16"/>
              </w:rPr>
              <w:t>Yevul</w:t>
            </w:r>
            <w:proofErr w:type="spellEnd"/>
            <w:r w:rsidRPr="002803A6">
              <w:rPr>
                <w:sz w:val="16"/>
                <w:szCs w:val="16"/>
              </w:rPr>
              <w:t xml:space="preserve"> See</w:t>
            </w:r>
          </w:p>
        </w:tc>
        <w:tc>
          <w:tcPr>
            <w:tcW w:w="1701" w:type="dxa"/>
          </w:tcPr>
          <w:p w:rsidR="002A4DEE" w:rsidRPr="002803A6" w:rsidRDefault="002A4DEE" w:rsidP="00E16D6F">
            <w:pPr>
              <w:keepNext/>
              <w:jc w:val="left"/>
              <w:rPr>
                <w:sz w:val="16"/>
                <w:szCs w:val="16"/>
              </w:rPr>
            </w:pPr>
            <w:r w:rsidRPr="002803A6">
              <w:rPr>
                <w:sz w:val="16"/>
                <w:szCs w:val="16"/>
              </w:rPr>
              <w:t>Förderung von und Teilnahme an Züchterrechten</w:t>
            </w:r>
          </w:p>
        </w:tc>
        <w:tc>
          <w:tcPr>
            <w:tcW w:w="2268" w:type="dxa"/>
          </w:tcPr>
          <w:p w:rsidR="002A4DEE" w:rsidRPr="002803A6" w:rsidRDefault="002A4DEE" w:rsidP="00E16D6F">
            <w:pPr>
              <w:keepNext/>
              <w:jc w:val="left"/>
              <w:rPr>
                <w:sz w:val="16"/>
                <w:szCs w:val="16"/>
              </w:rPr>
            </w:pPr>
            <w:r w:rsidRPr="002803A6">
              <w:rPr>
                <w:sz w:val="16"/>
                <w:szCs w:val="16"/>
              </w:rPr>
              <w:t>Lokale Landwirtschaftsunternehmen, Produzenten etc.</w:t>
            </w:r>
          </w:p>
        </w:tc>
        <w:tc>
          <w:tcPr>
            <w:tcW w:w="1276" w:type="dxa"/>
          </w:tcPr>
          <w:p w:rsidR="002A4DEE" w:rsidRPr="002803A6" w:rsidRDefault="002A4DEE" w:rsidP="00E16D6F">
            <w:pPr>
              <w:keepNext/>
              <w:jc w:val="left"/>
              <w:rPr>
                <w:sz w:val="16"/>
                <w:szCs w:val="16"/>
              </w:rPr>
            </w:pPr>
            <w:r w:rsidRPr="002803A6">
              <w:rPr>
                <w:sz w:val="16"/>
                <w:szCs w:val="16"/>
              </w:rPr>
              <w:t>Stand und Vertretung im Pavillon des Ministeriums</w:t>
            </w:r>
          </w:p>
        </w:tc>
      </w:tr>
      <w:tr w:rsidR="002A4DEE" w:rsidRPr="002803A6" w:rsidTr="00E16D6F">
        <w:tc>
          <w:tcPr>
            <w:tcW w:w="1101" w:type="dxa"/>
          </w:tcPr>
          <w:p w:rsidR="002A4DEE" w:rsidRPr="002803A6" w:rsidRDefault="002A4DEE" w:rsidP="00E16D6F">
            <w:pPr>
              <w:keepNext/>
              <w:jc w:val="left"/>
              <w:rPr>
                <w:rFonts w:cstheme="minorBidi"/>
                <w:sz w:val="16"/>
                <w:szCs w:val="16"/>
              </w:rPr>
            </w:pPr>
            <w:r w:rsidRPr="002803A6">
              <w:rPr>
                <w:sz w:val="16"/>
                <w:szCs w:val="16"/>
              </w:rPr>
              <w:t xml:space="preserve">Tag der offenen Tür in </w:t>
            </w:r>
            <w:proofErr w:type="spellStart"/>
            <w:r w:rsidRPr="002803A6">
              <w:rPr>
                <w:sz w:val="16"/>
                <w:szCs w:val="16"/>
              </w:rPr>
              <w:t>Ha'ARAVA</w:t>
            </w:r>
            <w:proofErr w:type="spellEnd"/>
            <w:r w:rsidRPr="002803A6">
              <w:rPr>
                <w:sz w:val="16"/>
                <w:szCs w:val="16"/>
              </w:rPr>
              <w:t xml:space="preserve"> - die große Ausstellung in Israel</w:t>
            </w:r>
          </w:p>
        </w:tc>
        <w:tc>
          <w:tcPr>
            <w:tcW w:w="895" w:type="dxa"/>
          </w:tcPr>
          <w:p w:rsidR="002A4DEE" w:rsidRPr="002803A6" w:rsidRDefault="002A4DEE" w:rsidP="00E16D6F">
            <w:pPr>
              <w:keepNext/>
              <w:jc w:val="left"/>
              <w:rPr>
                <w:rFonts w:cs="Arial Unicode MS"/>
                <w:sz w:val="16"/>
                <w:szCs w:val="16"/>
                <w:cs/>
              </w:rPr>
            </w:pPr>
            <w:r w:rsidRPr="002803A6">
              <w:rPr>
                <w:sz w:val="16"/>
                <w:szCs w:val="16"/>
              </w:rPr>
              <w:t>30-31.1.19</w:t>
            </w:r>
          </w:p>
        </w:tc>
        <w:tc>
          <w:tcPr>
            <w:tcW w:w="1022" w:type="dxa"/>
          </w:tcPr>
          <w:p w:rsidR="002A4DEE" w:rsidRPr="002803A6" w:rsidRDefault="002A4DEE" w:rsidP="00E16D6F">
            <w:pPr>
              <w:keepNext/>
              <w:jc w:val="left"/>
              <w:rPr>
                <w:sz w:val="16"/>
                <w:szCs w:val="16"/>
              </w:rPr>
            </w:pPr>
            <w:r w:rsidRPr="002803A6">
              <w:rPr>
                <w:sz w:val="16"/>
                <w:szCs w:val="16"/>
              </w:rPr>
              <w:t xml:space="preserve">Tamar – </w:t>
            </w:r>
            <w:proofErr w:type="spellStart"/>
            <w:r w:rsidRPr="002803A6">
              <w:rPr>
                <w:sz w:val="16"/>
                <w:szCs w:val="16"/>
              </w:rPr>
              <w:t>Yair</w:t>
            </w:r>
            <w:proofErr w:type="spellEnd"/>
            <w:r w:rsidRPr="002803A6">
              <w:rPr>
                <w:sz w:val="16"/>
                <w:szCs w:val="16"/>
              </w:rPr>
              <w:t xml:space="preserve"> Station</w:t>
            </w:r>
          </w:p>
        </w:tc>
        <w:tc>
          <w:tcPr>
            <w:tcW w:w="1546" w:type="dxa"/>
          </w:tcPr>
          <w:p w:rsidR="002A4DEE" w:rsidRPr="002803A6" w:rsidRDefault="002A4DEE" w:rsidP="00E16D6F">
            <w:pPr>
              <w:keepNext/>
              <w:jc w:val="left"/>
              <w:rPr>
                <w:sz w:val="16"/>
                <w:szCs w:val="16"/>
              </w:rPr>
            </w:pPr>
            <w:r w:rsidRPr="002803A6">
              <w:rPr>
                <w:sz w:val="16"/>
                <w:szCs w:val="16"/>
              </w:rPr>
              <w:t xml:space="preserve">Norden und Mitte MOP </w:t>
            </w:r>
            <w:proofErr w:type="spellStart"/>
            <w:r w:rsidRPr="002803A6">
              <w:rPr>
                <w:sz w:val="16"/>
                <w:szCs w:val="16"/>
              </w:rPr>
              <w:t>Arava</w:t>
            </w:r>
            <w:proofErr w:type="spellEnd"/>
            <w:r w:rsidRPr="002803A6">
              <w:rPr>
                <w:sz w:val="16"/>
                <w:szCs w:val="16"/>
              </w:rPr>
              <w:t>-Tamar</w:t>
            </w:r>
          </w:p>
        </w:tc>
        <w:tc>
          <w:tcPr>
            <w:tcW w:w="1701" w:type="dxa"/>
          </w:tcPr>
          <w:p w:rsidR="002A4DEE" w:rsidRPr="002803A6" w:rsidRDefault="002A4DEE" w:rsidP="00E16D6F">
            <w:pPr>
              <w:keepNext/>
              <w:jc w:val="left"/>
              <w:rPr>
                <w:sz w:val="16"/>
                <w:szCs w:val="16"/>
              </w:rPr>
            </w:pPr>
            <w:r w:rsidRPr="002803A6">
              <w:rPr>
                <w:sz w:val="16"/>
                <w:szCs w:val="16"/>
              </w:rPr>
              <w:t>Förderung von und Teilnahme an Züchterrechten</w:t>
            </w:r>
          </w:p>
        </w:tc>
        <w:tc>
          <w:tcPr>
            <w:tcW w:w="2268" w:type="dxa"/>
          </w:tcPr>
          <w:p w:rsidR="002A4DEE" w:rsidRPr="002803A6" w:rsidRDefault="002A4DEE" w:rsidP="00E16D6F">
            <w:pPr>
              <w:keepNext/>
              <w:jc w:val="left"/>
              <w:rPr>
                <w:sz w:val="16"/>
                <w:szCs w:val="16"/>
              </w:rPr>
            </w:pPr>
            <w:r w:rsidRPr="002803A6">
              <w:rPr>
                <w:sz w:val="16"/>
                <w:szCs w:val="16"/>
              </w:rPr>
              <w:t>Lokale Landwirtschaftsunternehmen, Produzenten etc.</w:t>
            </w:r>
          </w:p>
        </w:tc>
        <w:tc>
          <w:tcPr>
            <w:tcW w:w="1276" w:type="dxa"/>
          </w:tcPr>
          <w:p w:rsidR="002A4DEE" w:rsidRPr="002803A6" w:rsidRDefault="002A4DEE" w:rsidP="00E16D6F">
            <w:pPr>
              <w:keepNext/>
              <w:jc w:val="left"/>
              <w:rPr>
                <w:sz w:val="16"/>
                <w:szCs w:val="16"/>
              </w:rPr>
            </w:pPr>
            <w:r w:rsidRPr="002803A6">
              <w:rPr>
                <w:sz w:val="16"/>
                <w:szCs w:val="16"/>
              </w:rPr>
              <w:t>Stand und Vertretung im Pavillon des Ministeriums</w:t>
            </w:r>
          </w:p>
        </w:tc>
      </w:tr>
      <w:tr w:rsidR="002A4DEE" w:rsidRPr="002803A6" w:rsidTr="00E16D6F">
        <w:tc>
          <w:tcPr>
            <w:tcW w:w="1101" w:type="dxa"/>
          </w:tcPr>
          <w:p w:rsidR="002A4DEE" w:rsidRPr="002803A6" w:rsidRDefault="002A4DEE" w:rsidP="00E16D6F">
            <w:pPr>
              <w:keepNext/>
              <w:jc w:val="left"/>
              <w:rPr>
                <w:rFonts w:cstheme="minorBidi"/>
                <w:sz w:val="16"/>
                <w:szCs w:val="16"/>
              </w:rPr>
            </w:pPr>
            <w:proofErr w:type="spellStart"/>
            <w:r w:rsidRPr="002803A6">
              <w:rPr>
                <w:sz w:val="16"/>
                <w:szCs w:val="16"/>
              </w:rPr>
              <w:t>Fresh</w:t>
            </w:r>
            <w:proofErr w:type="spellEnd"/>
            <w:r w:rsidRPr="002803A6">
              <w:rPr>
                <w:sz w:val="16"/>
                <w:szCs w:val="16"/>
              </w:rPr>
              <w:t xml:space="preserve"> </w:t>
            </w:r>
            <w:proofErr w:type="spellStart"/>
            <w:r w:rsidRPr="002803A6">
              <w:rPr>
                <w:sz w:val="16"/>
                <w:szCs w:val="16"/>
              </w:rPr>
              <w:t>Agro</w:t>
            </w:r>
            <w:proofErr w:type="spellEnd"/>
            <w:r w:rsidRPr="002803A6">
              <w:rPr>
                <w:sz w:val="16"/>
                <w:szCs w:val="16"/>
              </w:rPr>
              <w:t xml:space="preserve"> </w:t>
            </w:r>
            <w:proofErr w:type="spellStart"/>
            <w:r w:rsidRPr="002803A6">
              <w:rPr>
                <w:sz w:val="16"/>
                <w:szCs w:val="16"/>
              </w:rPr>
              <w:t>Mashov</w:t>
            </w:r>
            <w:proofErr w:type="spellEnd"/>
            <w:r w:rsidRPr="002803A6">
              <w:rPr>
                <w:sz w:val="16"/>
                <w:szCs w:val="16"/>
              </w:rPr>
              <w:t xml:space="preserve"> Exhibition</w:t>
            </w:r>
          </w:p>
        </w:tc>
        <w:tc>
          <w:tcPr>
            <w:tcW w:w="895" w:type="dxa"/>
          </w:tcPr>
          <w:p w:rsidR="002A4DEE" w:rsidRPr="002803A6" w:rsidRDefault="002A4DEE" w:rsidP="00E16D6F">
            <w:pPr>
              <w:keepNext/>
              <w:jc w:val="left"/>
              <w:rPr>
                <w:rFonts w:cs="Arial Unicode MS"/>
                <w:sz w:val="16"/>
                <w:szCs w:val="16"/>
                <w:cs/>
              </w:rPr>
            </w:pPr>
            <w:r w:rsidRPr="002803A6">
              <w:rPr>
                <w:sz w:val="16"/>
                <w:szCs w:val="16"/>
              </w:rPr>
              <w:t>11.06.2019</w:t>
            </w:r>
          </w:p>
        </w:tc>
        <w:tc>
          <w:tcPr>
            <w:tcW w:w="1022" w:type="dxa"/>
          </w:tcPr>
          <w:p w:rsidR="002A4DEE" w:rsidRPr="002803A6" w:rsidRDefault="002A4DEE" w:rsidP="00E16D6F">
            <w:pPr>
              <w:keepNext/>
              <w:jc w:val="left"/>
              <w:rPr>
                <w:sz w:val="16"/>
                <w:szCs w:val="16"/>
              </w:rPr>
            </w:pPr>
            <w:r w:rsidRPr="002803A6">
              <w:rPr>
                <w:sz w:val="16"/>
                <w:szCs w:val="16"/>
              </w:rPr>
              <w:t xml:space="preserve">TLV </w:t>
            </w:r>
            <w:proofErr w:type="spellStart"/>
            <w:r w:rsidRPr="002803A6">
              <w:rPr>
                <w:sz w:val="16"/>
                <w:szCs w:val="16"/>
              </w:rPr>
              <w:t>Convention</w:t>
            </w:r>
            <w:proofErr w:type="spellEnd"/>
            <w:r w:rsidRPr="002803A6">
              <w:rPr>
                <w:sz w:val="16"/>
                <w:szCs w:val="16"/>
              </w:rPr>
              <w:t xml:space="preserve"> Center, Tel Aviv, Israel</w:t>
            </w:r>
          </w:p>
        </w:tc>
        <w:tc>
          <w:tcPr>
            <w:tcW w:w="1546" w:type="dxa"/>
          </w:tcPr>
          <w:p w:rsidR="002A4DEE" w:rsidRPr="002803A6" w:rsidRDefault="002A4DEE" w:rsidP="00E16D6F">
            <w:pPr>
              <w:keepNext/>
              <w:jc w:val="left"/>
              <w:rPr>
                <w:sz w:val="16"/>
                <w:szCs w:val="16"/>
              </w:rPr>
            </w:pPr>
            <w:proofErr w:type="spellStart"/>
            <w:r w:rsidRPr="002803A6">
              <w:rPr>
                <w:sz w:val="16"/>
                <w:szCs w:val="16"/>
              </w:rPr>
              <w:t>Mashov</w:t>
            </w:r>
            <w:proofErr w:type="spellEnd"/>
            <w:r w:rsidRPr="002803A6">
              <w:rPr>
                <w:sz w:val="16"/>
                <w:szCs w:val="16"/>
              </w:rPr>
              <w:t xml:space="preserve"> Group</w:t>
            </w:r>
          </w:p>
        </w:tc>
        <w:tc>
          <w:tcPr>
            <w:tcW w:w="1701" w:type="dxa"/>
          </w:tcPr>
          <w:p w:rsidR="002A4DEE" w:rsidRPr="002803A6" w:rsidRDefault="002A4DEE" w:rsidP="00E16D6F">
            <w:pPr>
              <w:keepNext/>
              <w:jc w:val="left"/>
              <w:rPr>
                <w:sz w:val="16"/>
                <w:szCs w:val="16"/>
              </w:rPr>
            </w:pPr>
            <w:r w:rsidRPr="002803A6">
              <w:rPr>
                <w:sz w:val="16"/>
                <w:szCs w:val="16"/>
              </w:rPr>
              <w:t>Förderung von und Teilnahme an Züchterrechten</w:t>
            </w:r>
          </w:p>
        </w:tc>
        <w:tc>
          <w:tcPr>
            <w:tcW w:w="2268" w:type="dxa"/>
          </w:tcPr>
          <w:p w:rsidR="002A4DEE" w:rsidRPr="002803A6" w:rsidRDefault="002A4DEE" w:rsidP="00E16D6F">
            <w:pPr>
              <w:keepNext/>
              <w:jc w:val="left"/>
              <w:rPr>
                <w:sz w:val="16"/>
                <w:szCs w:val="16"/>
              </w:rPr>
            </w:pPr>
            <w:r w:rsidRPr="002803A6">
              <w:rPr>
                <w:sz w:val="16"/>
                <w:szCs w:val="16"/>
              </w:rPr>
              <w:t>Lokale Landwirtschaftsunternehmen, Produzenten etc.</w:t>
            </w:r>
          </w:p>
        </w:tc>
        <w:tc>
          <w:tcPr>
            <w:tcW w:w="1276" w:type="dxa"/>
          </w:tcPr>
          <w:p w:rsidR="002A4DEE" w:rsidRPr="002803A6" w:rsidRDefault="002A4DEE" w:rsidP="00E16D6F">
            <w:pPr>
              <w:keepNext/>
              <w:jc w:val="left"/>
              <w:rPr>
                <w:sz w:val="16"/>
                <w:szCs w:val="16"/>
              </w:rPr>
            </w:pPr>
            <w:r w:rsidRPr="002803A6">
              <w:rPr>
                <w:sz w:val="16"/>
                <w:szCs w:val="16"/>
              </w:rPr>
              <w:t>Stand und Vertretung im Pavillon des Ministeriums</w:t>
            </w:r>
          </w:p>
        </w:tc>
      </w:tr>
      <w:tr w:rsidR="002A4DEE" w:rsidRPr="002803A6" w:rsidTr="00E16D6F">
        <w:tc>
          <w:tcPr>
            <w:tcW w:w="1101" w:type="dxa"/>
          </w:tcPr>
          <w:p w:rsidR="002A4DEE" w:rsidRPr="002803A6" w:rsidRDefault="002A4DEE" w:rsidP="00E16D6F">
            <w:pPr>
              <w:keepNext/>
              <w:jc w:val="left"/>
              <w:rPr>
                <w:rFonts w:cstheme="minorBidi"/>
                <w:sz w:val="16"/>
                <w:szCs w:val="16"/>
              </w:rPr>
            </w:pPr>
            <w:r w:rsidRPr="002803A6">
              <w:rPr>
                <w:sz w:val="16"/>
                <w:szCs w:val="16"/>
              </w:rPr>
              <w:t>Besuch von Prüfern für geistiges Eigentum und Einführung DUS-Prüfung für die Erteilung von Züchter-rechten</w:t>
            </w:r>
          </w:p>
        </w:tc>
        <w:tc>
          <w:tcPr>
            <w:tcW w:w="895" w:type="dxa"/>
          </w:tcPr>
          <w:p w:rsidR="002A4DEE" w:rsidRPr="002803A6" w:rsidRDefault="002A4DEE" w:rsidP="00E16D6F">
            <w:pPr>
              <w:keepNext/>
              <w:jc w:val="left"/>
              <w:rPr>
                <w:rFonts w:cs="Arial Unicode MS"/>
                <w:sz w:val="16"/>
                <w:szCs w:val="16"/>
              </w:rPr>
            </w:pPr>
            <w:r w:rsidRPr="002803A6">
              <w:rPr>
                <w:sz w:val="16"/>
                <w:szCs w:val="16"/>
              </w:rPr>
              <w:t>13.01.2019</w:t>
            </w:r>
          </w:p>
          <w:p w:rsidR="002A4DEE" w:rsidRPr="002803A6" w:rsidRDefault="002A4DEE" w:rsidP="00E16D6F">
            <w:pPr>
              <w:keepNext/>
              <w:jc w:val="left"/>
              <w:rPr>
                <w:rFonts w:cs="Arial Unicode MS"/>
                <w:sz w:val="16"/>
                <w:szCs w:val="16"/>
                <w:cs/>
              </w:rPr>
            </w:pPr>
          </w:p>
        </w:tc>
        <w:tc>
          <w:tcPr>
            <w:tcW w:w="1022" w:type="dxa"/>
          </w:tcPr>
          <w:p w:rsidR="002A4DEE" w:rsidRPr="002803A6" w:rsidRDefault="002A4DEE" w:rsidP="00E16D6F">
            <w:pPr>
              <w:keepNext/>
              <w:jc w:val="left"/>
              <w:rPr>
                <w:sz w:val="16"/>
                <w:szCs w:val="16"/>
              </w:rPr>
            </w:pPr>
            <w:r w:rsidRPr="002803A6">
              <w:rPr>
                <w:sz w:val="16"/>
                <w:szCs w:val="16"/>
              </w:rPr>
              <w:t>Israel Pflanzen-Genbank und Pflanzen-</w:t>
            </w:r>
            <w:proofErr w:type="spellStart"/>
            <w:r w:rsidRPr="002803A6">
              <w:rPr>
                <w:sz w:val="16"/>
                <w:szCs w:val="16"/>
              </w:rPr>
              <w:t>prüfsysteme</w:t>
            </w:r>
            <w:proofErr w:type="spellEnd"/>
            <w:r w:rsidRPr="002803A6">
              <w:rPr>
                <w:sz w:val="16"/>
                <w:szCs w:val="16"/>
              </w:rPr>
              <w:t>, ARO</w:t>
            </w:r>
          </w:p>
        </w:tc>
        <w:tc>
          <w:tcPr>
            <w:tcW w:w="1546" w:type="dxa"/>
          </w:tcPr>
          <w:p w:rsidR="002A4DEE" w:rsidRPr="002803A6" w:rsidRDefault="002A4DEE" w:rsidP="00E16D6F">
            <w:pPr>
              <w:keepNext/>
              <w:jc w:val="left"/>
              <w:rPr>
                <w:sz w:val="16"/>
                <w:szCs w:val="16"/>
              </w:rPr>
            </w:pPr>
            <w:r w:rsidRPr="002803A6">
              <w:rPr>
                <w:sz w:val="16"/>
                <w:szCs w:val="16"/>
              </w:rPr>
              <w:t xml:space="preserve">Sortenamt </w:t>
            </w:r>
          </w:p>
        </w:tc>
        <w:tc>
          <w:tcPr>
            <w:tcW w:w="1701" w:type="dxa"/>
          </w:tcPr>
          <w:p w:rsidR="002A4DEE" w:rsidRPr="002803A6" w:rsidRDefault="002A4DEE" w:rsidP="00E16D6F">
            <w:pPr>
              <w:keepNext/>
              <w:jc w:val="left"/>
              <w:rPr>
                <w:rFonts w:cstheme="minorBidi"/>
                <w:sz w:val="16"/>
                <w:szCs w:val="16"/>
                <w:rtl/>
              </w:rPr>
            </w:pPr>
            <w:r w:rsidRPr="002803A6">
              <w:rPr>
                <w:sz w:val="16"/>
                <w:szCs w:val="16"/>
              </w:rPr>
              <w:t>Zusammenarbeit</w:t>
            </w:r>
          </w:p>
        </w:tc>
        <w:tc>
          <w:tcPr>
            <w:tcW w:w="2268" w:type="dxa"/>
          </w:tcPr>
          <w:p w:rsidR="002A4DEE" w:rsidRPr="002803A6" w:rsidRDefault="002A4DEE" w:rsidP="00E16D6F">
            <w:pPr>
              <w:keepNext/>
              <w:jc w:val="left"/>
              <w:rPr>
                <w:sz w:val="16"/>
                <w:szCs w:val="16"/>
              </w:rPr>
            </w:pPr>
            <w:r w:rsidRPr="002803A6">
              <w:rPr>
                <w:sz w:val="16"/>
                <w:szCs w:val="16"/>
              </w:rPr>
              <w:t>Lokales Büro für geistiges Eigentum, ARO &amp; Züchterrechts-Büro</w:t>
            </w:r>
          </w:p>
          <w:p w:rsidR="002A4DEE" w:rsidRPr="002803A6" w:rsidRDefault="002A4DEE" w:rsidP="00E16D6F">
            <w:pPr>
              <w:keepNext/>
              <w:jc w:val="left"/>
              <w:rPr>
                <w:sz w:val="16"/>
                <w:szCs w:val="16"/>
              </w:rPr>
            </w:pPr>
            <w:r w:rsidRPr="002803A6">
              <w:rPr>
                <w:sz w:val="16"/>
                <w:szCs w:val="16"/>
              </w:rPr>
              <w:t xml:space="preserve"> - 30 Teilnehmer</w:t>
            </w:r>
          </w:p>
        </w:tc>
        <w:tc>
          <w:tcPr>
            <w:tcW w:w="1276" w:type="dxa"/>
          </w:tcPr>
          <w:p w:rsidR="002A4DEE" w:rsidRPr="002803A6" w:rsidRDefault="002A4DEE" w:rsidP="00E16D6F">
            <w:pPr>
              <w:keepNext/>
              <w:jc w:val="left"/>
              <w:rPr>
                <w:rFonts w:cstheme="minorBidi"/>
                <w:sz w:val="16"/>
                <w:szCs w:val="16"/>
                <w:lang w:bidi="he-IL"/>
              </w:rPr>
            </w:pPr>
          </w:p>
        </w:tc>
      </w:tr>
    </w:tbl>
    <w:p w:rsidR="002A4DEE" w:rsidRPr="002803A6" w:rsidRDefault="002A4DEE" w:rsidP="002A4DEE"/>
    <w:p w:rsidR="00701A18" w:rsidRPr="002803A6" w:rsidRDefault="00701A18" w:rsidP="00701A18">
      <w:pPr>
        <w:jc w:val="left"/>
      </w:pPr>
    </w:p>
    <w:p w:rsidR="00701A18" w:rsidRPr="002803A6" w:rsidRDefault="00701A18" w:rsidP="00701A18">
      <w:pPr>
        <w:jc w:val="left"/>
      </w:pPr>
    </w:p>
    <w:p w:rsidR="00701A18" w:rsidRPr="002803A6" w:rsidRDefault="00701A18" w:rsidP="00701A18">
      <w:pPr>
        <w:jc w:val="right"/>
      </w:pPr>
      <w:r w:rsidRPr="002803A6">
        <w:t>[</w:t>
      </w:r>
      <w:r w:rsidR="00445C49" w:rsidRPr="002803A6">
        <w:t>Anlage</w:t>
      </w:r>
      <w:r w:rsidRPr="002803A6">
        <w:t xml:space="preserve"> VIII </w:t>
      </w:r>
      <w:r w:rsidR="00445C49" w:rsidRPr="002803A6">
        <w:t>folgt]</w:t>
      </w:r>
    </w:p>
    <w:p w:rsidR="00701A18" w:rsidRPr="002803A6" w:rsidRDefault="00701A18" w:rsidP="00701A18">
      <w:pPr>
        <w:jc w:val="left"/>
      </w:pPr>
    </w:p>
    <w:p w:rsidR="00701A18" w:rsidRPr="002803A6" w:rsidRDefault="00701A18" w:rsidP="00701A18">
      <w:pPr>
        <w:jc w:val="left"/>
        <w:sectPr w:rsidR="00701A18" w:rsidRPr="002803A6" w:rsidSect="00823234">
          <w:headerReference w:type="default" r:id="rId15"/>
          <w:pgSz w:w="11907" w:h="16840" w:code="9"/>
          <w:pgMar w:top="510" w:right="1134" w:bottom="1134" w:left="1134" w:header="510" w:footer="680" w:gutter="0"/>
          <w:pgNumType w:start="1"/>
          <w:cols w:space="720"/>
          <w:titlePg/>
        </w:sectPr>
      </w:pPr>
    </w:p>
    <w:p w:rsidR="00701A18" w:rsidRPr="002803A6" w:rsidRDefault="00701A18" w:rsidP="00701A18">
      <w:pPr>
        <w:jc w:val="center"/>
      </w:pPr>
      <w:r w:rsidRPr="002803A6">
        <w:lastRenderedPageBreak/>
        <w:t>C/53/INF/4</w:t>
      </w:r>
    </w:p>
    <w:p w:rsidR="00701A18" w:rsidRPr="002803A6" w:rsidRDefault="00701A18" w:rsidP="00701A18">
      <w:pPr>
        <w:jc w:val="center"/>
      </w:pPr>
    </w:p>
    <w:p w:rsidR="00701A18" w:rsidRPr="002803A6" w:rsidRDefault="00445C49" w:rsidP="00701A18">
      <w:pPr>
        <w:jc w:val="center"/>
      </w:pPr>
      <w:r w:rsidRPr="002803A6">
        <w:t>ANLAGE</w:t>
      </w:r>
      <w:r w:rsidR="00701A18" w:rsidRPr="002803A6">
        <w:t xml:space="preserve"> VIII</w:t>
      </w:r>
    </w:p>
    <w:p w:rsidR="00701A18" w:rsidRPr="002803A6" w:rsidRDefault="00701A18" w:rsidP="00701A18">
      <w:pPr>
        <w:jc w:val="center"/>
      </w:pPr>
    </w:p>
    <w:p w:rsidR="00701A18" w:rsidRPr="002803A6" w:rsidRDefault="00701A18" w:rsidP="00701A18">
      <w:pPr>
        <w:jc w:val="center"/>
      </w:pPr>
    </w:p>
    <w:p w:rsidR="002A4DEE" w:rsidRPr="002803A6" w:rsidRDefault="002A4DEE" w:rsidP="002A4DEE">
      <w:pPr>
        <w:jc w:val="center"/>
      </w:pPr>
      <w:r w:rsidRPr="002803A6">
        <w:t>KENIA</w:t>
      </w:r>
    </w:p>
    <w:p w:rsidR="002A4DEE" w:rsidRPr="002803A6" w:rsidRDefault="002A4DEE" w:rsidP="002A4DEE"/>
    <w:p w:rsidR="002A4DEE" w:rsidRPr="002803A6" w:rsidRDefault="002A4DEE" w:rsidP="002A4DEE"/>
    <w:p w:rsidR="002A4DEE" w:rsidRPr="002803A6" w:rsidRDefault="002A4DEE" w:rsidP="002A4DEE">
      <w:pPr>
        <w:rPr>
          <w:rFonts w:cs="Arial"/>
          <w:u w:val="single"/>
        </w:rPr>
      </w:pPr>
      <w:r w:rsidRPr="002803A6">
        <w:t>I.</w:t>
      </w:r>
      <w:r w:rsidRPr="002803A6">
        <w:tab/>
        <w:t>SORTENSCHUTZ</w:t>
      </w:r>
    </w:p>
    <w:p w:rsidR="002A4DEE" w:rsidRPr="002803A6" w:rsidRDefault="002A4DEE" w:rsidP="002A4DEE">
      <w:pPr>
        <w:rPr>
          <w:rFonts w:cs="Arial"/>
        </w:rPr>
      </w:pPr>
    </w:p>
    <w:p w:rsidR="002A4DEE" w:rsidRPr="002803A6" w:rsidRDefault="002A4DEE" w:rsidP="002A4DEE">
      <w:pPr>
        <w:rPr>
          <w:rFonts w:cs="Arial"/>
          <w:u w:val="single"/>
        </w:rPr>
      </w:pPr>
      <w:r w:rsidRPr="002803A6">
        <w:t>1.</w:t>
      </w:r>
      <w:r w:rsidRPr="002803A6">
        <w:tab/>
      </w:r>
      <w:r w:rsidRPr="002803A6">
        <w:rPr>
          <w:u w:val="single"/>
        </w:rPr>
        <w:t>Lage auf dem Gebiet der Gesetzgebung</w:t>
      </w:r>
    </w:p>
    <w:p w:rsidR="002A4DEE" w:rsidRPr="002803A6" w:rsidRDefault="002A4DEE" w:rsidP="002A4DEE">
      <w:pPr>
        <w:rPr>
          <w:rFonts w:cs="Arial"/>
        </w:rPr>
      </w:pPr>
    </w:p>
    <w:p w:rsidR="002A4DEE" w:rsidRPr="002803A6" w:rsidRDefault="002A4DEE" w:rsidP="002A4DEE">
      <w:pPr>
        <w:rPr>
          <w:rFonts w:cs="Arial"/>
        </w:rPr>
      </w:pPr>
      <w:r w:rsidRPr="002803A6">
        <w:t>1.1</w:t>
      </w:r>
      <w:r w:rsidRPr="002803A6">
        <w:tab/>
        <w:t>Änderungen des Gesetzes und der Ausführungsvorschriften</w:t>
      </w:r>
    </w:p>
    <w:p w:rsidR="002A4DEE" w:rsidRPr="002803A6" w:rsidRDefault="002A4DEE" w:rsidP="002A4DEE">
      <w:pPr>
        <w:rPr>
          <w:rFonts w:cs="Arial"/>
        </w:rPr>
      </w:pPr>
    </w:p>
    <w:p w:rsidR="002A4DEE" w:rsidRPr="002803A6" w:rsidRDefault="002A4DEE" w:rsidP="002A4DEE">
      <w:pPr>
        <w:rPr>
          <w:rFonts w:cs="Arial"/>
        </w:rPr>
      </w:pPr>
      <w:r w:rsidRPr="002803A6">
        <w:t xml:space="preserve">Der Sortenschutz in Kenia wird im Rahmen des </w:t>
      </w:r>
      <w:proofErr w:type="spellStart"/>
      <w:r w:rsidRPr="002803A6">
        <w:rPr>
          <w:i/>
        </w:rPr>
        <w:t>Seeds</w:t>
      </w:r>
      <w:proofErr w:type="spellEnd"/>
      <w:r w:rsidRPr="002803A6">
        <w:rPr>
          <w:i/>
        </w:rPr>
        <w:t xml:space="preserve"> und Plant </w:t>
      </w:r>
      <w:proofErr w:type="spellStart"/>
      <w:r w:rsidRPr="002803A6">
        <w:rPr>
          <w:i/>
        </w:rPr>
        <w:t>Varieties</w:t>
      </w:r>
      <w:proofErr w:type="spellEnd"/>
      <w:r w:rsidRPr="002803A6">
        <w:rPr>
          <w:i/>
        </w:rPr>
        <w:t xml:space="preserve"> Act</w:t>
      </w:r>
      <w:r w:rsidRPr="002803A6">
        <w:t xml:space="preserve"> (CAP 326) von 1972 bereitgestellt, das 1975 in Kraft trat und 1991 überarbeitet wurde. Der nationale Sortenschutz wird in Kenia durch das Saatgut- und Pflanzensortengesetz (CAP 326) von 1972 geregelt, das 1975 in Kraft trat und 1991 revidiert wurde. Offizielle Verordnungen, die die Umsetzung von Sortenschutz regeln sollten, wurden 1994 geschaffen und das Amt zur Verwaltung von Sortenschutz wurde 1997 gegründet und untersteht seit 1998 dem Amt für die Kontrolle der Pflanzengesundheit Kenias (KEPHIS). Kenia trat der UPOV im Rahmen des Übereinkommens von 1978 am 13. Mai 1999 bei. </w:t>
      </w:r>
      <w:r w:rsidRPr="002803A6">
        <w:rPr>
          <w:color w:val="000000"/>
        </w:rPr>
        <w:t xml:space="preserve">2012 wurde das </w:t>
      </w:r>
      <w:proofErr w:type="spellStart"/>
      <w:r w:rsidRPr="002803A6">
        <w:rPr>
          <w:i/>
          <w:color w:val="000000"/>
        </w:rPr>
        <w:t>Seeds</w:t>
      </w:r>
      <w:proofErr w:type="spellEnd"/>
      <w:r w:rsidRPr="002803A6">
        <w:rPr>
          <w:i/>
          <w:color w:val="000000"/>
        </w:rPr>
        <w:t xml:space="preserve"> und Plant </w:t>
      </w:r>
      <w:proofErr w:type="spellStart"/>
      <w:r w:rsidRPr="002803A6">
        <w:rPr>
          <w:i/>
          <w:color w:val="000000"/>
        </w:rPr>
        <w:t>Varieties</w:t>
      </w:r>
      <w:proofErr w:type="spellEnd"/>
      <w:r w:rsidRPr="002803A6">
        <w:rPr>
          <w:i/>
          <w:color w:val="000000"/>
        </w:rPr>
        <w:t xml:space="preserve"> Act</w:t>
      </w:r>
      <w:r w:rsidRPr="002803A6">
        <w:rPr>
          <w:color w:val="000000"/>
        </w:rPr>
        <w:t xml:space="preserve"> geändert, um Komponenten der Akte von 1991 des UPOV-Übereinkommens aufzunehmen. </w:t>
      </w:r>
      <w:r w:rsidRPr="002803A6">
        <w:t>Am 11. April 2016 hinterlegte Kenia die Urkunde über den Beitritt zu der Akte von 1991 des UPOV-Übereinkommens. Kenia ist jetzt durch die Akte von 1991 des UPOV-Übereinkommens gebunden, die seit dem 11. Mai 2016 in Kraft ist. Derzeit ist Kenia dabei, die Verordnungen für Züchterrechte zu überprüfen, um die Umsetzung der optionalen Ausnahmeregelung zu erleichtern.</w:t>
      </w:r>
    </w:p>
    <w:p w:rsidR="002A4DEE" w:rsidRPr="002803A6" w:rsidRDefault="002A4DEE" w:rsidP="002A4DEE">
      <w:pPr>
        <w:rPr>
          <w:rFonts w:cs="Arial"/>
          <w:u w:val="single"/>
        </w:rPr>
      </w:pPr>
    </w:p>
    <w:p w:rsidR="002A4DEE" w:rsidRPr="002803A6" w:rsidRDefault="00EB4F9F" w:rsidP="002A4DEE">
      <w:pPr>
        <w:rPr>
          <w:rFonts w:cs="Arial"/>
        </w:rPr>
      </w:pPr>
      <w:r w:rsidRPr="002803A6">
        <w:t>1.2</w:t>
      </w:r>
      <w:r w:rsidRPr="002803A6">
        <w:tab/>
      </w:r>
      <w:r w:rsidR="002803A6" w:rsidRPr="002803A6">
        <w:t>Erfasste</w:t>
      </w:r>
      <w:r w:rsidR="002A4DEE" w:rsidRPr="002803A6">
        <w:t xml:space="preserve"> Gattungen und Arten</w:t>
      </w:r>
    </w:p>
    <w:p w:rsidR="002A4DEE" w:rsidRPr="002803A6" w:rsidRDefault="002A4DEE" w:rsidP="002A4DEE">
      <w:pPr>
        <w:rPr>
          <w:rFonts w:cs="Arial"/>
        </w:rPr>
      </w:pPr>
    </w:p>
    <w:p w:rsidR="002A4DEE" w:rsidRPr="002803A6" w:rsidRDefault="002A4DEE" w:rsidP="002A4DEE">
      <w:pPr>
        <w:rPr>
          <w:rFonts w:cs="Arial"/>
        </w:rPr>
      </w:pPr>
      <w:r w:rsidRPr="002803A6">
        <w:t>Kenia erteilt Züchterrechte für alle Pflanzengattungen und -arten. Derzeit sind insgesamt einundsechzig (78) Taxa von ausgewählten Pflanzenarten zum Schutz in dem Land eingetragen.</w:t>
      </w:r>
    </w:p>
    <w:p w:rsidR="002A4DEE" w:rsidRPr="002803A6" w:rsidRDefault="002A4DEE" w:rsidP="002A4DEE">
      <w:pPr>
        <w:rPr>
          <w:rFonts w:cs="Arial"/>
        </w:rPr>
      </w:pPr>
    </w:p>
    <w:p w:rsidR="002A4DEE" w:rsidRPr="002803A6" w:rsidRDefault="002A4DEE" w:rsidP="002A4DEE">
      <w:pPr>
        <w:rPr>
          <w:rFonts w:cs="Arial"/>
        </w:rPr>
      </w:pPr>
      <w:r w:rsidRPr="002803A6">
        <w:t>1.3.</w:t>
      </w:r>
      <w:r w:rsidRPr="002803A6">
        <w:tab/>
      </w:r>
      <w:r w:rsidR="002803A6" w:rsidRPr="002803A6">
        <w:t>Rechtsprechung</w:t>
      </w:r>
    </w:p>
    <w:p w:rsidR="002A4DEE" w:rsidRPr="002803A6" w:rsidRDefault="002A4DEE" w:rsidP="002A4DEE">
      <w:pPr>
        <w:rPr>
          <w:rFonts w:cs="Arial"/>
          <w:u w:val="single"/>
        </w:rPr>
      </w:pPr>
    </w:p>
    <w:p w:rsidR="002A4DEE" w:rsidRPr="002803A6" w:rsidRDefault="002A4DEE" w:rsidP="002A4DEE">
      <w:r w:rsidRPr="002803A6">
        <w:t xml:space="preserve">Im Rahmen des Kenianischen </w:t>
      </w:r>
      <w:proofErr w:type="spellStart"/>
      <w:r w:rsidRPr="002803A6">
        <w:rPr>
          <w:i/>
        </w:rPr>
        <w:t>Seeds</w:t>
      </w:r>
      <w:proofErr w:type="spellEnd"/>
      <w:r w:rsidRPr="002803A6">
        <w:rPr>
          <w:i/>
        </w:rPr>
        <w:t xml:space="preserve"> und Plant </w:t>
      </w:r>
      <w:proofErr w:type="spellStart"/>
      <w:r w:rsidRPr="002803A6">
        <w:rPr>
          <w:i/>
        </w:rPr>
        <w:t>Varieties</w:t>
      </w:r>
      <w:proofErr w:type="spellEnd"/>
      <w:r w:rsidRPr="002803A6">
        <w:rPr>
          <w:i/>
        </w:rPr>
        <w:t xml:space="preserve"> Act</w:t>
      </w:r>
      <w:r w:rsidRPr="002803A6">
        <w:t xml:space="preserve"> müssen Anträge auf Züchterrechte im kenianischen Amtsblatt veröffentlicht werden, damit diejenigen, die einem Antrag oder einer Erteilung von Rechten widersprechen möchten, die Möglichkeit haben, Einwände zu erheben und Stellung vor dem zuständigen Sachbearbeiter zu nehmen – KEPHIS. Der zuständige Sachbearbeiter entscheidet über die Anhörung solcher Stellungnahmen, aber jeder Antragsteller, der durch die Entscheidung des zuständigen Sachbearbeiters benachteiligt wird, kann beim Gerichtshof für Saatgut und Pflanzen Beschwerde einlegen, und wenn er weiterhin durch die Entscheidung des Gerichts benachteiligt wird, eine endgültige Beschwerde beim Obersten Gerichtshof einlegen. </w:t>
      </w:r>
    </w:p>
    <w:p w:rsidR="002A4DEE" w:rsidRPr="002803A6" w:rsidRDefault="002A4DEE" w:rsidP="002A4DEE"/>
    <w:p w:rsidR="002A4DEE" w:rsidRPr="002803A6" w:rsidRDefault="002A4DEE" w:rsidP="002A4DEE">
      <w:r w:rsidRPr="002803A6">
        <w:t>Seit der Einführung des Zentrums für Sortenschutz in Kenia wurden insgesamt achtundvierzig (48) Anträge auf Züchterrechte angefochten. Davon wurden Fälle für einunddreißig (31) Anträge gehört und von dem zuständigen Sachbearbeiter entschieden. Die Anhörung von Stellungnahmen für die verbleibenden Fälle für siebzehn (17) Anträge ist im Gange. Bisher gab es keinen Fall, der durch das Gericht angefochten wurde.</w:t>
      </w:r>
    </w:p>
    <w:p w:rsidR="002A4DEE" w:rsidRPr="002803A6" w:rsidRDefault="002A4DEE" w:rsidP="002A4DEE">
      <w:pPr>
        <w:rPr>
          <w:rFonts w:cs="Arial"/>
        </w:rPr>
      </w:pPr>
    </w:p>
    <w:p w:rsidR="002A4DEE" w:rsidRPr="002803A6" w:rsidRDefault="002A4DEE" w:rsidP="002A4DEE">
      <w:pPr>
        <w:rPr>
          <w:rFonts w:cs="Arial"/>
        </w:rPr>
      </w:pPr>
      <w:r w:rsidRPr="002803A6">
        <w:t>2.</w:t>
      </w:r>
      <w:r w:rsidRPr="002803A6">
        <w:tab/>
      </w:r>
      <w:r w:rsidRPr="002803A6">
        <w:rPr>
          <w:u w:val="single"/>
        </w:rPr>
        <w:t>Zusammenarbeit bei der Prüfung</w:t>
      </w:r>
    </w:p>
    <w:p w:rsidR="002A4DEE" w:rsidRPr="002803A6" w:rsidRDefault="002A4DEE" w:rsidP="002A4DEE">
      <w:pPr>
        <w:rPr>
          <w:rFonts w:cs="Arial"/>
        </w:rPr>
      </w:pPr>
    </w:p>
    <w:p w:rsidR="002A4DEE" w:rsidRPr="002803A6" w:rsidRDefault="002A4DEE" w:rsidP="002A4DEE">
      <w:r w:rsidRPr="002803A6">
        <w:t>Gemäß UPOV Artikel 32 über Sondervereinbarungen hat das Sortenschutzamt in Kenia die internationale Zusammenarbeit mit anderen Mitgliedstaaten der UPOV und zwischenstaatlichen Organisationen bei der Nutzung der vorhandenen DUS-Prüfungsberichte aufgenommen, insbesondere</w:t>
      </w:r>
    </w:p>
    <w:p w:rsidR="002A4DEE" w:rsidRPr="002803A6" w:rsidRDefault="002A4DEE" w:rsidP="002A4DEE"/>
    <w:p w:rsidR="002A4DEE" w:rsidRPr="002803A6" w:rsidRDefault="002A4DEE" w:rsidP="002A4DEE">
      <w:pPr>
        <w:pStyle w:val="ListParagraph"/>
        <w:numPr>
          <w:ilvl w:val="0"/>
          <w:numId w:val="10"/>
        </w:numPr>
      </w:pPr>
      <w:r w:rsidRPr="002803A6">
        <w:t>Europäische Gemeinschaft – Gemeinschaftliches Sortenamt</w:t>
      </w:r>
    </w:p>
    <w:p w:rsidR="002A4DEE" w:rsidRPr="002803A6" w:rsidRDefault="002A4DEE" w:rsidP="002A4DEE">
      <w:pPr>
        <w:pStyle w:val="ListParagraph"/>
        <w:numPr>
          <w:ilvl w:val="0"/>
          <w:numId w:val="10"/>
        </w:numPr>
      </w:pPr>
      <w:proofErr w:type="spellStart"/>
      <w:r w:rsidRPr="002803A6">
        <w:t>RaadVoorPlantrassen</w:t>
      </w:r>
      <w:proofErr w:type="spellEnd"/>
      <w:r w:rsidRPr="002803A6">
        <w:t xml:space="preserve"> (</w:t>
      </w:r>
      <w:r w:rsidR="002803A6" w:rsidRPr="002803A6">
        <w:t>Ausschuss</w:t>
      </w:r>
      <w:r w:rsidRPr="002803A6">
        <w:t xml:space="preserve"> für Pflanzensorten) </w:t>
      </w:r>
      <w:r w:rsidR="00B36650" w:rsidRPr="002803A6">
        <w:t>-</w:t>
      </w:r>
      <w:r w:rsidRPr="002803A6">
        <w:t xml:space="preserve"> die Niederlande</w:t>
      </w:r>
    </w:p>
    <w:p w:rsidR="002A4DEE" w:rsidRPr="002803A6" w:rsidRDefault="002A4DEE" w:rsidP="002A4DEE">
      <w:pPr>
        <w:pStyle w:val="ListParagraph"/>
        <w:numPr>
          <w:ilvl w:val="0"/>
          <w:numId w:val="10"/>
        </w:numPr>
      </w:pPr>
      <w:r w:rsidRPr="002803A6">
        <w:t>Rat für Züchterrechte - Israel</w:t>
      </w:r>
    </w:p>
    <w:p w:rsidR="002A4DEE" w:rsidRPr="002803A6" w:rsidRDefault="002A4DEE" w:rsidP="002A4DEE">
      <w:pPr>
        <w:pStyle w:val="ListParagraph"/>
        <w:numPr>
          <w:ilvl w:val="0"/>
          <w:numId w:val="10"/>
        </w:numPr>
      </w:pPr>
      <w:r w:rsidRPr="002803A6">
        <w:t xml:space="preserve">Leiter für Sortenrechte - Neuseeland </w:t>
      </w:r>
    </w:p>
    <w:p w:rsidR="002A4DEE" w:rsidRPr="002803A6" w:rsidRDefault="002A4DEE" w:rsidP="002A4DEE">
      <w:pPr>
        <w:pStyle w:val="ListParagraph"/>
        <w:numPr>
          <w:ilvl w:val="0"/>
          <w:numId w:val="10"/>
        </w:numPr>
      </w:pPr>
      <w:r w:rsidRPr="002803A6">
        <w:t>Registerbeamter, Nationales Amt für Landwirtschaft - Südafrika</w:t>
      </w:r>
    </w:p>
    <w:p w:rsidR="002A4DEE" w:rsidRPr="002803A6" w:rsidRDefault="002A4DEE" w:rsidP="002A4DEE">
      <w:pPr>
        <w:pStyle w:val="ListParagraph"/>
        <w:numPr>
          <w:ilvl w:val="0"/>
          <w:numId w:val="10"/>
        </w:numPr>
      </w:pPr>
      <w:r w:rsidRPr="002803A6">
        <w:t>Bundessortenamt - Deutschland</w:t>
      </w:r>
    </w:p>
    <w:p w:rsidR="002A4DEE" w:rsidRPr="002803A6" w:rsidRDefault="002A4DEE" w:rsidP="002A4DEE">
      <w:pPr>
        <w:pStyle w:val="ListParagraph"/>
        <w:numPr>
          <w:ilvl w:val="0"/>
          <w:numId w:val="10"/>
        </w:numPr>
      </w:pPr>
      <w:r w:rsidRPr="002803A6">
        <w:t>Ministerium für Umwelt, Ernährung und ländliche Angelegenheiten (DEFRA)</w:t>
      </w:r>
      <w:r w:rsidR="00B36650" w:rsidRPr="002803A6">
        <w:t xml:space="preserve"> </w:t>
      </w:r>
      <w:r w:rsidRPr="002803A6">
        <w:t>- Vereinigtes Königreich</w:t>
      </w:r>
    </w:p>
    <w:p w:rsidR="002A4DEE" w:rsidRPr="002803A6" w:rsidRDefault="002A4DEE" w:rsidP="002A4DEE">
      <w:pPr>
        <w:pStyle w:val="ListParagraph"/>
        <w:numPr>
          <w:ilvl w:val="0"/>
          <w:numId w:val="10"/>
        </w:numPr>
      </w:pPr>
      <w:r w:rsidRPr="002803A6">
        <w:t>Abteilung für neue Unternehmen und geistiges Eigentum, Büro für Angelegenheiten der Nahrungsmittelindustrie - Japan</w:t>
      </w:r>
    </w:p>
    <w:p w:rsidR="002A4DEE" w:rsidRPr="002803A6" w:rsidRDefault="002A4DEE" w:rsidP="002A4DEE">
      <w:pPr>
        <w:pStyle w:val="ListParagraph"/>
        <w:numPr>
          <w:ilvl w:val="0"/>
          <w:numId w:val="10"/>
        </w:numPr>
      </w:pPr>
      <w:r w:rsidRPr="002803A6">
        <w:t>Zentrum für Saatgut und Sorten von Korea</w:t>
      </w:r>
      <w:r w:rsidR="00B36650" w:rsidRPr="002803A6">
        <w:t xml:space="preserve"> -</w:t>
      </w:r>
      <w:r w:rsidRPr="002803A6">
        <w:t xml:space="preserve"> Republik Korea</w:t>
      </w:r>
    </w:p>
    <w:p w:rsidR="002A4DEE" w:rsidRPr="002803A6" w:rsidRDefault="002A4DEE" w:rsidP="002A4DEE">
      <w:pPr>
        <w:pStyle w:val="ListParagraph"/>
        <w:numPr>
          <w:ilvl w:val="0"/>
          <w:numId w:val="10"/>
        </w:numPr>
      </w:pPr>
      <w:r w:rsidRPr="002803A6">
        <w:t>Geistiges Eigentum - Büro für Angelegenheiten der Nahrungsmittelindustrie - Japan</w:t>
      </w:r>
    </w:p>
    <w:p w:rsidR="002A4DEE" w:rsidRPr="002803A6" w:rsidRDefault="002A4DEE" w:rsidP="002A4DEE"/>
    <w:p w:rsidR="002A4DEE" w:rsidRPr="002803A6" w:rsidRDefault="002A4DEE" w:rsidP="002A4DEE">
      <w:pPr>
        <w:rPr>
          <w:u w:val="single"/>
        </w:rPr>
      </w:pPr>
      <w:r w:rsidRPr="002803A6">
        <w:t>3.</w:t>
      </w:r>
      <w:r w:rsidRPr="002803A6">
        <w:tab/>
      </w:r>
      <w:r w:rsidRPr="002803A6">
        <w:rPr>
          <w:u w:val="single"/>
        </w:rPr>
        <w:t>Lage auf dem Gebiet der Verwaltung</w:t>
      </w:r>
    </w:p>
    <w:p w:rsidR="002A4DEE" w:rsidRPr="002803A6" w:rsidRDefault="002A4DEE" w:rsidP="002A4DEE"/>
    <w:p w:rsidR="002A4DEE" w:rsidRPr="002803A6" w:rsidRDefault="002A4DEE" w:rsidP="002A4DEE">
      <w:r w:rsidRPr="002803A6">
        <w:t xml:space="preserve">Die Verwaltungsstruktur, Verfahren und Systeme des Sortenschutzamtes in Kenia bleiben unverändert, die Anträge auf Züchterrechte können jedoch online eingereicht werden. Kenia hat die Verwendung des UPOV-PRISMA-Antragsinstruments für alle Gattungen und Arten begrüßt. Kenia automatisiert derzeit sein Sortenschutzsystem, so </w:t>
      </w:r>
      <w:r w:rsidR="002803A6" w:rsidRPr="002803A6">
        <w:t>dass</w:t>
      </w:r>
      <w:r w:rsidRPr="002803A6">
        <w:t xml:space="preserve"> alle Verfahren im Hinblick auf </w:t>
      </w:r>
      <w:r w:rsidR="00A655AE" w:rsidRPr="002803A6">
        <w:t xml:space="preserve">Sortenschutz </w:t>
      </w:r>
      <w:r w:rsidRPr="002803A6">
        <w:t>online vonstattengehen werden.</w:t>
      </w:r>
    </w:p>
    <w:p w:rsidR="002A4DEE" w:rsidRPr="002803A6" w:rsidRDefault="002A4DEE" w:rsidP="002A4DEE"/>
    <w:p w:rsidR="001F13A3" w:rsidRPr="002803A6" w:rsidRDefault="001F13A3" w:rsidP="002A4DEE"/>
    <w:p w:rsidR="002A4DEE" w:rsidRPr="002803A6" w:rsidRDefault="002A4DEE" w:rsidP="002A4DEE">
      <w:r w:rsidRPr="002803A6">
        <w:t>4.</w:t>
      </w:r>
      <w:r w:rsidRPr="002803A6">
        <w:tab/>
      </w:r>
      <w:r w:rsidRPr="002803A6">
        <w:rPr>
          <w:u w:val="single"/>
        </w:rPr>
        <w:t>Lage auf dem Gebiet der Technik</w:t>
      </w:r>
    </w:p>
    <w:p w:rsidR="002A4DEE" w:rsidRPr="002803A6" w:rsidRDefault="002A4DEE" w:rsidP="002A4DEE"/>
    <w:p w:rsidR="002A4DEE" w:rsidRPr="002803A6" w:rsidRDefault="002A4DEE" w:rsidP="002A4DEE">
      <w:r w:rsidRPr="002803A6">
        <w:t xml:space="preserve">a. </w:t>
      </w:r>
      <w:r w:rsidRPr="002803A6">
        <w:tab/>
        <w:t>Beantragung und Erteilung von Züchterrechten</w:t>
      </w:r>
    </w:p>
    <w:p w:rsidR="002A4DEE" w:rsidRPr="002803A6" w:rsidRDefault="002A4DEE" w:rsidP="002A4DEE"/>
    <w:p w:rsidR="002A4DEE" w:rsidRPr="002803A6" w:rsidRDefault="002A4DEE" w:rsidP="002A4DEE">
      <w:r w:rsidRPr="002803A6">
        <w:t>Seit der Gründung des Züchterrechts-Büros in Kenia bis Ende 2018 sind insgesamt 1 679 Anträge auf Züchterrechte eingegangen und 650 Schutztitel wurden erteilt. Abbildung 1 unten zeigt den Status der Züchterrechte in Kenia.</w:t>
      </w:r>
    </w:p>
    <w:p w:rsidR="001F13A3" w:rsidRPr="002803A6" w:rsidRDefault="001F13A3" w:rsidP="002A4DEE"/>
    <w:p w:rsidR="002A4DEE" w:rsidRPr="002803A6" w:rsidRDefault="002A4DEE" w:rsidP="002A4DEE">
      <w:pPr>
        <w:pStyle w:val="NormalWeb"/>
        <w:tabs>
          <w:tab w:val="center" w:pos="4680"/>
        </w:tabs>
        <w:spacing w:before="115" w:beforeAutospacing="0" w:after="0" w:afterAutospacing="0" w:line="360" w:lineRule="auto"/>
        <w:jc w:val="center"/>
        <w:rPr>
          <w:rFonts w:ascii="Calibri" w:eastAsia="Tahoma" w:hAnsi="Calibri" w:cs="Tahoma"/>
          <w:color w:val="000000"/>
          <w:kern w:val="24"/>
          <w:sz w:val="22"/>
          <w:szCs w:val="22"/>
        </w:rPr>
      </w:pPr>
      <w:r w:rsidRPr="002803A6">
        <w:rPr>
          <w:rFonts w:ascii="Cambria" w:hAnsi="Cambria"/>
          <w:noProof/>
          <w:color w:val="000000"/>
          <w:sz w:val="28"/>
          <w:szCs w:val="28"/>
          <w:lang w:val="en-US"/>
        </w:rPr>
        <w:drawing>
          <wp:inline distT="0" distB="0" distL="0" distR="0" wp14:anchorId="094EB82D" wp14:editId="2BFC55AA">
            <wp:extent cx="4586605" cy="2757805"/>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6605" cy="2757805"/>
                    </a:xfrm>
                    <a:prstGeom prst="rect">
                      <a:avLst/>
                    </a:prstGeom>
                    <a:noFill/>
                    <a:ln>
                      <a:noFill/>
                    </a:ln>
                  </pic:spPr>
                </pic:pic>
              </a:graphicData>
            </a:graphic>
          </wp:inline>
        </w:drawing>
      </w:r>
    </w:p>
    <w:p w:rsidR="002A4DEE" w:rsidRPr="002803A6" w:rsidRDefault="002A4DEE" w:rsidP="002A4DEE">
      <w:pPr>
        <w:jc w:val="center"/>
        <w:rPr>
          <w:rFonts w:eastAsia="Tahoma"/>
        </w:rPr>
      </w:pPr>
      <w:r w:rsidRPr="002803A6">
        <w:t>Abb. 1. Status der Züchterrechte in Kenia zum Dezember 2018</w:t>
      </w:r>
    </w:p>
    <w:p w:rsidR="002A4DEE" w:rsidRPr="002803A6" w:rsidRDefault="002A4DEE" w:rsidP="002A4DEE">
      <w:pPr>
        <w:rPr>
          <w:rFonts w:eastAsia="Tahoma"/>
        </w:rPr>
      </w:pPr>
    </w:p>
    <w:p w:rsidR="002A4DEE" w:rsidRPr="002803A6" w:rsidRDefault="002A4DEE" w:rsidP="002A4DEE">
      <w:pPr>
        <w:pStyle w:val="NormalWeb"/>
        <w:tabs>
          <w:tab w:val="center" w:pos="4680"/>
        </w:tabs>
        <w:spacing w:before="115" w:beforeAutospacing="0" w:after="0" w:afterAutospacing="0" w:line="360" w:lineRule="auto"/>
        <w:jc w:val="center"/>
      </w:pPr>
      <w:r w:rsidRPr="002803A6">
        <w:rPr>
          <w:noProof/>
          <w:lang w:val="en-US"/>
        </w:rPr>
        <w:lastRenderedPageBreak/>
        <w:drawing>
          <wp:inline distT="0" distB="0" distL="0" distR="0" wp14:anchorId="0A6F20E5" wp14:editId="644DA544">
            <wp:extent cx="5542280" cy="3599180"/>
            <wp:effectExtent l="0" t="0" r="1270" b="127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A4DEE" w:rsidRPr="002803A6" w:rsidRDefault="002A4DEE" w:rsidP="002A4DEE">
      <w:pPr>
        <w:jc w:val="center"/>
        <w:rPr>
          <w:rFonts w:eastAsia="Tahoma"/>
        </w:rPr>
      </w:pPr>
      <w:r w:rsidRPr="002803A6">
        <w:t>Abb. 2. Status der Züchterrechte in Kenia für das Jahr 2018</w:t>
      </w:r>
    </w:p>
    <w:p w:rsidR="002A4DEE" w:rsidRPr="002803A6" w:rsidRDefault="002A4DEE" w:rsidP="002A4DEE"/>
    <w:p w:rsidR="002A4DEE" w:rsidRPr="002803A6" w:rsidRDefault="002A4DEE" w:rsidP="002A4DEE">
      <w:r w:rsidRPr="002803A6">
        <w:t xml:space="preserve">Gründe für die Rücknahme von Anträgen durch die Züchter sind u.a. ein geringeres Interesse der Verbraucher an einer Sorte sowie die Verfügbarkeit besserer Sorten für den Züchter. Die unvollständigen Anträge sind entweder auf fehlende unterstützende Dokumente, die dem Antrag beigefügt werden müssen, oder auf die Nichtzahlung der Anmeldegebühr durch den Antragsteller zurückzuführen. Gebilligte Anträge auf die Erteilung von Züchterrechten sind Anträge, bei denen der DUS-Prüfungsbericht fertiggestellt und als positiv bestätigt wurde, bei denen aber die Zahlung der Gebühr für Züchterrechtszertifikate durch den Antragsteller noch aussteht. Das Datum der Zahlung dieser Gebühr wird zum offiziellen Datum des Beginns des Schutzes dieser Sorte in Kenia. </w:t>
      </w:r>
    </w:p>
    <w:p w:rsidR="002A4DEE" w:rsidRPr="002803A6" w:rsidRDefault="002A4DEE" w:rsidP="002A4DEE"/>
    <w:p w:rsidR="002A4DEE" w:rsidRPr="002803A6" w:rsidRDefault="002A4DEE" w:rsidP="002A4DEE">
      <w:r w:rsidRPr="002803A6">
        <w:t>b.</w:t>
      </w:r>
      <w:r w:rsidRPr="002803A6">
        <w:tab/>
        <w:t>DUS-Prüfung</w:t>
      </w:r>
    </w:p>
    <w:p w:rsidR="002A4DEE" w:rsidRPr="002803A6" w:rsidRDefault="002A4DEE" w:rsidP="002A4DEE"/>
    <w:p w:rsidR="002A4DEE" w:rsidRPr="002803A6" w:rsidRDefault="002A4DEE" w:rsidP="002A4DEE">
      <w:r w:rsidRPr="002803A6">
        <w:t xml:space="preserve">Das Amt führt DUS für Straucherbse, Augenbohnen, Baumwolle, Mais, Reis, Hirse, Mohrenhirse, Sonnenblumen, Kartoffeln, </w:t>
      </w:r>
      <w:proofErr w:type="spellStart"/>
      <w:r w:rsidRPr="002803A6">
        <w:t>Limonium</w:t>
      </w:r>
      <w:proofErr w:type="spellEnd"/>
      <w:r w:rsidRPr="002803A6">
        <w:t xml:space="preserve"> sowie eine Reihe von herkömmlichen Gemüsearten (</w:t>
      </w:r>
      <w:proofErr w:type="spellStart"/>
      <w:r w:rsidRPr="002803A6">
        <w:t>Mrenda</w:t>
      </w:r>
      <w:proofErr w:type="spellEnd"/>
      <w:r w:rsidRPr="002803A6">
        <w:t xml:space="preserve"> und Amarant) durch. </w:t>
      </w:r>
      <w:r w:rsidR="000D183E" w:rsidRPr="002803A6">
        <w:t>Nationale</w:t>
      </w:r>
      <w:r w:rsidRPr="002803A6">
        <w:t xml:space="preserve"> Prüfungsrichtlinien für </w:t>
      </w:r>
      <w:r w:rsidR="000D183E" w:rsidRPr="002803A6">
        <w:t xml:space="preserve">einige </w:t>
      </w:r>
      <w:r w:rsidRPr="002803A6">
        <w:t>diese</w:t>
      </w:r>
      <w:r w:rsidR="000D183E" w:rsidRPr="002803A6">
        <w:t>r</w:t>
      </w:r>
      <w:r w:rsidRPr="002803A6">
        <w:t xml:space="preserve"> Pflanzen </w:t>
      </w:r>
      <w:r w:rsidR="000D183E" w:rsidRPr="002803A6">
        <w:t>wurden entwickelt</w:t>
      </w:r>
      <w:r w:rsidRPr="002803A6">
        <w:t xml:space="preserve">. Kenia ist Teil des Teams, das die Prüfungsrichtlinie für Tee </w:t>
      </w:r>
      <w:r w:rsidR="000D183E" w:rsidRPr="002803A6">
        <w:t>überarbeitet</w:t>
      </w:r>
      <w:r w:rsidRPr="002803A6">
        <w:t>.</w:t>
      </w:r>
    </w:p>
    <w:p w:rsidR="002A4DEE" w:rsidRPr="002803A6" w:rsidRDefault="002A4DEE" w:rsidP="002A4DEE"/>
    <w:p w:rsidR="0097783A" w:rsidRPr="002803A6" w:rsidRDefault="0097783A" w:rsidP="002A4DEE"/>
    <w:p w:rsidR="002A4DEE" w:rsidRPr="002803A6" w:rsidRDefault="002A4DEE" w:rsidP="002A4DEE">
      <w:pPr>
        <w:rPr>
          <w:u w:val="single"/>
        </w:rPr>
      </w:pPr>
      <w:r w:rsidRPr="002803A6">
        <w:t>5.</w:t>
      </w:r>
      <w:r w:rsidRPr="002803A6">
        <w:tab/>
      </w:r>
      <w:r w:rsidRPr="002803A6">
        <w:rPr>
          <w:u w:val="single"/>
        </w:rPr>
        <w:t>Tätigkeiten zur Förderung des Sortenschutzes</w:t>
      </w:r>
    </w:p>
    <w:p w:rsidR="002A4DEE" w:rsidRPr="002803A6" w:rsidRDefault="002A4DEE" w:rsidP="002A4DEE"/>
    <w:p w:rsidR="002A4DEE" w:rsidRPr="002803A6" w:rsidRDefault="002A4DEE" w:rsidP="002A4DEE">
      <w:r w:rsidRPr="002803A6">
        <w:t>Das Sortenamt in Kenia beteiligt sich aktiv an einer Reihe von Tätigkeiten zur Förderung des Sortenschutzes im Land selbst und in der afrikanischen Region. Einige dieser Fördertätigkeiten umfassen:</w:t>
      </w:r>
    </w:p>
    <w:p w:rsidR="002A4DEE" w:rsidRPr="002803A6" w:rsidRDefault="002A4DEE" w:rsidP="002A4DEE"/>
    <w:p w:rsidR="002A4DEE" w:rsidRPr="002803A6" w:rsidRDefault="002A4DEE" w:rsidP="002A4DEE">
      <w:pPr>
        <w:pStyle w:val="ListParagraph"/>
        <w:numPr>
          <w:ilvl w:val="0"/>
          <w:numId w:val="11"/>
        </w:numPr>
        <w:jc w:val="both"/>
      </w:pPr>
      <w:r w:rsidRPr="002803A6">
        <w:t>Verbreitungsseminare zur Sensibilisierung für Sortenschutzzentren im Land. Diese Seminare richten sich an nationale landwirtschaftliche Forschungseinrichtungen, Universitäten, politische Entscheidungsträger, landwirtschaftliche Berater sowie an die größeren landwirtschaftlichen Gemeinschaften.</w:t>
      </w:r>
    </w:p>
    <w:p w:rsidR="002A4DEE" w:rsidRPr="002803A6" w:rsidRDefault="002A4DEE" w:rsidP="00C459C8">
      <w:pPr>
        <w:pStyle w:val="ListParagraph"/>
        <w:numPr>
          <w:ilvl w:val="0"/>
          <w:numId w:val="11"/>
        </w:numPr>
        <w:jc w:val="both"/>
      </w:pPr>
      <w:r w:rsidRPr="002803A6">
        <w:t xml:space="preserve">Das Amt arbeitet mit anderen Sektoren der Landwirtschaft zusammen, um sicherzustellen, </w:t>
      </w:r>
      <w:r w:rsidR="002803A6" w:rsidRPr="002803A6">
        <w:t>dass</w:t>
      </w:r>
      <w:r w:rsidRPr="002803A6">
        <w:t xml:space="preserve"> die Betriebsvorschriften mit dem </w:t>
      </w:r>
      <w:proofErr w:type="spellStart"/>
      <w:r w:rsidR="002803A6" w:rsidRPr="002803A6">
        <w:rPr>
          <w:i/>
        </w:rPr>
        <w:t>Seeds</w:t>
      </w:r>
      <w:proofErr w:type="spellEnd"/>
      <w:r w:rsidR="002803A6" w:rsidRPr="002803A6">
        <w:rPr>
          <w:i/>
        </w:rPr>
        <w:t xml:space="preserve"> und Plant </w:t>
      </w:r>
      <w:proofErr w:type="spellStart"/>
      <w:r w:rsidR="002803A6" w:rsidRPr="002803A6">
        <w:rPr>
          <w:i/>
        </w:rPr>
        <w:t>Varieties</w:t>
      </w:r>
      <w:proofErr w:type="spellEnd"/>
      <w:r w:rsidR="002803A6" w:rsidRPr="002803A6">
        <w:rPr>
          <w:i/>
        </w:rPr>
        <w:t xml:space="preserve"> Act</w:t>
      </w:r>
      <w:r w:rsidR="002803A6" w:rsidRPr="002803A6">
        <w:t xml:space="preserve"> </w:t>
      </w:r>
      <w:r w:rsidRPr="002803A6">
        <w:t xml:space="preserve">und somit dem UPOV-Übereinkommen übereinstimmen. </w:t>
      </w:r>
    </w:p>
    <w:p w:rsidR="002A4DEE" w:rsidRPr="002803A6" w:rsidRDefault="002A4DEE" w:rsidP="006A3E8A">
      <w:pPr>
        <w:pStyle w:val="ListParagraph"/>
        <w:numPr>
          <w:ilvl w:val="0"/>
          <w:numId w:val="11"/>
        </w:numPr>
        <w:jc w:val="both"/>
      </w:pPr>
      <w:r w:rsidRPr="002803A6">
        <w:t xml:space="preserve">In der Region hat das Amt maßgeblich an der Entwicklung des ARIPO-Rahmens für Sortenschutz mitgewirkt und Beiträge </w:t>
      </w:r>
      <w:r w:rsidR="0097783A" w:rsidRPr="002803A6">
        <w:t>zum Gesetzesentwurf für Saatgut und Pflanzensorten der Ostafrikanischen Gemeinschaft (EAC) geleistet, der einen Teil zum Sortenschutz enthält.  D</w:t>
      </w:r>
      <w:r w:rsidRPr="002803A6">
        <w:t xml:space="preserve">as Amt war auch daran beteiligt, Delegationen aus Malawi und Somalia mit dem kenianischen Sortenschutzsystem vertraut zu machen. </w:t>
      </w:r>
    </w:p>
    <w:p w:rsidR="002A4DEE" w:rsidRPr="002803A6" w:rsidRDefault="002A4DEE" w:rsidP="002A4DEE"/>
    <w:p w:rsidR="0097783A" w:rsidRPr="002803A6" w:rsidRDefault="0097783A" w:rsidP="001F13A3"/>
    <w:p w:rsidR="001F13A3" w:rsidRPr="002803A6" w:rsidRDefault="001F13A3" w:rsidP="001F13A3">
      <w:r w:rsidRPr="002803A6">
        <w:t>Sämtliche Korrespondenz ist zu richten an:</w:t>
      </w:r>
    </w:p>
    <w:p w:rsidR="001F13A3" w:rsidRPr="002803A6" w:rsidRDefault="001F13A3" w:rsidP="001F13A3"/>
    <w:p w:rsidR="001F13A3" w:rsidRPr="002803A6" w:rsidRDefault="001F13A3" w:rsidP="001F13A3">
      <w:r w:rsidRPr="002803A6">
        <w:t xml:space="preserve">The Managing </w:t>
      </w:r>
      <w:proofErr w:type="spellStart"/>
      <w:r w:rsidRPr="002803A6">
        <w:t>Director</w:t>
      </w:r>
      <w:proofErr w:type="spellEnd"/>
    </w:p>
    <w:p w:rsidR="001F13A3" w:rsidRPr="002803A6" w:rsidRDefault="001F13A3" w:rsidP="001F13A3">
      <w:proofErr w:type="spellStart"/>
      <w:r w:rsidRPr="002803A6">
        <w:t>Kenya</w:t>
      </w:r>
      <w:proofErr w:type="spellEnd"/>
      <w:r w:rsidRPr="002803A6">
        <w:t xml:space="preserve"> Plant </w:t>
      </w:r>
      <w:proofErr w:type="spellStart"/>
      <w:r w:rsidRPr="002803A6">
        <w:t>Health</w:t>
      </w:r>
      <w:proofErr w:type="spellEnd"/>
      <w:r w:rsidRPr="002803A6">
        <w:t xml:space="preserve"> </w:t>
      </w:r>
      <w:proofErr w:type="spellStart"/>
      <w:r w:rsidRPr="002803A6">
        <w:t>Inspectorate</w:t>
      </w:r>
      <w:proofErr w:type="spellEnd"/>
      <w:r w:rsidRPr="002803A6">
        <w:t xml:space="preserve"> Service</w:t>
      </w:r>
    </w:p>
    <w:p w:rsidR="001F13A3" w:rsidRPr="002803A6" w:rsidRDefault="001F13A3" w:rsidP="001F13A3">
      <w:r w:rsidRPr="002803A6">
        <w:t xml:space="preserve">Headquarters, </w:t>
      </w:r>
      <w:proofErr w:type="spellStart"/>
      <w:r w:rsidRPr="002803A6">
        <w:t>Oloolua</w:t>
      </w:r>
      <w:proofErr w:type="spellEnd"/>
      <w:r w:rsidRPr="002803A6">
        <w:t xml:space="preserve"> </w:t>
      </w:r>
      <w:proofErr w:type="spellStart"/>
      <w:r w:rsidRPr="002803A6">
        <w:t>Ridge</w:t>
      </w:r>
      <w:proofErr w:type="spellEnd"/>
      <w:r w:rsidRPr="002803A6">
        <w:t>, Karen</w:t>
      </w:r>
    </w:p>
    <w:p w:rsidR="001F13A3" w:rsidRPr="002803A6" w:rsidRDefault="001F13A3" w:rsidP="001F13A3">
      <w:r w:rsidRPr="002803A6">
        <w:t>P. O. Box 49592-00100, Nairobi</w:t>
      </w:r>
    </w:p>
    <w:p w:rsidR="001F13A3" w:rsidRPr="002803A6" w:rsidRDefault="001F13A3" w:rsidP="001F13A3">
      <w:r w:rsidRPr="002803A6">
        <w:t>Tel. +254 20 3597201 oder +254 20 3597203</w:t>
      </w:r>
    </w:p>
    <w:p w:rsidR="001F13A3" w:rsidRPr="002803A6" w:rsidRDefault="001F13A3" w:rsidP="001F13A3">
      <w:r w:rsidRPr="002803A6">
        <w:t>Mobil: +254 723 786 779 oder +254 733 874 141</w:t>
      </w:r>
    </w:p>
    <w:p w:rsidR="001F13A3" w:rsidRPr="002803A6" w:rsidRDefault="001F13A3" w:rsidP="001F13A3">
      <w:r w:rsidRPr="002803A6">
        <w:t xml:space="preserve">E-Mail: </w:t>
      </w:r>
      <w:hyperlink r:id="rId18" w:history="1">
        <w:r w:rsidRPr="002803A6">
          <w:rPr>
            <w:rStyle w:val="Hyperlink"/>
          </w:rPr>
          <w:t>director@kephis.org</w:t>
        </w:r>
      </w:hyperlink>
    </w:p>
    <w:p w:rsidR="001F13A3" w:rsidRPr="002803A6" w:rsidRDefault="001F13A3" w:rsidP="001F13A3">
      <w:r w:rsidRPr="002803A6">
        <w:t xml:space="preserve">Website: </w:t>
      </w:r>
      <w:hyperlink r:id="rId19" w:history="1">
        <w:r w:rsidRPr="002803A6">
          <w:rPr>
            <w:rStyle w:val="Hyperlink"/>
          </w:rPr>
          <w:t>www.kephis.org</w:t>
        </w:r>
      </w:hyperlink>
    </w:p>
    <w:p w:rsidR="001F13A3" w:rsidRPr="002803A6" w:rsidRDefault="001F13A3" w:rsidP="001F13A3"/>
    <w:p w:rsidR="00C315A3" w:rsidRPr="002803A6" w:rsidRDefault="00C315A3" w:rsidP="003C108B"/>
    <w:p w:rsidR="00C315A3" w:rsidRPr="002803A6" w:rsidRDefault="00C315A3" w:rsidP="003C108B"/>
    <w:p w:rsidR="00701A18" w:rsidRPr="002803A6" w:rsidRDefault="00701A18" w:rsidP="003C108B">
      <w:pPr>
        <w:jc w:val="right"/>
      </w:pPr>
      <w:r w:rsidRPr="002803A6">
        <w:t>[</w:t>
      </w:r>
      <w:r w:rsidR="00445C49" w:rsidRPr="002803A6">
        <w:t>Anlage</w:t>
      </w:r>
      <w:r w:rsidRPr="002803A6">
        <w:t xml:space="preserve"> IX </w:t>
      </w:r>
      <w:r w:rsidR="00445C49" w:rsidRPr="002803A6">
        <w:t>folgt]</w:t>
      </w:r>
    </w:p>
    <w:p w:rsidR="00701A18" w:rsidRPr="002803A6" w:rsidRDefault="00701A18" w:rsidP="00701A18">
      <w:pPr>
        <w:jc w:val="left"/>
        <w:sectPr w:rsidR="00701A18" w:rsidRPr="002803A6" w:rsidSect="00823234">
          <w:headerReference w:type="default" r:id="rId20"/>
          <w:pgSz w:w="11907" w:h="16840" w:code="9"/>
          <w:pgMar w:top="510" w:right="1134" w:bottom="1134" w:left="1134" w:header="510" w:footer="680" w:gutter="0"/>
          <w:pgNumType w:start="1"/>
          <w:cols w:space="720"/>
          <w:titlePg/>
        </w:sectPr>
      </w:pPr>
    </w:p>
    <w:p w:rsidR="00701A18" w:rsidRPr="002803A6" w:rsidRDefault="00701A18" w:rsidP="00701A18">
      <w:pPr>
        <w:jc w:val="center"/>
      </w:pPr>
      <w:r w:rsidRPr="002803A6">
        <w:lastRenderedPageBreak/>
        <w:t>C/53/INF/4</w:t>
      </w:r>
    </w:p>
    <w:p w:rsidR="00701A18" w:rsidRPr="002803A6" w:rsidRDefault="00701A18" w:rsidP="00701A18">
      <w:pPr>
        <w:jc w:val="center"/>
      </w:pPr>
    </w:p>
    <w:p w:rsidR="00701A18" w:rsidRPr="002803A6" w:rsidRDefault="00445C49" w:rsidP="00701A18">
      <w:pPr>
        <w:jc w:val="center"/>
      </w:pPr>
      <w:r w:rsidRPr="002803A6">
        <w:t>ANLAGE</w:t>
      </w:r>
      <w:r w:rsidR="00701A18" w:rsidRPr="002803A6">
        <w:t xml:space="preserve"> IX</w:t>
      </w:r>
    </w:p>
    <w:p w:rsidR="00701A18" w:rsidRPr="002803A6" w:rsidRDefault="00701A18" w:rsidP="00701A18">
      <w:pPr>
        <w:jc w:val="center"/>
      </w:pPr>
    </w:p>
    <w:p w:rsidR="00701A18" w:rsidRPr="002803A6" w:rsidRDefault="00701A18" w:rsidP="00701A18">
      <w:pPr>
        <w:jc w:val="center"/>
      </w:pPr>
    </w:p>
    <w:p w:rsidR="002A4DEE" w:rsidRPr="002803A6" w:rsidRDefault="002A4DEE" w:rsidP="002A4DEE">
      <w:pPr>
        <w:jc w:val="center"/>
        <w:rPr>
          <w:rFonts w:cs="Arial"/>
        </w:rPr>
      </w:pPr>
      <w:r w:rsidRPr="002803A6">
        <w:rPr>
          <w:rFonts w:cs="Arial"/>
        </w:rPr>
        <w:t>LITAUEN</w:t>
      </w:r>
    </w:p>
    <w:p w:rsidR="002A4DEE" w:rsidRPr="002803A6" w:rsidRDefault="002A4DEE" w:rsidP="002A4DEE">
      <w:pPr>
        <w:rPr>
          <w:rFonts w:cs="Arial"/>
        </w:rPr>
      </w:pPr>
    </w:p>
    <w:p w:rsidR="002A4DEE" w:rsidRPr="002803A6" w:rsidRDefault="002A4DEE" w:rsidP="002A4DEE">
      <w:pPr>
        <w:rPr>
          <w:rFonts w:cs="Arial"/>
        </w:rPr>
      </w:pPr>
    </w:p>
    <w:p w:rsidR="002A4DEE" w:rsidRPr="002803A6" w:rsidRDefault="002A4DEE" w:rsidP="002A4DEE">
      <w:pPr>
        <w:rPr>
          <w:rFonts w:cs="Arial"/>
        </w:rPr>
      </w:pPr>
      <w:r w:rsidRPr="002803A6">
        <w:rPr>
          <w:rFonts w:cs="Arial"/>
        </w:rPr>
        <w:t>I.</w:t>
      </w:r>
      <w:r w:rsidRPr="002803A6">
        <w:rPr>
          <w:rFonts w:cs="Arial"/>
        </w:rPr>
        <w:tab/>
        <w:t>SORTENSCHUTZ</w:t>
      </w:r>
    </w:p>
    <w:p w:rsidR="002A4DEE" w:rsidRPr="002803A6" w:rsidRDefault="002A4DEE" w:rsidP="002A4DEE">
      <w:pPr>
        <w:rPr>
          <w:rFonts w:cs="Arial"/>
        </w:rPr>
      </w:pPr>
    </w:p>
    <w:p w:rsidR="002A4DEE" w:rsidRPr="002803A6" w:rsidRDefault="002A4DEE" w:rsidP="002A4DEE">
      <w:pPr>
        <w:rPr>
          <w:rFonts w:cs="Arial"/>
          <w:u w:val="single"/>
        </w:rPr>
      </w:pPr>
      <w:r w:rsidRPr="002803A6">
        <w:rPr>
          <w:rFonts w:cs="Arial"/>
        </w:rPr>
        <w:t xml:space="preserve">1. </w:t>
      </w:r>
      <w:r w:rsidRPr="002803A6">
        <w:rPr>
          <w:rFonts w:cs="Arial"/>
        </w:rPr>
        <w:tab/>
      </w:r>
      <w:r w:rsidRPr="002803A6">
        <w:rPr>
          <w:rFonts w:cs="Arial"/>
          <w:u w:val="single"/>
        </w:rPr>
        <w:t>Lage auf dem Gebiet der Gesetzgebung</w:t>
      </w:r>
    </w:p>
    <w:p w:rsidR="002A4DEE" w:rsidRPr="002803A6" w:rsidRDefault="002A4DEE" w:rsidP="002A4DEE">
      <w:pPr>
        <w:rPr>
          <w:rFonts w:cs="Arial"/>
        </w:rPr>
      </w:pPr>
    </w:p>
    <w:p w:rsidR="002A4DEE" w:rsidRPr="002803A6" w:rsidRDefault="002A4DEE" w:rsidP="002A4DEE">
      <w:pPr>
        <w:rPr>
          <w:rFonts w:cs="Arial"/>
        </w:rPr>
      </w:pPr>
      <w:r w:rsidRPr="002803A6">
        <w:rPr>
          <w:rFonts w:cs="Arial"/>
        </w:rPr>
        <w:t>1.1</w:t>
      </w:r>
      <w:r w:rsidRPr="002803A6">
        <w:rPr>
          <w:rFonts w:cs="Arial"/>
        </w:rPr>
        <w:tab/>
        <w:t>Änderungen des Gesetzes und der Ausführungsvorschriften:</w:t>
      </w:r>
    </w:p>
    <w:p w:rsidR="002A4DEE" w:rsidRPr="002803A6" w:rsidRDefault="002A4DEE" w:rsidP="002A4DEE">
      <w:pPr>
        <w:rPr>
          <w:rFonts w:cs="Arial"/>
        </w:rPr>
      </w:pPr>
    </w:p>
    <w:p w:rsidR="002A4DEE" w:rsidRPr="002803A6" w:rsidRDefault="002A4DEE" w:rsidP="002A4DEE">
      <w:pPr>
        <w:ind w:left="567" w:hanging="567"/>
        <w:rPr>
          <w:rFonts w:cs="Arial"/>
        </w:rPr>
      </w:pPr>
      <w:r w:rsidRPr="002803A6">
        <w:rPr>
          <w:rFonts w:cs="Arial"/>
        </w:rPr>
        <w:t xml:space="preserve">- </w:t>
      </w:r>
      <w:r w:rsidRPr="002803A6">
        <w:rPr>
          <w:rFonts w:cs="Arial"/>
        </w:rPr>
        <w:tab/>
        <w:t xml:space="preserve">Sortenschutzgesetz der Republik Litauen, geändert am 19. Oktober 2006 und zuletzt geändert am 26. April 2012; </w:t>
      </w:r>
    </w:p>
    <w:p w:rsidR="002A4DEE" w:rsidRPr="002803A6" w:rsidRDefault="002A4DEE" w:rsidP="002A4DEE">
      <w:pPr>
        <w:ind w:left="567" w:hanging="567"/>
        <w:rPr>
          <w:rFonts w:cs="Arial"/>
        </w:rPr>
      </w:pPr>
    </w:p>
    <w:p w:rsidR="002A4DEE" w:rsidRPr="002803A6" w:rsidRDefault="002A4DEE" w:rsidP="002A4DEE">
      <w:pPr>
        <w:ind w:left="567" w:hanging="567"/>
        <w:rPr>
          <w:rFonts w:cs="Arial"/>
        </w:rPr>
      </w:pPr>
      <w:r w:rsidRPr="002803A6">
        <w:rPr>
          <w:rFonts w:cs="Arial"/>
        </w:rPr>
        <w:t xml:space="preserve">- </w:t>
      </w:r>
      <w:r w:rsidRPr="002803A6">
        <w:rPr>
          <w:rFonts w:cs="Arial"/>
        </w:rPr>
        <w:tab/>
        <w:t>Verordnung Nr. 1458 der Regierung der Republik Litauen vom 15. Dezember 2000 über die Gebührensätze;</w:t>
      </w:r>
    </w:p>
    <w:p w:rsidR="002A4DEE" w:rsidRPr="002803A6" w:rsidRDefault="002A4DEE" w:rsidP="002A4DEE">
      <w:pPr>
        <w:ind w:left="567" w:hanging="567"/>
        <w:rPr>
          <w:rFonts w:cs="Arial"/>
        </w:rPr>
      </w:pPr>
    </w:p>
    <w:p w:rsidR="002A4DEE" w:rsidRPr="002803A6" w:rsidRDefault="002A4DEE" w:rsidP="002A4DEE">
      <w:pPr>
        <w:ind w:left="567" w:hanging="567"/>
        <w:rPr>
          <w:rFonts w:cs="Arial"/>
        </w:rPr>
      </w:pPr>
      <w:r w:rsidRPr="002803A6">
        <w:rPr>
          <w:rFonts w:cs="Arial"/>
        </w:rPr>
        <w:t xml:space="preserve">- </w:t>
      </w:r>
      <w:r w:rsidRPr="002803A6">
        <w:rPr>
          <w:rFonts w:cs="Arial"/>
        </w:rPr>
        <w:tab/>
        <w:t>Verfügung Nr. A1-50 des Direktors des dem Landwirtschaftsministerium unterstellten Staatlichen Sortenprüfungszentrums vom 8. August 2010 über die Freigabe des Antragsformulars für Sortenschutz;</w:t>
      </w:r>
    </w:p>
    <w:p w:rsidR="002A4DEE" w:rsidRPr="002803A6" w:rsidRDefault="002A4DEE" w:rsidP="002A4DEE">
      <w:pPr>
        <w:ind w:left="567" w:hanging="567"/>
        <w:rPr>
          <w:rFonts w:cs="Arial"/>
        </w:rPr>
      </w:pPr>
    </w:p>
    <w:p w:rsidR="002A4DEE" w:rsidRPr="002803A6" w:rsidRDefault="002A4DEE" w:rsidP="002A4DEE">
      <w:pPr>
        <w:ind w:left="567" w:hanging="567"/>
        <w:rPr>
          <w:rFonts w:cs="Arial"/>
        </w:rPr>
      </w:pPr>
      <w:r w:rsidRPr="002803A6">
        <w:rPr>
          <w:rFonts w:cs="Arial"/>
        </w:rPr>
        <w:t xml:space="preserve">- </w:t>
      </w:r>
      <w:r w:rsidRPr="002803A6">
        <w:rPr>
          <w:rFonts w:cs="Arial"/>
        </w:rPr>
        <w:tab/>
        <w:t>Verfügung Nr. 3 D–371 des Landwirtschaftsministeriums der Republik Litauen vom 23. Juni 2004 über die Vergütung.</w:t>
      </w:r>
    </w:p>
    <w:p w:rsidR="002A4DEE" w:rsidRPr="002803A6" w:rsidRDefault="002A4DEE" w:rsidP="002A4DEE">
      <w:pPr>
        <w:rPr>
          <w:rFonts w:cs="Arial"/>
        </w:rPr>
      </w:pPr>
    </w:p>
    <w:p w:rsidR="002A4DEE" w:rsidRPr="002803A6" w:rsidRDefault="002A4DEE" w:rsidP="002A4DEE">
      <w:pPr>
        <w:rPr>
          <w:rFonts w:cs="Arial"/>
        </w:rPr>
      </w:pPr>
      <w:r w:rsidRPr="002803A6">
        <w:rPr>
          <w:rFonts w:cs="Arial"/>
        </w:rPr>
        <w:t>1.2</w:t>
      </w:r>
      <w:r w:rsidRPr="002803A6">
        <w:rPr>
          <w:rFonts w:cs="Arial"/>
        </w:rPr>
        <w:tab/>
        <w:t>Erstreckung des Schutzes auf weitere Gattungen und Arten (geschehen oder geplant)</w:t>
      </w:r>
    </w:p>
    <w:p w:rsidR="002A4DEE" w:rsidRPr="002803A6" w:rsidRDefault="002A4DEE" w:rsidP="002A4DEE">
      <w:pPr>
        <w:rPr>
          <w:rFonts w:cs="Arial"/>
        </w:rPr>
      </w:pPr>
    </w:p>
    <w:p w:rsidR="002A4DEE" w:rsidRPr="002803A6" w:rsidRDefault="002A4DEE" w:rsidP="002A4DEE">
      <w:pPr>
        <w:ind w:left="567" w:hanging="567"/>
        <w:rPr>
          <w:rFonts w:cs="Arial"/>
        </w:rPr>
      </w:pPr>
      <w:r w:rsidRPr="002803A6">
        <w:rPr>
          <w:rFonts w:cs="Arial"/>
        </w:rPr>
        <w:t xml:space="preserve">- </w:t>
      </w:r>
      <w:r w:rsidRPr="002803A6">
        <w:rPr>
          <w:rFonts w:cs="Arial"/>
        </w:rPr>
        <w:tab/>
        <w:t xml:space="preserve">Gemäß den Änderungen des Sortenschutzgesetzes der Republik Litauen am 26. April 2012 können in der Republik Litauen Sorten aller Pflanzengattungen und -arten geschützt werden. </w:t>
      </w:r>
    </w:p>
    <w:p w:rsidR="002A4DEE" w:rsidRPr="002803A6" w:rsidRDefault="002A4DEE" w:rsidP="002A4DEE">
      <w:pPr>
        <w:rPr>
          <w:rFonts w:cs="Arial"/>
        </w:rPr>
      </w:pPr>
    </w:p>
    <w:p w:rsidR="002A4DEE" w:rsidRPr="002803A6" w:rsidRDefault="002A4DEE" w:rsidP="002A4DEE">
      <w:pPr>
        <w:rPr>
          <w:rFonts w:cs="Arial"/>
        </w:rPr>
      </w:pPr>
      <w:r w:rsidRPr="002803A6">
        <w:rPr>
          <w:rFonts w:cs="Arial"/>
        </w:rPr>
        <w:t>1.3</w:t>
      </w:r>
      <w:r w:rsidRPr="002803A6">
        <w:rPr>
          <w:rFonts w:cs="Arial"/>
        </w:rPr>
        <w:tab/>
        <w:t>Rechtsprechung</w:t>
      </w:r>
    </w:p>
    <w:p w:rsidR="002A4DEE" w:rsidRPr="002803A6" w:rsidRDefault="002A4DEE" w:rsidP="002A4DEE">
      <w:pPr>
        <w:rPr>
          <w:rFonts w:cs="Arial"/>
        </w:rPr>
      </w:pPr>
    </w:p>
    <w:p w:rsidR="002A4DEE" w:rsidRPr="002803A6" w:rsidRDefault="002A4DEE" w:rsidP="002A4DEE">
      <w:pPr>
        <w:rPr>
          <w:rFonts w:cs="Arial"/>
        </w:rPr>
      </w:pPr>
      <w:r w:rsidRPr="002803A6">
        <w:rPr>
          <w:rFonts w:cs="Arial"/>
        </w:rPr>
        <w:t xml:space="preserve">- </w:t>
      </w:r>
      <w:r w:rsidRPr="002803A6">
        <w:rPr>
          <w:rFonts w:cs="Arial"/>
        </w:rPr>
        <w:tab/>
        <w:t>Es gibt im Jahr 2018 keine Rechtsprechung betreffend Sortenschutz in Litauen.</w:t>
      </w:r>
    </w:p>
    <w:p w:rsidR="002A4DEE" w:rsidRPr="002803A6" w:rsidRDefault="002A4DEE" w:rsidP="002A4DEE">
      <w:pPr>
        <w:ind w:left="567" w:hanging="567"/>
        <w:rPr>
          <w:rFonts w:cs="Arial"/>
        </w:rPr>
      </w:pPr>
    </w:p>
    <w:p w:rsidR="002A4DEE" w:rsidRPr="002803A6" w:rsidRDefault="002A4DEE" w:rsidP="002A4DEE">
      <w:pPr>
        <w:ind w:left="567" w:hanging="567"/>
        <w:rPr>
          <w:rFonts w:cs="Arial"/>
        </w:rPr>
      </w:pPr>
    </w:p>
    <w:p w:rsidR="002A4DEE" w:rsidRPr="002803A6" w:rsidRDefault="002A4DEE" w:rsidP="002A4DEE">
      <w:pPr>
        <w:rPr>
          <w:rFonts w:cs="Arial"/>
          <w:u w:val="single"/>
        </w:rPr>
      </w:pPr>
      <w:r w:rsidRPr="002803A6">
        <w:rPr>
          <w:rFonts w:cs="Arial"/>
        </w:rPr>
        <w:t>2.</w:t>
      </w:r>
      <w:r w:rsidRPr="002803A6">
        <w:rPr>
          <w:rFonts w:cs="Arial"/>
        </w:rPr>
        <w:tab/>
      </w:r>
      <w:r w:rsidRPr="002803A6">
        <w:rPr>
          <w:rFonts w:cs="Arial"/>
          <w:u w:val="single"/>
        </w:rPr>
        <w:t>Zusammenarbeit bei der Prüfung</w:t>
      </w:r>
    </w:p>
    <w:p w:rsidR="002A4DEE" w:rsidRPr="002803A6" w:rsidRDefault="002A4DEE" w:rsidP="002A4DEE">
      <w:pPr>
        <w:rPr>
          <w:rFonts w:cs="Arial"/>
        </w:rPr>
      </w:pPr>
    </w:p>
    <w:p w:rsidR="002A4DEE" w:rsidRPr="002803A6" w:rsidRDefault="002A4DEE" w:rsidP="002A4DEE">
      <w:pPr>
        <w:rPr>
          <w:rFonts w:cs="Arial"/>
        </w:rPr>
      </w:pPr>
      <w:r w:rsidRPr="002803A6">
        <w:rPr>
          <w:rFonts w:cs="Arial"/>
        </w:rPr>
        <w:t>Es gibt zwei unterzeichnete Vereinbarungen im Hinblick auf die Zusammenarbeit bei der Prüfung in Litauen:</w:t>
      </w:r>
    </w:p>
    <w:p w:rsidR="002A4DEE" w:rsidRPr="002803A6" w:rsidRDefault="002A4DEE" w:rsidP="002A4DEE">
      <w:pPr>
        <w:rPr>
          <w:rFonts w:cs="Arial"/>
        </w:rPr>
      </w:pPr>
    </w:p>
    <w:p w:rsidR="002A4DEE" w:rsidRPr="002803A6" w:rsidRDefault="002A4DEE" w:rsidP="002A4DEE">
      <w:pPr>
        <w:ind w:left="567" w:hanging="567"/>
        <w:rPr>
          <w:rFonts w:cs="Arial"/>
        </w:rPr>
      </w:pPr>
      <w:r w:rsidRPr="002803A6">
        <w:rPr>
          <w:rFonts w:cs="Arial"/>
        </w:rPr>
        <w:t xml:space="preserve">- </w:t>
      </w:r>
      <w:r w:rsidRPr="002803A6">
        <w:rPr>
          <w:rFonts w:cs="Arial"/>
        </w:rPr>
        <w:tab/>
        <w:t>Bilaterales Abkommen mit dem polnischen Forschungszentrum für Zuchtsortenprüfung (COBORU) vom 11. August 2000 über die Durchführung der DUS-Prüfungen wurde am 14. November 2012 durch die Verwaltungsvereinbarung Nr. 1/2012/19T-247 geändert;</w:t>
      </w:r>
    </w:p>
    <w:p w:rsidR="002A4DEE" w:rsidRPr="002803A6" w:rsidRDefault="002A4DEE" w:rsidP="002A4DEE">
      <w:pPr>
        <w:ind w:left="567" w:hanging="567"/>
        <w:rPr>
          <w:rFonts w:cs="Arial"/>
        </w:rPr>
      </w:pPr>
    </w:p>
    <w:p w:rsidR="002A4DEE" w:rsidRPr="002803A6" w:rsidRDefault="002A4DEE" w:rsidP="002A4DEE">
      <w:pPr>
        <w:ind w:left="567" w:hanging="567"/>
        <w:rPr>
          <w:rFonts w:cs="Arial"/>
        </w:rPr>
      </w:pPr>
      <w:r w:rsidRPr="002803A6">
        <w:rPr>
          <w:rFonts w:cs="Arial"/>
        </w:rPr>
        <w:t xml:space="preserve">- </w:t>
      </w:r>
      <w:r w:rsidRPr="002803A6">
        <w:rPr>
          <w:rFonts w:cs="Arial"/>
        </w:rPr>
        <w:tab/>
        <w:t>Die Vereinbarung Nr. 10 vom 30. Juni 2006 mit dem deutschen Bundessortenamt über die Übermittlung der Ergebnisse der technischen Prüfung für die DUS-Prüfungen wurde am 18. Oktober 2010 durch Vereinbarung Nr. 19T-98 geändert.</w:t>
      </w:r>
    </w:p>
    <w:p w:rsidR="002A4DEE" w:rsidRPr="002803A6" w:rsidRDefault="002A4DEE" w:rsidP="002A4DEE">
      <w:pPr>
        <w:rPr>
          <w:rFonts w:cs="Arial"/>
        </w:rPr>
      </w:pPr>
    </w:p>
    <w:p w:rsidR="002A4DEE" w:rsidRPr="002803A6" w:rsidRDefault="002A4DEE" w:rsidP="002A4DEE">
      <w:pPr>
        <w:rPr>
          <w:rFonts w:cs="Arial"/>
        </w:rPr>
      </w:pPr>
    </w:p>
    <w:p w:rsidR="002A4DEE" w:rsidRPr="002803A6" w:rsidRDefault="002A4DEE" w:rsidP="002A4DEE">
      <w:pPr>
        <w:rPr>
          <w:rFonts w:cs="Arial"/>
          <w:u w:val="single"/>
        </w:rPr>
      </w:pPr>
      <w:r w:rsidRPr="002803A6">
        <w:rPr>
          <w:rFonts w:cs="Arial"/>
        </w:rPr>
        <w:t xml:space="preserve">3. </w:t>
      </w:r>
      <w:r w:rsidRPr="002803A6">
        <w:rPr>
          <w:rFonts w:cs="Arial"/>
        </w:rPr>
        <w:tab/>
      </w:r>
      <w:r w:rsidRPr="002803A6">
        <w:rPr>
          <w:rFonts w:cs="Arial"/>
          <w:u w:val="single"/>
        </w:rPr>
        <w:t>Lage auf dem Gebiet der Verwaltung</w:t>
      </w:r>
    </w:p>
    <w:p w:rsidR="002A4DEE" w:rsidRPr="002803A6" w:rsidRDefault="002A4DEE" w:rsidP="002A4DEE">
      <w:pPr>
        <w:rPr>
          <w:rFonts w:cs="Arial"/>
        </w:rPr>
      </w:pPr>
    </w:p>
    <w:p w:rsidR="002A4DEE" w:rsidRPr="002803A6" w:rsidRDefault="002A4DEE" w:rsidP="002A4DEE">
      <w:pPr>
        <w:ind w:left="567" w:hanging="567"/>
        <w:rPr>
          <w:rFonts w:cs="Arial"/>
        </w:rPr>
      </w:pPr>
      <w:r w:rsidRPr="002803A6">
        <w:rPr>
          <w:rFonts w:cs="Arial"/>
        </w:rPr>
        <w:t xml:space="preserve">– </w:t>
      </w:r>
      <w:r w:rsidRPr="002803A6">
        <w:rPr>
          <w:rFonts w:cs="Arial"/>
        </w:rPr>
        <w:tab/>
        <w:t xml:space="preserve">Die Abteilung für Pflanzensorteneintragung der dem Landwirtschaftsministerium der Republik Litauen unterstellten staatlichen Pflanzendienststelle ist für die Prüfung von Pflanzensorten, die Listenführung und den rechtlichen Schutz zuständig; </w:t>
      </w:r>
    </w:p>
    <w:p w:rsidR="002A4DEE" w:rsidRPr="002803A6" w:rsidRDefault="002A4DEE" w:rsidP="002A4DEE">
      <w:pPr>
        <w:ind w:left="567" w:hanging="567"/>
        <w:rPr>
          <w:rFonts w:cs="Arial"/>
        </w:rPr>
      </w:pPr>
    </w:p>
    <w:p w:rsidR="002A4DEE" w:rsidRPr="002803A6" w:rsidRDefault="002A4DEE" w:rsidP="002A4DEE">
      <w:pPr>
        <w:ind w:left="567" w:hanging="567"/>
        <w:rPr>
          <w:rFonts w:cs="Arial"/>
        </w:rPr>
      </w:pPr>
      <w:r w:rsidRPr="002803A6">
        <w:rPr>
          <w:rFonts w:cs="Arial"/>
        </w:rPr>
        <w:t xml:space="preserve">– </w:t>
      </w:r>
      <w:r w:rsidRPr="002803A6">
        <w:rPr>
          <w:rFonts w:cs="Arial"/>
        </w:rPr>
        <w:tab/>
        <w:t>Die Kommission für die Prüfung der Anträge auf Sortenschutz, die am 6. Mai 2011 durch Verfügung Nr. A1-141 des Direktors der dem Landwirtschaftsministerium unterstellten staatlichen Pflanzendienststelle bestätigt wurde, wurde am 14. März 2019 durch Verfügung Nr. A1</w:t>
      </w:r>
      <w:r w:rsidRPr="002803A6">
        <w:rPr>
          <w:rFonts w:cs="Arial"/>
        </w:rPr>
        <w:noBreakHyphen/>
        <w:t>148 des Direktors der dem Landwirtschaftsministerium unterstellten staatlichen Pflanzendienststelle geändert;</w:t>
      </w:r>
    </w:p>
    <w:p w:rsidR="002A4DEE" w:rsidRPr="002803A6" w:rsidRDefault="002A4DEE" w:rsidP="002A4DEE">
      <w:pPr>
        <w:rPr>
          <w:rFonts w:cs="Arial"/>
        </w:rPr>
      </w:pPr>
    </w:p>
    <w:p w:rsidR="002A4DEE" w:rsidRPr="002803A6" w:rsidRDefault="002A4DEE" w:rsidP="002A4DEE">
      <w:pPr>
        <w:ind w:left="567" w:hanging="567"/>
        <w:rPr>
          <w:rFonts w:cs="Arial"/>
        </w:rPr>
      </w:pPr>
      <w:r w:rsidRPr="002803A6">
        <w:rPr>
          <w:rFonts w:cs="Arial"/>
        </w:rPr>
        <w:t>–</w:t>
      </w:r>
      <w:r w:rsidRPr="002803A6">
        <w:rPr>
          <w:rFonts w:cs="Arial"/>
        </w:rPr>
        <w:tab/>
        <w:t>Der Sortenschutz wird durch Verfügung des Direktors der dem Landwirtschaftsministerium unterstellten staatlichen Pflanzendienststelle gebilligt;</w:t>
      </w:r>
    </w:p>
    <w:p w:rsidR="002A4DEE" w:rsidRPr="002803A6" w:rsidRDefault="002A4DEE" w:rsidP="002A4DEE">
      <w:pPr>
        <w:ind w:left="567" w:hanging="567"/>
        <w:rPr>
          <w:rFonts w:cs="Arial"/>
        </w:rPr>
      </w:pPr>
    </w:p>
    <w:p w:rsidR="002A4DEE" w:rsidRPr="002803A6" w:rsidRDefault="002A4DEE" w:rsidP="002A4DEE">
      <w:pPr>
        <w:ind w:left="567" w:hanging="567"/>
        <w:rPr>
          <w:rFonts w:cs="Arial"/>
        </w:rPr>
      </w:pPr>
      <w:r w:rsidRPr="002803A6">
        <w:rPr>
          <w:rFonts w:cs="Arial"/>
        </w:rPr>
        <w:t xml:space="preserve">- </w:t>
      </w:r>
      <w:r w:rsidRPr="002803A6">
        <w:rPr>
          <w:rFonts w:cs="Arial"/>
        </w:rPr>
        <w:tab/>
        <w:t>Die Verfahren und das System für den Sortenschutz sind im Sortenschutzgesetz der Republik Litauen festgelegt.</w:t>
      </w:r>
    </w:p>
    <w:p w:rsidR="002A4DEE" w:rsidRPr="002803A6" w:rsidRDefault="002A4DEE" w:rsidP="002A4DEE">
      <w:pPr>
        <w:rPr>
          <w:rFonts w:cs="Arial"/>
        </w:rPr>
      </w:pPr>
    </w:p>
    <w:p w:rsidR="002A4DEE" w:rsidRPr="002803A6" w:rsidRDefault="002A4DEE" w:rsidP="002A4DEE">
      <w:pPr>
        <w:rPr>
          <w:rFonts w:cs="Arial"/>
        </w:rPr>
      </w:pPr>
    </w:p>
    <w:p w:rsidR="002A4DEE" w:rsidRPr="002803A6" w:rsidRDefault="002A4DEE" w:rsidP="002A4DEE">
      <w:pPr>
        <w:rPr>
          <w:rFonts w:cs="Arial"/>
          <w:u w:val="single"/>
        </w:rPr>
      </w:pPr>
      <w:r w:rsidRPr="002803A6">
        <w:rPr>
          <w:rFonts w:cs="Arial"/>
        </w:rPr>
        <w:t xml:space="preserve">4. </w:t>
      </w:r>
      <w:r w:rsidRPr="002803A6">
        <w:rPr>
          <w:rFonts w:cs="Arial"/>
        </w:rPr>
        <w:tab/>
      </w:r>
      <w:r w:rsidRPr="002803A6">
        <w:rPr>
          <w:rFonts w:cs="Arial"/>
          <w:u w:val="single"/>
        </w:rPr>
        <w:t>Lage auf dem Gebiet der Technik</w:t>
      </w:r>
    </w:p>
    <w:p w:rsidR="002A4DEE" w:rsidRPr="002803A6" w:rsidRDefault="002A4DEE" w:rsidP="002A4DEE">
      <w:pPr>
        <w:rPr>
          <w:rFonts w:cs="Arial"/>
        </w:rPr>
      </w:pPr>
    </w:p>
    <w:p w:rsidR="002A4DEE" w:rsidRPr="002803A6" w:rsidRDefault="002A4DEE" w:rsidP="002A4DEE">
      <w:pPr>
        <w:ind w:left="567" w:hanging="567"/>
        <w:rPr>
          <w:rFonts w:cs="Arial"/>
        </w:rPr>
      </w:pPr>
      <w:r w:rsidRPr="002803A6">
        <w:rPr>
          <w:rFonts w:cs="Arial"/>
        </w:rPr>
        <w:t xml:space="preserve">- </w:t>
      </w:r>
      <w:r w:rsidRPr="002803A6">
        <w:rPr>
          <w:rFonts w:cs="Arial"/>
        </w:rPr>
        <w:tab/>
        <w:t xml:space="preserve">Die DUS-Prüfungen werden gemäß einer Verwaltungsvereinbarung Nr.1/2012/19T-247, geändert am 14. November 2012, vom polnischen Forschungszentrum für Zuchtsortenprüfung (COBORU) oder auf Anfrage des Züchters auch von einer anderen zuständigen Prüfstelle der Europäischen Union durchgeführt.  </w:t>
      </w:r>
    </w:p>
    <w:p w:rsidR="002A4DEE" w:rsidRPr="002803A6" w:rsidRDefault="002A4DEE" w:rsidP="002A4DEE">
      <w:pPr>
        <w:rPr>
          <w:rFonts w:cs="Arial"/>
        </w:rPr>
      </w:pPr>
    </w:p>
    <w:p w:rsidR="002A4DEE" w:rsidRPr="002803A6" w:rsidRDefault="002A4DEE" w:rsidP="002A4DEE">
      <w:pPr>
        <w:rPr>
          <w:rFonts w:cs="Arial"/>
        </w:rPr>
      </w:pPr>
    </w:p>
    <w:p w:rsidR="002A4DEE" w:rsidRPr="002803A6" w:rsidRDefault="002A4DEE" w:rsidP="002A4DEE">
      <w:r w:rsidRPr="002803A6">
        <w:rPr>
          <w:rFonts w:cs="Arial"/>
        </w:rPr>
        <w:t>5.</w:t>
      </w:r>
      <w:r w:rsidRPr="002803A6">
        <w:rPr>
          <w:rFonts w:cs="Arial"/>
        </w:rPr>
        <w:tab/>
      </w:r>
      <w:r w:rsidRPr="002803A6">
        <w:rPr>
          <w:u w:val="single"/>
        </w:rPr>
        <w:t>Tätigkeiten zur Förderung des Sortenschutzes</w:t>
      </w:r>
    </w:p>
    <w:p w:rsidR="002A4DEE" w:rsidRPr="002803A6" w:rsidRDefault="002A4DEE" w:rsidP="002A4DEE">
      <w:pPr>
        <w:rPr>
          <w:rFonts w:cs="Arial"/>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09"/>
        <w:gridCol w:w="1276"/>
        <w:gridCol w:w="1418"/>
        <w:gridCol w:w="1275"/>
        <w:gridCol w:w="1763"/>
        <w:gridCol w:w="2268"/>
      </w:tblGrid>
      <w:tr w:rsidR="002A4DEE" w:rsidRPr="002803A6" w:rsidTr="00E16D6F">
        <w:tc>
          <w:tcPr>
            <w:tcW w:w="1809" w:type="dxa"/>
            <w:shd w:val="clear" w:color="auto" w:fill="auto"/>
          </w:tcPr>
          <w:p w:rsidR="002A4DEE" w:rsidRPr="002803A6" w:rsidRDefault="002A4DEE" w:rsidP="00E16D6F">
            <w:pPr>
              <w:jc w:val="left"/>
              <w:rPr>
                <w:rFonts w:cs="Arial"/>
                <w:sz w:val="16"/>
              </w:rPr>
            </w:pPr>
            <w:r w:rsidRPr="002803A6">
              <w:rPr>
                <w:sz w:val="16"/>
              </w:rPr>
              <w:t>Bezeichnung der Tätigkeit</w:t>
            </w:r>
          </w:p>
        </w:tc>
        <w:tc>
          <w:tcPr>
            <w:tcW w:w="1276" w:type="dxa"/>
            <w:shd w:val="clear" w:color="auto" w:fill="auto"/>
          </w:tcPr>
          <w:p w:rsidR="002A4DEE" w:rsidRPr="002803A6" w:rsidRDefault="002A4DEE" w:rsidP="00E16D6F">
            <w:pPr>
              <w:jc w:val="left"/>
              <w:rPr>
                <w:rFonts w:cs="Arial"/>
                <w:sz w:val="16"/>
              </w:rPr>
            </w:pPr>
            <w:r w:rsidRPr="002803A6">
              <w:rPr>
                <w:sz w:val="16"/>
              </w:rPr>
              <w:t>Datum</w:t>
            </w:r>
          </w:p>
        </w:tc>
        <w:tc>
          <w:tcPr>
            <w:tcW w:w="1418" w:type="dxa"/>
            <w:shd w:val="clear" w:color="auto" w:fill="auto"/>
          </w:tcPr>
          <w:p w:rsidR="002A4DEE" w:rsidRPr="002803A6" w:rsidRDefault="002A4DEE" w:rsidP="00E16D6F">
            <w:pPr>
              <w:jc w:val="left"/>
              <w:rPr>
                <w:rFonts w:cs="Arial"/>
                <w:sz w:val="16"/>
              </w:rPr>
            </w:pPr>
            <w:r w:rsidRPr="002803A6">
              <w:rPr>
                <w:sz w:val="16"/>
              </w:rPr>
              <w:t>Ort</w:t>
            </w:r>
          </w:p>
        </w:tc>
        <w:tc>
          <w:tcPr>
            <w:tcW w:w="1275" w:type="dxa"/>
            <w:shd w:val="clear" w:color="auto" w:fill="auto"/>
          </w:tcPr>
          <w:p w:rsidR="002A4DEE" w:rsidRPr="002803A6" w:rsidRDefault="002A4DEE" w:rsidP="00E16D6F">
            <w:pPr>
              <w:jc w:val="left"/>
              <w:rPr>
                <w:rFonts w:cs="Arial"/>
                <w:sz w:val="16"/>
              </w:rPr>
            </w:pPr>
            <w:r w:rsidRPr="002803A6">
              <w:rPr>
                <w:sz w:val="16"/>
              </w:rPr>
              <w:t>Organisator(en)</w:t>
            </w:r>
          </w:p>
        </w:tc>
        <w:tc>
          <w:tcPr>
            <w:tcW w:w="1763" w:type="dxa"/>
            <w:shd w:val="clear" w:color="auto" w:fill="auto"/>
          </w:tcPr>
          <w:p w:rsidR="002A4DEE" w:rsidRPr="002803A6" w:rsidRDefault="002A4DEE" w:rsidP="00E16D6F">
            <w:pPr>
              <w:jc w:val="left"/>
              <w:rPr>
                <w:rFonts w:cs="Arial"/>
                <w:sz w:val="16"/>
              </w:rPr>
            </w:pPr>
            <w:r w:rsidRPr="002803A6">
              <w:rPr>
                <w:sz w:val="16"/>
              </w:rPr>
              <w:t>Zweck der Tätigkeit</w:t>
            </w:r>
          </w:p>
        </w:tc>
        <w:tc>
          <w:tcPr>
            <w:tcW w:w="2268" w:type="dxa"/>
            <w:shd w:val="clear" w:color="auto" w:fill="auto"/>
          </w:tcPr>
          <w:p w:rsidR="002A4DEE" w:rsidRPr="002803A6" w:rsidRDefault="002A4DEE" w:rsidP="00E16D6F">
            <w:pPr>
              <w:jc w:val="left"/>
              <w:rPr>
                <w:rFonts w:cs="Arial"/>
                <w:sz w:val="16"/>
              </w:rPr>
            </w:pPr>
            <w:r w:rsidRPr="002803A6">
              <w:rPr>
                <w:sz w:val="16"/>
              </w:rPr>
              <w:t xml:space="preserve">Teilnehmende Staaten/Organisationen </w:t>
            </w:r>
            <w:r w:rsidR="000848F3" w:rsidRPr="002803A6">
              <w:rPr>
                <w:sz w:val="16"/>
              </w:rPr>
              <w:br/>
            </w:r>
            <w:r w:rsidRPr="002803A6">
              <w:rPr>
                <w:sz w:val="16"/>
              </w:rPr>
              <w:t>(Zahl der Teilnehmer pro Staat/Organisation)</w:t>
            </w:r>
          </w:p>
        </w:tc>
      </w:tr>
      <w:tr w:rsidR="002A4DEE" w:rsidRPr="002803A6" w:rsidTr="00E16D6F">
        <w:tc>
          <w:tcPr>
            <w:tcW w:w="1809" w:type="dxa"/>
            <w:shd w:val="clear" w:color="auto" w:fill="auto"/>
          </w:tcPr>
          <w:p w:rsidR="002A4DEE" w:rsidRPr="002803A6" w:rsidRDefault="002A4DEE" w:rsidP="00E16D6F">
            <w:pPr>
              <w:jc w:val="left"/>
              <w:rPr>
                <w:rFonts w:cs="Arial"/>
                <w:sz w:val="16"/>
              </w:rPr>
            </w:pPr>
            <w:r w:rsidRPr="002803A6">
              <w:rPr>
                <w:sz w:val="16"/>
              </w:rPr>
              <w:t>1. Tagung des Verwaltungsrates des CPVO</w:t>
            </w:r>
          </w:p>
        </w:tc>
        <w:tc>
          <w:tcPr>
            <w:tcW w:w="1276" w:type="dxa"/>
            <w:shd w:val="clear" w:color="auto" w:fill="auto"/>
          </w:tcPr>
          <w:p w:rsidR="002A4DEE" w:rsidRPr="002803A6" w:rsidRDefault="002A4DEE" w:rsidP="00E16D6F">
            <w:pPr>
              <w:jc w:val="left"/>
              <w:rPr>
                <w:rFonts w:cs="Arial"/>
                <w:sz w:val="16"/>
              </w:rPr>
            </w:pPr>
            <w:r w:rsidRPr="002803A6">
              <w:rPr>
                <w:sz w:val="16"/>
              </w:rPr>
              <w:t>21.-22. März 2018</w:t>
            </w:r>
          </w:p>
        </w:tc>
        <w:tc>
          <w:tcPr>
            <w:tcW w:w="1418" w:type="dxa"/>
            <w:shd w:val="clear" w:color="auto" w:fill="auto"/>
          </w:tcPr>
          <w:p w:rsidR="002A4DEE" w:rsidRPr="002803A6" w:rsidRDefault="002A4DEE" w:rsidP="00E16D6F">
            <w:pPr>
              <w:jc w:val="left"/>
              <w:rPr>
                <w:rFonts w:cs="Arial"/>
                <w:sz w:val="16"/>
              </w:rPr>
            </w:pPr>
            <w:r w:rsidRPr="002803A6">
              <w:rPr>
                <w:sz w:val="16"/>
              </w:rPr>
              <w:t>Angers, Frankreich</w:t>
            </w:r>
          </w:p>
        </w:tc>
        <w:tc>
          <w:tcPr>
            <w:tcW w:w="1275" w:type="dxa"/>
            <w:shd w:val="clear" w:color="auto" w:fill="auto"/>
          </w:tcPr>
          <w:p w:rsidR="002A4DEE" w:rsidRPr="002803A6" w:rsidRDefault="002A4DEE" w:rsidP="00E16D6F">
            <w:pPr>
              <w:jc w:val="left"/>
              <w:rPr>
                <w:rFonts w:cs="Arial"/>
                <w:sz w:val="16"/>
              </w:rPr>
            </w:pPr>
            <w:r w:rsidRPr="002803A6">
              <w:rPr>
                <w:sz w:val="16"/>
              </w:rPr>
              <w:t>CPVO</w:t>
            </w:r>
          </w:p>
        </w:tc>
        <w:tc>
          <w:tcPr>
            <w:tcW w:w="1763" w:type="dxa"/>
            <w:shd w:val="clear" w:color="auto" w:fill="auto"/>
          </w:tcPr>
          <w:p w:rsidR="002A4DEE" w:rsidRPr="002803A6" w:rsidRDefault="002A4DEE" w:rsidP="00E16D6F">
            <w:pPr>
              <w:jc w:val="left"/>
              <w:rPr>
                <w:rFonts w:cs="Arial"/>
                <w:sz w:val="16"/>
              </w:rPr>
            </w:pPr>
            <w:r w:rsidRPr="002803A6">
              <w:rPr>
                <w:sz w:val="16"/>
              </w:rPr>
              <w:t>Erörterung wesentlicher Fragen betreffend Sortenschutz</w:t>
            </w:r>
          </w:p>
        </w:tc>
        <w:tc>
          <w:tcPr>
            <w:tcW w:w="2268" w:type="dxa"/>
            <w:shd w:val="clear" w:color="auto" w:fill="auto"/>
          </w:tcPr>
          <w:p w:rsidR="002A4DEE" w:rsidRPr="002803A6" w:rsidRDefault="002A4DEE" w:rsidP="00E16D6F">
            <w:pPr>
              <w:jc w:val="left"/>
              <w:rPr>
                <w:rFonts w:cs="Arial"/>
                <w:sz w:val="16"/>
              </w:rPr>
            </w:pPr>
            <w:r w:rsidRPr="002803A6">
              <w:rPr>
                <w:sz w:val="16"/>
              </w:rPr>
              <w:t>Europäische Kommission, CPVO, UPOV, Beobachter und Mitgliedstaaten - insgesamt 45</w:t>
            </w:r>
          </w:p>
        </w:tc>
      </w:tr>
      <w:tr w:rsidR="002A4DEE" w:rsidRPr="002803A6" w:rsidTr="00E16D6F">
        <w:tc>
          <w:tcPr>
            <w:tcW w:w="1809" w:type="dxa"/>
            <w:shd w:val="clear" w:color="auto" w:fill="auto"/>
          </w:tcPr>
          <w:p w:rsidR="002A4DEE" w:rsidRPr="002803A6" w:rsidRDefault="002A4DEE" w:rsidP="00E16D6F">
            <w:pPr>
              <w:jc w:val="left"/>
              <w:rPr>
                <w:rFonts w:cs="Arial"/>
                <w:sz w:val="16"/>
              </w:rPr>
            </w:pPr>
            <w:r w:rsidRPr="002803A6">
              <w:rPr>
                <w:sz w:val="16"/>
              </w:rPr>
              <w:t>2. Tagung des Verwaltungsrates des CPVO</w:t>
            </w:r>
          </w:p>
        </w:tc>
        <w:tc>
          <w:tcPr>
            <w:tcW w:w="1276" w:type="dxa"/>
            <w:shd w:val="clear" w:color="auto" w:fill="auto"/>
          </w:tcPr>
          <w:p w:rsidR="002A4DEE" w:rsidRPr="002803A6" w:rsidRDefault="002A4DEE" w:rsidP="00E16D6F">
            <w:pPr>
              <w:jc w:val="left"/>
              <w:rPr>
                <w:rFonts w:cs="Arial"/>
                <w:sz w:val="16"/>
              </w:rPr>
            </w:pPr>
            <w:r w:rsidRPr="002803A6">
              <w:rPr>
                <w:sz w:val="16"/>
              </w:rPr>
              <w:t>19. September 2018</w:t>
            </w:r>
          </w:p>
        </w:tc>
        <w:tc>
          <w:tcPr>
            <w:tcW w:w="1418" w:type="dxa"/>
            <w:shd w:val="clear" w:color="auto" w:fill="auto"/>
          </w:tcPr>
          <w:p w:rsidR="002A4DEE" w:rsidRPr="002803A6" w:rsidRDefault="002A4DEE" w:rsidP="00E16D6F">
            <w:pPr>
              <w:jc w:val="left"/>
              <w:rPr>
                <w:rFonts w:cs="Arial"/>
                <w:sz w:val="16"/>
              </w:rPr>
            </w:pPr>
            <w:r w:rsidRPr="002803A6">
              <w:rPr>
                <w:sz w:val="16"/>
              </w:rPr>
              <w:t>Sofia, Bulgarien</w:t>
            </w:r>
          </w:p>
        </w:tc>
        <w:tc>
          <w:tcPr>
            <w:tcW w:w="1275" w:type="dxa"/>
            <w:shd w:val="clear" w:color="auto" w:fill="auto"/>
          </w:tcPr>
          <w:p w:rsidR="002A4DEE" w:rsidRPr="002803A6" w:rsidRDefault="002A4DEE" w:rsidP="00E16D6F">
            <w:pPr>
              <w:jc w:val="left"/>
              <w:rPr>
                <w:rFonts w:cs="Arial"/>
                <w:sz w:val="16"/>
              </w:rPr>
            </w:pPr>
            <w:r w:rsidRPr="002803A6">
              <w:rPr>
                <w:sz w:val="16"/>
              </w:rPr>
              <w:t>CPVO</w:t>
            </w:r>
          </w:p>
        </w:tc>
        <w:tc>
          <w:tcPr>
            <w:tcW w:w="1763" w:type="dxa"/>
            <w:shd w:val="clear" w:color="auto" w:fill="auto"/>
          </w:tcPr>
          <w:p w:rsidR="002A4DEE" w:rsidRPr="002803A6" w:rsidRDefault="002A4DEE" w:rsidP="00E16D6F">
            <w:pPr>
              <w:jc w:val="left"/>
              <w:rPr>
                <w:rFonts w:cs="Arial"/>
                <w:sz w:val="16"/>
              </w:rPr>
            </w:pPr>
            <w:r w:rsidRPr="002803A6">
              <w:rPr>
                <w:sz w:val="16"/>
              </w:rPr>
              <w:t>Erörterung wesentlicher Fragen betreffend Sortenschutz</w:t>
            </w:r>
          </w:p>
        </w:tc>
        <w:tc>
          <w:tcPr>
            <w:tcW w:w="2268" w:type="dxa"/>
            <w:shd w:val="clear" w:color="auto" w:fill="auto"/>
          </w:tcPr>
          <w:p w:rsidR="002A4DEE" w:rsidRPr="002803A6" w:rsidRDefault="002A4DEE" w:rsidP="00E16D6F">
            <w:pPr>
              <w:jc w:val="left"/>
              <w:rPr>
                <w:rFonts w:cs="Arial"/>
                <w:sz w:val="16"/>
              </w:rPr>
            </w:pPr>
            <w:r w:rsidRPr="002803A6">
              <w:rPr>
                <w:sz w:val="16"/>
              </w:rPr>
              <w:t>Europäische Kommission, CPVO, UPOV, Beobachter und Mitgliedstaaten - insgesamt 47</w:t>
            </w:r>
          </w:p>
        </w:tc>
      </w:tr>
    </w:tbl>
    <w:p w:rsidR="002A4DEE" w:rsidRPr="002803A6" w:rsidRDefault="002A4DEE" w:rsidP="002A4DEE">
      <w:pPr>
        <w:rPr>
          <w:rFonts w:cs="Arial"/>
        </w:rPr>
      </w:pPr>
    </w:p>
    <w:p w:rsidR="002A4DEE" w:rsidRPr="002803A6" w:rsidRDefault="002A4DEE" w:rsidP="002A4DEE">
      <w:pPr>
        <w:rPr>
          <w:rFonts w:cs="Arial"/>
        </w:rPr>
      </w:pPr>
    </w:p>
    <w:p w:rsidR="002A4DEE" w:rsidRPr="002803A6" w:rsidRDefault="002A4DEE" w:rsidP="002A4DEE">
      <w:pPr>
        <w:ind w:left="567" w:hanging="567"/>
        <w:rPr>
          <w:rFonts w:cs="Arial"/>
        </w:rPr>
      </w:pPr>
      <w:r w:rsidRPr="002803A6">
        <w:t>–</w:t>
      </w:r>
      <w:r w:rsidRPr="002803A6">
        <w:tab/>
        <w:t>Das Informationsblatt für Züchterrechte und die nationale Sortenliste Nr. 1 (29) des dem Landwirtschaftsministerium der Republik Litauen unterstellten staatlichen Sortenprüfungszentrums wurde am 19. Januar 2018 und Nr. 2 (30) am 15. Juni 2018 herausgegeben.</w:t>
      </w:r>
    </w:p>
    <w:p w:rsidR="002A4DEE" w:rsidRPr="002803A6" w:rsidRDefault="002A4DEE" w:rsidP="002A4DEE"/>
    <w:p w:rsidR="002A4DEE" w:rsidRPr="002803A6" w:rsidRDefault="002A4DEE" w:rsidP="002A4DEE"/>
    <w:p w:rsidR="002A4DEE" w:rsidRPr="002803A6" w:rsidRDefault="002A4DEE" w:rsidP="002A4DEE">
      <w:r w:rsidRPr="002803A6">
        <w:t>II.</w:t>
      </w:r>
      <w:r w:rsidRPr="002803A6">
        <w:tab/>
        <w:t>ANDERE ENTWICKLUNGEN VON INTERESSE FÜR DIE UPOV</w:t>
      </w:r>
    </w:p>
    <w:p w:rsidR="002A4DEE" w:rsidRPr="002803A6" w:rsidRDefault="002A4DEE" w:rsidP="002A4DEE"/>
    <w:p w:rsidR="002A4DEE" w:rsidRPr="002803A6" w:rsidRDefault="002A4DEE" w:rsidP="002A4DEE">
      <w:pPr>
        <w:ind w:left="567" w:hanging="567"/>
        <w:rPr>
          <w:rFonts w:cs="Arial"/>
        </w:rPr>
      </w:pPr>
      <w:r w:rsidRPr="002803A6">
        <w:t>–</w:t>
      </w:r>
      <w:r w:rsidRPr="002803A6">
        <w:tab/>
        <w:t xml:space="preserve">Die litauische nationale Sortenliste 2018 wurde auf Verfügung Nr. A1-106 des Direktors der dem Landwirtschaftsministerium der Republik Litauen unterstellten staatlichen Pflanzendienststelle am </w:t>
      </w:r>
      <w:r w:rsidR="000848F3" w:rsidRPr="002803A6">
        <w:br/>
      </w:r>
      <w:r w:rsidRPr="002803A6">
        <w:t>8. März 2018 bestätigt. Das Vermehrungsmaterial jeder eingetragenen Sorte jeder Pflanzenart kann gemäß den im Einklang mit den entsprechenden EU-Richtlinien erarbeiteten obligatorischen Anforderungen zertifiziert werden.</w:t>
      </w:r>
    </w:p>
    <w:p w:rsidR="00701A18" w:rsidRPr="002803A6" w:rsidRDefault="00701A18" w:rsidP="00701A18">
      <w:pPr>
        <w:jc w:val="left"/>
      </w:pPr>
    </w:p>
    <w:p w:rsidR="002A4DEE" w:rsidRPr="002803A6" w:rsidRDefault="002A4DEE" w:rsidP="00701A18">
      <w:pPr>
        <w:jc w:val="left"/>
      </w:pPr>
    </w:p>
    <w:p w:rsidR="00701A18" w:rsidRPr="002803A6" w:rsidRDefault="00701A18" w:rsidP="00701A18">
      <w:pPr>
        <w:jc w:val="left"/>
      </w:pPr>
    </w:p>
    <w:p w:rsidR="00701A18" w:rsidRPr="002803A6" w:rsidRDefault="00701A18" w:rsidP="00701A18">
      <w:pPr>
        <w:jc w:val="right"/>
      </w:pPr>
      <w:r w:rsidRPr="002803A6">
        <w:t>[</w:t>
      </w:r>
      <w:r w:rsidR="00445C49" w:rsidRPr="002803A6">
        <w:t>Anlage</w:t>
      </w:r>
      <w:r w:rsidRPr="002803A6">
        <w:t xml:space="preserve"> X </w:t>
      </w:r>
      <w:r w:rsidR="00445C49" w:rsidRPr="002803A6">
        <w:t>folgt]</w:t>
      </w:r>
    </w:p>
    <w:p w:rsidR="00701A18" w:rsidRPr="002803A6" w:rsidRDefault="00701A18" w:rsidP="00701A18">
      <w:pPr>
        <w:jc w:val="left"/>
      </w:pPr>
    </w:p>
    <w:p w:rsidR="00701A18" w:rsidRPr="002803A6" w:rsidRDefault="00701A18" w:rsidP="00701A18">
      <w:pPr>
        <w:jc w:val="left"/>
        <w:sectPr w:rsidR="00701A18" w:rsidRPr="002803A6" w:rsidSect="00823234">
          <w:headerReference w:type="default" r:id="rId21"/>
          <w:pgSz w:w="11907" w:h="16840" w:code="9"/>
          <w:pgMar w:top="510" w:right="1134" w:bottom="1134" w:left="1134" w:header="510" w:footer="680" w:gutter="0"/>
          <w:pgNumType w:start="1"/>
          <w:cols w:space="720"/>
          <w:titlePg/>
        </w:sectPr>
      </w:pPr>
    </w:p>
    <w:p w:rsidR="00701A18" w:rsidRPr="002803A6" w:rsidRDefault="00701A18" w:rsidP="00701A18">
      <w:pPr>
        <w:jc w:val="center"/>
      </w:pPr>
      <w:r w:rsidRPr="002803A6">
        <w:lastRenderedPageBreak/>
        <w:t>C/53/INF/4</w:t>
      </w:r>
    </w:p>
    <w:p w:rsidR="00701A18" w:rsidRPr="002803A6" w:rsidRDefault="00701A18" w:rsidP="00701A18">
      <w:pPr>
        <w:jc w:val="center"/>
      </w:pPr>
    </w:p>
    <w:p w:rsidR="00701A18" w:rsidRPr="002803A6" w:rsidRDefault="00445C49" w:rsidP="00701A18">
      <w:pPr>
        <w:jc w:val="center"/>
      </w:pPr>
      <w:r w:rsidRPr="002803A6">
        <w:t>ANLAGE</w:t>
      </w:r>
      <w:r w:rsidR="00701A18" w:rsidRPr="002803A6">
        <w:t xml:space="preserve"> X</w:t>
      </w:r>
    </w:p>
    <w:p w:rsidR="00701A18" w:rsidRPr="002803A6" w:rsidRDefault="00701A18" w:rsidP="00701A18">
      <w:pPr>
        <w:jc w:val="center"/>
      </w:pPr>
    </w:p>
    <w:p w:rsidR="00701A18" w:rsidRPr="002803A6" w:rsidRDefault="00701A18" w:rsidP="00701A18">
      <w:pPr>
        <w:jc w:val="center"/>
      </w:pPr>
    </w:p>
    <w:p w:rsidR="002A4DEE" w:rsidRPr="002803A6" w:rsidRDefault="002A4DEE" w:rsidP="002A4DEE">
      <w:pPr>
        <w:jc w:val="center"/>
      </w:pPr>
      <w:r w:rsidRPr="002803A6">
        <w:t>NEUSEELAND</w:t>
      </w:r>
    </w:p>
    <w:p w:rsidR="002A4DEE" w:rsidRPr="002803A6" w:rsidRDefault="002A4DEE" w:rsidP="002A4DEE"/>
    <w:p w:rsidR="002A4DEE" w:rsidRPr="002803A6" w:rsidRDefault="002A4DEE" w:rsidP="002A4DEE"/>
    <w:p w:rsidR="002A4DEE" w:rsidRPr="002803A6" w:rsidRDefault="002A4DEE" w:rsidP="002A4DEE">
      <w:r w:rsidRPr="002803A6">
        <w:t>SORTENSCHUTZ</w:t>
      </w:r>
    </w:p>
    <w:p w:rsidR="002A4DEE" w:rsidRPr="002803A6" w:rsidRDefault="002A4DEE" w:rsidP="002A4DEE"/>
    <w:p w:rsidR="002A4DEE" w:rsidRPr="002803A6" w:rsidRDefault="002A4DEE" w:rsidP="002A4DEE">
      <w:r w:rsidRPr="002803A6">
        <w:t>1.</w:t>
      </w:r>
      <w:r w:rsidRPr="002803A6">
        <w:tab/>
      </w:r>
      <w:r w:rsidRPr="002803A6">
        <w:rPr>
          <w:u w:val="single"/>
        </w:rPr>
        <w:t>Lage auf dem Gebiet der Gesetzgebung</w:t>
      </w:r>
    </w:p>
    <w:p w:rsidR="002A4DEE" w:rsidRPr="002803A6" w:rsidRDefault="002A4DEE" w:rsidP="002A4DEE"/>
    <w:p w:rsidR="002A4DEE" w:rsidRPr="002803A6" w:rsidRDefault="002A4DEE" w:rsidP="002A4DEE">
      <w:pPr>
        <w:rPr>
          <w:rFonts w:cs="Arial"/>
        </w:rPr>
      </w:pPr>
      <w:r w:rsidRPr="002803A6">
        <w:t>Das Sortenrechtsgesetz von 1987 bleibt in Kraft und entspricht der Akte von 1978 des UPOV-Übereinkommens.</w:t>
      </w:r>
    </w:p>
    <w:p w:rsidR="002A4DEE" w:rsidRPr="002803A6" w:rsidRDefault="002A4DEE" w:rsidP="002A4DEE">
      <w:pPr>
        <w:rPr>
          <w:rFonts w:cs="Arial"/>
        </w:rPr>
      </w:pPr>
    </w:p>
    <w:p w:rsidR="002A4DEE" w:rsidRPr="002803A6" w:rsidRDefault="002A4DEE" w:rsidP="002A4DEE">
      <w:pPr>
        <w:rPr>
          <w:rFonts w:cs="Arial"/>
        </w:rPr>
      </w:pPr>
      <w:r w:rsidRPr="002803A6">
        <w:t xml:space="preserve">Die Regierung Neuseelands startete eine Überprüfung des Sortenrechtsgesetzes von 1987. Im </w:t>
      </w:r>
      <w:r w:rsidR="002803A6" w:rsidRPr="002803A6">
        <w:t>Anschluss</w:t>
      </w:r>
      <w:r w:rsidRPr="002803A6">
        <w:t xml:space="preserve"> an die Veröffentlichung eines Themenpapiers im September 2018 wurde eine öffentliche Konsultation durchgeführt. Im Juli 2019 wurde ein Optionspapier für die öffentliche Konsultation herausgegeben. Ziel ist es, bis Mitte 2020 einen Gesetzentwurf ins Parlament einzubringen und bis Ende 2021 eine neue Regelung einzuführen. </w:t>
      </w:r>
    </w:p>
    <w:p w:rsidR="002A4DEE" w:rsidRPr="002803A6" w:rsidRDefault="002A4DEE" w:rsidP="002A4DEE">
      <w:pPr>
        <w:rPr>
          <w:rFonts w:cs="Arial"/>
        </w:rPr>
      </w:pPr>
    </w:p>
    <w:p w:rsidR="002A4DEE" w:rsidRPr="002803A6" w:rsidRDefault="002A4DEE" w:rsidP="002A4DEE">
      <w:pPr>
        <w:rPr>
          <w:rFonts w:cs="Arial"/>
        </w:rPr>
      </w:pPr>
      <w:r w:rsidRPr="002803A6">
        <w:t>Detaillierte Informationen betreffend das Sortenrechtsgesetz sind verfügbar unter:</w:t>
      </w:r>
    </w:p>
    <w:p w:rsidR="002A4DEE" w:rsidRPr="002803A6" w:rsidRDefault="004547F1" w:rsidP="002A4DEE">
      <w:pPr>
        <w:rPr>
          <w:rFonts w:cs="Arial"/>
        </w:rPr>
      </w:pPr>
      <w:hyperlink r:id="rId22" w:history="1">
        <w:r w:rsidR="002A4DEE" w:rsidRPr="002803A6">
          <w:rPr>
            <w:rStyle w:val="Hyperlink"/>
          </w:rPr>
          <w:t>https://www.mbie.govt.nz/have-your-say/plant-variety-rights-act-1987-review-options-paper</w:t>
        </w:r>
      </w:hyperlink>
    </w:p>
    <w:p w:rsidR="002A4DEE" w:rsidRPr="002803A6" w:rsidRDefault="002A4DEE" w:rsidP="002A4DEE"/>
    <w:p w:rsidR="002A4DEE" w:rsidRPr="002803A6" w:rsidRDefault="002A4DEE" w:rsidP="002A4DEE"/>
    <w:p w:rsidR="002A4DEE" w:rsidRPr="002803A6" w:rsidRDefault="002A4DEE" w:rsidP="002A4DEE">
      <w:r w:rsidRPr="002803A6">
        <w:t>2.</w:t>
      </w:r>
      <w:r w:rsidRPr="002803A6">
        <w:tab/>
      </w:r>
      <w:r w:rsidRPr="002803A6">
        <w:rPr>
          <w:u w:val="single"/>
        </w:rPr>
        <w:t>Zusammenarbeit bei der Prüfung</w:t>
      </w:r>
    </w:p>
    <w:p w:rsidR="002A4DEE" w:rsidRPr="002803A6" w:rsidRDefault="002A4DEE" w:rsidP="002A4DEE"/>
    <w:p w:rsidR="002A4DEE" w:rsidRPr="002803A6" w:rsidRDefault="002A4DEE" w:rsidP="002A4DEE">
      <w:r w:rsidRPr="002803A6">
        <w:t>Neuseeland erwirbt im Rahmen der allgemeinen Bestimmungen des Übereinkommens auf Anfrage weiterhin Prüfungsberichte von Mitgliedstaaten für bestimmte Arten. Neuseeland stellt weiterhin auf Anfrage von Behörden kostenlos Prüfungsberichte zur Verfügung.</w:t>
      </w:r>
    </w:p>
    <w:p w:rsidR="002A4DEE" w:rsidRPr="002803A6" w:rsidRDefault="002A4DEE" w:rsidP="002A4DEE"/>
    <w:p w:rsidR="002A4DEE" w:rsidRPr="002803A6" w:rsidRDefault="002A4DEE" w:rsidP="002A4DEE">
      <w:r w:rsidRPr="002803A6">
        <w:t xml:space="preserve">Im </w:t>
      </w:r>
      <w:r w:rsidR="002803A6" w:rsidRPr="002803A6">
        <w:t>Anschluss</w:t>
      </w:r>
      <w:r w:rsidRPr="002803A6">
        <w:t xml:space="preserve"> an die Gespräche mit Plant </w:t>
      </w:r>
      <w:proofErr w:type="spellStart"/>
      <w:r w:rsidRPr="002803A6">
        <w:t>Breeder's</w:t>
      </w:r>
      <w:proofErr w:type="spellEnd"/>
      <w:r w:rsidRPr="002803A6">
        <w:t xml:space="preserve"> </w:t>
      </w:r>
      <w:proofErr w:type="spellStart"/>
      <w:r w:rsidRPr="002803A6">
        <w:t>Rights</w:t>
      </w:r>
      <w:proofErr w:type="spellEnd"/>
      <w:r w:rsidRPr="002803A6">
        <w:t xml:space="preserve"> </w:t>
      </w:r>
      <w:proofErr w:type="spellStart"/>
      <w:r w:rsidRPr="002803A6">
        <w:t>Australia</w:t>
      </w:r>
      <w:proofErr w:type="spellEnd"/>
      <w:r w:rsidRPr="002803A6">
        <w:t xml:space="preserve"> Anfang 2019 wird eine erneute Kooperationsinitiative zwischen Plant </w:t>
      </w:r>
      <w:proofErr w:type="spellStart"/>
      <w:r w:rsidRPr="002803A6">
        <w:t>Breeder's</w:t>
      </w:r>
      <w:proofErr w:type="spellEnd"/>
      <w:r w:rsidRPr="002803A6">
        <w:t xml:space="preserve"> </w:t>
      </w:r>
      <w:proofErr w:type="spellStart"/>
      <w:r w:rsidRPr="002803A6">
        <w:t>Rights</w:t>
      </w:r>
      <w:proofErr w:type="spellEnd"/>
      <w:r w:rsidRPr="002803A6">
        <w:t xml:space="preserve"> </w:t>
      </w:r>
      <w:proofErr w:type="spellStart"/>
      <w:r w:rsidRPr="002803A6">
        <w:t>Australia</w:t>
      </w:r>
      <w:proofErr w:type="spellEnd"/>
      <w:r w:rsidRPr="002803A6">
        <w:t xml:space="preserve"> und dem neuseeländischen Züchterrechtsamt gestartet. Die Initiative basiert auf dem gegenseitigen Nutzen und dem sortenbezogenen Austausch von Informationen und Erfahrungen. Die Initiative umfasst auch die Zusammenarbeit mit Züchtern und in einigen Fällen den Austausch von Informationen vor der Antragsstellung.</w:t>
      </w:r>
    </w:p>
    <w:p w:rsidR="002A4DEE" w:rsidRPr="002803A6" w:rsidRDefault="002A4DEE" w:rsidP="002A4DEE"/>
    <w:p w:rsidR="002A4DEE" w:rsidRPr="002803A6" w:rsidRDefault="002A4DEE" w:rsidP="002A4DEE"/>
    <w:p w:rsidR="002A4DEE" w:rsidRPr="002803A6" w:rsidRDefault="002A4DEE" w:rsidP="002A4DEE">
      <w:pPr>
        <w:rPr>
          <w:u w:val="single"/>
        </w:rPr>
      </w:pPr>
      <w:r w:rsidRPr="002803A6">
        <w:t>3.</w:t>
      </w:r>
      <w:r w:rsidRPr="002803A6">
        <w:tab/>
      </w:r>
      <w:r w:rsidRPr="002803A6">
        <w:rPr>
          <w:u w:val="single"/>
        </w:rPr>
        <w:t>Lage auf dem Gebiet der Verwaltung</w:t>
      </w:r>
    </w:p>
    <w:p w:rsidR="002A4DEE" w:rsidRPr="002803A6" w:rsidRDefault="002A4DEE" w:rsidP="002A4DEE"/>
    <w:p w:rsidR="002A4DEE" w:rsidRPr="002803A6" w:rsidRDefault="002A4DEE" w:rsidP="002A4DEE">
      <w:r w:rsidRPr="002803A6">
        <w:t xml:space="preserve">In dem am 30. Juni 2019 endenden Finanzjahr wurden 111 Sortenschutzanträge angenommen (9 % weniger als im Vorjahr), 86 Schutztitel erteilt (8 % mehr als im Vorjahr) und 77 Schutzrechte beendet (8 % mehr als im Vorjahr). Zum 30. Juni 2019 waren 1 310 Schutztitel in Kraft, ein geringer Anstieg gegenüber dem Vorjahr. Die Anzahl der Anträge ist konstant. Allerdings ist in den letzten Jahren </w:t>
      </w:r>
      <w:r w:rsidR="002803A6" w:rsidRPr="002803A6">
        <w:t>tendenziell</w:t>
      </w:r>
      <w:r w:rsidRPr="002803A6">
        <w:t xml:space="preserve"> ein leichter Rückgang zu verzeichnen. </w:t>
      </w:r>
    </w:p>
    <w:p w:rsidR="002A4DEE" w:rsidRPr="002803A6" w:rsidRDefault="002A4DEE" w:rsidP="002A4DEE"/>
    <w:p w:rsidR="002A4DEE" w:rsidRPr="002803A6" w:rsidRDefault="002A4DEE" w:rsidP="002A4DEE">
      <w:r w:rsidRPr="002803A6">
        <w:t>Im Zusammenhang mit der Überprüfung des Sortenrechtsgesetzes von 1987 wird eine umfassende Überprüfung der operativen Tätigkeiten und Aufgaben des Amtes durchgeführt. Die Ergebnisse der Überprüfung werden als Leitfaden für zukünftige regulatorische Änderungen und Amtspraktiken herangezogen.</w:t>
      </w:r>
    </w:p>
    <w:p w:rsidR="002A4DEE" w:rsidRPr="002803A6" w:rsidRDefault="002A4DEE" w:rsidP="002A4DEE"/>
    <w:p w:rsidR="002A4DEE" w:rsidRPr="002803A6" w:rsidRDefault="002A4DEE" w:rsidP="002A4DEE"/>
    <w:p w:rsidR="002A4DEE" w:rsidRPr="002803A6" w:rsidRDefault="002A4DEE" w:rsidP="002A4DEE">
      <w:pPr>
        <w:rPr>
          <w:u w:val="single"/>
        </w:rPr>
      </w:pPr>
      <w:r w:rsidRPr="002803A6">
        <w:t>4.</w:t>
      </w:r>
      <w:r w:rsidRPr="002803A6">
        <w:tab/>
      </w:r>
      <w:r w:rsidRPr="002803A6">
        <w:rPr>
          <w:u w:val="single"/>
        </w:rPr>
        <w:t>Lage auf dem Gebiet der Technik</w:t>
      </w:r>
    </w:p>
    <w:p w:rsidR="002A4DEE" w:rsidRPr="002803A6" w:rsidRDefault="002A4DEE" w:rsidP="002A4DEE"/>
    <w:p w:rsidR="002A4DEE" w:rsidRPr="002803A6" w:rsidRDefault="002A4DEE" w:rsidP="002A4DEE">
      <w:r w:rsidRPr="002803A6">
        <w:t>Neuseelands strenge Anforderungen an Biosicherheit verursachen Schwierigkeiten und Verzögerungen bei der Einfuhr von Pflanzenmaterial für ausländische Sortenzüchtungen. Die immer länger werdende Zeitspanne des vorläufigen Schutzes, insbesondere für Obstarten, ist für die Inhaber und deren Bevollmächtigte in Bezug auf die Verwaltung der Sorte mittlerweile ein bedeutender Faktor. Die Verlängerung der Antragzeiträume für viele Arten hat sich auch auf die DUS-Prüfungsanordnung, die Organisation und den Zeitplan ausgewirkt. Die vermehrte Verwendung ausländischer Prüfungsberichte in Kombination mit der Verwendung von Sorteninformationen einer anderen Behörde ist ein Ansatz, um die durch Biosicherheitsfaktoren verursachten Verzögerungen bei der Prüfung zu umgehen.</w:t>
      </w:r>
    </w:p>
    <w:p w:rsidR="002A4DEE" w:rsidRPr="002803A6" w:rsidRDefault="002A4DEE" w:rsidP="002A4DEE"/>
    <w:p w:rsidR="002A4DEE" w:rsidRPr="002803A6" w:rsidRDefault="002A4DEE" w:rsidP="002A4DEE">
      <w:r w:rsidRPr="002803A6">
        <w:t>Neuseeland veranstaltete vom 18. bis 22. Februar 2019 in Christchurch die 51. Tagung der Technischen Arbeitsgruppe für Zierpflanzen und forstliche Baumarten. Es gab dreißig Teilnehmer aus fünfzehn Staaten und Organisationen.</w:t>
      </w:r>
    </w:p>
    <w:p w:rsidR="002A4DEE" w:rsidRPr="002803A6" w:rsidRDefault="002A4DEE" w:rsidP="002A4DEE">
      <w:pPr>
        <w:keepNext/>
        <w:rPr>
          <w:u w:val="single"/>
        </w:rPr>
      </w:pPr>
      <w:r w:rsidRPr="002803A6">
        <w:lastRenderedPageBreak/>
        <w:t>5.</w:t>
      </w:r>
      <w:r w:rsidRPr="002803A6">
        <w:tab/>
      </w:r>
      <w:r w:rsidRPr="002803A6">
        <w:rPr>
          <w:u w:val="single"/>
        </w:rPr>
        <w:t>Tätigkeiten zur Förderung des Sortenschutzes</w:t>
      </w:r>
    </w:p>
    <w:p w:rsidR="002A4DEE" w:rsidRPr="002803A6" w:rsidRDefault="002A4DEE" w:rsidP="002A4DEE">
      <w:pPr>
        <w:keepNext/>
        <w:jc w:val="left"/>
        <w:rPr>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242"/>
        <w:gridCol w:w="993"/>
        <w:gridCol w:w="992"/>
        <w:gridCol w:w="1276"/>
        <w:gridCol w:w="1417"/>
        <w:gridCol w:w="2126"/>
        <w:gridCol w:w="1985"/>
      </w:tblGrid>
      <w:tr w:rsidR="002A4DEE" w:rsidRPr="002803A6" w:rsidTr="00E16D6F">
        <w:tc>
          <w:tcPr>
            <w:tcW w:w="1242" w:type="dxa"/>
            <w:shd w:val="clear" w:color="auto" w:fill="auto"/>
          </w:tcPr>
          <w:p w:rsidR="002A4DEE" w:rsidRPr="002803A6" w:rsidRDefault="002A4DEE" w:rsidP="00E16D6F">
            <w:pPr>
              <w:jc w:val="left"/>
              <w:rPr>
                <w:rFonts w:cs="Mangal"/>
                <w:sz w:val="16"/>
                <w:szCs w:val="26"/>
              </w:rPr>
            </w:pPr>
            <w:r w:rsidRPr="002803A6">
              <w:rPr>
                <w:sz w:val="16"/>
                <w:szCs w:val="26"/>
              </w:rPr>
              <w:t>Bezeichnung der Tätigkeit</w:t>
            </w:r>
          </w:p>
        </w:tc>
        <w:tc>
          <w:tcPr>
            <w:tcW w:w="993" w:type="dxa"/>
            <w:shd w:val="clear" w:color="auto" w:fill="auto"/>
          </w:tcPr>
          <w:p w:rsidR="002A4DEE" w:rsidRPr="002803A6" w:rsidRDefault="002A4DEE" w:rsidP="00E16D6F">
            <w:pPr>
              <w:jc w:val="left"/>
              <w:rPr>
                <w:rFonts w:cs="Mangal"/>
                <w:sz w:val="16"/>
                <w:szCs w:val="26"/>
              </w:rPr>
            </w:pPr>
            <w:r w:rsidRPr="002803A6">
              <w:rPr>
                <w:sz w:val="16"/>
                <w:szCs w:val="26"/>
              </w:rPr>
              <w:t>Datum</w:t>
            </w:r>
          </w:p>
        </w:tc>
        <w:tc>
          <w:tcPr>
            <w:tcW w:w="992" w:type="dxa"/>
            <w:shd w:val="clear" w:color="auto" w:fill="auto"/>
          </w:tcPr>
          <w:p w:rsidR="002A4DEE" w:rsidRPr="002803A6" w:rsidRDefault="002A4DEE" w:rsidP="00E16D6F">
            <w:pPr>
              <w:jc w:val="left"/>
              <w:rPr>
                <w:rFonts w:cs="Mangal"/>
                <w:sz w:val="16"/>
                <w:szCs w:val="26"/>
              </w:rPr>
            </w:pPr>
            <w:r w:rsidRPr="002803A6">
              <w:rPr>
                <w:sz w:val="16"/>
                <w:szCs w:val="26"/>
              </w:rPr>
              <w:t>Ort</w:t>
            </w:r>
          </w:p>
        </w:tc>
        <w:tc>
          <w:tcPr>
            <w:tcW w:w="1276" w:type="dxa"/>
            <w:shd w:val="clear" w:color="auto" w:fill="auto"/>
          </w:tcPr>
          <w:p w:rsidR="002A4DEE" w:rsidRPr="002803A6" w:rsidRDefault="002A4DEE" w:rsidP="00E16D6F">
            <w:pPr>
              <w:jc w:val="left"/>
              <w:rPr>
                <w:rFonts w:cs="Mangal"/>
                <w:sz w:val="16"/>
                <w:szCs w:val="26"/>
              </w:rPr>
            </w:pPr>
            <w:r w:rsidRPr="002803A6">
              <w:rPr>
                <w:sz w:val="16"/>
                <w:szCs w:val="26"/>
              </w:rPr>
              <w:t>Organisator(en)</w:t>
            </w:r>
          </w:p>
        </w:tc>
        <w:tc>
          <w:tcPr>
            <w:tcW w:w="1417" w:type="dxa"/>
            <w:shd w:val="clear" w:color="auto" w:fill="auto"/>
          </w:tcPr>
          <w:p w:rsidR="002A4DEE" w:rsidRPr="002803A6" w:rsidRDefault="002A4DEE" w:rsidP="00E16D6F">
            <w:pPr>
              <w:jc w:val="left"/>
              <w:rPr>
                <w:rFonts w:cs="Mangal"/>
                <w:sz w:val="16"/>
                <w:szCs w:val="26"/>
              </w:rPr>
            </w:pPr>
            <w:r w:rsidRPr="002803A6">
              <w:rPr>
                <w:sz w:val="16"/>
                <w:szCs w:val="26"/>
              </w:rPr>
              <w:t>Zweck der Tätigkeit</w:t>
            </w:r>
          </w:p>
        </w:tc>
        <w:tc>
          <w:tcPr>
            <w:tcW w:w="2126" w:type="dxa"/>
            <w:shd w:val="clear" w:color="auto" w:fill="auto"/>
          </w:tcPr>
          <w:p w:rsidR="002A4DEE" w:rsidRPr="002803A6" w:rsidRDefault="002A4DEE" w:rsidP="00E16D6F">
            <w:pPr>
              <w:jc w:val="left"/>
              <w:rPr>
                <w:rFonts w:cs="Mangal"/>
                <w:sz w:val="16"/>
                <w:szCs w:val="26"/>
              </w:rPr>
            </w:pPr>
            <w:r w:rsidRPr="002803A6">
              <w:rPr>
                <w:sz w:val="16"/>
                <w:szCs w:val="26"/>
              </w:rPr>
              <w:t>Teilnehmende Staaten/Organisationen (Zahl der Teilnehmer pro Staat/Organisation)</w:t>
            </w:r>
          </w:p>
        </w:tc>
        <w:tc>
          <w:tcPr>
            <w:tcW w:w="1985" w:type="dxa"/>
            <w:shd w:val="clear" w:color="auto" w:fill="auto"/>
          </w:tcPr>
          <w:p w:rsidR="002A4DEE" w:rsidRPr="002803A6" w:rsidRDefault="002A4DEE" w:rsidP="00E16D6F">
            <w:pPr>
              <w:jc w:val="left"/>
              <w:rPr>
                <w:rFonts w:cs="Mangal"/>
                <w:sz w:val="16"/>
                <w:szCs w:val="26"/>
              </w:rPr>
            </w:pPr>
            <w:r w:rsidRPr="002803A6">
              <w:rPr>
                <w:sz w:val="16"/>
                <w:szCs w:val="26"/>
              </w:rPr>
              <w:t>Anmerkungen</w:t>
            </w:r>
          </w:p>
        </w:tc>
      </w:tr>
      <w:tr w:rsidR="002A4DEE" w:rsidRPr="002803A6" w:rsidTr="00E16D6F">
        <w:tc>
          <w:tcPr>
            <w:tcW w:w="1242" w:type="dxa"/>
            <w:shd w:val="clear" w:color="auto" w:fill="auto"/>
          </w:tcPr>
          <w:p w:rsidR="002A4DEE" w:rsidRPr="002803A6" w:rsidRDefault="002A4DEE" w:rsidP="00E16D6F">
            <w:pPr>
              <w:jc w:val="left"/>
              <w:rPr>
                <w:rFonts w:cs="Mangal"/>
                <w:sz w:val="16"/>
                <w:szCs w:val="26"/>
              </w:rPr>
            </w:pPr>
            <w:r w:rsidRPr="002803A6">
              <w:rPr>
                <w:sz w:val="16"/>
                <w:szCs w:val="26"/>
              </w:rPr>
              <w:t>Zwischenstaat-</w:t>
            </w:r>
            <w:proofErr w:type="spellStart"/>
            <w:r w:rsidRPr="002803A6">
              <w:rPr>
                <w:sz w:val="16"/>
                <w:szCs w:val="26"/>
              </w:rPr>
              <w:t>liche</w:t>
            </w:r>
            <w:proofErr w:type="spellEnd"/>
            <w:r w:rsidRPr="002803A6">
              <w:rPr>
                <w:sz w:val="16"/>
                <w:szCs w:val="26"/>
              </w:rPr>
              <w:t xml:space="preserve"> Konsultation</w:t>
            </w:r>
          </w:p>
          <w:p w:rsidR="002A4DEE" w:rsidRPr="002803A6" w:rsidRDefault="002A4DEE" w:rsidP="00E16D6F">
            <w:pPr>
              <w:jc w:val="left"/>
              <w:rPr>
                <w:rFonts w:cs="Mangal"/>
                <w:sz w:val="16"/>
                <w:szCs w:val="26"/>
                <w:lang w:bidi="ne-NP"/>
              </w:rPr>
            </w:pPr>
          </w:p>
        </w:tc>
        <w:tc>
          <w:tcPr>
            <w:tcW w:w="993" w:type="dxa"/>
            <w:shd w:val="clear" w:color="auto" w:fill="auto"/>
          </w:tcPr>
          <w:p w:rsidR="002A4DEE" w:rsidRPr="002803A6" w:rsidRDefault="002A4DEE" w:rsidP="00E16D6F">
            <w:pPr>
              <w:jc w:val="left"/>
              <w:rPr>
                <w:rFonts w:cs="Mangal"/>
                <w:sz w:val="16"/>
                <w:szCs w:val="26"/>
              </w:rPr>
            </w:pPr>
            <w:r w:rsidRPr="002803A6">
              <w:rPr>
                <w:sz w:val="16"/>
                <w:szCs w:val="26"/>
              </w:rPr>
              <w:t>12.-14. März 2019</w:t>
            </w:r>
          </w:p>
        </w:tc>
        <w:tc>
          <w:tcPr>
            <w:tcW w:w="992" w:type="dxa"/>
            <w:shd w:val="clear" w:color="auto" w:fill="auto"/>
          </w:tcPr>
          <w:p w:rsidR="002A4DEE" w:rsidRPr="002803A6" w:rsidRDefault="002A4DEE" w:rsidP="00E16D6F">
            <w:pPr>
              <w:jc w:val="left"/>
              <w:rPr>
                <w:rFonts w:cs="Mangal"/>
                <w:sz w:val="16"/>
                <w:szCs w:val="26"/>
              </w:rPr>
            </w:pPr>
            <w:r w:rsidRPr="002803A6">
              <w:rPr>
                <w:sz w:val="16"/>
                <w:szCs w:val="26"/>
              </w:rPr>
              <w:t>Neuseeland</w:t>
            </w:r>
          </w:p>
        </w:tc>
        <w:tc>
          <w:tcPr>
            <w:tcW w:w="1276" w:type="dxa"/>
            <w:shd w:val="clear" w:color="auto" w:fill="auto"/>
          </w:tcPr>
          <w:p w:rsidR="002A4DEE" w:rsidRPr="002803A6" w:rsidRDefault="002A4DEE" w:rsidP="00E16D6F">
            <w:pPr>
              <w:jc w:val="left"/>
              <w:rPr>
                <w:rFonts w:cs="Mangal"/>
                <w:sz w:val="16"/>
                <w:szCs w:val="26"/>
              </w:rPr>
            </w:pPr>
            <w:r w:rsidRPr="002803A6">
              <w:rPr>
                <w:sz w:val="16"/>
                <w:szCs w:val="26"/>
              </w:rPr>
              <w:t>Neuseeland und Indonesien</w:t>
            </w:r>
          </w:p>
        </w:tc>
        <w:tc>
          <w:tcPr>
            <w:tcW w:w="1417" w:type="dxa"/>
            <w:shd w:val="clear" w:color="auto" w:fill="auto"/>
          </w:tcPr>
          <w:p w:rsidR="002A4DEE" w:rsidRPr="002803A6" w:rsidRDefault="002A4DEE" w:rsidP="00E16D6F">
            <w:pPr>
              <w:jc w:val="left"/>
              <w:rPr>
                <w:rFonts w:cs="Mangal"/>
                <w:sz w:val="16"/>
                <w:szCs w:val="26"/>
              </w:rPr>
            </w:pPr>
            <w:r w:rsidRPr="002803A6">
              <w:rPr>
                <w:sz w:val="16"/>
                <w:szCs w:val="26"/>
              </w:rPr>
              <w:t>Sortenschutz-politik, Organisation der Prüfung und Verwaltung des Amtes</w:t>
            </w:r>
          </w:p>
        </w:tc>
        <w:tc>
          <w:tcPr>
            <w:tcW w:w="2126" w:type="dxa"/>
            <w:shd w:val="clear" w:color="auto" w:fill="auto"/>
          </w:tcPr>
          <w:p w:rsidR="002A4DEE" w:rsidRPr="002803A6" w:rsidRDefault="002A4DEE" w:rsidP="00E16D6F">
            <w:pPr>
              <w:jc w:val="left"/>
              <w:rPr>
                <w:rFonts w:cs="Mangal"/>
                <w:sz w:val="16"/>
                <w:szCs w:val="26"/>
              </w:rPr>
            </w:pPr>
            <w:r w:rsidRPr="002803A6">
              <w:rPr>
                <w:sz w:val="16"/>
                <w:szCs w:val="26"/>
              </w:rPr>
              <w:t>Indonesien, Neuseeland</w:t>
            </w:r>
          </w:p>
        </w:tc>
        <w:tc>
          <w:tcPr>
            <w:tcW w:w="1985" w:type="dxa"/>
            <w:shd w:val="clear" w:color="auto" w:fill="auto"/>
          </w:tcPr>
          <w:p w:rsidR="002A4DEE" w:rsidRPr="002803A6" w:rsidRDefault="002A4DEE" w:rsidP="00E16D6F">
            <w:pPr>
              <w:jc w:val="left"/>
              <w:rPr>
                <w:rFonts w:cs="Mangal"/>
                <w:sz w:val="16"/>
                <w:szCs w:val="26"/>
              </w:rPr>
            </w:pPr>
            <w:r w:rsidRPr="002803A6">
              <w:rPr>
                <w:sz w:val="16"/>
                <w:szCs w:val="26"/>
              </w:rPr>
              <w:t xml:space="preserve">Austausch von Erfahrungen und Herausforderungen von Sortenämtern </w:t>
            </w:r>
          </w:p>
        </w:tc>
      </w:tr>
      <w:tr w:rsidR="002A4DEE" w:rsidRPr="002803A6" w:rsidTr="00E16D6F">
        <w:tc>
          <w:tcPr>
            <w:tcW w:w="1242" w:type="dxa"/>
            <w:shd w:val="clear" w:color="auto" w:fill="auto"/>
          </w:tcPr>
          <w:p w:rsidR="002A4DEE" w:rsidRPr="002803A6" w:rsidRDefault="002A4DEE" w:rsidP="00E16D6F">
            <w:pPr>
              <w:jc w:val="left"/>
              <w:rPr>
                <w:rFonts w:cs="Mangal"/>
                <w:sz w:val="16"/>
                <w:szCs w:val="26"/>
              </w:rPr>
            </w:pPr>
            <w:r w:rsidRPr="002803A6">
              <w:rPr>
                <w:sz w:val="16"/>
                <w:szCs w:val="26"/>
              </w:rPr>
              <w:t>Zusammen-arbeit bei der DUS-Prüfung</w:t>
            </w:r>
          </w:p>
        </w:tc>
        <w:tc>
          <w:tcPr>
            <w:tcW w:w="993" w:type="dxa"/>
            <w:shd w:val="clear" w:color="auto" w:fill="auto"/>
          </w:tcPr>
          <w:p w:rsidR="002A4DEE" w:rsidRPr="002803A6" w:rsidRDefault="002A4DEE" w:rsidP="00E16D6F">
            <w:pPr>
              <w:jc w:val="left"/>
              <w:rPr>
                <w:rFonts w:cs="Mangal"/>
                <w:sz w:val="16"/>
                <w:szCs w:val="26"/>
              </w:rPr>
            </w:pPr>
            <w:r w:rsidRPr="002803A6">
              <w:rPr>
                <w:sz w:val="16"/>
                <w:szCs w:val="26"/>
              </w:rPr>
              <w:t>15. Februar 2019</w:t>
            </w:r>
          </w:p>
        </w:tc>
        <w:tc>
          <w:tcPr>
            <w:tcW w:w="992" w:type="dxa"/>
            <w:shd w:val="clear" w:color="auto" w:fill="auto"/>
          </w:tcPr>
          <w:p w:rsidR="002A4DEE" w:rsidRPr="002803A6" w:rsidRDefault="002A4DEE" w:rsidP="00E16D6F">
            <w:pPr>
              <w:jc w:val="left"/>
              <w:rPr>
                <w:rFonts w:cs="Mangal"/>
                <w:sz w:val="16"/>
                <w:szCs w:val="26"/>
                <w:lang w:bidi="ne-NP"/>
              </w:rPr>
            </w:pPr>
          </w:p>
        </w:tc>
        <w:tc>
          <w:tcPr>
            <w:tcW w:w="1276" w:type="dxa"/>
            <w:shd w:val="clear" w:color="auto" w:fill="auto"/>
          </w:tcPr>
          <w:p w:rsidR="002A4DEE" w:rsidRPr="002803A6" w:rsidRDefault="002A4DEE" w:rsidP="00E16D6F">
            <w:pPr>
              <w:jc w:val="left"/>
              <w:rPr>
                <w:rFonts w:cs="Mangal"/>
                <w:sz w:val="16"/>
                <w:szCs w:val="26"/>
              </w:rPr>
            </w:pPr>
            <w:r w:rsidRPr="002803A6">
              <w:rPr>
                <w:sz w:val="16"/>
                <w:szCs w:val="26"/>
              </w:rPr>
              <w:t>Neuseeland und Gemeinschaft-</w:t>
            </w:r>
            <w:proofErr w:type="spellStart"/>
            <w:r w:rsidRPr="002803A6">
              <w:rPr>
                <w:sz w:val="16"/>
                <w:szCs w:val="26"/>
              </w:rPr>
              <w:t>liches</w:t>
            </w:r>
            <w:proofErr w:type="spellEnd"/>
            <w:r w:rsidRPr="002803A6">
              <w:rPr>
                <w:sz w:val="16"/>
                <w:szCs w:val="26"/>
              </w:rPr>
              <w:t xml:space="preserve"> Sortenamt</w:t>
            </w:r>
          </w:p>
        </w:tc>
        <w:tc>
          <w:tcPr>
            <w:tcW w:w="1417" w:type="dxa"/>
            <w:shd w:val="clear" w:color="auto" w:fill="auto"/>
          </w:tcPr>
          <w:p w:rsidR="002A4DEE" w:rsidRPr="002803A6" w:rsidRDefault="002A4DEE" w:rsidP="00E16D6F">
            <w:pPr>
              <w:jc w:val="left"/>
              <w:rPr>
                <w:rFonts w:cs="Mangal"/>
                <w:sz w:val="16"/>
                <w:szCs w:val="26"/>
              </w:rPr>
            </w:pPr>
            <w:r w:rsidRPr="002803A6">
              <w:rPr>
                <w:sz w:val="16"/>
                <w:szCs w:val="26"/>
              </w:rPr>
              <w:t>Sondierung von Optionen für eine verstärkte technische Zusammenarbeit</w:t>
            </w:r>
          </w:p>
        </w:tc>
        <w:tc>
          <w:tcPr>
            <w:tcW w:w="2126" w:type="dxa"/>
            <w:shd w:val="clear" w:color="auto" w:fill="auto"/>
          </w:tcPr>
          <w:p w:rsidR="002A4DEE" w:rsidRPr="002803A6" w:rsidRDefault="002A4DEE" w:rsidP="00E16D6F">
            <w:pPr>
              <w:jc w:val="left"/>
              <w:rPr>
                <w:rFonts w:cs="Mangal"/>
                <w:sz w:val="16"/>
                <w:szCs w:val="26"/>
              </w:rPr>
            </w:pPr>
            <w:r w:rsidRPr="002803A6">
              <w:rPr>
                <w:sz w:val="16"/>
                <w:szCs w:val="26"/>
              </w:rPr>
              <w:t xml:space="preserve">Europäische Union, Neuseeland </w:t>
            </w:r>
          </w:p>
        </w:tc>
        <w:tc>
          <w:tcPr>
            <w:tcW w:w="1985" w:type="dxa"/>
            <w:shd w:val="clear" w:color="auto" w:fill="auto"/>
          </w:tcPr>
          <w:p w:rsidR="002A4DEE" w:rsidRPr="002803A6" w:rsidRDefault="002A4DEE" w:rsidP="00E16D6F">
            <w:pPr>
              <w:jc w:val="left"/>
              <w:rPr>
                <w:rFonts w:cs="Mangal"/>
                <w:sz w:val="16"/>
                <w:szCs w:val="26"/>
              </w:rPr>
            </w:pPr>
            <w:r w:rsidRPr="002803A6">
              <w:rPr>
                <w:sz w:val="16"/>
                <w:szCs w:val="26"/>
              </w:rPr>
              <w:t>Die Möglichkeiten für beide Parteien, den Austausch von Sorteninformationen zum gegenseitigen Nutzen zu verbessern</w:t>
            </w:r>
          </w:p>
        </w:tc>
      </w:tr>
      <w:tr w:rsidR="002A4DEE" w:rsidRPr="002803A6" w:rsidTr="00E16D6F">
        <w:tc>
          <w:tcPr>
            <w:tcW w:w="1242" w:type="dxa"/>
            <w:shd w:val="clear" w:color="auto" w:fill="auto"/>
          </w:tcPr>
          <w:p w:rsidR="002A4DEE" w:rsidRPr="002803A6" w:rsidRDefault="002A4DEE" w:rsidP="00E16D6F">
            <w:pPr>
              <w:jc w:val="left"/>
              <w:rPr>
                <w:rFonts w:cs="Mangal"/>
                <w:sz w:val="16"/>
                <w:szCs w:val="26"/>
              </w:rPr>
            </w:pPr>
            <w:r w:rsidRPr="002803A6">
              <w:rPr>
                <w:sz w:val="16"/>
                <w:szCs w:val="26"/>
              </w:rPr>
              <w:t>Zusammen-arbeit bei der DUS-Prüfung</w:t>
            </w:r>
          </w:p>
        </w:tc>
        <w:tc>
          <w:tcPr>
            <w:tcW w:w="993" w:type="dxa"/>
            <w:shd w:val="clear" w:color="auto" w:fill="auto"/>
          </w:tcPr>
          <w:p w:rsidR="002A4DEE" w:rsidRPr="002803A6" w:rsidRDefault="002A4DEE" w:rsidP="00E16D6F">
            <w:pPr>
              <w:jc w:val="left"/>
              <w:rPr>
                <w:rFonts w:cs="Mangal"/>
                <w:sz w:val="16"/>
                <w:szCs w:val="26"/>
              </w:rPr>
            </w:pPr>
            <w:r w:rsidRPr="002803A6">
              <w:rPr>
                <w:sz w:val="16"/>
                <w:szCs w:val="26"/>
              </w:rPr>
              <w:t>25.-27. Februar 2019</w:t>
            </w:r>
          </w:p>
        </w:tc>
        <w:tc>
          <w:tcPr>
            <w:tcW w:w="992" w:type="dxa"/>
            <w:shd w:val="clear" w:color="auto" w:fill="auto"/>
          </w:tcPr>
          <w:p w:rsidR="002A4DEE" w:rsidRPr="002803A6" w:rsidRDefault="002A4DEE" w:rsidP="00E16D6F">
            <w:pPr>
              <w:jc w:val="left"/>
              <w:rPr>
                <w:rFonts w:cs="Mangal"/>
                <w:sz w:val="16"/>
                <w:szCs w:val="26"/>
                <w:lang w:bidi="ne-NP"/>
              </w:rPr>
            </w:pPr>
          </w:p>
        </w:tc>
        <w:tc>
          <w:tcPr>
            <w:tcW w:w="1276" w:type="dxa"/>
            <w:shd w:val="clear" w:color="auto" w:fill="auto"/>
          </w:tcPr>
          <w:p w:rsidR="002A4DEE" w:rsidRPr="002803A6" w:rsidRDefault="002A4DEE" w:rsidP="00E16D6F">
            <w:pPr>
              <w:jc w:val="left"/>
              <w:rPr>
                <w:rFonts w:cs="Mangal"/>
                <w:sz w:val="16"/>
                <w:szCs w:val="26"/>
              </w:rPr>
            </w:pPr>
            <w:r w:rsidRPr="002803A6">
              <w:rPr>
                <w:sz w:val="16"/>
                <w:szCs w:val="26"/>
              </w:rPr>
              <w:t xml:space="preserve">Neuseeland und IP </w:t>
            </w:r>
            <w:proofErr w:type="spellStart"/>
            <w:r w:rsidRPr="002803A6">
              <w:rPr>
                <w:sz w:val="16"/>
                <w:szCs w:val="26"/>
              </w:rPr>
              <w:t>Australia</w:t>
            </w:r>
            <w:proofErr w:type="spellEnd"/>
          </w:p>
        </w:tc>
        <w:tc>
          <w:tcPr>
            <w:tcW w:w="1417" w:type="dxa"/>
            <w:shd w:val="clear" w:color="auto" w:fill="auto"/>
          </w:tcPr>
          <w:p w:rsidR="002A4DEE" w:rsidRPr="002803A6" w:rsidRDefault="002A4DEE" w:rsidP="00E16D6F">
            <w:pPr>
              <w:jc w:val="left"/>
              <w:rPr>
                <w:rFonts w:cs="Mangal"/>
                <w:sz w:val="16"/>
                <w:szCs w:val="26"/>
              </w:rPr>
            </w:pPr>
            <w:r w:rsidRPr="002803A6">
              <w:rPr>
                <w:sz w:val="16"/>
                <w:szCs w:val="26"/>
              </w:rPr>
              <w:t>Sondierung von Optionen zur Verbesserung der technischen Zusammenarbeit</w:t>
            </w:r>
          </w:p>
        </w:tc>
        <w:tc>
          <w:tcPr>
            <w:tcW w:w="2126" w:type="dxa"/>
            <w:shd w:val="clear" w:color="auto" w:fill="auto"/>
          </w:tcPr>
          <w:p w:rsidR="002A4DEE" w:rsidRPr="002803A6" w:rsidRDefault="002A4DEE" w:rsidP="00E16D6F">
            <w:pPr>
              <w:jc w:val="left"/>
              <w:rPr>
                <w:rFonts w:cs="Mangal"/>
                <w:sz w:val="16"/>
                <w:szCs w:val="26"/>
              </w:rPr>
            </w:pPr>
            <w:r w:rsidRPr="002803A6">
              <w:rPr>
                <w:sz w:val="16"/>
                <w:szCs w:val="26"/>
              </w:rPr>
              <w:t xml:space="preserve">Australien, Neuseeland </w:t>
            </w:r>
          </w:p>
        </w:tc>
        <w:tc>
          <w:tcPr>
            <w:tcW w:w="1985" w:type="dxa"/>
            <w:shd w:val="clear" w:color="auto" w:fill="auto"/>
          </w:tcPr>
          <w:p w:rsidR="002A4DEE" w:rsidRPr="002803A6" w:rsidRDefault="002A4DEE" w:rsidP="00E16D6F">
            <w:pPr>
              <w:jc w:val="left"/>
              <w:rPr>
                <w:rFonts w:cs="Mangal"/>
                <w:sz w:val="16"/>
                <w:szCs w:val="26"/>
              </w:rPr>
            </w:pPr>
            <w:r w:rsidRPr="002803A6">
              <w:rPr>
                <w:sz w:val="16"/>
                <w:szCs w:val="26"/>
              </w:rPr>
              <w:t>Die Möglichkeiten für beide Parteien, den Austausch von Sorteninformationen zum gegenseitigen Nutzen zu verbessern</w:t>
            </w:r>
          </w:p>
        </w:tc>
      </w:tr>
    </w:tbl>
    <w:p w:rsidR="002A4DEE" w:rsidRPr="002803A6" w:rsidRDefault="002A4DEE" w:rsidP="002A4DEE"/>
    <w:p w:rsidR="00701A18" w:rsidRPr="002803A6" w:rsidRDefault="00701A18" w:rsidP="00701A18">
      <w:pPr>
        <w:jc w:val="left"/>
      </w:pPr>
    </w:p>
    <w:p w:rsidR="00701A18" w:rsidRPr="002803A6" w:rsidRDefault="00701A18" w:rsidP="00701A18">
      <w:pPr>
        <w:jc w:val="left"/>
      </w:pPr>
    </w:p>
    <w:p w:rsidR="00701A18" w:rsidRPr="002803A6" w:rsidRDefault="00701A18" w:rsidP="00701A18">
      <w:pPr>
        <w:jc w:val="right"/>
      </w:pPr>
      <w:r w:rsidRPr="002803A6">
        <w:t>[</w:t>
      </w:r>
      <w:r w:rsidR="00445C49" w:rsidRPr="002803A6">
        <w:t>Anlage</w:t>
      </w:r>
      <w:r w:rsidRPr="002803A6">
        <w:t xml:space="preserve"> XI </w:t>
      </w:r>
      <w:r w:rsidR="00445C49" w:rsidRPr="002803A6">
        <w:t>folgt]</w:t>
      </w:r>
    </w:p>
    <w:p w:rsidR="00701A18" w:rsidRPr="002803A6" w:rsidRDefault="00701A18" w:rsidP="00701A18">
      <w:pPr>
        <w:jc w:val="left"/>
      </w:pPr>
    </w:p>
    <w:p w:rsidR="00701A18" w:rsidRPr="002803A6" w:rsidRDefault="00701A18" w:rsidP="00701A18">
      <w:pPr>
        <w:jc w:val="left"/>
        <w:sectPr w:rsidR="00701A18" w:rsidRPr="002803A6" w:rsidSect="00823234">
          <w:headerReference w:type="default" r:id="rId23"/>
          <w:pgSz w:w="11907" w:h="16840" w:code="9"/>
          <w:pgMar w:top="510" w:right="1134" w:bottom="1134" w:left="1134" w:header="510" w:footer="680" w:gutter="0"/>
          <w:pgNumType w:start="1"/>
          <w:cols w:space="720"/>
          <w:titlePg/>
        </w:sectPr>
      </w:pPr>
    </w:p>
    <w:p w:rsidR="00701A18" w:rsidRPr="002803A6" w:rsidRDefault="00701A18" w:rsidP="00701A18">
      <w:pPr>
        <w:jc w:val="center"/>
      </w:pPr>
      <w:r w:rsidRPr="002803A6">
        <w:lastRenderedPageBreak/>
        <w:t>C/53/INF/4</w:t>
      </w:r>
    </w:p>
    <w:p w:rsidR="00701A18" w:rsidRPr="002803A6" w:rsidRDefault="00701A18" w:rsidP="00701A18">
      <w:pPr>
        <w:jc w:val="center"/>
      </w:pPr>
    </w:p>
    <w:p w:rsidR="00701A18" w:rsidRPr="002803A6" w:rsidRDefault="00445C49" w:rsidP="00701A18">
      <w:pPr>
        <w:jc w:val="center"/>
      </w:pPr>
      <w:r w:rsidRPr="002803A6">
        <w:t>ANLAGE</w:t>
      </w:r>
      <w:r w:rsidR="00701A18" w:rsidRPr="002803A6">
        <w:t xml:space="preserve"> XI</w:t>
      </w:r>
    </w:p>
    <w:p w:rsidR="00701A18" w:rsidRPr="002803A6" w:rsidRDefault="00701A18" w:rsidP="00701A18">
      <w:pPr>
        <w:jc w:val="center"/>
      </w:pPr>
    </w:p>
    <w:p w:rsidR="00701A18" w:rsidRPr="002803A6" w:rsidRDefault="00701A18" w:rsidP="00701A18">
      <w:pPr>
        <w:jc w:val="center"/>
      </w:pPr>
    </w:p>
    <w:p w:rsidR="00982C5C" w:rsidRPr="002803A6" w:rsidRDefault="00982C5C" w:rsidP="00982C5C">
      <w:pPr>
        <w:jc w:val="center"/>
      </w:pPr>
      <w:r w:rsidRPr="002803A6">
        <w:t>POLEN</w:t>
      </w:r>
    </w:p>
    <w:p w:rsidR="00982C5C" w:rsidRPr="002803A6" w:rsidRDefault="00982C5C" w:rsidP="00982C5C">
      <w:pPr>
        <w:tabs>
          <w:tab w:val="left" w:pos="4962"/>
        </w:tabs>
        <w:jc w:val="center"/>
        <w:rPr>
          <w:rFonts w:cs="Arial"/>
        </w:rPr>
      </w:pPr>
      <w:r w:rsidRPr="002803A6">
        <w:t>Berichtszeitraum: 1. September 2018 – 31. August 2019</w:t>
      </w:r>
    </w:p>
    <w:p w:rsidR="00982C5C" w:rsidRPr="002803A6" w:rsidRDefault="00982C5C" w:rsidP="00982C5C">
      <w:pPr>
        <w:rPr>
          <w:rFonts w:cs="Arial"/>
        </w:rPr>
      </w:pPr>
    </w:p>
    <w:p w:rsidR="00982C5C" w:rsidRPr="002803A6" w:rsidRDefault="00982C5C" w:rsidP="00982C5C">
      <w:pPr>
        <w:rPr>
          <w:rFonts w:cs="Arial"/>
        </w:rPr>
      </w:pPr>
    </w:p>
    <w:p w:rsidR="00982C5C" w:rsidRPr="002803A6" w:rsidRDefault="00982C5C" w:rsidP="00982C5C">
      <w:pPr>
        <w:rPr>
          <w:rFonts w:cs="Arial"/>
        </w:rPr>
      </w:pPr>
      <w:r w:rsidRPr="002803A6">
        <w:t>I.</w:t>
      </w:r>
      <w:r w:rsidRPr="002803A6">
        <w:tab/>
        <w:t>SORTENSCHUTZ</w:t>
      </w:r>
    </w:p>
    <w:p w:rsidR="00982C5C" w:rsidRPr="002803A6" w:rsidRDefault="00982C5C" w:rsidP="00982C5C">
      <w:pPr>
        <w:rPr>
          <w:rFonts w:cs="Arial"/>
          <w:u w:val="single"/>
        </w:rPr>
      </w:pPr>
    </w:p>
    <w:p w:rsidR="00982C5C" w:rsidRPr="002803A6" w:rsidRDefault="00982C5C" w:rsidP="00982C5C">
      <w:pPr>
        <w:rPr>
          <w:rFonts w:cs="Arial"/>
          <w:u w:val="single"/>
        </w:rPr>
      </w:pPr>
      <w:r w:rsidRPr="002803A6">
        <w:t>1.</w:t>
      </w:r>
      <w:r w:rsidRPr="002803A6">
        <w:tab/>
      </w:r>
      <w:r w:rsidRPr="002803A6">
        <w:rPr>
          <w:u w:val="single"/>
        </w:rPr>
        <w:t>Lage auf dem Gebiet der Gesetzgebung</w:t>
      </w:r>
    </w:p>
    <w:p w:rsidR="00982C5C" w:rsidRPr="002803A6" w:rsidRDefault="00982C5C" w:rsidP="00982C5C">
      <w:pPr>
        <w:rPr>
          <w:rFonts w:cs="Arial"/>
        </w:rPr>
      </w:pPr>
    </w:p>
    <w:p w:rsidR="00982C5C" w:rsidRPr="002803A6" w:rsidRDefault="00982C5C" w:rsidP="00982C5C">
      <w:pPr>
        <w:rPr>
          <w:rFonts w:cs="Arial"/>
        </w:rPr>
      </w:pPr>
      <w:r w:rsidRPr="002803A6">
        <w:t xml:space="preserve">Das Gesetz über den Rechtsschutz von Pflanzensorten vom 26. Juni 2003 (konsolidierter Wortlaut: POJ 2018, Punkt 432) bildet die gesetzliche Grundlage für das nationale Züchterrechtsschutzsystem in Polen. </w:t>
      </w:r>
    </w:p>
    <w:p w:rsidR="00982C5C" w:rsidRPr="002803A6" w:rsidRDefault="00982C5C" w:rsidP="00982C5C">
      <w:pPr>
        <w:rPr>
          <w:rFonts w:cs="Arial"/>
        </w:rPr>
      </w:pPr>
    </w:p>
    <w:p w:rsidR="00982C5C" w:rsidRPr="002803A6" w:rsidRDefault="00982C5C" w:rsidP="00982C5C">
      <w:pPr>
        <w:rPr>
          <w:rFonts w:cs="Arial"/>
        </w:rPr>
      </w:pPr>
      <w:r w:rsidRPr="002803A6">
        <w:t xml:space="preserve">Das polnische Sortenschutzgesetz beruht auf der Akte von 1991 des UPOV-Übereinkommens. Seit dem </w:t>
      </w:r>
      <w:r w:rsidR="00A605CB" w:rsidRPr="002803A6">
        <w:br/>
      </w:r>
      <w:r w:rsidRPr="002803A6">
        <w:t>1. November 2000 können alle Pflanzengattungen und -arten in Polen züchterrechtlich geschützt werden.</w:t>
      </w:r>
    </w:p>
    <w:p w:rsidR="00982C5C" w:rsidRPr="002803A6" w:rsidRDefault="00982C5C" w:rsidP="00982C5C">
      <w:pPr>
        <w:rPr>
          <w:rFonts w:cs="Arial"/>
        </w:rPr>
      </w:pPr>
    </w:p>
    <w:p w:rsidR="00982C5C" w:rsidRPr="002803A6" w:rsidRDefault="00982C5C" w:rsidP="00982C5C">
      <w:pPr>
        <w:rPr>
          <w:rFonts w:cs="Arial"/>
        </w:rPr>
      </w:pPr>
      <w:r w:rsidRPr="002803A6">
        <w:t xml:space="preserve">Hinsichtlich der Gebühren ist der </w:t>
      </w:r>
      <w:r w:rsidR="002803A6" w:rsidRPr="002803A6">
        <w:t>Erlass</w:t>
      </w:r>
      <w:r w:rsidRPr="002803A6">
        <w:t xml:space="preserve"> des Ministers für Landwirtschaft und ländliche Entwicklung vom 17. Februar 2004 über die Gebührensätze für die Einreichung eines Antrags auf Erteilung des Sortenschutzes, die DUS-Prüfung und die Erteilung und Aufrechterhaltung der ausschließlichen Rechtstitel </w:t>
      </w:r>
      <w:hyperlink r:id="rId24" w:tgtFrame="_blank" w:history="1">
        <w:r w:rsidRPr="002803A6">
          <w:t>(POJ Nr. 60/2004, Punkt 567</w:t>
        </w:r>
      </w:hyperlink>
      <w:r w:rsidRPr="002803A6">
        <w:t xml:space="preserve">; POJ </w:t>
      </w:r>
      <w:hyperlink r:id="rId25" w:tgtFrame="_blank" w:history="1">
        <w:r w:rsidRPr="002803A6">
          <w:t>von 2015, Punkt 2166)</w:t>
        </w:r>
      </w:hyperlink>
      <w:r w:rsidRPr="002803A6">
        <w:t xml:space="preserve"> in Kraft.</w:t>
      </w:r>
    </w:p>
    <w:p w:rsidR="00982C5C" w:rsidRPr="002803A6" w:rsidRDefault="00982C5C" w:rsidP="00982C5C">
      <w:pPr>
        <w:rPr>
          <w:rFonts w:cs="Arial"/>
        </w:rPr>
      </w:pPr>
    </w:p>
    <w:p w:rsidR="00982C5C" w:rsidRPr="002803A6" w:rsidRDefault="00982C5C" w:rsidP="00982C5C">
      <w:pPr>
        <w:rPr>
          <w:rFonts w:cs="Arial"/>
        </w:rPr>
      </w:pPr>
      <w:r w:rsidRPr="002803A6">
        <w:t>Polen wurde am 11. November 1989 Mitglied der UPOV und trat der Akte von 1991 des UPOV-Übereinkommens am 15. August 2003 als vierundzwanzigster Staat bei.</w:t>
      </w:r>
    </w:p>
    <w:p w:rsidR="00982C5C" w:rsidRPr="002803A6" w:rsidRDefault="00982C5C" w:rsidP="00982C5C">
      <w:pPr>
        <w:rPr>
          <w:rFonts w:cs="Arial"/>
        </w:rPr>
      </w:pPr>
    </w:p>
    <w:p w:rsidR="00982C5C" w:rsidRPr="002803A6" w:rsidRDefault="00982C5C" w:rsidP="00982C5C">
      <w:pPr>
        <w:rPr>
          <w:rFonts w:cs="Arial"/>
        </w:rPr>
      </w:pPr>
    </w:p>
    <w:p w:rsidR="00982C5C" w:rsidRPr="002803A6" w:rsidRDefault="00982C5C" w:rsidP="00982C5C">
      <w:pPr>
        <w:rPr>
          <w:rFonts w:cs="Arial"/>
          <w:u w:val="single"/>
        </w:rPr>
      </w:pPr>
      <w:r w:rsidRPr="002803A6">
        <w:t>2.</w:t>
      </w:r>
      <w:r w:rsidRPr="002803A6">
        <w:tab/>
      </w:r>
      <w:r w:rsidRPr="002803A6">
        <w:rPr>
          <w:u w:val="single"/>
        </w:rPr>
        <w:t>Zusammenarbeit bei der Prüfung</w:t>
      </w:r>
    </w:p>
    <w:p w:rsidR="00982C5C" w:rsidRPr="004547F1" w:rsidRDefault="00982C5C" w:rsidP="00982C5C">
      <w:pPr>
        <w:rPr>
          <w:rFonts w:cs="Arial"/>
        </w:rPr>
      </w:pPr>
    </w:p>
    <w:p w:rsidR="00982C5C" w:rsidRPr="002803A6" w:rsidRDefault="00982C5C" w:rsidP="00982C5C">
      <w:pPr>
        <w:rPr>
          <w:rFonts w:cs="Arial"/>
          <w:color w:val="000000"/>
        </w:rPr>
      </w:pPr>
      <w:r w:rsidRPr="002803A6">
        <w:rPr>
          <w:color w:val="000000"/>
        </w:rPr>
        <w:t xml:space="preserve">Das Forschungszentrum Polens für Zuchtsortenprüfung (COBORU) in </w:t>
      </w:r>
      <w:proofErr w:type="spellStart"/>
      <w:r w:rsidRPr="002803A6">
        <w:rPr>
          <w:color w:val="000000"/>
        </w:rPr>
        <w:t>Słupia</w:t>
      </w:r>
      <w:proofErr w:type="spellEnd"/>
      <w:r w:rsidRPr="002803A6">
        <w:rPr>
          <w:color w:val="000000"/>
        </w:rPr>
        <w:t xml:space="preserve"> </w:t>
      </w:r>
      <w:proofErr w:type="spellStart"/>
      <w:r w:rsidRPr="002803A6">
        <w:rPr>
          <w:color w:val="000000"/>
        </w:rPr>
        <w:t>Wielka</w:t>
      </w:r>
      <w:proofErr w:type="spellEnd"/>
      <w:r w:rsidRPr="002803A6">
        <w:rPr>
          <w:color w:val="000000"/>
        </w:rPr>
        <w:t xml:space="preserve"> arbeitet auf dem Gebiet der technischen Prüfung weiterhin mit verschiedenen Ländern zusammen.</w:t>
      </w:r>
    </w:p>
    <w:p w:rsidR="00982C5C" w:rsidRPr="002803A6" w:rsidRDefault="00982C5C" w:rsidP="00982C5C">
      <w:pPr>
        <w:rPr>
          <w:rFonts w:cs="Arial"/>
        </w:rPr>
      </w:pPr>
    </w:p>
    <w:p w:rsidR="00982C5C" w:rsidRPr="002803A6" w:rsidRDefault="00982C5C" w:rsidP="00982C5C">
      <w:pPr>
        <w:rPr>
          <w:rFonts w:cs="Arial"/>
        </w:rPr>
      </w:pPr>
      <w:r w:rsidRPr="002803A6">
        <w:t xml:space="preserve">Polen verfügt über bilaterale Vereinbarungen für die DUS-Prüfung mit der Slowakei, der Tschechischen Republik und Ungarn. Unilaterale Vereinbarungen sind mit Belarus, Estland, Lettland, Litauen, Rumänien, der Russischen Föderation, Slowenien und der Ukraine in Kraft. </w:t>
      </w:r>
    </w:p>
    <w:p w:rsidR="00982C5C" w:rsidRPr="004547F1" w:rsidRDefault="00982C5C" w:rsidP="00982C5C">
      <w:pPr>
        <w:rPr>
          <w:rFonts w:cs="Arial"/>
        </w:rPr>
      </w:pPr>
    </w:p>
    <w:p w:rsidR="00982C5C" w:rsidRPr="002803A6" w:rsidRDefault="00982C5C" w:rsidP="00982C5C">
      <w:pPr>
        <w:rPr>
          <w:rFonts w:cs="Arial"/>
        </w:rPr>
      </w:pPr>
      <w:r w:rsidRPr="002803A6">
        <w:t xml:space="preserve">Im Berichtszeitraum führte Polen DUS-Prüfungen für die Behörden folgender Länder durch: Belgien (2 Sorten), Kroatien (1 Sorte), Tschechische Republik (32 Sorten), Dänemark (1 Sorte), Estland (16 Sorten), Frankreich (1 Sorte), Deutschland (5 Sorten), Ungarn (27 Sorten), Lettland (3 Sorten), Litauen (45 Sorten), Slowakei </w:t>
      </w:r>
      <w:r w:rsidR="00A605CB" w:rsidRPr="002803A6">
        <w:br/>
      </w:r>
      <w:r w:rsidRPr="002803A6">
        <w:t>(1 Sorte), Slowenien (4 Sorten), Schweden (4 Sorten) sowie für das CPVO (64 Sorten).</w:t>
      </w:r>
    </w:p>
    <w:p w:rsidR="00982C5C" w:rsidRPr="004547F1" w:rsidRDefault="00982C5C" w:rsidP="00982C5C">
      <w:pPr>
        <w:rPr>
          <w:rFonts w:cs="Arial"/>
        </w:rPr>
      </w:pPr>
    </w:p>
    <w:p w:rsidR="00982C5C" w:rsidRPr="002803A6" w:rsidRDefault="00982C5C" w:rsidP="00982C5C">
      <w:pPr>
        <w:rPr>
          <w:rFonts w:cs="Arial"/>
        </w:rPr>
      </w:pPr>
      <w:r w:rsidRPr="002803A6">
        <w:t>Diese Prüfungen betrafen verschiedene landwirtschaftliche Arten (112 Sorten), Gemüsearten (16 Sorten), Zierarten (40 Sorten) und Obstarten (38 Sorten). Insgesamt wurden 206 Sorten im Auftrag oben genannter Behörden geprüft.</w:t>
      </w:r>
    </w:p>
    <w:p w:rsidR="00982C5C" w:rsidRPr="002803A6" w:rsidRDefault="00982C5C" w:rsidP="00982C5C">
      <w:pPr>
        <w:rPr>
          <w:rFonts w:cs="Arial"/>
        </w:rPr>
      </w:pPr>
    </w:p>
    <w:p w:rsidR="00982C5C" w:rsidRPr="002803A6" w:rsidRDefault="00982C5C" w:rsidP="00982C5C">
      <w:pPr>
        <w:rPr>
          <w:rFonts w:cs="Arial"/>
          <w:color w:val="000000"/>
        </w:rPr>
      </w:pPr>
      <w:r w:rsidRPr="002803A6">
        <w:rPr>
          <w:color w:val="000000"/>
        </w:rPr>
        <w:t xml:space="preserve">Wie in den Vorjahren haben einige Behörden, nämlich: </w:t>
      </w:r>
      <w:r w:rsidRPr="002803A6">
        <w:t>Bosnien-Herzegowina, CPVO, Dänemark, Estland, Finnland, Frankreich, Iran, Kroatien, Lettland, Litauen, Österreich, Russische Föderation, Serbien, Tschechische Republik, Türkei und das Vereinigte Königreich die Ergebnisse der technischen Prüfung vom COBORU als Grundlage für ihre Entscheidungen bei nationalen Verfahren übernommen.</w:t>
      </w:r>
    </w:p>
    <w:p w:rsidR="00982C5C" w:rsidRPr="002803A6" w:rsidRDefault="00982C5C" w:rsidP="00982C5C">
      <w:pPr>
        <w:rPr>
          <w:rFonts w:cs="Arial"/>
        </w:rPr>
      </w:pPr>
    </w:p>
    <w:p w:rsidR="00982C5C" w:rsidRPr="002803A6" w:rsidRDefault="00982C5C" w:rsidP="00982C5C">
      <w:pPr>
        <w:rPr>
          <w:rFonts w:cs="Arial"/>
        </w:rPr>
      </w:pPr>
      <w:r w:rsidRPr="002803A6">
        <w:t>Polen beteiligte sich aktiv an der Arbeit zur Ausarbeitung des technischen Protokolls bei den vom CPVO organisierten Tagungen.</w:t>
      </w:r>
    </w:p>
    <w:p w:rsidR="00982C5C" w:rsidRPr="002803A6" w:rsidRDefault="00982C5C" w:rsidP="00982C5C">
      <w:pPr>
        <w:rPr>
          <w:rFonts w:cs="Arial"/>
        </w:rPr>
      </w:pPr>
    </w:p>
    <w:p w:rsidR="00982C5C" w:rsidRPr="004547F1" w:rsidRDefault="00982C5C" w:rsidP="00982C5C">
      <w:pPr>
        <w:rPr>
          <w:rFonts w:cs="Arial"/>
        </w:rPr>
      </w:pPr>
    </w:p>
    <w:p w:rsidR="00982C5C" w:rsidRPr="002803A6" w:rsidRDefault="00982C5C" w:rsidP="00982C5C">
      <w:pPr>
        <w:rPr>
          <w:rFonts w:cs="Arial"/>
          <w:u w:val="single"/>
        </w:rPr>
      </w:pPr>
      <w:r w:rsidRPr="002803A6">
        <w:t>3. und 4.</w:t>
      </w:r>
      <w:r w:rsidRPr="002803A6">
        <w:tab/>
      </w:r>
      <w:r w:rsidRPr="002803A6">
        <w:rPr>
          <w:u w:val="single"/>
        </w:rPr>
        <w:t>Lage auf dem Gebiet der Verwaltung und der Technik</w:t>
      </w:r>
    </w:p>
    <w:p w:rsidR="00982C5C" w:rsidRPr="002803A6" w:rsidRDefault="00982C5C" w:rsidP="00982C5C">
      <w:pPr>
        <w:rPr>
          <w:rFonts w:cs="Arial"/>
        </w:rPr>
      </w:pPr>
    </w:p>
    <w:p w:rsidR="00982C5C" w:rsidRPr="002803A6" w:rsidRDefault="00982C5C" w:rsidP="00982C5C">
      <w:pPr>
        <w:rPr>
          <w:rFonts w:cs="Arial"/>
        </w:rPr>
      </w:pPr>
      <w:r w:rsidRPr="002803A6">
        <w:t xml:space="preserve">Die Sortenprüfungstätigkeit des COBORU auf dem Gebiet der DUS-Prüfung wird in 13 über das ganze Land verteilten Sortenprüfungsstationen durchgeführt und im Falle von Obstpflanzen auch im Forschungsinstitut für Blumenzucht in </w:t>
      </w:r>
      <w:proofErr w:type="spellStart"/>
      <w:r w:rsidRPr="002803A6">
        <w:t>Skierniewice</w:t>
      </w:r>
      <w:proofErr w:type="spellEnd"/>
      <w:r w:rsidRPr="002803A6">
        <w:t>.</w:t>
      </w:r>
    </w:p>
    <w:p w:rsidR="00982C5C" w:rsidRPr="004547F1" w:rsidRDefault="00982C5C" w:rsidP="00982C5C">
      <w:pPr>
        <w:rPr>
          <w:rFonts w:cs="Arial"/>
        </w:rPr>
      </w:pPr>
    </w:p>
    <w:p w:rsidR="00982C5C" w:rsidRPr="002803A6" w:rsidRDefault="00982C5C" w:rsidP="00982C5C">
      <w:pPr>
        <w:rPr>
          <w:rFonts w:cs="Arial"/>
        </w:rPr>
      </w:pPr>
      <w:r w:rsidRPr="002803A6">
        <w:t>Im Jahr 2018 wurden 10 182 Sorten von 205 Pf</w:t>
      </w:r>
      <w:r w:rsidR="00A605CB" w:rsidRPr="002803A6">
        <w:t>lanzenarten geprüft (darunter 9 </w:t>
      </w:r>
      <w:r w:rsidRPr="002803A6">
        <w:t xml:space="preserve">173 Sorten in Lebendvergleichssammlungen und 1 009 Kandidatensorten). </w:t>
      </w:r>
    </w:p>
    <w:p w:rsidR="00982C5C" w:rsidRPr="002803A6" w:rsidRDefault="00982C5C" w:rsidP="00982C5C">
      <w:pPr>
        <w:rPr>
          <w:rFonts w:cs="Arial"/>
        </w:rPr>
      </w:pPr>
    </w:p>
    <w:p w:rsidR="00982C5C" w:rsidRPr="002803A6" w:rsidRDefault="00982C5C" w:rsidP="00982C5C">
      <w:pPr>
        <w:rPr>
          <w:rFonts w:cs="Arial"/>
        </w:rPr>
      </w:pPr>
      <w:r w:rsidRPr="002803A6">
        <w:t>Die nachstehende Abbildung weist die Zahl der in Polen geprüften Sorten nach Pflanzenkategorien aus.</w:t>
      </w:r>
    </w:p>
    <w:p w:rsidR="00982C5C" w:rsidRPr="002803A6" w:rsidRDefault="00982C5C" w:rsidP="00982C5C">
      <w:pPr>
        <w:rPr>
          <w:rFonts w:cs="Arial"/>
        </w:rPr>
      </w:pPr>
    </w:p>
    <w:p w:rsidR="00982C5C" w:rsidRPr="002803A6" w:rsidRDefault="00982C5C" w:rsidP="00982C5C">
      <w:pPr>
        <w:keepNext/>
        <w:jc w:val="center"/>
        <w:rPr>
          <w:rFonts w:cs="Arial"/>
        </w:rPr>
      </w:pPr>
      <w:r w:rsidRPr="002803A6">
        <w:lastRenderedPageBreak/>
        <w:t>Zahl der in der DUS-Prüfung befindlichen Sorten im Jahr 2018</w:t>
      </w:r>
    </w:p>
    <w:p w:rsidR="00982C5C" w:rsidRPr="002803A6" w:rsidRDefault="00982C5C" w:rsidP="00982C5C">
      <w:pPr>
        <w:keepNext/>
        <w:jc w:val="center"/>
        <w:rPr>
          <w:rFonts w:cs="Arial"/>
        </w:rPr>
      </w:pPr>
    </w:p>
    <w:p w:rsidR="00982C5C" w:rsidRPr="002803A6" w:rsidRDefault="00982C5C" w:rsidP="00982C5C">
      <w:pPr>
        <w:rPr>
          <w:rFonts w:cs="Arial"/>
        </w:rPr>
      </w:pPr>
      <w:r w:rsidRPr="002803A6">
        <w:rPr>
          <w:noProof/>
          <w:lang w:val="en-US"/>
        </w:rPr>
        <w:drawing>
          <wp:inline distT="0" distB="0" distL="0" distR="0" wp14:anchorId="5F3B99C6" wp14:editId="0C871F6B">
            <wp:extent cx="5876925" cy="36004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877746" cy="3600953"/>
                    </a:xfrm>
                    <a:prstGeom prst="rect">
                      <a:avLst/>
                    </a:prstGeom>
                  </pic:spPr>
                </pic:pic>
              </a:graphicData>
            </a:graphic>
          </wp:inline>
        </w:drawing>
      </w:r>
    </w:p>
    <w:p w:rsidR="00982C5C" w:rsidRPr="004547F1" w:rsidRDefault="00982C5C" w:rsidP="00982C5C">
      <w:pPr>
        <w:rPr>
          <w:rFonts w:cs="Arial"/>
        </w:rPr>
      </w:pPr>
    </w:p>
    <w:p w:rsidR="00982C5C" w:rsidRPr="002803A6" w:rsidRDefault="00982C5C" w:rsidP="00982C5C">
      <w:pPr>
        <w:rPr>
          <w:rFonts w:cs="Arial"/>
        </w:rPr>
      </w:pPr>
      <w:r w:rsidRPr="002803A6">
        <w:t>2018 gingen beim COBORU insgesamt 103 Anträge auf Erteilung nationaler Züchterrechte ein, was einen Rückgang um 7 Anträge im Vergleich zum Vorjahr darstellt.</w:t>
      </w:r>
    </w:p>
    <w:p w:rsidR="00982C5C" w:rsidRPr="002803A6" w:rsidRDefault="00982C5C" w:rsidP="00982C5C">
      <w:pPr>
        <w:rPr>
          <w:rFonts w:cs="Arial"/>
        </w:rPr>
      </w:pPr>
    </w:p>
    <w:p w:rsidR="00982C5C" w:rsidRPr="002803A6" w:rsidRDefault="00982C5C" w:rsidP="00982C5C">
      <w:pPr>
        <w:rPr>
          <w:rFonts w:cs="Arial"/>
        </w:rPr>
      </w:pPr>
      <w:r w:rsidRPr="002803A6">
        <w:t>Vom 1. Januar bis 1. September 2019 wurden 112 neue Anträge auf Erteilung nationaler Züchterrechte eingereicht, darunter 59 aus dem Inland und 53 aus dem Ausland. Es wurden 25 Anträge mehr als im vorhergehenden Berichtszeitraum (87) eingereicht.</w:t>
      </w:r>
    </w:p>
    <w:p w:rsidR="00982C5C" w:rsidRPr="004547F1" w:rsidRDefault="00982C5C" w:rsidP="00982C5C">
      <w:pPr>
        <w:rPr>
          <w:rFonts w:cs="Arial"/>
        </w:rPr>
      </w:pPr>
    </w:p>
    <w:p w:rsidR="00982C5C" w:rsidRPr="002803A6" w:rsidRDefault="00982C5C" w:rsidP="00982C5C">
      <w:r w:rsidRPr="002803A6">
        <w:t xml:space="preserve">Im Jahr 2018 erteilte das COBORU 91 nationale Sortenschutztitel (17 mehr als 2017). Ende 2018 waren 1 229 nationale Schutztitel in Kraft, was im Vergleich zum Vorjahr einen Anstieg um 51 Sorten bedeutet. </w:t>
      </w:r>
    </w:p>
    <w:p w:rsidR="00982C5C" w:rsidRPr="002803A6" w:rsidRDefault="00982C5C" w:rsidP="00982C5C">
      <w:pPr>
        <w:rPr>
          <w:rFonts w:cs="Arial"/>
        </w:rPr>
      </w:pPr>
    </w:p>
    <w:p w:rsidR="00982C5C" w:rsidRPr="002803A6" w:rsidRDefault="00982C5C" w:rsidP="00982C5C">
      <w:pPr>
        <w:rPr>
          <w:rFonts w:cs="Arial"/>
        </w:rPr>
      </w:pPr>
      <w:r w:rsidRPr="002803A6">
        <w:t>Im Zeitraum vom 1. Januar bis 1. September 2019 wurden 89 nationale Sortenschutztitel erteilt. Insgesamt sind in Polen 1 235 Sorten geschützt (zum 1. September 2019).</w:t>
      </w:r>
    </w:p>
    <w:p w:rsidR="00982C5C" w:rsidRPr="004547F1" w:rsidRDefault="00982C5C" w:rsidP="00982C5C">
      <w:pPr>
        <w:rPr>
          <w:rFonts w:cs="Arial"/>
        </w:rPr>
      </w:pPr>
    </w:p>
    <w:p w:rsidR="00982C5C" w:rsidRPr="002803A6" w:rsidRDefault="00982C5C" w:rsidP="00982C5C">
      <w:pPr>
        <w:rPr>
          <w:rFonts w:cs="Arial"/>
        </w:rPr>
      </w:pPr>
      <w:r w:rsidRPr="002803A6">
        <w:t>Die Einzelheiten der Statistik sind in der nachstehenden Tabelle angegeben.</w:t>
      </w:r>
    </w:p>
    <w:p w:rsidR="00982C5C" w:rsidRPr="002803A6" w:rsidRDefault="00982C5C" w:rsidP="00982C5C">
      <w:pPr>
        <w:rPr>
          <w:rFonts w:cs="Arial"/>
        </w:rPr>
      </w:pPr>
    </w:p>
    <w:p w:rsidR="00982C5C" w:rsidRPr="002803A6" w:rsidRDefault="00982C5C" w:rsidP="00982C5C">
      <w:pPr>
        <w:rPr>
          <w:rFonts w:cs="Arial"/>
        </w:rPr>
      </w:pPr>
      <w:r w:rsidRPr="002803A6">
        <w:t>In der Spalte „Erloschene Schutztitel“ sind keine Sorten enthalten, für die die nationalen Züchterrechte im Berichtszeitraum abgelaufen sind.</w:t>
      </w:r>
    </w:p>
    <w:p w:rsidR="00982C5C" w:rsidRPr="002803A6" w:rsidRDefault="00982C5C" w:rsidP="00982C5C">
      <w:pPr>
        <w:rPr>
          <w:rFonts w:cs="Arial"/>
        </w:rPr>
      </w:pPr>
    </w:p>
    <w:tbl>
      <w:tblPr>
        <w:tblW w:w="9773" w:type="dxa"/>
        <w:tblLayout w:type="fixed"/>
        <w:tblCellMar>
          <w:left w:w="70" w:type="dxa"/>
          <w:right w:w="70" w:type="dxa"/>
        </w:tblCellMar>
        <w:tblLook w:val="0000" w:firstRow="0" w:lastRow="0" w:firstColumn="0" w:lastColumn="0" w:noHBand="0" w:noVBand="0"/>
      </w:tblPr>
      <w:tblGrid>
        <w:gridCol w:w="1630"/>
        <w:gridCol w:w="1052"/>
        <w:gridCol w:w="894"/>
        <w:gridCol w:w="897"/>
        <w:gridCol w:w="1052"/>
        <w:gridCol w:w="894"/>
        <w:gridCol w:w="895"/>
        <w:gridCol w:w="1183"/>
        <w:gridCol w:w="1276"/>
      </w:tblGrid>
      <w:tr w:rsidR="00982C5C" w:rsidRPr="002803A6" w:rsidTr="0057430D">
        <w:tc>
          <w:tcPr>
            <w:tcW w:w="1630" w:type="dxa"/>
            <w:tcBorders>
              <w:top w:val="single" w:sz="4" w:space="0" w:color="auto"/>
              <w:left w:val="single" w:sz="6" w:space="0" w:color="auto"/>
            </w:tcBorders>
          </w:tcPr>
          <w:p w:rsidR="00982C5C" w:rsidRPr="002803A6" w:rsidRDefault="00982C5C" w:rsidP="00E16D6F">
            <w:pPr>
              <w:rPr>
                <w:rFonts w:cs="Arial"/>
              </w:rPr>
            </w:pPr>
          </w:p>
          <w:p w:rsidR="00982C5C" w:rsidRPr="002803A6" w:rsidRDefault="00982C5C" w:rsidP="00E16D6F">
            <w:pPr>
              <w:rPr>
                <w:rFonts w:cs="Arial"/>
              </w:rPr>
            </w:pPr>
            <w:r w:rsidRPr="002803A6">
              <w:t>Pflanze</w:t>
            </w:r>
          </w:p>
          <w:p w:rsidR="00982C5C" w:rsidRPr="002803A6" w:rsidRDefault="00982C5C" w:rsidP="00E16D6F">
            <w:pPr>
              <w:rPr>
                <w:rFonts w:cs="Arial"/>
              </w:rPr>
            </w:pPr>
            <w:r w:rsidRPr="002803A6">
              <w:t>Arten</w:t>
            </w:r>
          </w:p>
        </w:tc>
        <w:tc>
          <w:tcPr>
            <w:tcW w:w="2843" w:type="dxa"/>
            <w:gridSpan w:val="3"/>
            <w:tcBorders>
              <w:top w:val="single" w:sz="4" w:space="0" w:color="auto"/>
              <w:left w:val="single" w:sz="12" w:space="0" w:color="auto"/>
              <w:right w:val="single" w:sz="12" w:space="0" w:color="auto"/>
            </w:tcBorders>
          </w:tcPr>
          <w:p w:rsidR="00982C5C" w:rsidRPr="002803A6" w:rsidRDefault="00982C5C" w:rsidP="00E16D6F">
            <w:pPr>
              <w:jc w:val="center"/>
              <w:rPr>
                <w:rFonts w:cs="Arial"/>
              </w:rPr>
            </w:pPr>
            <w:r w:rsidRPr="002803A6">
              <w:t>Beantragte Züchterrechte</w:t>
            </w:r>
          </w:p>
          <w:p w:rsidR="00982C5C" w:rsidRPr="002803A6" w:rsidRDefault="00982C5C" w:rsidP="00E16D6F">
            <w:pPr>
              <w:jc w:val="center"/>
              <w:rPr>
                <w:rFonts w:cs="Arial"/>
              </w:rPr>
            </w:pPr>
            <w:r w:rsidRPr="002803A6">
              <w:t>1.01. – 1.09.2019</w:t>
            </w:r>
          </w:p>
        </w:tc>
        <w:tc>
          <w:tcPr>
            <w:tcW w:w="2841" w:type="dxa"/>
            <w:gridSpan w:val="3"/>
            <w:tcBorders>
              <w:top w:val="single" w:sz="4" w:space="0" w:color="auto"/>
              <w:left w:val="nil"/>
              <w:right w:val="single" w:sz="12" w:space="0" w:color="auto"/>
            </w:tcBorders>
            <w:shd w:val="clear" w:color="auto" w:fill="FFFFFF"/>
          </w:tcPr>
          <w:p w:rsidR="00982C5C" w:rsidRPr="002803A6" w:rsidRDefault="00982C5C" w:rsidP="00E16D6F">
            <w:pPr>
              <w:jc w:val="center"/>
              <w:rPr>
                <w:rFonts w:cs="Arial"/>
              </w:rPr>
            </w:pPr>
            <w:r w:rsidRPr="002803A6">
              <w:t>Erteilte Züchterrechte</w:t>
            </w:r>
          </w:p>
          <w:p w:rsidR="00982C5C" w:rsidRPr="002803A6" w:rsidRDefault="00982C5C" w:rsidP="00E16D6F">
            <w:pPr>
              <w:jc w:val="center"/>
              <w:rPr>
                <w:rFonts w:cs="Arial"/>
              </w:rPr>
            </w:pPr>
            <w:r w:rsidRPr="002803A6">
              <w:t>1.01. – 1.09.2019</w:t>
            </w:r>
          </w:p>
        </w:tc>
        <w:tc>
          <w:tcPr>
            <w:tcW w:w="1183" w:type="dxa"/>
            <w:tcBorders>
              <w:top w:val="single" w:sz="4" w:space="0" w:color="auto"/>
              <w:left w:val="nil"/>
              <w:right w:val="single" w:sz="12" w:space="0" w:color="auto"/>
            </w:tcBorders>
          </w:tcPr>
          <w:p w:rsidR="00982C5C" w:rsidRPr="002803A6" w:rsidRDefault="0057430D" w:rsidP="00E16D6F">
            <w:pPr>
              <w:jc w:val="center"/>
              <w:rPr>
                <w:rFonts w:cs="Arial"/>
              </w:rPr>
            </w:pPr>
            <w:r w:rsidRPr="002803A6">
              <w:t>Erlosch</w:t>
            </w:r>
            <w:r w:rsidR="00982C5C" w:rsidRPr="002803A6">
              <w:t>ene</w:t>
            </w:r>
          </w:p>
          <w:p w:rsidR="00982C5C" w:rsidRPr="002803A6" w:rsidRDefault="00982C5C" w:rsidP="0057430D">
            <w:pPr>
              <w:jc w:val="center"/>
              <w:rPr>
                <w:rFonts w:cs="Arial"/>
              </w:rPr>
            </w:pPr>
            <w:r w:rsidRPr="002803A6">
              <w:t>Schutztitel</w:t>
            </w:r>
          </w:p>
        </w:tc>
        <w:tc>
          <w:tcPr>
            <w:tcW w:w="1276" w:type="dxa"/>
            <w:tcBorders>
              <w:top w:val="single" w:sz="4" w:space="0" w:color="auto"/>
              <w:left w:val="nil"/>
              <w:right w:val="single" w:sz="6" w:space="0" w:color="auto"/>
            </w:tcBorders>
            <w:shd w:val="clear" w:color="auto" w:fill="FFFFFF"/>
          </w:tcPr>
          <w:p w:rsidR="00982C5C" w:rsidRPr="002803A6" w:rsidRDefault="00982C5C" w:rsidP="00E16D6F">
            <w:pPr>
              <w:jc w:val="center"/>
              <w:rPr>
                <w:rFonts w:cs="Arial"/>
              </w:rPr>
            </w:pPr>
            <w:r w:rsidRPr="002803A6">
              <w:t>Zum 01.09.2019 gültige Schutztitel</w:t>
            </w:r>
          </w:p>
        </w:tc>
      </w:tr>
      <w:tr w:rsidR="00982C5C" w:rsidRPr="002803A6" w:rsidTr="0057430D">
        <w:tc>
          <w:tcPr>
            <w:tcW w:w="1630" w:type="dxa"/>
            <w:tcBorders>
              <w:left w:val="single" w:sz="6" w:space="0" w:color="auto"/>
              <w:right w:val="single" w:sz="12" w:space="0" w:color="auto"/>
            </w:tcBorders>
          </w:tcPr>
          <w:p w:rsidR="00982C5C" w:rsidRPr="002803A6" w:rsidRDefault="00982C5C" w:rsidP="00E16D6F">
            <w:pPr>
              <w:rPr>
                <w:rFonts w:cs="Arial"/>
              </w:rPr>
            </w:pPr>
          </w:p>
        </w:tc>
        <w:tc>
          <w:tcPr>
            <w:tcW w:w="1052" w:type="dxa"/>
            <w:tcBorders>
              <w:top w:val="single" w:sz="6" w:space="0" w:color="auto"/>
              <w:left w:val="nil"/>
              <w:right w:val="single" w:sz="6" w:space="0" w:color="auto"/>
            </w:tcBorders>
          </w:tcPr>
          <w:p w:rsidR="00982C5C" w:rsidRPr="002803A6" w:rsidRDefault="00982C5C" w:rsidP="0057430D">
            <w:pPr>
              <w:jc w:val="center"/>
              <w:rPr>
                <w:rFonts w:cs="Arial"/>
              </w:rPr>
            </w:pPr>
            <w:r w:rsidRPr="002803A6">
              <w:t>Inland</w:t>
            </w:r>
          </w:p>
        </w:tc>
        <w:tc>
          <w:tcPr>
            <w:tcW w:w="894" w:type="dxa"/>
            <w:tcBorders>
              <w:top w:val="single" w:sz="6" w:space="0" w:color="auto"/>
              <w:left w:val="nil"/>
              <w:right w:val="single" w:sz="6" w:space="0" w:color="auto"/>
            </w:tcBorders>
          </w:tcPr>
          <w:p w:rsidR="00982C5C" w:rsidRPr="002803A6" w:rsidRDefault="00982C5C" w:rsidP="0057430D">
            <w:pPr>
              <w:jc w:val="center"/>
              <w:rPr>
                <w:rFonts w:cs="Arial"/>
              </w:rPr>
            </w:pPr>
            <w:r w:rsidRPr="002803A6">
              <w:t>Ausland</w:t>
            </w:r>
          </w:p>
        </w:tc>
        <w:tc>
          <w:tcPr>
            <w:tcW w:w="897" w:type="dxa"/>
            <w:tcBorders>
              <w:top w:val="single" w:sz="6" w:space="0" w:color="auto"/>
              <w:left w:val="nil"/>
              <w:right w:val="single" w:sz="12" w:space="0" w:color="auto"/>
            </w:tcBorders>
          </w:tcPr>
          <w:p w:rsidR="00982C5C" w:rsidRPr="002803A6" w:rsidRDefault="00982C5C" w:rsidP="0057430D">
            <w:pPr>
              <w:jc w:val="center"/>
              <w:rPr>
                <w:rFonts w:cs="Arial"/>
              </w:rPr>
            </w:pPr>
            <w:proofErr w:type="spellStart"/>
            <w:r w:rsidRPr="002803A6">
              <w:t>Insge</w:t>
            </w:r>
            <w:proofErr w:type="spellEnd"/>
            <w:r w:rsidRPr="002803A6">
              <w:t>-samt</w:t>
            </w:r>
          </w:p>
        </w:tc>
        <w:tc>
          <w:tcPr>
            <w:tcW w:w="1052" w:type="dxa"/>
            <w:tcBorders>
              <w:top w:val="single" w:sz="6" w:space="0" w:color="auto"/>
              <w:left w:val="nil"/>
              <w:right w:val="single" w:sz="6" w:space="0" w:color="auto"/>
            </w:tcBorders>
          </w:tcPr>
          <w:p w:rsidR="00982C5C" w:rsidRPr="002803A6" w:rsidRDefault="00982C5C" w:rsidP="0057430D">
            <w:pPr>
              <w:jc w:val="center"/>
              <w:rPr>
                <w:rFonts w:cs="Arial"/>
              </w:rPr>
            </w:pPr>
            <w:r w:rsidRPr="002803A6">
              <w:t>Inland</w:t>
            </w:r>
          </w:p>
        </w:tc>
        <w:tc>
          <w:tcPr>
            <w:tcW w:w="894" w:type="dxa"/>
            <w:tcBorders>
              <w:top w:val="single" w:sz="6" w:space="0" w:color="auto"/>
              <w:left w:val="nil"/>
              <w:right w:val="single" w:sz="6" w:space="0" w:color="auto"/>
            </w:tcBorders>
          </w:tcPr>
          <w:p w:rsidR="00982C5C" w:rsidRPr="002803A6" w:rsidRDefault="00982C5C" w:rsidP="0057430D">
            <w:pPr>
              <w:jc w:val="center"/>
              <w:rPr>
                <w:rFonts w:cs="Arial"/>
              </w:rPr>
            </w:pPr>
            <w:r w:rsidRPr="002803A6">
              <w:t>Ausland</w:t>
            </w:r>
          </w:p>
        </w:tc>
        <w:tc>
          <w:tcPr>
            <w:tcW w:w="895" w:type="dxa"/>
            <w:tcBorders>
              <w:top w:val="single" w:sz="6" w:space="0" w:color="auto"/>
              <w:left w:val="nil"/>
              <w:right w:val="single" w:sz="12" w:space="0" w:color="auto"/>
            </w:tcBorders>
          </w:tcPr>
          <w:p w:rsidR="00982C5C" w:rsidRPr="002803A6" w:rsidRDefault="00982C5C" w:rsidP="0057430D">
            <w:pPr>
              <w:jc w:val="center"/>
              <w:rPr>
                <w:rFonts w:cs="Arial"/>
              </w:rPr>
            </w:pPr>
            <w:proofErr w:type="spellStart"/>
            <w:r w:rsidRPr="002803A6">
              <w:t>Insge</w:t>
            </w:r>
            <w:proofErr w:type="spellEnd"/>
            <w:r w:rsidRPr="002803A6">
              <w:t>-samt</w:t>
            </w:r>
          </w:p>
        </w:tc>
        <w:tc>
          <w:tcPr>
            <w:tcW w:w="1183" w:type="dxa"/>
            <w:tcBorders>
              <w:left w:val="nil"/>
              <w:right w:val="single" w:sz="12" w:space="0" w:color="auto"/>
            </w:tcBorders>
          </w:tcPr>
          <w:p w:rsidR="00982C5C" w:rsidRPr="002803A6" w:rsidRDefault="00982C5C" w:rsidP="00E16D6F">
            <w:pPr>
              <w:rPr>
                <w:rFonts w:cs="Arial"/>
              </w:rPr>
            </w:pPr>
          </w:p>
        </w:tc>
        <w:tc>
          <w:tcPr>
            <w:tcW w:w="1276" w:type="dxa"/>
            <w:tcBorders>
              <w:left w:val="nil"/>
              <w:right w:val="single" w:sz="6" w:space="0" w:color="auto"/>
            </w:tcBorders>
            <w:shd w:val="clear" w:color="auto" w:fill="FFFFFF"/>
          </w:tcPr>
          <w:p w:rsidR="00982C5C" w:rsidRPr="002803A6" w:rsidRDefault="00982C5C" w:rsidP="00E16D6F">
            <w:pPr>
              <w:rPr>
                <w:rFonts w:cs="Arial"/>
              </w:rPr>
            </w:pPr>
          </w:p>
        </w:tc>
      </w:tr>
      <w:tr w:rsidR="00982C5C" w:rsidRPr="002803A6" w:rsidTr="0057430D">
        <w:tc>
          <w:tcPr>
            <w:tcW w:w="1630" w:type="dxa"/>
            <w:tcBorders>
              <w:top w:val="single" w:sz="12" w:space="0" w:color="auto"/>
              <w:left w:val="single" w:sz="6" w:space="0" w:color="auto"/>
              <w:bottom w:val="single" w:sz="6" w:space="0" w:color="auto"/>
              <w:right w:val="single" w:sz="12" w:space="0" w:color="auto"/>
            </w:tcBorders>
          </w:tcPr>
          <w:p w:rsidR="00982C5C" w:rsidRPr="002803A6" w:rsidRDefault="00982C5C" w:rsidP="00E16D6F">
            <w:pPr>
              <w:rPr>
                <w:rFonts w:cs="Arial"/>
              </w:rPr>
            </w:pPr>
            <w:r w:rsidRPr="002803A6">
              <w:t>Landwirtschaft-</w:t>
            </w:r>
            <w:proofErr w:type="spellStart"/>
            <w:r w:rsidRPr="002803A6">
              <w:t>liche</w:t>
            </w:r>
            <w:proofErr w:type="spellEnd"/>
            <w:r w:rsidRPr="002803A6">
              <w:t xml:space="preserve"> Arten</w:t>
            </w:r>
          </w:p>
        </w:tc>
        <w:tc>
          <w:tcPr>
            <w:tcW w:w="1052" w:type="dxa"/>
            <w:tcBorders>
              <w:top w:val="single" w:sz="12" w:space="0" w:color="auto"/>
              <w:left w:val="nil"/>
              <w:bottom w:val="single" w:sz="6" w:space="0" w:color="auto"/>
              <w:right w:val="single" w:sz="6" w:space="0" w:color="auto"/>
            </w:tcBorders>
          </w:tcPr>
          <w:p w:rsidR="00982C5C" w:rsidRPr="002803A6" w:rsidRDefault="00982C5C" w:rsidP="00E16D6F">
            <w:pPr>
              <w:jc w:val="center"/>
              <w:rPr>
                <w:rFonts w:cs="Arial"/>
              </w:rPr>
            </w:pPr>
            <w:r w:rsidRPr="002803A6">
              <w:t>43</w:t>
            </w:r>
          </w:p>
        </w:tc>
        <w:tc>
          <w:tcPr>
            <w:tcW w:w="894" w:type="dxa"/>
            <w:tcBorders>
              <w:top w:val="single" w:sz="12" w:space="0" w:color="auto"/>
              <w:left w:val="single" w:sz="6" w:space="0" w:color="auto"/>
              <w:bottom w:val="single" w:sz="6" w:space="0" w:color="auto"/>
              <w:right w:val="single" w:sz="6" w:space="0" w:color="auto"/>
            </w:tcBorders>
          </w:tcPr>
          <w:p w:rsidR="00982C5C" w:rsidRPr="002803A6" w:rsidRDefault="00982C5C" w:rsidP="00E16D6F">
            <w:pPr>
              <w:jc w:val="center"/>
              <w:rPr>
                <w:rFonts w:cs="Arial"/>
              </w:rPr>
            </w:pPr>
            <w:r w:rsidRPr="002803A6">
              <w:t>4</w:t>
            </w:r>
          </w:p>
        </w:tc>
        <w:tc>
          <w:tcPr>
            <w:tcW w:w="897" w:type="dxa"/>
            <w:tcBorders>
              <w:top w:val="single" w:sz="12" w:space="0" w:color="auto"/>
              <w:left w:val="single" w:sz="6" w:space="0" w:color="auto"/>
              <w:bottom w:val="single" w:sz="6" w:space="0" w:color="auto"/>
              <w:right w:val="single" w:sz="12" w:space="0" w:color="auto"/>
            </w:tcBorders>
            <w:shd w:val="clear" w:color="auto" w:fill="D9D9D9"/>
          </w:tcPr>
          <w:p w:rsidR="00982C5C" w:rsidRPr="002803A6" w:rsidRDefault="00982C5C" w:rsidP="00E16D6F">
            <w:pPr>
              <w:jc w:val="center"/>
              <w:rPr>
                <w:rFonts w:cs="Arial"/>
              </w:rPr>
            </w:pPr>
            <w:r w:rsidRPr="002803A6">
              <w:t>47</w:t>
            </w:r>
          </w:p>
        </w:tc>
        <w:tc>
          <w:tcPr>
            <w:tcW w:w="1052" w:type="dxa"/>
            <w:tcBorders>
              <w:top w:val="single" w:sz="12" w:space="0" w:color="auto"/>
              <w:left w:val="nil"/>
              <w:bottom w:val="single" w:sz="6" w:space="0" w:color="auto"/>
              <w:right w:val="single" w:sz="6" w:space="0" w:color="auto"/>
            </w:tcBorders>
          </w:tcPr>
          <w:p w:rsidR="00982C5C" w:rsidRPr="002803A6" w:rsidRDefault="00982C5C" w:rsidP="00E16D6F">
            <w:pPr>
              <w:jc w:val="center"/>
              <w:rPr>
                <w:rFonts w:cs="Arial"/>
              </w:rPr>
            </w:pPr>
            <w:r w:rsidRPr="002803A6">
              <w:t>56</w:t>
            </w:r>
          </w:p>
        </w:tc>
        <w:tc>
          <w:tcPr>
            <w:tcW w:w="894" w:type="dxa"/>
            <w:tcBorders>
              <w:top w:val="single" w:sz="12" w:space="0" w:color="auto"/>
              <w:left w:val="single" w:sz="6" w:space="0" w:color="auto"/>
              <w:bottom w:val="single" w:sz="6" w:space="0" w:color="auto"/>
              <w:right w:val="single" w:sz="6" w:space="0" w:color="auto"/>
            </w:tcBorders>
          </w:tcPr>
          <w:p w:rsidR="00982C5C" w:rsidRPr="002803A6" w:rsidRDefault="00982C5C" w:rsidP="00E16D6F">
            <w:pPr>
              <w:jc w:val="center"/>
              <w:rPr>
                <w:rFonts w:cs="Arial"/>
              </w:rPr>
            </w:pPr>
            <w:r w:rsidRPr="002803A6">
              <w:t>3</w:t>
            </w:r>
          </w:p>
        </w:tc>
        <w:tc>
          <w:tcPr>
            <w:tcW w:w="895" w:type="dxa"/>
            <w:tcBorders>
              <w:top w:val="single" w:sz="12" w:space="0" w:color="auto"/>
              <w:left w:val="single" w:sz="6" w:space="0" w:color="auto"/>
              <w:bottom w:val="single" w:sz="6" w:space="0" w:color="auto"/>
              <w:right w:val="single" w:sz="12" w:space="0" w:color="auto"/>
            </w:tcBorders>
            <w:shd w:val="clear" w:color="auto" w:fill="D9D9D9"/>
          </w:tcPr>
          <w:p w:rsidR="00982C5C" w:rsidRPr="002803A6" w:rsidRDefault="00982C5C" w:rsidP="00E16D6F">
            <w:pPr>
              <w:jc w:val="center"/>
              <w:rPr>
                <w:rFonts w:cs="Arial"/>
              </w:rPr>
            </w:pPr>
            <w:r w:rsidRPr="002803A6">
              <w:t>59</w:t>
            </w:r>
          </w:p>
        </w:tc>
        <w:tc>
          <w:tcPr>
            <w:tcW w:w="1183" w:type="dxa"/>
            <w:tcBorders>
              <w:top w:val="single" w:sz="12" w:space="0" w:color="auto"/>
              <w:left w:val="nil"/>
              <w:bottom w:val="single" w:sz="6" w:space="0" w:color="auto"/>
              <w:right w:val="single" w:sz="12" w:space="0" w:color="auto"/>
            </w:tcBorders>
          </w:tcPr>
          <w:p w:rsidR="00982C5C" w:rsidRPr="002803A6" w:rsidRDefault="00982C5C" w:rsidP="00E16D6F">
            <w:pPr>
              <w:jc w:val="center"/>
              <w:rPr>
                <w:rFonts w:cs="Arial"/>
              </w:rPr>
            </w:pPr>
            <w:r w:rsidRPr="002803A6">
              <w:t>32</w:t>
            </w:r>
          </w:p>
        </w:tc>
        <w:tc>
          <w:tcPr>
            <w:tcW w:w="1276" w:type="dxa"/>
            <w:tcBorders>
              <w:top w:val="single" w:sz="12" w:space="0" w:color="auto"/>
              <w:left w:val="nil"/>
              <w:bottom w:val="single" w:sz="6" w:space="0" w:color="auto"/>
              <w:right w:val="single" w:sz="6" w:space="0" w:color="auto"/>
            </w:tcBorders>
            <w:shd w:val="clear" w:color="auto" w:fill="D9D9D9"/>
          </w:tcPr>
          <w:p w:rsidR="00982C5C" w:rsidRPr="002803A6" w:rsidRDefault="00982C5C" w:rsidP="00E16D6F">
            <w:pPr>
              <w:jc w:val="center"/>
              <w:rPr>
                <w:rFonts w:cs="Arial"/>
              </w:rPr>
            </w:pPr>
            <w:r w:rsidRPr="002803A6">
              <w:t>695</w:t>
            </w:r>
          </w:p>
        </w:tc>
      </w:tr>
      <w:tr w:rsidR="00982C5C" w:rsidRPr="002803A6" w:rsidTr="0057430D">
        <w:tc>
          <w:tcPr>
            <w:tcW w:w="1630" w:type="dxa"/>
            <w:tcBorders>
              <w:top w:val="single" w:sz="6" w:space="0" w:color="auto"/>
              <w:left w:val="single" w:sz="6" w:space="0" w:color="auto"/>
              <w:bottom w:val="single" w:sz="6" w:space="0" w:color="auto"/>
              <w:right w:val="single" w:sz="12" w:space="0" w:color="auto"/>
            </w:tcBorders>
          </w:tcPr>
          <w:p w:rsidR="00982C5C" w:rsidRPr="002803A6" w:rsidRDefault="00982C5C" w:rsidP="00E16D6F">
            <w:pPr>
              <w:rPr>
                <w:rFonts w:cs="Arial"/>
              </w:rPr>
            </w:pPr>
            <w:r w:rsidRPr="002803A6">
              <w:t>Gemüsearten</w:t>
            </w:r>
          </w:p>
        </w:tc>
        <w:tc>
          <w:tcPr>
            <w:tcW w:w="1052" w:type="dxa"/>
            <w:tcBorders>
              <w:top w:val="single" w:sz="6" w:space="0" w:color="auto"/>
              <w:left w:val="nil"/>
              <w:bottom w:val="single" w:sz="6" w:space="0" w:color="auto"/>
              <w:right w:val="single" w:sz="6" w:space="0" w:color="auto"/>
            </w:tcBorders>
          </w:tcPr>
          <w:p w:rsidR="00982C5C" w:rsidRPr="002803A6" w:rsidRDefault="00982C5C" w:rsidP="00E16D6F">
            <w:pPr>
              <w:jc w:val="center"/>
              <w:rPr>
                <w:rFonts w:cs="Arial"/>
              </w:rPr>
            </w:pPr>
            <w:r w:rsidRPr="002803A6">
              <w:t>3</w:t>
            </w:r>
          </w:p>
        </w:tc>
        <w:tc>
          <w:tcPr>
            <w:tcW w:w="894" w:type="dxa"/>
            <w:tcBorders>
              <w:top w:val="single" w:sz="6" w:space="0" w:color="auto"/>
              <w:left w:val="single" w:sz="6" w:space="0" w:color="auto"/>
              <w:bottom w:val="single" w:sz="6" w:space="0" w:color="auto"/>
              <w:right w:val="single" w:sz="6" w:space="0" w:color="auto"/>
            </w:tcBorders>
          </w:tcPr>
          <w:p w:rsidR="00982C5C" w:rsidRPr="002803A6" w:rsidRDefault="00982C5C" w:rsidP="00E16D6F">
            <w:pPr>
              <w:jc w:val="center"/>
              <w:rPr>
                <w:rFonts w:cs="Arial"/>
              </w:rPr>
            </w:pPr>
            <w:r w:rsidRPr="002803A6">
              <w:t>1</w:t>
            </w:r>
          </w:p>
        </w:tc>
        <w:tc>
          <w:tcPr>
            <w:tcW w:w="897" w:type="dxa"/>
            <w:tcBorders>
              <w:top w:val="single" w:sz="6" w:space="0" w:color="auto"/>
              <w:left w:val="single" w:sz="6" w:space="0" w:color="auto"/>
              <w:bottom w:val="single" w:sz="6" w:space="0" w:color="auto"/>
              <w:right w:val="single" w:sz="12" w:space="0" w:color="auto"/>
            </w:tcBorders>
            <w:shd w:val="clear" w:color="auto" w:fill="D9D9D9"/>
          </w:tcPr>
          <w:p w:rsidR="00982C5C" w:rsidRPr="002803A6" w:rsidRDefault="00982C5C" w:rsidP="00E16D6F">
            <w:pPr>
              <w:jc w:val="center"/>
              <w:rPr>
                <w:rFonts w:cs="Arial"/>
              </w:rPr>
            </w:pPr>
            <w:r w:rsidRPr="002803A6">
              <w:t>4</w:t>
            </w:r>
          </w:p>
        </w:tc>
        <w:tc>
          <w:tcPr>
            <w:tcW w:w="1052" w:type="dxa"/>
            <w:tcBorders>
              <w:top w:val="single" w:sz="6" w:space="0" w:color="auto"/>
              <w:left w:val="nil"/>
              <w:bottom w:val="single" w:sz="6" w:space="0" w:color="auto"/>
              <w:right w:val="single" w:sz="6" w:space="0" w:color="auto"/>
            </w:tcBorders>
          </w:tcPr>
          <w:p w:rsidR="00982C5C" w:rsidRPr="002803A6" w:rsidRDefault="00982C5C" w:rsidP="00E16D6F">
            <w:pPr>
              <w:jc w:val="center"/>
              <w:rPr>
                <w:rFonts w:cs="Arial"/>
              </w:rPr>
            </w:pPr>
            <w:r w:rsidRPr="002803A6">
              <w:t>8</w:t>
            </w:r>
          </w:p>
        </w:tc>
        <w:tc>
          <w:tcPr>
            <w:tcW w:w="894" w:type="dxa"/>
            <w:tcBorders>
              <w:top w:val="single" w:sz="6" w:space="0" w:color="auto"/>
              <w:left w:val="single" w:sz="6" w:space="0" w:color="auto"/>
              <w:bottom w:val="single" w:sz="6" w:space="0" w:color="auto"/>
              <w:right w:val="single" w:sz="6" w:space="0" w:color="auto"/>
            </w:tcBorders>
          </w:tcPr>
          <w:p w:rsidR="00982C5C" w:rsidRPr="002803A6" w:rsidRDefault="00982C5C" w:rsidP="00E16D6F">
            <w:pPr>
              <w:jc w:val="center"/>
              <w:rPr>
                <w:rFonts w:cs="Arial"/>
              </w:rPr>
            </w:pPr>
            <w:r w:rsidRPr="002803A6">
              <w:t>4</w:t>
            </w:r>
          </w:p>
        </w:tc>
        <w:tc>
          <w:tcPr>
            <w:tcW w:w="895" w:type="dxa"/>
            <w:tcBorders>
              <w:top w:val="single" w:sz="6" w:space="0" w:color="auto"/>
              <w:left w:val="single" w:sz="6" w:space="0" w:color="auto"/>
              <w:bottom w:val="single" w:sz="6" w:space="0" w:color="auto"/>
              <w:right w:val="single" w:sz="12" w:space="0" w:color="auto"/>
            </w:tcBorders>
            <w:shd w:val="clear" w:color="auto" w:fill="D9D9D9"/>
          </w:tcPr>
          <w:p w:rsidR="00982C5C" w:rsidRPr="002803A6" w:rsidRDefault="00982C5C" w:rsidP="00E16D6F">
            <w:pPr>
              <w:jc w:val="center"/>
              <w:rPr>
                <w:rFonts w:cs="Arial"/>
              </w:rPr>
            </w:pPr>
            <w:r w:rsidRPr="002803A6">
              <w:t>12</w:t>
            </w:r>
          </w:p>
        </w:tc>
        <w:tc>
          <w:tcPr>
            <w:tcW w:w="1183" w:type="dxa"/>
            <w:tcBorders>
              <w:top w:val="single" w:sz="6" w:space="0" w:color="auto"/>
              <w:left w:val="nil"/>
              <w:bottom w:val="single" w:sz="6" w:space="0" w:color="auto"/>
              <w:right w:val="single" w:sz="12" w:space="0" w:color="auto"/>
            </w:tcBorders>
          </w:tcPr>
          <w:p w:rsidR="00982C5C" w:rsidRPr="002803A6" w:rsidRDefault="00982C5C" w:rsidP="00E16D6F">
            <w:pPr>
              <w:jc w:val="center"/>
              <w:rPr>
                <w:rFonts w:cs="Arial"/>
              </w:rPr>
            </w:pPr>
            <w:r w:rsidRPr="002803A6">
              <w:t>43</w:t>
            </w:r>
          </w:p>
        </w:tc>
        <w:tc>
          <w:tcPr>
            <w:tcW w:w="1276" w:type="dxa"/>
            <w:tcBorders>
              <w:top w:val="single" w:sz="6" w:space="0" w:color="auto"/>
              <w:left w:val="nil"/>
              <w:bottom w:val="single" w:sz="6" w:space="0" w:color="auto"/>
              <w:right w:val="single" w:sz="6" w:space="0" w:color="auto"/>
            </w:tcBorders>
            <w:shd w:val="clear" w:color="auto" w:fill="D9D9D9"/>
          </w:tcPr>
          <w:p w:rsidR="00982C5C" w:rsidRPr="002803A6" w:rsidRDefault="00982C5C" w:rsidP="00E16D6F">
            <w:pPr>
              <w:jc w:val="center"/>
              <w:rPr>
                <w:rFonts w:cs="Arial"/>
              </w:rPr>
            </w:pPr>
            <w:r w:rsidRPr="002803A6">
              <w:t>198</w:t>
            </w:r>
          </w:p>
        </w:tc>
      </w:tr>
      <w:tr w:rsidR="00982C5C" w:rsidRPr="002803A6" w:rsidTr="0057430D">
        <w:tc>
          <w:tcPr>
            <w:tcW w:w="1630" w:type="dxa"/>
            <w:tcBorders>
              <w:top w:val="single" w:sz="6" w:space="0" w:color="auto"/>
              <w:left w:val="single" w:sz="6" w:space="0" w:color="auto"/>
              <w:right w:val="single" w:sz="12" w:space="0" w:color="auto"/>
            </w:tcBorders>
          </w:tcPr>
          <w:p w:rsidR="00982C5C" w:rsidRPr="002803A6" w:rsidRDefault="00982C5C" w:rsidP="00E16D6F">
            <w:pPr>
              <w:rPr>
                <w:rFonts w:cs="Arial"/>
              </w:rPr>
            </w:pPr>
            <w:r w:rsidRPr="002803A6">
              <w:t>Zierarten</w:t>
            </w:r>
          </w:p>
        </w:tc>
        <w:tc>
          <w:tcPr>
            <w:tcW w:w="1052" w:type="dxa"/>
            <w:tcBorders>
              <w:top w:val="single" w:sz="6" w:space="0" w:color="auto"/>
              <w:left w:val="nil"/>
              <w:right w:val="single" w:sz="6" w:space="0" w:color="auto"/>
            </w:tcBorders>
          </w:tcPr>
          <w:p w:rsidR="00982C5C" w:rsidRPr="002803A6" w:rsidRDefault="00982C5C" w:rsidP="00E16D6F">
            <w:pPr>
              <w:jc w:val="center"/>
              <w:rPr>
                <w:rFonts w:cs="Arial"/>
              </w:rPr>
            </w:pPr>
            <w:r w:rsidRPr="002803A6">
              <w:t>12</w:t>
            </w:r>
          </w:p>
        </w:tc>
        <w:tc>
          <w:tcPr>
            <w:tcW w:w="894" w:type="dxa"/>
            <w:tcBorders>
              <w:top w:val="single" w:sz="6" w:space="0" w:color="auto"/>
              <w:left w:val="single" w:sz="6" w:space="0" w:color="auto"/>
              <w:right w:val="single" w:sz="6" w:space="0" w:color="auto"/>
            </w:tcBorders>
          </w:tcPr>
          <w:p w:rsidR="00982C5C" w:rsidRPr="002803A6" w:rsidRDefault="00982C5C" w:rsidP="00E16D6F">
            <w:pPr>
              <w:jc w:val="center"/>
              <w:rPr>
                <w:rFonts w:cs="Arial"/>
              </w:rPr>
            </w:pPr>
            <w:r w:rsidRPr="002803A6">
              <w:t>43</w:t>
            </w:r>
          </w:p>
        </w:tc>
        <w:tc>
          <w:tcPr>
            <w:tcW w:w="897" w:type="dxa"/>
            <w:tcBorders>
              <w:top w:val="single" w:sz="6" w:space="0" w:color="auto"/>
              <w:left w:val="single" w:sz="6" w:space="0" w:color="auto"/>
              <w:right w:val="single" w:sz="12" w:space="0" w:color="auto"/>
            </w:tcBorders>
            <w:shd w:val="clear" w:color="auto" w:fill="D9D9D9"/>
          </w:tcPr>
          <w:p w:rsidR="00982C5C" w:rsidRPr="002803A6" w:rsidRDefault="00982C5C" w:rsidP="00E16D6F">
            <w:pPr>
              <w:jc w:val="center"/>
              <w:rPr>
                <w:rFonts w:cs="Arial"/>
              </w:rPr>
            </w:pPr>
            <w:r w:rsidRPr="002803A6">
              <w:t>55</w:t>
            </w:r>
          </w:p>
        </w:tc>
        <w:tc>
          <w:tcPr>
            <w:tcW w:w="1052" w:type="dxa"/>
            <w:tcBorders>
              <w:top w:val="single" w:sz="6" w:space="0" w:color="auto"/>
              <w:left w:val="nil"/>
              <w:right w:val="single" w:sz="6" w:space="0" w:color="auto"/>
            </w:tcBorders>
          </w:tcPr>
          <w:p w:rsidR="00982C5C" w:rsidRPr="002803A6" w:rsidRDefault="00982C5C" w:rsidP="00E16D6F">
            <w:pPr>
              <w:jc w:val="center"/>
              <w:rPr>
                <w:rFonts w:cs="Arial"/>
              </w:rPr>
            </w:pPr>
            <w:r w:rsidRPr="002803A6">
              <w:t>10</w:t>
            </w:r>
          </w:p>
        </w:tc>
        <w:tc>
          <w:tcPr>
            <w:tcW w:w="894" w:type="dxa"/>
            <w:tcBorders>
              <w:top w:val="single" w:sz="6" w:space="0" w:color="auto"/>
              <w:left w:val="single" w:sz="6" w:space="0" w:color="auto"/>
              <w:right w:val="single" w:sz="6" w:space="0" w:color="auto"/>
            </w:tcBorders>
          </w:tcPr>
          <w:p w:rsidR="00982C5C" w:rsidRPr="002803A6" w:rsidRDefault="00982C5C" w:rsidP="00E16D6F">
            <w:pPr>
              <w:jc w:val="center"/>
              <w:rPr>
                <w:rFonts w:cs="Arial"/>
              </w:rPr>
            </w:pPr>
            <w:r w:rsidRPr="002803A6">
              <w:t>2</w:t>
            </w:r>
          </w:p>
        </w:tc>
        <w:tc>
          <w:tcPr>
            <w:tcW w:w="895" w:type="dxa"/>
            <w:tcBorders>
              <w:top w:val="single" w:sz="6" w:space="0" w:color="auto"/>
              <w:left w:val="single" w:sz="6" w:space="0" w:color="auto"/>
              <w:right w:val="single" w:sz="12" w:space="0" w:color="auto"/>
            </w:tcBorders>
            <w:shd w:val="clear" w:color="auto" w:fill="D9D9D9"/>
          </w:tcPr>
          <w:p w:rsidR="00982C5C" w:rsidRPr="002803A6" w:rsidRDefault="00982C5C" w:rsidP="00E16D6F">
            <w:pPr>
              <w:jc w:val="center"/>
              <w:rPr>
                <w:rFonts w:cs="Arial"/>
              </w:rPr>
            </w:pPr>
            <w:r w:rsidRPr="002803A6">
              <w:t>12</w:t>
            </w:r>
          </w:p>
        </w:tc>
        <w:tc>
          <w:tcPr>
            <w:tcW w:w="1183" w:type="dxa"/>
            <w:tcBorders>
              <w:top w:val="single" w:sz="6" w:space="0" w:color="auto"/>
              <w:left w:val="nil"/>
              <w:right w:val="single" w:sz="12" w:space="0" w:color="auto"/>
            </w:tcBorders>
          </w:tcPr>
          <w:p w:rsidR="00982C5C" w:rsidRPr="002803A6" w:rsidRDefault="00982C5C" w:rsidP="00E16D6F">
            <w:pPr>
              <w:jc w:val="center"/>
              <w:rPr>
                <w:rFonts w:cs="Arial"/>
              </w:rPr>
            </w:pPr>
            <w:r w:rsidRPr="002803A6">
              <w:t>3</w:t>
            </w:r>
          </w:p>
        </w:tc>
        <w:tc>
          <w:tcPr>
            <w:tcW w:w="1276" w:type="dxa"/>
            <w:tcBorders>
              <w:top w:val="single" w:sz="6" w:space="0" w:color="auto"/>
              <w:left w:val="nil"/>
              <w:right w:val="single" w:sz="6" w:space="0" w:color="auto"/>
            </w:tcBorders>
            <w:shd w:val="clear" w:color="auto" w:fill="D9D9D9"/>
          </w:tcPr>
          <w:p w:rsidR="00982C5C" w:rsidRPr="002803A6" w:rsidRDefault="00982C5C" w:rsidP="00E16D6F">
            <w:pPr>
              <w:jc w:val="center"/>
              <w:rPr>
                <w:rFonts w:cs="Arial"/>
              </w:rPr>
            </w:pPr>
            <w:r w:rsidRPr="002803A6">
              <w:t>227</w:t>
            </w:r>
          </w:p>
        </w:tc>
      </w:tr>
      <w:tr w:rsidR="00982C5C" w:rsidRPr="002803A6" w:rsidTr="0057430D">
        <w:tc>
          <w:tcPr>
            <w:tcW w:w="1630" w:type="dxa"/>
            <w:tcBorders>
              <w:top w:val="single" w:sz="6" w:space="0" w:color="auto"/>
              <w:left w:val="single" w:sz="6" w:space="0" w:color="auto"/>
              <w:right w:val="single" w:sz="12" w:space="0" w:color="auto"/>
            </w:tcBorders>
          </w:tcPr>
          <w:p w:rsidR="00982C5C" w:rsidRPr="002803A6" w:rsidRDefault="00982C5C" w:rsidP="00E16D6F">
            <w:pPr>
              <w:rPr>
                <w:rFonts w:cs="Arial"/>
              </w:rPr>
            </w:pPr>
            <w:r w:rsidRPr="002803A6">
              <w:t>Obstarten</w:t>
            </w:r>
          </w:p>
        </w:tc>
        <w:tc>
          <w:tcPr>
            <w:tcW w:w="1052" w:type="dxa"/>
            <w:tcBorders>
              <w:top w:val="single" w:sz="6" w:space="0" w:color="auto"/>
              <w:left w:val="nil"/>
              <w:right w:val="single" w:sz="6" w:space="0" w:color="auto"/>
            </w:tcBorders>
          </w:tcPr>
          <w:p w:rsidR="00982C5C" w:rsidRPr="002803A6" w:rsidRDefault="00982C5C" w:rsidP="00E16D6F">
            <w:pPr>
              <w:jc w:val="center"/>
              <w:rPr>
                <w:rFonts w:cs="Arial"/>
              </w:rPr>
            </w:pPr>
            <w:r w:rsidRPr="002803A6">
              <w:t>1</w:t>
            </w:r>
          </w:p>
        </w:tc>
        <w:tc>
          <w:tcPr>
            <w:tcW w:w="894" w:type="dxa"/>
            <w:tcBorders>
              <w:top w:val="single" w:sz="6" w:space="0" w:color="auto"/>
              <w:left w:val="single" w:sz="6" w:space="0" w:color="auto"/>
              <w:right w:val="single" w:sz="6" w:space="0" w:color="auto"/>
            </w:tcBorders>
          </w:tcPr>
          <w:p w:rsidR="00982C5C" w:rsidRPr="002803A6" w:rsidRDefault="00982C5C" w:rsidP="00E16D6F">
            <w:pPr>
              <w:jc w:val="center"/>
              <w:rPr>
                <w:rFonts w:cs="Arial"/>
              </w:rPr>
            </w:pPr>
            <w:r w:rsidRPr="002803A6">
              <w:t>5</w:t>
            </w:r>
          </w:p>
        </w:tc>
        <w:tc>
          <w:tcPr>
            <w:tcW w:w="897" w:type="dxa"/>
            <w:tcBorders>
              <w:top w:val="single" w:sz="6" w:space="0" w:color="auto"/>
              <w:left w:val="single" w:sz="6" w:space="0" w:color="auto"/>
              <w:right w:val="single" w:sz="12" w:space="0" w:color="auto"/>
            </w:tcBorders>
            <w:shd w:val="clear" w:color="auto" w:fill="D9D9D9"/>
          </w:tcPr>
          <w:p w:rsidR="00982C5C" w:rsidRPr="002803A6" w:rsidRDefault="00982C5C" w:rsidP="00E16D6F">
            <w:pPr>
              <w:jc w:val="center"/>
              <w:rPr>
                <w:rFonts w:cs="Arial"/>
              </w:rPr>
            </w:pPr>
            <w:r w:rsidRPr="002803A6">
              <w:t>6</w:t>
            </w:r>
          </w:p>
        </w:tc>
        <w:tc>
          <w:tcPr>
            <w:tcW w:w="1052" w:type="dxa"/>
            <w:tcBorders>
              <w:top w:val="single" w:sz="6" w:space="0" w:color="auto"/>
              <w:left w:val="nil"/>
              <w:right w:val="single" w:sz="6" w:space="0" w:color="auto"/>
            </w:tcBorders>
          </w:tcPr>
          <w:p w:rsidR="00982C5C" w:rsidRPr="002803A6" w:rsidRDefault="00982C5C" w:rsidP="00E16D6F">
            <w:pPr>
              <w:jc w:val="center"/>
              <w:rPr>
                <w:rFonts w:cs="Arial"/>
              </w:rPr>
            </w:pPr>
            <w:r w:rsidRPr="002803A6">
              <w:t>6</w:t>
            </w:r>
          </w:p>
        </w:tc>
        <w:tc>
          <w:tcPr>
            <w:tcW w:w="894" w:type="dxa"/>
            <w:tcBorders>
              <w:top w:val="single" w:sz="6" w:space="0" w:color="auto"/>
              <w:left w:val="single" w:sz="6" w:space="0" w:color="auto"/>
              <w:right w:val="single" w:sz="6" w:space="0" w:color="auto"/>
            </w:tcBorders>
          </w:tcPr>
          <w:p w:rsidR="00982C5C" w:rsidRPr="002803A6" w:rsidRDefault="00982C5C" w:rsidP="00E16D6F">
            <w:pPr>
              <w:jc w:val="center"/>
              <w:rPr>
                <w:rFonts w:cs="Arial"/>
              </w:rPr>
            </w:pPr>
            <w:r w:rsidRPr="002803A6">
              <w:t>-</w:t>
            </w:r>
          </w:p>
        </w:tc>
        <w:tc>
          <w:tcPr>
            <w:tcW w:w="895" w:type="dxa"/>
            <w:tcBorders>
              <w:top w:val="single" w:sz="6" w:space="0" w:color="auto"/>
              <w:left w:val="single" w:sz="6" w:space="0" w:color="auto"/>
              <w:right w:val="single" w:sz="12" w:space="0" w:color="auto"/>
            </w:tcBorders>
            <w:shd w:val="clear" w:color="auto" w:fill="D9D9D9"/>
          </w:tcPr>
          <w:p w:rsidR="00982C5C" w:rsidRPr="002803A6" w:rsidRDefault="00982C5C" w:rsidP="00E16D6F">
            <w:pPr>
              <w:jc w:val="center"/>
              <w:rPr>
                <w:rFonts w:cs="Arial"/>
              </w:rPr>
            </w:pPr>
            <w:r w:rsidRPr="002803A6">
              <w:t>6</w:t>
            </w:r>
          </w:p>
        </w:tc>
        <w:tc>
          <w:tcPr>
            <w:tcW w:w="1183" w:type="dxa"/>
            <w:tcBorders>
              <w:top w:val="single" w:sz="6" w:space="0" w:color="auto"/>
              <w:left w:val="nil"/>
              <w:right w:val="single" w:sz="12" w:space="0" w:color="auto"/>
            </w:tcBorders>
          </w:tcPr>
          <w:p w:rsidR="00982C5C" w:rsidRPr="002803A6" w:rsidRDefault="00982C5C" w:rsidP="00E16D6F">
            <w:pPr>
              <w:jc w:val="center"/>
              <w:rPr>
                <w:rFonts w:cs="Arial"/>
              </w:rPr>
            </w:pPr>
            <w:r w:rsidRPr="002803A6">
              <w:t>5</w:t>
            </w:r>
          </w:p>
        </w:tc>
        <w:tc>
          <w:tcPr>
            <w:tcW w:w="1276" w:type="dxa"/>
            <w:tcBorders>
              <w:top w:val="single" w:sz="6" w:space="0" w:color="auto"/>
              <w:left w:val="nil"/>
              <w:right w:val="single" w:sz="6" w:space="0" w:color="auto"/>
            </w:tcBorders>
            <w:shd w:val="clear" w:color="auto" w:fill="D9D9D9"/>
          </w:tcPr>
          <w:p w:rsidR="00982C5C" w:rsidRPr="002803A6" w:rsidRDefault="00982C5C" w:rsidP="00E16D6F">
            <w:pPr>
              <w:jc w:val="center"/>
              <w:rPr>
                <w:rFonts w:cs="Arial"/>
              </w:rPr>
            </w:pPr>
            <w:r w:rsidRPr="002803A6">
              <w:t>115</w:t>
            </w:r>
          </w:p>
        </w:tc>
      </w:tr>
      <w:tr w:rsidR="00982C5C" w:rsidRPr="002803A6" w:rsidTr="0057430D">
        <w:tc>
          <w:tcPr>
            <w:tcW w:w="1630" w:type="dxa"/>
            <w:tcBorders>
              <w:top w:val="single" w:sz="12" w:space="0" w:color="auto"/>
              <w:left w:val="single" w:sz="6" w:space="0" w:color="auto"/>
              <w:bottom w:val="single" w:sz="6" w:space="0" w:color="auto"/>
              <w:right w:val="single" w:sz="12" w:space="0" w:color="auto"/>
            </w:tcBorders>
            <w:shd w:val="clear" w:color="auto" w:fill="FFFFFF"/>
          </w:tcPr>
          <w:p w:rsidR="00982C5C" w:rsidRPr="002803A6" w:rsidRDefault="00982C5C" w:rsidP="00E16D6F">
            <w:pPr>
              <w:rPr>
                <w:rFonts w:cs="Arial"/>
              </w:rPr>
            </w:pPr>
            <w:r w:rsidRPr="002803A6">
              <w:rPr>
                <w:b/>
              </w:rPr>
              <w:t>Insgesamt</w:t>
            </w:r>
          </w:p>
        </w:tc>
        <w:tc>
          <w:tcPr>
            <w:tcW w:w="1052" w:type="dxa"/>
            <w:tcBorders>
              <w:top w:val="single" w:sz="12" w:space="0" w:color="auto"/>
              <w:left w:val="nil"/>
              <w:bottom w:val="single" w:sz="6" w:space="0" w:color="auto"/>
              <w:right w:val="single" w:sz="6" w:space="0" w:color="auto"/>
            </w:tcBorders>
            <w:shd w:val="clear" w:color="auto" w:fill="D9D9D9"/>
          </w:tcPr>
          <w:p w:rsidR="00982C5C" w:rsidRPr="002803A6" w:rsidRDefault="00982C5C" w:rsidP="00E16D6F">
            <w:pPr>
              <w:jc w:val="center"/>
              <w:rPr>
                <w:rFonts w:cs="Arial"/>
                <w:b/>
              </w:rPr>
            </w:pPr>
            <w:r w:rsidRPr="002803A6">
              <w:rPr>
                <w:b/>
              </w:rPr>
              <w:t>59</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982C5C" w:rsidRPr="002803A6" w:rsidRDefault="00982C5C" w:rsidP="00E16D6F">
            <w:pPr>
              <w:jc w:val="center"/>
              <w:rPr>
                <w:rFonts w:cs="Arial"/>
                <w:b/>
              </w:rPr>
            </w:pPr>
            <w:r w:rsidRPr="002803A6">
              <w:rPr>
                <w:b/>
              </w:rPr>
              <w:t>53</w:t>
            </w:r>
          </w:p>
        </w:tc>
        <w:tc>
          <w:tcPr>
            <w:tcW w:w="897" w:type="dxa"/>
            <w:tcBorders>
              <w:top w:val="single" w:sz="12" w:space="0" w:color="auto"/>
              <w:left w:val="single" w:sz="6" w:space="0" w:color="auto"/>
              <w:bottom w:val="single" w:sz="6" w:space="0" w:color="auto"/>
              <w:right w:val="single" w:sz="12" w:space="0" w:color="auto"/>
            </w:tcBorders>
            <w:shd w:val="clear" w:color="auto" w:fill="D9D9D9"/>
          </w:tcPr>
          <w:p w:rsidR="00982C5C" w:rsidRPr="002803A6" w:rsidRDefault="00982C5C" w:rsidP="00E16D6F">
            <w:pPr>
              <w:jc w:val="center"/>
              <w:rPr>
                <w:rFonts w:cs="Arial"/>
                <w:b/>
              </w:rPr>
            </w:pPr>
            <w:r w:rsidRPr="002803A6">
              <w:rPr>
                <w:b/>
              </w:rPr>
              <w:t>112</w:t>
            </w:r>
          </w:p>
        </w:tc>
        <w:tc>
          <w:tcPr>
            <w:tcW w:w="1052" w:type="dxa"/>
            <w:tcBorders>
              <w:top w:val="single" w:sz="12" w:space="0" w:color="auto"/>
              <w:left w:val="nil"/>
              <w:bottom w:val="single" w:sz="6" w:space="0" w:color="auto"/>
              <w:right w:val="single" w:sz="6" w:space="0" w:color="auto"/>
            </w:tcBorders>
            <w:shd w:val="clear" w:color="auto" w:fill="D9D9D9"/>
          </w:tcPr>
          <w:p w:rsidR="00982C5C" w:rsidRPr="002803A6" w:rsidRDefault="00982C5C" w:rsidP="00E16D6F">
            <w:pPr>
              <w:jc w:val="center"/>
              <w:rPr>
                <w:rFonts w:cs="Arial"/>
                <w:b/>
              </w:rPr>
            </w:pPr>
            <w:r w:rsidRPr="002803A6">
              <w:rPr>
                <w:b/>
              </w:rPr>
              <w:t>80</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982C5C" w:rsidRPr="002803A6" w:rsidRDefault="00982C5C" w:rsidP="00E16D6F">
            <w:pPr>
              <w:jc w:val="center"/>
              <w:rPr>
                <w:rFonts w:cs="Arial"/>
                <w:b/>
              </w:rPr>
            </w:pPr>
            <w:r w:rsidRPr="002803A6">
              <w:rPr>
                <w:b/>
              </w:rPr>
              <w:t>9</w:t>
            </w:r>
          </w:p>
        </w:tc>
        <w:tc>
          <w:tcPr>
            <w:tcW w:w="895" w:type="dxa"/>
            <w:tcBorders>
              <w:top w:val="single" w:sz="12" w:space="0" w:color="auto"/>
              <w:left w:val="single" w:sz="6" w:space="0" w:color="auto"/>
              <w:bottom w:val="single" w:sz="6" w:space="0" w:color="auto"/>
              <w:right w:val="single" w:sz="12" w:space="0" w:color="auto"/>
            </w:tcBorders>
            <w:shd w:val="clear" w:color="auto" w:fill="D9D9D9"/>
          </w:tcPr>
          <w:p w:rsidR="00982C5C" w:rsidRPr="002803A6" w:rsidRDefault="00982C5C" w:rsidP="00E16D6F">
            <w:pPr>
              <w:jc w:val="center"/>
              <w:rPr>
                <w:rFonts w:cs="Arial"/>
                <w:b/>
              </w:rPr>
            </w:pPr>
            <w:r w:rsidRPr="002803A6">
              <w:rPr>
                <w:b/>
              </w:rPr>
              <w:t>89</w:t>
            </w:r>
          </w:p>
        </w:tc>
        <w:tc>
          <w:tcPr>
            <w:tcW w:w="1183" w:type="dxa"/>
            <w:tcBorders>
              <w:top w:val="single" w:sz="12" w:space="0" w:color="auto"/>
              <w:left w:val="nil"/>
              <w:bottom w:val="single" w:sz="6" w:space="0" w:color="auto"/>
              <w:right w:val="single" w:sz="12" w:space="0" w:color="auto"/>
            </w:tcBorders>
            <w:shd w:val="clear" w:color="auto" w:fill="D9D9D9"/>
          </w:tcPr>
          <w:p w:rsidR="00982C5C" w:rsidRPr="002803A6" w:rsidRDefault="00982C5C" w:rsidP="00E16D6F">
            <w:pPr>
              <w:jc w:val="center"/>
              <w:rPr>
                <w:rFonts w:cs="Arial"/>
                <w:b/>
              </w:rPr>
            </w:pPr>
            <w:r w:rsidRPr="002803A6">
              <w:rPr>
                <w:b/>
              </w:rPr>
              <w:t>83</w:t>
            </w:r>
          </w:p>
        </w:tc>
        <w:tc>
          <w:tcPr>
            <w:tcW w:w="1276" w:type="dxa"/>
            <w:tcBorders>
              <w:top w:val="single" w:sz="12" w:space="0" w:color="auto"/>
              <w:left w:val="nil"/>
              <w:bottom w:val="single" w:sz="6" w:space="0" w:color="auto"/>
              <w:right w:val="single" w:sz="6" w:space="0" w:color="auto"/>
            </w:tcBorders>
            <w:shd w:val="clear" w:color="auto" w:fill="D9D9D9"/>
          </w:tcPr>
          <w:p w:rsidR="00982C5C" w:rsidRPr="002803A6" w:rsidRDefault="00982C5C" w:rsidP="00E16D6F">
            <w:pPr>
              <w:jc w:val="center"/>
              <w:rPr>
                <w:rFonts w:cs="Arial"/>
                <w:b/>
              </w:rPr>
            </w:pPr>
            <w:r w:rsidRPr="002803A6">
              <w:rPr>
                <w:b/>
              </w:rPr>
              <w:t>1 235</w:t>
            </w:r>
          </w:p>
        </w:tc>
      </w:tr>
    </w:tbl>
    <w:p w:rsidR="00982C5C" w:rsidRPr="002803A6" w:rsidRDefault="00982C5C" w:rsidP="00982C5C">
      <w:pPr>
        <w:rPr>
          <w:rFonts w:cs="Arial"/>
        </w:rPr>
      </w:pPr>
    </w:p>
    <w:p w:rsidR="00982C5C" w:rsidRPr="002803A6" w:rsidRDefault="00982C5C" w:rsidP="00982C5C">
      <w:pPr>
        <w:rPr>
          <w:rFonts w:cs="Arial"/>
        </w:rPr>
      </w:pPr>
    </w:p>
    <w:p w:rsidR="00982C5C" w:rsidRPr="002803A6" w:rsidRDefault="00982C5C" w:rsidP="00982C5C"/>
    <w:p w:rsidR="00982C5C" w:rsidRPr="002803A6" w:rsidRDefault="00982C5C" w:rsidP="00982C5C"/>
    <w:p w:rsidR="00982C5C" w:rsidRPr="002803A6" w:rsidRDefault="00982C5C" w:rsidP="00982C5C">
      <w:pPr>
        <w:rPr>
          <w:rFonts w:cs="Arial"/>
          <w:u w:val="single"/>
        </w:rPr>
      </w:pPr>
      <w:r w:rsidRPr="002803A6">
        <w:lastRenderedPageBreak/>
        <w:t>5.</w:t>
      </w:r>
      <w:r w:rsidRPr="002803A6">
        <w:tab/>
      </w:r>
      <w:r w:rsidRPr="002803A6">
        <w:rPr>
          <w:u w:val="single"/>
        </w:rPr>
        <w:t>Tätigkeiten zur Förderung des Sortenschutzes</w:t>
      </w:r>
    </w:p>
    <w:p w:rsidR="00982C5C" w:rsidRPr="002803A6" w:rsidRDefault="00982C5C" w:rsidP="00982C5C">
      <w:pPr>
        <w:rPr>
          <w:rFonts w:cs="Arial"/>
        </w:rPr>
      </w:pPr>
    </w:p>
    <w:p w:rsidR="00982C5C" w:rsidRPr="002803A6" w:rsidRDefault="00982C5C" w:rsidP="00982C5C">
      <w:r w:rsidRPr="002803A6">
        <w:t xml:space="preserve">Vertreter aus Polen nehmen regelmäßig an den Tagungen der UPOV-Organe und an den Technischen Arbeitsgruppen der UPOV teil. </w:t>
      </w:r>
    </w:p>
    <w:p w:rsidR="0057430D" w:rsidRPr="002803A6" w:rsidRDefault="0057430D" w:rsidP="00982C5C">
      <w:pPr>
        <w:rPr>
          <w:rFonts w:cs="Arial"/>
        </w:rPr>
      </w:pPr>
    </w:p>
    <w:p w:rsidR="00982C5C" w:rsidRPr="002803A6" w:rsidRDefault="00982C5C" w:rsidP="00982C5C">
      <w:pPr>
        <w:rPr>
          <w:rFonts w:cs="Arial"/>
        </w:rPr>
      </w:pPr>
      <w:r w:rsidRPr="002803A6">
        <w:t>Ferner nehmen polnische Vertreter an den Tagungen des Ständigen Ausschusses für CPVR DG SANCO, Brüssel sowie an den Tagungen des CPVO-Verwaltungsrates teil.</w:t>
      </w:r>
    </w:p>
    <w:p w:rsidR="00982C5C" w:rsidRPr="002803A6" w:rsidRDefault="00982C5C" w:rsidP="00982C5C">
      <w:pPr>
        <w:rPr>
          <w:rFonts w:cs="Arial"/>
        </w:rPr>
      </w:pPr>
    </w:p>
    <w:p w:rsidR="00982C5C" w:rsidRPr="002803A6" w:rsidRDefault="00982C5C" w:rsidP="00982C5C">
      <w:pPr>
        <w:rPr>
          <w:rFonts w:cs="Arial"/>
        </w:rPr>
      </w:pPr>
      <w:r w:rsidRPr="002803A6">
        <w:t>Im Berichtszeitraum hat ein COBORU-Sachverständiger mit Erfolg den UPOV-Fernlehrgang „Einführung in das UPOV-Sortenschutzsystem nach dem UPOV-Übereinkommen“ (DL-205) abgeschlossen.</w:t>
      </w:r>
    </w:p>
    <w:p w:rsidR="00982C5C" w:rsidRPr="002803A6" w:rsidRDefault="00982C5C" w:rsidP="00982C5C">
      <w:pPr>
        <w:rPr>
          <w:rFonts w:cs="Arial"/>
        </w:rPr>
      </w:pPr>
    </w:p>
    <w:p w:rsidR="00982C5C" w:rsidRPr="002803A6" w:rsidRDefault="00982C5C" w:rsidP="00982C5C">
      <w:pPr>
        <w:rPr>
          <w:rFonts w:cs="Arial"/>
          <w:i/>
          <w:iCs/>
        </w:rPr>
      </w:pPr>
      <w:r w:rsidRPr="002803A6">
        <w:rPr>
          <w:i/>
          <w:iCs/>
        </w:rPr>
        <w:t>Veröffentlichungen</w:t>
      </w:r>
    </w:p>
    <w:p w:rsidR="00982C5C" w:rsidRPr="002803A6" w:rsidRDefault="00982C5C" w:rsidP="00982C5C">
      <w:pPr>
        <w:rPr>
          <w:rFonts w:cs="Arial"/>
        </w:rPr>
      </w:pPr>
    </w:p>
    <w:p w:rsidR="00982C5C" w:rsidRPr="002803A6" w:rsidRDefault="00982C5C" w:rsidP="00982C5C">
      <w:pPr>
        <w:rPr>
          <w:rFonts w:cs="Arial"/>
        </w:rPr>
      </w:pPr>
      <w:r w:rsidRPr="002803A6">
        <w:t xml:space="preserve">Das COBORU gibt alle zwei Monate das </w:t>
      </w:r>
      <w:r w:rsidRPr="002803A6">
        <w:rPr>
          <w:i/>
          <w:iCs/>
        </w:rPr>
        <w:t>Polnische Amtsblatt für Züchterrechte und die Nationale Liste</w:t>
      </w:r>
      <w:r w:rsidRPr="002803A6">
        <w:t xml:space="preserve"> (</w:t>
      </w:r>
      <w:proofErr w:type="spellStart"/>
      <w:r w:rsidRPr="002803A6">
        <w:t>Diariusz</w:t>
      </w:r>
      <w:proofErr w:type="spellEnd"/>
      <w:r w:rsidRPr="002803A6">
        <w:t xml:space="preserve">) heraus, das detaillierte Informationen über den Züchterrechtsschutz und die Nationale Liste enthält. </w:t>
      </w:r>
    </w:p>
    <w:p w:rsidR="00982C5C" w:rsidRPr="002803A6" w:rsidRDefault="00982C5C" w:rsidP="00982C5C">
      <w:pPr>
        <w:rPr>
          <w:rFonts w:cs="Arial"/>
        </w:rPr>
      </w:pPr>
    </w:p>
    <w:p w:rsidR="00982C5C" w:rsidRPr="002803A6" w:rsidRDefault="00982C5C" w:rsidP="00982C5C">
      <w:pPr>
        <w:rPr>
          <w:rFonts w:cs="Arial"/>
        </w:rPr>
      </w:pPr>
      <w:r w:rsidRPr="002803A6">
        <w:t xml:space="preserve">Die Liste der durch nationale Züchterrechte geschützte Sorten (einschließlich vorläufiger Züchterrechte), die zum 30. Juni 2019 in Kraft war, wurde in der dritten Ausgabe des </w:t>
      </w:r>
      <w:r w:rsidRPr="002803A6">
        <w:rPr>
          <w:i/>
          <w:iCs/>
        </w:rPr>
        <w:t>Polnischen Amtsblattes für Züchterrechte und die Nationale Liste</w:t>
      </w:r>
      <w:r w:rsidRPr="002803A6">
        <w:t xml:space="preserve"> Nr. 3(152)2019 veröffentlicht.</w:t>
      </w:r>
    </w:p>
    <w:p w:rsidR="00982C5C" w:rsidRPr="002803A6" w:rsidRDefault="00982C5C" w:rsidP="00982C5C">
      <w:pPr>
        <w:rPr>
          <w:rFonts w:cs="Arial"/>
        </w:rPr>
      </w:pPr>
    </w:p>
    <w:p w:rsidR="00982C5C" w:rsidRPr="002803A6" w:rsidRDefault="00982C5C" w:rsidP="00982C5C">
      <w:pPr>
        <w:rPr>
          <w:rFonts w:cs="Arial"/>
        </w:rPr>
      </w:pPr>
      <w:r w:rsidRPr="002803A6">
        <w:t xml:space="preserve">Das Amtsblatt wird zudem auf unserer Website veröffentlicht, und zwar im Bereich: </w:t>
      </w:r>
      <w:r w:rsidRPr="002803A6">
        <w:rPr>
          <w:i/>
          <w:iCs/>
        </w:rPr>
        <w:t>Veröffentlichungen</w:t>
      </w:r>
      <w:r w:rsidRPr="002803A6">
        <w:t>.</w:t>
      </w:r>
    </w:p>
    <w:p w:rsidR="00982C5C" w:rsidRPr="002803A6" w:rsidRDefault="00982C5C" w:rsidP="00982C5C">
      <w:pPr>
        <w:rPr>
          <w:rFonts w:cs="Arial"/>
        </w:rPr>
      </w:pPr>
    </w:p>
    <w:p w:rsidR="00982C5C" w:rsidRPr="002803A6" w:rsidRDefault="00982C5C" w:rsidP="00982C5C">
      <w:pPr>
        <w:rPr>
          <w:rFonts w:cs="Arial"/>
        </w:rPr>
      </w:pPr>
      <w:r w:rsidRPr="002803A6">
        <w:t xml:space="preserve">Außerdem unterhält das Forschungszentrum für Zuchtsortenprüfung eine Homepage, </w:t>
      </w:r>
      <w:hyperlink r:id="rId27" w:history="1">
        <w:r w:rsidRPr="002803A6">
          <w:rPr>
            <w:rStyle w:val="Hyperlink"/>
            <w:iCs/>
          </w:rPr>
          <w:t>www.coboru.pl</w:t>
        </w:r>
      </w:hyperlink>
      <w:r w:rsidRPr="002803A6">
        <w:t>, die regelmäßig aktualisiert wird und amtliche Informationen über Sortenschutzangelegenheiten in Polen enthält.</w:t>
      </w:r>
    </w:p>
    <w:p w:rsidR="00982C5C" w:rsidRPr="002803A6" w:rsidRDefault="00982C5C" w:rsidP="00982C5C">
      <w:pPr>
        <w:rPr>
          <w:rFonts w:cs="Arial"/>
        </w:rPr>
      </w:pPr>
    </w:p>
    <w:p w:rsidR="00982C5C" w:rsidRPr="002803A6" w:rsidRDefault="00982C5C" w:rsidP="00982C5C">
      <w:pPr>
        <w:rPr>
          <w:rFonts w:cs="Arial"/>
        </w:rPr>
      </w:pPr>
      <w:r w:rsidRPr="002803A6">
        <w:t>Im Berichtszeitraum war das COBORU an folgenden Förderungstätigkeiten beteiligt:</w:t>
      </w:r>
    </w:p>
    <w:p w:rsidR="00982C5C" w:rsidRPr="002803A6" w:rsidRDefault="00982C5C" w:rsidP="00982C5C">
      <w:pPr>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48"/>
        <w:gridCol w:w="1124"/>
        <w:gridCol w:w="1418"/>
        <w:gridCol w:w="1417"/>
        <w:gridCol w:w="2977"/>
        <w:gridCol w:w="1134"/>
      </w:tblGrid>
      <w:tr w:rsidR="00982C5C" w:rsidRPr="002803A6" w:rsidTr="0057430D">
        <w:trPr>
          <w:cantSplit/>
          <w:tblHeader/>
        </w:trPr>
        <w:tc>
          <w:tcPr>
            <w:tcW w:w="1848" w:type="dxa"/>
            <w:hideMark/>
          </w:tcPr>
          <w:p w:rsidR="00982C5C" w:rsidRPr="002803A6" w:rsidRDefault="00982C5C" w:rsidP="00E16D6F">
            <w:pPr>
              <w:jc w:val="left"/>
              <w:rPr>
                <w:rFonts w:cs="Arial"/>
                <w:color w:val="000000"/>
                <w:sz w:val="16"/>
                <w:szCs w:val="16"/>
              </w:rPr>
            </w:pPr>
            <w:r w:rsidRPr="002803A6">
              <w:rPr>
                <w:color w:val="000000"/>
                <w:sz w:val="16"/>
                <w:szCs w:val="16"/>
              </w:rPr>
              <w:t>Art der Tätigkeit</w:t>
            </w:r>
          </w:p>
        </w:tc>
        <w:tc>
          <w:tcPr>
            <w:tcW w:w="1124" w:type="dxa"/>
            <w:hideMark/>
          </w:tcPr>
          <w:p w:rsidR="00982C5C" w:rsidRPr="002803A6" w:rsidRDefault="00982C5C" w:rsidP="00E16D6F">
            <w:pPr>
              <w:jc w:val="left"/>
              <w:rPr>
                <w:rFonts w:cs="Arial"/>
                <w:color w:val="000000"/>
                <w:sz w:val="16"/>
                <w:szCs w:val="16"/>
              </w:rPr>
            </w:pPr>
            <w:r w:rsidRPr="002803A6">
              <w:rPr>
                <w:color w:val="000000"/>
                <w:sz w:val="16"/>
                <w:szCs w:val="16"/>
              </w:rPr>
              <w:t>Datum</w:t>
            </w:r>
          </w:p>
        </w:tc>
        <w:tc>
          <w:tcPr>
            <w:tcW w:w="1418" w:type="dxa"/>
            <w:hideMark/>
          </w:tcPr>
          <w:p w:rsidR="00982C5C" w:rsidRPr="002803A6" w:rsidRDefault="00982C5C" w:rsidP="00E16D6F">
            <w:pPr>
              <w:jc w:val="left"/>
              <w:rPr>
                <w:rFonts w:cs="Arial"/>
                <w:color w:val="000000"/>
                <w:sz w:val="16"/>
                <w:szCs w:val="16"/>
              </w:rPr>
            </w:pPr>
            <w:r w:rsidRPr="002803A6">
              <w:rPr>
                <w:color w:val="000000"/>
                <w:sz w:val="16"/>
                <w:szCs w:val="16"/>
              </w:rPr>
              <w:t>Ort</w:t>
            </w:r>
          </w:p>
        </w:tc>
        <w:tc>
          <w:tcPr>
            <w:tcW w:w="1417" w:type="dxa"/>
            <w:hideMark/>
          </w:tcPr>
          <w:p w:rsidR="00982C5C" w:rsidRPr="002803A6" w:rsidRDefault="00982C5C" w:rsidP="00E16D6F">
            <w:pPr>
              <w:jc w:val="left"/>
              <w:rPr>
                <w:rFonts w:cs="Arial"/>
                <w:color w:val="000000"/>
                <w:sz w:val="16"/>
                <w:szCs w:val="16"/>
              </w:rPr>
            </w:pPr>
            <w:r w:rsidRPr="002803A6">
              <w:rPr>
                <w:color w:val="000000"/>
                <w:sz w:val="16"/>
                <w:szCs w:val="16"/>
              </w:rPr>
              <w:t>Organisator(en)</w:t>
            </w:r>
          </w:p>
        </w:tc>
        <w:tc>
          <w:tcPr>
            <w:tcW w:w="2977" w:type="dxa"/>
            <w:hideMark/>
          </w:tcPr>
          <w:p w:rsidR="00982C5C" w:rsidRPr="002803A6" w:rsidRDefault="00982C5C" w:rsidP="00E16D6F">
            <w:pPr>
              <w:jc w:val="left"/>
              <w:rPr>
                <w:rFonts w:cs="Arial"/>
                <w:color w:val="000000"/>
                <w:sz w:val="16"/>
                <w:szCs w:val="16"/>
              </w:rPr>
            </w:pPr>
            <w:r w:rsidRPr="002803A6">
              <w:rPr>
                <w:color w:val="000000"/>
                <w:sz w:val="16"/>
                <w:szCs w:val="16"/>
              </w:rPr>
              <w:t>Zweck der Tätigkeit</w:t>
            </w:r>
          </w:p>
        </w:tc>
        <w:tc>
          <w:tcPr>
            <w:tcW w:w="1134" w:type="dxa"/>
            <w:hideMark/>
          </w:tcPr>
          <w:p w:rsidR="00982C5C" w:rsidRPr="002803A6" w:rsidRDefault="00982C5C" w:rsidP="00E16D6F">
            <w:pPr>
              <w:jc w:val="left"/>
              <w:rPr>
                <w:rFonts w:cs="Arial"/>
                <w:color w:val="000000"/>
                <w:sz w:val="16"/>
                <w:szCs w:val="16"/>
              </w:rPr>
            </w:pPr>
            <w:r w:rsidRPr="002803A6">
              <w:rPr>
                <w:color w:val="000000"/>
                <w:sz w:val="16"/>
                <w:szCs w:val="16"/>
              </w:rPr>
              <w:t>Teilnehmende Staaten/</w:t>
            </w:r>
            <w:proofErr w:type="spellStart"/>
            <w:r w:rsidRPr="002803A6">
              <w:rPr>
                <w:color w:val="000000"/>
                <w:sz w:val="16"/>
                <w:szCs w:val="16"/>
              </w:rPr>
              <w:t>Orga-nisationen</w:t>
            </w:r>
            <w:proofErr w:type="spellEnd"/>
            <w:r w:rsidRPr="002803A6">
              <w:rPr>
                <w:color w:val="000000"/>
                <w:sz w:val="16"/>
                <w:szCs w:val="16"/>
              </w:rPr>
              <w:t xml:space="preserve"> (Zahl der Teilnehmer pro Staat/</w:t>
            </w:r>
            <w:proofErr w:type="spellStart"/>
            <w:r w:rsidRPr="002803A6">
              <w:rPr>
                <w:color w:val="000000"/>
                <w:sz w:val="16"/>
                <w:szCs w:val="16"/>
              </w:rPr>
              <w:t>Organi-sation</w:t>
            </w:r>
            <w:proofErr w:type="spellEnd"/>
            <w:r w:rsidRPr="002803A6">
              <w:rPr>
                <w:color w:val="000000"/>
                <w:sz w:val="16"/>
                <w:szCs w:val="16"/>
              </w:rPr>
              <w:t>)</w:t>
            </w:r>
          </w:p>
        </w:tc>
      </w:tr>
      <w:tr w:rsidR="00982C5C" w:rsidRPr="002803A6" w:rsidTr="00E16D6F">
        <w:trPr>
          <w:cantSplit/>
        </w:trPr>
        <w:tc>
          <w:tcPr>
            <w:tcW w:w="1848" w:type="dxa"/>
          </w:tcPr>
          <w:p w:rsidR="00982C5C" w:rsidRPr="002803A6" w:rsidRDefault="00982C5C" w:rsidP="00E16D6F">
            <w:pPr>
              <w:jc w:val="left"/>
              <w:rPr>
                <w:rFonts w:cs="Arial"/>
                <w:color w:val="000000"/>
                <w:sz w:val="16"/>
                <w:szCs w:val="16"/>
              </w:rPr>
            </w:pPr>
            <w:r w:rsidRPr="002803A6">
              <w:rPr>
                <w:color w:val="000000"/>
                <w:sz w:val="16"/>
                <w:szCs w:val="16"/>
              </w:rPr>
              <w:t>1. Besuch der polnischen Delegation in NEBIH (HU)</w:t>
            </w:r>
          </w:p>
        </w:tc>
        <w:tc>
          <w:tcPr>
            <w:tcW w:w="1124" w:type="dxa"/>
          </w:tcPr>
          <w:p w:rsidR="00982C5C" w:rsidRPr="002803A6" w:rsidRDefault="00982C5C" w:rsidP="00E16D6F">
            <w:pPr>
              <w:jc w:val="left"/>
              <w:rPr>
                <w:rFonts w:cs="Arial"/>
                <w:color w:val="000000"/>
                <w:sz w:val="16"/>
                <w:szCs w:val="16"/>
              </w:rPr>
            </w:pPr>
            <w:r w:rsidRPr="002803A6">
              <w:rPr>
                <w:color w:val="000000"/>
                <w:sz w:val="16"/>
                <w:szCs w:val="16"/>
              </w:rPr>
              <w:t>15.10-16.10.2018</w:t>
            </w:r>
          </w:p>
        </w:tc>
        <w:tc>
          <w:tcPr>
            <w:tcW w:w="1418" w:type="dxa"/>
          </w:tcPr>
          <w:p w:rsidR="00982C5C" w:rsidRPr="002803A6" w:rsidRDefault="00982C5C" w:rsidP="00E16D6F">
            <w:pPr>
              <w:jc w:val="left"/>
              <w:rPr>
                <w:rFonts w:cs="Arial"/>
                <w:color w:val="000000"/>
                <w:sz w:val="16"/>
                <w:szCs w:val="16"/>
              </w:rPr>
            </w:pPr>
            <w:r w:rsidRPr="002803A6">
              <w:rPr>
                <w:color w:val="000000"/>
                <w:sz w:val="16"/>
                <w:szCs w:val="16"/>
              </w:rPr>
              <w:t xml:space="preserve">Ungarn, </w:t>
            </w:r>
            <w:proofErr w:type="spellStart"/>
            <w:r w:rsidRPr="002803A6">
              <w:rPr>
                <w:color w:val="000000"/>
                <w:sz w:val="16"/>
                <w:szCs w:val="16"/>
              </w:rPr>
              <w:t>Zamardi</w:t>
            </w:r>
            <w:proofErr w:type="spellEnd"/>
          </w:p>
        </w:tc>
        <w:tc>
          <w:tcPr>
            <w:tcW w:w="1417" w:type="dxa"/>
          </w:tcPr>
          <w:p w:rsidR="00982C5C" w:rsidRPr="002803A6" w:rsidRDefault="00982C5C" w:rsidP="00E16D6F">
            <w:pPr>
              <w:jc w:val="left"/>
              <w:rPr>
                <w:rFonts w:cs="Arial"/>
                <w:color w:val="000000"/>
                <w:sz w:val="16"/>
                <w:szCs w:val="16"/>
              </w:rPr>
            </w:pPr>
            <w:r w:rsidRPr="002803A6">
              <w:rPr>
                <w:color w:val="000000"/>
                <w:sz w:val="16"/>
                <w:szCs w:val="16"/>
              </w:rPr>
              <w:t>NEBIH - HU</w:t>
            </w:r>
          </w:p>
        </w:tc>
        <w:tc>
          <w:tcPr>
            <w:tcW w:w="2977" w:type="dxa"/>
          </w:tcPr>
          <w:p w:rsidR="00982C5C" w:rsidRPr="002803A6" w:rsidRDefault="00982C5C" w:rsidP="00E16D6F">
            <w:pPr>
              <w:jc w:val="left"/>
              <w:rPr>
                <w:rFonts w:cs="Arial"/>
                <w:color w:val="000000"/>
                <w:sz w:val="16"/>
                <w:szCs w:val="16"/>
              </w:rPr>
            </w:pPr>
            <w:r w:rsidRPr="002803A6">
              <w:rPr>
                <w:color w:val="000000"/>
                <w:sz w:val="16"/>
                <w:szCs w:val="16"/>
              </w:rPr>
              <w:t xml:space="preserve">Diskussion über die wichtigsten Fragen der gegenseitigen Erbringung von Versuchsdienstleistungen im Rahmen der offiziellen DUS-Prüfung; Unterzeichnung des Abkommens über Regeln für die Zusammenarbeit </w:t>
            </w:r>
          </w:p>
        </w:tc>
        <w:tc>
          <w:tcPr>
            <w:tcW w:w="1134" w:type="dxa"/>
          </w:tcPr>
          <w:p w:rsidR="00982C5C" w:rsidRPr="002803A6" w:rsidRDefault="00982C5C" w:rsidP="00E16D6F">
            <w:pPr>
              <w:jc w:val="left"/>
              <w:rPr>
                <w:rFonts w:cs="Arial"/>
                <w:color w:val="000000"/>
                <w:sz w:val="16"/>
                <w:szCs w:val="16"/>
              </w:rPr>
            </w:pPr>
            <w:r w:rsidRPr="002803A6">
              <w:rPr>
                <w:color w:val="000000"/>
                <w:sz w:val="16"/>
                <w:szCs w:val="16"/>
              </w:rPr>
              <w:t>HU - 6</w:t>
            </w:r>
          </w:p>
          <w:p w:rsidR="00982C5C" w:rsidRPr="002803A6" w:rsidRDefault="00982C5C" w:rsidP="00E16D6F">
            <w:pPr>
              <w:jc w:val="left"/>
              <w:rPr>
                <w:rFonts w:cs="Arial"/>
                <w:color w:val="000000"/>
                <w:sz w:val="16"/>
                <w:szCs w:val="16"/>
              </w:rPr>
            </w:pPr>
            <w:r w:rsidRPr="002803A6">
              <w:rPr>
                <w:color w:val="000000"/>
                <w:sz w:val="16"/>
                <w:szCs w:val="16"/>
              </w:rPr>
              <w:t>PL - 5</w:t>
            </w:r>
          </w:p>
        </w:tc>
      </w:tr>
      <w:tr w:rsidR="00982C5C" w:rsidRPr="002803A6" w:rsidTr="00E16D6F">
        <w:trPr>
          <w:cantSplit/>
        </w:trPr>
        <w:tc>
          <w:tcPr>
            <w:tcW w:w="1848" w:type="dxa"/>
          </w:tcPr>
          <w:p w:rsidR="00982C5C" w:rsidRPr="002803A6" w:rsidRDefault="00982C5C" w:rsidP="00E16D6F">
            <w:pPr>
              <w:jc w:val="left"/>
              <w:rPr>
                <w:rFonts w:cs="Arial"/>
                <w:color w:val="000000"/>
                <w:sz w:val="16"/>
                <w:szCs w:val="16"/>
              </w:rPr>
            </w:pPr>
            <w:r w:rsidRPr="002803A6">
              <w:rPr>
                <w:color w:val="000000"/>
                <w:sz w:val="16"/>
                <w:szCs w:val="16"/>
              </w:rPr>
              <w:t>2. Konferenz anlässlich des Welttages des geistigen Eigentums – „Wessen Genom ist das? Biotechnologie und Schutz des geistigen Eigentums“</w:t>
            </w:r>
          </w:p>
        </w:tc>
        <w:tc>
          <w:tcPr>
            <w:tcW w:w="1124" w:type="dxa"/>
          </w:tcPr>
          <w:p w:rsidR="00982C5C" w:rsidRPr="002803A6" w:rsidRDefault="00982C5C" w:rsidP="00E16D6F">
            <w:pPr>
              <w:jc w:val="left"/>
              <w:rPr>
                <w:rFonts w:cs="Arial"/>
                <w:color w:val="000000"/>
                <w:sz w:val="16"/>
                <w:szCs w:val="16"/>
              </w:rPr>
            </w:pPr>
            <w:r w:rsidRPr="002803A6">
              <w:rPr>
                <w:color w:val="000000"/>
                <w:sz w:val="16"/>
                <w:szCs w:val="16"/>
              </w:rPr>
              <w:t>26.04.2019</w:t>
            </w:r>
          </w:p>
        </w:tc>
        <w:tc>
          <w:tcPr>
            <w:tcW w:w="1418" w:type="dxa"/>
          </w:tcPr>
          <w:p w:rsidR="00982C5C" w:rsidRPr="002803A6" w:rsidRDefault="00982C5C" w:rsidP="00E16D6F">
            <w:pPr>
              <w:jc w:val="left"/>
              <w:rPr>
                <w:rFonts w:cs="Arial"/>
                <w:color w:val="000000"/>
                <w:sz w:val="16"/>
                <w:szCs w:val="16"/>
              </w:rPr>
            </w:pPr>
            <w:r w:rsidRPr="002803A6">
              <w:rPr>
                <w:color w:val="000000"/>
                <w:sz w:val="16"/>
                <w:szCs w:val="16"/>
              </w:rPr>
              <w:t>Polen, Warschau</w:t>
            </w:r>
          </w:p>
        </w:tc>
        <w:tc>
          <w:tcPr>
            <w:tcW w:w="1417" w:type="dxa"/>
          </w:tcPr>
          <w:p w:rsidR="00982C5C" w:rsidRPr="002803A6" w:rsidRDefault="00982C5C" w:rsidP="00E16D6F">
            <w:pPr>
              <w:jc w:val="left"/>
              <w:rPr>
                <w:rFonts w:cs="Arial"/>
                <w:color w:val="000000"/>
                <w:sz w:val="16"/>
                <w:szCs w:val="16"/>
              </w:rPr>
            </w:pPr>
            <w:r w:rsidRPr="002803A6">
              <w:rPr>
                <w:color w:val="000000"/>
                <w:sz w:val="16"/>
                <w:szCs w:val="16"/>
              </w:rPr>
              <w:t>Polnisches Patentamt; WIPO</w:t>
            </w:r>
          </w:p>
        </w:tc>
        <w:tc>
          <w:tcPr>
            <w:tcW w:w="2977" w:type="dxa"/>
          </w:tcPr>
          <w:p w:rsidR="00982C5C" w:rsidRPr="002803A6" w:rsidRDefault="00982C5C" w:rsidP="00E16D6F">
            <w:pPr>
              <w:jc w:val="left"/>
              <w:rPr>
                <w:rFonts w:cs="Arial"/>
                <w:color w:val="000000"/>
                <w:sz w:val="16"/>
                <w:szCs w:val="16"/>
              </w:rPr>
            </w:pPr>
            <w:r w:rsidRPr="002803A6">
              <w:rPr>
                <w:color w:val="000000"/>
                <w:sz w:val="16"/>
                <w:szCs w:val="16"/>
              </w:rPr>
              <w:t>Der COBORU-Direktor hielt einen Vortrag „Die Regeln der Koexistenz zwischen dem System des Rechtsschutzes von Sorten und dem Pflanzenpatentschutz biotechnologischer Erfindungen“</w:t>
            </w:r>
          </w:p>
        </w:tc>
        <w:tc>
          <w:tcPr>
            <w:tcW w:w="1134" w:type="dxa"/>
          </w:tcPr>
          <w:p w:rsidR="00982C5C" w:rsidRPr="002803A6" w:rsidRDefault="00982C5C" w:rsidP="00E16D6F">
            <w:pPr>
              <w:jc w:val="left"/>
              <w:rPr>
                <w:rFonts w:cs="Arial"/>
                <w:color w:val="000000"/>
                <w:sz w:val="16"/>
                <w:szCs w:val="16"/>
              </w:rPr>
            </w:pPr>
            <w:r w:rsidRPr="002803A6">
              <w:rPr>
                <w:color w:val="000000"/>
                <w:sz w:val="16"/>
                <w:szCs w:val="16"/>
              </w:rPr>
              <w:t>WIPO - 2</w:t>
            </w:r>
          </w:p>
          <w:p w:rsidR="00982C5C" w:rsidRPr="002803A6" w:rsidRDefault="00982C5C" w:rsidP="00E16D6F">
            <w:pPr>
              <w:jc w:val="left"/>
              <w:rPr>
                <w:rFonts w:cs="Arial"/>
                <w:color w:val="000000"/>
                <w:sz w:val="16"/>
                <w:szCs w:val="16"/>
              </w:rPr>
            </w:pPr>
            <w:r w:rsidRPr="002803A6">
              <w:rPr>
                <w:color w:val="000000"/>
                <w:sz w:val="16"/>
                <w:szCs w:val="16"/>
              </w:rPr>
              <w:t>EPO - 2</w:t>
            </w:r>
          </w:p>
          <w:p w:rsidR="00982C5C" w:rsidRPr="002803A6" w:rsidRDefault="00982C5C" w:rsidP="00E16D6F">
            <w:pPr>
              <w:jc w:val="left"/>
              <w:rPr>
                <w:rFonts w:cs="Arial"/>
                <w:color w:val="000000"/>
                <w:sz w:val="16"/>
                <w:szCs w:val="16"/>
              </w:rPr>
            </w:pPr>
            <w:r w:rsidRPr="002803A6">
              <w:rPr>
                <w:color w:val="000000"/>
                <w:sz w:val="16"/>
                <w:szCs w:val="16"/>
              </w:rPr>
              <w:t>PL - 80</w:t>
            </w:r>
          </w:p>
        </w:tc>
      </w:tr>
      <w:tr w:rsidR="00982C5C" w:rsidRPr="002803A6" w:rsidTr="00E16D6F">
        <w:trPr>
          <w:cantSplit/>
        </w:trPr>
        <w:tc>
          <w:tcPr>
            <w:tcW w:w="1848" w:type="dxa"/>
          </w:tcPr>
          <w:p w:rsidR="00982C5C" w:rsidRPr="002803A6" w:rsidRDefault="00982C5C" w:rsidP="00E16D6F">
            <w:pPr>
              <w:jc w:val="left"/>
              <w:rPr>
                <w:rFonts w:cs="Arial"/>
                <w:color w:val="000000"/>
                <w:sz w:val="16"/>
                <w:szCs w:val="16"/>
              </w:rPr>
            </w:pPr>
            <w:r w:rsidRPr="002803A6">
              <w:rPr>
                <w:color w:val="000000"/>
                <w:sz w:val="16"/>
                <w:szCs w:val="16"/>
              </w:rPr>
              <w:t>3. Besuch der Gäste aus Serbien</w:t>
            </w:r>
          </w:p>
        </w:tc>
        <w:tc>
          <w:tcPr>
            <w:tcW w:w="1124" w:type="dxa"/>
          </w:tcPr>
          <w:p w:rsidR="00982C5C" w:rsidRPr="002803A6" w:rsidRDefault="00982C5C" w:rsidP="00E16D6F">
            <w:pPr>
              <w:jc w:val="left"/>
              <w:rPr>
                <w:rFonts w:cs="Arial"/>
                <w:color w:val="000000"/>
                <w:sz w:val="16"/>
                <w:szCs w:val="16"/>
              </w:rPr>
            </w:pPr>
            <w:r w:rsidRPr="002803A6">
              <w:rPr>
                <w:color w:val="000000"/>
                <w:sz w:val="16"/>
                <w:szCs w:val="16"/>
              </w:rPr>
              <w:t>10.06-13.06. 2019</w:t>
            </w:r>
          </w:p>
        </w:tc>
        <w:tc>
          <w:tcPr>
            <w:tcW w:w="1418" w:type="dxa"/>
          </w:tcPr>
          <w:p w:rsidR="00982C5C" w:rsidRPr="002803A6" w:rsidRDefault="00982C5C" w:rsidP="00E16D6F">
            <w:pPr>
              <w:jc w:val="left"/>
              <w:rPr>
                <w:rFonts w:cs="Arial"/>
                <w:color w:val="000000"/>
                <w:sz w:val="16"/>
                <w:szCs w:val="16"/>
              </w:rPr>
            </w:pPr>
            <w:r w:rsidRPr="002803A6">
              <w:rPr>
                <w:color w:val="000000"/>
                <w:sz w:val="16"/>
                <w:szCs w:val="16"/>
              </w:rPr>
              <w:t xml:space="preserve">Polen, COBORU-Hauptsitz, Prüfungsstationen: </w:t>
            </w:r>
            <w:proofErr w:type="spellStart"/>
            <w:r w:rsidRPr="002803A6">
              <w:rPr>
                <w:color w:val="000000"/>
                <w:sz w:val="16"/>
                <w:szCs w:val="16"/>
              </w:rPr>
              <w:t>Słupia</w:t>
            </w:r>
            <w:proofErr w:type="spellEnd"/>
            <w:r w:rsidRPr="002803A6">
              <w:rPr>
                <w:color w:val="000000"/>
                <w:sz w:val="16"/>
                <w:szCs w:val="16"/>
              </w:rPr>
              <w:t xml:space="preserve"> </w:t>
            </w:r>
            <w:proofErr w:type="spellStart"/>
            <w:r w:rsidRPr="002803A6">
              <w:rPr>
                <w:color w:val="000000"/>
                <w:sz w:val="16"/>
                <w:szCs w:val="16"/>
              </w:rPr>
              <w:t>Wielka</w:t>
            </w:r>
            <w:proofErr w:type="spellEnd"/>
            <w:r w:rsidRPr="002803A6">
              <w:rPr>
                <w:color w:val="000000"/>
                <w:sz w:val="16"/>
                <w:szCs w:val="16"/>
              </w:rPr>
              <w:t xml:space="preserve">, </w:t>
            </w:r>
            <w:proofErr w:type="spellStart"/>
            <w:r w:rsidRPr="002803A6">
              <w:rPr>
                <w:color w:val="000000"/>
                <w:sz w:val="16"/>
                <w:szCs w:val="16"/>
              </w:rPr>
              <w:t>Zybiszów</w:t>
            </w:r>
            <w:proofErr w:type="spellEnd"/>
            <w:r w:rsidRPr="002803A6">
              <w:rPr>
                <w:color w:val="000000"/>
                <w:sz w:val="16"/>
                <w:szCs w:val="16"/>
              </w:rPr>
              <w:t xml:space="preserve">, </w:t>
            </w:r>
            <w:proofErr w:type="spellStart"/>
            <w:r w:rsidRPr="002803A6">
              <w:rPr>
                <w:color w:val="000000"/>
                <w:sz w:val="16"/>
                <w:szCs w:val="16"/>
              </w:rPr>
              <w:t>Masłowice</w:t>
            </w:r>
            <w:proofErr w:type="spellEnd"/>
            <w:r w:rsidRPr="002803A6">
              <w:rPr>
                <w:color w:val="000000"/>
                <w:sz w:val="16"/>
                <w:szCs w:val="16"/>
              </w:rPr>
              <w:t xml:space="preserve">, </w:t>
            </w:r>
            <w:proofErr w:type="spellStart"/>
            <w:r w:rsidRPr="002803A6">
              <w:rPr>
                <w:color w:val="000000"/>
                <w:sz w:val="16"/>
                <w:szCs w:val="16"/>
              </w:rPr>
              <w:t>Śrem</w:t>
            </w:r>
            <w:proofErr w:type="spellEnd"/>
          </w:p>
        </w:tc>
        <w:tc>
          <w:tcPr>
            <w:tcW w:w="1417" w:type="dxa"/>
          </w:tcPr>
          <w:p w:rsidR="00982C5C" w:rsidRPr="002803A6" w:rsidRDefault="00982C5C" w:rsidP="00E16D6F">
            <w:pPr>
              <w:jc w:val="left"/>
              <w:rPr>
                <w:rFonts w:cs="Arial"/>
                <w:color w:val="000000"/>
                <w:sz w:val="16"/>
                <w:szCs w:val="16"/>
              </w:rPr>
            </w:pPr>
            <w:r w:rsidRPr="002803A6">
              <w:rPr>
                <w:color w:val="000000"/>
                <w:sz w:val="16"/>
                <w:szCs w:val="16"/>
              </w:rPr>
              <w:t>COBORU</w:t>
            </w:r>
          </w:p>
        </w:tc>
        <w:tc>
          <w:tcPr>
            <w:tcW w:w="2977" w:type="dxa"/>
          </w:tcPr>
          <w:p w:rsidR="00982C5C" w:rsidRPr="002803A6" w:rsidRDefault="00982C5C" w:rsidP="00E16D6F">
            <w:pPr>
              <w:jc w:val="left"/>
              <w:rPr>
                <w:rFonts w:cs="Arial"/>
                <w:color w:val="000000"/>
                <w:sz w:val="16"/>
                <w:szCs w:val="16"/>
              </w:rPr>
            </w:pPr>
            <w:r w:rsidRPr="002803A6">
              <w:rPr>
                <w:color w:val="000000"/>
                <w:sz w:val="16"/>
                <w:szCs w:val="16"/>
              </w:rPr>
              <w:t xml:space="preserve">Präsentation der Organisation und der Tätigkeiten der COBORU; Verfahren von Sortenlisten und Sortenschutz in PL; System der DUS-Prüfung und Wertprüfung; Inspektion von DUS-Prüfungen </w:t>
            </w:r>
          </w:p>
        </w:tc>
        <w:tc>
          <w:tcPr>
            <w:tcW w:w="1134" w:type="dxa"/>
          </w:tcPr>
          <w:p w:rsidR="00982C5C" w:rsidRPr="002803A6" w:rsidRDefault="00982C5C" w:rsidP="00E16D6F">
            <w:pPr>
              <w:jc w:val="left"/>
              <w:rPr>
                <w:rFonts w:cs="Arial"/>
                <w:color w:val="000000"/>
                <w:sz w:val="16"/>
                <w:szCs w:val="16"/>
              </w:rPr>
            </w:pPr>
            <w:r w:rsidRPr="002803A6">
              <w:rPr>
                <w:color w:val="000000"/>
                <w:sz w:val="16"/>
                <w:szCs w:val="16"/>
              </w:rPr>
              <w:t>RS - 2</w:t>
            </w:r>
          </w:p>
          <w:p w:rsidR="00982C5C" w:rsidRPr="002803A6" w:rsidRDefault="00982C5C" w:rsidP="00E16D6F">
            <w:pPr>
              <w:jc w:val="left"/>
              <w:rPr>
                <w:rFonts w:cs="Arial"/>
                <w:color w:val="000000"/>
                <w:sz w:val="16"/>
                <w:szCs w:val="16"/>
              </w:rPr>
            </w:pPr>
            <w:r w:rsidRPr="002803A6">
              <w:rPr>
                <w:color w:val="000000"/>
                <w:sz w:val="16"/>
                <w:szCs w:val="16"/>
              </w:rPr>
              <w:t>PL - 10</w:t>
            </w:r>
          </w:p>
        </w:tc>
      </w:tr>
      <w:tr w:rsidR="00982C5C" w:rsidRPr="002803A6" w:rsidTr="00E16D6F">
        <w:trPr>
          <w:cantSplit/>
        </w:trPr>
        <w:tc>
          <w:tcPr>
            <w:tcW w:w="1848" w:type="dxa"/>
          </w:tcPr>
          <w:p w:rsidR="00982C5C" w:rsidRPr="002803A6" w:rsidRDefault="00982C5C" w:rsidP="00E16D6F">
            <w:pPr>
              <w:jc w:val="left"/>
              <w:rPr>
                <w:rFonts w:cs="Arial"/>
                <w:color w:val="000000"/>
                <w:sz w:val="16"/>
                <w:szCs w:val="16"/>
              </w:rPr>
            </w:pPr>
            <w:r w:rsidRPr="002803A6">
              <w:rPr>
                <w:color w:val="000000"/>
                <w:sz w:val="16"/>
                <w:szCs w:val="16"/>
              </w:rPr>
              <w:t>4. Besuch von Vertretern des NEBIH (HU)</w:t>
            </w:r>
          </w:p>
          <w:p w:rsidR="00982C5C" w:rsidRPr="002803A6" w:rsidRDefault="00982C5C" w:rsidP="00E16D6F">
            <w:pPr>
              <w:jc w:val="left"/>
              <w:rPr>
                <w:rFonts w:cs="Arial"/>
                <w:color w:val="000000"/>
                <w:sz w:val="16"/>
                <w:szCs w:val="16"/>
              </w:rPr>
            </w:pPr>
          </w:p>
        </w:tc>
        <w:tc>
          <w:tcPr>
            <w:tcW w:w="1124" w:type="dxa"/>
          </w:tcPr>
          <w:p w:rsidR="00982C5C" w:rsidRPr="002803A6" w:rsidRDefault="00982C5C" w:rsidP="00E16D6F">
            <w:pPr>
              <w:jc w:val="left"/>
              <w:rPr>
                <w:rFonts w:cs="Arial"/>
                <w:color w:val="000000"/>
                <w:sz w:val="16"/>
                <w:szCs w:val="16"/>
              </w:rPr>
            </w:pPr>
            <w:r w:rsidRPr="002803A6">
              <w:rPr>
                <w:color w:val="000000"/>
                <w:sz w:val="16"/>
                <w:szCs w:val="16"/>
              </w:rPr>
              <w:t>11.06-12.06.2019</w:t>
            </w:r>
          </w:p>
        </w:tc>
        <w:tc>
          <w:tcPr>
            <w:tcW w:w="1418" w:type="dxa"/>
          </w:tcPr>
          <w:p w:rsidR="00982C5C" w:rsidRPr="002803A6" w:rsidRDefault="00982C5C" w:rsidP="00E16D6F">
            <w:pPr>
              <w:jc w:val="left"/>
              <w:rPr>
                <w:color w:val="000000"/>
                <w:sz w:val="16"/>
                <w:szCs w:val="16"/>
              </w:rPr>
            </w:pPr>
            <w:r w:rsidRPr="002803A6">
              <w:rPr>
                <w:color w:val="000000"/>
                <w:sz w:val="16"/>
                <w:szCs w:val="16"/>
              </w:rPr>
              <w:t>Polen, COBORU-Hauptsitz,</w:t>
            </w:r>
          </w:p>
          <w:p w:rsidR="00982C5C" w:rsidRPr="002803A6" w:rsidRDefault="00982C5C" w:rsidP="00E16D6F">
            <w:pPr>
              <w:jc w:val="left"/>
              <w:rPr>
                <w:rFonts w:cs="Arial"/>
                <w:color w:val="000000"/>
                <w:sz w:val="16"/>
                <w:szCs w:val="16"/>
              </w:rPr>
            </w:pPr>
            <w:r w:rsidRPr="002803A6">
              <w:rPr>
                <w:color w:val="000000"/>
                <w:sz w:val="16"/>
                <w:szCs w:val="16"/>
              </w:rPr>
              <w:t xml:space="preserve">Prüfungsstationen: </w:t>
            </w:r>
            <w:proofErr w:type="spellStart"/>
            <w:r w:rsidRPr="002803A6">
              <w:rPr>
                <w:color w:val="000000"/>
                <w:sz w:val="16"/>
                <w:szCs w:val="16"/>
              </w:rPr>
              <w:t>Słupia</w:t>
            </w:r>
            <w:proofErr w:type="spellEnd"/>
            <w:r w:rsidRPr="002803A6">
              <w:rPr>
                <w:color w:val="000000"/>
                <w:sz w:val="16"/>
                <w:szCs w:val="16"/>
              </w:rPr>
              <w:t xml:space="preserve"> </w:t>
            </w:r>
            <w:proofErr w:type="spellStart"/>
            <w:r w:rsidRPr="002803A6">
              <w:rPr>
                <w:color w:val="000000"/>
                <w:sz w:val="16"/>
                <w:szCs w:val="16"/>
              </w:rPr>
              <w:t>Wielka</w:t>
            </w:r>
            <w:proofErr w:type="spellEnd"/>
            <w:r w:rsidRPr="002803A6">
              <w:rPr>
                <w:color w:val="000000"/>
                <w:sz w:val="16"/>
                <w:szCs w:val="16"/>
              </w:rPr>
              <w:t xml:space="preserve">, </w:t>
            </w:r>
            <w:proofErr w:type="spellStart"/>
            <w:r w:rsidRPr="002803A6">
              <w:rPr>
                <w:color w:val="000000"/>
                <w:sz w:val="16"/>
                <w:szCs w:val="16"/>
              </w:rPr>
              <w:t>Zybiszów</w:t>
            </w:r>
            <w:proofErr w:type="spellEnd"/>
            <w:r w:rsidRPr="002803A6">
              <w:rPr>
                <w:color w:val="000000"/>
                <w:sz w:val="16"/>
                <w:szCs w:val="16"/>
              </w:rPr>
              <w:t xml:space="preserve">, </w:t>
            </w:r>
            <w:proofErr w:type="spellStart"/>
            <w:r w:rsidRPr="002803A6">
              <w:rPr>
                <w:color w:val="000000"/>
                <w:sz w:val="16"/>
                <w:szCs w:val="16"/>
              </w:rPr>
              <w:t>Śrem</w:t>
            </w:r>
            <w:proofErr w:type="spellEnd"/>
          </w:p>
        </w:tc>
        <w:tc>
          <w:tcPr>
            <w:tcW w:w="1417" w:type="dxa"/>
          </w:tcPr>
          <w:p w:rsidR="00982C5C" w:rsidRPr="002803A6" w:rsidRDefault="00982C5C" w:rsidP="00E16D6F">
            <w:pPr>
              <w:jc w:val="left"/>
              <w:rPr>
                <w:rFonts w:cs="Arial"/>
                <w:color w:val="000000"/>
                <w:sz w:val="16"/>
                <w:szCs w:val="16"/>
              </w:rPr>
            </w:pPr>
            <w:r w:rsidRPr="002803A6">
              <w:rPr>
                <w:color w:val="000000"/>
                <w:sz w:val="16"/>
                <w:szCs w:val="16"/>
              </w:rPr>
              <w:t>COBORU</w:t>
            </w:r>
          </w:p>
        </w:tc>
        <w:tc>
          <w:tcPr>
            <w:tcW w:w="2977" w:type="dxa"/>
          </w:tcPr>
          <w:p w:rsidR="00982C5C" w:rsidRPr="002803A6" w:rsidRDefault="00982C5C" w:rsidP="00E16D6F">
            <w:pPr>
              <w:jc w:val="left"/>
              <w:rPr>
                <w:rFonts w:cs="Arial"/>
                <w:color w:val="000000"/>
                <w:sz w:val="16"/>
                <w:szCs w:val="16"/>
              </w:rPr>
            </w:pPr>
            <w:r w:rsidRPr="002803A6">
              <w:rPr>
                <w:color w:val="000000"/>
                <w:sz w:val="16"/>
                <w:szCs w:val="16"/>
              </w:rPr>
              <w:t>Technischer Besuch im Rahmen der bilateralen Zusammenarbeit</w:t>
            </w:r>
          </w:p>
        </w:tc>
        <w:tc>
          <w:tcPr>
            <w:tcW w:w="1134" w:type="dxa"/>
          </w:tcPr>
          <w:p w:rsidR="00982C5C" w:rsidRPr="002803A6" w:rsidRDefault="00982C5C" w:rsidP="00E16D6F">
            <w:pPr>
              <w:jc w:val="left"/>
              <w:rPr>
                <w:rFonts w:cs="Arial"/>
                <w:color w:val="000000"/>
                <w:sz w:val="16"/>
                <w:szCs w:val="16"/>
              </w:rPr>
            </w:pPr>
            <w:r w:rsidRPr="002803A6">
              <w:rPr>
                <w:color w:val="000000"/>
                <w:sz w:val="16"/>
                <w:szCs w:val="16"/>
              </w:rPr>
              <w:t>HU - 3</w:t>
            </w:r>
          </w:p>
          <w:p w:rsidR="00982C5C" w:rsidRPr="002803A6" w:rsidRDefault="00982C5C" w:rsidP="00E16D6F">
            <w:pPr>
              <w:jc w:val="left"/>
              <w:rPr>
                <w:rFonts w:cs="Arial"/>
                <w:color w:val="000000"/>
                <w:sz w:val="16"/>
                <w:szCs w:val="16"/>
              </w:rPr>
            </w:pPr>
            <w:r w:rsidRPr="002803A6">
              <w:rPr>
                <w:color w:val="000000"/>
                <w:sz w:val="16"/>
                <w:szCs w:val="16"/>
              </w:rPr>
              <w:t>PL - 6</w:t>
            </w:r>
          </w:p>
        </w:tc>
      </w:tr>
      <w:tr w:rsidR="00982C5C" w:rsidRPr="002803A6" w:rsidTr="00E16D6F">
        <w:trPr>
          <w:cantSplit/>
        </w:trPr>
        <w:tc>
          <w:tcPr>
            <w:tcW w:w="1848" w:type="dxa"/>
          </w:tcPr>
          <w:p w:rsidR="00982C5C" w:rsidRPr="002803A6" w:rsidRDefault="00982C5C" w:rsidP="00E16D6F">
            <w:pPr>
              <w:jc w:val="left"/>
              <w:rPr>
                <w:rFonts w:cs="Arial"/>
                <w:color w:val="000000"/>
                <w:sz w:val="16"/>
                <w:szCs w:val="16"/>
              </w:rPr>
            </w:pPr>
            <w:r w:rsidRPr="002803A6">
              <w:rPr>
                <w:color w:val="000000"/>
                <w:sz w:val="16"/>
                <w:szCs w:val="16"/>
              </w:rPr>
              <w:t>5. Konferenz - I Rosensymposium „Rosalia“ 2019</w:t>
            </w:r>
          </w:p>
        </w:tc>
        <w:tc>
          <w:tcPr>
            <w:tcW w:w="1124" w:type="dxa"/>
          </w:tcPr>
          <w:p w:rsidR="00982C5C" w:rsidRPr="002803A6" w:rsidRDefault="00982C5C" w:rsidP="00E16D6F">
            <w:pPr>
              <w:jc w:val="left"/>
              <w:rPr>
                <w:rFonts w:cs="Arial"/>
                <w:color w:val="000000"/>
                <w:sz w:val="16"/>
                <w:szCs w:val="16"/>
              </w:rPr>
            </w:pPr>
            <w:r w:rsidRPr="002803A6">
              <w:rPr>
                <w:color w:val="000000"/>
                <w:sz w:val="16"/>
                <w:szCs w:val="16"/>
              </w:rPr>
              <w:t>15.06.2019</w:t>
            </w:r>
          </w:p>
        </w:tc>
        <w:tc>
          <w:tcPr>
            <w:tcW w:w="1418" w:type="dxa"/>
          </w:tcPr>
          <w:p w:rsidR="00982C5C" w:rsidRPr="002803A6" w:rsidRDefault="00982C5C" w:rsidP="00E16D6F">
            <w:pPr>
              <w:jc w:val="left"/>
              <w:rPr>
                <w:rFonts w:cs="Arial"/>
                <w:color w:val="000000"/>
                <w:sz w:val="16"/>
                <w:szCs w:val="16"/>
              </w:rPr>
            </w:pPr>
            <w:r w:rsidRPr="002803A6">
              <w:rPr>
                <w:color w:val="000000"/>
                <w:sz w:val="16"/>
                <w:szCs w:val="16"/>
              </w:rPr>
              <w:t>Polen, Warschau</w:t>
            </w:r>
          </w:p>
        </w:tc>
        <w:tc>
          <w:tcPr>
            <w:tcW w:w="1417" w:type="dxa"/>
          </w:tcPr>
          <w:p w:rsidR="00982C5C" w:rsidRPr="002803A6" w:rsidRDefault="00982C5C" w:rsidP="00E16D6F">
            <w:pPr>
              <w:jc w:val="left"/>
              <w:rPr>
                <w:rFonts w:cs="Arial"/>
                <w:color w:val="000000"/>
                <w:sz w:val="16"/>
                <w:szCs w:val="16"/>
              </w:rPr>
            </w:pPr>
            <w:r w:rsidRPr="002803A6">
              <w:rPr>
                <w:color w:val="000000"/>
                <w:sz w:val="16"/>
                <w:szCs w:val="16"/>
              </w:rPr>
              <w:t xml:space="preserve">Polnische Akademie der Wissenschaften, Botanischer Garten - Zentrum für den Erhalt der biologischen Vielfalt in </w:t>
            </w:r>
            <w:proofErr w:type="spellStart"/>
            <w:r w:rsidRPr="002803A6">
              <w:rPr>
                <w:color w:val="000000"/>
                <w:sz w:val="16"/>
                <w:szCs w:val="16"/>
              </w:rPr>
              <w:t>Powsin</w:t>
            </w:r>
            <w:proofErr w:type="spellEnd"/>
            <w:r w:rsidRPr="002803A6">
              <w:rPr>
                <w:color w:val="000000"/>
                <w:sz w:val="16"/>
                <w:szCs w:val="16"/>
              </w:rPr>
              <w:t xml:space="preserve">; Polnischer Rosenzüchter-verband </w:t>
            </w:r>
          </w:p>
        </w:tc>
        <w:tc>
          <w:tcPr>
            <w:tcW w:w="2977" w:type="dxa"/>
          </w:tcPr>
          <w:p w:rsidR="00982C5C" w:rsidRPr="002803A6" w:rsidRDefault="00982C5C" w:rsidP="00E16D6F">
            <w:pPr>
              <w:jc w:val="left"/>
              <w:rPr>
                <w:rFonts w:cs="Arial"/>
                <w:color w:val="000000"/>
                <w:sz w:val="16"/>
                <w:szCs w:val="16"/>
              </w:rPr>
            </w:pPr>
            <w:r w:rsidRPr="002803A6">
              <w:rPr>
                <w:color w:val="000000"/>
                <w:sz w:val="16"/>
                <w:szCs w:val="16"/>
              </w:rPr>
              <w:t>COBORU-Sachverständiger hielt ein Referat zum Thema „Rechtsschutz von Pflanzensorten in Polen“</w:t>
            </w:r>
          </w:p>
        </w:tc>
        <w:tc>
          <w:tcPr>
            <w:tcW w:w="1134" w:type="dxa"/>
          </w:tcPr>
          <w:p w:rsidR="00982C5C" w:rsidRPr="002803A6" w:rsidRDefault="00982C5C" w:rsidP="00E16D6F">
            <w:pPr>
              <w:jc w:val="left"/>
              <w:rPr>
                <w:rFonts w:cs="Arial"/>
                <w:color w:val="000000"/>
                <w:sz w:val="16"/>
                <w:szCs w:val="16"/>
              </w:rPr>
            </w:pPr>
            <w:r w:rsidRPr="002803A6">
              <w:rPr>
                <w:color w:val="000000"/>
                <w:sz w:val="16"/>
                <w:szCs w:val="16"/>
              </w:rPr>
              <w:t>PL - 20</w:t>
            </w:r>
          </w:p>
        </w:tc>
      </w:tr>
      <w:tr w:rsidR="00982C5C" w:rsidRPr="002803A6" w:rsidTr="00E16D6F">
        <w:trPr>
          <w:cantSplit/>
        </w:trPr>
        <w:tc>
          <w:tcPr>
            <w:tcW w:w="1848" w:type="dxa"/>
          </w:tcPr>
          <w:p w:rsidR="00982C5C" w:rsidRPr="002803A6" w:rsidRDefault="00982C5C" w:rsidP="00E16D6F">
            <w:pPr>
              <w:jc w:val="left"/>
              <w:rPr>
                <w:rFonts w:cs="Arial"/>
                <w:color w:val="000000"/>
                <w:sz w:val="16"/>
                <w:szCs w:val="16"/>
              </w:rPr>
            </w:pPr>
            <w:r w:rsidRPr="002803A6">
              <w:rPr>
                <w:color w:val="000000"/>
                <w:sz w:val="16"/>
                <w:szCs w:val="16"/>
              </w:rPr>
              <w:lastRenderedPageBreak/>
              <w:t>6. Besuch eines CPVO-Vertreters</w:t>
            </w:r>
          </w:p>
          <w:p w:rsidR="00982C5C" w:rsidRPr="002803A6" w:rsidRDefault="00982C5C" w:rsidP="00E16D6F">
            <w:pPr>
              <w:jc w:val="left"/>
              <w:rPr>
                <w:rFonts w:cs="Arial"/>
                <w:color w:val="000000"/>
                <w:sz w:val="16"/>
                <w:szCs w:val="16"/>
              </w:rPr>
            </w:pPr>
          </w:p>
        </w:tc>
        <w:tc>
          <w:tcPr>
            <w:tcW w:w="1124" w:type="dxa"/>
          </w:tcPr>
          <w:p w:rsidR="00982C5C" w:rsidRPr="002803A6" w:rsidRDefault="00982C5C" w:rsidP="00E16D6F">
            <w:pPr>
              <w:jc w:val="left"/>
              <w:rPr>
                <w:rFonts w:cs="Arial"/>
                <w:color w:val="000000"/>
                <w:sz w:val="16"/>
                <w:szCs w:val="16"/>
              </w:rPr>
            </w:pPr>
            <w:r w:rsidRPr="002803A6">
              <w:rPr>
                <w:color w:val="000000"/>
                <w:sz w:val="16"/>
                <w:szCs w:val="16"/>
              </w:rPr>
              <w:t>1.07-2.07.2019</w:t>
            </w:r>
          </w:p>
        </w:tc>
        <w:tc>
          <w:tcPr>
            <w:tcW w:w="1418" w:type="dxa"/>
          </w:tcPr>
          <w:p w:rsidR="00982C5C" w:rsidRPr="002803A6" w:rsidRDefault="00982C5C" w:rsidP="00E16D6F">
            <w:pPr>
              <w:jc w:val="left"/>
              <w:rPr>
                <w:rFonts w:cs="Arial"/>
                <w:color w:val="000000"/>
                <w:sz w:val="16"/>
                <w:szCs w:val="16"/>
              </w:rPr>
            </w:pPr>
            <w:r w:rsidRPr="002803A6">
              <w:rPr>
                <w:color w:val="000000"/>
                <w:sz w:val="16"/>
                <w:szCs w:val="16"/>
              </w:rPr>
              <w:t xml:space="preserve">Polen, COBORU-Hauptsitz; Prüfungsstation: </w:t>
            </w:r>
            <w:proofErr w:type="spellStart"/>
            <w:r w:rsidRPr="002803A6">
              <w:rPr>
                <w:color w:val="000000"/>
                <w:sz w:val="16"/>
                <w:szCs w:val="16"/>
              </w:rPr>
              <w:t>Śrem</w:t>
            </w:r>
            <w:proofErr w:type="spellEnd"/>
            <w:r w:rsidRPr="002803A6">
              <w:rPr>
                <w:color w:val="000000"/>
                <w:sz w:val="16"/>
                <w:szCs w:val="16"/>
              </w:rPr>
              <w:t xml:space="preserve">, </w:t>
            </w:r>
            <w:proofErr w:type="spellStart"/>
            <w:r w:rsidRPr="002803A6">
              <w:rPr>
                <w:color w:val="000000"/>
                <w:sz w:val="16"/>
                <w:szCs w:val="16"/>
              </w:rPr>
              <w:t>Chrząstowo</w:t>
            </w:r>
            <w:proofErr w:type="spellEnd"/>
          </w:p>
        </w:tc>
        <w:tc>
          <w:tcPr>
            <w:tcW w:w="1417" w:type="dxa"/>
          </w:tcPr>
          <w:p w:rsidR="00982C5C" w:rsidRPr="002803A6" w:rsidRDefault="00982C5C" w:rsidP="00E16D6F">
            <w:pPr>
              <w:jc w:val="left"/>
              <w:rPr>
                <w:rFonts w:cs="Arial"/>
                <w:color w:val="000000"/>
                <w:sz w:val="16"/>
                <w:szCs w:val="16"/>
              </w:rPr>
            </w:pPr>
            <w:r w:rsidRPr="002803A6">
              <w:rPr>
                <w:color w:val="000000"/>
                <w:sz w:val="16"/>
                <w:szCs w:val="16"/>
              </w:rPr>
              <w:t>COBORU</w:t>
            </w:r>
          </w:p>
        </w:tc>
        <w:tc>
          <w:tcPr>
            <w:tcW w:w="2977" w:type="dxa"/>
          </w:tcPr>
          <w:p w:rsidR="00982C5C" w:rsidRPr="002803A6" w:rsidRDefault="00982C5C" w:rsidP="00E16D6F">
            <w:pPr>
              <w:jc w:val="left"/>
              <w:rPr>
                <w:rFonts w:cs="Arial"/>
                <w:color w:val="000000"/>
                <w:sz w:val="16"/>
                <w:szCs w:val="16"/>
              </w:rPr>
            </w:pPr>
            <w:r w:rsidRPr="002803A6">
              <w:rPr>
                <w:color w:val="000000"/>
                <w:sz w:val="16"/>
                <w:szCs w:val="16"/>
              </w:rPr>
              <w:t>Technischer Besuch im Rahmen der Zusammenarbeit zwischen CPVO und COBORU; Inspektion von DUS-Anbauprüfungen von Zierpflanzenarten</w:t>
            </w:r>
          </w:p>
        </w:tc>
        <w:tc>
          <w:tcPr>
            <w:tcW w:w="1134" w:type="dxa"/>
          </w:tcPr>
          <w:p w:rsidR="00982C5C" w:rsidRPr="002803A6" w:rsidRDefault="00982C5C" w:rsidP="00E16D6F">
            <w:pPr>
              <w:jc w:val="left"/>
              <w:rPr>
                <w:rFonts w:cs="Arial"/>
                <w:color w:val="000000"/>
                <w:sz w:val="16"/>
                <w:szCs w:val="16"/>
              </w:rPr>
            </w:pPr>
            <w:r w:rsidRPr="002803A6">
              <w:rPr>
                <w:color w:val="000000"/>
                <w:sz w:val="16"/>
                <w:szCs w:val="16"/>
              </w:rPr>
              <w:t>CPVO - 1</w:t>
            </w:r>
          </w:p>
          <w:p w:rsidR="00982C5C" w:rsidRPr="002803A6" w:rsidRDefault="00982C5C" w:rsidP="00E16D6F">
            <w:pPr>
              <w:jc w:val="left"/>
              <w:rPr>
                <w:rFonts w:cs="Arial"/>
                <w:color w:val="000000"/>
                <w:sz w:val="16"/>
                <w:szCs w:val="16"/>
              </w:rPr>
            </w:pPr>
            <w:r w:rsidRPr="002803A6">
              <w:rPr>
                <w:color w:val="000000"/>
                <w:sz w:val="16"/>
                <w:szCs w:val="16"/>
              </w:rPr>
              <w:t>PL - 6</w:t>
            </w:r>
          </w:p>
        </w:tc>
      </w:tr>
      <w:tr w:rsidR="00982C5C" w:rsidRPr="002803A6" w:rsidTr="00E16D6F">
        <w:trPr>
          <w:cantSplit/>
        </w:trPr>
        <w:tc>
          <w:tcPr>
            <w:tcW w:w="1848" w:type="dxa"/>
          </w:tcPr>
          <w:p w:rsidR="00982C5C" w:rsidRPr="002803A6" w:rsidRDefault="00982C5C" w:rsidP="00E16D6F">
            <w:pPr>
              <w:jc w:val="left"/>
              <w:rPr>
                <w:rFonts w:cs="Arial"/>
                <w:color w:val="000000"/>
                <w:sz w:val="16"/>
                <w:szCs w:val="16"/>
              </w:rPr>
            </w:pPr>
            <w:r w:rsidRPr="002803A6">
              <w:rPr>
                <w:color w:val="000000"/>
                <w:sz w:val="16"/>
                <w:szCs w:val="16"/>
              </w:rPr>
              <w:t xml:space="preserve">7. Besuch der Delegation der belarussischen Behörde </w:t>
            </w:r>
          </w:p>
        </w:tc>
        <w:tc>
          <w:tcPr>
            <w:tcW w:w="1124" w:type="dxa"/>
          </w:tcPr>
          <w:p w:rsidR="00982C5C" w:rsidRPr="002803A6" w:rsidRDefault="00982C5C" w:rsidP="00E16D6F">
            <w:pPr>
              <w:jc w:val="left"/>
              <w:rPr>
                <w:rFonts w:cs="Arial"/>
                <w:color w:val="000000"/>
                <w:sz w:val="16"/>
                <w:szCs w:val="16"/>
              </w:rPr>
            </w:pPr>
            <w:r w:rsidRPr="002803A6">
              <w:rPr>
                <w:color w:val="000000"/>
                <w:sz w:val="16"/>
                <w:szCs w:val="16"/>
              </w:rPr>
              <w:t>16.07-17.07.2019</w:t>
            </w:r>
          </w:p>
        </w:tc>
        <w:tc>
          <w:tcPr>
            <w:tcW w:w="1418" w:type="dxa"/>
          </w:tcPr>
          <w:p w:rsidR="00982C5C" w:rsidRPr="002803A6" w:rsidRDefault="00982C5C" w:rsidP="00E16D6F">
            <w:pPr>
              <w:jc w:val="left"/>
              <w:rPr>
                <w:rFonts w:cs="Arial"/>
                <w:color w:val="000000"/>
                <w:sz w:val="16"/>
                <w:szCs w:val="16"/>
              </w:rPr>
            </w:pPr>
            <w:r w:rsidRPr="002803A6">
              <w:rPr>
                <w:color w:val="000000"/>
                <w:sz w:val="16"/>
                <w:szCs w:val="16"/>
              </w:rPr>
              <w:t xml:space="preserve">COBORU Prüfungsstation </w:t>
            </w:r>
            <w:proofErr w:type="spellStart"/>
            <w:r w:rsidRPr="002803A6">
              <w:rPr>
                <w:color w:val="000000"/>
                <w:sz w:val="16"/>
                <w:szCs w:val="16"/>
              </w:rPr>
              <w:t>Krzyżewo</w:t>
            </w:r>
            <w:proofErr w:type="spellEnd"/>
          </w:p>
        </w:tc>
        <w:tc>
          <w:tcPr>
            <w:tcW w:w="1417" w:type="dxa"/>
          </w:tcPr>
          <w:p w:rsidR="00982C5C" w:rsidRPr="002803A6" w:rsidRDefault="00982C5C" w:rsidP="00E16D6F">
            <w:pPr>
              <w:jc w:val="left"/>
              <w:rPr>
                <w:rFonts w:cs="Arial"/>
                <w:color w:val="000000"/>
                <w:sz w:val="16"/>
                <w:szCs w:val="16"/>
              </w:rPr>
            </w:pPr>
            <w:r w:rsidRPr="002803A6">
              <w:rPr>
                <w:color w:val="000000"/>
                <w:sz w:val="16"/>
                <w:szCs w:val="16"/>
              </w:rPr>
              <w:t>COBORU</w:t>
            </w:r>
          </w:p>
        </w:tc>
        <w:tc>
          <w:tcPr>
            <w:tcW w:w="2977" w:type="dxa"/>
          </w:tcPr>
          <w:p w:rsidR="00982C5C" w:rsidRPr="002803A6" w:rsidRDefault="00982C5C" w:rsidP="00E16D6F">
            <w:pPr>
              <w:jc w:val="left"/>
              <w:rPr>
                <w:rFonts w:cs="Arial"/>
                <w:color w:val="000000"/>
                <w:sz w:val="16"/>
                <w:szCs w:val="16"/>
              </w:rPr>
            </w:pPr>
            <w:r w:rsidRPr="002803A6">
              <w:rPr>
                <w:color w:val="000000"/>
                <w:sz w:val="16"/>
                <w:szCs w:val="16"/>
              </w:rPr>
              <w:t>Präsentation der Organisation und der Tätigkeiten der COBORU, einschließlich des Systems der DUS-Prüfung; Erörterung etwaiger Bereiche der Zusammenarbeit; Inspektion von DUS-Anbauprüfungen</w:t>
            </w:r>
          </w:p>
        </w:tc>
        <w:tc>
          <w:tcPr>
            <w:tcW w:w="1134" w:type="dxa"/>
          </w:tcPr>
          <w:p w:rsidR="00982C5C" w:rsidRPr="002803A6" w:rsidRDefault="00982C5C" w:rsidP="00E16D6F">
            <w:pPr>
              <w:jc w:val="left"/>
              <w:rPr>
                <w:rFonts w:cs="Arial"/>
                <w:color w:val="000000"/>
                <w:sz w:val="16"/>
                <w:szCs w:val="16"/>
              </w:rPr>
            </w:pPr>
            <w:r w:rsidRPr="002803A6">
              <w:rPr>
                <w:color w:val="000000"/>
                <w:sz w:val="16"/>
                <w:szCs w:val="16"/>
              </w:rPr>
              <w:t>BY - 8</w:t>
            </w:r>
          </w:p>
          <w:p w:rsidR="00982C5C" w:rsidRPr="002803A6" w:rsidRDefault="00982C5C" w:rsidP="00E16D6F">
            <w:pPr>
              <w:jc w:val="left"/>
              <w:rPr>
                <w:rFonts w:cs="Arial"/>
                <w:color w:val="000000"/>
                <w:sz w:val="16"/>
                <w:szCs w:val="16"/>
              </w:rPr>
            </w:pPr>
            <w:r w:rsidRPr="002803A6">
              <w:rPr>
                <w:color w:val="000000"/>
                <w:sz w:val="16"/>
                <w:szCs w:val="16"/>
              </w:rPr>
              <w:t>PL - 11</w:t>
            </w:r>
          </w:p>
        </w:tc>
      </w:tr>
      <w:tr w:rsidR="00982C5C" w:rsidRPr="002803A6" w:rsidTr="00E16D6F">
        <w:trPr>
          <w:cantSplit/>
        </w:trPr>
        <w:tc>
          <w:tcPr>
            <w:tcW w:w="1848" w:type="dxa"/>
          </w:tcPr>
          <w:p w:rsidR="00982C5C" w:rsidRPr="002803A6" w:rsidRDefault="00982C5C" w:rsidP="00E16D6F">
            <w:pPr>
              <w:jc w:val="left"/>
              <w:rPr>
                <w:rFonts w:cs="Arial"/>
                <w:color w:val="000000"/>
                <w:sz w:val="16"/>
                <w:szCs w:val="16"/>
              </w:rPr>
            </w:pPr>
            <w:r w:rsidRPr="002803A6">
              <w:rPr>
                <w:color w:val="000000"/>
                <w:sz w:val="16"/>
                <w:szCs w:val="16"/>
              </w:rPr>
              <w:t>8. Besuch von Vertretern des BSA (DE)</w:t>
            </w:r>
          </w:p>
          <w:p w:rsidR="00982C5C" w:rsidRPr="002803A6" w:rsidRDefault="00982C5C" w:rsidP="00E16D6F">
            <w:pPr>
              <w:jc w:val="left"/>
              <w:rPr>
                <w:rFonts w:cs="Arial"/>
                <w:color w:val="000000"/>
                <w:sz w:val="16"/>
                <w:szCs w:val="16"/>
              </w:rPr>
            </w:pPr>
          </w:p>
        </w:tc>
        <w:tc>
          <w:tcPr>
            <w:tcW w:w="1124" w:type="dxa"/>
          </w:tcPr>
          <w:p w:rsidR="00982C5C" w:rsidRPr="002803A6" w:rsidRDefault="00982C5C" w:rsidP="00E16D6F">
            <w:pPr>
              <w:jc w:val="left"/>
              <w:rPr>
                <w:rFonts w:cs="Arial"/>
                <w:color w:val="000000"/>
                <w:sz w:val="16"/>
                <w:szCs w:val="16"/>
              </w:rPr>
            </w:pPr>
            <w:r w:rsidRPr="002803A6">
              <w:rPr>
                <w:color w:val="000000"/>
                <w:sz w:val="16"/>
                <w:szCs w:val="16"/>
              </w:rPr>
              <w:t>27.08-28.08.2019</w:t>
            </w:r>
          </w:p>
        </w:tc>
        <w:tc>
          <w:tcPr>
            <w:tcW w:w="1418" w:type="dxa"/>
          </w:tcPr>
          <w:p w:rsidR="00982C5C" w:rsidRPr="002803A6" w:rsidRDefault="00982C5C" w:rsidP="00E16D6F">
            <w:pPr>
              <w:jc w:val="left"/>
              <w:rPr>
                <w:rFonts w:cs="Arial"/>
                <w:color w:val="000000"/>
                <w:sz w:val="16"/>
                <w:szCs w:val="16"/>
              </w:rPr>
            </w:pPr>
            <w:r w:rsidRPr="002803A6">
              <w:rPr>
                <w:color w:val="000000"/>
                <w:sz w:val="16"/>
                <w:szCs w:val="16"/>
              </w:rPr>
              <w:t xml:space="preserve">Polen, Prüfungsstation: </w:t>
            </w:r>
            <w:proofErr w:type="spellStart"/>
            <w:r w:rsidRPr="002803A6">
              <w:rPr>
                <w:color w:val="000000"/>
                <w:sz w:val="16"/>
                <w:szCs w:val="16"/>
              </w:rPr>
              <w:t>Zybiszów</w:t>
            </w:r>
            <w:proofErr w:type="spellEnd"/>
            <w:r w:rsidRPr="002803A6">
              <w:rPr>
                <w:color w:val="000000"/>
                <w:sz w:val="16"/>
                <w:szCs w:val="16"/>
              </w:rPr>
              <w:t xml:space="preserve">, </w:t>
            </w:r>
            <w:proofErr w:type="spellStart"/>
            <w:r w:rsidRPr="002803A6">
              <w:rPr>
                <w:color w:val="000000"/>
                <w:sz w:val="16"/>
                <w:szCs w:val="16"/>
              </w:rPr>
              <w:t>Masłowice</w:t>
            </w:r>
            <w:proofErr w:type="spellEnd"/>
          </w:p>
        </w:tc>
        <w:tc>
          <w:tcPr>
            <w:tcW w:w="1417" w:type="dxa"/>
          </w:tcPr>
          <w:p w:rsidR="00982C5C" w:rsidRPr="002803A6" w:rsidRDefault="00982C5C" w:rsidP="00E16D6F">
            <w:pPr>
              <w:jc w:val="left"/>
              <w:rPr>
                <w:rFonts w:cs="Arial"/>
                <w:color w:val="000000"/>
                <w:sz w:val="16"/>
                <w:szCs w:val="16"/>
              </w:rPr>
            </w:pPr>
            <w:r w:rsidRPr="002803A6">
              <w:rPr>
                <w:color w:val="000000"/>
                <w:sz w:val="16"/>
                <w:szCs w:val="16"/>
              </w:rPr>
              <w:t>COBORU</w:t>
            </w:r>
          </w:p>
        </w:tc>
        <w:tc>
          <w:tcPr>
            <w:tcW w:w="2977" w:type="dxa"/>
          </w:tcPr>
          <w:p w:rsidR="00982C5C" w:rsidRPr="002803A6" w:rsidRDefault="00982C5C" w:rsidP="00E16D6F">
            <w:pPr>
              <w:jc w:val="left"/>
              <w:rPr>
                <w:rFonts w:cs="Arial"/>
                <w:color w:val="000000"/>
                <w:sz w:val="16"/>
                <w:szCs w:val="16"/>
              </w:rPr>
            </w:pPr>
            <w:r w:rsidRPr="002803A6">
              <w:rPr>
                <w:color w:val="000000"/>
                <w:sz w:val="16"/>
                <w:szCs w:val="16"/>
              </w:rPr>
              <w:t xml:space="preserve">Technische Diskussion über DUS-Protokolle für Obstpflanzen </w:t>
            </w:r>
          </w:p>
        </w:tc>
        <w:tc>
          <w:tcPr>
            <w:tcW w:w="1134" w:type="dxa"/>
          </w:tcPr>
          <w:p w:rsidR="00982C5C" w:rsidRPr="002803A6" w:rsidRDefault="00982C5C" w:rsidP="00E16D6F">
            <w:pPr>
              <w:jc w:val="left"/>
              <w:rPr>
                <w:rFonts w:cs="Arial"/>
                <w:color w:val="000000"/>
                <w:sz w:val="16"/>
                <w:szCs w:val="16"/>
              </w:rPr>
            </w:pPr>
            <w:r w:rsidRPr="002803A6">
              <w:rPr>
                <w:color w:val="000000"/>
                <w:sz w:val="16"/>
                <w:szCs w:val="16"/>
              </w:rPr>
              <w:t>DE - 2</w:t>
            </w:r>
          </w:p>
          <w:p w:rsidR="00982C5C" w:rsidRPr="002803A6" w:rsidRDefault="00982C5C" w:rsidP="00E16D6F">
            <w:pPr>
              <w:jc w:val="left"/>
              <w:rPr>
                <w:rFonts w:cs="Arial"/>
                <w:color w:val="000000"/>
                <w:sz w:val="16"/>
                <w:szCs w:val="16"/>
              </w:rPr>
            </w:pPr>
            <w:r w:rsidRPr="002803A6">
              <w:rPr>
                <w:color w:val="000000"/>
                <w:sz w:val="16"/>
                <w:szCs w:val="16"/>
              </w:rPr>
              <w:t>PL - 8</w:t>
            </w:r>
          </w:p>
        </w:tc>
      </w:tr>
    </w:tbl>
    <w:p w:rsidR="00982C5C" w:rsidRPr="002803A6" w:rsidRDefault="00982C5C" w:rsidP="00982C5C">
      <w:pPr>
        <w:rPr>
          <w:rFonts w:cs="Arial"/>
          <w:color w:val="000000"/>
        </w:rPr>
      </w:pPr>
    </w:p>
    <w:p w:rsidR="00982C5C" w:rsidRPr="002803A6" w:rsidRDefault="00982C5C" w:rsidP="00982C5C">
      <w:pPr>
        <w:rPr>
          <w:rFonts w:cs="Arial"/>
          <w:color w:val="000000"/>
        </w:rPr>
      </w:pPr>
    </w:p>
    <w:p w:rsidR="00982C5C" w:rsidRPr="002803A6" w:rsidRDefault="00982C5C" w:rsidP="00982C5C">
      <w:pPr>
        <w:rPr>
          <w:rFonts w:cs="Arial"/>
        </w:rPr>
      </w:pPr>
      <w:r w:rsidRPr="002803A6">
        <w:t>II.</w:t>
      </w:r>
      <w:r w:rsidRPr="002803A6">
        <w:tab/>
        <w:t>ANDERE ENTWICKLUNGEN VON INTERESSE FÜR DIE UPOV</w:t>
      </w:r>
    </w:p>
    <w:p w:rsidR="00982C5C" w:rsidRPr="002803A6" w:rsidRDefault="00982C5C" w:rsidP="00982C5C">
      <w:pPr>
        <w:rPr>
          <w:rFonts w:cs="Arial"/>
        </w:rPr>
      </w:pPr>
    </w:p>
    <w:p w:rsidR="00982C5C" w:rsidRPr="002803A6" w:rsidRDefault="00982C5C" w:rsidP="00982C5C">
      <w:pPr>
        <w:rPr>
          <w:rFonts w:cs="Arial"/>
        </w:rPr>
      </w:pPr>
      <w:r w:rsidRPr="002803A6">
        <w:t xml:space="preserve">Die </w:t>
      </w:r>
      <w:r w:rsidRPr="002803A6">
        <w:rPr>
          <w:i/>
          <w:iCs/>
        </w:rPr>
        <w:t>Polnische nationale Liste der Sorten landwirtschaftlicher Pflanzen</w:t>
      </w:r>
      <w:r w:rsidRPr="002803A6">
        <w:t xml:space="preserve">, die </w:t>
      </w:r>
      <w:r w:rsidRPr="002803A6">
        <w:rPr>
          <w:i/>
          <w:iCs/>
        </w:rPr>
        <w:t>Polnische nationale Liste der Sorten von Gemüsepflanzen</w:t>
      </w:r>
      <w:r w:rsidRPr="002803A6">
        <w:t xml:space="preserve"> und die </w:t>
      </w:r>
      <w:r w:rsidRPr="002803A6">
        <w:rPr>
          <w:i/>
          <w:iCs/>
        </w:rPr>
        <w:t>Polnische nationale Liste der Sorten von Obstpflanzen</w:t>
      </w:r>
      <w:r w:rsidRPr="002803A6">
        <w:t xml:space="preserve"> wurden jeweils im April, Mai bzw. Juli 2019 herausgegeben. Diese offiziellen Listen sowie aktualisierte Sortenlisten sind ebenfalls abrufbar unter </w:t>
      </w:r>
      <w:hyperlink r:id="rId28" w:history="1">
        <w:r w:rsidRPr="002803A6">
          <w:rPr>
            <w:rStyle w:val="Hyperlink"/>
          </w:rPr>
          <w:t>www.coboru.pl</w:t>
        </w:r>
      </w:hyperlink>
      <w:r w:rsidRPr="002803A6">
        <w:t xml:space="preserve">. </w:t>
      </w:r>
    </w:p>
    <w:p w:rsidR="00982C5C" w:rsidRPr="002803A6" w:rsidRDefault="00982C5C" w:rsidP="00982C5C">
      <w:pPr>
        <w:rPr>
          <w:rFonts w:cs="Arial"/>
        </w:rPr>
      </w:pPr>
    </w:p>
    <w:p w:rsidR="00701A18" w:rsidRPr="002803A6" w:rsidRDefault="00701A18" w:rsidP="00701A18">
      <w:pPr>
        <w:jc w:val="left"/>
      </w:pPr>
    </w:p>
    <w:p w:rsidR="00701A18" w:rsidRPr="002803A6" w:rsidRDefault="00701A18" w:rsidP="00701A18">
      <w:pPr>
        <w:jc w:val="left"/>
      </w:pPr>
    </w:p>
    <w:p w:rsidR="00701A18" w:rsidRPr="002803A6" w:rsidRDefault="00701A18" w:rsidP="00701A18">
      <w:pPr>
        <w:jc w:val="right"/>
      </w:pPr>
      <w:r w:rsidRPr="002803A6">
        <w:t>[</w:t>
      </w:r>
      <w:r w:rsidR="00445C49" w:rsidRPr="002803A6">
        <w:t>Anlage</w:t>
      </w:r>
      <w:r w:rsidRPr="002803A6">
        <w:t xml:space="preserve"> XII </w:t>
      </w:r>
      <w:r w:rsidR="00445C49" w:rsidRPr="002803A6">
        <w:t>folgt]</w:t>
      </w:r>
    </w:p>
    <w:p w:rsidR="00701A18" w:rsidRPr="002803A6" w:rsidRDefault="00701A18" w:rsidP="00701A18">
      <w:pPr>
        <w:jc w:val="left"/>
      </w:pPr>
    </w:p>
    <w:p w:rsidR="00701A18" w:rsidRPr="002803A6" w:rsidRDefault="00701A18" w:rsidP="00701A18">
      <w:pPr>
        <w:jc w:val="left"/>
        <w:sectPr w:rsidR="00701A18" w:rsidRPr="002803A6" w:rsidSect="00823234">
          <w:headerReference w:type="default" r:id="rId29"/>
          <w:pgSz w:w="11907" w:h="16840" w:code="9"/>
          <w:pgMar w:top="510" w:right="1134" w:bottom="1134" w:left="1134" w:header="510" w:footer="680" w:gutter="0"/>
          <w:pgNumType w:start="1"/>
          <w:cols w:space="720"/>
          <w:titlePg/>
        </w:sectPr>
      </w:pPr>
    </w:p>
    <w:p w:rsidR="00701A18" w:rsidRPr="002803A6" w:rsidRDefault="00701A18" w:rsidP="00701A18">
      <w:pPr>
        <w:jc w:val="center"/>
      </w:pPr>
      <w:r w:rsidRPr="002803A6">
        <w:lastRenderedPageBreak/>
        <w:t>C/53/INF/4</w:t>
      </w:r>
    </w:p>
    <w:p w:rsidR="00701A18" w:rsidRPr="002803A6" w:rsidRDefault="00701A18" w:rsidP="00701A18">
      <w:pPr>
        <w:jc w:val="center"/>
      </w:pPr>
    </w:p>
    <w:p w:rsidR="00701A18" w:rsidRPr="002803A6" w:rsidRDefault="00445C49" w:rsidP="00701A18">
      <w:pPr>
        <w:jc w:val="center"/>
      </w:pPr>
      <w:r w:rsidRPr="002803A6">
        <w:t>ANLAGE</w:t>
      </w:r>
      <w:r w:rsidR="00701A18" w:rsidRPr="002803A6">
        <w:t xml:space="preserve"> XII</w:t>
      </w:r>
    </w:p>
    <w:p w:rsidR="00701A18" w:rsidRPr="002803A6" w:rsidRDefault="00701A18" w:rsidP="00701A18">
      <w:pPr>
        <w:jc w:val="center"/>
      </w:pPr>
    </w:p>
    <w:p w:rsidR="00701A18" w:rsidRPr="002803A6" w:rsidRDefault="00701A18" w:rsidP="00701A18">
      <w:pPr>
        <w:jc w:val="center"/>
      </w:pPr>
    </w:p>
    <w:p w:rsidR="00982C5C" w:rsidRPr="002803A6" w:rsidRDefault="00982C5C" w:rsidP="00982C5C">
      <w:pPr>
        <w:jc w:val="center"/>
      </w:pPr>
      <w:r w:rsidRPr="002803A6">
        <w:t>REPUBLIK KOREA</w:t>
      </w:r>
    </w:p>
    <w:p w:rsidR="00982C5C" w:rsidRPr="002803A6" w:rsidRDefault="00982C5C" w:rsidP="00982C5C">
      <w:pPr>
        <w:jc w:val="center"/>
      </w:pPr>
      <w:r w:rsidRPr="002803A6">
        <w:t>Berichtszeitraum: September 2018 - August 2019</w:t>
      </w:r>
    </w:p>
    <w:p w:rsidR="00982C5C" w:rsidRPr="002803A6" w:rsidRDefault="00982C5C" w:rsidP="00982C5C"/>
    <w:p w:rsidR="00982C5C" w:rsidRPr="002803A6" w:rsidRDefault="00982C5C" w:rsidP="00982C5C"/>
    <w:p w:rsidR="00982C5C" w:rsidRPr="002803A6" w:rsidRDefault="00982C5C" w:rsidP="00982C5C">
      <w:r w:rsidRPr="002803A6">
        <w:t>I.</w:t>
      </w:r>
      <w:r w:rsidRPr="002803A6">
        <w:tab/>
        <w:t>SORTENSCHUTZ</w:t>
      </w:r>
    </w:p>
    <w:p w:rsidR="00982C5C" w:rsidRPr="002803A6" w:rsidRDefault="00982C5C" w:rsidP="00982C5C"/>
    <w:p w:rsidR="00982C5C" w:rsidRPr="002803A6" w:rsidRDefault="00982C5C" w:rsidP="00982C5C">
      <w:r w:rsidRPr="002803A6">
        <w:t xml:space="preserve">1. </w:t>
      </w:r>
      <w:r w:rsidRPr="002803A6">
        <w:tab/>
      </w:r>
      <w:r w:rsidRPr="002803A6">
        <w:rPr>
          <w:u w:val="single"/>
        </w:rPr>
        <w:t>Lage auf dem Gebiet der Gesetzgebung</w:t>
      </w:r>
    </w:p>
    <w:p w:rsidR="00982C5C" w:rsidRPr="002803A6" w:rsidRDefault="00982C5C" w:rsidP="00982C5C"/>
    <w:p w:rsidR="00982C5C" w:rsidRPr="002803A6" w:rsidRDefault="00982C5C" w:rsidP="00982C5C">
      <w:pPr>
        <w:ind w:firstLine="567"/>
      </w:pPr>
      <w:r w:rsidRPr="002803A6">
        <w:t>Keine Anmerkungen</w:t>
      </w:r>
    </w:p>
    <w:p w:rsidR="00982C5C" w:rsidRPr="002803A6" w:rsidRDefault="00982C5C" w:rsidP="00982C5C">
      <w:pPr>
        <w:pStyle w:val="BodyTextIndent2"/>
        <w:spacing w:after="0" w:line="240" w:lineRule="auto"/>
        <w:ind w:left="0"/>
      </w:pPr>
    </w:p>
    <w:p w:rsidR="00982C5C" w:rsidRPr="002803A6" w:rsidRDefault="00982C5C" w:rsidP="00982C5C"/>
    <w:p w:rsidR="00982C5C" w:rsidRPr="002803A6" w:rsidRDefault="00982C5C" w:rsidP="00982C5C">
      <w:r w:rsidRPr="002803A6">
        <w:t>2.</w:t>
      </w:r>
      <w:r w:rsidRPr="002803A6">
        <w:tab/>
      </w:r>
      <w:r w:rsidRPr="002803A6">
        <w:rPr>
          <w:u w:val="single"/>
        </w:rPr>
        <w:t>Zusammenarbeit bei der Prüfung</w:t>
      </w:r>
    </w:p>
    <w:p w:rsidR="00982C5C" w:rsidRPr="002803A6" w:rsidRDefault="00982C5C" w:rsidP="00982C5C"/>
    <w:p w:rsidR="00982C5C" w:rsidRPr="002803A6" w:rsidRDefault="00982C5C" w:rsidP="00982C5C">
      <w:r w:rsidRPr="002803A6">
        <w:t>Eine Absichtserklärung über die technologische Zusammenarbeit auf dem Gebiet der Züchterrechte zwischen KSVS und dem Zentrum für Anbauprüfungen landwirtschaftlicher Pflanzensorten des Ministeriums für Agrarressourcen der Republik Usbekistan wurde im Dezember 2018 unterzeichnet. KSVS übermittelt die Ergebnisse der gemäß dem UPOV-Übereinkommen und auf Antrag der koreanischen Behörde durchgeführten Prüfungen auf Antrag der usbekischen Behörde an die usbekische Behörde und umgekehrt.</w:t>
      </w:r>
    </w:p>
    <w:p w:rsidR="00982C5C" w:rsidRPr="002803A6" w:rsidRDefault="00982C5C" w:rsidP="00982C5C"/>
    <w:p w:rsidR="00982C5C" w:rsidRPr="002803A6" w:rsidRDefault="00982C5C" w:rsidP="00982C5C"/>
    <w:p w:rsidR="00982C5C" w:rsidRPr="002803A6" w:rsidRDefault="00982C5C" w:rsidP="00982C5C">
      <w:pPr>
        <w:rPr>
          <w:u w:val="single"/>
        </w:rPr>
      </w:pPr>
      <w:r w:rsidRPr="002803A6">
        <w:t>3.</w:t>
      </w:r>
      <w:r w:rsidRPr="002803A6">
        <w:tab/>
      </w:r>
      <w:r w:rsidRPr="002803A6">
        <w:rPr>
          <w:u w:val="single"/>
        </w:rPr>
        <w:t>Lage auf dem Gebiet der Verwaltung</w:t>
      </w:r>
    </w:p>
    <w:p w:rsidR="00982C5C" w:rsidRPr="002803A6" w:rsidRDefault="00982C5C" w:rsidP="00982C5C">
      <w:pPr>
        <w:rPr>
          <w:lang w:eastAsia="ko-KR"/>
        </w:rPr>
      </w:pPr>
    </w:p>
    <w:p w:rsidR="00982C5C" w:rsidRPr="002803A6" w:rsidRDefault="00982C5C" w:rsidP="00982C5C">
      <w:r w:rsidRPr="002803A6">
        <w:t xml:space="preserve">Das </w:t>
      </w:r>
      <w:r w:rsidRPr="002803A6">
        <w:rPr>
          <w:i/>
          <w:iCs/>
        </w:rPr>
        <w:t xml:space="preserve">International </w:t>
      </w:r>
      <w:proofErr w:type="spellStart"/>
      <w:r w:rsidRPr="002803A6">
        <w:rPr>
          <w:i/>
          <w:iCs/>
        </w:rPr>
        <w:t>Seed</w:t>
      </w:r>
      <w:proofErr w:type="spellEnd"/>
      <w:r w:rsidRPr="002803A6">
        <w:rPr>
          <w:i/>
          <w:iCs/>
        </w:rPr>
        <w:t xml:space="preserve"> Training Center</w:t>
      </w:r>
      <w:r w:rsidRPr="002803A6">
        <w:t xml:space="preserve"> wurde im vergangenen Juni mit dem Ziel eröffnet, in der Saatgutindustrie tätige Personen auszubilden. Es bietet Ausbildungslehrgänge zum Thema Sortenschutzsystem sowie auch Saatgutprüfung und -vorschriften an.</w:t>
      </w:r>
    </w:p>
    <w:p w:rsidR="00982C5C" w:rsidRPr="002803A6" w:rsidRDefault="00982C5C" w:rsidP="00982C5C"/>
    <w:p w:rsidR="00982C5C" w:rsidRPr="002803A6" w:rsidRDefault="00982C5C" w:rsidP="00982C5C"/>
    <w:p w:rsidR="00982C5C" w:rsidRPr="002803A6" w:rsidRDefault="00982C5C" w:rsidP="00982C5C">
      <w:r w:rsidRPr="002803A6">
        <w:t>4.</w:t>
      </w:r>
      <w:r w:rsidRPr="002803A6">
        <w:tab/>
      </w:r>
      <w:r w:rsidRPr="002803A6">
        <w:rPr>
          <w:u w:val="single"/>
        </w:rPr>
        <w:t>Lage auf dem Gebiet der Technik</w:t>
      </w:r>
    </w:p>
    <w:p w:rsidR="00982C5C" w:rsidRPr="002803A6" w:rsidRDefault="00982C5C" w:rsidP="00982C5C">
      <w:pPr>
        <w:rPr>
          <w:lang w:eastAsia="ko-KR"/>
        </w:rPr>
      </w:pPr>
    </w:p>
    <w:p w:rsidR="00982C5C" w:rsidRPr="002803A6" w:rsidRDefault="00982C5C" w:rsidP="00982C5C">
      <w:pPr>
        <w:rPr>
          <w:rFonts w:cs="Arial"/>
        </w:rPr>
      </w:pPr>
      <w:r w:rsidRPr="002803A6">
        <w:t xml:space="preserve">Im Finanzjahr, das am 31. Dezember 2018 endete, wurden 765 Sortenschutzanträge angenommen (2,7 % mehr als im Vorjahr), 574 Schutzrechte erteilt (8 % mehr als im Vorjahr) und 217 Schutzrechte beendet. Am 31. Dezember 2018 sind 5 325 Sortenschutztitel in Kraft. Informationen über Züchterrechte sind zu finden unter </w:t>
      </w:r>
      <w:hyperlink r:id="rId30" w:history="1">
        <w:r w:rsidRPr="002803A6">
          <w:rPr>
            <w:rStyle w:val="Hyperlink"/>
          </w:rPr>
          <w:t>www.seed.go.kr</w:t>
        </w:r>
      </w:hyperlink>
    </w:p>
    <w:p w:rsidR="00982C5C" w:rsidRPr="002803A6" w:rsidRDefault="00982C5C" w:rsidP="00982C5C">
      <w:pPr>
        <w:rPr>
          <w:rFonts w:cs="Arial"/>
          <w:lang w:eastAsia="ko-KR"/>
        </w:rPr>
      </w:pPr>
    </w:p>
    <w:p w:rsidR="00982C5C" w:rsidRPr="002803A6" w:rsidRDefault="00982C5C" w:rsidP="00982C5C">
      <w:pPr>
        <w:rPr>
          <w:rFonts w:cs="Arial"/>
        </w:rPr>
      </w:pPr>
      <w:r w:rsidRPr="002803A6">
        <w:t>Neue nationale Prüfungsrichtlinien (TG) für 9 Gattungen und Arten wurden erstellt und vorhandene Prüfungsrichtlinien von 11 Gattungen und Arten wurden überarbeitet, um mit den UPOV-Prüfungsrichtlinien im Jahr 2018 zu harmonisieren.</w:t>
      </w:r>
    </w:p>
    <w:p w:rsidR="00982C5C" w:rsidRPr="002803A6" w:rsidRDefault="00982C5C" w:rsidP="00982C5C">
      <w:pPr>
        <w:rPr>
          <w:rFonts w:cs="Arial"/>
          <w:lang w:eastAsia="ko-KR"/>
        </w:rPr>
      </w:pPr>
    </w:p>
    <w:p w:rsidR="00982C5C" w:rsidRPr="002803A6" w:rsidRDefault="00982C5C" w:rsidP="00982C5C">
      <w:pPr>
        <w:rPr>
          <w:rFonts w:cs="Arial"/>
        </w:rPr>
      </w:pPr>
      <w:r w:rsidRPr="002803A6">
        <w:t>Die Republik Korea beteiligt sich seit 2017 als führender Sachverständiger an der Überarbeitung der Prüfungsrichtlinie für Ginseng in der TWA.</w:t>
      </w:r>
    </w:p>
    <w:p w:rsidR="00982C5C" w:rsidRPr="002803A6" w:rsidRDefault="00982C5C" w:rsidP="00982C5C">
      <w:pPr>
        <w:rPr>
          <w:rFonts w:cs="Arial"/>
        </w:rPr>
      </w:pPr>
    </w:p>
    <w:p w:rsidR="00982C5C" w:rsidRPr="002803A6" w:rsidRDefault="00982C5C" w:rsidP="00982C5C"/>
    <w:p w:rsidR="00982C5C" w:rsidRPr="002803A6" w:rsidRDefault="00982C5C" w:rsidP="00982C5C">
      <w:pPr>
        <w:rPr>
          <w:u w:val="single"/>
        </w:rPr>
      </w:pPr>
      <w:r w:rsidRPr="002803A6">
        <w:t>5.</w:t>
      </w:r>
      <w:r w:rsidRPr="002803A6">
        <w:tab/>
      </w:r>
      <w:r w:rsidRPr="002803A6">
        <w:rPr>
          <w:u w:val="single"/>
        </w:rPr>
        <w:t>Tätigkeiten zur Förderung des Sortenschutzes</w:t>
      </w:r>
    </w:p>
    <w:p w:rsidR="00982C5C" w:rsidRPr="002803A6" w:rsidRDefault="00982C5C" w:rsidP="00982C5C"/>
    <w:tbl>
      <w:tblPr>
        <w:tblStyle w:val="TableGrid"/>
        <w:tblpPr w:leftFromText="180" w:rightFromText="180" w:vertAnchor="text" w:tblpY="1"/>
        <w:tblOverlap w:val="never"/>
        <w:tblW w:w="9710" w:type="dxa"/>
        <w:tblLayout w:type="fixed"/>
        <w:tblCellMar>
          <w:top w:w="28" w:type="dxa"/>
          <w:left w:w="28" w:type="dxa"/>
          <w:bottom w:w="28" w:type="dxa"/>
          <w:right w:w="28" w:type="dxa"/>
        </w:tblCellMar>
        <w:tblLook w:val="01E0" w:firstRow="1" w:lastRow="1" w:firstColumn="1" w:lastColumn="1" w:noHBand="0" w:noVBand="0"/>
      </w:tblPr>
      <w:tblGrid>
        <w:gridCol w:w="1838"/>
        <w:gridCol w:w="851"/>
        <w:gridCol w:w="850"/>
        <w:gridCol w:w="1276"/>
        <w:gridCol w:w="1701"/>
        <w:gridCol w:w="3194"/>
      </w:tblGrid>
      <w:tr w:rsidR="00982C5C" w:rsidRPr="002803A6" w:rsidTr="00745115">
        <w:trPr>
          <w:cantSplit/>
          <w:tblHeader/>
        </w:trPr>
        <w:tc>
          <w:tcPr>
            <w:tcW w:w="1838" w:type="dxa"/>
          </w:tcPr>
          <w:p w:rsidR="00982C5C" w:rsidRPr="002803A6" w:rsidRDefault="00982C5C" w:rsidP="00745115">
            <w:pPr>
              <w:keepNext/>
              <w:jc w:val="left"/>
              <w:rPr>
                <w:rFonts w:cs="Arial"/>
                <w:sz w:val="16"/>
                <w:szCs w:val="16"/>
              </w:rPr>
            </w:pPr>
            <w:r w:rsidRPr="002803A6">
              <w:rPr>
                <w:sz w:val="16"/>
                <w:szCs w:val="16"/>
              </w:rPr>
              <w:t>Art der Tätigkeit</w:t>
            </w:r>
          </w:p>
        </w:tc>
        <w:tc>
          <w:tcPr>
            <w:tcW w:w="851" w:type="dxa"/>
          </w:tcPr>
          <w:p w:rsidR="00982C5C" w:rsidRPr="002803A6" w:rsidRDefault="00982C5C" w:rsidP="00745115">
            <w:pPr>
              <w:keepNext/>
              <w:jc w:val="left"/>
              <w:rPr>
                <w:rFonts w:cs="Arial"/>
                <w:sz w:val="16"/>
                <w:szCs w:val="16"/>
              </w:rPr>
            </w:pPr>
            <w:r w:rsidRPr="002803A6">
              <w:rPr>
                <w:sz w:val="16"/>
                <w:szCs w:val="16"/>
              </w:rPr>
              <w:t>Datum</w:t>
            </w:r>
          </w:p>
        </w:tc>
        <w:tc>
          <w:tcPr>
            <w:tcW w:w="850" w:type="dxa"/>
          </w:tcPr>
          <w:p w:rsidR="00982C5C" w:rsidRPr="002803A6" w:rsidRDefault="00982C5C" w:rsidP="00745115">
            <w:pPr>
              <w:keepNext/>
              <w:jc w:val="left"/>
              <w:rPr>
                <w:rFonts w:cs="Arial"/>
                <w:sz w:val="16"/>
                <w:szCs w:val="16"/>
              </w:rPr>
            </w:pPr>
            <w:r w:rsidRPr="002803A6">
              <w:rPr>
                <w:sz w:val="16"/>
                <w:szCs w:val="16"/>
              </w:rPr>
              <w:t>Ort</w:t>
            </w:r>
          </w:p>
        </w:tc>
        <w:tc>
          <w:tcPr>
            <w:tcW w:w="1276" w:type="dxa"/>
          </w:tcPr>
          <w:p w:rsidR="00982C5C" w:rsidRPr="002803A6" w:rsidRDefault="00982C5C" w:rsidP="00745115">
            <w:pPr>
              <w:keepNext/>
              <w:jc w:val="left"/>
              <w:rPr>
                <w:rFonts w:cs="Arial"/>
                <w:sz w:val="16"/>
                <w:szCs w:val="16"/>
              </w:rPr>
            </w:pPr>
            <w:r w:rsidRPr="002803A6">
              <w:rPr>
                <w:sz w:val="16"/>
                <w:szCs w:val="16"/>
              </w:rPr>
              <w:t>Organisator(en)</w:t>
            </w:r>
          </w:p>
        </w:tc>
        <w:tc>
          <w:tcPr>
            <w:tcW w:w="1701" w:type="dxa"/>
          </w:tcPr>
          <w:p w:rsidR="00982C5C" w:rsidRPr="002803A6" w:rsidRDefault="00982C5C" w:rsidP="00745115">
            <w:pPr>
              <w:keepNext/>
              <w:jc w:val="left"/>
              <w:rPr>
                <w:rFonts w:cs="Arial"/>
                <w:sz w:val="16"/>
                <w:szCs w:val="16"/>
              </w:rPr>
            </w:pPr>
            <w:r w:rsidRPr="002803A6">
              <w:rPr>
                <w:sz w:val="16"/>
                <w:szCs w:val="16"/>
              </w:rPr>
              <w:t>Zweck der Tätigkeit</w:t>
            </w:r>
          </w:p>
        </w:tc>
        <w:tc>
          <w:tcPr>
            <w:tcW w:w="3194" w:type="dxa"/>
          </w:tcPr>
          <w:p w:rsidR="00982C5C" w:rsidRPr="002803A6" w:rsidRDefault="00982C5C" w:rsidP="00745115">
            <w:pPr>
              <w:keepNext/>
              <w:jc w:val="left"/>
              <w:rPr>
                <w:rFonts w:cs="Arial"/>
                <w:sz w:val="16"/>
                <w:szCs w:val="16"/>
              </w:rPr>
            </w:pPr>
            <w:r w:rsidRPr="002803A6">
              <w:rPr>
                <w:sz w:val="16"/>
                <w:szCs w:val="16"/>
              </w:rPr>
              <w:t>Teilnehmende Staaten/Organisationen (Zahl der Teilnehmer pro Staat/Organisation)</w:t>
            </w:r>
          </w:p>
        </w:tc>
      </w:tr>
      <w:tr w:rsidR="00982C5C" w:rsidRPr="002803A6" w:rsidTr="00745115">
        <w:trPr>
          <w:cantSplit/>
        </w:trPr>
        <w:tc>
          <w:tcPr>
            <w:tcW w:w="1838" w:type="dxa"/>
          </w:tcPr>
          <w:p w:rsidR="00982C5C" w:rsidRPr="002803A6" w:rsidRDefault="00982C5C" w:rsidP="00745115">
            <w:pPr>
              <w:keepNext/>
              <w:jc w:val="left"/>
              <w:rPr>
                <w:rFonts w:cs="Arial"/>
                <w:sz w:val="16"/>
                <w:szCs w:val="16"/>
              </w:rPr>
            </w:pPr>
            <w:r w:rsidRPr="002803A6">
              <w:rPr>
                <w:sz w:val="16"/>
                <w:szCs w:val="16"/>
              </w:rPr>
              <w:t>1. Ausbildungslehrgang für die Entwicklung der asiatischen Saatgutindustrie</w:t>
            </w:r>
          </w:p>
        </w:tc>
        <w:tc>
          <w:tcPr>
            <w:tcW w:w="851" w:type="dxa"/>
          </w:tcPr>
          <w:p w:rsidR="00982C5C" w:rsidRPr="002803A6" w:rsidRDefault="00982C5C" w:rsidP="00745115">
            <w:pPr>
              <w:keepNext/>
              <w:jc w:val="left"/>
              <w:rPr>
                <w:rFonts w:cs="Arial"/>
                <w:sz w:val="16"/>
                <w:szCs w:val="16"/>
              </w:rPr>
            </w:pPr>
            <w:r w:rsidRPr="002803A6">
              <w:rPr>
                <w:sz w:val="16"/>
                <w:szCs w:val="16"/>
              </w:rPr>
              <w:t>14.-27.10 2018</w:t>
            </w:r>
          </w:p>
        </w:tc>
        <w:tc>
          <w:tcPr>
            <w:tcW w:w="850" w:type="dxa"/>
          </w:tcPr>
          <w:p w:rsidR="00982C5C" w:rsidRPr="002803A6" w:rsidRDefault="00982C5C" w:rsidP="00745115">
            <w:pPr>
              <w:keepNext/>
              <w:jc w:val="left"/>
              <w:rPr>
                <w:rFonts w:cs="Arial"/>
                <w:sz w:val="16"/>
                <w:szCs w:val="16"/>
              </w:rPr>
            </w:pPr>
            <w:proofErr w:type="spellStart"/>
            <w:r w:rsidRPr="002803A6">
              <w:rPr>
                <w:sz w:val="16"/>
                <w:szCs w:val="16"/>
              </w:rPr>
              <w:t>Gimcheon</w:t>
            </w:r>
            <w:proofErr w:type="spellEnd"/>
            <w:r w:rsidRPr="002803A6">
              <w:rPr>
                <w:sz w:val="16"/>
                <w:szCs w:val="16"/>
              </w:rPr>
              <w:t xml:space="preserve"> (Republik Korea)</w:t>
            </w:r>
          </w:p>
        </w:tc>
        <w:tc>
          <w:tcPr>
            <w:tcW w:w="1276" w:type="dxa"/>
          </w:tcPr>
          <w:p w:rsidR="00982C5C" w:rsidRPr="002803A6" w:rsidRDefault="00982C5C" w:rsidP="00745115">
            <w:pPr>
              <w:keepNext/>
              <w:jc w:val="left"/>
              <w:rPr>
                <w:rFonts w:cs="Arial"/>
                <w:sz w:val="16"/>
                <w:szCs w:val="16"/>
              </w:rPr>
            </w:pPr>
            <w:r w:rsidRPr="002803A6">
              <w:rPr>
                <w:sz w:val="16"/>
                <w:szCs w:val="16"/>
              </w:rPr>
              <w:t>KSVS</w:t>
            </w:r>
          </w:p>
        </w:tc>
        <w:tc>
          <w:tcPr>
            <w:tcW w:w="1701" w:type="dxa"/>
          </w:tcPr>
          <w:p w:rsidR="00982C5C" w:rsidRPr="002803A6" w:rsidRDefault="00982C5C" w:rsidP="00745115">
            <w:pPr>
              <w:keepNext/>
              <w:jc w:val="left"/>
              <w:rPr>
                <w:rFonts w:cs="Arial"/>
                <w:sz w:val="16"/>
                <w:szCs w:val="16"/>
              </w:rPr>
            </w:pPr>
            <w:r w:rsidRPr="002803A6">
              <w:rPr>
                <w:sz w:val="16"/>
                <w:szCs w:val="16"/>
              </w:rPr>
              <w:t>Schulung von Sachverständigen für Saatgut</w:t>
            </w:r>
          </w:p>
        </w:tc>
        <w:tc>
          <w:tcPr>
            <w:tcW w:w="3194" w:type="dxa"/>
          </w:tcPr>
          <w:p w:rsidR="00982C5C" w:rsidRPr="002803A6" w:rsidRDefault="00982C5C" w:rsidP="00745115">
            <w:pPr>
              <w:keepNext/>
              <w:jc w:val="left"/>
              <w:rPr>
                <w:rFonts w:cs="Arial"/>
                <w:sz w:val="16"/>
                <w:szCs w:val="16"/>
              </w:rPr>
            </w:pPr>
            <w:r w:rsidRPr="002803A6">
              <w:rPr>
                <w:sz w:val="16"/>
                <w:szCs w:val="16"/>
              </w:rPr>
              <w:t>Afghanistan, Bangladesch, Kambodscha, China, Myanmar, Pakistan, Philippinen, Sri Lanka, Vietnam (13)</w:t>
            </w:r>
          </w:p>
        </w:tc>
      </w:tr>
      <w:tr w:rsidR="00982C5C" w:rsidRPr="002803A6" w:rsidTr="00745115">
        <w:trPr>
          <w:cantSplit/>
        </w:trPr>
        <w:tc>
          <w:tcPr>
            <w:tcW w:w="1838" w:type="dxa"/>
          </w:tcPr>
          <w:p w:rsidR="00982C5C" w:rsidRPr="002803A6" w:rsidRDefault="00982C5C" w:rsidP="00745115">
            <w:pPr>
              <w:keepNext/>
              <w:jc w:val="left"/>
              <w:rPr>
                <w:rFonts w:cs="Arial"/>
                <w:sz w:val="16"/>
                <w:szCs w:val="16"/>
              </w:rPr>
            </w:pPr>
            <w:r w:rsidRPr="002803A6">
              <w:rPr>
                <w:sz w:val="16"/>
                <w:szCs w:val="16"/>
              </w:rPr>
              <w:t>2. Ostasien-Sortenschutzforum</w:t>
            </w:r>
          </w:p>
        </w:tc>
        <w:tc>
          <w:tcPr>
            <w:tcW w:w="851" w:type="dxa"/>
          </w:tcPr>
          <w:p w:rsidR="00982C5C" w:rsidRPr="002803A6" w:rsidRDefault="00982C5C" w:rsidP="00745115">
            <w:pPr>
              <w:keepNext/>
              <w:jc w:val="left"/>
              <w:rPr>
                <w:rFonts w:cs="Arial"/>
                <w:sz w:val="16"/>
                <w:szCs w:val="16"/>
              </w:rPr>
            </w:pPr>
            <w:r w:rsidRPr="002803A6">
              <w:rPr>
                <w:sz w:val="16"/>
                <w:szCs w:val="16"/>
              </w:rPr>
              <w:t>23.-24.4.2019</w:t>
            </w:r>
          </w:p>
        </w:tc>
        <w:tc>
          <w:tcPr>
            <w:tcW w:w="850" w:type="dxa"/>
          </w:tcPr>
          <w:p w:rsidR="00982C5C" w:rsidRPr="002803A6" w:rsidRDefault="00982C5C" w:rsidP="00745115">
            <w:pPr>
              <w:keepNext/>
              <w:jc w:val="left"/>
              <w:rPr>
                <w:rFonts w:cs="Arial"/>
                <w:sz w:val="16"/>
                <w:szCs w:val="16"/>
              </w:rPr>
            </w:pPr>
            <w:r w:rsidRPr="002803A6">
              <w:rPr>
                <w:sz w:val="16"/>
                <w:szCs w:val="16"/>
              </w:rPr>
              <w:t>Peking (China)</w:t>
            </w:r>
          </w:p>
        </w:tc>
        <w:tc>
          <w:tcPr>
            <w:tcW w:w="1276" w:type="dxa"/>
          </w:tcPr>
          <w:p w:rsidR="00982C5C" w:rsidRPr="002803A6" w:rsidRDefault="00982C5C" w:rsidP="00745115">
            <w:pPr>
              <w:keepNext/>
              <w:jc w:val="left"/>
              <w:rPr>
                <w:rFonts w:cs="Arial"/>
                <w:sz w:val="16"/>
                <w:szCs w:val="16"/>
              </w:rPr>
            </w:pPr>
            <w:r w:rsidRPr="002803A6">
              <w:rPr>
                <w:sz w:val="16"/>
                <w:szCs w:val="16"/>
              </w:rPr>
              <w:t>Ostasiatisches Sortenamt</w:t>
            </w:r>
          </w:p>
        </w:tc>
        <w:tc>
          <w:tcPr>
            <w:tcW w:w="1701" w:type="dxa"/>
          </w:tcPr>
          <w:p w:rsidR="00982C5C" w:rsidRPr="002803A6" w:rsidRDefault="00982C5C" w:rsidP="00745115">
            <w:pPr>
              <w:keepNext/>
              <w:jc w:val="left"/>
              <w:rPr>
                <w:rFonts w:cs="Arial"/>
                <w:sz w:val="16"/>
                <w:szCs w:val="16"/>
              </w:rPr>
            </w:pPr>
            <w:r w:rsidRPr="002803A6">
              <w:rPr>
                <w:sz w:val="16"/>
                <w:szCs w:val="16"/>
              </w:rPr>
              <w:t>Regionale Zusammenarbeit für Sortenschutz</w:t>
            </w:r>
          </w:p>
        </w:tc>
        <w:tc>
          <w:tcPr>
            <w:tcW w:w="3194" w:type="dxa"/>
          </w:tcPr>
          <w:p w:rsidR="00982C5C" w:rsidRPr="002803A6" w:rsidRDefault="00982C5C" w:rsidP="00745115">
            <w:pPr>
              <w:keepNext/>
              <w:jc w:val="left"/>
              <w:rPr>
                <w:rFonts w:cs="Arial"/>
                <w:sz w:val="16"/>
                <w:szCs w:val="16"/>
              </w:rPr>
            </w:pPr>
            <w:r w:rsidRPr="002803A6">
              <w:rPr>
                <w:sz w:val="16"/>
                <w:szCs w:val="16"/>
              </w:rPr>
              <w:t>Brunei Darussalam, Kambodscha, China, Indonesien, Japan, Demokratische Volksrepublik Laos, Malaysia, Myanmar, Philippinen, Republik Korea, Singapur, Thailand, Vietnam.</w:t>
            </w:r>
          </w:p>
        </w:tc>
      </w:tr>
      <w:tr w:rsidR="00982C5C" w:rsidRPr="002803A6" w:rsidTr="00745115">
        <w:trPr>
          <w:cantSplit/>
        </w:trPr>
        <w:tc>
          <w:tcPr>
            <w:tcW w:w="1838" w:type="dxa"/>
          </w:tcPr>
          <w:p w:rsidR="00982C5C" w:rsidRPr="002803A6" w:rsidRDefault="00982C5C" w:rsidP="00745115">
            <w:pPr>
              <w:keepNext/>
              <w:jc w:val="left"/>
              <w:rPr>
                <w:rFonts w:cs="Arial"/>
                <w:sz w:val="16"/>
                <w:szCs w:val="16"/>
              </w:rPr>
            </w:pPr>
            <w:r w:rsidRPr="002803A6">
              <w:rPr>
                <w:sz w:val="16"/>
                <w:szCs w:val="16"/>
              </w:rPr>
              <w:t>3. TWV</w:t>
            </w:r>
          </w:p>
        </w:tc>
        <w:tc>
          <w:tcPr>
            <w:tcW w:w="851" w:type="dxa"/>
          </w:tcPr>
          <w:p w:rsidR="00982C5C" w:rsidRPr="002803A6" w:rsidRDefault="00982C5C" w:rsidP="00745115">
            <w:pPr>
              <w:keepNext/>
              <w:jc w:val="left"/>
              <w:rPr>
                <w:rFonts w:cs="Arial"/>
                <w:sz w:val="16"/>
                <w:szCs w:val="16"/>
              </w:rPr>
            </w:pPr>
            <w:r w:rsidRPr="002803A6">
              <w:rPr>
                <w:sz w:val="16"/>
                <w:szCs w:val="16"/>
              </w:rPr>
              <w:t>20.-24.5.2018</w:t>
            </w:r>
          </w:p>
        </w:tc>
        <w:tc>
          <w:tcPr>
            <w:tcW w:w="850" w:type="dxa"/>
          </w:tcPr>
          <w:p w:rsidR="00982C5C" w:rsidRPr="002803A6" w:rsidRDefault="00982C5C" w:rsidP="00745115">
            <w:pPr>
              <w:keepNext/>
              <w:jc w:val="left"/>
              <w:rPr>
                <w:rFonts w:cs="Arial"/>
                <w:sz w:val="16"/>
                <w:szCs w:val="16"/>
              </w:rPr>
            </w:pPr>
            <w:r w:rsidRPr="002803A6">
              <w:rPr>
                <w:sz w:val="16"/>
                <w:szCs w:val="16"/>
              </w:rPr>
              <w:t>Seoul (Republik Korea)</w:t>
            </w:r>
          </w:p>
        </w:tc>
        <w:tc>
          <w:tcPr>
            <w:tcW w:w="1276" w:type="dxa"/>
          </w:tcPr>
          <w:p w:rsidR="00982C5C" w:rsidRPr="002803A6" w:rsidRDefault="00982C5C" w:rsidP="00745115">
            <w:pPr>
              <w:keepNext/>
              <w:jc w:val="left"/>
              <w:rPr>
                <w:rFonts w:cs="Arial"/>
                <w:sz w:val="16"/>
                <w:szCs w:val="16"/>
              </w:rPr>
            </w:pPr>
            <w:r w:rsidRPr="002803A6">
              <w:rPr>
                <w:sz w:val="16"/>
                <w:szCs w:val="16"/>
              </w:rPr>
              <w:t>Seoul</w:t>
            </w:r>
          </w:p>
        </w:tc>
        <w:tc>
          <w:tcPr>
            <w:tcW w:w="1701" w:type="dxa"/>
          </w:tcPr>
          <w:p w:rsidR="00982C5C" w:rsidRPr="002803A6" w:rsidRDefault="00982C5C" w:rsidP="00745115">
            <w:pPr>
              <w:keepNext/>
              <w:jc w:val="left"/>
              <w:rPr>
                <w:rFonts w:cs="Arial"/>
                <w:sz w:val="16"/>
                <w:szCs w:val="16"/>
              </w:rPr>
            </w:pPr>
            <w:r w:rsidRPr="002803A6">
              <w:rPr>
                <w:sz w:val="16"/>
                <w:szCs w:val="16"/>
              </w:rPr>
              <w:t>UPOV</w:t>
            </w:r>
          </w:p>
        </w:tc>
        <w:tc>
          <w:tcPr>
            <w:tcW w:w="3194" w:type="dxa"/>
          </w:tcPr>
          <w:p w:rsidR="00982C5C" w:rsidRPr="002803A6" w:rsidRDefault="00982C5C" w:rsidP="00745115">
            <w:pPr>
              <w:keepNext/>
              <w:jc w:val="left"/>
              <w:rPr>
                <w:rFonts w:cs="Arial"/>
                <w:sz w:val="16"/>
                <w:szCs w:val="16"/>
              </w:rPr>
            </w:pPr>
            <w:r w:rsidRPr="002803A6">
              <w:rPr>
                <w:sz w:val="16"/>
                <w:szCs w:val="16"/>
              </w:rPr>
              <w:t xml:space="preserve">Brasilien, Kanada, China, Tschechische Republik, Europäische Union, Frankreich, Deutschland, Italien, Japan, Kenia, Niederlande, Republik Korea, Vereinigtes Königreich, Vereinigte Republik Tansania, </w:t>
            </w:r>
            <w:proofErr w:type="spellStart"/>
            <w:r w:rsidRPr="002803A6">
              <w:rPr>
                <w:sz w:val="16"/>
                <w:szCs w:val="16"/>
              </w:rPr>
              <w:t>CropLife</w:t>
            </w:r>
            <w:proofErr w:type="spellEnd"/>
            <w:r w:rsidRPr="002803A6">
              <w:rPr>
                <w:sz w:val="16"/>
                <w:szCs w:val="16"/>
              </w:rPr>
              <w:t xml:space="preserve">, ESA, ISF, UPOV </w:t>
            </w:r>
          </w:p>
        </w:tc>
      </w:tr>
      <w:tr w:rsidR="00982C5C" w:rsidRPr="002803A6" w:rsidTr="00745115">
        <w:trPr>
          <w:cantSplit/>
        </w:trPr>
        <w:tc>
          <w:tcPr>
            <w:tcW w:w="1838" w:type="dxa"/>
          </w:tcPr>
          <w:p w:rsidR="00982C5C" w:rsidRPr="002803A6" w:rsidRDefault="00982C5C" w:rsidP="00745115">
            <w:pPr>
              <w:keepNext/>
              <w:jc w:val="left"/>
              <w:rPr>
                <w:rFonts w:cs="Arial"/>
                <w:sz w:val="16"/>
                <w:szCs w:val="16"/>
              </w:rPr>
            </w:pPr>
            <w:r w:rsidRPr="002803A6">
              <w:rPr>
                <w:sz w:val="16"/>
                <w:szCs w:val="16"/>
              </w:rPr>
              <w:lastRenderedPageBreak/>
              <w:t xml:space="preserve">4. Arbeitstagung zur Sensibilisierung für Sortenschutz </w:t>
            </w:r>
          </w:p>
          <w:p w:rsidR="00982C5C" w:rsidRPr="002803A6" w:rsidRDefault="00982C5C" w:rsidP="00745115">
            <w:pPr>
              <w:keepNext/>
              <w:jc w:val="left"/>
              <w:rPr>
                <w:rFonts w:cs="Arial"/>
                <w:sz w:val="16"/>
                <w:szCs w:val="16"/>
                <w:lang w:eastAsia="ko-KR"/>
              </w:rPr>
            </w:pPr>
          </w:p>
        </w:tc>
        <w:tc>
          <w:tcPr>
            <w:tcW w:w="851" w:type="dxa"/>
          </w:tcPr>
          <w:p w:rsidR="00982C5C" w:rsidRPr="002803A6" w:rsidRDefault="00982C5C" w:rsidP="00745115">
            <w:pPr>
              <w:keepNext/>
              <w:jc w:val="left"/>
              <w:rPr>
                <w:rFonts w:cs="Arial"/>
                <w:sz w:val="16"/>
                <w:szCs w:val="16"/>
              </w:rPr>
            </w:pPr>
            <w:r w:rsidRPr="002803A6">
              <w:rPr>
                <w:sz w:val="16"/>
                <w:szCs w:val="16"/>
              </w:rPr>
              <w:t>15.2.2019</w:t>
            </w:r>
          </w:p>
          <w:p w:rsidR="00982C5C" w:rsidRPr="002803A6" w:rsidRDefault="00982C5C" w:rsidP="00745115">
            <w:pPr>
              <w:keepNext/>
              <w:jc w:val="left"/>
              <w:rPr>
                <w:rFonts w:cs="Arial"/>
                <w:sz w:val="16"/>
                <w:szCs w:val="16"/>
                <w:lang w:eastAsia="ko-KR"/>
              </w:rPr>
            </w:pPr>
          </w:p>
          <w:p w:rsidR="00982C5C" w:rsidRPr="002803A6" w:rsidRDefault="00982C5C" w:rsidP="00745115">
            <w:pPr>
              <w:keepNext/>
              <w:jc w:val="left"/>
              <w:rPr>
                <w:rFonts w:cs="Arial"/>
                <w:sz w:val="16"/>
                <w:szCs w:val="16"/>
              </w:rPr>
            </w:pPr>
            <w:r w:rsidRPr="002803A6">
              <w:rPr>
                <w:sz w:val="16"/>
                <w:szCs w:val="16"/>
              </w:rPr>
              <w:t>22.3.</w:t>
            </w:r>
          </w:p>
          <w:p w:rsidR="00982C5C" w:rsidRPr="002803A6" w:rsidRDefault="00982C5C" w:rsidP="00745115">
            <w:pPr>
              <w:keepNext/>
              <w:jc w:val="left"/>
              <w:rPr>
                <w:rFonts w:cs="Arial"/>
                <w:sz w:val="16"/>
                <w:szCs w:val="16"/>
                <w:lang w:eastAsia="ko-KR"/>
              </w:rPr>
            </w:pPr>
          </w:p>
          <w:p w:rsidR="00982C5C" w:rsidRPr="002803A6" w:rsidRDefault="00982C5C" w:rsidP="00745115">
            <w:pPr>
              <w:keepNext/>
              <w:jc w:val="left"/>
              <w:rPr>
                <w:rFonts w:cs="Arial"/>
                <w:sz w:val="16"/>
                <w:szCs w:val="16"/>
              </w:rPr>
            </w:pPr>
            <w:r w:rsidRPr="002803A6">
              <w:rPr>
                <w:sz w:val="16"/>
                <w:szCs w:val="16"/>
              </w:rPr>
              <w:t>27.3.</w:t>
            </w:r>
          </w:p>
          <w:p w:rsidR="00982C5C" w:rsidRPr="002803A6" w:rsidRDefault="00982C5C" w:rsidP="00745115">
            <w:pPr>
              <w:keepNext/>
              <w:jc w:val="left"/>
              <w:rPr>
                <w:rFonts w:cs="Arial"/>
                <w:sz w:val="16"/>
                <w:szCs w:val="16"/>
                <w:lang w:eastAsia="ko-KR"/>
              </w:rPr>
            </w:pPr>
          </w:p>
          <w:p w:rsidR="00982C5C" w:rsidRPr="002803A6" w:rsidRDefault="00982C5C" w:rsidP="00745115">
            <w:pPr>
              <w:keepNext/>
              <w:jc w:val="left"/>
              <w:rPr>
                <w:rFonts w:cs="Arial"/>
                <w:sz w:val="16"/>
                <w:szCs w:val="16"/>
              </w:rPr>
            </w:pPr>
            <w:r w:rsidRPr="002803A6">
              <w:rPr>
                <w:sz w:val="16"/>
                <w:szCs w:val="16"/>
              </w:rPr>
              <w:t>9.4.</w:t>
            </w:r>
          </w:p>
          <w:p w:rsidR="00982C5C" w:rsidRPr="002803A6" w:rsidRDefault="00982C5C" w:rsidP="00745115">
            <w:pPr>
              <w:keepNext/>
              <w:jc w:val="left"/>
              <w:rPr>
                <w:rFonts w:cs="Arial"/>
                <w:sz w:val="16"/>
                <w:szCs w:val="16"/>
                <w:lang w:eastAsia="ko-KR"/>
              </w:rPr>
            </w:pPr>
          </w:p>
          <w:p w:rsidR="00982C5C" w:rsidRPr="002803A6" w:rsidRDefault="00982C5C" w:rsidP="00745115">
            <w:pPr>
              <w:keepNext/>
              <w:jc w:val="left"/>
              <w:rPr>
                <w:rFonts w:cs="Arial"/>
                <w:sz w:val="16"/>
                <w:szCs w:val="16"/>
              </w:rPr>
            </w:pPr>
            <w:r w:rsidRPr="002803A6">
              <w:rPr>
                <w:sz w:val="16"/>
                <w:szCs w:val="16"/>
              </w:rPr>
              <w:t>2.7.</w:t>
            </w:r>
          </w:p>
          <w:p w:rsidR="00982C5C" w:rsidRPr="002803A6" w:rsidRDefault="00982C5C" w:rsidP="00745115">
            <w:pPr>
              <w:keepNext/>
              <w:jc w:val="left"/>
              <w:rPr>
                <w:rFonts w:cs="Arial"/>
                <w:sz w:val="16"/>
                <w:szCs w:val="16"/>
                <w:lang w:eastAsia="ko-KR"/>
              </w:rPr>
            </w:pPr>
          </w:p>
          <w:p w:rsidR="00982C5C" w:rsidRPr="002803A6" w:rsidRDefault="00982C5C" w:rsidP="00745115">
            <w:pPr>
              <w:keepNext/>
              <w:jc w:val="left"/>
              <w:rPr>
                <w:rFonts w:cs="Arial"/>
                <w:sz w:val="16"/>
                <w:szCs w:val="16"/>
              </w:rPr>
            </w:pPr>
            <w:r w:rsidRPr="002803A6">
              <w:rPr>
                <w:sz w:val="16"/>
                <w:szCs w:val="16"/>
              </w:rPr>
              <w:t>17.7.</w:t>
            </w:r>
          </w:p>
          <w:p w:rsidR="00982C5C" w:rsidRPr="002803A6" w:rsidRDefault="00982C5C" w:rsidP="00745115">
            <w:pPr>
              <w:keepNext/>
              <w:jc w:val="left"/>
              <w:rPr>
                <w:rFonts w:cs="Arial"/>
                <w:sz w:val="16"/>
                <w:szCs w:val="16"/>
                <w:lang w:eastAsia="ko-KR"/>
              </w:rPr>
            </w:pPr>
          </w:p>
          <w:p w:rsidR="00982C5C" w:rsidRPr="002803A6" w:rsidRDefault="00982C5C" w:rsidP="00745115">
            <w:pPr>
              <w:keepNext/>
              <w:jc w:val="left"/>
              <w:rPr>
                <w:rFonts w:cs="Arial"/>
                <w:sz w:val="16"/>
                <w:szCs w:val="16"/>
              </w:rPr>
            </w:pPr>
            <w:r w:rsidRPr="002803A6">
              <w:rPr>
                <w:sz w:val="16"/>
                <w:szCs w:val="16"/>
              </w:rPr>
              <w:t>2.8.</w:t>
            </w:r>
          </w:p>
          <w:p w:rsidR="00982C5C" w:rsidRPr="002803A6" w:rsidRDefault="00982C5C" w:rsidP="00745115">
            <w:pPr>
              <w:keepNext/>
              <w:jc w:val="left"/>
              <w:rPr>
                <w:rFonts w:cs="Arial"/>
                <w:sz w:val="16"/>
                <w:szCs w:val="16"/>
                <w:lang w:eastAsia="ko-KR"/>
              </w:rPr>
            </w:pPr>
          </w:p>
        </w:tc>
        <w:tc>
          <w:tcPr>
            <w:tcW w:w="850" w:type="dxa"/>
          </w:tcPr>
          <w:p w:rsidR="00982C5C" w:rsidRPr="002803A6" w:rsidRDefault="00982C5C" w:rsidP="00745115">
            <w:pPr>
              <w:keepNext/>
              <w:jc w:val="left"/>
              <w:rPr>
                <w:rFonts w:cs="Arial"/>
                <w:sz w:val="16"/>
                <w:szCs w:val="16"/>
              </w:rPr>
            </w:pPr>
            <w:proofErr w:type="spellStart"/>
            <w:r w:rsidRPr="002803A6">
              <w:rPr>
                <w:sz w:val="16"/>
                <w:szCs w:val="16"/>
              </w:rPr>
              <w:t>Jeju</w:t>
            </w:r>
            <w:proofErr w:type="spellEnd"/>
          </w:p>
          <w:p w:rsidR="00982C5C" w:rsidRPr="002803A6" w:rsidRDefault="00982C5C" w:rsidP="00745115">
            <w:pPr>
              <w:keepNext/>
              <w:jc w:val="left"/>
              <w:rPr>
                <w:rFonts w:cs="Arial"/>
                <w:sz w:val="16"/>
                <w:szCs w:val="16"/>
                <w:lang w:eastAsia="ko-KR"/>
              </w:rPr>
            </w:pPr>
          </w:p>
          <w:p w:rsidR="00982C5C" w:rsidRPr="002803A6" w:rsidRDefault="00982C5C" w:rsidP="00745115">
            <w:pPr>
              <w:keepNext/>
              <w:jc w:val="left"/>
              <w:rPr>
                <w:rFonts w:cs="Arial"/>
                <w:sz w:val="16"/>
                <w:szCs w:val="16"/>
              </w:rPr>
            </w:pPr>
            <w:proofErr w:type="spellStart"/>
            <w:r w:rsidRPr="002803A6">
              <w:rPr>
                <w:sz w:val="16"/>
                <w:szCs w:val="16"/>
              </w:rPr>
              <w:t>Daejeon</w:t>
            </w:r>
            <w:proofErr w:type="spellEnd"/>
          </w:p>
          <w:p w:rsidR="00982C5C" w:rsidRPr="002803A6" w:rsidRDefault="00982C5C" w:rsidP="00745115">
            <w:pPr>
              <w:keepNext/>
              <w:jc w:val="left"/>
              <w:rPr>
                <w:rFonts w:cs="Arial"/>
                <w:sz w:val="16"/>
                <w:szCs w:val="16"/>
                <w:lang w:eastAsia="ko-KR"/>
              </w:rPr>
            </w:pPr>
          </w:p>
          <w:p w:rsidR="00982C5C" w:rsidRPr="002803A6" w:rsidRDefault="00982C5C" w:rsidP="00745115">
            <w:pPr>
              <w:keepNext/>
              <w:jc w:val="left"/>
              <w:rPr>
                <w:rFonts w:cs="Arial"/>
                <w:sz w:val="16"/>
                <w:szCs w:val="16"/>
              </w:rPr>
            </w:pPr>
            <w:proofErr w:type="spellStart"/>
            <w:r w:rsidRPr="002803A6">
              <w:rPr>
                <w:sz w:val="16"/>
                <w:szCs w:val="16"/>
              </w:rPr>
              <w:t>Hwachun</w:t>
            </w:r>
            <w:proofErr w:type="spellEnd"/>
          </w:p>
          <w:p w:rsidR="00982C5C" w:rsidRPr="002803A6" w:rsidRDefault="00982C5C" w:rsidP="00745115">
            <w:pPr>
              <w:keepNext/>
              <w:jc w:val="left"/>
              <w:rPr>
                <w:rFonts w:cs="Arial"/>
                <w:sz w:val="16"/>
                <w:szCs w:val="16"/>
                <w:lang w:eastAsia="ko-KR"/>
              </w:rPr>
            </w:pPr>
          </w:p>
          <w:p w:rsidR="00982C5C" w:rsidRPr="002803A6" w:rsidRDefault="00982C5C" w:rsidP="00745115">
            <w:pPr>
              <w:keepNext/>
              <w:jc w:val="left"/>
              <w:rPr>
                <w:rFonts w:cs="Arial"/>
                <w:sz w:val="16"/>
                <w:szCs w:val="16"/>
              </w:rPr>
            </w:pPr>
            <w:proofErr w:type="spellStart"/>
            <w:r w:rsidRPr="002803A6">
              <w:rPr>
                <w:sz w:val="16"/>
                <w:szCs w:val="16"/>
              </w:rPr>
              <w:t>Eumsung</w:t>
            </w:r>
            <w:proofErr w:type="spellEnd"/>
          </w:p>
          <w:p w:rsidR="00982C5C" w:rsidRPr="002803A6" w:rsidRDefault="00982C5C" w:rsidP="00745115">
            <w:pPr>
              <w:keepNext/>
              <w:jc w:val="left"/>
              <w:rPr>
                <w:rFonts w:cs="Arial"/>
                <w:sz w:val="16"/>
                <w:szCs w:val="16"/>
                <w:lang w:eastAsia="ko-KR"/>
              </w:rPr>
            </w:pPr>
          </w:p>
          <w:p w:rsidR="00982C5C" w:rsidRPr="002803A6" w:rsidRDefault="00982C5C" w:rsidP="00745115">
            <w:pPr>
              <w:keepNext/>
              <w:jc w:val="left"/>
              <w:rPr>
                <w:rFonts w:cs="Arial"/>
                <w:sz w:val="16"/>
                <w:szCs w:val="16"/>
              </w:rPr>
            </w:pPr>
            <w:proofErr w:type="spellStart"/>
            <w:r w:rsidRPr="002803A6">
              <w:rPr>
                <w:sz w:val="16"/>
                <w:szCs w:val="16"/>
              </w:rPr>
              <w:t>Chungju</w:t>
            </w:r>
            <w:proofErr w:type="spellEnd"/>
          </w:p>
          <w:p w:rsidR="00982C5C" w:rsidRPr="002803A6" w:rsidRDefault="00982C5C" w:rsidP="00745115">
            <w:pPr>
              <w:keepNext/>
              <w:jc w:val="left"/>
              <w:rPr>
                <w:rFonts w:cs="Arial"/>
                <w:sz w:val="16"/>
                <w:szCs w:val="16"/>
                <w:lang w:eastAsia="ko-KR"/>
              </w:rPr>
            </w:pPr>
          </w:p>
          <w:p w:rsidR="00982C5C" w:rsidRPr="002803A6" w:rsidRDefault="00982C5C" w:rsidP="00745115">
            <w:pPr>
              <w:keepNext/>
              <w:jc w:val="left"/>
              <w:rPr>
                <w:rFonts w:cs="Arial"/>
                <w:sz w:val="16"/>
                <w:szCs w:val="16"/>
              </w:rPr>
            </w:pPr>
            <w:proofErr w:type="spellStart"/>
            <w:r w:rsidRPr="002803A6">
              <w:rPr>
                <w:sz w:val="16"/>
                <w:szCs w:val="16"/>
              </w:rPr>
              <w:t>Muju</w:t>
            </w:r>
            <w:proofErr w:type="spellEnd"/>
          </w:p>
          <w:p w:rsidR="00982C5C" w:rsidRPr="002803A6" w:rsidRDefault="00982C5C" w:rsidP="00745115">
            <w:pPr>
              <w:keepNext/>
              <w:jc w:val="left"/>
              <w:rPr>
                <w:rFonts w:cs="Arial"/>
                <w:sz w:val="16"/>
                <w:szCs w:val="16"/>
                <w:lang w:eastAsia="ko-KR"/>
              </w:rPr>
            </w:pPr>
          </w:p>
          <w:p w:rsidR="00982C5C" w:rsidRPr="002803A6" w:rsidRDefault="00982C5C" w:rsidP="00745115">
            <w:pPr>
              <w:keepNext/>
              <w:jc w:val="left"/>
              <w:rPr>
                <w:rFonts w:cs="Arial"/>
                <w:sz w:val="16"/>
                <w:szCs w:val="16"/>
              </w:rPr>
            </w:pPr>
            <w:proofErr w:type="spellStart"/>
            <w:r w:rsidRPr="002803A6">
              <w:rPr>
                <w:sz w:val="16"/>
                <w:szCs w:val="16"/>
              </w:rPr>
              <w:t>Daechun</w:t>
            </w:r>
            <w:proofErr w:type="spellEnd"/>
          </w:p>
          <w:p w:rsidR="00982C5C" w:rsidRPr="002803A6" w:rsidRDefault="00982C5C" w:rsidP="00745115">
            <w:pPr>
              <w:keepNext/>
              <w:jc w:val="left"/>
              <w:rPr>
                <w:rFonts w:cs="Arial"/>
                <w:sz w:val="16"/>
                <w:szCs w:val="16"/>
                <w:lang w:eastAsia="ko-KR"/>
              </w:rPr>
            </w:pPr>
          </w:p>
          <w:p w:rsidR="00982C5C" w:rsidRPr="002803A6" w:rsidRDefault="00982C5C" w:rsidP="00745115">
            <w:pPr>
              <w:keepNext/>
              <w:jc w:val="left"/>
              <w:rPr>
                <w:rFonts w:cs="Arial"/>
                <w:sz w:val="16"/>
                <w:szCs w:val="16"/>
              </w:rPr>
            </w:pPr>
            <w:r w:rsidRPr="002803A6">
              <w:rPr>
                <w:sz w:val="16"/>
                <w:szCs w:val="16"/>
              </w:rPr>
              <w:t>(Republik Korea)</w:t>
            </w:r>
          </w:p>
          <w:p w:rsidR="00982C5C" w:rsidRPr="002803A6" w:rsidRDefault="00982C5C" w:rsidP="00745115">
            <w:pPr>
              <w:keepNext/>
              <w:jc w:val="left"/>
              <w:rPr>
                <w:rFonts w:cs="Arial"/>
                <w:sz w:val="16"/>
                <w:szCs w:val="16"/>
                <w:lang w:eastAsia="ko-KR"/>
              </w:rPr>
            </w:pPr>
          </w:p>
        </w:tc>
        <w:tc>
          <w:tcPr>
            <w:tcW w:w="1276" w:type="dxa"/>
          </w:tcPr>
          <w:p w:rsidR="00982C5C" w:rsidRPr="002803A6" w:rsidRDefault="00982C5C" w:rsidP="00745115">
            <w:pPr>
              <w:keepNext/>
              <w:jc w:val="left"/>
              <w:rPr>
                <w:rFonts w:cs="Arial"/>
                <w:sz w:val="16"/>
                <w:szCs w:val="16"/>
              </w:rPr>
            </w:pPr>
            <w:r w:rsidRPr="002803A6">
              <w:rPr>
                <w:sz w:val="16"/>
                <w:szCs w:val="16"/>
              </w:rPr>
              <w:t>KSVS</w:t>
            </w:r>
          </w:p>
        </w:tc>
        <w:tc>
          <w:tcPr>
            <w:tcW w:w="1701" w:type="dxa"/>
          </w:tcPr>
          <w:p w:rsidR="00982C5C" w:rsidRPr="002803A6" w:rsidRDefault="00982C5C" w:rsidP="00745115">
            <w:pPr>
              <w:keepNext/>
              <w:jc w:val="left"/>
              <w:rPr>
                <w:rFonts w:cs="Arial"/>
                <w:sz w:val="16"/>
                <w:szCs w:val="16"/>
              </w:rPr>
            </w:pPr>
            <w:r w:rsidRPr="002803A6">
              <w:rPr>
                <w:sz w:val="16"/>
                <w:szCs w:val="16"/>
              </w:rPr>
              <w:t>Sensibilisierung für Sortenschutz</w:t>
            </w:r>
          </w:p>
        </w:tc>
        <w:tc>
          <w:tcPr>
            <w:tcW w:w="3194" w:type="dxa"/>
          </w:tcPr>
          <w:p w:rsidR="00982C5C" w:rsidRPr="002803A6" w:rsidRDefault="00982C5C" w:rsidP="00745115">
            <w:pPr>
              <w:keepNext/>
              <w:jc w:val="left"/>
              <w:rPr>
                <w:rFonts w:cs="Arial"/>
                <w:sz w:val="16"/>
                <w:szCs w:val="16"/>
              </w:rPr>
            </w:pPr>
            <w:r w:rsidRPr="002803A6">
              <w:rPr>
                <w:sz w:val="16"/>
                <w:szCs w:val="16"/>
              </w:rPr>
              <w:t>Verbände von Obstbauern und Obstbaumproduzenten, Beamte im Zusammenhang mit der Saatgutindustrie der ländlichen Verwaltung (640)</w:t>
            </w:r>
          </w:p>
        </w:tc>
      </w:tr>
    </w:tbl>
    <w:p w:rsidR="00982C5C" w:rsidRPr="002803A6" w:rsidRDefault="00982C5C" w:rsidP="00982C5C"/>
    <w:p w:rsidR="00982C5C" w:rsidRPr="002803A6" w:rsidRDefault="00982C5C" w:rsidP="00982C5C"/>
    <w:p w:rsidR="00982C5C" w:rsidRPr="002803A6" w:rsidRDefault="00982C5C" w:rsidP="00982C5C">
      <w:r w:rsidRPr="002803A6">
        <w:t>II.</w:t>
      </w:r>
      <w:r w:rsidRPr="002803A6">
        <w:tab/>
        <w:t>ANDERE ENTWICKLUNGEN VON INTERESSE FÜR DIE UPOV</w:t>
      </w:r>
    </w:p>
    <w:p w:rsidR="00982C5C" w:rsidRPr="002803A6" w:rsidRDefault="00982C5C" w:rsidP="00982C5C"/>
    <w:p w:rsidR="00982C5C" w:rsidRPr="002803A6" w:rsidRDefault="00982C5C" w:rsidP="00982C5C">
      <w:r w:rsidRPr="002803A6">
        <w:t>Keine Anmerkungen.</w:t>
      </w:r>
    </w:p>
    <w:p w:rsidR="00701A18" w:rsidRPr="002803A6" w:rsidRDefault="00701A18" w:rsidP="00701A18">
      <w:pPr>
        <w:rPr>
          <w:rFonts w:cs="Arial"/>
        </w:rPr>
      </w:pPr>
    </w:p>
    <w:p w:rsidR="00701A18" w:rsidRPr="002803A6" w:rsidRDefault="00701A18" w:rsidP="00701A18">
      <w:pPr>
        <w:jc w:val="left"/>
      </w:pPr>
    </w:p>
    <w:p w:rsidR="00701A18" w:rsidRPr="002803A6" w:rsidRDefault="00701A18" w:rsidP="00701A18">
      <w:pPr>
        <w:jc w:val="left"/>
      </w:pPr>
    </w:p>
    <w:p w:rsidR="00701A18" w:rsidRPr="002803A6" w:rsidRDefault="00701A18" w:rsidP="00701A18">
      <w:pPr>
        <w:jc w:val="right"/>
      </w:pPr>
      <w:r w:rsidRPr="002803A6">
        <w:t>[</w:t>
      </w:r>
      <w:r w:rsidR="00445C49" w:rsidRPr="002803A6">
        <w:t>Anlage</w:t>
      </w:r>
      <w:r w:rsidRPr="002803A6">
        <w:t xml:space="preserve"> XIII </w:t>
      </w:r>
      <w:r w:rsidR="00445C49" w:rsidRPr="002803A6">
        <w:t>folgt]</w:t>
      </w:r>
    </w:p>
    <w:p w:rsidR="00701A18" w:rsidRPr="002803A6" w:rsidRDefault="00701A18" w:rsidP="00701A18">
      <w:pPr>
        <w:jc w:val="left"/>
      </w:pPr>
    </w:p>
    <w:p w:rsidR="00701A18" w:rsidRPr="002803A6" w:rsidRDefault="00701A18" w:rsidP="00701A18">
      <w:pPr>
        <w:jc w:val="left"/>
        <w:sectPr w:rsidR="00701A18" w:rsidRPr="002803A6" w:rsidSect="00823234">
          <w:headerReference w:type="default" r:id="rId31"/>
          <w:pgSz w:w="11907" w:h="16840" w:code="9"/>
          <w:pgMar w:top="510" w:right="1134" w:bottom="1134" w:left="1134" w:header="510" w:footer="680" w:gutter="0"/>
          <w:pgNumType w:start="1"/>
          <w:cols w:space="720"/>
          <w:titlePg/>
        </w:sectPr>
      </w:pPr>
    </w:p>
    <w:p w:rsidR="00701A18" w:rsidRPr="002803A6" w:rsidRDefault="00701A18" w:rsidP="00701A18">
      <w:pPr>
        <w:jc w:val="center"/>
      </w:pPr>
      <w:r w:rsidRPr="002803A6">
        <w:lastRenderedPageBreak/>
        <w:t>C/53/INF/4</w:t>
      </w:r>
    </w:p>
    <w:p w:rsidR="00701A18" w:rsidRPr="002803A6" w:rsidRDefault="00701A18" w:rsidP="00701A18">
      <w:pPr>
        <w:jc w:val="center"/>
      </w:pPr>
    </w:p>
    <w:p w:rsidR="00701A18" w:rsidRPr="002803A6" w:rsidRDefault="00445C49" w:rsidP="00701A18">
      <w:pPr>
        <w:jc w:val="center"/>
      </w:pPr>
      <w:r w:rsidRPr="002803A6">
        <w:t>ANLAGE</w:t>
      </w:r>
      <w:r w:rsidR="00701A18" w:rsidRPr="002803A6">
        <w:t xml:space="preserve"> XIII</w:t>
      </w:r>
    </w:p>
    <w:p w:rsidR="00701A18" w:rsidRPr="002803A6" w:rsidRDefault="00701A18" w:rsidP="00701A18">
      <w:pPr>
        <w:jc w:val="center"/>
      </w:pPr>
    </w:p>
    <w:p w:rsidR="00701A18" w:rsidRPr="002803A6" w:rsidRDefault="00701A18" w:rsidP="00701A18">
      <w:pPr>
        <w:jc w:val="center"/>
      </w:pPr>
    </w:p>
    <w:p w:rsidR="00982C5C" w:rsidRPr="002803A6" w:rsidRDefault="00982C5C" w:rsidP="00982C5C">
      <w:pPr>
        <w:jc w:val="center"/>
      </w:pPr>
      <w:r w:rsidRPr="002803A6">
        <w:t>REPUBLIK MOLDAU</w:t>
      </w:r>
    </w:p>
    <w:p w:rsidR="00982C5C" w:rsidRPr="002803A6" w:rsidRDefault="00982C5C" w:rsidP="00982C5C">
      <w:pPr>
        <w:rPr>
          <w:rFonts w:cs="Arial"/>
        </w:rPr>
      </w:pPr>
    </w:p>
    <w:p w:rsidR="00982C5C" w:rsidRPr="002803A6" w:rsidRDefault="00982C5C" w:rsidP="00982C5C">
      <w:pPr>
        <w:rPr>
          <w:rFonts w:cs="Arial"/>
        </w:rPr>
      </w:pPr>
    </w:p>
    <w:p w:rsidR="00AC3AD1" w:rsidRPr="002803A6" w:rsidRDefault="00AC3AD1" w:rsidP="00AC3AD1">
      <w:r w:rsidRPr="002803A6">
        <w:t>SORTENSCHUTZ</w:t>
      </w:r>
    </w:p>
    <w:p w:rsidR="00AC3AD1" w:rsidRPr="002803A6" w:rsidRDefault="00AC3AD1" w:rsidP="00AC3AD1"/>
    <w:p w:rsidR="00982C5C" w:rsidRPr="002803A6" w:rsidRDefault="00982C5C" w:rsidP="00982C5C">
      <w:pPr>
        <w:rPr>
          <w:rFonts w:cs="Arial"/>
          <w:u w:val="single"/>
        </w:rPr>
      </w:pPr>
      <w:r w:rsidRPr="002803A6">
        <w:t>1.</w:t>
      </w:r>
      <w:r w:rsidRPr="002803A6">
        <w:tab/>
      </w:r>
      <w:r w:rsidRPr="002803A6">
        <w:rPr>
          <w:u w:val="single"/>
        </w:rPr>
        <w:t>Lage auf dem Gebiet der Gesetzgebung</w:t>
      </w:r>
    </w:p>
    <w:p w:rsidR="00982C5C" w:rsidRPr="002803A6" w:rsidRDefault="00982C5C" w:rsidP="00982C5C">
      <w:pPr>
        <w:rPr>
          <w:rFonts w:cs="Arial"/>
        </w:rPr>
      </w:pPr>
    </w:p>
    <w:p w:rsidR="00982C5C" w:rsidRPr="002803A6" w:rsidRDefault="00982C5C" w:rsidP="00982C5C">
      <w:pPr>
        <w:rPr>
          <w:rFonts w:cs="Arial"/>
        </w:rPr>
      </w:pPr>
      <w:r w:rsidRPr="002803A6">
        <w:t>1.1</w:t>
      </w:r>
      <w:r w:rsidRPr="002803A6">
        <w:tab/>
        <w:t>Änderungen des Gesetzes und der Ausführungsvorschriften:</w:t>
      </w:r>
    </w:p>
    <w:p w:rsidR="00982C5C" w:rsidRPr="002803A6" w:rsidRDefault="00982C5C" w:rsidP="00982C5C">
      <w:pPr>
        <w:rPr>
          <w:rFonts w:cs="Arial"/>
        </w:rPr>
      </w:pPr>
    </w:p>
    <w:p w:rsidR="00982C5C" w:rsidRPr="002803A6" w:rsidRDefault="00982C5C" w:rsidP="00982C5C">
      <w:pPr>
        <w:rPr>
          <w:rFonts w:cs="Arial"/>
        </w:rPr>
      </w:pPr>
      <w:r w:rsidRPr="002803A6">
        <w:tab/>
        <w:t>Keine Änderungen.</w:t>
      </w:r>
    </w:p>
    <w:p w:rsidR="00982C5C" w:rsidRPr="002803A6" w:rsidRDefault="00982C5C" w:rsidP="00982C5C">
      <w:pPr>
        <w:rPr>
          <w:rFonts w:cs="Arial"/>
        </w:rPr>
      </w:pPr>
    </w:p>
    <w:p w:rsidR="00982C5C" w:rsidRPr="002803A6" w:rsidRDefault="00982C5C" w:rsidP="00982C5C">
      <w:pPr>
        <w:rPr>
          <w:rFonts w:cs="Arial"/>
        </w:rPr>
      </w:pPr>
      <w:r w:rsidRPr="002803A6">
        <w:t>1.2</w:t>
      </w:r>
      <w:r w:rsidRPr="002803A6">
        <w:tab/>
        <w:t>Erstreckung des Schutzes auf weitere Gattungen und Arten</w:t>
      </w:r>
    </w:p>
    <w:p w:rsidR="00982C5C" w:rsidRPr="002803A6" w:rsidRDefault="00982C5C" w:rsidP="00982C5C">
      <w:pPr>
        <w:rPr>
          <w:rFonts w:cs="Arial"/>
        </w:rPr>
      </w:pPr>
    </w:p>
    <w:p w:rsidR="00982C5C" w:rsidRPr="002803A6" w:rsidRDefault="00982C5C" w:rsidP="00982C5C">
      <w:pPr>
        <w:rPr>
          <w:rFonts w:cs="Arial"/>
          <w:sz w:val="16"/>
        </w:rPr>
      </w:pPr>
      <w:r w:rsidRPr="002803A6">
        <w:t>Gemäß dem Gesetz Nr. 39-XVI/2008 über den Pflanzensortenschutz wird der Schutz für die Sorten aller botanischen Gattungen und Arten, einschließlich Hybriden zwischen Gattungen und Arten, angeboten.</w:t>
      </w:r>
    </w:p>
    <w:p w:rsidR="00982C5C" w:rsidRPr="002803A6" w:rsidRDefault="00982C5C" w:rsidP="00982C5C">
      <w:pPr>
        <w:rPr>
          <w:rFonts w:cs="Arial"/>
        </w:rPr>
      </w:pPr>
    </w:p>
    <w:p w:rsidR="00982C5C" w:rsidRPr="002803A6" w:rsidRDefault="00982C5C" w:rsidP="00982C5C">
      <w:pPr>
        <w:rPr>
          <w:rFonts w:cs="Arial"/>
        </w:rPr>
      </w:pPr>
      <w:r w:rsidRPr="002803A6">
        <w:t>1.3</w:t>
      </w:r>
      <w:r w:rsidRPr="002803A6">
        <w:tab/>
      </w:r>
      <w:r w:rsidR="002803A6" w:rsidRPr="002803A6">
        <w:t>Rechtsprechung</w:t>
      </w:r>
    </w:p>
    <w:p w:rsidR="00982C5C" w:rsidRPr="002803A6" w:rsidRDefault="00982C5C" w:rsidP="00982C5C">
      <w:pPr>
        <w:rPr>
          <w:rFonts w:cs="Arial"/>
        </w:rPr>
      </w:pPr>
    </w:p>
    <w:p w:rsidR="00982C5C" w:rsidRPr="002803A6" w:rsidRDefault="00982C5C" w:rsidP="00982C5C">
      <w:pPr>
        <w:rPr>
          <w:rFonts w:cs="Arial"/>
        </w:rPr>
      </w:pPr>
      <w:r w:rsidRPr="002803A6">
        <w:t>Hinsichtlich des Sortenschutzes gibt es keine Präzedenzfälle.</w:t>
      </w:r>
    </w:p>
    <w:p w:rsidR="00982C5C" w:rsidRPr="002803A6" w:rsidRDefault="00982C5C" w:rsidP="00982C5C">
      <w:pPr>
        <w:rPr>
          <w:rFonts w:cs="Arial"/>
        </w:rPr>
      </w:pPr>
    </w:p>
    <w:p w:rsidR="00982C5C" w:rsidRPr="002803A6" w:rsidRDefault="00982C5C" w:rsidP="00982C5C">
      <w:pPr>
        <w:rPr>
          <w:rFonts w:cs="Arial"/>
        </w:rPr>
      </w:pPr>
    </w:p>
    <w:p w:rsidR="00982C5C" w:rsidRPr="002803A6" w:rsidRDefault="00982C5C" w:rsidP="00982C5C">
      <w:pPr>
        <w:rPr>
          <w:rFonts w:cs="Arial"/>
          <w:u w:val="single"/>
        </w:rPr>
      </w:pPr>
      <w:r w:rsidRPr="002803A6">
        <w:t>2.</w:t>
      </w:r>
      <w:r w:rsidRPr="002803A6">
        <w:tab/>
      </w:r>
      <w:r w:rsidRPr="002803A6">
        <w:rPr>
          <w:u w:val="single"/>
        </w:rPr>
        <w:t>Zusammenarbeit bei der Prüfung</w:t>
      </w:r>
    </w:p>
    <w:p w:rsidR="00982C5C" w:rsidRPr="002803A6" w:rsidRDefault="00982C5C" w:rsidP="00982C5C">
      <w:pPr>
        <w:rPr>
          <w:rFonts w:cs="Arial"/>
          <w:u w:val="single"/>
        </w:rPr>
      </w:pPr>
    </w:p>
    <w:p w:rsidR="00982C5C" w:rsidRPr="002803A6" w:rsidRDefault="00982C5C" w:rsidP="00982C5C">
      <w:pPr>
        <w:rPr>
          <w:rFonts w:cs="Arial"/>
        </w:rPr>
      </w:pPr>
      <w:r w:rsidRPr="002803A6">
        <w:t>Übernahme bestehender DUS-Berichte von:</w:t>
      </w:r>
    </w:p>
    <w:p w:rsidR="00982C5C" w:rsidRPr="002803A6" w:rsidRDefault="00982C5C" w:rsidP="00982C5C">
      <w:pPr>
        <w:rPr>
          <w:rFonts w:cs="Arial"/>
          <w:u w:val="single"/>
        </w:rPr>
      </w:pPr>
    </w:p>
    <w:p w:rsidR="00982C5C" w:rsidRPr="002803A6" w:rsidRDefault="00982C5C" w:rsidP="00982C5C">
      <w:pPr>
        <w:pStyle w:val="ListParagraph"/>
        <w:numPr>
          <w:ilvl w:val="0"/>
          <w:numId w:val="6"/>
        </w:numPr>
        <w:rPr>
          <w:rFonts w:cs="Arial"/>
          <w:u w:val="single"/>
        </w:rPr>
      </w:pPr>
      <w:r w:rsidRPr="002803A6">
        <w:t xml:space="preserve">GEVES, </w:t>
      </w:r>
      <w:proofErr w:type="spellStart"/>
      <w:r w:rsidRPr="002803A6">
        <w:t>Beaucouzé</w:t>
      </w:r>
      <w:proofErr w:type="spellEnd"/>
      <w:r w:rsidRPr="002803A6">
        <w:t>, FR</w:t>
      </w:r>
    </w:p>
    <w:p w:rsidR="00982C5C" w:rsidRPr="002803A6" w:rsidRDefault="00982C5C" w:rsidP="00982C5C">
      <w:pPr>
        <w:pStyle w:val="ListParagraph"/>
        <w:numPr>
          <w:ilvl w:val="0"/>
          <w:numId w:val="6"/>
        </w:numPr>
        <w:rPr>
          <w:rFonts w:cs="Arial"/>
        </w:rPr>
      </w:pPr>
      <w:r w:rsidRPr="002803A6">
        <w:t>Bundessortenamt, DE</w:t>
      </w:r>
    </w:p>
    <w:p w:rsidR="00982C5C" w:rsidRPr="002803A6" w:rsidRDefault="00982C5C" w:rsidP="00982C5C">
      <w:pPr>
        <w:pStyle w:val="ListParagraph"/>
        <w:numPr>
          <w:ilvl w:val="0"/>
          <w:numId w:val="6"/>
        </w:numPr>
        <w:rPr>
          <w:rStyle w:val="Strong"/>
          <w:rFonts w:cs="Arial"/>
          <w:b w:val="0"/>
          <w:bCs w:val="0"/>
          <w:szCs w:val="20"/>
          <w:u w:val="single"/>
        </w:rPr>
      </w:pPr>
      <w:r w:rsidRPr="002803A6">
        <w:rPr>
          <w:rStyle w:val="Strong"/>
          <w:b w:val="0"/>
          <w:szCs w:val="20"/>
        </w:rPr>
        <w:t>Zentralinstitut für Aufsicht und Prüfung in der Landwirtschaft  (UKZUZ), CZ</w:t>
      </w:r>
    </w:p>
    <w:p w:rsidR="00982C5C" w:rsidRPr="002803A6" w:rsidRDefault="00982C5C" w:rsidP="00982C5C">
      <w:pPr>
        <w:pStyle w:val="ListParagraph"/>
        <w:numPr>
          <w:ilvl w:val="0"/>
          <w:numId w:val="6"/>
        </w:numPr>
        <w:rPr>
          <w:rFonts w:cs="Arial"/>
          <w:u w:val="single"/>
        </w:rPr>
      </w:pPr>
      <w:r w:rsidRPr="002803A6">
        <w:t>Agentur für Pflanzensorten und Saatgut und Tier- und Pflanzengesundheit, UK</w:t>
      </w:r>
    </w:p>
    <w:p w:rsidR="00982C5C" w:rsidRPr="002803A6" w:rsidRDefault="00982C5C" w:rsidP="00982C5C">
      <w:pPr>
        <w:rPr>
          <w:rFonts w:cs="Arial"/>
          <w:u w:val="single"/>
        </w:rPr>
      </w:pPr>
    </w:p>
    <w:p w:rsidR="00982C5C" w:rsidRPr="002803A6" w:rsidRDefault="00982C5C" w:rsidP="00982C5C">
      <w:pPr>
        <w:rPr>
          <w:rFonts w:cs="Arial"/>
          <w:u w:val="single"/>
        </w:rPr>
      </w:pPr>
    </w:p>
    <w:p w:rsidR="00982C5C" w:rsidRPr="002803A6" w:rsidRDefault="00982C5C" w:rsidP="00982C5C">
      <w:pPr>
        <w:rPr>
          <w:rFonts w:cs="Arial"/>
        </w:rPr>
      </w:pPr>
      <w:r w:rsidRPr="002803A6">
        <w:t>3.</w:t>
      </w:r>
      <w:r w:rsidRPr="002803A6">
        <w:tab/>
      </w:r>
      <w:r w:rsidRPr="002803A6">
        <w:rPr>
          <w:u w:val="single"/>
        </w:rPr>
        <w:t>Lage auf dem Gebiet der Verwaltung</w:t>
      </w:r>
    </w:p>
    <w:p w:rsidR="00982C5C" w:rsidRPr="002803A6" w:rsidRDefault="00982C5C" w:rsidP="00982C5C">
      <w:pPr>
        <w:rPr>
          <w:rFonts w:cs="Arial"/>
        </w:rPr>
      </w:pPr>
    </w:p>
    <w:p w:rsidR="00982C5C" w:rsidRPr="002803A6" w:rsidRDefault="00982C5C" w:rsidP="00982C5C">
      <w:pPr>
        <w:ind w:firstLine="567"/>
        <w:rPr>
          <w:rFonts w:cs="Arial"/>
        </w:rPr>
      </w:pPr>
      <w:r w:rsidRPr="002803A6">
        <w:t>Keine Änderungen.</w:t>
      </w:r>
    </w:p>
    <w:p w:rsidR="00982C5C" w:rsidRPr="002803A6" w:rsidRDefault="00982C5C" w:rsidP="00982C5C">
      <w:pPr>
        <w:rPr>
          <w:rFonts w:cs="Arial"/>
        </w:rPr>
      </w:pPr>
    </w:p>
    <w:p w:rsidR="00982C5C" w:rsidRPr="002803A6" w:rsidRDefault="00982C5C" w:rsidP="00982C5C">
      <w:pPr>
        <w:rPr>
          <w:rFonts w:cs="Arial"/>
          <w:i/>
        </w:rPr>
      </w:pPr>
      <w:r w:rsidRPr="002803A6">
        <w:rPr>
          <w:i/>
        </w:rPr>
        <w:t xml:space="preserve">Änderungen in den Verfahren und Systemen </w:t>
      </w:r>
    </w:p>
    <w:p w:rsidR="00982C5C" w:rsidRPr="002803A6" w:rsidRDefault="00982C5C" w:rsidP="00982C5C">
      <w:pPr>
        <w:rPr>
          <w:rFonts w:cs="Arial"/>
        </w:rPr>
      </w:pPr>
    </w:p>
    <w:p w:rsidR="00982C5C" w:rsidRPr="002803A6" w:rsidRDefault="00982C5C" w:rsidP="00982C5C">
      <w:pPr>
        <w:ind w:firstLine="567"/>
        <w:rPr>
          <w:rFonts w:cs="Arial"/>
        </w:rPr>
      </w:pPr>
      <w:r w:rsidRPr="002803A6">
        <w:t>Keine Änderungen.</w:t>
      </w:r>
    </w:p>
    <w:p w:rsidR="00982C5C" w:rsidRPr="002803A6" w:rsidRDefault="00982C5C" w:rsidP="00982C5C">
      <w:pPr>
        <w:rPr>
          <w:rFonts w:cs="Arial"/>
        </w:rPr>
      </w:pPr>
    </w:p>
    <w:p w:rsidR="00982C5C" w:rsidRPr="002803A6" w:rsidRDefault="00982C5C" w:rsidP="00982C5C">
      <w:pPr>
        <w:rPr>
          <w:rFonts w:cs="Arial"/>
          <w:i/>
        </w:rPr>
      </w:pPr>
      <w:r w:rsidRPr="002803A6">
        <w:rPr>
          <w:i/>
        </w:rPr>
        <w:t>Statistiken</w:t>
      </w:r>
    </w:p>
    <w:p w:rsidR="00982C5C" w:rsidRPr="002803A6" w:rsidRDefault="00982C5C" w:rsidP="00982C5C">
      <w:pPr>
        <w:rPr>
          <w:rFonts w:cs="Arial"/>
        </w:rPr>
      </w:pPr>
    </w:p>
    <w:p w:rsidR="00982C5C" w:rsidRPr="002803A6" w:rsidRDefault="00982C5C" w:rsidP="00982C5C">
      <w:pPr>
        <w:rPr>
          <w:rFonts w:cs="Arial"/>
        </w:rPr>
      </w:pPr>
      <w:r w:rsidRPr="002803A6">
        <w:t>Im Zeitraum vom 1. Januar 2018 bis 31. Dezember 2018:</w:t>
      </w:r>
    </w:p>
    <w:p w:rsidR="00982C5C" w:rsidRPr="002803A6" w:rsidRDefault="00982C5C" w:rsidP="00982C5C">
      <w:pPr>
        <w:rPr>
          <w:rFonts w:cs="Arial"/>
        </w:rPr>
      </w:pPr>
    </w:p>
    <w:p w:rsidR="00982C5C" w:rsidRPr="002803A6" w:rsidRDefault="00982C5C" w:rsidP="00982C5C">
      <w:pPr>
        <w:rPr>
          <w:rFonts w:cs="Arial"/>
        </w:rPr>
      </w:pPr>
      <w:r w:rsidRPr="002803A6">
        <w:t>- Es wurden 37 Anträge (28 von inländischen und 9 von ausländischen Antragstellern) wie folgt eingereicht:</w:t>
      </w:r>
    </w:p>
    <w:p w:rsidR="00982C5C" w:rsidRPr="002803A6" w:rsidRDefault="00982C5C" w:rsidP="00982C5C">
      <w:pPr>
        <w:rPr>
          <w:rFonts w:cs="Arial"/>
        </w:rPr>
      </w:pPr>
    </w:p>
    <w:p w:rsidR="00982C5C" w:rsidRPr="002803A6" w:rsidRDefault="00982C5C" w:rsidP="00982C5C">
      <w:pPr>
        <w:spacing w:after="60"/>
        <w:ind w:left="567"/>
        <w:rPr>
          <w:rFonts w:eastAsia="Calibri" w:cs="Arial"/>
          <w:bCs/>
        </w:rPr>
      </w:pPr>
      <w:r w:rsidRPr="002803A6">
        <w:t>Gerste (</w:t>
      </w:r>
      <w:proofErr w:type="spellStart"/>
      <w:r w:rsidRPr="002803A6">
        <w:rPr>
          <w:i/>
          <w:iCs/>
        </w:rPr>
        <w:t>Hordeum</w:t>
      </w:r>
      <w:proofErr w:type="spellEnd"/>
      <w:r w:rsidRPr="002803A6">
        <w:rPr>
          <w:i/>
          <w:iCs/>
        </w:rPr>
        <w:t xml:space="preserve"> </w:t>
      </w:r>
      <w:proofErr w:type="spellStart"/>
      <w:r w:rsidRPr="002803A6">
        <w:rPr>
          <w:i/>
          <w:iCs/>
        </w:rPr>
        <w:t>vulgare</w:t>
      </w:r>
      <w:proofErr w:type="spellEnd"/>
      <w:r w:rsidRPr="002803A6">
        <w:t xml:space="preserve"> L.) - 3</w:t>
      </w:r>
    </w:p>
    <w:p w:rsidR="00982C5C" w:rsidRPr="002803A6" w:rsidRDefault="00982C5C" w:rsidP="00982C5C">
      <w:pPr>
        <w:spacing w:after="60"/>
        <w:ind w:left="567"/>
        <w:rPr>
          <w:rFonts w:cs="Arial"/>
        </w:rPr>
      </w:pPr>
      <w:r w:rsidRPr="002803A6">
        <w:t>Bohne (</w:t>
      </w:r>
      <w:proofErr w:type="spellStart"/>
      <w:r w:rsidRPr="002803A6">
        <w:rPr>
          <w:i/>
          <w:iCs/>
        </w:rPr>
        <w:t>Phaseolus</w:t>
      </w:r>
      <w:proofErr w:type="spellEnd"/>
      <w:r w:rsidRPr="002803A6">
        <w:rPr>
          <w:i/>
          <w:iCs/>
        </w:rPr>
        <w:t xml:space="preserve"> </w:t>
      </w:r>
      <w:proofErr w:type="spellStart"/>
      <w:r w:rsidRPr="002803A6">
        <w:rPr>
          <w:i/>
          <w:iCs/>
        </w:rPr>
        <w:t>vulgaris</w:t>
      </w:r>
      <w:proofErr w:type="spellEnd"/>
      <w:r w:rsidRPr="002803A6">
        <w:t xml:space="preserve"> L.) – 1</w:t>
      </w:r>
    </w:p>
    <w:p w:rsidR="00982C5C" w:rsidRPr="002803A6" w:rsidRDefault="00982C5C" w:rsidP="00982C5C">
      <w:pPr>
        <w:spacing w:after="60"/>
        <w:ind w:left="567"/>
        <w:rPr>
          <w:rFonts w:cs="Arial"/>
        </w:rPr>
      </w:pPr>
      <w:r w:rsidRPr="002803A6">
        <w:t>Kichererbse (</w:t>
      </w:r>
      <w:proofErr w:type="spellStart"/>
      <w:r w:rsidRPr="002803A6">
        <w:rPr>
          <w:i/>
        </w:rPr>
        <w:t>Cicer</w:t>
      </w:r>
      <w:proofErr w:type="spellEnd"/>
      <w:r w:rsidRPr="002803A6">
        <w:rPr>
          <w:i/>
        </w:rPr>
        <w:t xml:space="preserve"> </w:t>
      </w:r>
      <w:proofErr w:type="spellStart"/>
      <w:r w:rsidRPr="002803A6">
        <w:rPr>
          <w:i/>
        </w:rPr>
        <w:t>arietinum</w:t>
      </w:r>
      <w:proofErr w:type="spellEnd"/>
      <w:r w:rsidRPr="002803A6">
        <w:t xml:space="preserve"> L.) -1</w:t>
      </w:r>
    </w:p>
    <w:p w:rsidR="00982C5C" w:rsidRPr="002803A6" w:rsidRDefault="00982C5C" w:rsidP="00982C5C">
      <w:pPr>
        <w:spacing w:after="60"/>
        <w:ind w:left="567"/>
        <w:rPr>
          <w:rFonts w:cs="Arial"/>
        </w:rPr>
      </w:pPr>
      <w:proofErr w:type="spellStart"/>
      <w:r w:rsidRPr="002803A6">
        <w:t>Chrisantheme</w:t>
      </w:r>
      <w:proofErr w:type="spellEnd"/>
      <w:r w:rsidRPr="002803A6">
        <w:t xml:space="preserve"> (</w:t>
      </w:r>
      <w:r w:rsidRPr="002803A6">
        <w:rPr>
          <w:bCs/>
          <w:i/>
          <w:iCs/>
        </w:rPr>
        <w:t xml:space="preserve">Chrysanthemum </w:t>
      </w:r>
      <w:proofErr w:type="spellStart"/>
      <w:r w:rsidRPr="002803A6">
        <w:rPr>
          <w:bCs/>
          <w:i/>
          <w:iCs/>
        </w:rPr>
        <w:t>indicum</w:t>
      </w:r>
      <w:proofErr w:type="spellEnd"/>
      <w:r w:rsidRPr="002803A6">
        <w:t xml:space="preserve"> L.) – 1</w:t>
      </w:r>
    </w:p>
    <w:p w:rsidR="00982C5C" w:rsidRPr="002803A6" w:rsidRDefault="00982C5C" w:rsidP="00982C5C">
      <w:pPr>
        <w:spacing w:after="60"/>
        <w:ind w:left="567"/>
        <w:rPr>
          <w:rFonts w:cs="Arial"/>
        </w:rPr>
      </w:pPr>
      <w:r w:rsidRPr="002803A6">
        <w:t xml:space="preserve">Gewöhnliche </w:t>
      </w:r>
      <w:proofErr w:type="spellStart"/>
      <w:r w:rsidRPr="002803A6">
        <w:t>Haselnuß</w:t>
      </w:r>
      <w:proofErr w:type="spellEnd"/>
      <w:r w:rsidRPr="002803A6">
        <w:t xml:space="preserve"> (</w:t>
      </w:r>
      <w:proofErr w:type="spellStart"/>
      <w:r w:rsidRPr="002803A6">
        <w:rPr>
          <w:i/>
        </w:rPr>
        <w:t>Corylus</w:t>
      </w:r>
      <w:proofErr w:type="spellEnd"/>
      <w:r w:rsidRPr="002803A6">
        <w:rPr>
          <w:i/>
        </w:rPr>
        <w:t xml:space="preserve"> </w:t>
      </w:r>
      <w:proofErr w:type="spellStart"/>
      <w:r w:rsidRPr="002803A6">
        <w:rPr>
          <w:i/>
        </w:rPr>
        <w:t>avellana</w:t>
      </w:r>
      <w:proofErr w:type="spellEnd"/>
      <w:r w:rsidRPr="002803A6">
        <w:t xml:space="preserve"> L.) – 1</w:t>
      </w:r>
    </w:p>
    <w:p w:rsidR="00982C5C" w:rsidRPr="002803A6" w:rsidRDefault="00982C5C" w:rsidP="00982C5C">
      <w:pPr>
        <w:spacing w:after="60"/>
        <w:ind w:left="567"/>
        <w:rPr>
          <w:rFonts w:cs="Arial"/>
        </w:rPr>
      </w:pPr>
      <w:r w:rsidRPr="002803A6">
        <w:t>Knoblauch (</w:t>
      </w:r>
      <w:proofErr w:type="spellStart"/>
      <w:r w:rsidRPr="002803A6">
        <w:rPr>
          <w:i/>
        </w:rPr>
        <w:t>Allium</w:t>
      </w:r>
      <w:proofErr w:type="spellEnd"/>
      <w:r w:rsidRPr="002803A6">
        <w:rPr>
          <w:i/>
        </w:rPr>
        <w:t xml:space="preserve"> </w:t>
      </w:r>
      <w:proofErr w:type="spellStart"/>
      <w:r w:rsidRPr="002803A6">
        <w:rPr>
          <w:i/>
        </w:rPr>
        <w:t>sativum</w:t>
      </w:r>
      <w:proofErr w:type="spellEnd"/>
      <w:r w:rsidRPr="002803A6">
        <w:t xml:space="preserve"> L.) – 2</w:t>
      </w:r>
    </w:p>
    <w:p w:rsidR="00982C5C" w:rsidRPr="002803A6" w:rsidRDefault="00982C5C" w:rsidP="00982C5C">
      <w:pPr>
        <w:spacing w:after="60"/>
        <w:ind w:left="567"/>
        <w:rPr>
          <w:rFonts w:eastAsia="Calibri" w:cs="Arial"/>
          <w:bCs/>
        </w:rPr>
      </w:pPr>
      <w:r w:rsidRPr="002803A6">
        <w:t>Rebe (</w:t>
      </w:r>
      <w:proofErr w:type="spellStart"/>
      <w:r w:rsidRPr="002803A6">
        <w:rPr>
          <w:bCs/>
          <w:i/>
          <w:iCs/>
        </w:rPr>
        <w:t>Vitis</w:t>
      </w:r>
      <w:proofErr w:type="spellEnd"/>
      <w:r w:rsidRPr="002803A6">
        <w:rPr>
          <w:bCs/>
          <w:i/>
          <w:iCs/>
        </w:rPr>
        <w:t xml:space="preserve"> </w:t>
      </w:r>
      <w:r w:rsidRPr="002803A6">
        <w:t>L.) – 2</w:t>
      </w:r>
    </w:p>
    <w:p w:rsidR="00982C5C" w:rsidRPr="002803A6" w:rsidRDefault="00982C5C" w:rsidP="00982C5C">
      <w:pPr>
        <w:spacing w:after="60"/>
        <w:ind w:left="567"/>
        <w:rPr>
          <w:rFonts w:cs="Arial"/>
        </w:rPr>
      </w:pPr>
      <w:r w:rsidRPr="002803A6">
        <w:t>Zitronen-Taglilie (</w:t>
      </w:r>
      <w:proofErr w:type="spellStart"/>
      <w:r w:rsidRPr="002803A6">
        <w:rPr>
          <w:bCs/>
          <w:i/>
          <w:iCs/>
        </w:rPr>
        <w:t>Hemerocallis</w:t>
      </w:r>
      <w:proofErr w:type="spellEnd"/>
      <w:r w:rsidRPr="002803A6">
        <w:rPr>
          <w:bCs/>
          <w:i/>
          <w:iCs/>
        </w:rPr>
        <w:t xml:space="preserve"> x </w:t>
      </w:r>
      <w:proofErr w:type="spellStart"/>
      <w:r w:rsidRPr="002803A6">
        <w:rPr>
          <w:bCs/>
          <w:i/>
          <w:iCs/>
        </w:rPr>
        <w:t>hybrida</w:t>
      </w:r>
      <w:proofErr w:type="spellEnd"/>
      <w:r w:rsidRPr="002803A6">
        <w:rPr>
          <w:bCs/>
          <w:i/>
          <w:iCs/>
        </w:rPr>
        <w:t xml:space="preserve"> </w:t>
      </w:r>
      <w:proofErr w:type="spellStart"/>
      <w:r w:rsidRPr="002803A6">
        <w:t>hort</w:t>
      </w:r>
      <w:proofErr w:type="spellEnd"/>
      <w:r w:rsidRPr="002803A6">
        <w:t>.) – 1</w:t>
      </w:r>
    </w:p>
    <w:p w:rsidR="00982C5C" w:rsidRPr="002803A6" w:rsidRDefault="00982C5C" w:rsidP="00982C5C">
      <w:pPr>
        <w:spacing w:after="60"/>
        <w:ind w:left="567"/>
        <w:rPr>
          <w:rFonts w:cs="Arial"/>
        </w:rPr>
      </w:pPr>
      <w:r w:rsidRPr="002803A6">
        <w:t>Mais (</w:t>
      </w:r>
      <w:r w:rsidRPr="002803A6">
        <w:rPr>
          <w:i/>
        </w:rPr>
        <w:t xml:space="preserve">Zea </w:t>
      </w:r>
      <w:proofErr w:type="spellStart"/>
      <w:r w:rsidRPr="002803A6">
        <w:rPr>
          <w:i/>
        </w:rPr>
        <w:t>mays</w:t>
      </w:r>
      <w:proofErr w:type="spellEnd"/>
      <w:r w:rsidRPr="002803A6">
        <w:t xml:space="preserve"> L.) – 6</w:t>
      </w:r>
    </w:p>
    <w:p w:rsidR="00982C5C" w:rsidRPr="002803A6" w:rsidRDefault="00982C5C" w:rsidP="00982C5C">
      <w:pPr>
        <w:spacing w:after="60"/>
        <w:ind w:left="567"/>
        <w:rPr>
          <w:rFonts w:cs="Arial"/>
        </w:rPr>
      </w:pPr>
      <w:r w:rsidRPr="002803A6">
        <w:t>Hafer (</w:t>
      </w:r>
      <w:proofErr w:type="spellStart"/>
      <w:r w:rsidRPr="002803A6">
        <w:rPr>
          <w:i/>
        </w:rPr>
        <w:t>Avena</w:t>
      </w:r>
      <w:proofErr w:type="spellEnd"/>
      <w:r w:rsidRPr="002803A6">
        <w:rPr>
          <w:i/>
        </w:rPr>
        <w:t xml:space="preserve"> </w:t>
      </w:r>
      <w:proofErr w:type="spellStart"/>
      <w:r w:rsidRPr="002803A6">
        <w:rPr>
          <w:i/>
        </w:rPr>
        <w:t>sativa</w:t>
      </w:r>
      <w:proofErr w:type="spellEnd"/>
      <w:r w:rsidRPr="002803A6">
        <w:t xml:space="preserve"> L.) – 1</w:t>
      </w:r>
    </w:p>
    <w:p w:rsidR="00982C5C" w:rsidRPr="002803A6" w:rsidRDefault="00982C5C" w:rsidP="00982C5C">
      <w:pPr>
        <w:spacing w:after="60"/>
        <w:ind w:left="567"/>
        <w:rPr>
          <w:rFonts w:cs="Arial"/>
        </w:rPr>
      </w:pPr>
      <w:r w:rsidRPr="002803A6">
        <w:t>Zwiebel (</w:t>
      </w:r>
      <w:proofErr w:type="spellStart"/>
      <w:r w:rsidRPr="002803A6">
        <w:rPr>
          <w:i/>
        </w:rPr>
        <w:t>Allium</w:t>
      </w:r>
      <w:proofErr w:type="spellEnd"/>
      <w:r w:rsidRPr="002803A6">
        <w:rPr>
          <w:i/>
        </w:rPr>
        <w:t xml:space="preserve"> </w:t>
      </w:r>
      <w:proofErr w:type="spellStart"/>
      <w:r w:rsidRPr="002803A6">
        <w:rPr>
          <w:i/>
        </w:rPr>
        <w:t>cepa</w:t>
      </w:r>
      <w:proofErr w:type="spellEnd"/>
      <w:r w:rsidRPr="002803A6">
        <w:t xml:space="preserve"> L.) – 5</w:t>
      </w:r>
    </w:p>
    <w:p w:rsidR="00982C5C" w:rsidRPr="002803A6" w:rsidRDefault="00982C5C" w:rsidP="00982C5C">
      <w:pPr>
        <w:spacing w:after="60"/>
        <w:ind w:left="567"/>
        <w:rPr>
          <w:rFonts w:cs="Arial"/>
        </w:rPr>
      </w:pPr>
      <w:r w:rsidRPr="002803A6">
        <w:t>Erbse (</w:t>
      </w:r>
      <w:proofErr w:type="spellStart"/>
      <w:r w:rsidRPr="002803A6">
        <w:rPr>
          <w:i/>
        </w:rPr>
        <w:t>Pisum</w:t>
      </w:r>
      <w:proofErr w:type="spellEnd"/>
      <w:r w:rsidRPr="002803A6">
        <w:rPr>
          <w:i/>
        </w:rPr>
        <w:t xml:space="preserve"> </w:t>
      </w:r>
      <w:proofErr w:type="spellStart"/>
      <w:r w:rsidRPr="002803A6">
        <w:rPr>
          <w:i/>
        </w:rPr>
        <w:t>sativum</w:t>
      </w:r>
      <w:proofErr w:type="spellEnd"/>
      <w:r w:rsidRPr="002803A6">
        <w:t xml:space="preserve"> L.) – 1</w:t>
      </w:r>
    </w:p>
    <w:p w:rsidR="00982C5C" w:rsidRPr="002803A6" w:rsidRDefault="00982C5C" w:rsidP="00982C5C">
      <w:pPr>
        <w:spacing w:after="60"/>
        <w:ind w:left="567"/>
        <w:rPr>
          <w:rFonts w:cs="Arial"/>
        </w:rPr>
      </w:pPr>
      <w:r w:rsidRPr="002803A6">
        <w:lastRenderedPageBreak/>
        <w:t>Päonie (</w:t>
      </w:r>
      <w:proofErr w:type="spellStart"/>
      <w:r w:rsidRPr="002803A6">
        <w:rPr>
          <w:bCs/>
          <w:i/>
          <w:iCs/>
        </w:rPr>
        <w:t>Paeonia</w:t>
      </w:r>
      <w:proofErr w:type="spellEnd"/>
      <w:r w:rsidRPr="002803A6">
        <w:rPr>
          <w:bCs/>
          <w:i/>
          <w:iCs/>
        </w:rPr>
        <w:t xml:space="preserve"> </w:t>
      </w:r>
      <w:proofErr w:type="spellStart"/>
      <w:r w:rsidRPr="002803A6">
        <w:rPr>
          <w:bCs/>
          <w:i/>
          <w:iCs/>
        </w:rPr>
        <w:t>lactiflora</w:t>
      </w:r>
      <w:proofErr w:type="spellEnd"/>
      <w:r w:rsidRPr="002803A6">
        <w:t xml:space="preserve"> </w:t>
      </w:r>
      <w:proofErr w:type="spellStart"/>
      <w:r w:rsidRPr="002803A6">
        <w:t>Pall</w:t>
      </w:r>
      <w:proofErr w:type="spellEnd"/>
      <w:r w:rsidRPr="002803A6">
        <w:t>.) – 1</w:t>
      </w:r>
    </w:p>
    <w:p w:rsidR="00982C5C" w:rsidRPr="002803A6" w:rsidRDefault="00982C5C" w:rsidP="00982C5C">
      <w:pPr>
        <w:spacing w:after="60"/>
        <w:ind w:left="567"/>
        <w:rPr>
          <w:rFonts w:cs="Arial"/>
        </w:rPr>
      </w:pPr>
      <w:r w:rsidRPr="002803A6">
        <w:t>Roggen (</w:t>
      </w:r>
      <w:proofErr w:type="spellStart"/>
      <w:r w:rsidRPr="002803A6">
        <w:rPr>
          <w:i/>
        </w:rPr>
        <w:t>Secale</w:t>
      </w:r>
      <w:proofErr w:type="spellEnd"/>
      <w:r w:rsidRPr="002803A6">
        <w:rPr>
          <w:i/>
        </w:rPr>
        <w:t xml:space="preserve"> </w:t>
      </w:r>
      <w:proofErr w:type="spellStart"/>
      <w:r w:rsidRPr="002803A6">
        <w:rPr>
          <w:i/>
        </w:rPr>
        <w:t>cereale</w:t>
      </w:r>
      <w:proofErr w:type="spellEnd"/>
      <w:r w:rsidRPr="002803A6">
        <w:t xml:space="preserve"> L.) – 1</w:t>
      </w:r>
    </w:p>
    <w:p w:rsidR="00982C5C" w:rsidRPr="002803A6" w:rsidRDefault="00982C5C" w:rsidP="00982C5C">
      <w:pPr>
        <w:spacing w:after="60"/>
        <w:ind w:left="567"/>
        <w:rPr>
          <w:rFonts w:cs="Arial"/>
        </w:rPr>
      </w:pPr>
      <w:r w:rsidRPr="002803A6">
        <w:t>Safran (</w:t>
      </w:r>
      <w:proofErr w:type="spellStart"/>
      <w:r w:rsidRPr="002803A6">
        <w:rPr>
          <w:i/>
        </w:rPr>
        <w:t>Crocus</w:t>
      </w:r>
      <w:proofErr w:type="spellEnd"/>
      <w:r w:rsidRPr="002803A6">
        <w:rPr>
          <w:i/>
        </w:rPr>
        <w:t xml:space="preserve"> </w:t>
      </w:r>
      <w:proofErr w:type="spellStart"/>
      <w:r w:rsidRPr="002803A6">
        <w:rPr>
          <w:i/>
        </w:rPr>
        <w:t>sativus</w:t>
      </w:r>
      <w:proofErr w:type="spellEnd"/>
      <w:r w:rsidRPr="002803A6">
        <w:t>) – 1</w:t>
      </w:r>
    </w:p>
    <w:p w:rsidR="00982C5C" w:rsidRPr="002803A6" w:rsidRDefault="00982C5C" w:rsidP="00982C5C">
      <w:pPr>
        <w:spacing w:after="60"/>
        <w:ind w:left="567"/>
        <w:rPr>
          <w:rFonts w:cs="Arial"/>
        </w:rPr>
      </w:pPr>
      <w:r w:rsidRPr="002803A6">
        <w:t>Salbei (</w:t>
      </w:r>
      <w:proofErr w:type="spellStart"/>
      <w:r w:rsidRPr="002803A6">
        <w:rPr>
          <w:i/>
        </w:rPr>
        <w:t>Salvia</w:t>
      </w:r>
      <w:proofErr w:type="spellEnd"/>
      <w:r w:rsidRPr="002803A6">
        <w:rPr>
          <w:i/>
        </w:rPr>
        <w:t xml:space="preserve"> </w:t>
      </w:r>
      <w:proofErr w:type="spellStart"/>
      <w:r w:rsidRPr="002803A6">
        <w:rPr>
          <w:i/>
        </w:rPr>
        <w:t>sclarea</w:t>
      </w:r>
      <w:proofErr w:type="spellEnd"/>
      <w:r w:rsidRPr="002803A6">
        <w:t xml:space="preserve"> L.) - 1</w:t>
      </w:r>
    </w:p>
    <w:p w:rsidR="00982C5C" w:rsidRPr="002803A6" w:rsidRDefault="00982C5C" w:rsidP="00982C5C">
      <w:pPr>
        <w:spacing w:after="60"/>
        <w:ind w:left="567"/>
        <w:rPr>
          <w:rFonts w:cs="Arial"/>
        </w:rPr>
      </w:pPr>
      <w:r w:rsidRPr="002803A6">
        <w:t>Sonnenblume (</w:t>
      </w:r>
      <w:r w:rsidRPr="002803A6">
        <w:rPr>
          <w:i/>
        </w:rPr>
        <w:t xml:space="preserve">Helianthus </w:t>
      </w:r>
      <w:proofErr w:type="spellStart"/>
      <w:r w:rsidRPr="002803A6">
        <w:rPr>
          <w:i/>
        </w:rPr>
        <w:t>annus</w:t>
      </w:r>
      <w:proofErr w:type="spellEnd"/>
      <w:r w:rsidRPr="002803A6">
        <w:t xml:space="preserve"> L.) – 2</w:t>
      </w:r>
    </w:p>
    <w:p w:rsidR="00982C5C" w:rsidRPr="002803A6" w:rsidRDefault="00982C5C" w:rsidP="00982C5C">
      <w:pPr>
        <w:spacing w:after="60"/>
        <w:ind w:left="567"/>
        <w:rPr>
          <w:rFonts w:cs="Arial"/>
        </w:rPr>
      </w:pPr>
      <w:r w:rsidRPr="002803A6">
        <w:t>Tomate (</w:t>
      </w:r>
      <w:r w:rsidRPr="002803A6">
        <w:rPr>
          <w:i/>
        </w:rPr>
        <w:t xml:space="preserve">Solanum </w:t>
      </w:r>
      <w:proofErr w:type="spellStart"/>
      <w:r w:rsidRPr="002803A6">
        <w:rPr>
          <w:i/>
        </w:rPr>
        <w:t>lycopersicum</w:t>
      </w:r>
      <w:proofErr w:type="spellEnd"/>
      <w:r w:rsidRPr="002803A6">
        <w:t xml:space="preserve"> L.) – 2</w:t>
      </w:r>
    </w:p>
    <w:p w:rsidR="00982C5C" w:rsidRPr="002803A6" w:rsidRDefault="00982C5C" w:rsidP="00982C5C">
      <w:pPr>
        <w:spacing w:after="60"/>
        <w:ind w:left="567"/>
        <w:rPr>
          <w:rFonts w:cs="Arial"/>
        </w:rPr>
      </w:pPr>
      <w:proofErr w:type="spellStart"/>
      <w:r w:rsidRPr="002803A6">
        <w:t>Triticale</w:t>
      </w:r>
      <w:proofErr w:type="spellEnd"/>
      <w:r w:rsidRPr="002803A6">
        <w:t xml:space="preserve"> (</w:t>
      </w:r>
      <w:proofErr w:type="spellStart"/>
      <w:r w:rsidRPr="002803A6">
        <w:rPr>
          <w:i/>
        </w:rPr>
        <w:t>Triticosecale</w:t>
      </w:r>
      <w:proofErr w:type="spellEnd"/>
      <w:r w:rsidRPr="002803A6">
        <w:t xml:space="preserve"> Witt.) – 1</w:t>
      </w:r>
    </w:p>
    <w:p w:rsidR="00982C5C" w:rsidRPr="002803A6" w:rsidRDefault="00982C5C" w:rsidP="00982C5C">
      <w:pPr>
        <w:ind w:left="567"/>
        <w:rPr>
          <w:rFonts w:cs="Arial"/>
        </w:rPr>
      </w:pPr>
      <w:r w:rsidRPr="002803A6">
        <w:t>Weizen (</w:t>
      </w:r>
      <w:proofErr w:type="spellStart"/>
      <w:r w:rsidRPr="002803A6">
        <w:rPr>
          <w:i/>
        </w:rPr>
        <w:t>Triticum</w:t>
      </w:r>
      <w:proofErr w:type="spellEnd"/>
      <w:r w:rsidRPr="002803A6">
        <w:rPr>
          <w:i/>
        </w:rPr>
        <w:t xml:space="preserve"> </w:t>
      </w:r>
      <w:proofErr w:type="spellStart"/>
      <w:r w:rsidRPr="002803A6">
        <w:rPr>
          <w:i/>
        </w:rPr>
        <w:t>aestivum</w:t>
      </w:r>
      <w:proofErr w:type="spellEnd"/>
      <w:r w:rsidRPr="002803A6">
        <w:t xml:space="preserve"> L.) – 3</w:t>
      </w:r>
    </w:p>
    <w:p w:rsidR="00982C5C" w:rsidRPr="004547F1" w:rsidRDefault="00982C5C" w:rsidP="00982C5C"/>
    <w:p w:rsidR="00982C5C" w:rsidRPr="002803A6" w:rsidRDefault="00982C5C" w:rsidP="00982C5C">
      <w:pPr>
        <w:tabs>
          <w:tab w:val="num" w:pos="180"/>
        </w:tabs>
        <w:rPr>
          <w:rFonts w:cs="Arial"/>
        </w:rPr>
      </w:pPr>
      <w:r w:rsidRPr="002803A6">
        <w:t xml:space="preserve">- Es wurden 32 Schutztitel für Pflanzensorten (30 für Anmelder aus dem Inland und 2 für ausländische Anmelder) wie folgt erteilt: </w:t>
      </w:r>
    </w:p>
    <w:p w:rsidR="00982C5C" w:rsidRPr="002803A6" w:rsidRDefault="00982C5C" w:rsidP="00982C5C">
      <w:pPr>
        <w:tabs>
          <w:tab w:val="num" w:pos="180"/>
        </w:tabs>
        <w:rPr>
          <w:rFonts w:cs="Arial"/>
        </w:rPr>
      </w:pPr>
    </w:p>
    <w:p w:rsidR="00982C5C" w:rsidRPr="004547F1" w:rsidRDefault="00982C5C" w:rsidP="00982C5C">
      <w:pPr>
        <w:spacing w:after="60"/>
        <w:ind w:left="567"/>
        <w:rPr>
          <w:rFonts w:cs="Arial"/>
        </w:rPr>
      </w:pPr>
      <w:proofErr w:type="spellStart"/>
      <w:r w:rsidRPr="002803A6">
        <w:rPr>
          <w:color w:val="000000"/>
        </w:rPr>
        <w:t>Aronia</w:t>
      </w:r>
      <w:proofErr w:type="spellEnd"/>
      <w:r w:rsidRPr="002803A6">
        <w:rPr>
          <w:color w:val="000000"/>
        </w:rPr>
        <w:t xml:space="preserve"> (</w:t>
      </w:r>
      <w:proofErr w:type="spellStart"/>
      <w:r w:rsidRPr="002803A6">
        <w:rPr>
          <w:i/>
          <w:color w:val="000000"/>
        </w:rPr>
        <w:t>Aronia</w:t>
      </w:r>
      <w:proofErr w:type="spellEnd"/>
      <w:r w:rsidRPr="002803A6">
        <w:rPr>
          <w:i/>
          <w:color w:val="000000"/>
        </w:rPr>
        <w:t xml:space="preserve"> </w:t>
      </w:r>
      <w:proofErr w:type="spellStart"/>
      <w:r w:rsidRPr="002803A6">
        <w:rPr>
          <w:i/>
          <w:color w:val="000000"/>
        </w:rPr>
        <w:t>melanocarpa</w:t>
      </w:r>
      <w:proofErr w:type="spellEnd"/>
      <w:r w:rsidRPr="002803A6">
        <w:rPr>
          <w:color w:val="000000"/>
        </w:rPr>
        <w:t xml:space="preserve"> (</w:t>
      </w:r>
      <w:proofErr w:type="spellStart"/>
      <w:r w:rsidRPr="002803A6">
        <w:rPr>
          <w:color w:val="000000"/>
        </w:rPr>
        <w:t>Michx</w:t>
      </w:r>
      <w:proofErr w:type="spellEnd"/>
      <w:r w:rsidRPr="002803A6">
        <w:rPr>
          <w:color w:val="000000"/>
        </w:rPr>
        <w:t>) Elliot) - 1</w:t>
      </w:r>
    </w:p>
    <w:p w:rsidR="00982C5C" w:rsidRPr="002803A6" w:rsidRDefault="00982C5C" w:rsidP="00982C5C">
      <w:pPr>
        <w:spacing w:after="60"/>
        <w:ind w:left="567"/>
        <w:rPr>
          <w:rFonts w:cs="Arial"/>
          <w:color w:val="000000"/>
        </w:rPr>
      </w:pPr>
      <w:r w:rsidRPr="002803A6">
        <w:rPr>
          <w:color w:val="000000"/>
        </w:rPr>
        <w:t>Paprika (</w:t>
      </w:r>
      <w:proofErr w:type="spellStart"/>
      <w:r w:rsidRPr="002803A6">
        <w:rPr>
          <w:i/>
          <w:color w:val="000000"/>
        </w:rPr>
        <w:t>Capsicum</w:t>
      </w:r>
      <w:proofErr w:type="spellEnd"/>
      <w:r w:rsidRPr="002803A6">
        <w:rPr>
          <w:i/>
          <w:color w:val="000000"/>
        </w:rPr>
        <w:t xml:space="preserve"> </w:t>
      </w:r>
      <w:proofErr w:type="spellStart"/>
      <w:r w:rsidRPr="002803A6">
        <w:rPr>
          <w:i/>
          <w:color w:val="000000"/>
        </w:rPr>
        <w:t>annuum</w:t>
      </w:r>
      <w:proofErr w:type="spellEnd"/>
      <w:r w:rsidRPr="002803A6">
        <w:rPr>
          <w:color w:val="000000"/>
        </w:rPr>
        <w:t xml:space="preserve"> L.) – 2</w:t>
      </w:r>
    </w:p>
    <w:p w:rsidR="00982C5C" w:rsidRPr="002803A6" w:rsidRDefault="00982C5C" w:rsidP="00982C5C">
      <w:pPr>
        <w:spacing w:after="60"/>
        <w:ind w:left="567"/>
        <w:rPr>
          <w:rFonts w:cs="Arial"/>
          <w:color w:val="000000"/>
        </w:rPr>
      </w:pPr>
      <w:proofErr w:type="spellStart"/>
      <w:r w:rsidRPr="002803A6">
        <w:t>Chrisantheme</w:t>
      </w:r>
      <w:proofErr w:type="spellEnd"/>
      <w:r w:rsidRPr="002803A6">
        <w:t xml:space="preserve"> (</w:t>
      </w:r>
      <w:r w:rsidRPr="002803A6">
        <w:rPr>
          <w:bCs/>
          <w:i/>
          <w:iCs/>
        </w:rPr>
        <w:t xml:space="preserve">Chrysanthemum </w:t>
      </w:r>
      <w:proofErr w:type="spellStart"/>
      <w:r w:rsidRPr="002803A6">
        <w:rPr>
          <w:bCs/>
          <w:i/>
          <w:iCs/>
        </w:rPr>
        <w:t>indicum</w:t>
      </w:r>
      <w:proofErr w:type="spellEnd"/>
      <w:r w:rsidRPr="002803A6">
        <w:t xml:space="preserve"> L.) – 2</w:t>
      </w:r>
    </w:p>
    <w:p w:rsidR="00982C5C" w:rsidRPr="002803A6" w:rsidRDefault="00982C5C" w:rsidP="00982C5C">
      <w:pPr>
        <w:spacing w:after="60"/>
        <w:ind w:left="567"/>
        <w:rPr>
          <w:rFonts w:cs="Arial"/>
          <w:color w:val="000000"/>
        </w:rPr>
      </w:pPr>
      <w:r w:rsidRPr="002803A6">
        <w:rPr>
          <w:color w:val="000000"/>
        </w:rPr>
        <w:t>Erdbeere (</w:t>
      </w:r>
      <w:proofErr w:type="spellStart"/>
      <w:r w:rsidRPr="002803A6">
        <w:rPr>
          <w:i/>
          <w:color w:val="000000"/>
        </w:rPr>
        <w:t>Fragaria</w:t>
      </w:r>
      <w:proofErr w:type="spellEnd"/>
      <w:r w:rsidRPr="002803A6">
        <w:rPr>
          <w:color w:val="000000"/>
        </w:rPr>
        <w:t xml:space="preserve"> L.) – 1</w:t>
      </w:r>
    </w:p>
    <w:p w:rsidR="00982C5C" w:rsidRPr="002803A6" w:rsidRDefault="00982C5C" w:rsidP="00982C5C">
      <w:pPr>
        <w:spacing w:after="60"/>
        <w:ind w:left="567"/>
        <w:rPr>
          <w:rFonts w:cs="Arial"/>
          <w:color w:val="000000"/>
        </w:rPr>
      </w:pPr>
      <w:r w:rsidRPr="002803A6">
        <w:rPr>
          <w:color w:val="000000"/>
        </w:rPr>
        <w:t>Sojabohne (</w:t>
      </w:r>
      <w:proofErr w:type="spellStart"/>
      <w:r w:rsidRPr="002803A6">
        <w:rPr>
          <w:i/>
          <w:color w:val="000000"/>
        </w:rPr>
        <w:t>Glicine</w:t>
      </w:r>
      <w:proofErr w:type="spellEnd"/>
      <w:r w:rsidRPr="002803A6">
        <w:rPr>
          <w:i/>
          <w:color w:val="000000"/>
        </w:rPr>
        <w:t xml:space="preserve"> </w:t>
      </w:r>
      <w:proofErr w:type="spellStart"/>
      <w:r w:rsidRPr="002803A6">
        <w:rPr>
          <w:i/>
          <w:color w:val="000000"/>
        </w:rPr>
        <w:t>max</w:t>
      </w:r>
      <w:proofErr w:type="spellEnd"/>
      <w:r w:rsidRPr="002803A6">
        <w:rPr>
          <w:color w:val="000000"/>
        </w:rPr>
        <w:t xml:space="preserve"> (L.) Merrill) – 1</w:t>
      </w:r>
    </w:p>
    <w:p w:rsidR="00982C5C" w:rsidRPr="002803A6" w:rsidRDefault="00982C5C" w:rsidP="00982C5C">
      <w:pPr>
        <w:spacing w:after="60"/>
        <w:ind w:left="567"/>
        <w:rPr>
          <w:rFonts w:cs="Arial"/>
          <w:color w:val="000000"/>
        </w:rPr>
      </w:pPr>
      <w:r w:rsidRPr="002803A6">
        <w:t>Sonnenblume (</w:t>
      </w:r>
      <w:r w:rsidRPr="002803A6">
        <w:rPr>
          <w:i/>
        </w:rPr>
        <w:t xml:space="preserve">Helianthus </w:t>
      </w:r>
      <w:proofErr w:type="spellStart"/>
      <w:r w:rsidRPr="002803A6">
        <w:rPr>
          <w:i/>
        </w:rPr>
        <w:t>annus</w:t>
      </w:r>
      <w:proofErr w:type="spellEnd"/>
      <w:r w:rsidRPr="002803A6">
        <w:t xml:space="preserve"> L.) – 2</w:t>
      </w:r>
    </w:p>
    <w:p w:rsidR="00982C5C" w:rsidRPr="002803A6" w:rsidRDefault="00982C5C" w:rsidP="00982C5C">
      <w:pPr>
        <w:spacing w:after="60"/>
        <w:ind w:left="567"/>
        <w:rPr>
          <w:rFonts w:cs="Arial"/>
          <w:color w:val="000000"/>
        </w:rPr>
      </w:pPr>
      <w:r w:rsidRPr="002803A6">
        <w:rPr>
          <w:color w:val="000000"/>
        </w:rPr>
        <w:t>Gemeiner Sanddorn (</w:t>
      </w:r>
      <w:proofErr w:type="spellStart"/>
      <w:r w:rsidRPr="002803A6">
        <w:rPr>
          <w:i/>
          <w:color w:val="000000"/>
        </w:rPr>
        <w:t>Hippophae</w:t>
      </w:r>
      <w:proofErr w:type="spellEnd"/>
      <w:r w:rsidRPr="002803A6">
        <w:rPr>
          <w:i/>
          <w:color w:val="000000"/>
        </w:rPr>
        <w:t xml:space="preserve"> </w:t>
      </w:r>
      <w:proofErr w:type="spellStart"/>
      <w:r w:rsidRPr="002803A6">
        <w:rPr>
          <w:i/>
          <w:color w:val="000000"/>
        </w:rPr>
        <w:t>rhamnoides</w:t>
      </w:r>
      <w:proofErr w:type="spellEnd"/>
      <w:r w:rsidRPr="002803A6">
        <w:rPr>
          <w:color w:val="000000"/>
        </w:rPr>
        <w:t xml:space="preserve"> L.) – 2</w:t>
      </w:r>
    </w:p>
    <w:p w:rsidR="00982C5C" w:rsidRPr="002803A6" w:rsidRDefault="00982C5C" w:rsidP="00982C5C">
      <w:pPr>
        <w:spacing w:after="60"/>
        <w:ind w:left="567"/>
        <w:rPr>
          <w:rFonts w:cs="Arial"/>
          <w:color w:val="000000"/>
        </w:rPr>
      </w:pPr>
      <w:r w:rsidRPr="002803A6">
        <w:rPr>
          <w:color w:val="000000"/>
        </w:rPr>
        <w:t>Gerste (</w:t>
      </w:r>
      <w:proofErr w:type="spellStart"/>
      <w:r w:rsidRPr="002803A6">
        <w:rPr>
          <w:i/>
          <w:iCs/>
          <w:color w:val="000000"/>
        </w:rPr>
        <w:t>Hordeum</w:t>
      </w:r>
      <w:proofErr w:type="spellEnd"/>
      <w:r w:rsidRPr="002803A6">
        <w:rPr>
          <w:i/>
          <w:iCs/>
          <w:color w:val="000000"/>
        </w:rPr>
        <w:t xml:space="preserve"> </w:t>
      </w:r>
      <w:proofErr w:type="spellStart"/>
      <w:r w:rsidRPr="002803A6">
        <w:rPr>
          <w:i/>
          <w:iCs/>
          <w:color w:val="000000"/>
        </w:rPr>
        <w:t>vulgare</w:t>
      </w:r>
      <w:proofErr w:type="spellEnd"/>
      <w:r w:rsidRPr="002803A6">
        <w:rPr>
          <w:color w:val="000000"/>
        </w:rPr>
        <w:t xml:space="preserve"> L.) - 1</w:t>
      </w:r>
    </w:p>
    <w:p w:rsidR="00982C5C" w:rsidRPr="002803A6" w:rsidRDefault="00982C5C" w:rsidP="00982C5C">
      <w:pPr>
        <w:spacing w:after="60"/>
        <w:ind w:left="567"/>
        <w:rPr>
          <w:rFonts w:cs="Arial"/>
          <w:color w:val="000000"/>
        </w:rPr>
      </w:pPr>
      <w:r w:rsidRPr="002803A6">
        <w:rPr>
          <w:color w:val="000000"/>
        </w:rPr>
        <w:t>Apfel (</w:t>
      </w:r>
      <w:r w:rsidRPr="002803A6">
        <w:rPr>
          <w:i/>
          <w:color w:val="000000"/>
        </w:rPr>
        <w:t xml:space="preserve">Malus </w:t>
      </w:r>
      <w:proofErr w:type="spellStart"/>
      <w:r w:rsidRPr="002803A6">
        <w:rPr>
          <w:i/>
          <w:color w:val="000000"/>
        </w:rPr>
        <w:t>domestica</w:t>
      </w:r>
      <w:proofErr w:type="spellEnd"/>
      <w:r w:rsidRPr="002803A6">
        <w:rPr>
          <w:color w:val="000000"/>
        </w:rPr>
        <w:t xml:space="preserve"> </w:t>
      </w:r>
      <w:proofErr w:type="spellStart"/>
      <w:r w:rsidRPr="002803A6">
        <w:rPr>
          <w:color w:val="000000"/>
        </w:rPr>
        <w:t>Borkh</w:t>
      </w:r>
      <w:proofErr w:type="spellEnd"/>
      <w:r w:rsidRPr="002803A6">
        <w:rPr>
          <w:color w:val="000000"/>
        </w:rPr>
        <w:t>) – 3</w:t>
      </w:r>
    </w:p>
    <w:p w:rsidR="00982C5C" w:rsidRPr="002803A6" w:rsidRDefault="00982C5C" w:rsidP="00982C5C">
      <w:pPr>
        <w:spacing w:after="60"/>
        <w:ind w:left="567"/>
        <w:rPr>
          <w:rFonts w:cs="Arial"/>
          <w:color w:val="000000"/>
        </w:rPr>
      </w:pPr>
      <w:r w:rsidRPr="002803A6">
        <w:rPr>
          <w:color w:val="000000"/>
        </w:rPr>
        <w:t>Pfefferminze (</w:t>
      </w:r>
      <w:r w:rsidRPr="002803A6">
        <w:rPr>
          <w:i/>
          <w:color w:val="000000"/>
        </w:rPr>
        <w:t xml:space="preserve">Mentha </w:t>
      </w:r>
      <w:proofErr w:type="spellStart"/>
      <w:r w:rsidRPr="002803A6">
        <w:rPr>
          <w:i/>
          <w:color w:val="000000"/>
        </w:rPr>
        <w:t>piperita</w:t>
      </w:r>
      <w:proofErr w:type="spellEnd"/>
      <w:r w:rsidRPr="002803A6">
        <w:rPr>
          <w:color w:val="000000"/>
        </w:rPr>
        <w:t xml:space="preserve"> L.) – 1</w:t>
      </w:r>
    </w:p>
    <w:p w:rsidR="00982C5C" w:rsidRPr="002803A6" w:rsidRDefault="00982C5C" w:rsidP="00982C5C">
      <w:pPr>
        <w:spacing w:after="60"/>
        <w:ind w:left="567"/>
        <w:rPr>
          <w:rFonts w:cs="Arial"/>
          <w:color w:val="000000"/>
        </w:rPr>
      </w:pPr>
      <w:r w:rsidRPr="002803A6">
        <w:rPr>
          <w:color w:val="000000"/>
        </w:rPr>
        <w:t>Bohne (</w:t>
      </w:r>
      <w:proofErr w:type="spellStart"/>
      <w:r w:rsidRPr="002803A6">
        <w:rPr>
          <w:i/>
          <w:iCs/>
          <w:color w:val="000000"/>
        </w:rPr>
        <w:t>Phaseolus</w:t>
      </w:r>
      <w:proofErr w:type="spellEnd"/>
      <w:r w:rsidRPr="002803A6">
        <w:rPr>
          <w:i/>
          <w:iCs/>
          <w:color w:val="000000"/>
        </w:rPr>
        <w:t xml:space="preserve"> </w:t>
      </w:r>
      <w:proofErr w:type="spellStart"/>
      <w:r w:rsidRPr="002803A6">
        <w:rPr>
          <w:i/>
          <w:iCs/>
          <w:color w:val="000000"/>
        </w:rPr>
        <w:t>vulgaris</w:t>
      </w:r>
      <w:proofErr w:type="spellEnd"/>
      <w:r w:rsidRPr="002803A6">
        <w:rPr>
          <w:color w:val="000000"/>
        </w:rPr>
        <w:t xml:space="preserve"> L.) – 1</w:t>
      </w:r>
    </w:p>
    <w:p w:rsidR="00982C5C" w:rsidRPr="002803A6" w:rsidRDefault="00982C5C" w:rsidP="00982C5C">
      <w:pPr>
        <w:spacing w:after="60"/>
        <w:ind w:left="567"/>
        <w:rPr>
          <w:rFonts w:cs="Arial"/>
          <w:color w:val="000000"/>
        </w:rPr>
      </w:pPr>
      <w:r w:rsidRPr="002803A6">
        <w:rPr>
          <w:color w:val="000000"/>
        </w:rPr>
        <w:t>Tomate (</w:t>
      </w:r>
      <w:r w:rsidRPr="002803A6">
        <w:rPr>
          <w:i/>
          <w:color w:val="000000"/>
        </w:rPr>
        <w:t xml:space="preserve">Solanum </w:t>
      </w:r>
      <w:proofErr w:type="spellStart"/>
      <w:r w:rsidRPr="002803A6">
        <w:rPr>
          <w:i/>
          <w:color w:val="000000"/>
        </w:rPr>
        <w:t>lycopersicum</w:t>
      </w:r>
      <w:proofErr w:type="spellEnd"/>
      <w:r w:rsidRPr="002803A6">
        <w:rPr>
          <w:color w:val="000000"/>
        </w:rPr>
        <w:t xml:space="preserve"> L.) – 3</w:t>
      </w:r>
    </w:p>
    <w:p w:rsidR="00982C5C" w:rsidRPr="002803A6" w:rsidRDefault="00982C5C" w:rsidP="00982C5C">
      <w:pPr>
        <w:spacing w:after="60"/>
        <w:ind w:left="567"/>
        <w:rPr>
          <w:rFonts w:cs="Arial"/>
          <w:color w:val="000000"/>
        </w:rPr>
      </w:pPr>
      <w:r w:rsidRPr="002803A6">
        <w:rPr>
          <w:color w:val="000000"/>
        </w:rPr>
        <w:t xml:space="preserve">Aubergine (Solanum </w:t>
      </w:r>
      <w:proofErr w:type="spellStart"/>
      <w:r w:rsidRPr="002803A6">
        <w:rPr>
          <w:color w:val="000000"/>
        </w:rPr>
        <w:t>melongena</w:t>
      </w:r>
      <w:proofErr w:type="spellEnd"/>
      <w:r w:rsidRPr="002803A6">
        <w:rPr>
          <w:color w:val="000000"/>
        </w:rPr>
        <w:t xml:space="preserve"> L.) - 1</w:t>
      </w:r>
    </w:p>
    <w:p w:rsidR="00982C5C" w:rsidRPr="002803A6" w:rsidRDefault="00982C5C" w:rsidP="00982C5C">
      <w:pPr>
        <w:spacing w:after="60"/>
        <w:ind w:left="567"/>
        <w:rPr>
          <w:rFonts w:cs="Arial"/>
          <w:color w:val="000000"/>
        </w:rPr>
      </w:pPr>
      <w:proofErr w:type="spellStart"/>
      <w:r w:rsidRPr="002803A6">
        <w:rPr>
          <w:color w:val="000000"/>
        </w:rPr>
        <w:t>Triticale</w:t>
      </w:r>
      <w:proofErr w:type="spellEnd"/>
      <w:r w:rsidRPr="002803A6">
        <w:rPr>
          <w:color w:val="000000"/>
        </w:rPr>
        <w:t xml:space="preserve"> (</w:t>
      </w:r>
      <w:proofErr w:type="spellStart"/>
      <w:r w:rsidRPr="002803A6">
        <w:rPr>
          <w:i/>
          <w:color w:val="000000"/>
        </w:rPr>
        <w:t>Triticosecale</w:t>
      </w:r>
      <w:proofErr w:type="spellEnd"/>
      <w:r w:rsidRPr="002803A6">
        <w:rPr>
          <w:color w:val="000000"/>
        </w:rPr>
        <w:t xml:space="preserve"> Witt.) – 1</w:t>
      </w:r>
    </w:p>
    <w:p w:rsidR="00982C5C" w:rsidRPr="002803A6" w:rsidRDefault="00982C5C" w:rsidP="00982C5C">
      <w:pPr>
        <w:spacing w:after="60"/>
        <w:ind w:left="567"/>
        <w:rPr>
          <w:rFonts w:cs="Arial"/>
          <w:color w:val="000000"/>
        </w:rPr>
      </w:pPr>
      <w:r w:rsidRPr="002803A6">
        <w:rPr>
          <w:color w:val="000000"/>
        </w:rPr>
        <w:t>Weizen (</w:t>
      </w:r>
      <w:proofErr w:type="spellStart"/>
      <w:r w:rsidRPr="002803A6">
        <w:rPr>
          <w:i/>
          <w:color w:val="000000"/>
        </w:rPr>
        <w:t>Triticum</w:t>
      </w:r>
      <w:proofErr w:type="spellEnd"/>
      <w:r w:rsidRPr="002803A6">
        <w:rPr>
          <w:i/>
          <w:color w:val="000000"/>
        </w:rPr>
        <w:t xml:space="preserve"> </w:t>
      </w:r>
      <w:proofErr w:type="spellStart"/>
      <w:r w:rsidRPr="002803A6">
        <w:rPr>
          <w:i/>
          <w:color w:val="000000"/>
        </w:rPr>
        <w:t>aestivum</w:t>
      </w:r>
      <w:proofErr w:type="spellEnd"/>
      <w:r w:rsidRPr="002803A6">
        <w:rPr>
          <w:color w:val="000000"/>
        </w:rPr>
        <w:t xml:space="preserve"> L.) – 2</w:t>
      </w:r>
    </w:p>
    <w:p w:rsidR="00982C5C" w:rsidRPr="002803A6" w:rsidRDefault="00982C5C" w:rsidP="00982C5C">
      <w:pPr>
        <w:spacing w:after="60"/>
        <w:ind w:left="567"/>
        <w:rPr>
          <w:rFonts w:cs="Arial"/>
          <w:color w:val="000000"/>
        </w:rPr>
      </w:pPr>
      <w:r w:rsidRPr="002803A6">
        <w:rPr>
          <w:color w:val="000000"/>
        </w:rPr>
        <w:t>Hartweizen (</w:t>
      </w:r>
      <w:proofErr w:type="spellStart"/>
      <w:r w:rsidRPr="002803A6">
        <w:rPr>
          <w:i/>
          <w:color w:val="000000"/>
        </w:rPr>
        <w:t>Triticum</w:t>
      </w:r>
      <w:proofErr w:type="spellEnd"/>
      <w:r w:rsidRPr="002803A6">
        <w:rPr>
          <w:i/>
          <w:color w:val="000000"/>
        </w:rPr>
        <w:t xml:space="preserve"> </w:t>
      </w:r>
      <w:proofErr w:type="spellStart"/>
      <w:r w:rsidRPr="002803A6">
        <w:rPr>
          <w:i/>
          <w:color w:val="000000"/>
        </w:rPr>
        <w:t>durum</w:t>
      </w:r>
      <w:proofErr w:type="spellEnd"/>
      <w:r w:rsidRPr="002803A6">
        <w:rPr>
          <w:color w:val="000000"/>
        </w:rPr>
        <w:t xml:space="preserve"> </w:t>
      </w:r>
      <w:proofErr w:type="spellStart"/>
      <w:r w:rsidRPr="002803A6">
        <w:rPr>
          <w:color w:val="000000"/>
        </w:rPr>
        <w:t>Desf</w:t>
      </w:r>
      <w:proofErr w:type="spellEnd"/>
      <w:r w:rsidRPr="002803A6">
        <w:rPr>
          <w:color w:val="000000"/>
        </w:rPr>
        <w:t>.) – 1</w:t>
      </w:r>
    </w:p>
    <w:p w:rsidR="00982C5C" w:rsidRPr="002803A6" w:rsidRDefault="00982C5C" w:rsidP="00982C5C">
      <w:pPr>
        <w:ind w:left="567"/>
        <w:rPr>
          <w:rFonts w:cs="Arial"/>
          <w:color w:val="000000"/>
        </w:rPr>
      </w:pPr>
      <w:r w:rsidRPr="002803A6">
        <w:rPr>
          <w:color w:val="000000"/>
        </w:rPr>
        <w:t>Mais (</w:t>
      </w:r>
      <w:r w:rsidRPr="002803A6">
        <w:rPr>
          <w:i/>
          <w:color w:val="000000"/>
        </w:rPr>
        <w:t xml:space="preserve">Zea </w:t>
      </w:r>
      <w:proofErr w:type="spellStart"/>
      <w:r w:rsidRPr="002803A6">
        <w:rPr>
          <w:i/>
          <w:color w:val="000000"/>
        </w:rPr>
        <w:t>mays</w:t>
      </w:r>
      <w:proofErr w:type="spellEnd"/>
      <w:r w:rsidRPr="002803A6">
        <w:rPr>
          <w:color w:val="000000"/>
        </w:rPr>
        <w:t xml:space="preserve"> L.) - 7</w:t>
      </w:r>
    </w:p>
    <w:p w:rsidR="00982C5C" w:rsidRPr="002803A6" w:rsidRDefault="00982C5C" w:rsidP="00982C5C">
      <w:pPr>
        <w:rPr>
          <w:rFonts w:cs="Arial"/>
          <w:color w:val="000000"/>
        </w:rPr>
      </w:pPr>
    </w:p>
    <w:p w:rsidR="00982C5C" w:rsidRPr="002803A6" w:rsidRDefault="00982C5C" w:rsidP="00982C5C">
      <w:pPr>
        <w:rPr>
          <w:rFonts w:cs="Arial"/>
        </w:rPr>
      </w:pPr>
      <w:r w:rsidRPr="002803A6">
        <w:t>Zum 31.12.2018 waren 210 Sortenschutztitel in Kraft.</w:t>
      </w:r>
    </w:p>
    <w:p w:rsidR="00982C5C" w:rsidRPr="002803A6" w:rsidRDefault="00982C5C" w:rsidP="00982C5C">
      <w:pPr>
        <w:rPr>
          <w:rFonts w:cs="Arial"/>
        </w:rPr>
      </w:pPr>
    </w:p>
    <w:p w:rsidR="00982C5C" w:rsidRPr="002803A6" w:rsidRDefault="00982C5C" w:rsidP="00982C5C">
      <w:pPr>
        <w:rPr>
          <w:rFonts w:cs="Arial"/>
        </w:rPr>
      </w:pPr>
    </w:p>
    <w:p w:rsidR="00982C5C" w:rsidRPr="002803A6" w:rsidRDefault="00982C5C" w:rsidP="00982C5C">
      <w:pPr>
        <w:rPr>
          <w:rFonts w:cs="Arial"/>
        </w:rPr>
      </w:pPr>
      <w:r w:rsidRPr="002803A6">
        <w:t>4.</w:t>
      </w:r>
      <w:r w:rsidRPr="002803A6">
        <w:tab/>
      </w:r>
      <w:r w:rsidRPr="002803A6">
        <w:rPr>
          <w:u w:val="single"/>
        </w:rPr>
        <w:t>Lage auf dem Gebiet der Technik</w:t>
      </w:r>
    </w:p>
    <w:p w:rsidR="00982C5C" w:rsidRPr="002803A6" w:rsidRDefault="00982C5C" w:rsidP="00982C5C">
      <w:pPr>
        <w:rPr>
          <w:rFonts w:cs="Arial"/>
        </w:rPr>
      </w:pPr>
    </w:p>
    <w:p w:rsidR="00982C5C" w:rsidRPr="002803A6" w:rsidRDefault="00982C5C" w:rsidP="00982C5C">
      <w:pPr>
        <w:rPr>
          <w:rFonts w:cs="Arial"/>
        </w:rPr>
      </w:pPr>
      <w:r w:rsidRPr="002803A6">
        <w:t>Keine Änderungen.</w:t>
      </w:r>
    </w:p>
    <w:p w:rsidR="00982C5C" w:rsidRPr="002803A6" w:rsidRDefault="00982C5C" w:rsidP="00982C5C">
      <w:pPr>
        <w:rPr>
          <w:rFonts w:cs="Arial"/>
          <w:u w:val="single"/>
        </w:rPr>
      </w:pPr>
    </w:p>
    <w:p w:rsidR="00982C5C" w:rsidRPr="002803A6" w:rsidRDefault="00982C5C" w:rsidP="00982C5C">
      <w:pPr>
        <w:rPr>
          <w:rFonts w:cs="Arial"/>
          <w:u w:val="single"/>
        </w:rPr>
      </w:pPr>
    </w:p>
    <w:p w:rsidR="00982C5C" w:rsidRPr="002803A6" w:rsidRDefault="00982C5C" w:rsidP="00982C5C">
      <w:pPr>
        <w:rPr>
          <w:rFonts w:cs="Arial"/>
        </w:rPr>
      </w:pPr>
      <w:r w:rsidRPr="002803A6">
        <w:t>5.</w:t>
      </w:r>
      <w:r w:rsidRPr="002803A6">
        <w:tab/>
      </w:r>
      <w:r w:rsidRPr="002803A6">
        <w:rPr>
          <w:u w:val="single"/>
        </w:rPr>
        <w:t>Tätigkeiten zur Förderung des Sortenschutzes</w:t>
      </w:r>
    </w:p>
    <w:p w:rsidR="00982C5C" w:rsidRPr="002803A6" w:rsidRDefault="00982C5C" w:rsidP="00982C5C">
      <w:pPr>
        <w:rPr>
          <w:rFonts w:cs="Arial"/>
        </w:rPr>
      </w:pPr>
    </w:p>
    <w:p w:rsidR="00982C5C" w:rsidRPr="002803A6" w:rsidRDefault="00982C5C" w:rsidP="00982C5C">
      <w:r w:rsidRPr="002803A6">
        <w:t xml:space="preserve">Das AGEPI unterhält laufend die Website: </w:t>
      </w:r>
      <w:r w:rsidRPr="002803A6">
        <w:rPr>
          <w:color w:val="0000FF"/>
          <w:u w:val="single"/>
        </w:rPr>
        <w:t>www.agepi.gov.md</w:t>
      </w:r>
      <w:r w:rsidRPr="002803A6">
        <w:t>, wo auf die nationalen Rechtsvorschriften auf dem Gebiet des Sortenschutzes sowie die Antragsformblätter für die Erteilung eines Sortenschutztitels und entsprechende zweckdienliche Informationen für Antragsteller und Züchter in Englisch, Rumänisch und Russisch zugegriffen werden kann.</w:t>
      </w:r>
    </w:p>
    <w:p w:rsidR="00982C5C" w:rsidRPr="002803A6" w:rsidRDefault="00982C5C" w:rsidP="00982C5C"/>
    <w:p w:rsidR="00982C5C" w:rsidRPr="002803A6" w:rsidRDefault="00982C5C" w:rsidP="00982C5C">
      <w:r w:rsidRPr="002803A6">
        <w:t>Informationsmaterial in Verbindung mit dem Schutz von Pflanzensorten wird im Rahmen der verschiedenen Aktivitäten verteilt, die von AGEPI organisiert werden oder an denen AGEPI beteiligt ist, wie Seminare, IP-Sensibilisierungskampagnen, Ausstellungen.</w:t>
      </w:r>
    </w:p>
    <w:p w:rsidR="00982C5C" w:rsidRPr="002803A6" w:rsidRDefault="00982C5C" w:rsidP="00982C5C"/>
    <w:p w:rsidR="00982C5C" w:rsidRPr="002803A6" w:rsidRDefault="00982C5C" w:rsidP="00982C5C">
      <w:r w:rsidRPr="002803A6">
        <w:t>Seit 2016 ist die durch AGEPI vertretene Republik Moldau mitwirkendes Mitglied des UPOV-Projekts zur Entwicklung eines elektronischen UPOV PRISMA-Antragsformulars.</w:t>
      </w:r>
    </w:p>
    <w:p w:rsidR="00982C5C" w:rsidRPr="002803A6" w:rsidRDefault="00982C5C" w:rsidP="00982C5C"/>
    <w:p w:rsidR="00982C5C" w:rsidRPr="002803A6" w:rsidRDefault="00982C5C" w:rsidP="00982C5C">
      <w:r w:rsidRPr="002803A6">
        <w:t xml:space="preserve">Im Jahr 2018 wurde die Anzahl der in UPOV PRISMA unterstützten Pflanzen auf 15 Pflanzen erweitert, wie Mais, Weizen, Erbse, Gerste, Pflaume, Tomate, Rebe, Paprika, Chili, Sonnenblume, </w:t>
      </w:r>
      <w:r w:rsidR="002803A6" w:rsidRPr="002803A6">
        <w:t>Walnuss</w:t>
      </w:r>
      <w:r w:rsidRPr="002803A6">
        <w:t>, Apfel, Salat, Kartoffel, Rose, Sojabohne.</w:t>
      </w:r>
    </w:p>
    <w:p w:rsidR="00982C5C" w:rsidRPr="002803A6" w:rsidRDefault="00982C5C" w:rsidP="00982C5C"/>
    <w:p w:rsidR="00701A18" w:rsidRPr="002803A6" w:rsidRDefault="00701A18" w:rsidP="004F014F">
      <w:pPr>
        <w:jc w:val="right"/>
      </w:pPr>
      <w:r w:rsidRPr="002803A6">
        <w:t>[</w:t>
      </w:r>
      <w:r w:rsidR="00445C49" w:rsidRPr="002803A6">
        <w:t>Anlage</w:t>
      </w:r>
      <w:r w:rsidRPr="002803A6">
        <w:t xml:space="preserve"> XIV </w:t>
      </w:r>
      <w:r w:rsidR="00445C49" w:rsidRPr="002803A6">
        <w:t>folgt]</w:t>
      </w:r>
    </w:p>
    <w:p w:rsidR="00701A18" w:rsidRPr="002803A6" w:rsidRDefault="00701A18" w:rsidP="00701A18">
      <w:pPr>
        <w:jc w:val="left"/>
        <w:sectPr w:rsidR="00701A18" w:rsidRPr="002803A6" w:rsidSect="00823234">
          <w:headerReference w:type="default" r:id="rId32"/>
          <w:pgSz w:w="11907" w:h="16840" w:code="9"/>
          <w:pgMar w:top="510" w:right="1134" w:bottom="1134" w:left="1134" w:header="510" w:footer="680" w:gutter="0"/>
          <w:pgNumType w:start="1"/>
          <w:cols w:space="720"/>
          <w:titlePg/>
        </w:sectPr>
      </w:pPr>
    </w:p>
    <w:p w:rsidR="00701A18" w:rsidRPr="002803A6" w:rsidRDefault="00701A18" w:rsidP="00701A18">
      <w:pPr>
        <w:jc w:val="center"/>
      </w:pPr>
      <w:r w:rsidRPr="002803A6">
        <w:lastRenderedPageBreak/>
        <w:t>C/53/INF/4</w:t>
      </w:r>
    </w:p>
    <w:p w:rsidR="00701A18" w:rsidRPr="002803A6" w:rsidRDefault="00701A18" w:rsidP="00701A18">
      <w:pPr>
        <w:jc w:val="center"/>
      </w:pPr>
    </w:p>
    <w:p w:rsidR="00701A18" w:rsidRPr="002803A6" w:rsidRDefault="00445C49" w:rsidP="00701A18">
      <w:pPr>
        <w:jc w:val="center"/>
      </w:pPr>
      <w:r w:rsidRPr="002803A6">
        <w:t>ANLAGE</w:t>
      </w:r>
      <w:r w:rsidR="00701A18" w:rsidRPr="002803A6">
        <w:t xml:space="preserve"> XIV</w:t>
      </w:r>
    </w:p>
    <w:p w:rsidR="00701A18" w:rsidRPr="002803A6" w:rsidRDefault="00701A18" w:rsidP="00701A18">
      <w:pPr>
        <w:jc w:val="center"/>
      </w:pPr>
    </w:p>
    <w:p w:rsidR="00701A18" w:rsidRPr="002803A6" w:rsidRDefault="00701A18" w:rsidP="00701A18">
      <w:pPr>
        <w:jc w:val="center"/>
      </w:pPr>
    </w:p>
    <w:p w:rsidR="00982C5C" w:rsidRPr="002803A6" w:rsidRDefault="00982C5C" w:rsidP="00982C5C">
      <w:pPr>
        <w:jc w:val="center"/>
      </w:pPr>
      <w:r w:rsidRPr="002803A6">
        <w:t>RUMÄNIEN</w:t>
      </w:r>
    </w:p>
    <w:p w:rsidR="00982C5C" w:rsidRPr="002803A6" w:rsidRDefault="00982C5C" w:rsidP="00982C5C"/>
    <w:p w:rsidR="00982C5C" w:rsidRPr="002803A6" w:rsidRDefault="00982C5C" w:rsidP="00982C5C"/>
    <w:p w:rsidR="00982C5C" w:rsidRPr="002803A6" w:rsidRDefault="00982C5C" w:rsidP="00982C5C">
      <w:r w:rsidRPr="002803A6">
        <w:t>I.</w:t>
      </w:r>
      <w:r w:rsidRPr="002803A6">
        <w:tab/>
        <w:t>SORTENSCHUTZ</w:t>
      </w:r>
    </w:p>
    <w:p w:rsidR="00982C5C" w:rsidRPr="002803A6" w:rsidRDefault="00982C5C" w:rsidP="00982C5C"/>
    <w:p w:rsidR="00982C5C" w:rsidRPr="002803A6" w:rsidRDefault="00982C5C" w:rsidP="00982C5C">
      <w:pPr>
        <w:tabs>
          <w:tab w:val="left" w:pos="426"/>
          <w:tab w:val="left" w:pos="1276"/>
        </w:tabs>
      </w:pPr>
      <w:r w:rsidRPr="002803A6">
        <w:t xml:space="preserve">1. </w:t>
      </w:r>
      <w:r w:rsidRPr="002803A6">
        <w:tab/>
      </w:r>
      <w:r w:rsidRPr="002803A6">
        <w:rPr>
          <w:u w:val="single"/>
        </w:rPr>
        <w:t>Lage auf dem Gebiet der Gesetzgebung</w:t>
      </w:r>
    </w:p>
    <w:p w:rsidR="00982C5C" w:rsidRPr="002803A6" w:rsidRDefault="00982C5C" w:rsidP="00982C5C"/>
    <w:p w:rsidR="00982C5C" w:rsidRPr="002803A6" w:rsidRDefault="00982C5C" w:rsidP="00982C5C">
      <w:r w:rsidRPr="002803A6">
        <w:t>Ministerialerla</w:t>
      </w:r>
      <w:r w:rsidR="002803A6">
        <w:t>ss</w:t>
      </w:r>
      <w:r w:rsidRPr="002803A6">
        <w:t xml:space="preserve"> Nr. 212/2019 zur Änderung des Ministerialerlasses Nr. 1348/2005 zur Annahme der Regeln betreffend die Prüfung und Eintragung landwirtschaftlicher Pflanzen sowie </w:t>
      </w:r>
      <w:r w:rsidR="002803A6" w:rsidRPr="002803A6">
        <w:t>Erlass</w:t>
      </w:r>
      <w:r w:rsidRPr="002803A6">
        <w:t xml:space="preserve"> Nr. 1349/2005 für die Annahme der Regeln betreffend die Prüfung und Eintragung von Gemüsearten.</w:t>
      </w:r>
    </w:p>
    <w:p w:rsidR="00982C5C" w:rsidRPr="002803A6" w:rsidRDefault="00982C5C" w:rsidP="00982C5C"/>
    <w:p w:rsidR="00982C5C" w:rsidRPr="002803A6" w:rsidRDefault="00982C5C" w:rsidP="00982C5C">
      <w:r w:rsidRPr="002803A6">
        <w:t xml:space="preserve">Dieser </w:t>
      </w:r>
      <w:r w:rsidR="002803A6" w:rsidRPr="002803A6">
        <w:t>Erlass</w:t>
      </w:r>
      <w:r w:rsidRPr="002803A6">
        <w:t xml:space="preserve"> entspricht der neuen EU-Richtlinie 2019/114 vom 24. Januar 2019 über Prüfung und Eintragung von Sorten.</w:t>
      </w:r>
    </w:p>
    <w:p w:rsidR="00982C5C" w:rsidRPr="002803A6" w:rsidRDefault="00982C5C" w:rsidP="00982C5C"/>
    <w:p w:rsidR="00982C5C" w:rsidRPr="002803A6" w:rsidRDefault="00982C5C" w:rsidP="00982C5C"/>
    <w:p w:rsidR="00982C5C" w:rsidRPr="002803A6" w:rsidRDefault="00982C5C" w:rsidP="00982C5C">
      <w:r w:rsidRPr="002803A6">
        <w:t>2.</w:t>
      </w:r>
      <w:r w:rsidRPr="002803A6">
        <w:tab/>
      </w:r>
      <w:r w:rsidRPr="002803A6">
        <w:rPr>
          <w:u w:val="single"/>
        </w:rPr>
        <w:t>Zusammenarbeit bei der Prüfung</w:t>
      </w:r>
    </w:p>
    <w:p w:rsidR="00982C5C" w:rsidRPr="002803A6" w:rsidRDefault="00982C5C" w:rsidP="00982C5C">
      <w:pPr>
        <w:tabs>
          <w:tab w:val="left" w:pos="426"/>
          <w:tab w:val="left" w:pos="851"/>
        </w:tabs>
      </w:pPr>
    </w:p>
    <w:p w:rsidR="00982C5C" w:rsidRPr="002803A6" w:rsidRDefault="00982C5C" w:rsidP="00982C5C">
      <w:r w:rsidRPr="002803A6">
        <w:t>Die Zusammenarbeit mit UKZUZ aus der Tschechischen Republik im Bereich der DUS-Prüfung wurde fortgesetzt und der Austausch von Saatgutproben mit anderen EU-Behörden wurde ebenso weitergeführt.</w:t>
      </w:r>
    </w:p>
    <w:p w:rsidR="00982C5C" w:rsidRPr="002803A6" w:rsidRDefault="00982C5C" w:rsidP="00982C5C"/>
    <w:p w:rsidR="00982C5C" w:rsidRPr="002803A6" w:rsidRDefault="00982C5C" w:rsidP="00982C5C">
      <w:r w:rsidRPr="002803A6">
        <w:t>Der Verkauf von technischen DUS-Berichten an EU-Behörden oder andere europäische Länder wurde fortgesetzt.</w:t>
      </w:r>
    </w:p>
    <w:p w:rsidR="00982C5C" w:rsidRPr="002803A6" w:rsidRDefault="00982C5C" w:rsidP="00982C5C"/>
    <w:p w:rsidR="00982C5C" w:rsidRPr="002803A6" w:rsidRDefault="00982C5C" w:rsidP="00982C5C"/>
    <w:p w:rsidR="00982C5C" w:rsidRPr="002803A6" w:rsidRDefault="00982C5C" w:rsidP="00982C5C">
      <w:pPr>
        <w:rPr>
          <w:u w:val="single"/>
        </w:rPr>
      </w:pPr>
      <w:r w:rsidRPr="002803A6">
        <w:t>3.</w:t>
      </w:r>
      <w:r w:rsidRPr="002803A6">
        <w:tab/>
      </w:r>
      <w:r w:rsidRPr="002803A6">
        <w:rPr>
          <w:u w:val="single"/>
        </w:rPr>
        <w:t>Lage auf dem Gebiet der Verwaltung</w:t>
      </w:r>
    </w:p>
    <w:p w:rsidR="00982C5C" w:rsidRPr="002803A6" w:rsidRDefault="00982C5C" w:rsidP="00982C5C"/>
    <w:p w:rsidR="00982C5C" w:rsidRPr="002803A6" w:rsidRDefault="00982C5C" w:rsidP="00982C5C">
      <w:r w:rsidRPr="002803A6">
        <w:t>Keine Änderungen in der Verwaltung oder bei den Verfahren.</w:t>
      </w:r>
    </w:p>
    <w:p w:rsidR="00982C5C" w:rsidRPr="002803A6" w:rsidRDefault="00982C5C" w:rsidP="00982C5C"/>
    <w:p w:rsidR="00982C5C" w:rsidRPr="002803A6" w:rsidRDefault="00982C5C" w:rsidP="00982C5C">
      <w:r w:rsidRPr="002803A6">
        <w:t>Das Projekt für ein neues Kühllager für landwirtschaftliche Arten wurde genehmigt.</w:t>
      </w:r>
    </w:p>
    <w:p w:rsidR="00982C5C" w:rsidRPr="002803A6" w:rsidRDefault="00982C5C" w:rsidP="00982C5C"/>
    <w:p w:rsidR="00982C5C" w:rsidRPr="002803A6" w:rsidRDefault="00982C5C" w:rsidP="00982C5C"/>
    <w:p w:rsidR="00982C5C" w:rsidRPr="002803A6" w:rsidRDefault="00982C5C" w:rsidP="00982C5C">
      <w:pPr>
        <w:spacing w:line="360" w:lineRule="auto"/>
      </w:pPr>
      <w:r w:rsidRPr="002803A6">
        <w:t>4.</w:t>
      </w:r>
      <w:r w:rsidRPr="002803A6">
        <w:tab/>
      </w:r>
      <w:r w:rsidRPr="002803A6">
        <w:rPr>
          <w:u w:val="single"/>
        </w:rPr>
        <w:t>Lage auf dem Gebiet der Technik</w:t>
      </w:r>
    </w:p>
    <w:p w:rsidR="00982C5C" w:rsidRPr="002803A6" w:rsidRDefault="00982C5C" w:rsidP="00982C5C">
      <w:r w:rsidRPr="002803A6">
        <w:t xml:space="preserve">Im Jahr 2019 wurden 780 Sorten geprüft: 660 landwirtschaftliche Pflanzenarten, 102 Gemüsearten, 14 Obstbäume, 2 Rebsorten und 2 Ziersorten und 198 wurden in unseren nationalen Sortenkatalog eingetragen: 142 Sorten landwirtschaftlicher Pflanzenarten, 34 Gemüsearten, 17 Obstbäume, 1 Rebe und </w:t>
      </w:r>
      <w:r w:rsidR="00EB461D" w:rsidRPr="002803A6">
        <w:br/>
      </w:r>
      <w:r w:rsidRPr="002803A6">
        <w:t xml:space="preserve">4 Zierarten. </w:t>
      </w:r>
    </w:p>
    <w:p w:rsidR="00982C5C" w:rsidRPr="002803A6" w:rsidRDefault="00982C5C" w:rsidP="00982C5C">
      <w:pPr>
        <w:rPr>
          <w:sz w:val="16"/>
          <w:szCs w:val="16"/>
        </w:rPr>
      </w:pPr>
    </w:p>
    <w:p w:rsidR="00982C5C" w:rsidRPr="002803A6" w:rsidRDefault="00982C5C" w:rsidP="00982C5C">
      <w:r w:rsidRPr="002803A6">
        <w:t xml:space="preserve">Außerdem wurden dieses Jahr für Züchterrechte 14 Schutzanträge gestellt und 20 Schutztitel erteilt. </w:t>
      </w:r>
    </w:p>
    <w:p w:rsidR="00C7701B" w:rsidRPr="002803A6" w:rsidRDefault="00C7701B" w:rsidP="00C7701B"/>
    <w:p w:rsidR="00701A18" w:rsidRPr="002803A6" w:rsidRDefault="00701A18" w:rsidP="00701A18">
      <w:pPr>
        <w:jc w:val="left"/>
      </w:pPr>
    </w:p>
    <w:p w:rsidR="00701A18" w:rsidRPr="002803A6" w:rsidRDefault="00701A18" w:rsidP="00701A18">
      <w:pPr>
        <w:jc w:val="left"/>
      </w:pPr>
    </w:p>
    <w:p w:rsidR="00701A18" w:rsidRPr="002803A6" w:rsidRDefault="00701A18" w:rsidP="00701A18">
      <w:pPr>
        <w:jc w:val="right"/>
      </w:pPr>
      <w:r w:rsidRPr="002803A6">
        <w:t>[</w:t>
      </w:r>
      <w:r w:rsidR="00445C49" w:rsidRPr="002803A6">
        <w:t>Anlage</w:t>
      </w:r>
      <w:r w:rsidRPr="002803A6">
        <w:t xml:space="preserve"> XV </w:t>
      </w:r>
      <w:r w:rsidR="00445C49" w:rsidRPr="002803A6">
        <w:t>folgt]</w:t>
      </w:r>
    </w:p>
    <w:p w:rsidR="00701A18" w:rsidRPr="002803A6" w:rsidRDefault="00701A18" w:rsidP="00701A18">
      <w:pPr>
        <w:jc w:val="left"/>
      </w:pPr>
    </w:p>
    <w:p w:rsidR="00701A18" w:rsidRPr="002803A6" w:rsidRDefault="00701A18" w:rsidP="00701A18">
      <w:pPr>
        <w:jc w:val="left"/>
        <w:sectPr w:rsidR="00701A18" w:rsidRPr="002803A6" w:rsidSect="00823234">
          <w:headerReference w:type="default" r:id="rId33"/>
          <w:pgSz w:w="11907" w:h="16840" w:code="9"/>
          <w:pgMar w:top="510" w:right="1134" w:bottom="1134" w:left="1134" w:header="510" w:footer="680" w:gutter="0"/>
          <w:pgNumType w:start="1"/>
          <w:cols w:space="720"/>
          <w:titlePg/>
        </w:sectPr>
      </w:pPr>
    </w:p>
    <w:p w:rsidR="00701A18" w:rsidRPr="002803A6" w:rsidRDefault="00701A18" w:rsidP="00701A18">
      <w:pPr>
        <w:jc w:val="center"/>
      </w:pPr>
      <w:r w:rsidRPr="002803A6">
        <w:lastRenderedPageBreak/>
        <w:t>C/53/INF/4</w:t>
      </w:r>
    </w:p>
    <w:p w:rsidR="00701A18" w:rsidRPr="002803A6" w:rsidRDefault="00701A18" w:rsidP="00701A18">
      <w:pPr>
        <w:jc w:val="center"/>
      </w:pPr>
    </w:p>
    <w:p w:rsidR="00701A18" w:rsidRPr="002803A6" w:rsidRDefault="00445C49" w:rsidP="00701A18">
      <w:pPr>
        <w:jc w:val="center"/>
      </w:pPr>
      <w:r w:rsidRPr="002803A6">
        <w:t>ANLAGE</w:t>
      </w:r>
      <w:r w:rsidR="00701A18" w:rsidRPr="002803A6">
        <w:t xml:space="preserve"> XV</w:t>
      </w:r>
    </w:p>
    <w:p w:rsidR="00701A18" w:rsidRPr="002803A6" w:rsidRDefault="00701A18" w:rsidP="00701A18">
      <w:pPr>
        <w:jc w:val="center"/>
      </w:pPr>
    </w:p>
    <w:p w:rsidR="00701A18" w:rsidRPr="002803A6" w:rsidRDefault="00701A18" w:rsidP="00701A18">
      <w:pPr>
        <w:jc w:val="center"/>
      </w:pPr>
    </w:p>
    <w:p w:rsidR="00982C5C" w:rsidRPr="002803A6" w:rsidRDefault="00982C5C" w:rsidP="00982C5C">
      <w:pPr>
        <w:jc w:val="center"/>
      </w:pPr>
      <w:r w:rsidRPr="002803A6">
        <w:t>SERBIEN</w:t>
      </w:r>
    </w:p>
    <w:p w:rsidR="00982C5C" w:rsidRPr="002803A6" w:rsidRDefault="00982C5C" w:rsidP="00982C5C">
      <w:pPr>
        <w:jc w:val="center"/>
      </w:pPr>
      <w:r w:rsidRPr="002803A6">
        <w:t>(September 2018 - September 2019)</w:t>
      </w:r>
    </w:p>
    <w:p w:rsidR="00982C5C" w:rsidRPr="002803A6" w:rsidRDefault="00982C5C" w:rsidP="00982C5C">
      <w:pPr>
        <w:rPr>
          <w:rFonts w:cs="Arial"/>
        </w:rPr>
      </w:pPr>
    </w:p>
    <w:p w:rsidR="00982C5C" w:rsidRPr="002803A6" w:rsidRDefault="00982C5C" w:rsidP="00982C5C">
      <w:pPr>
        <w:rPr>
          <w:rFonts w:cs="Arial"/>
        </w:rPr>
      </w:pPr>
    </w:p>
    <w:p w:rsidR="00982C5C" w:rsidRPr="002803A6" w:rsidRDefault="00982C5C" w:rsidP="00982C5C">
      <w:pPr>
        <w:rPr>
          <w:rFonts w:cs="Arial"/>
        </w:rPr>
      </w:pPr>
      <w:r w:rsidRPr="002803A6">
        <w:t>I.</w:t>
      </w:r>
      <w:r w:rsidRPr="002803A6">
        <w:tab/>
        <w:t>SORTENSCHUTZ</w:t>
      </w:r>
    </w:p>
    <w:p w:rsidR="00982C5C" w:rsidRPr="002803A6" w:rsidRDefault="00982C5C" w:rsidP="00982C5C">
      <w:pPr>
        <w:rPr>
          <w:rFonts w:cs="Arial"/>
        </w:rPr>
      </w:pPr>
    </w:p>
    <w:p w:rsidR="00982C5C" w:rsidRPr="002803A6" w:rsidRDefault="00982C5C" w:rsidP="00982C5C">
      <w:pPr>
        <w:rPr>
          <w:rFonts w:cs="Arial"/>
        </w:rPr>
      </w:pPr>
      <w:r w:rsidRPr="002803A6">
        <w:t xml:space="preserve">1. </w:t>
      </w:r>
      <w:r w:rsidRPr="002803A6">
        <w:tab/>
      </w:r>
      <w:r w:rsidRPr="002803A6">
        <w:rPr>
          <w:u w:val="single"/>
        </w:rPr>
        <w:t>Lage auf dem Gebiet der Gesetzgebung</w:t>
      </w:r>
    </w:p>
    <w:p w:rsidR="00982C5C" w:rsidRPr="002803A6" w:rsidRDefault="00982C5C" w:rsidP="00982C5C">
      <w:pPr>
        <w:rPr>
          <w:rFonts w:cs="Arial"/>
        </w:rPr>
      </w:pPr>
    </w:p>
    <w:p w:rsidR="00982C5C" w:rsidRPr="002803A6" w:rsidRDefault="00982C5C" w:rsidP="00982C5C">
      <w:pPr>
        <w:rPr>
          <w:rFonts w:cs="Arial"/>
        </w:rPr>
      </w:pPr>
      <w:r w:rsidRPr="002803A6">
        <w:t>1.1</w:t>
      </w:r>
      <w:r w:rsidRPr="002803A6">
        <w:tab/>
        <w:t>Änderungen des Gesetzes und der Ausführungsvorschriften</w:t>
      </w:r>
    </w:p>
    <w:p w:rsidR="00982C5C" w:rsidRPr="002803A6" w:rsidRDefault="00982C5C" w:rsidP="00982C5C">
      <w:pPr>
        <w:rPr>
          <w:rFonts w:cs="Arial"/>
        </w:rPr>
      </w:pPr>
    </w:p>
    <w:p w:rsidR="00982C5C" w:rsidRPr="002803A6" w:rsidRDefault="00982C5C" w:rsidP="00982C5C">
      <w:pPr>
        <w:rPr>
          <w:rFonts w:cs="Arial"/>
        </w:rPr>
      </w:pPr>
      <w:r w:rsidRPr="002803A6">
        <w:t>Es gab keine Änderungen.</w:t>
      </w:r>
    </w:p>
    <w:p w:rsidR="00982C5C" w:rsidRPr="002803A6" w:rsidRDefault="00982C5C" w:rsidP="00982C5C">
      <w:pPr>
        <w:rPr>
          <w:rFonts w:cs="Arial"/>
        </w:rPr>
      </w:pPr>
    </w:p>
    <w:p w:rsidR="00982C5C" w:rsidRPr="002803A6" w:rsidRDefault="00982C5C" w:rsidP="00982C5C">
      <w:pPr>
        <w:rPr>
          <w:rFonts w:cs="Arial"/>
        </w:rPr>
      </w:pPr>
      <w:r w:rsidRPr="002803A6">
        <w:t>1.2</w:t>
      </w:r>
      <w:r w:rsidRPr="002803A6">
        <w:tab/>
        <w:t>Erstreckung des Schutzes auf weitere Gattungen und Arten (geschehen oder geplant)</w:t>
      </w:r>
    </w:p>
    <w:p w:rsidR="00982C5C" w:rsidRPr="002803A6" w:rsidRDefault="00982C5C" w:rsidP="00982C5C">
      <w:pPr>
        <w:rPr>
          <w:rFonts w:cs="Arial"/>
        </w:rPr>
      </w:pPr>
    </w:p>
    <w:p w:rsidR="00982C5C" w:rsidRPr="002803A6" w:rsidRDefault="00982C5C" w:rsidP="00982C5C">
      <w:pPr>
        <w:rPr>
          <w:rFonts w:cs="Arial"/>
        </w:rPr>
      </w:pPr>
      <w:r w:rsidRPr="002803A6">
        <w:t>Es gab keine Änderungen.</w:t>
      </w:r>
    </w:p>
    <w:p w:rsidR="00982C5C" w:rsidRPr="002803A6" w:rsidRDefault="00982C5C" w:rsidP="00982C5C">
      <w:pPr>
        <w:rPr>
          <w:rFonts w:cs="Arial"/>
        </w:rPr>
      </w:pPr>
    </w:p>
    <w:p w:rsidR="00982C5C" w:rsidRPr="002803A6" w:rsidRDefault="00982C5C" w:rsidP="00982C5C">
      <w:pPr>
        <w:rPr>
          <w:rFonts w:cs="Arial"/>
        </w:rPr>
      </w:pPr>
      <w:r w:rsidRPr="002803A6">
        <w:t>Alle Gattungen und Arten können gemäß dem Gesetz über den Schutz der Züchterrechte geschützt werden („Amtsblatt der Republik Serbien“, Nr. 41/2009 und 88/2011).</w:t>
      </w:r>
    </w:p>
    <w:p w:rsidR="00982C5C" w:rsidRPr="002803A6" w:rsidRDefault="00982C5C" w:rsidP="00982C5C">
      <w:pPr>
        <w:rPr>
          <w:rFonts w:cs="Arial"/>
        </w:rPr>
      </w:pPr>
    </w:p>
    <w:p w:rsidR="00982C5C" w:rsidRPr="002803A6" w:rsidRDefault="00982C5C" w:rsidP="00982C5C">
      <w:pPr>
        <w:rPr>
          <w:rFonts w:cs="Arial"/>
        </w:rPr>
      </w:pPr>
      <w:r w:rsidRPr="002803A6">
        <w:t>2.</w:t>
      </w:r>
      <w:r w:rsidRPr="002803A6">
        <w:tab/>
      </w:r>
      <w:r w:rsidRPr="002803A6">
        <w:rPr>
          <w:u w:val="single"/>
        </w:rPr>
        <w:t>Zusammenarbeit bei der Prüfung</w:t>
      </w:r>
    </w:p>
    <w:p w:rsidR="00982C5C" w:rsidRPr="002803A6" w:rsidRDefault="00982C5C" w:rsidP="00982C5C">
      <w:pPr>
        <w:rPr>
          <w:rFonts w:cs="Arial"/>
          <w:u w:val="single"/>
        </w:rPr>
      </w:pPr>
      <w:r w:rsidRPr="002803A6">
        <w:t>3.</w:t>
      </w:r>
      <w:r w:rsidRPr="002803A6">
        <w:tab/>
      </w:r>
      <w:r w:rsidRPr="002803A6">
        <w:rPr>
          <w:u w:val="single"/>
        </w:rPr>
        <w:t>Lage auf dem Gebiet der Verwaltung</w:t>
      </w:r>
    </w:p>
    <w:p w:rsidR="00982C5C" w:rsidRPr="002803A6" w:rsidRDefault="00982C5C" w:rsidP="00982C5C">
      <w:pPr>
        <w:rPr>
          <w:rFonts w:cs="Arial"/>
        </w:rPr>
      </w:pPr>
    </w:p>
    <w:p w:rsidR="00982C5C" w:rsidRPr="002803A6" w:rsidRDefault="00982C5C" w:rsidP="00982C5C">
      <w:pPr>
        <w:rPr>
          <w:rFonts w:cs="Arial"/>
        </w:rPr>
      </w:pPr>
      <w:r w:rsidRPr="002803A6">
        <w:t>-</w:t>
      </w:r>
      <w:r w:rsidRPr="002803A6">
        <w:tab/>
        <w:t>Änderungen in der Verwaltungsstruktur</w:t>
      </w:r>
    </w:p>
    <w:p w:rsidR="00982C5C" w:rsidRPr="002803A6" w:rsidRDefault="00982C5C" w:rsidP="00982C5C">
      <w:pPr>
        <w:rPr>
          <w:rFonts w:cs="Arial"/>
        </w:rPr>
      </w:pPr>
    </w:p>
    <w:p w:rsidR="00982C5C" w:rsidRPr="002803A6" w:rsidRDefault="00982C5C" w:rsidP="00982C5C">
      <w:pPr>
        <w:rPr>
          <w:rFonts w:cs="Arial"/>
        </w:rPr>
      </w:pPr>
      <w:r w:rsidRPr="002803A6">
        <w:t>Keine Änderungen in der Verwaltungsstruktur.</w:t>
      </w:r>
    </w:p>
    <w:p w:rsidR="00982C5C" w:rsidRPr="002803A6" w:rsidRDefault="00982C5C" w:rsidP="00982C5C">
      <w:pPr>
        <w:rPr>
          <w:rFonts w:cs="Arial"/>
        </w:rPr>
      </w:pPr>
    </w:p>
    <w:p w:rsidR="00982C5C" w:rsidRPr="002803A6" w:rsidRDefault="00982C5C" w:rsidP="00982C5C">
      <w:pPr>
        <w:rPr>
          <w:rFonts w:cs="Arial"/>
        </w:rPr>
      </w:pPr>
      <w:r w:rsidRPr="002803A6">
        <w:rPr>
          <w:rFonts w:cs="Arial"/>
        </w:rPr>
        <w:t>Gemäß dem Gesetz über die Ministerien („Amtsblatt der Republik Serbien, Nr. 62/2017) ist die zuständige Behörde für Sortenschutz in der Republik Serbien jetzt das Ministerium für Land-, Forst- und Wasserwirtschaft (MAFWM), Pflanzenschutzdirektorat (PPD). Das Pflanzenschutzdirektorat PPD führt als Verwaltungsbehörde innerhalb des MAFWM folgende Aufgaben aus: Schutz von Pflanzen vor Schadorganismen; Genehmigung und Kontrolle von Pflanzenschutzprodukten und Pflanzenernährungsprodukten; Eintragung von Pflanzensorten in die nationale Liste; Schutz von Züchterrechten; biologische Sicherheit (GVO); Pflanzengesundheitskontrolle und andere damit im Zusammenhang stehende Aufgaben. Innerhalb des Pflanzenschutzdirektorats führt die Gruppe für Sortenschutz und Biosicherheit Verwaltungsverfahren hinsichtlich der Bestimmungen des Gesetzes über den Schutz der Züchterrechte und zur Erteilung von Züchterrechten sowie Aufgaben bezüglich GVO durch.</w:t>
      </w:r>
    </w:p>
    <w:p w:rsidR="00982C5C" w:rsidRPr="004547F1" w:rsidRDefault="00982C5C" w:rsidP="00982C5C">
      <w:pPr>
        <w:rPr>
          <w:rFonts w:cs="Arial"/>
        </w:rPr>
      </w:pPr>
    </w:p>
    <w:p w:rsidR="00982C5C" w:rsidRPr="002803A6" w:rsidRDefault="00982C5C" w:rsidP="00982C5C">
      <w:pPr>
        <w:rPr>
          <w:rFonts w:cs="Arial"/>
        </w:rPr>
      </w:pPr>
      <w:r w:rsidRPr="002803A6">
        <w:rPr>
          <w:rFonts w:cs="Arial"/>
        </w:rPr>
        <w:t>-</w:t>
      </w:r>
      <w:r w:rsidRPr="002803A6">
        <w:rPr>
          <w:rFonts w:cs="Arial"/>
        </w:rPr>
        <w:tab/>
        <w:t>Änderungen in den Verfahren und Systemen:</w:t>
      </w:r>
    </w:p>
    <w:p w:rsidR="00982C5C" w:rsidRPr="002803A6" w:rsidRDefault="00982C5C" w:rsidP="00982C5C">
      <w:pPr>
        <w:rPr>
          <w:rFonts w:cs="Arial"/>
        </w:rPr>
      </w:pPr>
    </w:p>
    <w:p w:rsidR="00982C5C" w:rsidRPr="002803A6" w:rsidRDefault="00982C5C" w:rsidP="00982C5C">
      <w:pPr>
        <w:rPr>
          <w:rFonts w:cs="Arial"/>
        </w:rPr>
      </w:pPr>
      <w:r w:rsidRPr="002803A6">
        <w:rPr>
          <w:rFonts w:cs="Arial"/>
        </w:rPr>
        <w:t>Keine Änderungen.</w:t>
      </w:r>
    </w:p>
    <w:p w:rsidR="00982C5C" w:rsidRPr="002803A6" w:rsidRDefault="00982C5C" w:rsidP="00982C5C">
      <w:pPr>
        <w:rPr>
          <w:rFonts w:cs="Arial"/>
        </w:rPr>
      </w:pPr>
    </w:p>
    <w:p w:rsidR="00982C5C" w:rsidRPr="002803A6" w:rsidRDefault="00982C5C" w:rsidP="00982C5C">
      <w:pPr>
        <w:rPr>
          <w:rFonts w:cs="Arial"/>
        </w:rPr>
      </w:pPr>
      <w:r w:rsidRPr="002803A6">
        <w:rPr>
          <w:rFonts w:cs="Arial"/>
        </w:rPr>
        <w:t>4.</w:t>
      </w:r>
      <w:r w:rsidRPr="002803A6">
        <w:rPr>
          <w:rFonts w:cs="Arial"/>
        </w:rPr>
        <w:tab/>
      </w:r>
      <w:r w:rsidRPr="002803A6">
        <w:rPr>
          <w:rFonts w:cs="Arial"/>
          <w:u w:val="single"/>
        </w:rPr>
        <w:t>Lage auf dem Gebiet der Technik</w:t>
      </w:r>
    </w:p>
    <w:p w:rsidR="00982C5C" w:rsidRPr="002803A6" w:rsidRDefault="00982C5C" w:rsidP="00982C5C">
      <w:pPr>
        <w:rPr>
          <w:rFonts w:cs="Arial"/>
        </w:rPr>
      </w:pPr>
    </w:p>
    <w:p w:rsidR="00982C5C" w:rsidRPr="002803A6" w:rsidRDefault="00982C5C" w:rsidP="00982C5C">
      <w:pPr>
        <w:rPr>
          <w:rFonts w:cs="Arial"/>
        </w:rPr>
      </w:pPr>
      <w:r w:rsidRPr="002803A6">
        <w:rPr>
          <w:rFonts w:cs="Arial"/>
        </w:rPr>
        <w:t>Sortenschutzregister und andere Informationen sind auf der Webseite des MAFWM - PPD verfügbar:</w:t>
      </w:r>
    </w:p>
    <w:p w:rsidR="00982C5C" w:rsidRPr="002803A6" w:rsidRDefault="004547F1" w:rsidP="00982C5C">
      <w:pPr>
        <w:rPr>
          <w:rFonts w:cs="Arial"/>
        </w:rPr>
      </w:pPr>
      <w:hyperlink r:id="rId34" w:history="1">
        <w:r w:rsidR="00982C5C" w:rsidRPr="002803A6">
          <w:rPr>
            <w:rFonts w:cs="Arial"/>
            <w:color w:val="0000FF"/>
            <w:u w:val="single"/>
          </w:rPr>
          <w:t>http://www.uzb.minpolj.gov.rs/index.php?option=com_Inhalt&amp;view=Artikel&amp;id=61&amp;Itemid=14&amp;lang=en</w:t>
        </w:r>
      </w:hyperlink>
    </w:p>
    <w:p w:rsidR="00982C5C" w:rsidRPr="002803A6" w:rsidRDefault="00982C5C" w:rsidP="00982C5C">
      <w:pPr>
        <w:rPr>
          <w:rFonts w:cs="Arial"/>
        </w:rPr>
      </w:pPr>
    </w:p>
    <w:p w:rsidR="00982C5C" w:rsidRPr="002803A6" w:rsidRDefault="00982C5C" w:rsidP="00982C5C">
      <w:pPr>
        <w:keepNext/>
        <w:rPr>
          <w:rFonts w:cs="Arial"/>
          <w:u w:val="single"/>
        </w:rPr>
      </w:pPr>
      <w:r w:rsidRPr="002803A6">
        <w:t>5.</w:t>
      </w:r>
      <w:r w:rsidRPr="002803A6">
        <w:tab/>
      </w:r>
      <w:r w:rsidRPr="002803A6">
        <w:rPr>
          <w:u w:val="single"/>
        </w:rPr>
        <w:t>Tätigkeiten zur Förderung des Sortenschutzes</w:t>
      </w:r>
    </w:p>
    <w:p w:rsidR="00982C5C" w:rsidRPr="002803A6" w:rsidRDefault="00982C5C" w:rsidP="00982C5C">
      <w:pPr>
        <w:keepNext/>
        <w:rPr>
          <w:rFonts w:cs="Arial"/>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526"/>
        <w:gridCol w:w="1134"/>
        <w:gridCol w:w="1134"/>
        <w:gridCol w:w="2126"/>
        <w:gridCol w:w="3402"/>
      </w:tblGrid>
      <w:tr w:rsidR="00982C5C" w:rsidRPr="002803A6" w:rsidTr="00E16D6F">
        <w:tc>
          <w:tcPr>
            <w:tcW w:w="1526" w:type="dxa"/>
          </w:tcPr>
          <w:p w:rsidR="00982C5C" w:rsidRPr="002803A6" w:rsidRDefault="00982C5C" w:rsidP="00E16D6F">
            <w:pPr>
              <w:keepNext/>
              <w:jc w:val="left"/>
              <w:rPr>
                <w:sz w:val="16"/>
              </w:rPr>
            </w:pPr>
            <w:r w:rsidRPr="002803A6">
              <w:rPr>
                <w:sz w:val="16"/>
              </w:rPr>
              <w:t>Art der Tätigkeit</w:t>
            </w:r>
          </w:p>
        </w:tc>
        <w:tc>
          <w:tcPr>
            <w:tcW w:w="1134" w:type="dxa"/>
          </w:tcPr>
          <w:p w:rsidR="00982C5C" w:rsidRPr="002803A6" w:rsidRDefault="00982C5C" w:rsidP="00E16D6F">
            <w:pPr>
              <w:keepNext/>
              <w:jc w:val="left"/>
              <w:rPr>
                <w:sz w:val="16"/>
              </w:rPr>
            </w:pPr>
            <w:r w:rsidRPr="002803A6">
              <w:rPr>
                <w:sz w:val="16"/>
              </w:rPr>
              <w:t>Datum</w:t>
            </w:r>
          </w:p>
        </w:tc>
        <w:tc>
          <w:tcPr>
            <w:tcW w:w="1134" w:type="dxa"/>
          </w:tcPr>
          <w:p w:rsidR="00982C5C" w:rsidRPr="002803A6" w:rsidRDefault="00982C5C" w:rsidP="00E16D6F">
            <w:pPr>
              <w:keepNext/>
              <w:jc w:val="left"/>
              <w:rPr>
                <w:sz w:val="16"/>
              </w:rPr>
            </w:pPr>
            <w:r w:rsidRPr="002803A6">
              <w:rPr>
                <w:sz w:val="16"/>
              </w:rPr>
              <w:t>Ort</w:t>
            </w:r>
          </w:p>
        </w:tc>
        <w:tc>
          <w:tcPr>
            <w:tcW w:w="2126" w:type="dxa"/>
          </w:tcPr>
          <w:p w:rsidR="00982C5C" w:rsidRPr="002803A6" w:rsidRDefault="00982C5C" w:rsidP="00E16D6F">
            <w:pPr>
              <w:keepNext/>
              <w:jc w:val="left"/>
              <w:rPr>
                <w:sz w:val="16"/>
              </w:rPr>
            </w:pPr>
            <w:r w:rsidRPr="002803A6">
              <w:rPr>
                <w:sz w:val="16"/>
              </w:rPr>
              <w:t>Organisator(en)</w:t>
            </w:r>
          </w:p>
        </w:tc>
        <w:tc>
          <w:tcPr>
            <w:tcW w:w="3402" w:type="dxa"/>
          </w:tcPr>
          <w:p w:rsidR="00982C5C" w:rsidRPr="002803A6" w:rsidRDefault="00982C5C" w:rsidP="00E16D6F">
            <w:pPr>
              <w:keepNext/>
              <w:jc w:val="left"/>
              <w:rPr>
                <w:sz w:val="16"/>
              </w:rPr>
            </w:pPr>
            <w:r w:rsidRPr="002803A6">
              <w:rPr>
                <w:sz w:val="16"/>
              </w:rPr>
              <w:t>Zweck der Tätigkeit</w:t>
            </w:r>
          </w:p>
        </w:tc>
      </w:tr>
      <w:tr w:rsidR="00982C5C" w:rsidRPr="002803A6" w:rsidTr="00E16D6F">
        <w:tc>
          <w:tcPr>
            <w:tcW w:w="1526" w:type="dxa"/>
          </w:tcPr>
          <w:p w:rsidR="00982C5C" w:rsidRPr="002803A6" w:rsidRDefault="00982C5C" w:rsidP="00E16D6F">
            <w:pPr>
              <w:keepNext/>
              <w:jc w:val="left"/>
              <w:rPr>
                <w:sz w:val="16"/>
                <w:szCs w:val="18"/>
              </w:rPr>
            </w:pPr>
            <w:r w:rsidRPr="002803A6">
              <w:rPr>
                <w:sz w:val="16"/>
                <w:szCs w:val="18"/>
              </w:rPr>
              <w:t>1. Seminar über Herausforderungen und Möglichkeiten der Beerenerzeugung</w:t>
            </w:r>
          </w:p>
          <w:p w:rsidR="00982C5C" w:rsidRPr="002803A6" w:rsidRDefault="00982C5C" w:rsidP="00E16D6F">
            <w:pPr>
              <w:keepNext/>
              <w:jc w:val="left"/>
              <w:rPr>
                <w:sz w:val="16"/>
                <w:szCs w:val="18"/>
              </w:rPr>
            </w:pPr>
          </w:p>
        </w:tc>
        <w:tc>
          <w:tcPr>
            <w:tcW w:w="1134" w:type="dxa"/>
          </w:tcPr>
          <w:p w:rsidR="00982C5C" w:rsidRPr="002803A6" w:rsidRDefault="00982C5C" w:rsidP="00E16D6F">
            <w:pPr>
              <w:keepNext/>
              <w:jc w:val="left"/>
              <w:rPr>
                <w:sz w:val="16"/>
                <w:szCs w:val="18"/>
              </w:rPr>
            </w:pPr>
            <w:r w:rsidRPr="002803A6">
              <w:rPr>
                <w:sz w:val="16"/>
                <w:szCs w:val="18"/>
              </w:rPr>
              <w:t>27. November 2018</w:t>
            </w:r>
          </w:p>
        </w:tc>
        <w:tc>
          <w:tcPr>
            <w:tcW w:w="1134" w:type="dxa"/>
          </w:tcPr>
          <w:p w:rsidR="00982C5C" w:rsidRPr="002803A6" w:rsidRDefault="00982C5C" w:rsidP="00E16D6F">
            <w:pPr>
              <w:keepNext/>
              <w:jc w:val="left"/>
              <w:rPr>
                <w:sz w:val="16"/>
                <w:szCs w:val="18"/>
              </w:rPr>
            </w:pPr>
            <w:r w:rsidRPr="002803A6">
              <w:rPr>
                <w:sz w:val="16"/>
                <w:szCs w:val="18"/>
              </w:rPr>
              <w:t xml:space="preserve">Republik Serbien, Novi </w:t>
            </w:r>
            <w:proofErr w:type="spellStart"/>
            <w:r w:rsidRPr="002803A6">
              <w:rPr>
                <w:sz w:val="16"/>
                <w:szCs w:val="18"/>
              </w:rPr>
              <w:t>Sad</w:t>
            </w:r>
            <w:proofErr w:type="spellEnd"/>
          </w:p>
        </w:tc>
        <w:tc>
          <w:tcPr>
            <w:tcW w:w="2126" w:type="dxa"/>
            <w:tcBorders>
              <w:bottom w:val="single" w:sz="4" w:space="0" w:color="auto"/>
            </w:tcBorders>
          </w:tcPr>
          <w:p w:rsidR="00982C5C" w:rsidRPr="002803A6" w:rsidRDefault="00982C5C" w:rsidP="00E16D6F">
            <w:pPr>
              <w:keepNext/>
              <w:jc w:val="left"/>
              <w:rPr>
                <w:sz w:val="16"/>
                <w:szCs w:val="18"/>
              </w:rPr>
            </w:pPr>
            <w:r w:rsidRPr="002803A6">
              <w:rPr>
                <w:sz w:val="16"/>
                <w:szCs w:val="18"/>
              </w:rPr>
              <w:t>Die Botschaft der Niederlande in Serbien und das Ministerium für Land-, Forst- und Wasserwirtschaft – Direktorat für Pflanzenschutz der Republik Serbien</w:t>
            </w:r>
          </w:p>
        </w:tc>
        <w:tc>
          <w:tcPr>
            <w:tcW w:w="3402" w:type="dxa"/>
          </w:tcPr>
          <w:p w:rsidR="00982C5C" w:rsidRPr="002803A6" w:rsidRDefault="00982C5C" w:rsidP="00E16D6F">
            <w:pPr>
              <w:keepNext/>
              <w:jc w:val="left"/>
              <w:rPr>
                <w:sz w:val="16"/>
                <w:szCs w:val="18"/>
              </w:rPr>
            </w:pPr>
            <w:r w:rsidRPr="002803A6">
              <w:rPr>
                <w:sz w:val="16"/>
                <w:szCs w:val="18"/>
              </w:rPr>
              <w:t>Verbesserung aller Aspekte der Erzeugung von Beeren sowie der Herausforderungen für die Hersteller neuer Pflanzensorten und Beerenerzeuger. Ein besonderer Teil betraf das System zum Schutz der Rechte von Pflanzenzüchtern in den Niederlanden und Serbien.</w:t>
            </w:r>
          </w:p>
        </w:tc>
      </w:tr>
      <w:tr w:rsidR="00982C5C" w:rsidRPr="002803A6" w:rsidTr="00E16D6F">
        <w:tc>
          <w:tcPr>
            <w:tcW w:w="1526" w:type="dxa"/>
            <w:shd w:val="clear" w:color="auto" w:fill="FFFFFF"/>
          </w:tcPr>
          <w:p w:rsidR="00982C5C" w:rsidRPr="002803A6" w:rsidRDefault="00982C5C" w:rsidP="00E16D6F">
            <w:pPr>
              <w:keepNext/>
              <w:jc w:val="left"/>
              <w:rPr>
                <w:rFonts w:cs="Arial"/>
                <w:color w:val="000000"/>
                <w:sz w:val="16"/>
                <w:szCs w:val="18"/>
              </w:rPr>
            </w:pPr>
            <w:r w:rsidRPr="002803A6">
              <w:rPr>
                <w:color w:val="000000"/>
                <w:sz w:val="16"/>
                <w:szCs w:val="18"/>
              </w:rPr>
              <w:t xml:space="preserve">2. Seminar über zertifiziertes Saatgut für sichere und gesunde Lebensmittel </w:t>
            </w:r>
          </w:p>
        </w:tc>
        <w:tc>
          <w:tcPr>
            <w:tcW w:w="1134" w:type="dxa"/>
            <w:shd w:val="clear" w:color="auto" w:fill="FFFFFF"/>
          </w:tcPr>
          <w:p w:rsidR="00982C5C" w:rsidRPr="002803A6" w:rsidRDefault="00982C5C" w:rsidP="00E16D6F">
            <w:pPr>
              <w:keepNext/>
              <w:jc w:val="left"/>
              <w:rPr>
                <w:rFonts w:cs="Arial"/>
                <w:color w:val="000000"/>
                <w:sz w:val="16"/>
                <w:szCs w:val="18"/>
              </w:rPr>
            </w:pPr>
            <w:r w:rsidRPr="002803A6">
              <w:rPr>
                <w:color w:val="000000"/>
                <w:sz w:val="16"/>
                <w:szCs w:val="18"/>
              </w:rPr>
              <w:t>13. Dezember 2018</w:t>
            </w:r>
          </w:p>
        </w:tc>
        <w:tc>
          <w:tcPr>
            <w:tcW w:w="1134" w:type="dxa"/>
            <w:shd w:val="clear" w:color="auto" w:fill="FFFFFF"/>
          </w:tcPr>
          <w:p w:rsidR="00982C5C" w:rsidRPr="002803A6" w:rsidRDefault="00982C5C" w:rsidP="00E16D6F">
            <w:pPr>
              <w:keepNext/>
              <w:jc w:val="left"/>
              <w:rPr>
                <w:rFonts w:cs="Arial"/>
                <w:color w:val="000000"/>
                <w:sz w:val="16"/>
                <w:szCs w:val="18"/>
              </w:rPr>
            </w:pPr>
            <w:r w:rsidRPr="002803A6">
              <w:rPr>
                <w:color w:val="000000"/>
                <w:sz w:val="16"/>
                <w:szCs w:val="18"/>
              </w:rPr>
              <w:t xml:space="preserve">Republik Serbien, Novi </w:t>
            </w:r>
            <w:proofErr w:type="spellStart"/>
            <w:r w:rsidRPr="002803A6">
              <w:rPr>
                <w:color w:val="000000"/>
                <w:sz w:val="16"/>
                <w:szCs w:val="18"/>
              </w:rPr>
              <w:t>Sad</w:t>
            </w:r>
            <w:proofErr w:type="spellEnd"/>
          </w:p>
        </w:tc>
        <w:tc>
          <w:tcPr>
            <w:tcW w:w="2126" w:type="dxa"/>
            <w:shd w:val="clear" w:color="auto" w:fill="auto"/>
          </w:tcPr>
          <w:p w:rsidR="00982C5C" w:rsidRPr="002803A6" w:rsidRDefault="00982C5C" w:rsidP="00E16D6F">
            <w:pPr>
              <w:keepNext/>
              <w:jc w:val="left"/>
              <w:rPr>
                <w:rFonts w:cs="Arial"/>
                <w:color w:val="000000"/>
                <w:sz w:val="16"/>
                <w:szCs w:val="18"/>
                <w:shd w:val="clear" w:color="auto" w:fill="FFFFFF"/>
              </w:rPr>
            </w:pPr>
            <w:r w:rsidRPr="002803A6">
              <w:rPr>
                <w:color w:val="000000"/>
                <w:sz w:val="16"/>
                <w:szCs w:val="18"/>
                <w:shd w:val="clear" w:color="auto" w:fill="FFFFFF"/>
              </w:rPr>
              <w:t xml:space="preserve">Die Handelskammer von Serbien, die Handelskammer der Provinz </w:t>
            </w:r>
            <w:proofErr w:type="spellStart"/>
            <w:r w:rsidRPr="002803A6">
              <w:rPr>
                <w:color w:val="000000"/>
                <w:sz w:val="16"/>
                <w:szCs w:val="18"/>
                <w:shd w:val="clear" w:color="auto" w:fill="FFFFFF"/>
              </w:rPr>
              <w:t>Vojvodina</w:t>
            </w:r>
            <w:proofErr w:type="spellEnd"/>
            <w:r w:rsidRPr="002803A6">
              <w:rPr>
                <w:color w:val="000000"/>
                <w:sz w:val="16"/>
                <w:szCs w:val="18"/>
                <w:shd w:val="clear" w:color="auto" w:fill="FFFFFF"/>
              </w:rPr>
              <w:t xml:space="preserve"> und der Saatgutverband von Serbien</w:t>
            </w:r>
          </w:p>
        </w:tc>
        <w:tc>
          <w:tcPr>
            <w:tcW w:w="3402" w:type="dxa"/>
            <w:shd w:val="clear" w:color="auto" w:fill="FFFFFF"/>
          </w:tcPr>
          <w:p w:rsidR="00982C5C" w:rsidRPr="002803A6" w:rsidRDefault="00982C5C" w:rsidP="00E16D6F">
            <w:pPr>
              <w:keepNext/>
              <w:jc w:val="left"/>
              <w:rPr>
                <w:rFonts w:cs="Arial"/>
                <w:color w:val="000000"/>
                <w:sz w:val="16"/>
                <w:szCs w:val="18"/>
              </w:rPr>
            </w:pPr>
            <w:r w:rsidRPr="002803A6">
              <w:rPr>
                <w:color w:val="000000"/>
                <w:sz w:val="16"/>
                <w:szCs w:val="18"/>
                <w:shd w:val="clear" w:color="auto" w:fill="FFFFFF"/>
              </w:rPr>
              <w:t>System der Saatgutzertifizierung, Bedeutung und Nutzen von zertifiziertem Saatgut für sichere und gesunde Lebensmittel. Ein Teil des Seminars befasste sich mit dem Schutz von Pflanzenzüchterrechten.</w:t>
            </w:r>
          </w:p>
        </w:tc>
      </w:tr>
    </w:tbl>
    <w:p w:rsidR="00982C5C" w:rsidRPr="002803A6" w:rsidRDefault="00982C5C" w:rsidP="00982C5C">
      <w:pPr>
        <w:rPr>
          <w:rFonts w:cs="Arial"/>
        </w:rPr>
      </w:pPr>
    </w:p>
    <w:p w:rsidR="00982C5C" w:rsidRPr="002803A6" w:rsidRDefault="00982C5C" w:rsidP="00982C5C"/>
    <w:p w:rsidR="00982C5C" w:rsidRPr="002803A6" w:rsidRDefault="00982C5C" w:rsidP="00982C5C">
      <w:pPr>
        <w:keepNext/>
        <w:rPr>
          <w:rFonts w:cs="Arial"/>
        </w:rPr>
      </w:pPr>
      <w:r w:rsidRPr="002803A6">
        <w:t>II.</w:t>
      </w:r>
      <w:r w:rsidRPr="002803A6">
        <w:tab/>
        <w:t>ANDERE ENTWICKLUNGEN VON INTERESSE FÜR DIE UPOV</w:t>
      </w:r>
    </w:p>
    <w:p w:rsidR="00982C5C" w:rsidRPr="002803A6" w:rsidRDefault="00982C5C" w:rsidP="00982C5C">
      <w:pPr>
        <w:keepNext/>
        <w:rPr>
          <w:rFonts w:cs="Arial"/>
        </w:rPr>
      </w:pPr>
    </w:p>
    <w:p w:rsidR="00982C5C" w:rsidRPr="002803A6" w:rsidRDefault="00982C5C" w:rsidP="00982C5C">
      <w:r w:rsidRPr="002803A6">
        <w:t xml:space="preserve">Informationen betreffend die Eintragung (Annahme) von Pflanzensorten in den Nationalen Sortenkatalog der Republik Serbien sind auf der Webseite des Ministeriums für Land-, Forst- und Wasserwirtschaft-Pflanzenschutzdirektorat verfügbar: </w:t>
      </w:r>
      <w:r w:rsidR="00EB461D" w:rsidRPr="002803A6">
        <w:t xml:space="preserve"> </w:t>
      </w:r>
      <w:hyperlink r:id="rId35" w:history="1">
        <w:r w:rsidRPr="002803A6">
          <w:rPr>
            <w:rStyle w:val="Hyperlink"/>
          </w:rPr>
          <w:t>http://www.uzb.minpolj.gov.rs/index.php?lang=en</w:t>
        </w:r>
      </w:hyperlink>
    </w:p>
    <w:p w:rsidR="00982C5C" w:rsidRPr="002803A6" w:rsidRDefault="00982C5C" w:rsidP="00982C5C">
      <w:pPr>
        <w:rPr>
          <w:rFonts w:cs="Arial"/>
        </w:rPr>
      </w:pPr>
    </w:p>
    <w:p w:rsidR="00701A18" w:rsidRPr="002803A6" w:rsidRDefault="00701A18" w:rsidP="00701A18">
      <w:pPr>
        <w:jc w:val="left"/>
      </w:pPr>
    </w:p>
    <w:p w:rsidR="00701A18" w:rsidRPr="002803A6" w:rsidRDefault="00701A18" w:rsidP="00701A18">
      <w:pPr>
        <w:jc w:val="left"/>
      </w:pPr>
    </w:p>
    <w:p w:rsidR="00701A18" w:rsidRPr="002803A6" w:rsidRDefault="00701A18" w:rsidP="00701A18">
      <w:pPr>
        <w:jc w:val="right"/>
      </w:pPr>
      <w:r w:rsidRPr="002803A6">
        <w:t>[</w:t>
      </w:r>
      <w:r w:rsidR="00445C49" w:rsidRPr="002803A6">
        <w:t>Anlage</w:t>
      </w:r>
      <w:r w:rsidRPr="002803A6">
        <w:t xml:space="preserve"> XVI </w:t>
      </w:r>
      <w:r w:rsidR="00445C49" w:rsidRPr="002803A6">
        <w:t>folgt]</w:t>
      </w:r>
    </w:p>
    <w:p w:rsidR="00701A18" w:rsidRPr="002803A6" w:rsidRDefault="00701A18" w:rsidP="00701A18">
      <w:pPr>
        <w:jc w:val="left"/>
      </w:pPr>
    </w:p>
    <w:p w:rsidR="00701A18" w:rsidRPr="002803A6" w:rsidRDefault="00701A18" w:rsidP="00701A18">
      <w:pPr>
        <w:jc w:val="left"/>
        <w:sectPr w:rsidR="00701A18" w:rsidRPr="002803A6" w:rsidSect="00823234">
          <w:headerReference w:type="default" r:id="rId36"/>
          <w:pgSz w:w="11907" w:h="16840" w:code="9"/>
          <w:pgMar w:top="510" w:right="1134" w:bottom="1134" w:left="1134" w:header="510" w:footer="680" w:gutter="0"/>
          <w:pgNumType w:start="1"/>
          <w:cols w:space="720"/>
          <w:titlePg/>
        </w:sectPr>
      </w:pPr>
    </w:p>
    <w:p w:rsidR="00701A18" w:rsidRPr="002803A6" w:rsidRDefault="00701A18" w:rsidP="00701A18">
      <w:pPr>
        <w:jc w:val="center"/>
      </w:pPr>
      <w:r w:rsidRPr="002803A6">
        <w:lastRenderedPageBreak/>
        <w:t>C/53/INF/4</w:t>
      </w:r>
    </w:p>
    <w:p w:rsidR="00701A18" w:rsidRPr="002803A6" w:rsidRDefault="00701A18" w:rsidP="00701A18">
      <w:pPr>
        <w:jc w:val="center"/>
      </w:pPr>
    </w:p>
    <w:p w:rsidR="00701A18" w:rsidRPr="002803A6" w:rsidRDefault="00445C49" w:rsidP="00701A18">
      <w:pPr>
        <w:jc w:val="center"/>
      </w:pPr>
      <w:r w:rsidRPr="002803A6">
        <w:t>ANLAGE</w:t>
      </w:r>
      <w:r w:rsidR="00701A18" w:rsidRPr="002803A6">
        <w:t xml:space="preserve"> XVI</w:t>
      </w:r>
    </w:p>
    <w:p w:rsidR="00701A18" w:rsidRPr="002803A6" w:rsidRDefault="00701A18" w:rsidP="00701A18">
      <w:pPr>
        <w:jc w:val="center"/>
      </w:pPr>
    </w:p>
    <w:p w:rsidR="00701A18" w:rsidRPr="002803A6" w:rsidRDefault="00701A18" w:rsidP="00701A18">
      <w:pPr>
        <w:jc w:val="center"/>
      </w:pPr>
    </w:p>
    <w:p w:rsidR="00982C5C" w:rsidRPr="002803A6" w:rsidRDefault="00982C5C" w:rsidP="00982C5C">
      <w:pPr>
        <w:jc w:val="center"/>
      </w:pPr>
      <w:r w:rsidRPr="002803A6">
        <w:t>EUROPÄISCHE UNION</w:t>
      </w:r>
    </w:p>
    <w:p w:rsidR="00982C5C" w:rsidRPr="002803A6" w:rsidRDefault="00982C5C" w:rsidP="00982C5C">
      <w:pPr>
        <w:jc w:val="center"/>
      </w:pPr>
    </w:p>
    <w:p w:rsidR="00982C5C" w:rsidRPr="002803A6" w:rsidRDefault="00982C5C" w:rsidP="00982C5C">
      <w:pPr>
        <w:shd w:val="clear" w:color="auto" w:fill="FFFFFF"/>
        <w:ind w:left="1134" w:right="1134"/>
        <w:jc w:val="center"/>
        <w:rPr>
          <w:rFonts w:cs="Arial"/>
        </w:rPr>
      </w:pPr>
      <w:r w:rsidRPr="002803A6">
        <w:t>Berichtszeitraum: Juli 2018 - Juli 2019</w:t>
      </w:r>
    </w:p>
    <w:p w:rsidR="00982C5C" w:rsidRPr="002803A6" w:rsidRDefault="00982C5C" w:rsidP="00982C5C">
      <w:pPr>
        <w:shd w:val="clear" w:color="auto" w:fill="FFFFFF"/>
        <w:ind w:left="1134" w:right="1134"/>
        <w:jc w:val="center"/>
        <w:rPr>
          <w:rFonts w:cs="Arial"/>
        </w:rPr>
      </w:pPr>
    </w:p>
    <w:p w:rsidR="00982C5C" w:rsidRPr="002803A6" w:rsidRDefault="00982C5C" w:rsidP="00982C5C">
      <w:pPr>
        <w:shd w:val="clear" w:color="auto" w:fill="FFFFFF"/>
        <w:jc w:val="center"/>
        <w:rPr>
          <w:rFonts w:cs="Arial"/>
        </w:rPr>
      </w:pPr>
      <w:r w:rsidRPr="002803A6">
        <w:t xml:space="preserve">(von der EU-Kommission in enger Zusammenarbeit mit dem </w:t>
      </w:r>
      <w:r w:rsidR="00AA1D2C" w:rsidRPr="002803A6">
        <w:br/>
      </w:r>
      <w:r w:rsidRPr="002803A6">
        <w:t>Gemeinschaftlichen Sortenamt (CPVO) erstellter Bericht)</w:t>
      </w:r>
    </w:p>
    <w:p w:rsidR="00982C5C" w:rsidRPr="002803A6" w:rsidRDefault="00982C5C" w:rsidP="00982C5C">
      <w:pPr>
        <w:shd w:val="clear" w:color="auto" w:fill="FFFFFF"/>
        <w:jc w:val="center"/>
        <w:rPr>
          <w:rFonts w:cs="Arial"/>
        </w:rPr>
      </w:pPr>
    </w:p>
    <w:p w:rsidR="00982C5C" w:rsidRPr="002803A6" w:rsidRDefault="00982C5C" w:rsidP="00982C5C">
      <w:pPr>
        <w:shd w:val="clear" w:color="auto" w:fill="FFFFFF"/>
        <w:jc w:val="center"/>
        <w:rPr>
          <w:rFonts w:cs="Arial"/>
        </w:rPr>
      </w:pPr>
    </w:p>
    <w:p w:rsidR="00982C5C" w:rsidRPr="002803A6" w:rsidRDefault="00982C5C" w:rsidP="00982C5C">
      <w:r w:rsidRPr="002803A6">
        <w:t>I.</w:t>
      </w:r>
      <w:r w:rsidRPr="002803A6">
        <w:tab/>
        <w:t>SORTENSCHUTZ</w:t>
      </w:r>
    </w:p>
    <w:p w:rsidR="00982C5C" w:rsidRPr="002803A6" w:rsidRDefault="00982C5C" w:rsidP="00982C5C">
      <w:pPr>
        <w:rPr>
          <w:rFonts w:cs="Arial"/>
        </w:rPr>
      </w:pPr>
    </w:p>
    <w:p w:rsidR="00982C5C" w:rsidRPr="002803A6" w:rsidRDefault="00982C5C" w:rsidP="00982C5C">
      <w:pPr>
        <w:rPr>
          <w:rFonts w:cs="Arial"/>
          <w:u w:val="single"/>
        </w:rPr>
      </w:pPr>
      <w:r w:rsidRPr="002803A6">
        <w:t>1.</w:t>
      </w:r>
      <w:r w:rsidRPr="002803A6">
        <w:tab/>
      </w:r>
      <w:r w:rsidRPr="002803A6">
        <w:rPr>
          <w:u w:val="single"/>
        </w:rPr>
        <w:t>Lage auf dem Gebiet der Gesetzgebung</w:t>
      </w:r>
    </w:p>
    <w:p w:rsidR="00982C5C" w:rsidRPr="002803A6" w:rsidRDefault="00982C5C" w:rsidP="00982C5C">
      <w:pPr>
        <w:rPr>
          <w:rFonts w:cs="Arial"/>
        </w:rPr>
      </w:pPr>
    </w:p>
    <w:p w:rsidR="00982C5C" w:rsidRPr="002803A6" w:rsidRDefault="00982C5C" w:rsidP="00982C5C">
      <w:pPr>
        <w:rPr>
          <w:rFonts w:cs="Arial"/>
          <w:u w:val="single"/>
        </w:rPr>
      </w:pPr>
      <w:r w:rsidRPr="002803A6">
        <w:t>1.1</w:t>
      </w:r>
      <w:r w:rsidRPr="002803A6">
        <w:tab/>
        <w:t>Änderungen des Gesetzes und der Ausführungsvorschriften:  Keine Änderungen der Gesetzgebung.</w:t>
      </w:r>
    </w:p>
    <w:p w:rsidR="00982C5C" w:rsidRPr="002803A6" w:rsidRDefault="00982C5C" w:rsidP="00982C5C">
      <w:pPr>
        <w:rPr>
          <w:rFonts w:cs="Arial"/>
        </w:rPr>
      </w:pPr>
    </w:p>
    <w:p w:rsidR="00982C5C" w:rsidRPr="002803A6" w:rsidRDefault="00982C5C" w:rsidP="00982C5C">
      <w:pPr>
        <w:rPr>
          <w:rFonts w:cs="Arial"/>
          <w:u w:val="single"/>
        </w:rPr>
      </w:pPr>
      <w:r w:rsidRPr="002803A6">
        <w:t>1.2</w:t>
      </w:r>
      <w:r w:rsidRPr="002803A6">
        <w:tab/>
        <w:t>Erstreckung des Schutzes auf weitere Gattungen und Arten (geschehen oder geplant):  Keine Änderungen der Gesetzgebung.</w:t>
      </w:r>
    </w:p>
    <w:p w:rsidR="00982C5C" w:rsidRPr="002803A6" w:rsidRDefault="00982C5C" w:rsidP="00982C5C">
      <w:pPr>
        <w:rPr>
          <w:rFonts w:cs="Arial"/>
        </w:rPr>
      </w:pPr>
    </w:p>
    <w:p w:rsidR="00982C5C" w:rsidRPr="002803A6" w:rsidRDefault="00982C5C" w:rsidP="00982C5C">
      <w:pPr>
        <w:rPr>
          <w:rFonts w:cs="Arial"/>
        </w:rPr>
      </w:pPr>
      <w:r w:rsidRPr="002803A6">
        <w:t>1.3</w:t>
      </w:r>
      <w:r w:rsidRPr="002803A6">
        <w:tab/>
      </w:r>
      <w:r w:rsidR="002803A6" w:rsidRPr="002803A6">
        <w:t>Rechtsprechung</w:t>
      </w:r>
    </w:p>
    <w:p w:rsidR="00982C5C" w:rsidRPr="002803A6" w:rsidRDefault="00982C5C" w:rsidP="00982C5C">
      <w:pPr>
        <w:rPr>
          <w:rFonts w:cs="Arial"/>
        </w:rPr>
      </w:pPr>
    </w:p>
    <w:p w:rsidR="00982C5C" w:rsidRPr="002803A6" w:rsidRDefault="00982C5C" w:rsidP="00982C5C">
      <w:pPr>
        <w:pStyle w:val="Default"/>
        <w:ind w:right="141"/>
        <w:jc w:val="both"/>
        <w:rPr>
          <w:sz w:val="20"/>
          <w:szCs w:val="20"/>
          <w:u w:val="single"/>
          <w:lang w:val="de-DE"/>
        </w:rPr>
      </w:pPr>
      <w:r w:rsidRPr="002803A6">
        <w:rPr>
          <w:sz w:val="20"/>
          <w:szCs w:val="20"/>
          <w:u w:val="single"/>
          <w:lang w:val="de-DE"/>
        </w:rPr>
        <w:t xml:space="preserve">Urteil des Gerichtshofs der Europäischen Union vom 8. November 2018 in der Rechtssache C-308/18 ‘Gala </w:t>
      </w:r>
      <w:proofErr w:type="spellStart"/>
      <w:r w:rsidRPr="002803A6">
        <w:rPr>
          <w:sz w:val="20"/>
          <w:szCs w:val="20"/>
          <w:u w:val="single"/>
          <w:lang w:val="de-DE"/>
        </w:rPr>
        <w:t>Schnico</w:t>
      </w:r>
      <w:proofErr w:type="spellEnd"/>
      <w:r w:rsidRPr="002803A6">
        <w:rPr>
          <w:sz w:val="20"/>
          <w:szCs w:val="20"/>
          <w:u w:val="single"/>
          <w:lang w:val="de-DE"/>
        </w:rPr>
        <w:t>’</w:t>
      </w:r>
    </w:p>
    <w:p w:rsidR="00982C5C" w:rsidRPr="002803A6" w:rsidRDefault="00982C5C" w:rsidP="00982C5C"/>
    <w:p w:rsidR="00982C5C" w:rsidRPr="002803A6" w:rsidRDefault="00982C5C" w:rsidP="00982C5C">
      <w:r w:rsidRPr="002803A6">
        <w:t xml:space="preserve">Der Gerichtshof der Europäischen Union (EuGH) lehnte die Klage ab und ordnete an, </w:t>
      </w:r>
      <w:r w:rsidR="002803A6" w:rsidRPr="002803A6">
        <w:t>dass</w:t>
      </w:r>
      <w:r w:rsidRPr="002803A6">
        <w:t xml:space="preserve"> die </w:t>
      </w:r>
      <w:proofErr w:type="spellStart"/>
      <w:r w:rsidRPr="002803A6">
        <w:t>Schniga</w:t>
      </w:r>
      <w:proofErr w:type="spellEnd"/>
      <w:r w:rsidRPr="002803A6">
        <w:t xml:space="preserve"> GmbH (die Klägerin) die Kosten zu tragen habe. Mit seinem Urteil bestätigte das Gericht die Feststellungen des Gerichts erster Instanz mit der Begründung, </w:t>
      </w:r>
      <w:r w:rsidR="002803A6" w:rsidRPr="002803A6">
        <w:t>dass</w:t>
      </w:r>
      <w:r w:rsidRPr="002803A6">
        <w:t xml:space="preserve"> es keine Widersprüche in Bezug auf die Ergebnisse der technischen Prüfung gebe und </w:t>
      </w:r>
      <w:r w:rsidR="002803A6" w:rsidRPr="002803A6">
        <w:t>dass</w:t>
      </w:r>
      <w:r w:rsidRPr="002803A6">
        <w:t xml:space="preserve"> die meteorologischen Bedingungen zum Zeitpunkt der Anbauprüfungen aufgetreten seien. Das Gericht wies die beiden Berufungsgründe zurück und stellte fest, </w:t>
      </w:r>
      <w:r w:rsidR="002803A6" w:rsidRPr="002803A6">
        <w:t>dass</w:t>
      </w:r>
      <w:r w:rsidRPr="002803A6">
        <w:t xml:space="preserve"> die Klage nicht begründet sei.</w:t>
      </w:r>
    </w:p>
    <w:p w:rsidR="00982C5C" w:rsidRPr="002803A6" w:rsidRDefault="00982C5C" w:rsidP="00982C5C"/>
    <w:p w:rsidR="00982C5C" w:rsidRPr="002803A6" w:rsidRDefault="00982C5C" w:rsidP="00982C5C">
      <w:pPr>
        <w:pStyle w:val="Default"/>
        <w:ind w:right="141"/>
        <w:jc w:val="both"/>
        <w:rPr>
          <w:sz w:val="20"/>
          <w:szCs w:val="20"/>
          <w:lang w:val="de-DE"/>
        </w:rPr>
      </w:pPr>
      <w:r w:rsidRPr="002803A6">
        <w:rPr>
          <w:sz w:val="20"/>
          <w:szCs w:val="20"/>
          <w:u w:val="single"/>
          <w:lang w:val="de-DE"/>
        </w:rPr>
        <w:t>Urteil des Gerichts vom 5. Februar 2019 in der Rechtssache T-177/16, ‘</w:t>
      </w:r>
      <w:proofErr w:type="spellStart"/>
      <w:r w:rsidRPr="002803A6">
        <w:rPr>
          <w:sz w:val="20"/>
          <w:szCs w:val="20"/>
          <w:u w:val="single"/>
          <w:lang w:val="de-DE"/>
        </w:rPr>
        <w:t>Braeburn</w:t>
      </w:r>
      <w:proofErr w:type="spellEnd"/>
      <w:r w:rsidRPr="002803A6">
        <w:rPr>
          <w:sz w:val="20"/>
          <w:szCs w:val="20"/>
          <w:u w:val="single"/>
          <w:lang w:val="de-DE"/>
        </w:rPr>
        <w:t xml:space="preserve"> 78’</w:t>
      </w:r>
      <w:r w:rsidRPr="002803A6">
        <w:rPr>
          <w:sz w:val="20"/>
          <w:szCs w:val="20"/>
          <w:lang w:val="de-DE"/>
        </w:rPr>
        <w:t>.</w:t>
      </w:r>
    </w:p>
    <w:p w:rsidR="00982C5C" w:rsidRPr="002803A6" w:rsidRDefault="00982C5C" w:rsidP="00982C5C"/>
    <w:p w:rsidR="00982C5C" w:rsidRPr="002803A6" w:rsidRDefault="00982C5C" w:rsidP="00982C5C">
      <w:r w:rsidRPr="002803A6">
        <w:t xml:space="preserve">Das Gericht erster Instanz hob die Entscheidung der Beschwerdekammer in der Rechtssache A001/2015 auf. Das Gericht stellte fest, </w:t>
      </w:r>
      <w:r w:rsidR="002803A6" w:rsidRPr="002803A6">
        <w:t>dass</w:t>
      </w:r>
      <w:r w:rsidRPr="002803A6">
        <w:t xml:space="preserve"> es dem CPVO keine Weisungen zu den Maßnahmen erteilen kann, die erforderlich sind, um seinen Urteilen Folge zu leisten, aber </w:t>
      </w:r>
      <w:r w:rsidR="002803A6" w:rsidRPr="002803A6">
        <w:t>dass</w:t>
      </w:r>
      <w:r w:rsidRPr="002803A6">
        <w:t xml:space="preserve"> es Sache des CPVO ist, die entsprechenden </w:t>
      </w:r>
      <w:r w:rsidR="002803A6" w:rsidRPr="002803A6">
        <w:t>Schlussfolgerungen</w:t>
      </w:r>
      <w:r w:rsidRPr="002803A6">
        <w:t xml:space="preserve"> aus dem operativen Teil und der Begründung der Urteile zu ziehen. Das Gericht stellte auch fest, </w:t>
      </w:r>
      <w:r w:rsidR="002803A6" w:rsidRPr="002803A6">
        <w:t>dass</w:t>
      </w:r>
      <w:r w:rsidRPr="002803A6">
        <w:t xml:space="preserve"> das CPVO trotz seines großen Ermessensspielraums bei der Wahrnehmung seiner Aufgaben an den Grundsatz der ordnungsgemäßen Verwaltung gebunden ist, der besagt, </w:t>
      </w:r>
      <w:r w:rsidR="002803A6" w:rsidRPr="002803A6">
        <w:t>dass</w:t>
      </w:r>
      <w:r w:rsidRPr="002803A6">
        <w:t xml:space="preserve"> es die ordnungsgemäße Durchführung und Wirksamkeit der von ihm eingeleiteten Verfahren gewährleisten </w:t>
      </w:r>
      <w:r w:rsidR="002803A6" w:rsidRPr="002803A6">
        <w:t>muss</w:t>
      </w:r>
      <w:r w:rsidRPr="002803A6">
        <w:t xml:space="preserve">. In dieser Hinsicht ist auch die Beschwerdekammer an den Grundsatz der ordnungsgemäßen Verwaltung gebunden, was bedeutet, </w:t>
      </w:r>
      <w:r w:rsidR="002803A6" w:rsidRPr="002803A6">
        <w:t>dass</w:t>
      </w:r>
      <w:r w:rsidRPr="002803A6">
        <w:t xml:space="preserve"> sie ihre Entscheidungen auf alle von den Parteien vorgebrachten Tatsachen und Rechtsvorschriften stützen </w:t>
      </w:r>
      <w:r w:rsidR="002803A6" w:rsidRPr="002803A6">
        <w:t>muss</w:t>
      </w:r>
      <w:r w:rsidRPr="002803A6">
        <w:t xml:space="preserve">. Schließlich erklärte das Gericht die Verpflichtung, die getroffene Maßnahme zu begründen. Diese Verpflichtung kann jedoch erfüllt werden, ohne </w:t>
      </w:r>
      <w:r w:rsidR="002803A6" w:rsidRPr="002803A6">
        <w:t>dass</w:t>
      </w:r>
      <w:r w:rsidRPr="002803A6">
        <w:t xml:space="preserve"> es notwendig ist, ausdrücklich und umfassend auf alle von einem Antragsteller vorgebrachten Argumente einzugehen.</w:t>
      </w:r>
    </w:p>
    <w:p w:rsidR="00982C5C" w:rsidRPr="002803A6" w:rsidRDefault="00982C5C" w:rsidP="00982C5C"/>
    <w:p w:rsidR="00982C5C" w:rsidRPr="002803A6" w:rsidRDefault="00982C5C" w:rsidP="00982C5C">
      <w:pPr>
        <w:pStyle w:val="Default"/>
        <w:ind w:right="141"/>
        <w:jc w:val="both"/>
        <w:rPr>
          <w:sz w:val="20"/>
          <w:szCs w:val="20"/>
          <w:lang w:val="de-DE"/>
        </w:rPr>
      </w:pPr>
      <w:r w:rsidRPr="002803A6">
        <w:rPr>
          <w:sz w:val="20"/>
          <w:szCs w:val="20"/>
          <w:u w:val="single"/>
          <w:lang w:val="de-DE"/>
        </w:rPr>
        <w:t>Urteil des Gerichts vom 11. April 2019 in der Rechtssache T-765/17, ‘</w:t>
      </w:r>
      <w:proofErr w:type="spellStart"/>
      <w:r w:rsidRPr="002803A6">
        <w:rPr>
          <w:sz w:val="20"/>
          <w:szCs w:val="20"/>
          <w:u w:val="single"/>
          <w:lang w:val="de-DE"/>
        </w:rPr>
        <w:t>Pinova</w:t>
      </w:r>
      <w:proofErr w:type="spellEnd"/>
      <w:r w:rsidRPr="002803A6">
        <w:rPr>
          <w:sz w:val="20"/>
          <w:szCs w:val="20"/>
          <w:u w:val="single"/>
          <w:lang w:val="de-DE"/>
        </w:rPr>
        <w:t>’</w:t>
      </w:r>
      <w:r w:rsidRPr="002803A6">
        <w:rPr>
          <w:sz w:val="20"/>
          <w:szCs w:val="20"/>
          <w:lang w:val="de-DE"/>
        </w:rPr>
        <w:t>.</w:t>
      </w:r>
    </w:p>
    <w:p w:rsidR="00982C5C" w:rsidRPr="002803A6" w:rsidRDefault="00982C5C" w:rsidP="00982C5C"/>
    <w:p w:rsidR="00982C5C" w:rsidRPr="002803A6" w:rsidRDefault="00982C5C" w:rsidP="00982C5C">
      <w:r w:rsidRPr="002803A6">
        <w:t xml:space="preserve">Das Gericht erster Instanz wies die gegen die Entscheidung der Beschwerdekammer in der Rechtssache A005/2016 eingelegte Berufung zurück. Das Urteil hat den weiten Ermessensspielraum des Amtes in Bezug auf die Nichtigkeitserklärung eines Titels bestätigt, und diese Erklärung kann nur abgegeben werden, wenn ernsthafte Zweifel (in diesem Fall an der Neuheit der Sorte) bestehen, die eine erneute Prüfung der geschützten Sorte rechtfertigen. Das Gericht stellte ferner fest, </w:t>
      </w:r>
      <w:r w:rsidR="002803A6" w:rsidRPr="002803A6">
        <w:t>dass</w:t>
      </w:r>
      <w:r w:rsidRPr="002803A6">
        <w:t xml:space="preserve"> die Partei, die die Nichtigkeit beantragt, die Tatsachen und Beweise vorlegen </w:t>
      </w:r>
      <w:r w:rsidR="002803A6" w:rsidRPr="002803A6">
        <w:t>muss</w:t>
      </w:r>
      <w:r w:rsidRPr="002803A6">
        <w:t xml:space="preserve">, die ernsthafte Zweifel an der Rechtmäßigkeit der Gewährung des Schutzes aufkommen lassen. Darüber hinaus erkannte das Gericht an, </w:t>
      </w:r>
      <w:r w:rsidR="002803A6" w:rsidRPr="002803A6">
        <w:t>dass</w:t>
      </w:r>
      <w:r w:rsidRPr="002803A6">
        <w:t xml:space="preserve"> das Gericht bei der Prüfung einer Entscheidung der Beschwerdekammer in technischen Fragen den Patentfehler prüft. Geht es jedoch um Tatsachen ohne technische Komplexität, so prüft das Gericht die Rechtmäßigkeit. Das Gericht analysierte auch derlei Dokumente, die eine die Neuheit </w:t>
      </w:r>
      <w:r w:rsidR="002803A6" w:rsidRPr="002803A6">
        <w:t>zunichtemachende</w:t>
      </w:r>
      <w:r w:rsidRPr="002803A6">
        <w:t xml:space="preserve"> Abgabe an Dritte belegen können, darunter Rechnungen, Lieferscheine, Umsätze, Zeugenaussagen von Käufern, Broschüren und vieles mehr. Schließlich stellte das Gericht fest, </w:t>
      </w:r>
      <w:r w:rsidR="002803A6" w:rsidRPr="002803A6">
        <w:t>dass</w:t>
      </w:r>
      <w:r w:rsidRPr="002803A6">
        <w:t xml:space="preserve"> die Abhandlungen über die Sorte, die keinen Verkauf oder eine Abgabe an Dritte zur Verwertung der Sorte implizieren, die Neuheit gemäß Art. 10 des gemeinschaftlichen Sortenrechts nicht </w:t>
      </w:r>
      <w:r w:rsidR="002803A6" w:rsidRPr="002803A6">
        <w:t>zunichtemacht</w:t>
      </w:r>
      <w:r w:rsidRPr="002803A6">
        <w:t>.</w:t>
      </w:r>
    </w:p>
    <w:p w:rsidR="00982C5C" w:rsidRPr="002803A6" w:rsidRDefault="00982C5C" w:rsidP="00982C5C"/>
    <w:p w:rsidR="00982C5C" w:rsidRPr="002803A6" w:rsidRDefault="00982C5C" w:rsidP="00982C5C">
      <w:pPr>
        <w:pStyle w:val="Default"/>
        <w:ind w:right="-142"/>
        <w:jc w:val="both"/>
        <w:rPr>
          <w:sz w:val="20"/>
          <w:szCs w:val="20"/>
          <w:lang w:val="de-DE"/>
        </w:rPr>
      </w:pPr>
      <w:r w:rsidRPr="002803A6">
        <w:rPr>
          <w:sz w:val="20"/>
          <w:szCs w:val="20"/>
          <w:u w:val="single"/>
          <w:lang w:val="de-DE"/>
        </w:rPr>
        <w:lastRenderedPageBreak/>
        <w:t>Urteil des Gerichts vom 18. Juni 2019 in der Rechtssache T-569/18, ‘Kordes’ Rose Monique’</w:t>
      </w:r>
      <w:r w:rsidRPr="002803A6">
        <w:rPr>
          <w:sz w:val="20"/>
          <w:szCs w:val="20"/>
          <w:lang w:val="de-DE"/>
        </w:rPr>
        <w:t>.</w:t>
      </w:r>
    </w:p>
    <w:p w:rsidR="00982C5C" w:rsidRPr="002803A6" w:rsidRDefault="00982C5C" w:rsidP="00982C5C"/>
    <w:p w:rsidR="00982C5C" w:rsidRPr="002803A6" w:rsidRDefault="00982C5C" w:rsidP="00982C5C">
      <w:r w:rsidRPr="002803A6">
        <w:t xml:space="preserve">Das Gericht erster Instanz hob die Entscheidung der Beschwerdekammer des Amtes für geistiges Eigentum der Europäischen Union (EUIPO) in der Rechtssache R 1929/2017-1 auf. Das Gericht stellte fest, </w:t>
      </w:r>
      <w:r w:rsidR="002803A6" w:rsidRPr="002803A6">
        <w:t>dass</w:t>
      </w:r>
      <w:r w:rsidRPr="002803A6">
        <w:t xml:space="preserve"> die Sortenbezeichnung (in diesem Fall war der Sorte ‘Monique’ in den Niederlanden bis zum 7. Juli 2005 Schutz für Rosen erteilt worden) die allgemeine Bezeichnung der Sorte darstellt und daher nicht monopolisiert werden kann. Das Gericht merkte ferner an, </w:t>
      </w:r>
      <w:r w:rsidR="002803A6" w:rsidRPr="002803A6">
        <w:t>dass</w:t>
      </w:r>
      <w:r w:rsidRPr="002803A6">
        <w:t xml:space="preserve"> es wichtig ist festzustellen, ob die Sortenbezeichnung ein wesentliches Element der Marke gemäß Art. 7.1 der Verordnung 207/2009 ist. Zu diesem Zweck benannte das Gericht bestimmte Kriterien, wie z. B. die Unterscheidungskraft der anderen Elemente, die von der Marke als Ganzes übermittelte Botschaft, die visuelle Dominanz aufgrund von Größe und Position oder die Zahl von Elementen, aus denen die Marke besteht. Anhand dieser Kriterien kam das Gericht zu dem </w:t>
      </w:r>
      <w:r w:rsidR="002803A6" w:rsidRPr="002803A6">
        <w:t>Schluss</w:t>
      </w:r>
      <w:r w:rsidRPr="002803A6">
        <w:t xml:space="preserve">, </w:t>
      </w:r>
      <w:r w:rsidR="002803A6" w:rsidRPr="002803A6">
        <w:t>dass</w:t>
      </w:r>
      <w:r w:rsidRPr="002803A6">
        <w:t xml:space="preserve"> Kordes das einzige Unterscheidungsmerkmal ist, da es die Identifizierung der kommerziellen Herkunft der Waren ermöglicht. In diesem Zusammenhang kam es zu dem </w:t>
      </w:r>
      <w:r w:rsidR="002803A6" w:rsidRPr="002803A6">
        <w:t>Schluss</w:t>
      </w:r>
      <w:r w:rsidRPr="002803A6">
        <w:t xml:space="preserve">, </w:t>
      </w:r>
      <w:r w:rsidR="002803A6" w:rsidRPr="002803A6">
        <w:t>dass</w:t>
      </w:r>
      <w:r w:rsidRPr="002803A6">
        <w:t xml:space="preserve"> der Schwerpunkt der Markenbotschaft auf „Kordes“ liegt, auch unter Berücksichtigung der Tatsache, </w:t>
      </w:r>
      <w:r w:rsidR="002803A6" w:rsidRPr="002803A6">
        <w:t>dass</w:t>
      </w:r>
      <w:r w:rsidRPr="002803A6">
        <w:t xml:space="preserve"> dies in der Marke an erster Stelle steht. Dieses Element ist nach Ansicht des Gerichts das vorherrschende Element und die Sortenbezeichnung ‘Monique’ ist eine allgemeine Bezeichnung, die von anderen Unternehmen frei verwendet werden kann.</w:t>
      </w:r>
    </w:p>
    <w:p w:rsidR="00982C5C" w:rsidRPr="002803A6" w:rsidRDefault="00982C5C" w:rsidP="00982C5C"/>
    <w:p w:rsidR="00982C5C" w:rsidRPr="002803A6" w:rsidRDefault="00982C5C" w:rsidP="00982C5C"/>
    <w:p w:rsidR="00982C5C" w:rsidRPr="002803A6" w:rsidRDefault="00982C5C" w:rsidP="00982C5C">
      <w:pPr>
        <w:rPr>
          <w:rFonts w:cs="Arial"/>
        </w:rPr>
      </w:pPr>
      <w:r w:rsidRPr="002803A6">
        <w:t>2.</w:t>
      </w:r>
      <w:r w:rsidRPr="002803A6">
        <w:tab/>
      </w:r>
      <w:r w:rsidRPr="002803A6">
        <w:rPr>
          <w:u w:val="single"/>
        </w:rPr>
        <w:t>Zusammenarbeit bei der Prüfung</w:t>
      </w:r>
    </w:p>
    <w:p w:rsidR="00982C5C" w:rsidRPr="002803A6" w:rsidRDefault="00982C5C" w:rsidP="00982C5C">
      <w:pPr>
        <w:rPr>
          <w:rFonts w:cs="Arial"/>
        </w:rPr>
      </w:pPr>
    </w:p>
    <w:p w:rsidR="00982C5C" w:rsidRPr="002803A6" w:rsidRDefault="00982C5C" w:rsidP="00982C5C">
      <w:pPr>
        <w:rPr>
          <w:rFonts w:cs="Arial"/>
        </w:rPr>
      </w:pPr>
      <w:r w:rsidRPr="002803A6">
        <w:t>2.1</w:t>
      </w:r>
      <w:r w:rsidRPr="002803A6">
        <w:tab/>
        <w:t>Schließung neuer Vereinbarungen</w:t>
      </w:r>
    </w:p>
    <w:p w:rsidR="00982C5C" w:rsidRPr="002803A6" w:rsidRDefault="00982C5C" w:rsidP="00982C5C">
      <w:pPr>
        <w:rPr>
          <w:rFonts w:cs="Arial"/>
        </w:rPr>
      </w:pPr>
    </w:p>
    <w:p w:rsidR="00982C5C" w:rsidRPr="002803A6" w:rsidRDefault="002803A6" w:rsidP="00982C5C">
      <w:pPr>
        <w:rPr>
          <w:rFonts w:cs="Arial"/>
        </w:rPr>
      </w:pPr>
      <w:r w:rsidRPr="002803A6">
        <w:t>Abschluss</w:t>
      </w:r>
      <w:r w:rsidR="00982C5C" w:rsidRPr="002803A6">
        <w:t xml:space="preserve"> einer Vereinbarung mit der Agentur für Landwirtschaft und Ernährung, Rat für Landwirtschaft von Taiwan, zur Übernahme von DUS-Berichten für Phalaenopsis und </w:t>
      </w:r>
      <w:proofErr w:type="spellStart"/>
      <w:r w:rsidR="00982C5C" w:rsidRPr="002803A6">
        <w:t>Doritaenopsis</w:t>
      </w:r>
      <w:proofErr w:type="spellEnd"/>
      <w:r w:rsidR="00982C5C" w:rsidRPr="002803A6">
        <w:t>.</w:t>
      </w:r>
    </w:p>
    <w:p w:rsidR="00982C5C" w:rsidRPr="002803A6" w:rsidRDefault="00982C5C" w:rsidP="00982C5C">
      <w:pPr>
        <w:rPr>
          <w:rFonts w:cs="Arial"/>
        </w:rPr>
      </w:pPr>
    </w:p>
    <w:p w:rsidR="00982C5C" w:rsidRPr="002803A6" w:rsidRDefault="00982C5C" w:rsidP="00982C5C">
      <w:pPr>
        <w:rPr>
          <w:rFonts w:cs="Arial"/>
        </w:rPr>
      </w:pPr>
      <w:r w:rsidRPr="002803A6">
        <w:t>2.2</w:t>
      </w:r>
      <w:r w:rsidRPr="002803A6">
        <w:tab/>
        <w:t xml:space="preserve">Änderung bestehender Vereinbarungen </w:t>
      </w:r>
    </w:p>
    <w:p w:rsidR="00982C5C" w:rsidRPr="002803A6" w:rsidRDefault="00982C5C" w:rsidP="00982C5C">
      <w:pPr>
        <w:rPr>
          <w:rFonts w:cs="Arial"/>
        </w:rPr>
      </w:pPr>
    </w:p>
    <w:p w:rsidR="00982C5C" w:rsidRPr="002803A6" w:rsidRDefault="00982C5C" w:rsidP="00982C5C">
      <w:pPr>
        <w:rPr>
          <w:rFonts w:cs="Arial"/>
        </w:rPr>
      </w:pPr>
      <w:r w:rsidRPr="002803A6">
        <w:t xml:space="preserve">Verlängerung der Vereinbarung mit SNICS Mexiko - </w:t>
      </w:r>
      <w:proofErr w:type="spellStart"/>
      <w:r w:rsidRPr="002803A6">
        <w:rPr>
          <w:i/>
        </w:rPr>
        <w:t>Servicio</w:t>
      </w:r>
      <w:proofErr w:type="spellEnd"/>
      <w:r w:rsidRPr="002803A6">
        <w:rPr>
          <w:i/>
        </w:rPr>
        <w:t xml:space="preserve"> </w:t>
      </w:r>
      <w:proofErr w:type="spellStart"/>
      <w:r w:rsidRPr="002803A6">
        <w:rPr>
          <w:i/>
        </w:rPr>
        <w:t>Nacional</w:t>
      </w:r>
      <w:proofErr w:type="spellEnd"/>
      <w:r w:rsidRPr="002803A6">
        <w:rPr>
          <w:i/>
        </w:rPr>
        <w:t xml:space="preserve"> de </w:t>
      </w:r>
      <w:proofErr w:type="spellStart"/>
      <w:r w:rsidRPr="002803A6">
        <w:rPr>
          <w:i/>
        </w:rPr>
        <w:t>Inspeccion</w:t>
      </w:r>
      <w:proofErr w:type="spellEnd"/>
      <w:r w:rsidRPr="002803A6">
        <w:rPr>
          <w:i/>
        </w:rPr>
        <w:t xml:space="preserve"> y </w:t>
      </w:r>
      <w:proofErr w:type="spellStart"/>
      <w:r w:rsidRPr="002803A6">
        <w:rPr>
          <w:i/>
        </w:rPr>
        <w:t>Certificacion</w:t>
      </w:r>
      <w:proofErr w:type="spellEnd"/>
      <w:r w:rsidRPr="002803A6">
        <w:rPr>
          <w:i/>
        </w:rPr>
        <w:t xml:space="preserve"> de </w:t>
      </w:r>
      <w:proofErr w:type="spellStart"/>
      <w:r w:rsidRPr="002803A6">
        <w:rPr>
          <w:i/>
        </w:rPr>
        <w:t>Semillas</w:t>
      </w:r>
      <w:proofErr w:type="spellEnd"/>
      <w:r w:rsidRPr="002803A6">
        <w:t xml:space="preserve"> - zur Durchführung von DUS-Prüfungen für die Art </w:t>
      </w:r>
      <w:proofErr w:type="spellStart"/>
      <w:r w:rsidRPr="002803A6">
        <w:t>Carica</w:t>
      </w:r>
      <w:proofErr w:type="spellEnd"/>
      <w:r w:rsidRPr="002803A6">
        <w:t xml:space="preserve"> Papaya.</w:t>
      </w:r>
    </w:p>
    <w:p w:rsidR="00982C5C" w:rsidRPr="002803A6" w:rsidRDefault="00982C5C" w:rsidP="00982C5C">
      <w:pPr>
        <w:rPr>
          <w:rFonts w:cs="Arial"/>
        </w:rPr>
      </w:pPr>
    </w:p>
    <w:p w:rsidR="00982C5C" w:rsidRPr="002803A6" w:rsidRDefault="00982C5C" w:rsidP="00982C5C">
      <w:pPr>
        <w:rPr>
          <w:rFonts w:cs="Arial"/>
        </w:rPr>
      </w:pPr>
      <w:r w:rsidRPr="002803A6">
        <w:rPr>
          <w:u w:val="single"/>
        </w:rPr>
        <w:t>2.3</w:t>
      </w:r>
      <w:r w:rsidRPr="002803A6">
        <w:rPr>
          <w:u w:val="single"/>
        </w:rPr>
        <w:tab/>
        <w:t xml:space="preserve">Absichtserklärung (Memorandum </w:t>
      </w:r>
      <w:proofErr w:type="spellStart"/>
      <w:r w:rsidRPr="002803A6">
        <w:rPr>
          <w:u w:val="single"/>
        </w:rPr>
        <w:t>of</w:t>
      </w:r>
      <w:proofErr w:type="spellEnd"/>
      <w:r w:rsidRPr="002803A6">
        <w:rPr>
          <w:u w:val="single"/>
        </w:rPr>
        <w:t xml:space="preserve"> Understanding) mit Drittländern</w:t>
      </w:r>
      <w:r w:rsidRPr="002803A6">
        <w:t>:</w:t>
      </w:r>
    </w:p>
    <w:p w:rsidR="00982C5C" w:rsidRPr="002803A6" w:rsidRDefault="00982C5C" w:rsidP="00982C5C">
      <w:pPr>
        <w:rPr>
          <w:rFonts w:cs="Arial"/>
        </w:rPr>
      </w:pPr>
    </w:p>
    <w:p w:rsidR="00982C5C" w:rsidRPr="002803A6" w:rsidRDefault="00982C5C" w:rsidP="00982C5C">
      <w:pPr>
        <w:rPr>
          <w:rFonts w:cs="Arial"/>
        </w:rPr>
      </w:pPr>
      <w:r w:rsidRPr="002803A6">
        <w:t>Siehe unter 2.1, außerdem nichts zu berichten.</w:t>
      </w:r>
    </w:p>
    <w:p w:rsidR="00982C5C" w:rsidRPr="002803A6" w:rsidRDefault="00982C5C" w:rsidP="00982C5C">
      <w:pPr>
        <w:rPr>
          <w:rFonts w:cs="Arial"/>
          <w:u w:val="single"/>
        </w:rPr>
      </w:pPr>
    </w:p>
    <w:p w:rsidR="00982C5C" w:rsidRPr="002803A6" w:rsidRDefault="00982C5C" w:rsidP="00982C5C">
      <w:pPr>
        <w:rPr>
          <w:rFonts w:cs="Arial"/>
          <w:u w:val="single"/>
        </w:rPr>
      </w:pPr>
    </w:p>
    <w:p w:rsidR="00982C5C" w:rsidRPr="002803A6" w:rsidRDefault="00982C5C" w:rsidP="00982C5C">
      <w:pPr>
        <w:rPr>
          <w:rFonts w:cs="Arial"/>
          <w:u w:val="single"/>
        </w:rPr>
      </w:pPr>
      <w:r w:rsidRPr="002803A6">
        <w:t>3.</w:t>
      </w:r>
      <w:r w:rsidRPr="002803A6">
        <w:tab/>
      </w:r>
      <w:r w:rsidRPr="002803A6">
        <w:rPr>
          <w:u w:val="single"/>
        </w:rPr>
        <w:t xml:space="preserve">Lage auf dem Gebiet der Verwaltung </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r w:rsidRPr="002803A6">
        <w:t>3.1</w:t>
      </w:r>
      <w:r w:rsidRPr="002803A6">
        <w:tab/>
        <w:t>Änderungen in der Verwaltungsstruktur:  Keine Änderung.</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r w:rsidRPr="002803A6">
        <w:t>3.2</w:t>
      </w:r>
      <w:r w:rsidRPr="002803A6">
        <w:tab/>
        <w:t>Änderungen in den Verfahren und Systemen:  Keine Änderung.</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p>
    <w:p w:rsidR="00982C5C" w:rsidRPr="002803A6" w:rsidRDefault="00982C5C" w:rsidP="00982C5C">
      <w:pPr>
        <w:rPr>
          <w:rFonts w:cs="Arial"/>
          <w:u w:val="single"/>
        </w:rPr>
      </w:pPr>
      <w:r w:rsidRPr="002803A6">
        <w:t>4.</w:t>
      </w:r>
      <w:r w:rsidRPr="002803A6">
        <w:tab/>
      </w:r>
      <w:r w:rsidRPr="002803A6">
        <w:rPr>
          <w:u w:val="single"/>
        </w:rPr>
        <w:t>Lage auf dem Gebiet der Technik</w:t>
      </w:r>
    </w:p>
    <w:p w:rsidR="00982C5C" w:rsidRPr="002803A6" w:rsidRDefault="00982C5C" w:rsidP="00982C5C">
      <w:pPr>
        <w:rPr>
          <w:rFonts w:cs="Arial"/>
        </w:rPr>
      </w:pPr>
    </w:p>
    <w:p w:rsidR="00982C5C" w:rsidRPr="002803A6" w:rsidRDefault="00982C5C" w:rsidP="00982C5C">
      <w:pPr>
        <w:rPr>
          <w:rFonts w:cs="Arial"/>
        </w:rPr>
      </w:pPr>
      <w:r w:rsidRPr="002803A6">
        <w:t>4.1</w:t>
      </w:r>
      <w:r w:rsidRPr="002803A6">
        <w:tab/>
        <w:t>Informationen über die Funktionsweise des gemeinschaftlichen Sortenschutzes</w:t>
      </w:r>
    </w:p>
    <w:p w:rsidR="00982C5C" w:rsidRPr="002803A6" w:rsidRDefault="00982C5C" w:rsidP="00982C5C">
      <w:pPr>
        <w:rPr>
          <w:rFonts w:cs="Arial"/>
        </w:rPr>
      </w:pPr>
    </w:p>
    <w:p w:rsidR="00982C5C" w:rsidRPr="002803A6" w:rsidRDefault="00982C5C" w:rsidP="00982C5C">
      <w:pPr>
        <w:rPr>
          <w:rFonts w:cs="Arial"/>
          <w:bCs/>
        </w:rPr>
      </w:pPr>
      <w:r w:rsidRPr="002803A6">
        <w:t>a.</w:t>
      </w:r>
      <w:r w:rsidRPr="002803A6">
        <w:tab/>
        <w:t>Beziehungen zu den Prüfungsämtern</w:t>
      </w:r>
    </w:p>
    <w:p w:rsidR="00982C5C" w:rsidRPr="002803A6" w:rsidRDefault="00982C5C" w:rsidP="00982C5C">
      <w:pPr>
        <w:ind w:right="43"/>
        <w:rPr>
          <w:rFonts w:cs="Arial"/>
        </w:rPr>
      </w:pPr>
    </w:p>
    <w:p w:rsidR="00982C5C" w:rsidRPr="002803A6" w:rsidRDefault="00982C5C" w:rsidP="00982C5C">
      <w:pPr>
        <w:ind w:right="43"/>
        <w:rPr>
          <w:rFonts w:cs="Arial"/>
        </w:rPr>
      </w:pPr>
      <w:r w:rsidRPr="002803A6">
        <w:t xml:space="preserve">Im Dezember 2018 hielt das CPVO die 22. Jahrestagung mit seinen Prüfungsämtern ab, an der auch Vertreter vom Büro der UPOV, dem Schweizer Sortenschutzamt und den Züchterorganisationen (ESA, CIOPORA, </w:t>
      </w:r>
      <w:proofErr w:type="spellStart"/>
      <w:r w:rsidRPr="002803A6">
        <w:t>Plantum</w:t>
      </w:r>
      <w:proofErr w:type="spellEnd"/>
      <w:r w:rsidRPr="002803A6">
        <w:t xml:space="preserve"> und das Europäische Konsortium für ökologische Pflanzenzüchtung ECO-PB) teilnahmen. Die wichtigsten Diskussionsthemen waren:</w:t>
      </w:r>
    </w:p>
    <w:p w:rsidR="00982C5C" w:rsidRPr="002803A6" w:rsidRDefault="00982C5C" w:rsidP="00982C5C">
      <w:pPr>
        <w:ind w:right="43"/>
        <w:rPr>
          <w:rFonts w:cs="Arial"/>
        </w:rPr>
      </w:pPr>
    </w:p>
    <w:p w:rsidR="00982C5C" w:rsidRPr="002803A6" w:rsidRDefault="00982C5C" w:rsidP="00982C5C">
      <w:pPr>
        <w:numPr>
          <w:ilvl w:val="0"/>
          <w:numId w:val="18"/>
        </w:numPr>
        <w:autoSpaceDE w:val="0"/>
        <w:autoSpaceDN w:val="0"/>
        <w:adjustRightInd w:val="0"/>
        <w:rPr>
          <w:rFonts w:cs="Arial"/>
        </w:rPr>
      </w:pPr>
      <w:r w:rsidRPr="002803A6">
        <w:t>Abweichungen zwischen den Angaben in den Antragsunterlagen und dem Erscheinungsbild von Pflanzen in der Anbauprüfung;</w:t>
      </w:r>
    </w:p>
    <w:p w:rsidR="00982C5C" w:rsidRPr="002803A6" w:rsidRDefault="00982C5C" w:rsidP="00982C5C">
      <w:pPr>
        <w:numPr>
          <w:ilvl w:val="0"/>
          <w:numId w:val="18"/>
        </w:numPr>
        <w:autoSpaceDE w:val="0"/>
        <w:autoSpaceDN w:val="0"/>
        <w:adjustRightInd w:val="0"/>
        <w:rPr>
          <w:rFonts w:cs="Arial"/>
        </w:rPr>
      </w:pPr>
      <w:r w:rsidRPr="002803A6">
        <w:t xml:space="preserve">Das Aufnehmen von Fotos beim Besuch von DUS-Anbauprüfungen zum Zwecke der Inspektion und Probenentnahme </w:t>
      </w:r>
    </w:p>
    <w:p w:rsidR="00982C5C" w:rsidRPr="002803A6" w:rsidRDefault="00982C5C" w:rsidP="00982C5C">
      <w:pPr>
        <w:numPr>
          <w:ilvl w:val="0"/>
          <w:numId w:val="18"/>
        </w:numPr>
        <w:autoSpaceDE w:val="0"/>
        <w:autoSpaceDN w:val="0"/>
        <w:adjustRightInd w:val="0"/>
        <w:rPr>
          <w:rFonts w:cs="Arial"/>
        </w:rPr>
      </w:pPr>
      <w:r w:rsidRPr="002803A6">
        <w:t xml:space="preserve">Eine Überarbeitung des Verfahrens zur Anerkennung zusätzlicher Merkmale </w:t>
      </w:r>
      <w:bookmarkStart w:id="1" w:name="_Toc531848689"/>
    </w:p>
    <w:p w:rsidR="00982C5C" w:rsidRPr="002803A6" w:rsidRDefault="00982C5C" w:rsidP="00982C5C">
      <w:pPr>
        <w:numPr>
          <w:ilvl w:val="0"/>
          <w:numId w:val="18"/>
        </w:numPr>
        <w:autoSpaceDE w:val="0"/>
        <w:autoSpaceDN w:val="0"/>
        <w:adjustRightInd w:val="0"/>
        <w:rPr>
          <w:rFonts w:cs="Arial"/>
        </w:rPr>
      </w:pPr>
      <w:r w:rsidRPr="002803A6">
        <w:t>Status und Nutzung von Reservepflanzen auf dem Zierpflanzen- und Obstsektor</w:t>
      </w:r>
      <w:bookmarkEnd w:id="1"/>
      <w:r w:rsidRPr="002803A6">
        <w:t>;</w:t>
      </w:r>
    </w:p>
    <w:p w:rsidR="00982C5C" w:rsidRPr="002803A6" w:rsidRDefault="00982C5C" w:rsidP="00982C5C">
      <w:pPr>
        <w:numPr>
          <w:ilvl w:val="0"/>
          <w:numId w:val="18"/>
        </w:numPr>
        <w:autoSpaceDE w:val="0"/>
        <w:autoSpaceDN w:val="0"/>
        <w:adjustRightInd w:val="0"/>
        <w:rPr>
          <w:rFonts w:cs="Arial"/>
        </w:rPr>
      </w:pPr>
      <w:bookmarkStart w:id="2" w:name="_Toc531848690"/>
      <w:r w:rsidRPr="002803A6">
        <w:t>Erneute Einreichung von Saatgutproben</w:t>
      </w:r>
      <w:bookmarkEnd w:id="2"/>
      <w:r w:rsidRPr="002803A6">
        <w:t xml:space="preserve">; </w:t>
      </w:r>
    </w:p>
    <w:p w:rsidR="00982C5C" w:rsidRPr="002803A6" w:rsidRDefault="00982C5C" w:rsidP="00982C5C">
      <w:pPr>
        <w:numPr>
          <w:ilvl w:val="0"/>
          <w:numId w:val="18"/>
        </w:numPr>
        <w:autoSpaceDE w:val="0"/>
        <w:autoSpaceDN w:val="0"/>
        <w:adjustRightInd w:val="0"/>
        <w:rPr>
          <w:rFonts w:cs="Arial"/>
        </w:rPr>
      </w:pPr>
      <w:bookmarkStart w:id="3" w:name="_Toc531848691"/>
      <w:r w:rsidRPr="002803A6">
        <w:t>Beschaffung von Vergleichssorten für die DUS-Prüfung und Überarbeitung des Verfahrens für die technische Verifizierung</w:t>
      </w:r>
      <w:bookmarkEnd w:id="3"/>
      <w:r w:rsidRPr="002803A6">
        <w:t>;</w:t>
      </w:r>
    </w:p>
    <w:p w:rsidR="00982C5C" w:rsidRPr="002803A6" w:rsidRDefault="00982C5C" w:rsidP="00982C5C">
      <w:pPr>
        <w:numPr>
          <w:ilvl w:val="0"/>
          <w:numId w:val="18"/>
        </w:numPr>
        <w:autoSpaceDE w:val="0"/>
        <w:autoSpaceDN w:val="0"/>
        <w:adjustRightInd w:val="0"/>
        <w:rPr>
          <w:rFonts w:cs="Arial"/>
        </w:rPr>
      </w:pPr>
      <w:r w:rsidRPr="002803A6">
        <w:lastRenderedPageBreak/>
        <w:t xml:space="preserve">Mögliche Änderung der CPVO-Politik zum Status von Pflanzenmaterial, das für DUS-Prüfungszwecke verwendet wird (zum Zwecke der Identitätsprüfung bei Marktkontrollen); </w:t>
      </w:r>
    </w:p>
    <w:p w:rsidR="00982C5C" w:rsidRPr="002803A6" w:rsidRDefault="00982C5C" w:rsidP="00982C5C">
      <w:pPr>
        <w:numPr>
          <w:ilvl w:val="0"/>
          <w:numId w:val="18"/>
        </w:numPr>
        <w:autoSpaceDE w:val="0"/>
        <w:autoSpaceDN w:val="0"/>
        <w:adjustRightInd w:val="0"/>
        <w:rPr>
          <w:rFonts w:cs="Arial"/>
        </w:rPr>
      </w:pPr>
      <w:r w:rsidRPr="002803A6">
        <w:t xml:space="preserve">Technische Schulungen für DUS-Prüfer; </w:t>
      </w:r>
    </w:p>
    <w:p w:rsidR="00982C5C" w:rsidRPr="002803A6" w:rsidRDefault="00982C5C" w:rsidP="00982C5C">
      <w:pPr>
        <w:numPr>
          <w:ilvl w:val="0"/>
          <w:numId w:val="18"/>
        </w:numPr>
        <w:autoSpaceDE w:val="0"/>
        <w:autoSpaceDN w:val="0"/>
        <w:adjustRightInd w:val="0"/>
        <w:rPr>
          <w:rFonts w:cs="Arial"/>
        </w:rPr>
      </w:pPr>
      <w:bookmarkStart w:id="4" w:name="_Toc531848697"/>
      <w:r w:rsidRPr="002803A6">
        <w:t>Zusammenarbeit mit EUIPO</w:t>
      </w:r>
      <w:bookmarkEnd w:id="4"/>
      <w:r w:rsidRPr="002803A6">
        <w:t>;</w:t>
      </w:r>
    </w:p>
    <w:p w:rsidR="00982C5C" w:rsidRPr="002803A6" w:rsidRDefault="00982C5C" w:rsidP="00982C5C">
      <w:pPr>
        <w:numPr>
          <w:ilvl w:val="0"/>
          <w:numId w:val="18"/>
        </w:numPr>
        <w:autoSpaceDE w:val="0"/>
        <w:autoSpaceDN w:val="0"/>
        <w:adjustRightInd w:val="0"/>
        <w:rPr>
          <w:rFonts w:cs="Arial"/>
        </w:rPr>
      </w:pPr>
      <w:r w:rsidRPr="002803A6">
        <w:t>Zusammenarbeit mit dem EPA;</w:t>
      </w:r>
    </w:p>
    <w:p w:rsidR="00982C5C" w:rsidRPr="002803A6" w:rsidRDefault="00982C5C" w:rsidP="00982C5C">
      <w:pPr>
        <w:numPr>
          <w:ilvl w:val="0"/>
          <w:numId w:val="18"/>
        </w:numPr>
        <w:autoSpaceDE w:val="0"/>
        <w:autoSpaceDN w:val="0"/>
        <w:adjustRightInd w:val="0"/>
        <w:rPr>
          <w:rFonts w:cs="Arial"/>
        </w:rPr>
      </w:pPr>
      <w:r w:rsidRPr="002803A6">
        <w:t>Aktueller Stand der Rechtsprechung der CPVO-Beschwerdekammer, des Gerichts und des Gerichtshofs;</w:t>
      </w:r>
    </w:p>
    <w:p w:rsidR="00982C5C" w:rsidRPr="002803A6" w:rsidRDefault="00982C5C" w:rsidP="00982C5C">
      <w:pPr>
        <w:numPr>
          <w:ilvl w:val="0"/>
          <w:numId w:val="18"/>
        </w:numPr>
        <w:autoSpaceDE w:val="0"/>
        <w:autoSpaceDN w:val="0"/>
        <w:adjustRightInd w:val="0"/>
        <w:rPr>
          <w:rFonts w:cs="Arial"/>
        </w:rPr>
      </w:pPr>
      <w:r w:rsidRPr="002803A6">
        <w:t xml:space="preserve">Aktuelles zu Forschung und Entwicklung. </w:t>
      </w:r>
    </w:p>
    <w:p w:rsidR="00982C5C" w:rsidRPr="002803A6" w:rsidRDefault="00982C5C" w:rsidP="00982C5C"/>
    <w:p w:rsidR="00982C5C" w:rsidRPr="002803A6" w:rsidRDefault="00982C5C" w:rsidP="00982C5C">
      <w:pPr>
        <w:keepNext/>
        <w:rPr>
          <w:rFonts w:cs="Arial"/>
        </w:rPr>
      </w:pPr>
      <w:r w:rsidRPr="002803A6">
        <w:t>b.</w:t>
      </w:r>
      <w:r w:rsidRPr="002803A6">
        <w:tab/>
        <w:t>Ausarbeitung von CPVO-Protokollen</w:t>
      </w:r>
    </w:p>
    <w:p w:rsidR="00982C5C" w:rsidRPr="002803A6" w:rsidRDefault="00982C5C" w:rsidP="00982C5C">
      <w:pPr>
        <w:keepNext/>
        <w:ind w:right="43"/>
        <w:rPr>
          <w:rFonts w:cs="Arial"/>
        </w:rPr>
      </w:pPr>
    </w:p>
    <w:p w:rsidR="00982C5C" w:rsidRPr="002803A6" w:rsidRDefault="00982C5C" w:rsidP="00982C5C">
      <w:pPr>
        <w:ind w:right="43"/>
        <w:rPr>
          <w:rFonts w:cs="Arial"/>
        </w:rPr>
      </w:pPr>
      <w:r w:rsidRPr="002803A6">
        <w:t>In den Jahren 2018/2019 wurden Sachverständige von Prüfungsämtern der EU-Mitgliedstaaten um Teilnahme an der Ausarbeitung oder Überprüfung technischer Protokolle für die DUS-Prüfung ersucht, die anschließend entweder vom Verwaltungsrat (VR) des CPVO gebilligt wurden oder voraussichtlich im Jahr 2019 gebilligt werden. Folgende Sachverständigentagungen wurden abgehalten, um folgende technische Protokolle zu erörtern:</w:t>
      </w:r>
    </w:p>
    <w:p w:rsidR="00982C5C" w:rsidRPr="002803A6" w:rsidRDefault="00982C5C" w:rsidP="00982C5C">
      <w:pPr>
        <w:ind w:right="43"/>
        <w:rPr>
          <w:rFonts w:cs="Arial"/>
        </w:rPr>
      </w:pPr>
    </w:p>
    <w:p w:rsidR="00982C5C" w:rsidRPr="002803A6" w:rsidRDefault="00982C5C" w:rsidP="00982C5C">
      <w:pPr>
        <w:numPr>
          <w:ilvl w:val="0"/>
          <w:numId w:val="13"/>
        </w:numPr>
        <w:ind w:right="43"/>
        <w:rPr>
          <w:rFonts w:cs="Arial"/>
        </w:rPr>
      </w:pPr>
      <w:r w:rsidRPr="002803A6">
        <w:t>Landwirtschaftliche Arten: Weizen, Gerste, Roggengras, Kletterbohnen, Mohrenhirse, Weißer Senf, Kartoffel;</w:t>
      </w:r>
    </w:p>
    <w:p w:rsidR="00982C5C" w:rsidRPr="002803A6" w:rsidRDefault="00982C5C" w:rsidP="00982C5C">
      <w:pPr>
        <w:numPr>
          <w:ilvl w:val="0"/>
          <w:numId w:val="13"/>
        </w:numPr>
        <w:ind w:right="4"/>
        <w:rPr>
          <w:rFonts w:cs="Arial"/>
        </w:rPr>
      </w:pPr>
      <w:r w:rsidRPr="002803A6">
        <w:t xml:space="preserve">Gemüsearten: Salat, Blattzichorie, </w:t>
      </w:r>
      <w:proofErr w:type="spellStart"/>
      <w:r w:rsidRPr="002803A6">
        <w:t>Wurzelzikorie</w:t>
      </w:r>
      <w:proofErr w:type="spellEnd"/>
      <w:r w:rsidRPr="002803A6">
        <w:t>, Tomate, Tomatenunterlagen;</w:t>
      </w:r>
    </w:p>
    <w:p w:rsidR="00982C5C" w:rsidRPr="002803A6" w:rsidRDefault="00982C5C" w:rsidP="00982C5C">
      <w:pPr>
        <w:numPr>
          <w:ilvl w:val="0"/>
          <w:numId w:val="13"/>
        </w:numPr>
        <w:ind w:right="4"/>
        <w:rPr>
          <w:rFonts w:cs="Arial"/>
        </w:rPr>
      </w:pPr>
      <w:r w:rsidRPr="002803A6">
        <w:t xml:space="preserve">Zierpflanzen: keine Protokolle; </w:t>
      </w:r>
    </w:p>
    <w:p w:rsidR="00982C5C" w:rsidRPr="002803A6" w:rsidRDefault="00982C5C" w:rsidP="00982C5C">
      <w:pPr>
        <w:numPr>
          <w:ilvl w:val="0"/>
          <w:numId w:val="13"/>
        </w:numPr>
        <w:rPr>
          <w:rFonts w:cs="Arial"/>
        </w:rPr>
      </w:pPr>
      <w:r w:rsidRPr="002803A6">
        <w:t>Obstarten: Japanische Pflaume.</w:t>
      </w:r>
    </w:p>
    <w:p w:rsidR="00982C5C" w:rsidRPr="002803A6" w:rsidRDefault="00982C5C" w:rsidP="00982C5C">
      <w:pPr>
        <w:rPr>
          <w:rFonts w:cs="Arial"/>
        </w:rPr>
      </w:pPr>
    </w:p>
    <w:p w:rsidR="00982C5C" w:rsidRPr="002803A6" w:rsidRDefault="00982C5C" w:rsidP="00982C5C">
      <w:pPr>
        <w:rPr>
          <w:rFonts w:cs="Arial"/>
        </w:rPr>
      </w:pPr>
      <w:r w:rsidRPr="002803A6">
        <w:t>c.</w:t>
      </w:r>
      <w:r w:rsidRPr="002803A6">
        <w:tab/>
        <w:t>Weiterentwicklung des CPVO-</w:t>
      </w:r>
      <w:proofErr w:type="spellStart"/>
      <w:r w:rsidRPr="002803A6">
        <w:t>Variety</w:t>
      </w:r>
      <w:proofErr w:type="spellEnd"/>
      <w:r w:rsidRPr="002803A6">
        <w:t xml:space="preserve">-Finders </w:t>
      </w:r>
    </w:p>
    <w:p w:rsidR="00982C5C" w:rsidRPr="002803A6" w:rsidRDefault="00982C5C" w:rsidP="00982C5C">
      <w:pPr>
        <w:widowControl w:val="0"/>
        <w:autoSpaceDE w:val="0"/>
        <w:autoSpaceDN w:val="0"/>
        <w:adjustRightInd w:val="0"/>
        <w:textAlignment w:val="center"/>
        <w:rPr>
          <w:rFonts w:cs="Arial"/>
        </w:rPr>
      </w:pPr>
    </w:p>
    <w:p w:rsidR="00982C5C" w:rsidRPr="002803A6" w:rsidRDefault="00982C5C" w:rsidP="00982C5C">
      <w:pPr>
        <w:widowControl w:val="0"/>
        <w:autoSpaceDE w:val="0"/>
        <w:autoSpaceDN w:val="0"/>
        <w:adjustRightInd w:val="0"/>
        <w:textAlignment w:val="center"/>
        <w:rPr>
          <w:rFonts w:cs="Arial"/>
        </w:rPr>
      </w:pPr>
      <w:r w:rsidRPr="002803A6">
        <w:t>Die vom CPVO seit 2005 entwickelte und unterhaltene webbasierte Datenbank CPVO-</w:t>
      </w:r>
      <w:proofErr w:type="spellStart"/>
      <w:r w:rsidRPr="002803A6">
        <w:t>Variety</w:t>
      </w:r>
      <w:proofErr w:type="spellEnd"/>
      <w:r w:rsidRPr="002803A6">
        <w:t>-Finder enthält Informationen zu Sortenregistern aus mehr als 60 Ländern mit einem allgemeinen Suchinstrument.</w:t>
      </w:r>
      <w:r w:rsidRPr="002803A6">
        <w:rPr>
          <w:color w:val="222222"/>
        </w:rPr>
        <w:t xml:space="preserve"> Sie enthält außerdem ein Suchinstrument für Ähnlichkeiten zur Prüfung der Eignung von Bezeichnungen.</w:t>
      </w:r>
    </w:p>
    <w:p w:rsidR="00982C5C" w:rsidRPr="002803A6" w:rsidRDefault="00982C5C" w:rsidP="00982C5C">
      <w:pPr>
        <w:rPr>
          <w:rFonts w:cs="Arial"/>
        </w:rPr>
      </w:pPr>
    </w:p>
    <w:p w:rsidR="00982C5C" w:rsidRPr="002803A6" w:rsidRDefault="00982C5C" w:rsidP="00982C5C">
      <w:pPr>
        <w:rPr>
          <w:rFonts w:cs="Arial"/>
        </w:rPr>
      </w:pPr>
      <w:r w:rsidRPr="002803A6">
        <w:t xml:space="preserve">Das allgemeine Prinzip besteht in der Aktualisierung der Datenbank, sobald Daten offiziell veröffentlicht werden. Es wurde eine Absichtserklärung mit der UPOV unterzeichnet, um die Aufgabe der Datenerhebung aus EU- und nicht EU-Ländern zu teilen und einen regelmäßigen Austausch zu gewährleisten. </w:t>
      </w:r>
    </w:p>
    <w:p w:rsidR="00982C5C" w:rsidRPr="002803A6" w:rsidRDefault="00982C5C" w:rsidP="00982C5C">
      <w:pPr>
        <w:widowControl w:val="0"/>
        <w:autoSpaceDE w:val="0"/>
        <w:autoSpaceDN w:val="0"/>
        <w:adjustRightInd w:val="0"/>
        <w:textAlignment w:val="center"/>
        <w:rPr>
          <w:rFonts w:cs="Arial"/>
          <w:color w:val="000000"/>
        </w:rPr>
      </w:pPr>
    </w:p>
    <w:p w:rsidR="00982C5C" w:rsidRPr="002803A6" w:rsidRDefault="00982C5C" w:rsidP="00982C5C">
      <w:pPr>
        <w:widowControl w:val="0"/>
        <w:autoSpaceDE w:val="0"/>
        <w:autoSpaceDN w:val="0"/>
        <w:adjustRightInd w:val="0"/>
        <w:textAlignment w:val="center"/>
        <w:rPr>
          <w:rFonts w:cs="Arial"/>
        </w:rPr>
      </w:pPr>
      <w:r w:rsidRPr="002803A6">
        <w:t xml:space="preserve">Insgesamt wurden bisher mehr als 1 Million Einträge aus EU- und UPOV-Mitgliedsstaaten in den </w:t>
      </w:r>
      <w:proofErr w:type="spellStart"/>
      <w:r w:rsidRPr="002803A6">
        <w:t>Variety</w:t>
      </w:r>
      <w:proofErr w:type="spellEnd"/>
      <w:r w:rsidRPr="002803A6">
        <w:t xml:space="preserve">-Finder aufgenommen. </w:t>
      </w:r>
    </w:p>
    <w:p w:rsidR="00982C5C" w:rsidRPr="002803A6" w:rsidRDefault="00982C5C" w:rsidP="00982C5C">
      <w:pPr>
        <w:widowControl w:val="0"/>
        <w:autoSpaceDE w:val="0"/>
        <w:autoSpaceDN w:val="0"/>
        <w:adjustRightInd w:val="0"/>
        <w:textAlignment w:val="center"/>
        <w:rPr>
          <w:rFonts w:cs="Arial"/>
        </w:rPr>
      </w:pPr>
    </w:p>
    <w:p w:rsidR="00982C5C" w:rsidRPr="002803A6" w:rsidRDefault="00982C5C" w:rsidP="00982C5C">
      <w:pPr>
        <w:widowControl w:val="0"/>
        <w:autoSpaceDE w:val="0"/>
        <w:autoSpaceDN w:val="0"/>
        <w:adjustRightInd w:val="0"/>
        <w:textAlignment w:val="center"/>
        <w:rPr>
          <w:rFonts w:cs="Arial"/>
        </w:rPr>
      </w:pPr>
      <w:r w:rsidRPr="002803A6">
        <w:t>Die unten stehende Graphik gibt einen Überblick über den Inhalt der Datenbank mit der Anzahl von Einträgen pro Eintragungstyp.</w:t>
      </w:r>
    </w:p>
    <w:p w:rsidR="00982C5C" w:rsidRPr="002803A6" w:rsidRDefault="00982C5C" w:rsidP="00982C5C">
      <w:pPr>
        <w:widowControl w:val="0"/>
        <w:autoSpaceDE w:val="0"/>
        <w:autoSpaceDN w:val="0"/>
        <w:adjustRightInd w:val="0"/>
        <w:textAlignment w:val="center"/>
        <w:rPr>
          <w:rFonts w:cs="Arial"/>
        </w:rPr>
      </w:pPr>
    </w:p>
    <w:p w:rsidR="00982C5C" w:rsidRPr="002803A6" w:rsidRDefault="00982C5C" w:rsidP="00982C5C">
      <w:pPr>
        <w:widowControl w:val="0"/>
        <w:autoSpaceDE w:val="0"/>
        <w:autoSpaceDN w:val="0"/>
        <w:adjustRightInd w:val="0"/>
        <w:textAlignment w:val="center"/>
        <w:rPr>
          <w:rFonts w:cs="Arial"/>
        </w:rPr>
      </w:pPr>
      <w:r w:rsidRPr="002803A6">
        <w:rPr>
          <w:noProof/>
          <w:lang w:val="en-US"/>
        </w:rPr>
        <w:lastRenderedPageBreak/>
        <w:drawing>
          <wp:inline distT="0" distB="0" distL="0" distR="0" wp14:anchorId="5861DF05" wp14:editId="3DB5AA98">
            <wp:extent cx="5905500" cy="424815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r="1274" b="223"/>
                    <a:stretch>
                      <a:fillRect/>
                    </a:stretch>
                  </pic:blipFill>
                  <pic:spPr bwMode="auto">
                    <a:xfrm>
                      <a:off x="0" y="0"/>
                      <a:ext cx="5905500" cy="4248150"/>
                    </a:xfrm>
                    <a:prstGeom prst="rect">
                      <a:avLst/>
                    </a:prstGeom>
                    <a:noFill/>
                    <a:ln w="3175" cmpd="sng">
                      <a:solidFill>
                        <a:srgbClr val="000000"/>
                      </a:solidFill>
                      <a:miter lim="800000"/>
                      <a:headEnd/>
                      <a:tailEnd/>
                    </a:ln>
                    <a:effectLst/>
                  </pic:spPr>
                </pic:pic>
              </a:graphicData>
            </a:graphic>
          </wp:inline>
        </w:drawing>
      </w:r>
    </w:p>
    <w:p w:rsidR="00982C5C" w:rsidRPr="002803A6" w:rsidRDefault="00982C5C" w:rsidP="00982C5C">
      <w:pPr>
        <w:tabs>
          <w:tab w:val="left" w:pos="142"/>
        </w:tabs>
        <w:rPr>
          <w:rFonts w:cs="Arial"/>
        </w:rPr>
      </w:pPr>
    </w:p>
    <w:p w:rsidR="00982C5C" w:rsidRPr="002803A6" w:rsidRDefault="00982C5C" w:rsidP="00982C5C">
      <w:pPr>
        <w:rPr>
          <w:rFonts w:cs="Arial"/>
        </w:rPr>
      </w:pPr>
    </w:p>
    <w:p w:rsidR="00982C5C" w:rsidRPr="002803A6" w:rsidRDefault="00982C5C" w:rsidP="00982C5C">
      <w:pPr>
        <w:keepNext/>
        <w:tabs>
          <w:tab w:val="left" w:pos="142"/>
        </w:tabs>
        <w:autoSpaceDE w:val="0"/>
        <w:autoSpaceDN w:val="0"/>
        <w:adjustRightInd w:val="0"/>
        <w:rPr>
          <w:rFonts w:cs="Arial"/>
        </w:rPr>
      </w:pPr>
      <w:r w:rsidRPr="002803A6">
        <w:t xml:space="preserve">d. </w:t>
      </w:r>
      <w:r w:rsidRPr="002803A6">
        <w:tab/>
        <w:t>Zusammenarbeit mit EU-Mitgliedstaaten bei der Prüfung von Bezeichnungen</w:t>
      </w:r>
    </w:p>
    <w:p w:rsidR="00982C5C" w:rsidRPr="002803A6" w:rsidRDefault="00982C5C" w:rsidP="00982C5C">
      <w:pPr>
        <w:keepNext/>
        <w:tabs>
          <w:tab w:val="left" w:pos="142"/>
        </w:tabs>
        <w:autoSpaceDE w:val="0"/>
        <w:autoSpaceDN w:val="0"/>
        <w:adjustRightInd w:val="0"/>
        <w:rPr>
          <w:rFonts w:cs="Arial"/>
        </w:rPr>
      </w:pPr>
    </w:p>
    <w:p w:rsidR="00982C5C" w:rsidRPr="002803A6" w:rsidRDefault="00982C5C" w:rsidP="00982C5C">
      <w:pPr>
        <w:keepNext/>
        <w:tabs>
          <w:tab w:val="left" w:pos="142"/>
        </w:tabs>
        <w:autoSpaceDE w:val="0"/>
        <w:autoSpaceDN w:val="0"/>
        <w:adjustRightInd w:val="0"/>
        <w:jc w:val="center"/>
        <w:rPr>
          <w:rFonts w:cs="Arial"/>
        </w:rPr>
      </w:pPr>
      <w:r w:rsidRPr="002803A6">
        <w:t>Anzahl an eingegangenen Ersuchen um Stellungnahme und mitwirkenden nationalen Behörden (2011-2018)</w:t>
      </w:r>
    </w:p>
    <w:p w:rsidR="00982C5C" w:rsidRPr="002803A6" w:rsidRDefault="00982C5C" w:rsidP="00982C5C">
      <w:pPr>
        <w:keepNext/>
        <w:tabs>
          <w:tab w:val="left" w:pos="142"/>
        </w:tabs>
        <w:autoSpaceDE w:val="0"/>
        <w:autoSpaceDN w:val="0"/>
        <w:adjustRightInd w:val="0"/>
        <w:jc w:val="center"/>
        <w:rPr>
          <w:rFonts w:cs="Arial"/>
        </w:rPr>
      </w:pPr>
    </w:p>
    <w:p w:rsidR="00982C5C" w:rsidRPr="002803A6" w:rsidRDefault="00982C5C" w:rsidP="00982C5C">
      <w:pPr>
        <w:tabs>
          <w:tab w:val="left" w:pos="142"/>
        </w:tabs>
        <w:autoSpaceDE w:val="0"/>
        <w:autoSpaceDN w:val="0"/>
        <w:adjustRightInd w:val="0"/>
        <w:rPr>
          <w:rFonts w:cs="Arial"/>
        </w:rPr>
      </w:pPr>
      <w:r w:rsidRPr="002803A6">
        <w:rPr>
          <w:noProof/>
          <w:lang w:val="en-US"/>
        </w:rPr>
        <w:drawing>
          <wp:inline distT="0" distB="0" distL="0" distR="0" wp14:anchorId="7D5E52A5" wp14:editId="26958472">
            <wp:extent cx="6408420" cy="3451860"/>
            <wp:effectExtent l="0" t="0" r="0" b="0"/>
            <wp:docPr id="3" name="Grafik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8420" cy="3451860"/>
                    </a:xfrm>
                    <a:prstGeom prst="rect">
                      <a:avLst/>
                    </a:prstGeom>
                    <a:noFill/>
                    <a:ln>
                      <a:noFill/>
                    </a:ln>
                  </pic:spPr>
                </pic:pic>
              </a:graphicData>
            </a:graphic>
          </wp:inline>
        </w:drawing>
      </w:r>
    </w:p>
    <w:p w:rsidR="00982C5C" w:rsidRPr="002803A6" w:rsidRDefault="00982C5C" w:rsidP="00982C5C">
      <w:pPr>
        <w:tabs>
          <w:tab w:val="left" w:pos="142"/>
        </w:tabs>
        <w:autoSpaceDE w:val="0"/>
        <w:autoSpaceDN w:val="0"/>
        <w:adjustRightInd w:val="0"/>
        <w:rPr>
          <w:rFonts w:eastAsia="MyriadPro-Light" w:cs="Arial"/>
        </w:rPr>
      </w:pPr>
    </w:p>
    <w:p w:rsidR="00982C5C" w:rsidRPr="002803A6" w:rsidRDefault="00982C5C" w:rsidP="00982C5C">
      <w:pPr>
        <w:tabs>
          <w:tab w:val="left" w:pos="142"/>
        </w:tabs>
        <w:autoSpaceDE w:val="0"/>
        <w:autoSpaceDN w:val="0"/>
        <w:adjustRightInd w:val="0"/>
        <w:rPr>
          <w:rFonts w:eastAsia="MyriadPro-Light" w:cs="Arial"/>
        </w:rPr>
      </w:pPr>
      <w:r w:rsidRPr="002803A6">
        <w:t xml:space="preserve">Das Jahr 2018 übertraf das Rekordniveau von 2017 mit fast 7 750 angeforderten Stellungnahmen. Die aktive Nutzung des Dienstes erleichtert den Austausch von Informationen zwischen EU-Mitgliedsstaaten, dem CPVO und anderen nationalen Behörden. Diese Zusammenarbeit trägt dazu bei, die Klarheit, die Transparenz und </w:t>
      </w:r>
      <w:r w:rsidRPr="002803A6">
        <w:lastRenderedPageBreak/>
        <w:t xml:space="preserve">die Qualität der in dem </w:t>
      </w:r>
      <w:proofErr w:type="spellStart"/>
      <w:r w:rsidRPr="002803A6">
        <w:t>Variety</w:t>
      </w:r>
      <w:proofErr w:type="spellEnd"/>
      <w:r w:rsidRPr="002803A6">
        <w:t>-Finder verfügbaren Informationen zu verbessern und strebt eine konvergente Auslegung der EU-Regelungen für Sortenbezeichnungen an.</w:t>
      </w:r>
    </w:p>
    <w:p w:rsidR="00982C5C" w:rsidRPr="002803A6" w:rsidRDefault="00982C5C" w:rsidP="00982C5C">
      <w:pPr>
        <w:rPr>
          <w:rFonts w:cs="Arial"/>
        </w:rPr>
      </w:pPr>
    </w:p>
    <w:p w:rsidR="00982C5C" w:rsidRPr="002803A6" w:rsidRDefault="00982C5C" w:rsidP="00982C5C">
      <w:pPr>
        <w:ind w:left="720" w:hanging="720"/>
        <w:rPr>
          <w:rFonts w:cs="Arial"/>
        </w:rPr>
      </w:pPr>
      <w:r w:rsidRPr="002803A6">
        <w:t>4.2</w:t>
      </w:r>
      <w:r w:rsidRPr="002803A6">
        <w:tab/>
        <w:t>Tagung mit Pflanzensachverständigen</w:t>
      </w:r>
    </w:p>
    <w:p w:rsidR="00982C5C" w:rsidRPr="002803A6" w:rsidRDefault="00982C5C" w:rsidP="00982C5C">
      <w:pPr>
        <w:autoSpaceDE w:val="0"/>
        <w:autoSpaceDN w:val="0"/>
        <w:adjustRightInd w:val="0"/>
        <w:rPr>
          <w:rFonts w:cs="Arial"/>
          <w:color w:val="000000"/>
          <w:lang w:eastAsia="en-GB"/>
        </w:rPr>
      </w:pPr>
    </w:p>
    <w:p w:rsidR="00982C5C" w:rsidRPr="002803A6" w:rsidRDefault="00982C5C" w:rsidP="00982C5C">
      <w:r w:rsidRPr="002803A6">
        <w:t>Am 5. und 6. September 2018 wurde eine Tagung mit Sachverständigen für landwirtschaftliche Pflanzen abgehalten, um folgende Angelegenheiten zu erörtern:</w:t>
      </w:r>
    </w:p>
    <w:p w:rsidR="00982C5C" w:rsidRPr="002803A6" w:rsidRDefault="00982C5C" w:rsidP="00982C5C">
      <w:pPr>
        <w:rPr>
          <w:lang w:eastAsia="en-GB"/>
        </w:rPr>
      </w:pPr>
    </w:p>
    <w:p w:rsidR="00982C5C" w:rsidRPr="002803A6" w:rsidRDefault="00982C5C" w:rsidP="00982C5C">
      <w:pPr>
        <w:numPr>
          <w:ilvl w:val="0"/>
          <w:numId w:val="14"/>
        </w:numPr>
        <w:autoSpaceDE w:val="0"/>
        <w:autoSpaceDN w:val="0"/>
        <w:adjustRightInd w:val="0"/>
        <w:ind w:left="782" w:hanging="357"/>
        <w:rPr>
          <w:rFonts w:cs="Arial"/>
          <w:color w:val="000000"/>
        </w:rPr>
      </w:pPr>
      <w:r w:rsidRPr="002803A6">
        <w:rPr>
          <w:color w:val="000000"/>
        </w:rPr>
        <w:t xml:space="preserve">Überarbeitungen von mehreren technischen Protokollen und neue technische Protokolle; </w:t>
      </w:r>
    </w:p>
    <w:p w:rsidR="00982C5C" w:rsidRPr="002803A6" w:rsidRDefault="00982C5C" w:rsidP="00982C5C">
      <w:pPr>
        <w:numPr>
          <w:ilvl w:val="0"/>
          <w:numId w:val="14"/>
        </w:numPr>
        <w:autoSpaceDE w:val="0"/>
        <w:autoSpaceDN w:val="0"/>
        <w:adjustRightInd w:val="0"/>
        <w:ind w:left="782" w:hanging="357"/>
        <w:rPr>
          <w:rFonts w:cs="Arial"/>
          <w:color w:val="000000"/>
        </w:rPr>
      </w:pPr>
      <w:r w:rsidRPr="002803A6">
        <w:rPr>
          <w:color w:val="000000"/>
        </w:rPr>
        <w:t>Mögliche neue Merkmale bei der DUS-Prüfung von Raps;</w:t>
      </w:r>
    </w:p>
    <w:p w:rsidR="00982C5C" w:rsidRPr="002803A6" w:rsidRDefault="00982C5C" w:rsidP="00982C5C">
      <w:pPr>
        <w:numPr>
          <w:ilvl w:val="0"/>
          <w:numId w:val="14"/>
        </w:numPr>
        <w:autoSpaceDE w:val="0"/>
        <w:autoSpaceDN w:val="0"/>
        <w:adjustRightInd w:val="0"/>
        <w:ind w:left="782" w:hanging="357"/>
        <w:rPr>
          <w:rFonts w:cs="Arial"/>
          <w:color w:val="000000"/>
        </w:rPr>
      </w:pPr>
      <w:r w:rsidRPr="002803A6">
        <w:rPr>
          <w:color w:val="000000"/>
        </w:rPr>
        <w:t xml:space="preserve">Homogenitätsstandard bei </w:t>
      </w:r>
      <w:proofErr w:type="spellStart"/>
      <w:r w:rsidRPr="002803A6">
        <w:rPr>
          <w:color w:val="000000"/>
        </w:rPr>
        <w:t>Triticale</w:t>
      </w:r>
      <w:proofErr w:type="spellEnd"/>
      <w:r w:rsidRPr="002803A6">
        <w:rPr>
          <w:color w:val="000000"/>
        </w:rPr>
        <w:t xml:space="preserve">; </w:t>
      </w:r>
    </w:p>
    <w:p w:rsidR="00982C5C" w:rsidRPr="002803A6" w:rsidRDefault="00982C5C" w:rsidP="00982C5C">
      <w:pPr>
        <w:numPr>
          <w:ilvl w:val="0"/>
          <w:numId w:val="14"/>
        </w:numPr>
        <w:autoSpaceDE w:val="0"/>
        <w:autoSpaceDN w:val="0"/>
        <w:adjustRightInd w:val="0"/>
        <w:ind w:left="782" w:hanging="357"/>
        <w:rPr>
          <w:rFonts w:cs="Arial"/>
          <w:color w:val="000000"/>
        </w:rPr>
      </w:pPr>
      <w:r w:rsidRPr="002803A6">
        <w:rPr>
          <w:color w:val="000000"/>
        </w:rPr>
        <w:t>Erneute Einreichung von Saatgutproben: Grundsätze;</w:t>
      </w:r>
    </w:p>
    <w:p w:rsidR="00982C5C" w:rsidRPr="002803A6" w:rsidRDefault="00982C5C" w:rsidP="00982C5C">
      <w:pPr>
        <w:numPr>
          <w:ilvl w:val="0"/>
          <w:numId w:val="14"/>
        </w:numPr>
        <w:autoSpaceDE w:val="0"/>
        <w:autoSpaceDN w:val="0"/>
        <w:adjustRightInd w:val="0"/>
        <w:ind w:left="782" w:hanging="357"/>
        <w:rPr>
          <w:rFonts w:cs="Arial"/>
          <w:color w:val="000000"/>
        </w:rPr>
      </w:pPr>
      <w:r w:rsidRPr="002803A6">
        <w:rPr>
          <w:color w:val="000000"/>
        </w:rPr>
        <w:t>„Nachfolgende“ Wachstumsperioden in mehrjährigen Prüfungen;</w:t>
      </w:r>
    </w:p>
    <w:p w:rsidR="00982C5C" w:rsidRPr="002803A6" w:rsidRDefault="00982C5C" w:rsidP="00982C5C">
      <w:pPr>
        <w:numPr>
          <w:ilvl w:val="0"/>
          <w:numId w:val="14"/>
        </w:numPr>
        <w:autoSpaceDE w:val="0"/>
        <w:autoSpaceDN w:val="0"/>
        <w:adjustRightInd w:val="0"/>
        <w:ind w:left="782" w:hanging="357"/>
        <w:rPr>
          <w:rFonts w:cs="Arial"/>
          <w:color w:val="000000"/>
        </w:rPr>
      </w:pPr>
      <w:r w:rsidRPr="002803A6">
        <w:rPr>
          <w:color w:val="000000"/>
        </w:rPr>
        <w:t>Lage bezüglich laufenden und künftigen Forschungs- und Entwicklungsprojekten im landwirtschaftlichen Sektor;</w:t>
      </w:r>
    </w:p>
    <w:p w:rsidR="00982C5C" w:rsidRPr="002803A6" w:rsidRDefault="00982C5C" w:rsidP="00982C5C">
      <w:pPr>
        <w:numPr>
          <w:ilvl w:val="0"/>
          <w:numId w:val="14"/>
        </w:numPr>
        <w:autoSpaceDE w:val="0"/>
        <w:autoSpaceDN w:val="0"/>
        <w:adjustRightInd w:val="0"/>
        <w:ind w:left="782" w:hanging="357"/>
        <w:rPr>
          <w:rFonts w:cs="Arial"/>
          <w:color w:val="000000"/>
        </w:rPr>
      </w:pPr>
      <w:r w:rsidRPr="002803A6">
        <w:rPr>
          <w:color w:val="000000"/>
        </w:rPr>
        <w:t>Dem System der Beteiligung von Züchtern bei der Prüfung von Mais wurde ein besonderer Tag gewidmet.</w:t>
      </w:r>
    </w:p>
    <w:p w:rsidR="00982C5C" w:rsidRPr="002803A6" w:rsidRDefault="00982C5C" w:rsidP="00982C5C">
      <w:pPr>
        <w:autoSpaceDE w:val="0"/>
        <w:autoSpaceDN w:val="0"/>
        <w:adjustRightInd w:val="0"/>
        <w:rPr>
          <w:rFonts w:cs="Arial"/>
          <w:color w:val="000000"/>
          <w:lang w:eastAsia="en-GB"/>
        </w:rPr>
      </w:pPr>
    </w:p>
    <w:p w:rsidR="00982C5C" w:rsidRPr="002803A6" w:rsidRDefault="00982C5C" w:rsidP="00982C5C">
      <w:pPr>
        <w:autoSpaceDE w:val="0"/>
        <w:autoSpaceDN w:val="0"/>
        <w:adjustRightInd w:val="0"/>
        <w:rPr>
          <w:rFonts w:cs="Arial"/>
          <w:color w:val="000000"/>
        </w:rPr>
      </w:pPr>
      <w:r w:rsidRPr="002803A6">
        <w:rPr>
          <w:color w:val="000000"/>
        </w:rPr>
        <w:t>Vom 3.-4. Dezember 2018 wurde eine Tagung von Sachverständigen für Gemüsearten abgehalten, um folgende Punkte zu erörtern:</w:t>
      </w:r>
    </w:p>
    <w:p w:rsidR="00982C5C" w:rsidRPr="002803A6" w:rsidRDefault="00982C5C" w:rsidP="00982C5C">
      <w:pPr>
        <w:autoSpaceDE w:val="0"/>
        <w:autoSpaceDN w:val="0"/>
        <w:adjustRightInd w:val="0"/>
        <w:rPr>
          <w:rFonts w:cs="Arial"/>
          <w:color w:val="000000"/>
          <w:lang w:eastAsia="en-GB"/>
        </w:rPr>
      </w:pPr>
    </w:p>
    <w:p w:rsidR="00982C5C" w:rsidRPr="002803A6" w:rsidRDefault="00982C5C" w:rsidP="00982C5C">
      <w:pPr>
        <w:numPr>
          <w:ilvl w:val="0"/>
          <w:numId w:val="16"/>
        </w:numPr>
        <w:autoSpaceDE w:val="0"/>
        <w:autoSpaceDN w:val="0"/>
        <w:adjustRightInd w:val="0"/>
        <w:rPr>
          <w:rFonts w:cs="Arial"/>
          <w:color w:val="000000"/>
        </w:rPr>
      </w:pPr>
      <w:r w:rsidRPr="002803A6">
        <w:rPr>
          <w:color w:val="000000"/>
        </w:rPr>
        <w:t>Überarbeitungen mehrerer technischer Protokolle für Gemüsearten;</w:t>
      </w:r>
    </w:p>
    <w:p w:rsidR="00982C5C" w:rsidRPr="002803A6" w:rsidRDefault="00982C5C" w:rsidP="00982C5C">
      <w:pPr>
        <w:numPr>
          <w:ilvl w:val="0"/>
          <w:numId w:val="16"/>
        </w:numPr>
        <w:autoSpaceDE w:val="0"/>
        <w:autoSpaceDN w:val="0"/>
        <w:adjustRightInd w:val="0"/>
        <w:rPr>
          <w:rFonts w:cs="Arial"/>
          <w:color w:val="000000"/>
        </w:rPr>
      </w:pPr>
      <w:r w:rsidRPr="002803A6">
        <w:t>Erfassung von Merkmalen während mehrjähriger Prüfungen;</w:t>
      </w:r>
    </w:p>
    <w:p w:rsidR="00982C5C" w:rsidRPr="002803A6" w:rsidRDefault="00982C5C" w:rsidP="00982C5C">
      <w:pPr>
        <w:numPr>
          <w:ilvl w:val="0"/>
          <w:numId w:val="16"/>
        </w:numPr>
        <w:autoSpaceDE w:val="0"/>
        <w:autoSpaceDN w:val="0"/>
        <w:adjustRightInd w:val="0"/>
        <w:rPr>
          <w:rFonts w:cs="Arial"/>
          <w:color w:val="000000"/>
        </w:rPr>
      </w:pPr>
      <w:r w:rsidRPr="002803A6">
        <w:t>Nachfolgende Wachstumsperioden bei mehrjährigen Prüfungen;</w:t>
      </w:r>
    </w:p>
    <w:p w:rsidR="00982C5C" w:rsidRPr="002803A6" w:rsidRDefault="00982C5C" w:rsidP="00982C5C">
      <w:pPr>
        <w:numPr>
          <w:ilvl w:val="0"/>
          <w:numId w:val="16"/>
        </w:numPr>
        <w:autoSpaceDE w:val="0"/>
        <w:autoSpaceDN w:val="0"/>
        <w:adjustRightInd w:val="0"/>
        <w:rPr>
          <w:rFonts w:cs="Arial"/>
          <w:color w:val="000000"/>
        </w:rPr>
      </w:pPr>
      <w:r w:rsidRPr="002803A6">
        <w:rPr>
          <w:color w:val="000000"/>
        </w:rPr>
        <w:t>Harmonisierung und Übersetzung von Anforderungen an Pflanzenmaterial;</w:t>
      </w:r>
    </w:p>
    <w:p w:rsidR="00982C5C" w:rsidRPr="002803A6" w:rsidRDefault="00982C5C" w:rsidP="00982C5C">
      <w:pPr>
        <w:numPr>
          <w:ilvl w:val="0"/>
          <w:numId w:val="16"/>
        </w:numPr>
        <w:autoSpaceDE w:val="0"/>
        <w:autoSpaceDN w:val="0"/>
        <w:adjustRightInd w:val="0"/>
        <w:rPr>
          <w:rFonts w:cs="Arial"/>
          <w:color w:val="000000"/>
        </w:rPr>
      </w:pPr>
      <w:r w:rsidRPr="002803A6">
        <w:rPr>
          <w:color w:val="000000"/>
        </w:rPr>
        <w:t xml:space="preserve">Situation bei laufenden und zukünftigen Forschungs- und Entwicklungs-Projekten im Gemüsebereich, einschließlich derjenigen im Rahmen von IMODDUS. </w:t>
      </w:r>
    </w:p>
    <w:p w:rsidR="00982C5C" w:rsidRPr="002803A6" w:rsidRDefault="00982C5C" w:rsidP="00982C5C">
      <w:pPr>
        <w:autoSpaceDE w:val="0"/>
        <w:autoSpaceDN w:val="0"/>
        <w:adjustRightInd w:val="0"/>
        <w:rPr>
          <w:rFonts w:cs="Arial"/>
          <w:color w:val="000000"/>
          <w:lang w:eastAsia="en-GB"/>
        </w:rPr>
      </w:pPr>
    </w:p>
    <w:p w:rsidR="00982C5C" w:rsidRPr="002803A6" w:rsidRDefault="00982C5C" w:rsidP="00982C5C">
      <w:pPr>
        <w:autoSpaceDE w:val="0"/>
        <w:autoSpaceDN w:val="0"/>
        <w:adjustRightInd w:val="0"/>
        <w:rPr>
          <w:rFonts w:cs="Arial"/>
          <w:color w:val="000000"/>
        </w:rPr>
      </w:pPr>
      <w:r w:rsidRPr="002803A6">
        <w:rPr>
          <w:color w:val="000000"/>
        </w:rPr>
        <w:t>Am 18. September 2018 wurde eine Tagung mit Sachverständigen für Obstpflanzen abgehalten, um unter anderem folgende Angelegenheiten zu erörtern:</w:t>
      </w:r>
    </w:p>
    <w:p w:rsidR="00982C5C" w:rsidRPr="002803A6" w:rsidRDefault="00982C5C" w:rsidP="00982C5C">
      <w:pPr>
        <w:autoSpaceDE w:val="0"/>
        <w:autoSpaceDN w:val="0"/>
        <w:adjustRightInd w:val="0"/>
        <w:rPr>
          <w:rFonts w:cs="Arial"/>
          <w:color w:val="000000"/>
          <w:lang w:eastAsia="en-GB"/>
        </w:rPr>
      </w:pPr>
    </w:p>
    <w:p w:rsidR="00982C5C" w:rsidRPr="002803A6" w:rsidRDefault="00982C5C" w:rsidP="00982C5C">
      <w:pPr>
        <w:numPr>
          <w:ilvl w:val="0"/>
          <w:numId w:val="15"/>
        </w:numPr>
        <w:autoSpaceDE w:val="0"/>
        <w:autoSpaceDN w:val="0"/>
        <w:adjustRightInd w:val="0"/>
        <w:rPr>
          <w:rFonts w:cs="Arial"/>
          <w:color w:val="000000"/>
        </w:rPr>
      </w:pPr>
      <w:r w:rsidRPr="002803A6">
        <w:rPr>
          <w:color w:val="000000"/>
        </w:rPr>
        <w:t xml:space="preserve">Herausforderungen bei den DUS-Prüfungen einiger </w:t>
      </w:r>
      <w:proofErr w:type="spellStart"/>
      <w:r w:rsidRPr="002803A6">
        <w:rPr>
          <w:color w:val="000000"/>
        </w:rPr>
        <w:t>Apfelmutantengruppen</w:t>
      </w:r>
      <w:proofErr w:type="spellEnd"/>
      <w:r w:rsidRPr="002803A6">
        <w:rPr>
          <w:color w:val="000000"/>
        </w:rPr>
        <w:t>;</w:t>
      </w:r>
    </w:p>
    <w:p w:rsidR="00982C5C" w:rsidRPr="002803A6" w:rsidRDefault="00982C5C" w:rsidP="00982C5C">
      <w:pPr>
        <w:numPr>
          <w:ilvl w:val="0"/>
          <w:numId w:val="15"/>
        </w:numPr>
        <w:autoSpaceDE w:val="0"/>
        <w:autoSpaceDN w:val="0"/>
        <w:adjustRightInd w:val="0"/>
        <w:rPr>
          <w:rFonts w:cs="Arial"/>
          <w:color w:val="000000"/>
        </w:rPr>
      </w:pPr>
      <w:r w:rsidRPr="002803A6">
        <w:rPr>
          <w:color w:val="000000"/>
        </w:rPr>
        <w:t>Status und Nutzung von Reservepflanzen auf dem Zierpflanzensektor;</w:t>
      </w:r>
    </w:p>
    <w:p w:rsidR="00982C5C" w:rsidRPr="002803A6" w:rsidRDefault="00982C5C" w:rsidP="00982C5C">
      <w:pPr>
        <w:numPr>
          <w:ilvl w:val="0"/>
          <w:numId w:val="15"/>
        </w:numPr>
        <w:autoSpaceDE w:val="0"/>
        <w:autoSpaceDN w:val="0"/>
        <w:adjustRightInd w:val="0"/>
        <w:rPr>
          <w:rFonts w:cs="Arial"/>
          <w:color w:val="000000"/>
        </w:rPr>
      </w:pPr>
      <w:r w:rsidRPr="002803A6">
        <w:rPr>
          <w:color w:val="000000"/>
        </w:rPr>
        <w:t xml:space="preserve">Eintragung von interspezifischen und komplexen Hybriden im Vertrag; </w:t>
      </w:r>
    </w:p>
    <w:p w:rsidR="00982C5C" w:rsidRPr="002803A6" w:rsidRDefault="00982C5C" w:rsidP="00982C5C">
      <w:pPr>
        <w:numPr>
          <w:ilvl w:val="0"/>
          <w:numId w:val="15"/>
        </w:numPr>
        <w:autoSpaceDE w:val="0"/>
        <w:autoSpaceDN w:val="0"/>
        <w:adjustRightInd w:val="0"/>
        <w:rPr>
          <w:rFonts w:cs="Arial"/>
          <w:color w:val="000000"/>
        </w:rPr>
      </w:pPr>
      <w:r w:rsidRPr="002803A6">
        <w:rPr>
          <w:color w:val="000000"/>
        </w:rPr>
        <w:t>Organisation der DUS-Prüfung für Heidelbeeren;</w:t>
      </w:r>
    </w:p>
    <w:p w:rsidR="00982C5C" w:rsidRPr="002803A6" w:rsidRDefault="00982C5C" w:rsidP="00982C5C">
      <w:pPr>
        <w:numPr>
          <w:ilvl w:val="0"/>
          <w:numId w:val="15"/>
        </w:numPr>
        <w:autoSpaceDE w:val="0"/>
        <w:autoSpaceDN w:val="0"/>
        <w:adjustRightInd w:val="0"/>
        <w:rPr>
          <w:rFonts w:cs="Arial"/>
          <w:color w:val="000000"/>
        </w:rPr>
      </w:pPr>
      <w:r w:rsidRPr="002803A6">
        <w:rPr>
          <w:color w:val="000000"/>
        </w:rPr>
        <w:t>Dauer von Prüfungen im Obstsektor;</w:t>
      </w:r>
    </w:p>
    <w:p w:rsidR="00982C5C" w:rsidRPr="002803A6" w:rsidRDefault="00982C5C" w:rsidP="00982C5C">
      <w:pPr>
        <w:numPr>
          <w:ilvl w:val="0"/>
          <w:numId w:val="15"/>
        </w:numPr>
        <w:autoSpaceDE w:val="0"/>
        <w:autoSpaceDN w:val="0"/>
        <w:adjustRightInd w:val="0"/>
        <w:rPr>
          <w:rFonts w:cs="Arial"/>
          <w:color w:val="000000"/>
        </w:rPr>
      </w:pPr>
      <w:proofErr w:type="spellStart"/>
      <w:r w:rsidRPr="002803A6">
        <w:rPr>
          <w:color w:val="000000"/>
        </w:rPr>
        <w:t>Phytosanitäre</w:t>
      </w:r>
      <w:proofErr w:type="spellEnd"/>
      <w:r w:rsidRPr="002803A6">
        <w:rPr>
          <w:color w:val="000000"/>
        </w:rPr>
        <w:t xml:space="preserve"> Angelegenheiten;</w:t>
      </w:r>
    </w:p>
    <w:p w:rsidR="00982C5C" w:rsidRPr="002803A6" w:rsidRDefault="00982C5C" w:rsidP="00982C5C">
      <w:pPr>
        <w:numPr>
          <w:ilvl w:val="0"/>
          <w:numId w:val="15"/>
        </w:numPr>
        <w:autoSpaceDE w:val="0"/>
        <w:autoSpaceDN w:val="0"/>
        <w:adjustRightInd w:val="0"/>
        <w:rPr>
          <w:rFonts w:cs="Arial"/>
          <w:color w:val="000000"/>
        </w:rPr>
      </w:pPr>
      <w:r w:rsidRPr="002803A6">
        <w:rPr>
          <w:color w:val="000000"/>
        </w:rPr>
        <w:t>Möglichkeiten, die aus den Obstsorten entnommene DNS aufzubewahren;</w:t>
      </w:r>
    </w:p>
    <w:p w:rsidR="00982C5C" w:rsidRPr="002803A6" w:rsidRDefault="00982C5C" w:rsidP="00982C5C">
      <w:pPr>
        <w:numPr>
          <w:ilvl w:val="0"/>
          <w:numId w:val="15"/>
        </w:numPr>
        <w:autoSpaceDE w:val="0"/>
        <w:autoSpaceDN w:val="0"/>
        <w:adjustRightInd w:val="0"/>
        <w:rPr>
          <w:rFonts w:cs="Arial"/>
          <w:color w:val="000000"/>
        </w:rPr>
      </w:pPr>
      <w:r w:rsidRPr="002803A6">
        <w:rPr>
          <w:color w:val="000000"/>
        </w:rPr>
        <w:t>Forschungs- und Entwicklungsprojekte für Obstarten;</w:t>
      </w:r>
    </w:p>
    <w:p w:rsidR="00982C5C" w:rsidRPr="002803A6" w:rsidRDefault="00982C5C" w:rsidP="00982C5C">
      <w:pPr>
        <w:numPr>
          <w:ilvl w:val="0"/>
          <w:numId w:val="17"/>
        </w:numPr>
        <w:ind w:left="709" w:hanging="283"/>
        <w:rPr>
          <w:rFonts w:cs="Arial"/>
        </w:rPr>
      </w:pPr>
      <w:r w:rsidRPr="002803A6">
        <w:t xml:space="preserve"> EU-Rechtsvorschriften und Umsetzung der Richtlinie 2008/90; Erfahrungsaustausch von</w:t>
      </w:r>
    </w:p>
    <w:p w:rsidR="00982C5C" w:rsidRPr="002803A6" w:rsidRDefault="00982C5C" w:rsidP="00982C5C">
      <w:pPr>
        <w:ind w:left="426"/>
        <w:rPr>
          <w:rFonts w:cs="Arial"/>
        </w:rPr>
      </w:pPr>
      <w:r w:rsidRPr="002803A6">
        <w:t xml:space="preserve">     Sachverständigen.</w:t>
      </w:r>
    </w:p>
    <w:p w:rsidR="00982C5C" w:rsidRPr="002803A6" w:rsidRDefault="00982C5C" w:rsidP="00982C5C">
      <w:pPr>
        <w:autoSpaceDE w:val="0"/>
        <w:autoSpaceDN w:val="0"/>
        <w:adjustRightInd w:val="0"/>
        <w:rPr>
          <w:rFonts w:cs="Arial"/>
          <w:color w:val="000000"/>
          <w:lang w:eastAsia="en-GB"/>
        </w:rPr>
      </w:pPr>
    </w:p>
    <w:p w:rsidR="00982C5C" w:rsidRPr="002803A6" w:rsidRDefault="00982C5C" w:rsidP="00982C5C">
      <w:pPr>
        <w:autoSpaceDE w:val="0"/>
        <w:autoSpaceDN w:val="0"/>
        <w:adjustRightInd w:val="0"/>
        <w:rPr>
          <w:rFonts w:cs="Arial"/>
          <w:color w:val="000000"/>
        </w:rPr>
      </w:pPr>
      <w:r w:rsidRPr="002803A6">
        <w:rPr>
          <w:color w:val="000000"/>
        </w:rPr>
        <w:t>Im Zeitraum dieses Berichts wurde keine Tagung von Sachverständigen für Zierarten abgehalten.</w:t>
      </w:r>
    </w:p>
    <w:p w:rsidR="00982C5C" w:rsidRPr="002803A6" w:rsidRDefault="00982C5C" w:rsidP="00982C5C">
      <w:pPr>
        <w:rPr>
          <w:rFonts w:cs="Arial"/>
        </w:rPr>
      </w:pPr>
    </w:p>
    <w:p w:rsidR="00982C5C" w:rsidRPr="002803A6" w:rsidRDefault="00982C5C" w:rsidP="00982C5C">
      <w:pPr>
        <w:rPr>
          <w:rFonts w:cs="Arial"/>
        </w:rPr>
      </w:pPr>
      <w:r w:rsidRPr="002803A6">
        <w:t>4.3</w:t>
      </w:r>
      <w:r w:rsidRPr="002803A6">
        <w:tab/>
        <w:t>Qualitäts-Audit Service (QAS)</w:t>
      </w:r>
    </w:p>
    <w:p w:rsidR="00982C5C" w:rsidRPr="002803A6" w:rsidRDefault="00982C5C" w:rsidP="00982C5C">
      <w:pPr>
        <w:tabs>
          <w:tab w:val="left" w:pos="2114"/>
        </w:tabs>
        <w:rPr>
          <w:rFonts w:eastAsia="Calibri" w:cs="Arial"/>
        </w:rPr>
      </w:pPr>
    </w:p>
    <w:p w:rsidR="00982C5C" w:rsidRPr="002803A6" w:rsidRDefault="00982C5C" w:rsidP="00982C5C">
      <w:pPr>
        <w:tabs>
          <w:tab w:val="left" w:pos="2114"/>
        </w:tabs>
        <w:rPr>
          <w:rFonts w:eastAsia="Calibri" w:cs="Arial"/>
        </w:rPr>
      </w:pPr>
      <w:r w:rsidRPr="002803A6">
        <w:t xml:space="preserve">Im Rahmen des CPVO-Bewertungsprogramms wurden 11 Audits von Prüfungsämtern durchgeführt. Diese </w:t>
      </w:r>
      <w:r w:rsidR="002803A6" w:rsidRPr="002803A6">
        <w:t>umfassten</w:t>
      </w:r>
      <w:r w:rsidRPr="002803A6">
        <w:t xml:space="preserve"> regelmäßige dreijährige Auditbesuche sowie auch eine Bewertung in Reaktion auf Anfragen auf Ausweitung des Einsatzbereichs und ein Überwachungsverfahren. Der Verwaltungsrat des CPVO nahm die Beauftragungsempfehlungen, die bei den Tagungen des Verwaltungsrates im September 2018 und im März 2019 abgegeben wurden, an. </w:t>
      </w:r>
    </w:p>
    <w:p w:rsidR="00982C5C" w:rsidRPr="002803A6" w:rsidRDefault="00982C5C" w:rsidP="00982C5C">
      <w:pPr>
        <w:tabs>
          <w:tab w:val="left" w:pos="2114"/>
        </w:tabs>
        <w:rPr>
          <w:rFonts w:eastAsia="Calibri" w:cs="Arial"/>
        </w:rPr>
      </w:pPr>
    </w:p>
    <w:p w:rsidR="00982C5C" w:rsidRPr="002803A6" w:rsidRDefault="00982C5C" w:rsidP="00982C5C">
      <w:pPr>
        <w:tabs>
          <w:tab w:val="left" w:pos="2114"/>
        </w:tabs>
        <w:rPr>
          <w:rFonts w:eastAsia="Calibri" w:cs="Arial"/>
        </w:rPr>
      </w:pPr>
      <w:r w:rsidRPr="002803A6">
        <w:t>Bei ebendiesen beiden Tagungen des Verwaltungsrates wurden insgesamt 38 technische QAS-Sachverständige für den neuen dreijährigen Bewertungszyklus 2019-2021 genehmigt. Auf der Liste standen 20 Sachverständige, die bereits über vorhergehende Erfahrungen in einem QAS-Team bei einem Beurteilungsverfahren verfügten, und 18 neue Mitarbeiter. Um sie auf die neue Dreijahresperiode vorzubereiten, nahmen alle Sachverständigen in kleinen interaktiven Gruppen an einer maßgeschneiderten Schulung zur Qualitätsprüfung teil, die vom 23.-25. April 2019 von QAS am Hauptsitz der französischen nationalen Organisation für Normung (AFNOR) in Paris organisiert worden war.</w:t>
      </w:r>
    </w:p>
    <w:p w:rsidR="00982C5C" w:rsidRPr="002803A6" w:rsidRDefault="00982C5C" w:rsidP="00982C5C">
      <w:pPr>
        <w:rPr>
          <w:rFonts w:eastAsia="Calibri" w:cs="Arial"/>
        </w:rPr>
      </w:pPr>
    </w:p>
    <w:p w:rsidR="00982C5C" w:rsidRPr="002803A6" w:rsidRDefault="00982C5C" w:rsidP="00982C5C">
      <w:pPr>
        <w:rPr>
          <w:rFonts w:eastAsia="Calibri" w:cs="Arial"/>
        </w:rPr>
      </w:pPr>
      <w:r w:rsidRPr="002803A6">
        <w:t>Nach einer internen Analyse durch das CPVO und QAS betreffend die Kosten des dreijährigen Bewertungsprogramms genehmigte der Verwaltungsrat im September 2018 den Vorschlag des CPVO, die den Prüfungsämtern in Rechnung gestellte Prüfungsgebühr insgesamt aufzuheben.</w:t>
      </w:r>
    </w:p>
    <w:p w:rsidR="00982C5C" w:rsidRPr="002803A6" w:rsidRDefault="00982C5C" w:rsidP="00982C5C">
      <w:pPr>
        <w:rPr>
          <w:rFonts w:eastAsia="Calibri" w:cs="Arial"/>
        </w:rPr>
      </w:pPr>
    </w:p>
    <w:p w:rsidR="00982C5C" w:rsidRPr="002803A6" w:rsidRDefault="00982C5C" w:rsidP="00982C5C">
      <w:pPr>
        <w:rPr>
          <w:rFonts w:eastAsia="Calibri" w:cs="Arial"/>
        </w:rPr>
      </w:pPr>
      <w:r w:rsidRPr="002803A6">
        <w:t xml:space="preserve">Im Juni-Juli 2019 begann der QAS mit der Vorbereitung seiner Tätigkeiten im Zusammenhang mit den Programmen </w:t>
      </w:r>
      <w:proofErr w:type="spellStart"/>
      <w:r w:rsidRPr="002803A6">
        <w:t>IPKey</w:t>
      </w:r>
      <w:proofErr w:type="spellEnd"/>
      <w:r w:rsidRPr="002803A6">
        <w:t xml:space="preserve"> China und OAPI. Im Herbst 2019 wird QAS vor Ort Ausbildungsübungen zu Qualitätsaudits bei den Prüfungsbehörden in China sowie Probeaudits bei benannten DUS-Prüfungszentren in Kamerun und Senegal durchführen. </w:t>
      </w:r>
    </w:p>
    <w:p w:rsidR="00982C5C" w:rsidRPr="002803A6" w:rsidRDefault="00982C5C" w:rsidP="00982C5C">
      <w:pPr>
        <w:rPr>
          <w:rFonts w:cs="Arial"/>
        </w:rPr>
      </w:pPr>
    </w:p>
    <w:p w:rsidR="00982C5C" w:rsidRPr="002803A6" w:rsidRDefault="00982C5C" w:rsidP="00982C5C">
      <w:pPr>
        <w:rPr>
          <w:rFonts w:cs="Arial"/>
        </w:rPr>
      </w:pPr>
      <w:r w:rsidRPr="002803A6">
        <w:t>4.4</w:t>
      </w:r>
      <w:r w:rsidRPr="002803A6">
        <w:tab/>
        <w:t xml:space="preserve">IT-Entwicklungen </w:t>
      </w:r>
    </w:p>
    <w:p w:rsidR="00982C5C" w:rsidRPr="002803A6" w:rsidRDefault="00982C5C" w:rsidP="00982C5C">
      <w:pPr>
        <w:rPr>
          <w:rFonts w:cs="Arial"/>
        </w:rPr>
      </w:pPr>
      <w:bookmarkStart w:id="5" w:name="content"/>
      <w:bookmarkEnd w:id="5"/>
    </w:p>
    <w:p w:rsidR="00982C5C" w:rsidRPr="002803A6" w:rsidRDefault="00982C5C" w:rsidP="00982C5C">
      <w:pPr>
        <w:rPr>
          <w:rFonts w:cs="Arial"/>
        </w:rPr>
      </w:pPr>
      <w:r w:rsidRPr="002803A6">
        <w:t>Das neue Online-Antragsinstrument des CPVO wurde im Juni 2018 eingeführt, um den Austausch mit Antragstellern weiter zu verbessern. Das Instrument ist auch für die Nutzung durch EU-Mitgliedstaaten zur Entgegennahme nationaler Anträge konzipiert. Die Arbeiten konzentrieren sich auf ein Pilotprojekt mit den Niederlanden, das bis Ende 2019 abgeschlossen sein soll.</w:t>
      </w:r>
    </w:p>
    <w:p w:rsidR="00982C5C" w:rsidRPr="002803A6" w:rsidRDefault="00982C5C" w:rsidP="00982C5C">
      <w:pPr>
        <w:rPr>
          <w:rFonts w:cs="Arial"/>
        </w:rPr>
      </w:pPr>
    </w:p>
    <w:p w:rsidR="00982C5C" w:rsidRPr="002803A6" w:rsidRDefault="00982C5C" w:rsidP="00982C5C">
      <w:pPr>
        <w:rPr>
          <w:rFonts w:cs="Arial"/>
        </w:rPr>
      </w:pPr>
      <w:r w:rsidRPr="002803A6">
        <w:t xml:space="preserve">In gleicher Weise kann das CPVO Anträge von UPOV PRISMA für alle Gemüse-, Obst- und Zierpflanzenarten so entgegennehmen, </w:t>
      </w:r>
      <w:r w:rsidR="002803A6" w:rsidRPr="002803A6">
        <w:t>dass</w:t>
      </w:r>
      <w:r w:rsidRPr="002803A6">
        <w:t xml:space="preserve"> die Daten direkt in die interne CPVO-Datenbank übertragen werden, ohne Informationen aus PDF-Dokumenten berücksichtigen zu müssen. Diese Möglichkeit besteht auch für einige, aber noch nicht alle Arten im landwirtschaftlichen Bereich. </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p>
    <w:p w:rsidR="00982C5C" w:rsidRPr="002803A6" w:rsidRDefault="00982C5C" w:rsidP="00982C5C">
      <w:pPr>
        <w:rPr>
          <w:rFonts w:cs="Arial"/>
        </w:rPr>
      </w:pPr>
      <w:r w:rsidRPr="002803A6">
        <w:t>5.</w:t>
      </w:r>
      <w:r w:rsidRPr="002803A6">
        <w:tab/>
      </w:r>
      <w:r w:rsidRPr="002803A6">
        <w:rPr>
          <w:u w:val="single"/>
        </w:rPr>
        <w:t>Tätigkeiten zur Förderung des Sortenschutzes</w:t>
      </w:r>
      <w:r w:rsidRPr="002803A6">
        <w:t xml:space="preserve"> </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r w:rsidRPr="002803A6">
        <w:t xml:space="preserve">5.1 </w:t>
      </w:r>
      <w:r w:rsidRPr="002803A6">
        <w:tab/>
        <w:t>Interne Zusammenarbeit und Ausbildung</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r w:rsidRPr="002803A6">
        <w:t xml:space="preserve">CPVO – Europäische Patentorganisation </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r w:rsidRPr="002803A6">
        <w:t>Am 11. Februar 2016 unterzeichneten der Präsident des CPVO und das Europäische Patentamt (EPA) die Verwaltungsvereinbarung Nr. 2016/0009 über die bilaterale Zusammenarbeit zum Austausch von Informationen und bewährten Verfahren auf dem Gebiet der pflanzenbezogenen Patente und Sortenrechte für einen Zeitraum von drei Jahren. Diese Vereinbarung wurde am 26. Oktober 2018 verlängert.</w:t>
      </w:r>
    </w:p>
    <w:p w:rsidR="00982C5C" w:rsidRPr="002803A6" w:rsidRDefault="00982C5C" w:rsidP="00982C5C">
      <w:pPr>
        <w:autoSpaceDE w:val="0"/>
        <w:autoSpaceDN w:val="0"/>
        <w:adjustRightInd w:val="0"/>
        <w:rPr>
          <w:rFonts w:cs="Arial"/>
        </w:rPr>
      </w:pPr>
    </w:p>
    <w:p w:rsidR="00982C5C" w:rsidRPr="002803A6" w:rsidRDefault="00982C5C" w:rsidP="00982C5C">
      <w:pPr>
        <w:keepNext/>
        <w:autoSpaceDE w:val="0"/>
        <w:autoSpaceDN w:val="0"/>
        <w:adjustRightInd w:val="0"/>
        <w:rPr>
          <w:rFonts w:cs="Arial"/>
        </w:rPr>
      </w:pPr>
      <w:r w:rsidRPr="002803A6">
        <w:t xml:space="preserve">Zur Umsetzung der Vereinbarung: </w:t>
      </w:r>
    </w:p>
    <w:p w:rsidR="00982C5C" w:rsidRPr="002803A6" w:rsidRDefault="00982C5C" w:rsidP="00982C5C">
      <w:pPr>
        <w:keepNext/>
        <w:autoSpaceDE w:val="0"/>
        <w:autoSpaceDN w:val="0"/>
        <w:adjustRightInd w:val="0"/>
        <w:rPr>
          <w:rFonts w:cs="Arial"/>
        </w:rPr>
      </w:pPr>
    </w:p>
    <w:p w:rsidR="00982C5C" w:rsidRPr="002803A6" w:rsidRDefault="00982C5C" w:rsidP="00982C5C">
      <w:pPr>
        <w:numPr>
          <w:ilvl w:val="0"/>
          <w:numId w:val="19"/>
        </w:numPr>
        <w:autoSpaceDE w:val="0"/>
        <w:autoSpaceDN w:val="0"/>
        <w:adjustRightInd w:val="0"/>
        <w:rPr>
          <w:rFonts w:cs="Arial"/>
        </w:rPr>
      </w:pPr>
      <w:r w:rsidRPr="002803A6">
        <w:t>5.-6. Juli 2018: CPVO-Sachverständiger nimmt an der jährlichen EPA-Arbeitstagung über Prüfungsangelegenheiten in München, Deutschland, teil</w:t>
      </w:r>
    </w:p>
    <w:p w:rsidR="00982C5C" w:rsidRPr="002803A6" w:rsidRDefault="00982C5C" w:rsidP="00982C5C">
      <w:pPr>
        <w:numPr>
          <w:ilvl w:val="0"/>
          <w:numId w:val="19"/>
        </w:numPr>
        <w:autoSpaceDE w:val="0"/>
        <w:autoSpaceDN w:val="0"/>
        <w:adjustRightInd w:val="0"/>
        <w:rPr>
          <w:rFonts w:cs="Arial"/>
        </w:rPr>
      </w:pPr>
      <w:r w:rsidRPr="002803A6">
        <w:t>5.-6. September 2018: EPA-Prüfer nimmt an der CPVO-Tagung für Landwirtschafts-Sachverständige und Mais in Mailand, Italien, teil</w:t>
      </w:r>
    </w:p>
    <w:p w:rsidR="00982C5C" w:rsidRPr="002803A6" w:rsidRDefault="00982C5C" w:rsidP="00982C5C">
      <w:pPr>
        <w:numPr>
          <w:ilvl w:val="0"/>
          <w:numId w:val="19"/>
        </w:numPr>
        <w:autoSpaceDE w:val="0"/>
        <w:autoSpaceDN w:val="0"/>
        <w:adjustRightInd w:val="0"/>
        <w:rPr>
          <w:rFonts w:cs="Arial"/>
        </w:rPr>
      </w:pPr>
      <w:r w:rsidRPr="002803A6">
        <w:t>5.-6. Dezember 2018: EPA-Prüfer nimmt an der Jahrestagung von CPVOs Prüfungsämtern in Angers, Frankreich, teil</w:t>
      </w:r>
    </w:p>
    <w:p w:rsidR="00982C5C" w:rsidRPr="002803A6" w:rsidRDefault="00982C5C" w:rsidP="00982C5C">
      <w:pPr>
        <w:numPr>
          <w:ilvl w:val="0"/>
          <w:numId w:val="19"/>
        </w:numPr>
        <w:autoSpaceDE w:val="0"/>
        <w:autoSpaceDN w:val="0"/>
        <w:adjustRightInd w:val="0"/>
        <w:rPr>
          <w:rFonts w:cs="Arial"/>
        </w:rPr>
      </w:pPr>
      <w:r w:rsidRPr="002803A6">
        <w:t>Im Jahr 2019 übermittelte das CPVO technische Fragebögen, Fotos und Sortenbeschreibungen, gruppiert nach Anmeldenummern.</w:t>
      </w:r>
    </w:p>
    <w:p w:rsidR="00982C5C" w:rsidRPr="002803A6" w:rsidRDefault="00982C5C" w:rsidP="00982C5C">
      <w:pPr>
        <w:autoSpaceDE w:val="0"/>
        <w:autoSpaceDN w:val="0"/>
        <w:adjustRightInd w:val="0"/>
        <w:rPr>
          <w:rFonts w:cs="Arial"/>
        </w:rPr>
      </w:pPr>
    </w:p>
    <w:p w:rsidR="00982C5C" w:rsidRPr="002803A6" w:rsidRDefault="00982C5C" w:rsidP="00982C5C">
      <w:pPr>
        <w:keepNext/>
        <w:autoSpaceDE w:val="0"/>
        <w:autoSpaceDN w:val="0"/>
        <w:adjustRightInd w:val="0"/>
        <w:rPr>
          <w:rFonts w:cs="Arial"/>
        </w:rPr>
      </w:pPr>
      <w:r w:rsidRPr="002803A6">
        <w:t xml:space="preserve">CPVO - Schulung </w:t>
      </w:r>
    </w:p>
    <w:p w:rsidR="00982C5C" w:rsidRPr="002803A6" w:rsidRDefault="00982C5C" w:rsidP="00982C5C">
      <w:pPr>
        <w:keepNext/>
        <w:autoSpaceDE w:val="0"/>
        <w:autoSpaceDN w:val="0"/>
        <w:adjustRightInd w:val="0"/>
        <w:rPr>
          <w:rFonts w:cs="Arial"/>
        </w:rPr>
      </w:pPr>
    </w:p>
    <w:p w:rsidR="00982C5C" w:rsidRPr="002803A6" w:rsidRDefault="00982C5C" w:rsidP="00982C5C">
      <w:pPr>
        <w:autoSpaceDE w:val="0"/>
        <w:autoSpaceDN w:val="0"/>
        <w:adjustRightInd w:val="0"/>
        <w:rPr>
          <w:rFonts w:cs="Arial"/>
        </w:rPr>
      </w:pPr>
      <w:r w:rsidRPr="002803A6">
        <w:t xml:space="preserve">CPVO hat bei den folgenden Veranstaltungen Vorträge gehalten: Lehrgang über den Schutz von Pflanzensorten an der Universität von </w:t>
      </w:r>
      <w:proofErr w:type="spellStart"/>
      <w:r w:rsidRPr="002803A6">
        <w:t>Wageningen</w:t>
      </w:r>
      <w:proofErr w:type="spellEnd"/>
      <w:r w:rsidRPr="002803A6">
        <w:t xml:space="preserve"> am 24. Juni 2019, auf Rechte des geistigen Eigentums spezialisierter Master Magister </w:t>
      </w:r>
      <w:proofErr w:type="spellStart"/>
      <w:r w:rsidRPr="002803A6">
        <w:t>Lucentinus</w:t>
      </w:r>
      <w:proofErr w:type="spellEnd"/>
      <w:r w:rsidRPr="002803A6">
        <w:t xml:space="preserve"> der Universität Alicante am 13. und 14. November 2018 und XX Kongress des Netzwerks der europäischen Institute für geistiges Eigentum (EIPIN) in Alicante, Spanien. Das CPVO führte im Rahmen des EUIPO IP-Regionalseminars 2019 über die Schnittstelle zwischen Sortenrechten und Marken für nationale Markenprüfer der EU in Den Haag, Niederlande (3. April 2019) und am 28. Mai 2019 beim Benelux-Markenamt für Benelux-Markenprüfer und ihr Rechtsteam Schulungen durch.</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r w:rsidRPr="002803A6">
        <w:t>Im Rahmen seiner Zusammenarbeit mit dem European IPR Helpdesk und EUIPO bot das CPVO zwei Webinare an, nämlich über rechtliche Verfahren beim CPVO und die Einführung des Sortenschutzes in Europa.</w:t>
      </w:r>
    </w:p>
    <w:p w:rsidR="00982C5C" w:rsidRPr="002803A6" w:rsidRDefault="00982C5C" w:rsidP="00982C5C">
      <w:pPr>
        <w:autoSpaceDE w:val="0"/>
        <w:autoSpaceDN w:val="0"/>
        <w:adjustRightInd w:val="0"/>
        <w:rPr>
          <w:rFonts w:cs="Arial"/>
        </w:rPr>
      </w:pPr>
    </w:p>
    <w:p w:rsidR="00982C5C" w:rsidRPr="002803A6" w:rsidRDefault="00982C5C" w:rsidP="00403E13">
      <w:pPr>
        <w:keepNext/>
        <w:autoSpaceDE w:val="0"/>
        <w:autoSpaceDN w:val="0"/>
        <w:adjustRightInd w:val="0"/>
        <w:rPr>
          <w:rFonts w:cs="Arial"/>
        </w:rPr>
      </w:pPr>
      <w:r w:rsidRPr="002803A6">
        <w:lastRenderedPageBreak/>
        <w:t>Organisationen von Interessenvertretern</w:t>
      </w:r>
    </w:p>
    <w:p w:rsidR="00982C5C" w:rsidRPr="002803A6" w:rsidRDefault="00982C5C" w:rsidP="00403E13">
      <w:pPr>
        <w:keepNext/>
        <w:autoSpaceDE w:val="0"/>
        <w:autoSpaceDN w:val="0"/>
        <w:adjustRightInd w:val="0"/>
        <w:rPr>
          <w:rFonts w:cs="Arial"/>
        </w:rPr>
      </w:pPr>
    </w:p>
    <w:p w:rsidR="00982C5C" w:rsidRPr="002803A6" w:rsidRDefault="00982C5C" w:rsidP="00982C5C">
      <w:pPr>
        <w:autoSpaceDE w:val="0"/>
        <w:autoSpaceDN w:val="0"/>
        <w:adjustRightInd w:val="0"/>
        <w:rPr>
          <w:rFonts w:cs="Arial"/>
        </w:rPr>
      </w:pPr>
      <w:r w:rsidRPr="002803A6">
        <w:t xml:space="preserve">Das CPVO nahm an der Jahrestagung der ESA vom 7.-9. Oktober 2018 in Madrid und der Jahrestagung der CIOPORA in Südafrika im April 2018 teil. Das CPVO hatte jährliche formelle bilaterale Treffen mit AIPH, CIOPORA, ESA und </w:t>
      </w:r>
      <w:proofErr w:type="spellStart"/>
      <w:r w:rsidRPr="002803A6">
        <w:t>Plantum</w:t>
      </w:r>
      <w:proofErr w:type="spellEnd"/>
      <w:r w:rsidRPr="002803A6">
        <w:t xml:space="preserve"> organisiert.</w:t>
      </w:r>
    </w:p>
    <w:p w:rsidR="00982C5C" w:rsidRPr="002803A6" w:rsidRDefault="00982C5C" w:rsidP="00982C5C">
      <w:pPr>
        <w:autoSpaceDE w:val="0"/>
        <w:autoSpaceDN w:val="0"/>
        <w:adjustRightInd w:val="0"/>
        <w:rPr>
          <w:rFonts w:cs="Arial"/>
        </w:rPr>
      </w:pPr>
    </w:p>
    <w:p w:rsidR="00982C5C" w:rsidRPr="002803A6" w:rsidRDefault="00982C5C" w:rsidP="00982C5C">
      <w:pPr>
        <w:pStyle w:val="NormalWeb"/>
        <w:spacing w:before="0" w:beforeAutospacing="0" w:after="0" w:afterAutospacing="0"/>
        <w:jc w:val="both"/>
        <w:rPr>
          <w:rFonts w:ascii="Arial" w:hAnsi="Arial" w:cs="Arial"/>
          <w:sz w:val="20"/>
          <w:szCs w:val="20"/>
        </w:rPr>
      </w:pPr>
      <w:r w:rsidRPr="002803A6">
        <w:rPr>
          <w:rFonts w:ascii="Arial" w:hAnsi="Arial"/>
          <w:sz w:val="20"/>
          <w:szCs w:val="20"/>
        </w:rPr>
        <w:t xml:space="preserve">5.2 </w:t>
      </w:r>
      <w:r w:rsidRPr="002803A6">
        <w:rPr>
          <w:rFonts w:ascii="Arial" w:hAnsi="Arial"/>
          <w:sz w:val="20"/>
          <w:szCs w:val="20"/>
        </w:rPr>
        <w:tab/>
        <w:t>Externe Zusammenarbeit und Ausbildung</w:t>
      </w:r>
    </w:p>
    <w:p w:rsidR="00982C5C" w:rsidRPr="002803A6" w:rsidRDefault="00982C5C" w:rsidP="00982C5C">
      <w:pPr>
        <w:pStyle w:val="NormalWeb"/>
        <w:spacing w:before="0" w:beforeAutospacing="0" w:after="0" w:afterAutospacing="0"/>
        <w:jc w:val="both"/>
        <w:rPr>
          <w:rFonts w:ascii="Arial" w:hAnsi="Arial" w:cs="Arial"/>
          <w:sz w:val="20"/>
          <w:szCs w:val="20"/>
        </w:rPr>
      </w:pPr>
    </w:p>
    <w:p w:rsidR="00982C5C" w:rsidRPr="002803A6" w:rsidRDefault="00982C5C" w:rsidP="00982C5C">
      <w:pPr>
        <w:pStyle w:val="NormalWeb"/>
        <w:spacing w:before="0" w:beforeAutospacing="0" w:after="0" w:afterAutospacing="0"/>
        <w:jc w:val="both"/>
        <w:rPr>
          <w:rFonts w:ascii="Arial" w:hAnsi="Arial" w:cs="Arial"/>
          <w:sz w:val="20"/>
          <w:szCs w:val="20"/>
        </w:rPr>
      </w:pPr>
      <w:r w:rsidRPr="002803A6">
        <w:rPr>
          <w:rFonts w:ascii="Arial" w:hAnsi="Arial"/>
          <w:sz w:val="20"/>
          <w:szCs w:val="20"/>
        </w:rPr>
        <w:t>CPVOs Strategie für die internationale Zusammenarbeit</w:t>
      </w:r>
    </w:p>
    <w:p w:rsidR="00982C5C" w:rsidRPr="002803A6" w:rsidRDefault="00982C5C" w:rsidP="00982C5C">
      <w:pPr>
        <w:pStyle w:val="NormalWeb"/>
        <w:spacing w:before="0" w:beforeAutospacing="0" w:after="0" w:afterAutospacing="0"/>
        <w:jc w:val="both"/>
        <w:rPr>
          <w:rFonts w:ascii="Arial" w:hAnsi="Arial" w:cs="Arial"/>
          <w:sz w:val="20"/>
          <w:szCs w:val="20"/>
        </w:rPr>
      </w:pPr>
    </w:p>
    <w:p w:rsidR="00982C5C" w:rsidRPr="002803A6" w:rsidRDefault="00982C5C" w:rsidP="00982C5C">
      <w:pPr>
        <w:pStyle w:val="NormalWeb"/>
        <w:spacing w:before="0" w:beforeAutospacing="0" w:after="0" w:afterAutospacing="0"/>
        <w:jc w:val="both"/>
        <w:rPr>
          <w:rFonts w:ascii="Arial" w:hAnsi="Arial" w:cs="Arial"/>
          <w:sz w:val="20"/>
          <w:szCs w:val="20"/>
        </w:rPr>
      </w:pPr>
      <w:r w:rsidRPr="002803A6">
        <w:rPr>
          <w:rFonts w:ascii="Arial" w:hAnsi="Arial"/>
          <w:sz w:val="20"/>
          <w:szCs w:val="20"/>
        </w:rPr>
        <w:t xml:space="preserve">Im Jahr 2015 wurde die CPVO-Strategie für die internationale Zusammenarbeit im Hinblick auf die Ziele angesichts der EU-Handelspolitik auf dem Gebiet von Rechten geistigen Eigentums überprüft, um die externe Dimension der EU-Politik zu unterstützen. Die überarbeitete Strategie wurde am 4. Oktober 2017 verabschiedet. Diese neue Strategie richtet die Ziele des CPVO an der Kommunikation der Europäischen Kommission in </w:t>
      </w:r>
      <w:r w:rsidR="002803A6" w:rsidRPr="002803A6">
        <w:rPr>
          <w:rFonts w:ascii="Arial" w:hAnsi="Arial"/>
          <w:sz w:val="20"/>
          <w:szCs w:val="20"/>
        </w:rPr>
        <w:t>Bezug</w:t>
      </w:r>
      <w:r w:rsidRPr="002803A6">
        <w:rPr>
          <w:rFonts w:ascii="Arial" w:hAnsi="Arial"/>
          <w:sz w:val="20"/>
          <w:szCs w:val="20"/>
        </w:rPr>
        <w:t xml:space="preserve"> auf Handel, Wachstum und geistiges Eigentum - eine Strategie zum Schutz und zur Durchsetzung von Rechten geistigen Eigentums in Drittländern (Nicht-EU Staaten) (die EU-Strategie) - aus. Das CPVO arbeitet, zusammen mit Kommissionsdiensten, den EU-Mitgliedsstaaten und anderen internationalen Organisationen, außerhalb der EU, um das Schutzsystem für geistiges Eigentum des CPVR zu stärken. Die Hauptelemente dieser Zusammenarbeit sind der Austausch von Wissen und die Unterstützung von EU-Nutzern bei der Eintragung und Durchsetzung im Ausland in Zusammenarbeit mit EU-Mitgliedsstaaten.</w:t>
      </w:r>
    </w:p>
    <w:p w:rsidR="00982C5C" w:rsidRPr="002803A6" w:rsidRDefault="00982C5C" w:rsidP="00982C5C">
      <w:pPr>
        <w:pStyle w:val="NormalWeb"/>
        <w:spacing w:before="0" w:beforeAutospacing="0" w:after="0" w:afterAutospacing="0"/>
        <w:jc w:val="both"/>
        <w:rPr>
          <w:rFonts w:ascii="Arial" w:hAnsi="Arial" w:cs="Arial"/>
          <w:sz w:val="20"/>
          <w:szCs w:val="20"/>
        </w:rPr>
      </w:pPr>
    </w:p>
    <w:p w:rsidR="00982C5C" w:rsidRPr="002803A6" w:rsidRDefault="00982C5C" w:rsidP="00982C5C">
      <w:pPr>
        <w:autoSpaceDE w:val="0"/>
        <w:autoSpaceDN w:val="0"/>
        <w:adjustRightInd w:val="0"/>
        <w:rPr>
          <w:rFonts w:cs="Arial"/>
        </w:rPr>
      </w:pPr>
      <w:r w:rsidRPr="002803A6">
        <w:t>EAPVP</w:t>
      </w:r>
    </w:p>
    <w:p w:rsidR="00982C5C" w:rsidRPr="002803A6" w:rsidRDefault="00982C5C" w:rsidP="00982C5C">
      <w:pPr>
        <w:pStyle w:val="NormalWeb"/>
        <w:spacing w:before="0" w:beforeAutospacing="0" w:after="0" w:afterAutospacing="0"/>
        <w:jc w:val="both"/>
        <w:rPr>
          <w:rFonts w:ascii="Arial" w:hAnsi="Arial" w:cs="Arial"/>
          <w:sz w:val="20"/>
          <w:szCs w:val="20"/>
        </w:rPr>
      </w:pPr>
    </w:p>
    <w:p w:rsidR="00982C5C" w:rsidRPr="002803A6" w:rsidRDefault="00982C5C" w:rsidP="00982C5C">
      <w:pPr>
        <w:pStyle w:val="NormalWeb"/>
        <w:spacing w:before="0" w:beforeAutospacing="0" w:after="0" w:afterAutospacing="0"/>
        <w:jc w:val="both"/>
        <w:rPr>
          <w:rFonts w:ascii="Arial" w:hAnsi="Arial" w:cs="Arial"/>
          <w:sz w:val="20"/>
          <w:szCs w:val="20"/>
        </w:rPr>
      </w:pPr>
      <w:r w:rsidRPr="002803A6">
        <w:rPr>
          <w:rFonts w:ascii="Arial" w:hAnsi="Arial"/>
          <w:sz w:val="20"/>
          <w:szCs w:val="20"/>
        </w:rPr>
        <w:t xml:space="preserve">Zweck des Ostasienforums über Sortenschutz (EAPVP-Forum) ist es, die ASEAN-Länder bei der Erläuterung der Vorteile der Einführung des UPOV-Sortenschutzsystems und der UPOV-Mitgliedschaft zu unterstützen. Am 1. August 2018 nahm das CPVO an der 11. EAPVP-Forumstagung auf den Philippinen teil, die von MAFF - JATAFF (Japanisches Ministerium für Landwirtschaft, Forsten und Fischerei - Japanische Vereinigung für Technologische Innovation in der Land-, Forstwirtschaft und Fischerei) organisiert wurde. Auf der genannten Tagung wurde ein japanischer Vorschlag zur Erörterung und Vorbereitung des „Strategischen Plans der nächsten 10 Jahre“ von EAPVP auf der 11. Tagung des EAPVP-Forums angenommen. Am 2. August präsentierte das Büro die Vorteile eines gemeinsamen regionalen Sortenschutzsystems während des </w:t>
      </w:r>
      <w:r w:rsidRPr="002803A6">
        <w:rPr>
          <w:rFonts w:ascii="Arial" w:hAnsi="Arial" w:cs="Arial"/>
          <w:sz w:val="20"/>
          <w:szCs w:val="20"/>
        </w:rPr>
        <w:t>'</w:t>
      </w:r>
      <w:r w:rsidRPr="002803A6">
        <w:rPr>
          <w:rFonts w:ascii="Arial" w:hAnsi="Arial"/>
          <w:sz w:val="20"/>
          <w:szCs w:val="20"/>
        </w:rPr>
        <w:t>Internationalen Seminars über den Nutzen des Sortenschutzes im Rahmen des UPOV-Systems</w:t>
      </w:r>
      <w:r w:rsidRPr="002803A6">
        <w:rPr>
          <w:rFonts w:ascii="Arial" w:hAnsi="Arial" w:cs="Arial"/>
          <w:sz w:val="20"/>
          <w:szCs w:val="20"/>
        </w:rPr>
        <w:t>'</w:t>
      </w:r>
      <w:r w:rsidRPr="002803A6">
        <w:rPr>
          <w:rFonts w:ascii="Arial" w:hAnsi="Arial"/>
          <w:sz w:val="20"/>
          <w:szCs w:val="20"/>
        </w:rPr>
        <w:t xml:space="preserve">, das auf den Philippinen stattfand und vom Amt für Pflanzenindustrie des Landwirtschaftsministeriums organisiert wurde. Schließlich nahm das CPVO am 25. April 2019 an der </w:t>
      </w:r>
      <w:r w:rsidRPr="002803A6">
        <w:rPr>
          <w:rFonts w:ascii="Arial" w:hAnsi="Arial"/>
          <w:bCs/>
          <w:sz w:val="20"/>
          <w:szCs w:val="20"/>
        </w:rPr>
        <w:t xml:space="preserve">2. Tagung des Ostasienforums für Sortenschutz </w:t>
      </w:r>
      <w:r w:rsidRPr="002803A6">
        <w:rPr>
          <w:rFonts w:ascii="Arial" w:hAnsi="Arial"/>
          <w:sz w:val="20"/>
          <w:szCs w:val="20"/>
        </w:rPr>
        <w:t xml:space="preserve">teil, die </w:t>
      </w:r>
      <w:r w:rsidRPr="002803A6">
        <w:rPr>
          <w:rFonts w:ascii="Arial" w:hAnsi="Arial"/>
          <w:bCs/>
          <w:sz w:val="20"/>
          <w:szCs w:val="20"/>
        </w:rPr>
        <w:t xml:space="preserve">vom </w:t>
      </w:r>
      <w:r w:rsidRPr="002803A6">
        <w:rPr>
          <w:rFonts w:ascii="Arial" w:hAnsi="Arial"/>
          <w:sz w:val="20"/>
          <w:szCs w:val="20"/>
        </w:rPr>
        <w:t xml:space="preserve">Ministerium für Landwirtschaft und ländliche Angelegenheiten der Volksrepublik </w:t>
      </w:r>
      <w:r w:rsidRPr="002803A6">
        <w:rPr>
          <w:rFonts w:ascii="Arial" w:hAnsi="Arial"/>
          <w:bCs/>
          <w:sz w:val="20"/>
          <w:szCs w:val="20"/>
        </w:rPr>
        <w:t xml:space="preserve">China in Peking organisiert </w:t>
      </w:r>
      <w:r w:rsidRPr="002803A6">
        <w:rPr>
          <w:rFonts w:ascii="Arial" w:hAnsi="Arial"/>
          <w:sz w:val="20"/>
          <w:szCs w:val="20"/>
        </w:rPr>
        <w:t>wurde, wo die ASEAN-Länder sowie China, Korea und Japan die aktualisierten individuellen Umsetzungsstrategien und den Vorschlag für die nationalen spezifischen Tätigkeiten zur Zusammenarbeit 2019-2020 vorstellten.</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r w:rsidRPr="002803A6">
        <w:t>OAPI</w:t>
      </w:r>
    </w:p>
    <w:p w:rsidR="00982C5C" w:rsidRPr="002803A6" w:rsidRDefault="00982C5C" w:rsidP="00982C5C">
      <w:pPr>
        <w:pStyle w:val="NormalWeb"/>
        <w:spacing w:before="0" w:beforeAutospacing="0" w:after="0" w:afterAutospacing="0"/>
        <w:jc w:val="both"/>
        <w:rPr>
          <w:rFonts w:ascii="Arial" w:hAnsi="Arial" w:cs="Arial"/>
          <w:sz w:val="20"/>
          <w:szCs w:val="20"/>
        </w:rPr>
      </w:pPr>
    </w:p>
    <w:p w:rsidR="00982C5C" w:rsidRPr="002803A6" w:rsidRDefault="00982C5C" w:rsidP="00982C5C">
      <w:pPr>
        <w:pStyle w:val="NormalWeb"/>
        <w:spacing w:before="0" w:beforeAutospacing="0" w:after="0" w:afterAutospacing="0"/>
        <w:jc w:val="both"/>
        <w:rPr>
          <w:rFonts w:ascii="Arial" w:hAnsi="Arial" w:cs="Arial"/>
          <w:sz w:val="20"/>
          <w:szCs w:val="20"/>
        </w:rPr>
      </w:pPr>
      <w:r w:rsidRPr="002803A6">
        <w:rPr>
          <w:rFonts w:ascii="Arial" w:hAnsi="Arial"/>
          <w:sz w:val="20"/>
          <w:szCs w:val="20"/>
        </w:rPr>
        <w:t xml:space="preserve">Anfang Juli 2019 unterzeichnete die EU-Kommission einen Vertrag mit dem Afrikanischen Amt für geistiges Eigentum (OAPI) in Genf über die Bereitstellung von Mitteln für eine sogenannte Road </w:t>
      </w:r>
      <w:proofErr w:type="spellStart"/>
      <w:r w:rsidRPr="002803A6">
        <w:rPr>
          <w:rFonts w:ascii="Arial" w:hAnsi="Arial"/>
          <w:sz w:val="20"/>
          <w:szCs w:val="20"/>
        </w:rPr>
        <w:t>Map</w:t>
      </w:r>
      <w:proofErr w:type="spellEnd"/>
      <w:r w:rsidRPr="002803A6">
        <w:rPr>
          <w:rFonts w:ascii="Arial" w:hAnsi="Arial"/>
          <w:sz w:val="20"/>
          <w:szCs w:val="20"/>
        </w:rPr>
        <w:t xml:space="preserve"> zur Förderung des geistigen Eigentums, um die Entwicklung neuer, an den afrikanischen Markt angepasster Sorten zu fördern und einen Anreiz dafür zu schaffen, anderswo erhältliche hochwertige Sorten für den OAPI-Bereich verfügbar zu machen. Das Projekt wird von OAPI geleitet, das CPVO ist zusammen mit UPOV, GEVES, GNIS und </w:t>
      </w:r>
      <w:proofErr w:type="spellStart"/>
      <w:r w:rsidRPr="002803A6">
        <w:rPr>
          <w:rFonts w:ascii="Arial" w:hAnsi="Arial"/>
          <w:sz w:val="20"/>
          <w:szCs w:val="20"/>
        </w:rPr>
        <w:t>Naktuinbouw</w:t>
      </w:r>
      <w:proofErr w:type="spellEnd"/>
      <w:r w:rsidRPr="002803A6">
        <w:rPr>
          <w:rFonts w:ascii="Arial" w:hAnsi="Arial"/>
          <w:sz w:val="20"/>
          <w:szCs w:val="20"/>
        </w:rPr>
        <w:t xml:space="preserve"> ein Partner. Am 9. Juli 2019 fand in Brüssel eine Eingangstagung mit den Projektpartnern statt: Es wurden elf Tätigkeiten vereinbart, die in den kommenden zwei Jahren durchgeführt werden sollen und sich auf Ausbildung und Kapazitätsaufbau konzentrieren. Die Tätigkeitsreihen begannen Ende August mit einer Arbeitstagung in den Räumlichkeiten des OAPI-Hauptsitzes in Yaoundé, in dem die bestehenden Verwaltungsverfahren (durch das CPVO) sowie die IT-Infrastruktur (durch UPOV) analysiert wurden. Ziel ist es, die Verwaltungsverfahren zu straffen und das IT-System so anzupassen, </w:t>
      </w:r>
      <w:r w:rsidR="002803A6" w:rsidRPr="002803A6">
        <w:rPr>
          <w:rFonts w:ascii="Arial" w:hAnsi="Arial"/>
          <w:sz w:val="20"/>
          <w:szCs w:val="20"/>
        </w:rPr>
        <w:t>dass</w:t>
      </w:r>
      <w:r w:rsidRPr="002803A6">
        <w:rPr>
          <w:rFonts w:ascii="Arial" w:hAnsi="Arial"/>
          <w:sz w:val="20"/>
          <w:szCs w:val="20"/>
        </w:rPr>
        <w:t xml:space="preserve"> ausländische Züchter mit dem UPOV PRISMA-Tool Sortenschutz beantragen können - einem System, mit dem Züchter Anmeldungen in einer Reihe von Ländern gleichzeitig einreichen können. </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r w:rsidRPr="002803A6">
        <w:t>ARIPO</w:t>
      </w:r>
    </w:p>
    <w:p w:rsidR="00982C5C" w:rsidRPr="002803A6" w:rsidRDefault="00982C5C" w:rsidP="00982C5C">
      <w:pPr>
        <w:pStyle w:val="NormalWeb"/>
        <w:spacing w:before="0" w:beforeAutospacing="0" w:after="0" w:afterAutospacing="0"/>
        <w:jc w:val="both"/>
        <w:rPr>
          <w:rFonts w:ascii="Arial" w:hAnsi="Arial" w:cs="Arial"/>
          <w:sz w:val="20"/>
          <w:szCs w:val="20"/>
        </w:rPr>
      </w:pPr>
    </w:p>
    <w:p w:rsidR="00982C5C" w:rsidRPr="002803A6" w:rsidRDefault="00982C5C" w:rsidP="00982C5C">
      <w:pPr>
        <w:pStyle w:val="NormalWeb"/>
        <w:spacing w:before="0" w:beforeAutospacing="0" w:after="0" w:afterAutospacing="0"/>
        <w:jc w:val="both"/>
        <w:rPr>
          <w:rFonts w:ascii="Arial" w:hAnsi="Arial" w:cs="Arial"/>
          <w:sz w:val="20"/>
          <w:szCs w:val="20"/>
        </w:rPr>
      </w:pPr>
      <w:r w:rsidRPr="002803A6">
        <w:rPr>
          <w:rFonts w:ascii="Arial" w:hAnsi="Arial"/>
          <w:sz w:val="20"/>
          <w:szCs w:val="20"/>
        </w:rPr>
        <w:t xml:space="preserve">Das CPVO nahm an der 42. Tagung des ARIPO-Verwaltungsrats teil, die in Windhoek, Namibia, stattfand. Für das CPVO waren die Erörterungen im Hinblick auf die Ratifizierung des </w:t>
      </w:r>
      <w:proofErr w:type="spellStart"/>
      <w:r w:rsidRPr="002803A6">
        <w:rPr>
          <w:rFonts w:ascii="Arial" w:hAnsi="Arial"/>
          <w:sz w:val="20"/>
          <w:szCs w:val="20"/>
        </w:rPr>
        <w:t>Arusha</w:t>
      </w:r>
      <w:proofErr w:type="spellEnd"/>
      <w:r w:rsidRPr="002803A6">
        <w:rPr>
          <w:rFonts w:ascii="Arial" w:hAnsi="Arial"/>
          <w:sz w:val="20"/>
          <w:szCs w:val="20"/>
        </w:rPr>
        <w:t>-Protokolls zum Schutz von Pflanzensorten, die vorgeschlagenen Strategien zu seiner Umsetzung, die Überprüfung einer Liste von landwirtschaftlichen Pflanzen mit althergebrachter Praxis für Nachbausaatgut sowie die Ausarbeitung von Qualitätsaudit-Leitlinien für künftige Prüfungsämter von besonderem Interesse. Gemeinsam mit der VR-</w:t>
      </w:r>
      <w:r w:rsidRPr="002803A6">
        <w:rPr>
          <w:rFonts w:ascii="Arial" w:hAnsi="Arial"/>
          <w:sz w:val="20"/>
          <w:szCs w:val="20"/>
        </w:rPr>
        <w:lastRenderedPageBreak/>
        <w:t xml:space="preserve">Tagung organisierte UPOV in Zusammenarbeit mit ARIPO und dem USPTO ein Seminar über den Sortenschutz, bei dem das CPVO als Redner auftrat und die Umsetzung erläuterte und die Vorteile eines regionalen Sortenschutz-Systems in der Europäischen Union hervorhob. </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r w:rsidRPr="002803A6">
        <w:t>Indien</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r w:rsidRPr="002803A6">
        <w:t xml:space="preserve">Das Büro trug dazu bei, </w:t>
      </w:r>
      <w:r w:rsidR="002803A6" w:rsidRPr="002803A6">
        <w:t>dass</w:t>
      </w:r>
      <w:r w:rsidRPr="002803A6">
        <w:t xml:space="preserve"> die Arbeitstagung Teil einer bilateralen Zusammenarbeit zwischen Indien und Deutschland war. Im Mittelpunkt der Arbeitstagung stand die Verwendung molekularer Verfahren bei der DUS-Prüfung, einschließlich der Verwaltung von Vergleichssammlungen. Die Arbeitstagung fand vom 21.-22. November 2018 in Neu-Delhi statt. </w:t>
      </w:r>
    </w:p>
    <w:p w:rsidR="00982C5C" w:rsidRPr="002803A6" w:rsidRDefault="00982C5C" w:rsidP="00982C5C">
      <w:pPr>
        <w:autoSpaceDE w:val="0"/>
        <w:autoSpaceDN w:val="0"/>
        <w:adjustRightInd w:val="0"/>
        <w:rPr>
          <w:rFonts w:cs="Arial"/>
          <w:strike/>
        </w:rPr>
      </w:pPr>
    </w:p>
    <w:p w:rsidR="00982C5C" w:rsidRPr="002803A6" w:rsidRDefault="00982C5C" w:rsidP="00982C5C">
      <w:pPr>
        <w:pStyle w:val="NormalWeb"/>
        <w:spacing w:before="0" w:beforeAutospacing="0" w:after="0" w:afterAutospacing="0"/>
        <w:jc w:val="both"/>
        <w:rPr>
          <w:rFonts w:ascii="Arial" w:hAnsi="Arial" w:cs="Arial"/>
          <w:sz w:val="20"/>
          <w:szCs w:val="20"/>
        </w:rPr>
      </w:pPr>
      <w:r w:rsidRPr="002803A6">
        <w:rPr>
          <w:rFonts w:ascii="Arial" w:hAnsi="Arial"/>
          <w:sz w:val="20"/>
          <w:szCs w:val="20"/>
        </w:rPr>
        <w:t>China</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r w:rsidRPr="002803A6">
        <w:t xml:space="preserve">Am 15. September 2018 nahm das CPVO an dem vom Ministerium für Landwirtschaft und ländliche Angelegenheiten (MOARA) und der staatlichen Forst- und Grünlandverwaltung (SFGA) über das Entwicklungszentrum für Wissenschaft und Technologie (DCST) ihres Sortenschutzamtes in China organisierten Seminar über Aufbau und  Durchführung von Anbauprüfungen zur Bestimmung der Unterscheidbarkeit, Homogenität und Beständigkeit (DUS) bei Gemüse- und Zierpflanzen teil. Das CPVO stellte die Funktionsweise und die Vorteile des EU-Sortenschutzsystems vor. Vom 25. November bis 3. Dezember 2018 stellte das CPVO im Rahmen des </w:t>
      </w:r>
      <w:proofErr w:type="spellStart"/>
      <w:r w:rsidRPr="002803A6">
        <w:t>IPKey</w:t>
      </w:r>
      <w:proofErr w:type="spellEnd"/>
      <w:r w:rsidRPr="002803A6">
        <w:t xml:space="preserve"> China-Projekts chinesischen Richtern das Sortenschutz-System der EU vor. </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r w:rsidRPr="002803A6">
        <w:t>2019 jährt sich der Beitritt Chinas zur UPOV zum zwanzigsten Mal. Feierlichkeiten fanden vom 22. bis 25. April 2019 statt. In Zusammenarbeit zwischen CPVO, IP Key China, MOARA und NFGA wurden zwei Seminare organisiert:</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ind w:left="284" w:hanging="284"/>
        <w:rPr>
          <w:rFonts w:cs="Arial"/>
        </w:rPr>
      </w:pPr>
      <w:r w:rsidRPr="002803A6">
        <w:t>-</w:t>
      </w:r>
      <w:r w:rsidRPr="002803A6">
        <w:tab/>
        <w:t xml:space="preserve">Seminar über Nachbausaatgut und im wesentlichen abgeleitete Sorten: Eine der Empfehlungen des vorangegangenen IP-Key-Projekts an die chinesischen Behörden bestand darin, die Situation in China in </w:t>
      </w:r>
      <w:r w:rsidR="002803A6" w:rsidRPr="002803A6">
        <w:t>Bezug</w:t>
      </w:r>
      <w:r w:rsidRPr="002803A6">
        <w:t xml:space="preserve"> auf Nachbausaatgut und im wesentlichen abgeleitete Sorten zu analysieren, um geeignete Antworten darauf auszuarbeiten.</w:t>
      </w:r>
    </w:p>
    <w:p w:rsidR="00982C5C" w:rsidRPr="002803A6" w:rsidRDefault="00982C5C" w:rsidP="00982C5C">
      <w:pPr>
        <w:pStyle w:val="NormalWeb"/>
        <w:spacing w:before="0" w:beforeAutospacing="0" w:after="0" w:afterAutospacing="0"/>
        <w:ind w:left="284" w:hanging="284"/>
        <w:jc w:val="both"/>
        <w:rPr>
          <w:rFonts w:ascii="Arial" w:hAnsi="Arial" w:cs="Arial"/>
          <w:sz w:val="20"/>
          <w:szCs w:val="20"/>
        </w:rPr>
      </w:pPr>
    </w:p>
    <w:p w:rsidR="00982C5C" w:rsidRPr="002803A6" w:rsidRDefault="00982C5C" w:rsidP="00982C5C">
      <w:pPr>
        <w:pStyle w:val="NormalWeb"/>
        <w:spacing w:before="0" w:beforeAutospacing="0" w:after="0" w:afterAutospacing="0"/>
        <w:ind w:left="284" w:hanging="284"/>
        <w:jc w:val="both"/>
        <w:rPr>
          <w:rFonts w:ascii="Arial" w:hAnsi="Arial" w:cs="Arial"/>
          <w:sz w:val="20"/>
          <w:szCs w:val="20"/>
        </w:rPr>
      </w:pPr>
      <w:r w:rsidRPr="002803A6">
        <w:rPr>
          <w:rFonts w:ascii="Arial" w:hAnsi="Arial"/>
          <w:sz w:val="20"/>
          <w:szCs w:val="20"/>
        </w:rPr>
        <w:t>-</w:t>
      </w:r>
      <w:r w:rsidRPr="002803A6">
        <w:rPr>
          <w:rFonts w:ascii="Arial" w:hAnsi="Arial"/>
          <w:sz w:val="20"/>
          <w:szCs w:val="20"/>
        </w:rPr>
        <w:tab/>
        <w:t xml:space="preserve">Seminar über internationale Zusammenarbeit und Übernahme von DUS-Berichten. Am 12. Juni 2019 und vom 5. bis 16. August 2019 führte das CPVO im Rahmen des </w:t>
      </w:r>
      <w:proofErr w:type="spellStart"/>
      <w:r w:rsidRPr="002803A6">
        <w:rPr>
          <w:rFonts w:ascii="Arial" w:hAnsi="Arial"/>
          <w:sz w:val="20"/>
          <w:szCs w:val="20"/>
        </w:rPr>
        <w:t>IPKey</w:t>
      </w:r>
      <w:proofErr w:type="spellEnd"/>
      <w:r w:rsidRPr="002803A6">
        <w:rPr>
          <w:rFonts w:ascii="Arial" w:hAnsi="Arial"/>
          <w:sz w:val="20"/>
          <w:szCs w:val="20"/>
        </w:rPr>
        <w:t xml:space="preserve"> China-Projekts Ausbildungslehrgänge für chinesische Sachverständige in der EU zur Prüfung von Anträgen auf Sortenschutz durch, die in Frankreich, Deutschland und den Niederlanden stattfanden. Das CPVO stellte die Funktionsweise und die Vorteile des EU-Sortenschutzsystems vor. Darüber hinaus wurden fünf spezialisierte Schulungen durchgeführt, die sich insbesondere mit der Beurteilung von Anträgen auf Erteilung von Sortenrechten, der DUS-Prüfung und der Qualitätsbewertung über Prüfungszentren hinweg befassten.</w:t>
      </w:r>
    </w:p>
    <w:p w:rsidR="00982C5C" w:rsidRPr="002803A6" w:rsidRDefault="00982C5C" w:rsidP="00982C5C">
      <w:pPr>
        <w:autoSpaceDE w:val="0"/>
        <w:autoSpaceDN w:val="0"/>
        <w:adjustRightInd w:val="0"/>
        <w:rPr>
          <w:rFonts w:cs="Arial"/>
          <w:u w:val="single"/>
        </w:rPr>
      </w:pPr>
    </w:p>
    <w:p w:rsidR="00982C5C" w:rsidRPr="002803A6" w:rsidRDefault="00982C5C" w:rsidP="00982C5C">
      <w:pPr>
        <w:keepNext/>
        <w:autoSpaceDE w:val="0"/>
        <w:autoSpaceDN w:val="0"/>
        <w:adjustRightInd w:val="0"/>
        <w:rPr>
          <w:rFonts w:cs="Arial"/>
        </w:rPr>
      </w:pPr>
      <w:r w:rsidRPr="002803A6">
        <w:t xml:space="preserve">Sonstige Fördertätigkeiten </w:t>
      </w:r>
    </w:p>
    <w:p w:rsidR="00982C5C" w:rsidRPr="002803A6" w:rsidRDefault="00982C5C" w:rsidP="00982C5C">
      <w:pPr>
        <w:keepNext/>
        <w:autoSpaceDE w:val="0"/>
        <w:autoSpaceDN w:val="0"/>
        <w:adjustRightInd w:val="0"/>
        <w:rPr>
          <w:rFonts w:cs="Ari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35"/>
        <w:gridCol w:w="850"/>
        <w:gridCol w:w="992"/>
        <w:gridCol w:w="1418"/>
        <w:gridCol w:w="2410"/>
        <w:gridCol w:w="1417"/>
        <w:gridCol w:w="1701"/>
      </w:tblGrid>
      <w:tr w:rsidR="00982C5C" w:rsidRPr="002803A6" w:rsidTr="00403E13">
        <w:trPr>
          <w:cantSplit/>
          <w:tblHeader/>
        </w:trPr>
        <w:tc>
          <w:tcPr>
            <w:tcW w:w="1135" w:type="dxa"/>
            <w:shd w:val="clear" w:color="auto" w:fill="auto"/>
          </w:tcPr>
          <w:p w:rsidR="00982C5C" w:rsidRPr="002803A6" w:rsidRDefault="00982C5C" w:rsidP="00E16D6F">
            <w:pPr>
              <w:jc w:val="left"/>
              <w:rPr>
                <w:rFonts w:cs="Arial"/>
                <w:sz w:val="16"/>
              </w:rPr>
            </w:pPr>
            <w:r w:rsidRPr="002803A6">
              <w:rPr>
                <w:sz w:val="16"/>
              </w:rPr>
              <w:t>Art der Tätigkeit</w:t>
            </w:r>
          </w:p>
        </w:tc>
        <w:tc>
          <w:tcPr>
            <w:tcW w:w="850" w:type="dxa"/>
            <w:shd w:val="clear" w:color="auto" w:fill="auto"/>
          </w:tcPr>
          <w:p w:rsidR="00982C5C" w:rsidRPr="002803A6" w:rsidRDefault="00982C5C" w:rsidP="00E16D6F">
            <w:pPr>
              <w:jc w:val="left"/>
              <w:rPr>
                <w:rFonts w:cs="Arial"/>
                <w:sz w:val="16"/>
              </w:rPr>
            </w:pPr>
            <w:r w:rsidRPr="002803A6">
              <w:rPr>
                <w:sz w:val="16"/>
              </w:rPr>
              <w:t>Datum</w:t>
            </w:r>
          </w:p>
        </w:tc>
        <w:tc>
          <w:tcPr>
            <w:tcW w:w="992" w:type="dxa"/>
            <w:shd w:val="clear" w:color="auto" w:fill="auto"/>
          </w:tcPr>
          <w:p w:rsidR="00982C5C" w:rsidRPr="002803A6" w:rsidRDefault="00982C5C" w:rsidP="00E16D6F">
            <w:pPr>
              <w:jc w:val="left"/>
              <w:rPr>
                <w:rFonts w:cs="Arial"/>
                <w:sz w:val="16"/>
              </w:rPr>
            </w:pPr>
            <w:r w:rsidRPr="002803A6">
              <w:rPr>
                <w:sz w:val="16"/>
              </w:rPr>
              <w:t>Ort</w:t>
            </w:r>
          </w:p>
        </w:tc>
        <w:tc>
          <w:tcPr>
            <w:tcW w:w="1418" w:type="dxa"/>
            <w:shd w:val="clear" w:color="auto" w:fill="auto"/>
          </w:tcPr>
          <w:p w:rsidR="00982C5C" w:rsidRPr="002803A6" w:rsidRDefault="00982C5C" w:rsidP="00E16D6F">
            <w:pPr>
              <w:jc w:val="left"/>
              <w:rPr>
                <w:rFonts w:cs="Arial"/>
                <w:sz w:val="16"/>
              </w:rPr>
            </w:pPr>
            <w:r w:rsidRPr="002803A6">
              <w:rPr>
                <w:sz w:val="16"/>
              </w:rPr>
              <w:t>Organisator(en)</w:t>
            </w:r>
          </w:p>
        </w:tc>
        <w:tc>
          <w:tcPr>
            <w:tcW w:w="2410" w:type="dxa"/>
            <w:shd w:val="clear" w:color="auto" w:fill="auto"/>
          </w:tcPr>
          <w:p w:rsidR="00982C5C" w:rsidRPr="002803A6" w:rsidRDefault="00982C5C" w:rsidP="00E16D6F">
            <w:pPr>
              <w:jc w:val="left"/>
              <w:rPr>
                <w:rFonts w:cs="Arial"/>
                <w:sz w:val="16"/>
              </w:rPr>
            </w:pPr>
            <w:r w:rsidRPr="002803A6">
              <w:rPr>
                <w:sz w:val="16"/>
              </w:rPr>
              <w:t>Zweck der Tätigkeit</w:t>
            </w:r>
          </w:p>
        </w:tc>
        <w:tc>
          <w:tcPr>
            <w:tcW w:w="1417" w:type="dxa"/>
            <w:shd w:val="clear" w:color="auto" w:fill="auto"/>
          </w:tcPr>
          <w:p w:rsidR="00982C5C" w:rsidRPr="002803A6" w:rsidRDefault="00982C5C" w:rsidP="00E16D6F">
            <w:pPr>
              <w:jc w:val="left"/>
              <w:rPr>
                <w:rFonts w:cs="Arial"/>
                <w:sz w:val="16"/>
              </w:rPr>
            </w:pPr>
            <w:r w:rsidRPr="002803A6">
              <w:rPr>
                <w:sz w:val="16"/>
              </w:rPr>
              <w:t>Teilnehmende Staaten/</w:t>
            </w:r>
            <w:proofErr w:type="spellStart"/>
            <w:r w:rsidRPr="002803A6">
              <w:rPr>
                <w:sz w:val="16"/>
              </w:rPr>
              <w:t>Organisa-tionen</w:t>
            </w:r>
            <w:proofErr w:type="spellEnd"/>
            <w:r w:rsidRPr="002803A6">
              <w:rPr>
                <w:sz w:val="16"/>
              </w:rPr>
              <w:t xml:space="preserve"> (Zahl der Teilnehmer pro Staat/</w:t>
            </w:r>
            <w:proofErr w:type="spellStart"/>
            <w:r w:rsidRPr="002803A6">
              <w:rPr>
                <w:sz w:val="16"/>
              </w:rPr>
              <w:t>Organisa-tion</w:t>
            </w:r>
            <w:proofErr w:type="spellEnd"/>
            <w:r w:rsidRPr="002803A6">
              <w:rPr>
                <w:sz w:val="16"/>
              </w:rPr>
              <w:t>)</w:t>
            </w:r>
          </w:p>
        </w:tc>
        <w:tc>
          <w:tcPr>
            <w:tcW w:w="1701" w:type="dxa"/>
            <w:shd w:val="clear" w:color="auto" w:fill="auto"/>
          </w:tcPr>
          <w:p w:rsidR="00982C5C" w:rsidRPr="002803A6" w:rsidRDefault="00982C5C" w:rsidP="00E16D6F">
            <w:pPr>
              <w:jc w:val="left"/>
              <w:rPr>
                <w:rFonts w:cs="Arial"/>
                <w:sz w:val="16"/>
              </w:rPr>
            </w:pPr>
            <w:r w:rsidRPr="002803A6">
              <w:rPr>
                <w:sz w:val="16"/>
              </w:rPr>
              <w:t>Anmerkungen</w:t>
            </w:r>
          </w:p>
        </w:tc>
      </w:tr>
      <w:tr w:rsidR="00982C5C" w:rsidRPr="002803A6" w:rsidTr="00403E13">
        <w:trPr>
          <w:cantSplit/>
        </w:trPr>
        <w:tc>
          <w:tcPr>
            <w:tcW w:w="1135" w:type="dxa"/>
            <w:shd w:val="clear" w:color="auto" w:fill="auto"/>
          </w:tcPr>
          <w:p w:rsidR="00982C5C" w:rsidRPr="002803A6" w:rsidRDefault="00982C5C" w:rsidP="00E16D6F">
            <w:pPr>
              <w:jc w:val="left"/>
              <w:rPr>
                <w:rFonts w:cs="Arial"/>
                <w:sz w:val="16"/>
              </w:rPr>
            </w:pPr>
            <w:r w:rsidRPr="002803A6">
              <w:rPr>
                <w:sz w:val="16"/>
              </w:rPr>
              <w:t>1.</w:t>
            </w:r>
          </w:p>
          <w:p w:rsidR="00982C5C" w:rsidRPr="002803A6" w:rsidRDefault="00982C5C" w:rsidP="00E16D6F">
            <w:pPr>
              <w:jc w:val="left"/>
              <w:rPr>
                <w:rFonts w:cs="Arial"/>
                <w:sz w:val="16"/>
              </w:rPr>
            </w:pPr>
            <w:r w:rsidRPr="002803A6">
              <w:rPr>
                <w:sz w:val="16"/>
              </w:rPr>
              <w:t>Sortenschutz: Seminare und Arbeitstagung</w:t>
            </w:r>
          </w:p>
        </w:tc>
        <w:tc>
          <w:tcPr>
            <w:tcW w:w="850" w:type="dxa"/>
            <w:shd w:val="clear" w:color="auto" w:fill="auto"/>
          </w:tcPr>
          <w:p w:rsidR="00982C5C" w:rsidRPr="002803A6" w:rsidRDefault="00982C5C" w:rsidP="00E16D6F">
            <w:pPr>
              <w:jc w:val="left"/>
              <w:rPr>
                <w:rFonts w:cs="Arial"/>
                <w:sz w:val="16"/>
              </w:rPr>
            </w:pPr>
            <w:r w:rsidRPr="002803A6">
              <w:rPr>
                <w:sz w:val="16"/>
              </w:rPr>
              <w:t>23.-31. August 2018</w:t>
            </w:r>
          </w:p>
        </w:tc>
        <w:tc>
          <w:tcPr>
            <w:tcW w:w="992" w:type="dxa"/>
            <w:shd w:val="clear" w:color="auto" w:fill="auto"/>
          </w:tcPr>
          <w:p w:rsidR="00982C5C" w:rsidRPr="002803A6" w:rsidRDefault="00982C5C" w:rsidP="00E16D6F">
            <w:pPr>
              <w:jc w:val="left"/>
              <w:rPr>
                <w:rFonts w:cs="Arial"/>
                <w:sz w:val="16"/>
              </w:rPr>
            </w:pPr>
            <w:r w:rsidRPr="002803A6">
              <w:rPr>
                <w:sz w:val="16"/>
              </w:rPr>
              <w:t>Lima, Quito</w:t>
            </w:r>
          </w:p>
        </w:tc>
        <w:tc>
          <w:tcPr>
            <w:tcW w:w="1418" w:type="dxa"/>
            <w:shd w:val="clear" w:color="auto" w:fill="auto"/>
          </w:tcPr>
          <w:p w:rsidR="00982C5C" w:rsidRPr="002803A6" w:rsidRDefault="00982C5C" w:rsidP="00E16D6F">
            <w:pPr>
              <w:jc w:val="left"/>
              <w:rPr>
                <w:rFonts w:cs="Arial"/>
                <w:sz w:val="16"/>
              </w:rPr>
            </w:pPr>
            <w:r w:rsidRPr="002803A6">
              <w:rPr>
                <w:sz w:val="16"/>
              </w:rPr>
              <w:t>INDECOPI und SENADI</w:t>
            </w:r>
          </w:p>
        </w:tc>
        <w:tc>
          <w:tcPr>
            <w:tcW w:w="2410" w:type="dxa"/>
            <w:shd w:val="clear" w:color="auto" w:fill="auto"/>
          </w:tcPr>
          <w:p w:rsidR="00982C5C" w:rsidRPr="002803A6" w:rsidRDefault="00982C5C" w:rsidP="00E16D6F">
            <w:pPr>
              <w:jc w:val="left"/>
              <w:rPr>
                <w:rFonts w:cs="Arial"/>
                <w:sz w:val="16"/>
              </w:rPr>
            </w:pPr>
            <w:r w:rsidRPr="002803A6">
              <w:rPr>
                <w:sz w:val="16"/>
              </w:rPr>
              <w:t>Die Seminare zielten darauf ab, politische Entscheidungsträger für die sozialen und wirtschaftlichen Auswirkungen des Sortenschutzes zu sensibilisieren, das Wissen über Pflanzensorten zu erweitern, Umfang und Inhalt von UPOV 1991 zu verbreiten und ein internationales Netzwerk von Sachverständigen für geistiges Eigentum im Bereich des Sortenschutzes in der Region aufzubauen, das einen kontinuierlichen Austausch und eine kontinuierliche Zusammenarbeit ermöglicht. Das CPVO stellte die Funktionsweise und die Vorteile des EU-Sortenschutzsystems vor.</w:t>
            </w:r>
          </w:p>
        </w:tc>
        <w:tc>
          <w:tcPr>
            <w:tcW w:w="1417" w:type="dxa"/>
            <w:shd w:val="clear" w:color="auto" w:fill="auto"/>
          </w:tcPr>
          <w:p w:rsidR="00982C5C" w:rsidRPr="002803A6" w:rsidRDefault="00982C5C" w:rsidP="00E16D6F">
            <w:pPr>
              <w:jc w:val="left"/>
              <w:rPr>
                <w:rFonts w:cs="Arial"/>
                <w:sz w:val="16"/>
              </w:rPr>
            </w:pPr>
            <w:r w:rsidRPr="002803A6">
              <w:rPr>
                <w:sz w:val="16"/>
              </w:rPr>
              <w:t>Vertreter aus Peru, Ecuador, UPOV, CPVO</w:t>
            </w:r>
          </w:p>
        </w:tc>
        <w:tc>
          <w:tcPr>
            <w:tcW w:w="1701" w:type="dxa"/>
            <w:shd w:val="clear" w:color="auto" w:fill="auto"/>
          </w:tcPr>
          <w:p w:rsidR="00982C5C" w:rsidRPr="002803A6" w:rsidRDefault="00982C5C" w:rsidP="00E16D6F">
            <w:pPr>
              <w:jc w:val="left"/>
              <w:rPr>
                <w:rFonts w:cs="Arial"/>
                <w:sz w:val="16"/>
              </w:rPr>
            </w:pPr>
            <w:proofErr w:type="spellStart"/>
            <w:r w:rsidRPr="002803A6">
              <w:rPr>
                <w:sz w:val="16"/>
              </w:rPr>
              <w:t>IPKey</w:t>
            </w:r>
            <w:proofErr w:type="spellEnd"/>
            <w:r w:rsidRPr="002803A6">
              <w:rPr>
                <w:sz w:val="16"/>
              </w:rPr>
              <w:t xml:space="preserve"> Lateinamerika (LA) ist ein EU-Projekt zur Verbesserung der Zusammenarbeit zwischen der EU und LA bei ausgewählten neuen Herausforderungen im Bereich des geistigen Eigentums, das von der Europäischen Kommission und EUIPO gegründet und geleitet wird.</w:t>
            </w:r>
          </w:p>
        </w:tc>
      </w:tr>
      <w:tr w:rsidR="00982C5C" w:rsidRPr="002803A6" w:rsidTr="00403E13">
        <w:trPr>
          <w:cantSplit/>
        </w:trPr>
        <w:tc>
          <w:tcPr>
            <w:tcW w:w="1135" w:type="dxa"/>
            <w:shd w:val="clear" w:color="auto" w:fill="auto"/>
          </w:tcPr>
          <w:p w:rsidR="00982C5C" w:rsidRPr="002803A6" w:rsidRDefault="00982C5C" w:rsidP="00E16D6F">
            <w:pPr>
              <w:jc w:val="left"/>
              <w:rPr>
                <w:rFonts w:cs="Arial"/>
                <w:sz w:val="16"/>
              </w:rPr>
            </w:pPr>
            <w:r w:rsidRPr="002803A6">
              <w:rPr>
                <w:sz w:val="16"/>
              </w:rPr>
              <w:lastRenderedPageBreak/>
              <w:t>2.</w:t>
            </w:r>
          </w:p>
          <w:p w:rsidR="00982C5C" w:rsidRPr="002803A6" w:rsidRDefault="00982C5C" w:rsidP="00E16D6F">
            <w:pPr>
              <w:jc w:val="left"/>
              <w:rPr>
                <w:rFonts w:cs="Arial"/>
                <w:sz w:val="16"/>
              </w:rPr>
            </w:pPr>
            <w:r w:rsidRPr="002803A6">
              <w:rPr>
                <w:sz w:val="16"/>
              </w:rPr>
              <w:t xml:space="preserve">Studienreise zum Sortenschutz </w:t>
            </w:r>
          </w:p>
        </w:tc>
        <w:tc>
          <w:tcPr>
            <w:tcW w:w="850" w:type="dxa"/>
            <w:shd w:val="clear" w:color="auto" w:fill="auto"/>
          </w:tcPr>
          <w:p w:rsidR="00982C5C" w:rsidRPr="002803A6" w:rsidRDefault="00982C5C" w:rsidP="00E16D6F">
            <w:pPr>
              <w:jc w:val="left"/>
              <w:rPr>
                <w:rFonts w:cs="Arial"/>
                <w:sz w:val="16"/>
              </w:rPr>
            </w:pPr>
            <w:r w:rsidRPr="002803A6">
              <w:rPr>
                <w:sz w:val="16"/>
              </w:rPr>
              <w:t>5.- 6. November 2018</w:t>
            </w:r>
          </w:p>
        </w:tc>
        <w:tc>
          <w:tcPr>
            <w:tcW w:w="992" w:type="dxa"/>
            <w:shd w:val="clear" w:color="auto" w:fill="auto"/>
          </w:tcPr>
          <w:p w:rsidR="00982C5C" w:rsidRPr="002803A6" w:rsidRDefault="00982C5C" w:rsidP="00E16D6F">
            <w:pPr>
              <w:jc w:val="left"/>
              <w:rPr>
                <w:rFonts w:cs="Arial"/>
                <w:sz w:val="16"/>
              </w:rPr>
            </w:pPr>
            <w:r w:rsidRPr="002803A6">
              <w:rPr>
                <w:sz w:val="16"/>
              </w:rPr>
              <w:t>Vietnam</w:t>
            </w:r>
          </w:p>
        </w:tc>
        <w:tc>
          <w:tcPr>
            <w:tcW w:w="1418" w:type="dxa"/>
            <w:shd w:val="clear" w:color="auto" w:fill="auto"/>
          </w:tcPr>
          <w:p w:rsidR="00982C5C" w:rsidRPr="002803A6" w:rsidRDefault="00982C5C" w:rsidP="00E16D6F">
            <w:pPr>
              <w:jc w:val="left"/>
              <w:rPr>
                <w:rFonts w:cs="Arial"/>
                <w:sz w:val="16"/>
              </w:rPr>
            </w:pPr>
            <w:r w:rsidRPr="002803A6">
              <w:rPr>
                <w:sz w:val="16"/>
              </w:rPr>
              <w:t>Mitorganisiert durch das Sortenamt (PVPO), Ministerium für Landwirtschaft und ländliche Entwicklung von Vietnam</w:t>
            </w:r>
          </w:p>
        </w:tc>
        <w:tc>
          <w:tcPr>
            <w:tcW w:w="2410" w:type="dxa"/>
            <w:shd w:val="clear" w:color="auto" w:fill="auto"/>
          </w:tcPr>
          <w:p w:rsidR="00982C5C" w:rsidRPr="002803A6" w:rsidRDefault="00982C5C" w:rsidP="00E16D6F">
            <w:pPr>
              <w:jc w:val="left"/>
              <w:rPr>
                <w:rFonts w:cs="Arial"/>
                <w:sz w:val="16"/>
              </w:rPr>
            </w:pPr>
            <w:r w:rsidRPr="002803A6">
              <w:rPr>
                <w:sz w:val="16"/>
              </w:rPr>
              <w:t>Das CPVO beriet im Hinblick auf bewährte Verfahren zum Sortenschutz und die Vorteile regionaler Sortenschutzsysteme und erörterte die potentiellen Entwicklungen des Sortenschutzes in Südostasien.</w:t>
            </w:r>
          </w:p>
        </w:tc>
        <w:tc>
          <w:tcPr>
            <w:tcW w:w="1417" w:type="dxa"/>
            <w:shd w:val="clear" w:color="auto" w:fill="auto"/>
          </w:tcPr>
          <w:p w:rsidR="00982C5C" w:rsidRPr="002803A6" w:rsidRDefault="00982C5C" w:rsidP="00E16D6F">
            <w:pPr>
              <w:jc w:val="left"/>
              <w:rPr>
                <w:rFonts w:cs="Arial"/>
                <w:sz w:val="16"/>
              </w:rPr>
            </w:pPr>
            <w:r w:rsidRPr="002803A6">
              <w:rPr>
                <w:sz w:val="16"/>
              </w:rPr>
              <w:t>Vertreter aus Indonesien, Malaysia, den Philippinen und Thailand</w:t>
            </w:r>
          </w:p>
        </w:tc>
        <w:tc>
          <w:tcPr>
            <w:tcW w:w="1701" w:type="dxa"/>
            <w:shd w:val="clear" w:color="auto" w:fill="auto"/>
          </w:tcPr>
          <w:p w:rsidR="00982C5C" w:rsidRPr="002803A6" w:rsidRDefault="00982C5C" w:rsidP="00403E13">
            <w:pPr>
              <w:jc w:val="left"/>
              <w:rPr>
                <w:rFonts w:cs="Arial"/>
                <w:sz w:val="16"/>
              </w:rPr>
            </w:pPr>
            <w:r w:rsidRPr="002803A6">
              <w:rPr>
                <w:sz w:val="16"/>
              </w:rPr>
              <w:t xml:space="preserve">Die </w:t>
            </w:r>
            <w:proofErr w:type="spellStart"/>
            <w:r w:rsidRPr="002803A6">
              <w:rPr>
                <w:sz w:val="16"/>
              </w:rPr>
              <w:t>IPKey</w:t>
            </w:r>
            <w:proofErr w:type="spellEnd"/>
            <w:r w:rsidRPr="002803A6">
              <w:rPr>
                <w:sz w:val="16"/>
              </w:rPr>
              <w:t>-Maßnahme Südostasien soll die Gespräche über ein Freihandelsabkommen und den Dialog über geistiges Eigentum der Europäischen Union mit ihren Handelspartnern in Südostasien unterstützen, indem Ländern dabei geholfen wird, sich mit den spezifischen neuen Herausforderungen im Bereich des geistigen Eigentums, die auch die EU betreffen, auseinanderzusetzen.</w:t>
            </w:r>
          </w:p>
        </w:tc>
      </w:tr>
      <w:tr w:rsidR="00982C5C" w:rsidRPr="002803A6" w:rsidTr="00403E13">
        <w:trPr>
          <w:cantSplit/>
        </w:trPr>
        <w:tc>
          <w:tcPr>
            <w:tcW w:w="1135" w:type="dxa"/>
            <w:shd w:val="clear" w:color="auto" w:fill="auto"/>
          </w:tcPr>
          <w:p w:rsidR="00982C5C" w:rsidRPr="002803A6" w:rsidRDefault="00982C5C" w:rsidP="00E16D6F">
            <w:pPr>
              <w:jc w:val="left"/>
              <w:rPr>
                <w:rFonts w:cs="Arial"/>
                <w:sz w:val="16"/>
              </w:rPr>
            </w:pPr>
            <w:r w:rsidRPr="002803A6">
              <w:rPr>
                <w:sz w:val="16"/>
              </w:rPr>
              <w:t>3.</w:t>
            </w:r>
          </w:p>
          <w:p w:rsidR="00982C5C" w:rsidRPr="002803A6" w:rsidRDefault="00982C5C" w:rsidP="00E16D6F">
            <w:pPr>
              <w:jc w:val="left"/>
              <w:rPr>
                <w:rFonts w:cs="Arial"/>
                <w:sz w:val="16"/>
              </w:rPr>
            </w:pPr>
            <w:r w:rsidRPr="002803A6">
              <w:rPr>
                <w:sz w:val="16"/>
              </w:rPr>
              <w:t xml:space="preserve">IP Key SEA-Konferenz über die Vorteile des internationalen </w:t>
            </w:r>
            <w:r w:rsidRPr="002803A6">
              <w:rPr>
                <w:spacing w:val="-2"/>
                <w:sz w:val="16"/>
              </w:rPr>
              <w:t>Sortenschutzes</w:t>
            </w:r>
          </w:p>
        </w:tc>
        <w:tc>
          <w:tcPr>
            <w:tcW w:w="850" w:type="dxa"/>
            <w:shd w:val="clear" w:color="auto" w:fill="auto"/>
          </w:tcPr>
          <w:p w:rsidR="00982C5C" w:rsidRPr="002803A6" w:rsidRDefault="00982C5C" w:rsidP="00E16D6F">
            <w:pPr>
              <w:jc w:val="left"/>
              <w:rPr>
                <w:rFonts w:cs="Arial"/>
                <w:sz w:val="16"/>
              </w:rPr>
            </w:pPr>
            <w:r w:rsidRPr="002803A6">
              <w:rPr>
                <w:sz w:val="16"/>
              </w:rPr>
              <w:t>8.-9. November 2018</w:t>
            </w:r>
          </w:p>
        </w:tc>
        <w:tc>
          <w:tcPr>
            <w:tcW w:w="992" w:type="dxa"/>
            <w:shd w:val="clear" w:color="auto" w:fill="auto"/>
          </w:tcPr>
          <w:p w:rsidR="00982C5C" w:rsidRPr="002803A6" w:rsidRDefault="00982C5C" w:rsidP="00E16D6F">
            <w:pPr>
              <w:jc w:val="left"/>
              <w:rPr>
                <w:rFonts w:cs="Arial"/>
                <w:sz w:val="16"/>
              </w:rPr>
            </w:pPr>
            <w:r w:rsidRPr="002803A6">
              <w:rPr>
                <w:sz w:val="16"/>
              </w:rPr>
              <w:t>Indonesien</w:t>
            </w:r>
          </w:p>
        </w:tc>
        <w:tc>
          <w:tcPr>
            <w:tcW w:w="1418" w:type="dxa"/>
            <w:shd w:val="clear" w:color="auto" w:fill="auto"/>
          </w:tcPr>
          <w:p w:rsidR="00982C5C" w:rsidRPr="002803A6" w:rsidRDefault="00982C5C" w:rsidP="00E16D6F">
            <w:pPr>
              <w:jc w:val="left"/>
              <w:rPr>
                <w:rFonts w:cs="Arial"/>
                <w:sz w:val="16"/>
              </w:rPr>
            </w:pPr>
            <w:r w:rsidRPr="002803A6">
              <w:rPr>
                <w:sz w:val="16"/>
              </w:rPr>
              <w:t>UPOV, Ministerium für Land- und Forstwirtschaft und Fischerei (MAFF) Japans und USPTO</w:t>
            </w:r>
          </w:p>
        </w:tc>
        <w:tc>
          <w:tcPr>
            <w:tcW w:w="2410" w:type="dxa"/>
            <w:shd w:val="clear" w:color="auto" w:fill="auto"/>
          </w:tcPr>
          <w:p w:rsidR="00982C5C" w:rsidRPr="002803A6" w:rsidRDefault="00982C5C" w:rsidP="00E16D6F">
            <w:pPr>
              <w:jc w:val="left"/>
              <w:rPr>
                <w:rFonts w:cs="Arial"/>
                <w:sz w:val="16"/>
              </w:rPr>
            </w:pPr>
            <w:r w:rsidRPr="002803A6">
              <w:rPr>
                <w:sz w:val="16"/>
              </w:rPr>
              <w:t>Das CPVO stellte die wichtigsten Umsetzungsschritte des UPOV-Übereinkommens in der EU vor.</w:t>
            </w:r>
          </w:p>
        </w:tc>
        <w:tc>
          <w:tcPr>
            <w:tcW w:w="1417" w:type="dxa"/>
            <w:shd w:val="clear" w:color="auto" w:fill="auto"/>
          </w:tcPr>
          <w:p w:rsidR="00982C5C" w:rsidRPr="002803A6" w:rsidRDefault="00982C5C" w:rsidP="00E16D6F">
            <w:pPr>
              <w:jc w:val="left"/>
              <w:rPr>
                <w:rFonts w:cs="Arial"/>
                <w:sz w:val="16"/>
              </w:rPr>
            </w:pPr>
            <w:r w:rsidRPr="002803A6">
              <w:rPr>
                <w:sz w:val="16"/>
              </w:rPr>
              <w:t>Vertreter aus Indonesien, Malaysia, Thailand und Vietnam</w:t>
            </w:r>
          </w:p>
        </w:tc>
        <w:tc>
          <w:tcPr>
            <w:tcW w:w="1701" w:type="dxa"/>
            <w:shd w:val="clear" w:color="auto" w:fill="auto"/>
          </w:tcPr>
          <w:p w:rsidR="00982C5C" w:rsidRPr="002803A6" w:rsidRDefault="00982C5C" w:rsidP="00E16D6F">
            <w:pPr>
              <w:jc w:val="left"/>
              <w:rPr>
                <w:rFonts w:cs="Arial"/>
                <w:sz w:val="16"/>
              </w:rPr>
            </w:pPr>
          </w:p>
        </w:tc>
      </w:tr>
    </w:tbl>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p>
    <w:p w:rsidR="00982C5C" w:rsidRPr="002803A6" w:rsidRDefault="00403E13" w:rsidP="00982C5C">
      <w:pPr>
        <w:ind w:left="720" w:hanging="720"/>
        <w:rPr>
          <w:rFonts w:cs="Arial"/>
        </w:rPr>
      </w:pPr>
      <w:r w:rsidRPr="002803A6">
        <w:t>5.3</w:t>
      </w:r>
      <w:r w:rsidRPr="002803A6">
        <w:tab/>
      </w:r>
      <w:r w:rsidR="00982C5C" w:rsidRPr="002803A6">
        <w:t>Teilnahme an internationalen Messen und Tagen der offenen Tür</w:t>
      </w:r>
    </w:p>
    <w:p w:rsidR="00982C5C" w:rsidRPr="002803A6" w:rsidRDefault="00982C5C" w:rsidP="00982C5C"/>
    <w:p w:rsidR="00982C5C" w:rsidRPr="002803A6" w:rsidRDefault="00982C5C" w:rsidP="00982C5C">
      <w:r w:rsidRPr="002803A6">
        <w:t xml:space="preserve">Im Januar 2019 nahm das Büro an der IPM in Essen, der größten Messe für Zierpflanzen weltweit, teil. Es teilte sich den Stand mit Kollegen vom Bundessortenamt, GEVES, </w:t>
      </w:r>
      <w:proofErr w:type="spellStart"/>
      <w:r w:rsidRPr="002803A6">
        <w:t>Naktuinbouw</w:t>
      </w:r>
      <w:proofErr w:type="spellEnd"/>
      <w:r w:rsidRPr="002803A6">
        <w:t xml:space="preserve"> und NIAB.</w:t>
      </w:r>
    </w:p>
    <w:p w:rsidR="00982C5C" w:rsidRPr="002803A6" w:rsidRDefault="00982C5C" w:rsidP="00982C5C"/>
    <w:p w:rsidR="00982C5C" w:rsidRPr="002803A6" w:rsidRDefault="00982C5C" w:rsidP="00982C5C"/>
    <w:p w:rsidR="00982C5C" w:rsidRPr="002803A6" w:rsidRDefault="00982C5C" w:rsidP="00982C5C">
      <w:r w:rsidRPr="002803A6">
        <w:t>II.</w:t>
      </w:r>
      <w:r w:rsidRPr="002803A6">
        <w:tab/>
        <w:t>ANDERE ENTWICKLUNGEN VON INTERESSE FÜR DIE UPOV</w:t>
      </w:r>
    </w:p>
    <w:p w:rsidR="00982C5C" w:rsidRPr="002803A6" w:rsidRDefault="00982C5C" w:rsidP="00982C5C"/>
    <w:p w:rsidR="00982C5C" w:rsidRPr="002803A6" w:rsidRDefault="00982C5C" w:rsidP="00982C5C">
      <w:r w:rsidRPr="002803A6">
        <w:t xml:space="preserve">Forschung und Entwicklung </w:t>
      </w:r>
    </w:p>
    <w:p w:rsidR="00982C5C" w:rsidRPr="002803A6" w:rsidRDefault="00982C5C" w:rsidP="00982C5C">
      <w:pPr>
        <w:pStyle w:val="ListBullet"/>
        <w:numPr>
          <w:ilvl w:val="0"/>
          <w:numId w:val="0"/>
        </w:numPr>
        <w:tabs>
          <w:tab w:val="left" w:pos="720"/>
        </w:tabs>
        <w:spacing w:after="0"/>
        <w:ind w:left="283" w:hanging="283"/>
        <w:rPr>
          <w:rFonts w:cs="Arial"/>
          <w:lang w:val="de-DE"/>
        </w:rPr>
      </w:pPr>
    </w:p>
    <w:p w:rsidR="00982C5C" w:rsidRPr="002803A6" w:rsidRDefault="00982C5C" w:rsidP="00982C5C">
      <w:r w:rsidRPr="002803A6">
        <w:t xml:space="preserve">6.1 </w:t>
      </w:r>
      <w:r w:rsidRPr="002803A6">
        <w:tab/>
        <w:t>Ad-hoc-Arbeitsgruppe IMODDUS</w:t>
      </w:r>
    </w:p>
    <w:p w:rsidR="00982C5C" w:rsidRPr="002803A6" w:rsidRDefault="00982C5C" w:rsidP="00982C5C">
      <w:pPr>
        <w:rPr>
          <w:rFonts w:cs="Arial"/>
        </w:rPr>
      </w:pPr>
    </w:p>
    <w:p w:rsidR="00982C5C" w:rsidRPr="002803A6" w:rsidRDefault="00982C5C" w:rsidP="00982C5C">
      <w:pPr>
        <w:rPr>
          <w:rFonts w:cs="Arial"/>
        </w:rPr>
      </w:pPr>
      <w:r w:rsidRPr="002803A6">
        <w:t xml:space="preserve">Im Jahr 2015 wurde eine Ad-hoc-Arbeitsgruppe für biomolekulare Verfahren geschaffen und gemäß der englischen Bezeichnung </w:t>
      </w:r>
      <w:proofErr w:type="spellStart"/>
      <w:r w:rsidRPr="002803A6">
        <w:rPr>
          <w:i/>
        </w:rPr>
        <w:t>Molecular</w:t>
      </w:r>
      <w:proofErr w:type="spellEnd"/>
      <w:r w:rsidRPr="002803A6">
        <w:rPr>
          <w:i/>
        </w:rPr>
        <w:t xml:space="preserve"> Data </w:t>
      </w:r>
      <w:proofErr w:type="spellStart"/>
      <w:r w:rsidRPr="002803A6">
        <w:rPr>
          <w:i/>
        </w:rPr>
        <w:t>into</w:t>
      </w:r>
      <w:proofErr w:type="spellEnd"/>
      <w:r w:rsidRPr="002803A6">
        <w:rPr>
          <w:i/>
        </w:rPr>
        <w:t xml:space="preserve"> DUS-</w:t>
      </w:r>
      <w:proofErr w:type="spellStart"/>
      <w:r w:rsidRPr="002803A6">
        <w:rPr>
          <w:i/>
        </w:rPr>
        <w:t>Testing</w:t>
      </w:r>
      <w:proofErr w:type="spellEnd"/>
      <w:r w:rsidRPr="002803A6">
        <w:t xml:space="preserve"> (molekulare Daten bei der DUS-Prüfung) IMODDUS benannt. Ziel der Gruppe ist die Arbeit an Projekten in den verschiedenen Pflanzensektoren, in denen die Anwendung biomolekularer Verfahren bei der DUS-Prüfung möglich wäre, wo diese Verfahren zu Effizienz und Qualität beitragen können. 2019 fand keine Sitzung statt. Mehrere Vorschläge für Forschungs- und Entwicklungs-Projekte wurden von IMODDUS positiv bewertet und inzwischen gestartet: Tomate (die Erstellung einer gemeinsamen EU-Datenbank mit DNS-Daten von Tomate), Hartweizen (Integration molekularer Daten in DUS-Prüfungen bei Hartweizen) und Apfel (Forschungs- und Entwicklungsprojekt für Apfel über </w:t>
      </w:r>
      <w:proofErr w:type="spellStart"/>
      <w:r w:rsidRPr="002803A6">
        <w:t>Epigenetik</w:t>
      </w:r>
      <w:proofErr w:type="spellEnd"/>
      <w:r w:rsidRPr="002803A6">
        <w:t>).</w:t>
      </w:r>
    </w:p>
    <w:p w:rsidR="00982C5C" w:rsidRPr="002803A6" w:rsidRDefault="00982C5C" w:rsidP="00982C5C">
      <w:pPr>
        <w:rPr>
          <w:rFonts w:cs="Arial"/>
        </w:rPr>
      </w:pPr>
    </w:p>
    <w:p w:rsidR="00982C5C" w:rsidRPr="002803A6" w:rsidRDefault="00982C5C" w:rsidP="00982C5C">
      <w:pPr>
        <w:pStyle w:val="ListBullet"/>
        <w:numPr>
          <w:ilvl w:val="0"/>
          <w:numId w:val="0"/>
        </w:numPr>
        <w:tabs>
          <w:tab w:val="left" w:pos="720"/>
        </w:tabs>
        <w:spacing w:after="0"/>
        <w:ind w:left="283" w:hanging="283"/>
        <w:rPr>
          <w:rFonts w:cs="Arial"/>
          <w:lang w:val="de-DE"/>
        </w:rPr>
      </w:pPr>
      <w:r w:rsidRPr="002803A6">
        <w:rPr>
          <w:lang w:val="de-DE"/>
        </w:rPr>
        <w:t>6.2</w:t>
      </w:r>
      <w:r w:rsidR="00403E13" w:rsidRPr="002803A6">
        <w:rPr>
          <w:lang w:val="de-DE"/>
        </w:rPr>
        <w:tab/>
      </w:r>
      <w:r w:rsidR="00403E13" w:rsidRPr="002803A6">
        <w:rPr>
          <w:lang w:val="de-DE"/>
        </w:rPr>
        <w:tab/>
      </w:r>
      <w:r w:rsidRPr="002803A6">
        <w:rPr>
          <w:lang w:val="de-DE"/>
        </w:rPr>
        <w:t>INVITE</w:t>
      </w:r>
    </w:p>
    <w:p w:rsidR="00982C5C" w:rsidRPr="002803A6" w:rsidRDefault="00982C5C" w:rsidP="00982C5C">
      <w:pPr>
        <w:rPr>
          <w:rFonts w:cs="Arial"/>
        </w:rPr>
      </w:pPr>
    </w:p>
    <w:p w:rsidR="00982C5C" w:rsidRPr="002803A6" w:rsidRDefault="00982C5C" w:rsidP="00982C5C">
      <w:pPr>
        <w:rPr>
          <w:rFonts w:cs="Arial"/>
        </w:rPr>
      </w:pPr>
      <w:r w:rsidRPr="002803A6">
        <w:t>Das EU-Horizont-2020-Projekt INVITE (</w:t>
      </w:r>
      <w:proofErr w:type="spellStart"/>
      <w:r w:rsidRPr="002803A6">
        <w:t>INnovations</w:t>
      </w:r>
      <w:proofErr w:type="spellEnd"/>
      <w:r w:rsidRPr="002803A6">
        <w:t xml:space="preserve"> in plant </w:t>
      </w:r>
      <w:proofErr w:type="spellStart"/>
      <w:r w:rsidRPr="002803A6">
        <w:t>VarIety</w:t>
      </w:r>
      <w:proofErr w:type="spellEnd"/>
      <w:r w:rsidRPr="002803A6">
        <w:t xml:space="preserve"> </w:t>
      </w:r>
      <w:proofErr w:type="spellStart"/>
      <w:r w:rsidRPr="002803A6">
        <w:t>Testing</w:t>
      </w:r>
      <w:proofErr w:type="spellEnd"/>
      <w:r w:rsidRPr="002803A6">
        <w:t xml:space="preserve"> in Europe) zur Förderung der Einführung neuer Sorten, die besser an die unterschiedlichen biotischen und abiotischen Bedingungen und an nachhaltigere Anbaumethoden angepasst sind, begann 2019. Ziel ist es, die Effizienz der Sortenprüfung und die Verfügbarkeit von Informationen für Interessenvertreter über die Leistungen von Sorten unter diversifizierten Produktionsbedingungen und über biotische und abiotische Belastungen bei zehn Pflanzen (sieben „Modell“-Pflanzen: Mais, Weizen, Roggengras, Sonnenblumen, Kartoffeln, Tomaten, Apfel und drei „Anwendungspflanzen“: Luzerne, Sojabohne, Raps) zu verbessern. Es behandelt DUS und Leistungsprüfungen in ausgewogener Weise und beabsichtigt, die Synergien zwischen ihnen durch verwandte Aktivitäten auf der Grundlage von </w:t>
      </w:r>
      <w:proofErr w:type="spellStart"/>
      <w:r w:rsidRPr="002803A6">
        <w:t>Phänotypisierung</w:t>
      </w:r>
      <w:proofErr w:type="spellEnd"/>
      <w:r w:rsidRPr="002803A6">
        <w:t xml:space="preserve">, </w:t>
      </w:r>
      <w:proofErr w:type="spellStart"/>
      <w:r w:rsidRPr="002803A6">
        <w:t>Genotypisierung</w:t>
      </w:r>
      <w:proofErr w:type="spellEnd"/>
      <w:r w:rsidRPr="002803A6">
        <w:t xml:space="preserve">, Modellierung und Datenbankverwaltung zu maximieren. Im Mai-Juni 2019 wurden sowohl die </w:t>
      </w:r>
      <w:proofErr w:type="spellStart"/>
      <w:r w:rsidRPr="002803A6">
        <w:t>Konsortiumsvereinbarung</w:t>
      </w:r>
      <w:proofErr w:type="spellEnd"/>
      <w:r w:rsidRPr="002803A6">
        <w:t xml:space="preserve"> als auch die Fördervereinbarung von allen Begünstigten des Projekts unterzeichnet. Der Gesamtbetrag beläuft sich auf </w:t>
      </w:r>
      <w:r w:rsidRPr="002803A6">
        <w:lastRenderedPageBreak/>
        <w:t>rund 8 Millionen Euro, die in einem Zeitraum von fünf Jahren ausgegeben werden sollen. Das CPVO wird keine Mittel erhalten. Zusätzlich zu seiner Beteiligung an den Aufgaben des Projekts ist das CPVO für die Verwaltung aller Fragen im Zusammenhang mit dem Zugang zu Daten aus der Vergangenheit und Referenzmaterialien, die sich im Besitz der Prüfungsämter befinden, zuständig. Es wurden Gespräche mit den Wissenschaftlern, den Prüfungsämtern und den Züchtern aufgenommen, um die Anträge zu koordinieren und die Vereinbarungen vorzubereiten.</w:t>
      </w:r>
    </w:p>
    <w:p w:rsidR="00982C5C" w:rsidRPr="002803A6" w:rsidRDefault="00982C5C" w:rsidP="00982C5C">
      <w:pPr>
        <w:pStyle w:val="ListBullet"/>
        <w:numPr>
          <w:ilvl w:val="0"/>
          <w:numId w:val="0"/>
        </w:numPr>
        <w:tabs>
          <w:tab w:val="left" w:pos="720"/>
        </w:tabs>
        <w:spacing w:after="0"/>
        <w:ind w:left="283" w:hanging="283"/>
        <w:rPr>
          <w:rFonts w:cs="Arial"/>
          <w:u w:val="single"/>
          <w:lang w:val="de-DE"/>
        </w:rPr>
      </w:pPr>
    </w:p>
    <w:p w:rsidR="00982C5C" w:rsidRPr="002803A6" w:rsidRDefault="00403E13" w:rsidP="00982C5C">
      <w:pPr>
        <w:pStyle w:val="ListBullet"/>
        <w:numPr>
          <w:ilvl w:val="0"/>
          <w:numId w:val="0"/>
        </w:numPr>
        <w:tabs>
          <w:tab w:val="left" w:pos="720"/>
        </w:tabs>
        <w:spacing w:after="0"/>
        <w:ind w:left="283" w:hanging="283"/>
        <w:rPr>
          <w:rFonts w:cs="Arial"/>
          <w:lang w:val="de-DE"/>
        </w:rPr>
      </w:pPr>
      <w:r w:rsidRPr="002803A6">
        <w:rPr>
          <w:lang w:val="de-DE"/>
        </w:rPr>
        <w:t>6.3</w:t>
      </w:r>
      <w:r w:rsidRPr="002803A6">
        <w:rPr>
          <w:lang w:val="de-DE"/>
        </w:rPr>
        <w:tab/>
      </w:r>
      <w:r w:rsidRPr="002803A6">
        <w:rPr>
          <w:lang w:val="de-DE"/>
        </w:rPr>
        <w:tab/>
      </w:r>
      <w:r w:rsidR="00982C5C" w:rsidRPr="002803A6">
        <w:rPr>
          <w:lang w:val="de-DE"/>
        </w:rPr>
        <w:t xml:space="preserve">Sonstige Forschungs- und Entwicklungs-Projekte </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r w:rsidRPr="002803A6">
        <w:t>Melone</w:t>
      </w:r>
    </w:p>
    <w:p w:rsidR="00982C5C" w:rsidRPr="002803A6" w:rsidRDefault="00982C5C" w:rsidP="00982C5C">
      <w:pPr>
        <w:autoSpaceDE w:val="0"/>
        <w:autoSpaceDN w:val="0"/>
        <w:adjustRightInd w:val="0"/>
        <w:rPr>
          <w:rFonts w:cs="Arial"/>
        </w:rPr>
      </w:pPr>
      <w:r w:rsidRPr="002803A6">
        <w:t xml:space="preserve">Ein Projekt zur „Erstellung einer Datenbank mit Beschreibungen und Fotos von allgemein bekannten Sorten von Melone“ wurde vom CPVO zur </w:t>
      </w:r>
      <w:proofErr w:type="spellStart"/>
      <w:r w:rsidRPr="002803A6">
        <w:t>Kofinanzierung</w:t>
      </w:r>
      <w:proofErr w:type="spellEnd"/>
      <w:r w:rsidRPr="002803A6">
        <w:t xml:space="preserve"> genehmigt. </w:t>
      </w:r>
    </w:p>
    <w:p w:rsidR="00982C5C" w:rsidRPr="002803A6" w:rsidRDefault="00982C5C" w:rsidP="00982C5C">
      <w:pPr>
        <w:autoSpaceDE w:val="0"/>
        <w:autoSpaceDN w:val="0"/>
        <w:adjustRightInd w:val="0"/>
        <w:rPr>
          <w:rFonts w:cs="Arial"/>
        </w:rPr>
      </w:pPr>
    </w:p>
    <w:p w:rsidR="00982C5C" w:rsidRPr="002803A6" w:rsidRDefault="00982C5C" w:rsidP="00982C5C">
      <w:pPr>
        <w:keepNext/>
        <w:autoSpaceDE w:val="0"/>
        <w:autoSpaceDN w:val="0"/>
        <w:adjustRightInd w:val="0"/>
        <w:rPr>
          <w:rFonts w:cs="Arial"/>
        </w:rPr>
      </w:pPr>
      <w:r w:rsidRPr="002803A6">
        <w:t xml:space="preserve">Mindestabstände bei </w:t>
      </w:r>
      <w:proofErr w:type="spellStart"/>
      <w:r w:rsidRPr="002803A6">
        <w:t>Pelargoniensorten</w:t>
      </w:r>
      <w:proofErr w:type="spellEnd"/>
    </w:p>
    <w:p w:rsidR="00982C5C" w:rsidRPr="002803A6" w:rsidRDefault="00982C5C" w:rsidP="00982C5C">
      <w:pPr>
        <w:rPr>
          <w:rFonts w:cs="Arial"/>
        </w:rPr>
      </w:pPr>
      <w:r w:rsidRPr="002803A6">
        <w:t xml:space="preserve">Dies ist ein neues Projekt, das im Oktober 2018 genehmigt wurde. Es handelt sich um ein Folgeprojekt einer früheren Studie über Mindestabstände zwischen vegetativ vermehrten Zier- und Obstpflanzen. Das erste Projekt bestand aus einer Neubewertung von 50 Sorten, die mit weniger Merkmalen bereits Züchterrechte erhalten hatten. CIOPORA äußerte sich besorgt über die Verringerung der Abstände zwischen den Sorten, so </w:t>
      </w:r>
      <w:r w:rsidR="002803A6" w:rsidRPr="002803A6">
        <w:t>dass</w:t>
      </w:r>
      <w:r w:rsidRPr="002803A6">
        <w:t xml:space="preserve"> im Handel einige Sorten nicht mehr voneinander unterschieden werden können. Das Ergebnis der früheren Fallstudie, die keine Beobachtungen an realen Pflanzen beinhaltete, sondern als Papierstudie durchgeführt wurde, ergab kein klares Bild von der Machbarkeit des CIOPORA-Ansatzes, die Unterscheidbarkeit anhand weniger Merkmale zu bestimmen. Für das neue Projekt wählte CIOPORA sieben Paare von </w:t>
      </w:r>
      <w:proofErr w:type="spellStart"/>
      <w:r w:rsidRPr="002803A6">
        <w:t>Pelargoniensorten</w:t>
      </w:r>
      <w:proofErr w:type="spellEnd"/>
      <w:r w:rsidRPr="002803A6">
        <w:t xml:space="preserve"> mit ähnlichem Phänotyp aus, insgesamt 14 Sorten. Alle diese Sorten sind oder waren im Rahmen des gemeinschaftlichen Sortenschutzes geschützt. Diese sieben Sortenpaare werden in einem Anbauversuch beim Bundessortenamt (BSA) in Deutschland angebaut und die Unterscheidbarkeit soll auf der Grundlage des „Mock-Protokolls“ neu bewertet und erörtert werden. Auf einer Sitzung erörterte CIOPORA gemeinsam mit dem BSA, den Züchtern und dem CPVO eine mögliche Neubewertung der Merkmale, die zur Bestimmung der Unterscheidbarkeit zwischen Sorten verwendet werden. Die Ergebnisse der Studie werden für Oktober 2019 erwartet. </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r w:rsidRPr="002803A6">
        <w:t>Erdbeere-Ringprüfung</w:t>
      </w:r>
    </w:p>
    <w:p w:rsidR="00982C5C" w:rsidRPr="002803A6" w:rsidRDefault="00982C5C" w:rsidP="00982C5C">
      <w:pPr>
        <w:autoSpaceDE w:val="0"/>
        <w:autoSpaceDN w:val="0"/>
        <w:adjustRightInd w:val="0"/>
        <w:rPr>
          <w:rFonts w:cs="Arial"/>
        </w:rPr>
      </w:pPr>
      <w:r w:rsidRPr="002803A6">
        <w:t xml:space="preserve">Das Projekt startete im Jahr 2016 und wird voraussichtlich im Jahr 2019 abgeschlossen. Zweck ist die Harmonisierung der Umsetzung des technischen Protokolls für Erdbeere. Das Ergebnis solcher Ringprüfungen wird auch von großem Wert sein, um vergleichbare Beschreibungen in einer gemeinsamen Datenbank, wie beispielsweise GEMMA, zusammenzuführen. Eine Überprüfung der Merkmale des derzeitigen Protokolls wird ebenfalls erfolgen. </w:t>
      </w:r>
    </w:p>
    <w:p w:rsidR="00982C5C" w:rsidRPr="002803A6" w:rsidRDefault="00982C5C" w:rsidP="00982C5C">
      <w:pPr>
        <w:autoSpaceDE w:val="0"/>
        <w:autoSpaceDN w:val="0"/>
        <w:adjustRightInd w:val="0"/>
        <w:rPr>
          <w:rFonts w:cs="Arial"/>
        </w:rPr>
      </w:pPr>
    </w:p>
    <w:p w:rsidR="00982C5C" w:rsidRPr="002803A6" w:rsidRDefault="00982C5C" w:rsidP="00982C5C">
      <w:pPr>
        <w:autoSpaceDE w:val="0"/>
        <w:autoSpaceDN w:val="0"/>
        <w:adjustRightInd w:val="0"/>
        <w:rPr>
          <w:rFonts w:cs="Arial"/>
        </w:rPr>
      </w:pPr>
      <w:proofErr w:type="spellStart"/>
      <w:r w:rsidRPr="002803A6">
        <w:t>Harmores</w:t>
      </w:r>
      <w:proofErr w:type="spellEnd"/>
      <w:r w:rsidRPr="002803A6">
        <w:t xml:space="preserve"> 3</w:t>
      </w:r>
    </w:p>
    <w:p w:rsidR="00982C5C" w:rsidRPr="002803A6" w:rsidRDefault="00982C5C" w:rsidP="00982C5C">
      <w:pPr>
        <w:autoSpaceDE w:val="0"/>
        <w:autoSpaceDN w:val="0"/>
        <w:adjustRightInd w:val="0"/>
        <w:rPr>
          <w:rFonts w:cs="Arial"/>
        </w:rPr>
      </w:pPr>
      <w:r w:rsidRPr="002803A6">
        <w:t xml:space="preserve">Dieses Projekt im Gemüsesektor verfolgt das Ziel der Harmonisierung von Resistenzprüfungen und das Vorschlagen der Aufnahme von harmonisierten Testprotokollen von Krankheitsprüfungen in die technischen Protokolle des CPVO. Das Projekt </w:t>
      </w:r>
      <w:r w:rsidR="002803A6" w:rsidRPr="002803A6">
        <w:t>erfasst</w:t>
      </w:r>
      <w:r w:rsidRPr="002803A6">
        <w:t xml:space="preserve"> sieben Gemüsekrankheiten. Es wird erwartet, </w:t>
      </w:r>
      <w:r w:rsidR="002803A6" w:rsidRPr="002803A6">
        <w:t>dass</w:t>
      </w:r>
      <w:r w:rsidRPr="002803A6">
        <w:t xml:space="preserve"> die Ergebnisse im November 2019 vorliegen.</w:t>
      </w:r>
    </w:p>
    <w:p w:rsidR="00982C5C" w:rsidRPr="002803A6" w:rsidRDefault="00982C5C" w:rsidP="00982C5C">
      <w:pPr>
        <w:rPr>
          <w:rFonts w:cs="Arial"/>
        </w:rPr>
      </w:pPr>
    </w:p>
    <w:p w:rsidR="00701A18" w:rsidRPr="002803A6" w:rsidRDefault="00701A18" w:rsidP="00701A18">
      <w:pPr>
        <w:rPr>
          <w:bCs/>
          <w:lang w:eastAsia="de-CH"/>
        </w:rPr>
      </w:pPr>
    </w:p>
    <w:p w:rsidR="00701A18" w:rsidRPr="002803A6" w:rsidRDefault="00701A18" w:rsidP="00701A18">
      <w:pPr>
        <w:jc w:val="left"/>
      </w:pPr>
    </w:p>
    <w:p w:rsidR="00701A18" w:rsidRPr="002803A6" w:rsidRDefault="00701A18" w:rsidP="00701A18">
      <w:pPr>
        <w:jc w:val="right"/>
      </w:pPr>
      <w:r w:rsidRPr="002803A6">
        <w:t>[End</w:t>
      </w:r>
      <w:r w:rsidR="00403E13" w:rsidRPr="002803A6">
        <w:t>e</w:t>
      </w:r>
      <w:r w:rsidRPr="002803A6">
        <w:t xml:space="preserve"> </w:t>
      </w:r>
      <w:r w:rsidR="00403E13" w:rsidRPr="002803A6">
        <w:t>der</w:t>
      </w:r>
      <w:r w:rsidRPr="002803A6">
        <w:t xml:space="preserve"> </w:t>
      </w:r>
      <w:r w:rsidR="00445C49" w:rsidRPr="002803A6">
        <w:t>Anlage</w:t>
      </w:r>
      <w:r w:rsidRPr="002803A6">
        <w:t xml:space="preserve"> XVI </w:t>
      </w:r>
      <w:r w:rsidR="00403E13" w:rsidRPr="002803A6">
        <w:t>u</w:t>
      </w:r>
      <w:r w:rsidRPr="002803A6">
        <w:t xml:space="preserve">nd </w:t>
      </w:r>
      <w:r w:rsidR="00403E13" w:rsidRPr="002803A6">
        <w:t>des</w:t>
      </w:r>
      <w:r w:rsidRPr="002803A6">
        <w:t xml:space="preserve"> </w:t>
      </w:r>
      <w:r w:rsidR="00403E13" w:rsidRPr="002803A6">
        <w:t>D</w:t>
      </w:r>
      <w:r w:rsidRPr="002803A6">
        <w:t>o</w:t>
      </w:r>
      <w:r w:rsidR="00403E13" w:rsidRPr="002803A6">
        <w:t>k</w:t>
      </w:r>
      <w:r w:rsidRPr="002803A6">
        <w:t>ument</w:t>
      </w:r>
      <w:r w:rsidR="00403E13" w:rsidRPr="002803A6">
        <w:t>s</w:t>
      </w:r>
      <w:r w:rsidRPr="002803A6">
        <w:t>]</w:t>
      </w:r>
    </w:p>
    <w:p w:rsidR="00903264" w:rsidRPr="002803A6" w:rsidRDefault="00903264">
      <w:pPr>
        <w:jc w:val="left"/>
      </w:pPr>
    </w:p>
    <w:p w:rsidR="00050E16" w:rsidRPr="002803A6" w:rsidRDefault="00050E16" w:rsidP="009B440E">
      <w:pPr>
        <w:jc w:val="left"/>
      </w:pPr>
    </w:p>
    <w:sectPr w:rsidR="00050E16" w:rsidRPr="002803A6" w:rsidSect="002338F0">
      <w:headerReference w:type="default" r:id="rId39"/>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D6F" w:rsidRDefault="00E16D6F" w:rsidP="006655D3">
      <w:r>
        <w:separator/>
      </w:r>
    </w:p>
    <w:p w:rsidR="00E16D6F" w:rsidRDefault="00E16D6F" w:rsidP="006655D3"/>
    <w:p w:rsidR="00E16D6F" w:rsidRDefault="00E16D6F" w:rsidP="006655D3"/>
  </w:endnote>
  <w:endnote w:type="continuationSeparator" w:id="0">
    <w:p w:rsidR="00E16D6F" w:rsidRDefault="00E16D6F" w:rsidP="006655D3">
      <w:r>
        <w:separator/>
      </w:r>
    </w:p>
    <w:p w:rsidR="00E16D6F" w:rsidRPr="00294751" w:rsidRDefault="00E16D6F">
      <w:pPr>
        <w:pStyle w:val="Footer"/>
        <w:spacing w:after="60"/>
        <w:rPr>
          <w:sz w:val="18"/>
          <w:lang w:val="fr-FR"/>
        </w:rPr>
      </w:pPr>
      <w:r w:rsidRPr="00294751">
        <w:rPr>
          <w:sz w:val="18"/>
          <w:lang w:val="fr-FR"/>
        </w:rPr>
        <w:t>[Suite de la note de la page précédente]</w:t>
      </w:r>
    </w:p>
    <w:p w:rsidR="00E16D6F" w:rsidRPr="00294751" w:rsidRDefault="00E16D6F" w:rsidP="006655D3">
      <w:pPr>
        <w:rPr>
          <w:lang w:val="fr-FR"/>
        </w:rPr>
      </w:pPr>
    </w:p>
    <w:p w:rsidR="00E16D6F" w:rsidRPr="00294751" w:rsidRDefault="00E16D6F" w:rsidP="006655D3">
      <w:pPr>
        <w:rPr>
          <w:lang w:val="fr-FR"/>
        </w:rPr>
      </w:pPr>
    </w:p>
  </w:endnote>
  <w:endnote w:type="continuationNotice" w:id="1">
    <w:p w:rsidR="00E16D6F" w:rsidRPr="00294751" w:rsidRDefault="00E16D6F" w:rsidP="006655D3">
      <w:pPr>
        <w:rPr>
          <w:lang w:val="fr-FR"/>
        </w:rPr>
      </w:pPr>
      <w:r w:rsidRPr="00294751">
        <w:rPr>
          <w:lang w:val="fr-FR"/>
        </w:rPr>
        <w:t>[Suite de la note page suivante]</w:t>
      </w:r>
    </w:p>
    <w:p w:rsidR="00E16D6F" w:rsidRPr="00294751" w:rsidRDefault="00E16D6F" w:rsidP="006655D3">
      <w:pPr>
        <w:rPr>
          <w:lang w:val="fr-FR"/>
        </w:rPr>
      </w:pPr>
    </w:p>
    <w:p w:rsidR="00E16D6F" w:rsidRPr="00294751" w:rsidRDefault="00E16D6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Yu Gothic"/>
    <w:charset w:val="EE"/>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yriadPro-Light">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D6F" w:rsidRDefault="00E16D6F" w:rsidP="006655D3">
      <w:r>
        <w:separator/>
      </w:r>
    </w:p>
  </w:footnote>
  <w:footnote w:type="continuationSeparator" w:id="0">
    <w:p w:rsidR="00E16D6F" w:rsidRDefault="00E16D6F" w:rsidP="006655D3">
      <w:r>
        <w:separator/>
      </w:r>
    </w:p>
  </w:footnote>
  <w:footnote w:type="continuationNotice" w:id="1">
    <w:p w:rsidR="00E16D6F" w:rsidRPr="00AB530F" w:rsidRDefault="00E16D6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F" w:rsidRPr="00C5280D" w:rsidRDefault="00E16D6F" w:rsidP="00E13772">
    <w:pPr>
      <w:pStyle w:val="Header"/>
      <w:rPr>
        <w:rStyle w:val="PageNumber"/>
        <w:lang w:val="en-US"/>
      </w:rPr>
    </w:pPr>
    <w:r>
      <w:rPr>
        <w:rStyle w:val="PageNumber"/>
        <w:lang w:val="en-US"/>
      </w:rPr>
      <w:t>C/53/INF/4</w:t>
    </w:r>
  </w:p>
  <w:p w:rsidR="00E16D6F" w:rsidRPr="00C5280D" w:rsidRDefault="00E16D6F" w:rsidP="00EB048E">
    <w:pPr>
      <w:pStyle w:val="Header"/>
      <w:rPr>
        <w:lang w:val="en-US"/>
      </w:rPr>
    </w:pPr>
    <w:r w:rsidRPr="002803A6">
      <w:rPr>
        <w:lang w:val="de-DE"/>
      </w:rPr>
      <w:t>Seite</w:t>
    </w:r>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E16D6F" w:rsidRPr="00C5280D" w:rsidRDefault="00E16D6F"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F" w:rsidRPr="00C5280D" w:rsidRDefault="00E16D6F" w:rsidP="00EB048E">
    <w:pPr>
      <w:pStyle w:val="Header"/>
      <w:rPr>
        <w:rStyle w:val="PageNumber"/>
        <w:lang w:val="en-US"/>
      </w:rPr>
    </w:pPr>
    <w:r>
      <w:rPr>
        <w:rStyle w:val="PageNumber"/>
        <w:lang w:val="en-US"/>
      </w:rPr>
      <w:t>C/53/INF/4</w:t>
    </w:r>
  </w:p>
  <w:p w:rsidR="00E16D6F" w:rsidRPr="00C5280D" w:rsidRDefault="00E16D6F" w:rsidP="00EB048E">
    <w:pPr>
      <w:pStyle w:val="Header"/>
      <w:rPr>
        <w:lang w:val="en-US"/>
      </w:rPr>
    </w:pPr>
    <w:r>
      <w:rPr>
        <w:lang w:val="en-US"/>
      </w:rPr>
      <w:t xml:space="preserve">Anlage IX,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47F1">
      <w:rPr>
        <w:rStyle w:val="PageNumber"/>
        <w:noProof/>
        <w:lang w:val="en-US"/>
      </w:rPr>
      <w:t>2</w:t>
    </w:r>
    <w:r w:rsidRPr="00C5280D">
      <w:rPr>
        <w:rStyle w:val="PageNumber"/>
        <w:lang w:val="en-US"/>
      </w:rPr>
      <w:fldChar w:fldCharType="end"/>
    </w:r>
  </w:p>
  <w:p w:rsidR="00E16D6F" w:rsidRPr="00C5280D" w:rsidRDefault="00E16D6F"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F" w:rsidRPr="00C5280D" w:rsidRDefault="00E16D6F" w:rsidP="00EB048E">
    <w:pPr>
      <w:pStyle w:val="Header"/>
      <w:rPr>
        <w:rStyle w:val="PageNumber"/>
        <w:lang w:val="en-US"/>
      </w:rPr>
    </w:pPr>
    <w:r>
      <w:rPr>
        <w:rStyle w:val="PageNumber"/>
        <w:lang w:val="en-US"/>
      </w:rPr>
      <w:t>C/53/INF/4</w:t>
    </w:r>
  </w:p>
  <w:p w:rsidR="00E16D6F" w:rsidRPr="00C5280D" w:rsidRDefault="00E16D6F" w:rsidP="00EB048E">
    <w:pPr>
      <w:pStyle w:val="Header"/>
      <w:rPr>
        <w:lang w:val="en-US"/>
      </w:rPr>
    </w:pPr>
    <w:r>
      <w:rPr>
        <w:lang w:val="en-US"/>
      </w:rPr>
      <w:t xml:space="preserve">Anlage X,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47F1">
      <w:rPr>
        <w:rStyle w:val="PageNumber"/>
        <w:noProof/>
        <w:lang w:val="en-US"/>
      </w:rPr>
      <w:t>2</w:t>
    </w:r>
    <w:r w:rsidRPr="00C5280D">
      <w:rPr>
        <w:rStyle w:val="PageNumber"/>
        <w:lang w:val="en-US"/>
      </w:rPr>
      <w:fldChar w:fldCharType="end"/>
    </w:r>
  </w:p>
  <w:p w:rsidR="00E16D6F" w:rsidRPr="00C5280D" w:rsidRDefault="00E16D6F"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F" w:rsidRPr="00C5280D" w:rsidRDefault="00E16D6F" w:rsidP="00EB048E">
    <w:pPr>
      <w:pStyle w:val="Header"/>
      <w:rPr>
        <w:rStyle w:val="PageNumber"/>
        <w:lang w:val="en-US"/>
      </w:rPr>
    </w:pPr>
    <w:r>
      <w:rPr>
        <w:rStyle w:val="PageNumber"/>
        <w:lang w:val="en-US"/>
      </w:rPr>
      <w:t>C/53/INF/4</w:t>
    </w:r>
  </w:p>
  <w:p w:rsidR="00E16D6F" w:rsidRPr="00C5280D" w:rsidRDefault="00E16D6F" w:rsidP="00EB048E">
    <w:pPr>
      <w:pStyle w:val="Header"/>
      <w:rPr>
        <w:lang w:val="en-US"/>
      </w:rPr>
    </w:pPr>
    <w:r>
      <w:rPr>
        <w:lang w:val="en-US"/>
      </w:rPr>
      <w:t xml:space="preserve">Anlage XI,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47F1">
      <w:rPr>
        <w:rStyle w:val="PageNumber"/>
        <w:noProof/>
        <w:lang w:val="en-US"/>
      </w:rPr>
      <w:t>3</w:t>
    </w:r>
    <w:r w:rsidRPr="00C5280D">
      <w:rPr>
        <w:rStyle w:val="PageNumber"/>
        <w:lang w:val="en-US"/>
      </w:rPr>
      <w:fldChar w:fldCharType="end"/>
    </w:r>
  </w:p>
  <w:p w:rsidR="00E16D6F" w:rsidRPr="00C5280D" w:rsidRDefault="00E16D6F"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F" w:rsidRPr="00C5280D" w:rsidRDefault="00E16D6F" w:rsidP="00EB048E">
    <w:pPr>
      <w:pStyle w:val="Header"/>
      <w:rPr>
        <w:rStyle w:val="PageNumber"/>
        <w:lang w:val="en-US"/>
      </w:rPr>
    </w:pPr>
    <w:r>
      <w:rPr>
        <w:rStyle w:val="PageNumber"/>
        <w:lang w:val="en-US"/>
      </w:rPr>
      <w:t>C/53/INF/4</w:t>
    </w:r>
  </w:p>
  <w:p w:rsidR="00E16D6F" w:rsidRPr="00C5280D" w:rsidRDefault="00E16D6F" w:rsidP="00EB048E">
    <w:pPr>
      <w:pStyle w:val="Header"/>
      <w:rPr>
        <w:lang w:val="en-US"/>
      </w:rPr>
    </w:pPr>
    <w:r>
      <w:rPr>
        <w:lang w:val="en-US"/>
      </w:rPr>
      <w:t xml:space="preserve">Anlage XII,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47F1">
      <w:rPr>
        <w:rStyle w:val="PageNumber"/>
        <w:noProof/>
        <w:lang w:val="en-US"/>
      </w:rPr>
      <w:t>2</w:t>
    </w:r>
    <w:r w:rsidRPr="00C5280D">
      <w:rPr>
        <w:rStyle w:val="PageNumber"/>
        <w:lang w:val="en-US"/>
      </w:rPr>
      <w:fldChar w:fldCharType="end"/>
    </w:r>
  </w:p>
  <w:p w:rsidR="00E16D6F" w:rsidRPr="00C5280D" w:rsidRDefault="00E16D6F" w:rsidP="006655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F" w:rsidRPr="00C5280D" w:rsidRDefault="00E16D6F" w:rsidP="00EB048E">
    <w:pPr>
      <w:pStyle w:val="Header"/>
      <w:rPr>
        <w:rStyle w:val="PageNumber"/>
        <w:lang w:val="en-US"/>
      </w:rPr>
    </w:pPr>
    <w:r>
      <w:rPr>
        <w:rStyle w:val="PageNumber"/>
        <w:lang w:val="en-US"/>
      </w:rPr>
      <w:t>C/53/INF/4</w:t>
    </w:r>
  </w:p>
  <w:p w:rsidR="00E16D6F" w:rsidRPr="00C5280D" w:rsidRDefault="00E16D6F" w:rsidP="00EB048E">
    <w:pPr>
      <w:pStyle w:val="Header"/>
      <w:rPr>
        <w:lang w:val="en-US"/>
      </w:rPr>
    </w:pPr>
    <w:r>
      <w:rPr>
        <w:lang w:val="en-US"/>
      </w:rPr>
      <w:t xml:space="preserve">Anlage XIII,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47F1">
      <w:rPr>
        <w:rStyle w:val="PageNumber"/>
        <w:noProof/>
        <w:lang w:val="en-US"/>
      </w:rPr>
      <w:t>2</w:t>
    </w:r>
    <w:r w:rsidRPr="00C5280D">
      <w:rPr>
        <w:rStyle w:val="PageNumber"/>
        <w:lang w:val="en-US"/>
      </w:rPr>
      <w:fldChar w:fldCharType="end"/>
    </w:r>
  </w:p>
  <w:p w:rsidR="00E16D6F" w:rsidRPr="00C5280D" w:rsidRDefault="00E16D6F"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F" w:rsidRPr="00C5280D" w:rsidRDefault="00E16D6F" w:rsidP="00EB048E">
    <w:pPr>
      <w:pStyle w:val="Header"/>
      <w:rPr>
        <w:rStyle w:val="PageNumber"/>
        <w:lang w:val="en-US"/>
      </w:rPr>
    </w:pPr>
    <w:r>
      <w:rPr>
        <w:rStyle w:val="PageNumber"/>
        <w:lang w:val="en-US"/>
      </w:rPr>
      <w:t>C/53/INF/4</w:t>
    </w:r>
  </w:p>
  <w:p w:rsidR="00E16D6F" w:rsidRPr="00C5280D" w:rsidRDefault="00E16D6F" w:rsidP="00EB048E">
    <w:pPr>
      <w:pStyle w:val="Header"/>
      <w:rPr>
        <w:lang w:val="en-US"/>
      </w:rPr>
    </w:pPr>
    <w:r>
      <w:rPr>
        <w:lang w:val="en-US"/>
      </w:rPr>
      <w:t xml:space="preserve">Anlage XIV,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E16D6F" w:rsidRPr="00C5280D" w:rsidRDefault="00E16D6F"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F" w:rsidRPr="00C5280D" w:rsidRDefault="00E16D6F" w:rsidP="00EB048E">
    <w:pPr>
      <w:pStyle w:val="Header"/>
      <w:rPr>
        <w:rStyle w:val="PageNumber"/>
        <w:lang w:val="en-US"/>
      </w:rPr>
    </w:pPr>
    <w:r>
      <w:rPr>
        <w:rStyle w:val="PageNumber"/>
        <w:lang w:val="en-US"/>
      </w:rPr>
      <w:t>C/53/INF/4</w:t>
    </w:r>
  </w:p>
  <w:p w:rsidR="00E16D6F" w:rsidRPr="00C5280D" w:rsidRDefault="00E16D6F" w:rsidP="00EB048E">
    <w:pPr>
      <w:pStyle w:val="Header"/>
      <w:rPr>
        <w:lang w:val="en-US"/>
      </w:rPr>
    </w:pPr>
    <w:r>
      <w:rPr>
        <w:lang w:val="en-US"/>
      </w:rPr>
      <w:t xml:space="preserve">Anlage XV,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47F1">
      <w:rPr>
        <w:rStyle w:val="PageNumber"/>
        <w:noProof/>
        <w:lang w:val="en-US"/>
      </w:rPr>
      <w:t>2</w:t>
    </w:r>
    <w:r w:rsidRPr="00C5280D">
      <w:rPr>
        <w:rStyle w:val="PageNumber"/>
        <w:lang w:val="en-US"/>
      </w:rPr>
      <w:fldChar w:fldCharType="end"/>
    </w:r>
  </w:p>
  <w:p w:rsidR="00E16D6F" w:rsidRPr="00C5280D" w:rsidRDefault="00E16D6F" w:rsidP="006655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F" w:rsidRPr="00C5280D" w:rsidRDefault="00E16D6F" w:rsidP="00EB048E">
    <w:pPr>
      <w:pStyle w:val="Header"/>
      <w:rPr>
        <w:rStyle w:val="PageNumber"/>
        <w:lang w:val="en-US"/>
      </w:rPr>
    </w:pPr>
    <w:r>
      <w:rPr>
        <w:rStyle w:val="PageNumber"/>
        <w:lang w:val="en-US"/>
      </w:rPr>
      <w:t>C/53/INF/4</w:t>
    </w:r>
  </w:p>
  <w:p w:rsidR="00E16D6F" w:rsidRPr="00C5280D" w:rsidRDefault="00E16D6F" w:rsidP="00EB048E">
    <w:pPr>
      <w:pStyle w:val="Header"/>
      <w:rPr>
        <w:lang w:val="en-US"/>
      </w:rPr>
    </w:pPr>
    <w:r>
      <w:rPr>
        <w:lang w:val="en-US"/>
      </w:rPr>
      <w:t xml:space="preserve">Anlage XVI,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47F1">
      <w:rPr>
        <w:rStyle w:val="PageNumber"/>
        <w:noProof/>
        <w:lang w:val="en-US"/>
      </w:rPr>
      <w:t>9</w:t>
    </w:r>
    <w:r w:rsidRPr="00C5280D">
      <w:rPr>
        <w:rStyle w:val="PageNumber"/>
        <w:lang w:val="en-US"/>
      </w:rPr>
      <w:fldChar w:fldCharType="end"/>
    </w:r>
  </w:p>
  <w:p w:rsidR="00E16D6F" w:rsidRPr="00C5280D" w:rsidRDefault="00E16D6F"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F" w:rsidRPr="002803A6" w:rsidRDefault="00E16D6F" w:rsidP="00EB048E">
    <w:pPr>
      <w:pStyle w:val="Header"/>
      <w:rPr>
        <w:rStyle w:val="PageNumber"/>
      </w:rPr>
    </w:pPr>
    <w:r w:rsidRPr="002803A6">
      <w:rPr>
        <w:rStyle w:val="PageNumber"/>
      </w:rPr>
      <w:t>C/53/INF/4</w:t>
    </w:r>
  </w:p>
  <w:p w:rsidR="00E16D6F" w:rsidRPr="002803A6" w:rsidRDefault="00E16D6F" w:rsidP="00EB048E">
    <w:pPr>
      <w:pStyle w:val="Header"/>
      <w:rPr>
        <w:lang w:val="de-DE"/>
      </w:rPr>
    </w:pPr>
    <w:r w:rsidRPr="002803A6">
      <w:rPr>
        <w:lang w:val="de-DE"/>
      </w:rPr>
      <w:t xml:space="preserve">Anlage I, Seite </w:t>
    </w:r>
    <w:r w:rsidRPr="002803A6">
      <w:rPr>
        <w:rStyle w:val="PageNumber"/>
      </w:rPr>
      <w:fldChar w:fldCharType="begin"/>
    </w:r>
    <w:r w:rsidRPr="002803A6">
      <w:rPr>
        <w:rStyle w:val="PageNumber"/>
      </w:rPr>
      <w:instrText xml:space="preserve"> PAGE </w:instrText>
    </w:r>
    <w:r w:rsidRPr="002803A6">
      <w:rPr>
        <w:rStyle w:val="PageNumber"/>
      </w:rPr>
      <w:fldChar w:fldCharType="separate"/>
    </w:r>
    <w:r w:rsidR="004547F1">
      <w:rPr>
        <w:rStyle w:val="PageNumber"/>
        <w:noProof/>
      </w:rPr>
      <w:t>2</w:t>
    </w:r>
    <w:r w:rsidRPr="002803A6">
      <w:rPr>
        <w:rStyle w:val="PageNumber"/>
      </w:rPr>
      <w:fldChar w:fldCharType="end"/>
    </w:r>
  </w:p>
  <w:p w:rsidR="00E16D6F" w:rsidRPr="002803A6" w:rsidRDefault="00E16D6F"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F" w:rsidRPr="002803A6" w:rsidRDefault="00E16D6F" w:rsidP="00EB048E">
    <w:pPr>
      <w:pStyle w:val="Header"/>
      <w:rPr>
        <w:rStyle w:val="PageNumber"/>
      </w:rPr>
    </w:pPr>
    <w:r w:rsidRPr="002803A6">
      <w:rPr>
        <w:rStyle w:val="PageNumber"/>
      </w:rPr>
      <w:t>C/53/INF/4</w:t>
    </w:r>
  </w:p>
  <w:p w:rsidR="00E16D6F" w:rsidRPr="002803A6" w:rsidRDefault="00E16D6F" w:rsidP="00EB048E">
    <w:pPr>
      <w:pStyle w:val="Header"/>
      <w:rPr>
        <w:lang w:val="de-DE"/>
      </w:rPr>
    </w:pPr>
    <w:r w:rsidRPr="002803A6">
      <w:rPr>
        <w:lang w:val="de-DE"/>
      </w:rPr>
      <w:t xml:space="preserve">Anlage II, Seite </w:t>
    </w:r>
    <w:r w:rsidRPr="002803A6">
      <w:rPr>
        <w:rStyle w:val="PageNumber"/>
      </w:rPr>
      <w:fldChar w:fldCharType="begin"/>
    </w:r>
    <w:r w:rsidRPr="002803A6">
      <w:rPr>
        <w:rStyle w:val="PageNumber"/>
      </w:rPr>
      <w:instrText xml:space="preserve"> PAGE </w:instrText>
    </w:r>
    <w:r w:rsidRPr="002803A6">
      <w:rPr>
        <w:rStyle w:val="PageNumber"/>
      </w:rPr>
      <w:fldChar w:fldCharType="separate"/>
    </w:r>
    <w:r w:rsidR="002803A6" w:rsidRPr="002803A6">
      <w:rPr>
        <w:rStyle w:val="PageNumber"/>
      </w:rPr>
      <w:t>1</w:t>
    </w:r>
    <w:r w:rsidRPr="002803A6">
      <w:rPr>
        <w:rStyle w:val="PageNumber"/>
      </w:rPr>
      <w:fldChar w:fldCharType="end"/>
    </w:r>
  </w:p>
  <w:p w:rsidR="00E16D6F" w:rsidRPr="002803A6" w:rsidRDefault="00E16D6F"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F" w:rsidRPr="00C5280D" w:rsidRDefault="00E16D6F" w:rsidP="00EB048E">
    <w:pPr>
      <w:pStyle w:val="Header"/>
      <w:rPr>
        <w:rStyle w:val="PageNumber"/>
        <w:lang w:val="en-US"/>
      </w:rPr>
    </w:pPr>
    <w:r>
      <w:rPr>
        <w:rStyle w:val="PageNumber"/>
        <w:lang w:val="en-US"/>
      </w:rPr>
      <w:t>C/53/INF/4</w:t>
    </w:r>
  </w:p>
  <w:p w:rsidR="00E16D6F" w:rsidRPr="00C5280D" w:rsidRDefault="00E16D6F" w:rsidP="00EB048E">
    <w:pPr>
      <w:pStyle w:val="Header"/>
      <w:rPr>
        <w:lang w:val="en-US"/>
      </w:rPr>
    </w:pPr>
    <w:r>
      <w:rPr>
        <w:lang w:val="en-US"/>
      </w:rPr>
      <w:t xml:space="preserve">Anlage III,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E16D6F" w:rsidRPr="00C5280D" w:rsidRDefault="00E16D6F"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F" w:rsidRPr="00C5280D" w:rsidRDefault="00E16D6F" w:rsidP="00EB048E">
    <w:pPr>
      <w:pStyle w:val="Header"/>
      <w:rPr>
        <w:rStyle w:val="PageNumber"/>
        <w:lang w:val="en-US"/>
      </w:rPr>
    </w:pPr>
    <w:r>
      <w:rPr>
        <w:rStyle w:val="PageNumber"/>
        <w:lang w:val="en-US"/>
      </w:rPr>
      <w:t>C/53/INF/4</w:t>
    </w:r>
  </w:p>
  <w:p w:rsidR="00E16D6F" w:rsidRPr="00C5280D" w:rsidRDefault="00E16D6F" w:rsidP="00EB048E">
    <w:pPr>
      <w:pStyle w:val="Header"/>
      <w:rPr>
        <w:lang w:val="en-US"/>
      </w:rPr>
    </w:pPr>
    <w:r>
      <w:rPr>
        <w:lang w:val="en-US"/>
      </w:rPr>
      <w:t xml:space="preserve">Anlage IV,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47F1">
      <w:rPr>
        <w:rStyle w:val="PageNumber"/>
        <w:noProof/>
        <w:lang w:val="en-US"/>
      </w:rPr>
      <w:t>2</w:t>
    </w:r>
    <w:r w:rsidRPr="00C5280D">
      <w:rPr>
        <w:rStyle w:val="PageNumber"/>
        <w:lang w:val="en-US"/>
      </w:rPr>
      <w:fldChar w:fldCharType="end"/>
    </w:r>
  </w:p>
  <w:p w:rsidR="00E16D6F" w:rsidRPr="00C5280D" w:rsidRDefault="00E16D6F"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F" w:rsidRPr="00C5280D" w:rsidRDefault="00E16D6F" w:rsidP="00EB048E">
    <w:pPr>
      <w:pStyle w:val="Header"/>
      <w:rPr>
        <w:rStyle w:val="PageNumber"/>
        <w:lang w:val="en-US"/>
      </w:rPr>
    </w:pPr>
    <w:r>
      <w:rPr>
        <w:rStyle w:val="PageNumber"/>
        <w:lang w:val="en-US"/>
      </w:rPr>
      <w:t>C/53/INF/4</w:t>
    </w:r>
  </w:p>
  <w:p w:rsidR="00E16D6F" w:rsidRPr="00C5280D" w:rsidRDefault="00E16D6F" w:rsidP="00EB048E">
    <w:pPr>
      <w:pStyle w:val="Header"/>
      <w:rPr>
        <w:lang w:val="en-US"/>
      </w:rPr>
    </w:pPr>
    <w:r>
      <w:rPr>
        <w:lang w:val="en-US"/>
      </w:rPr>
      <w:t xml:space="preserve">Anlage V,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2052F">
      <w:rPr>
        <w:rStyle w:val="PageNumber"/>
        <w:noProof/>
        <w:lang w:val="en-US"/>
      </w:rPr>
      <w:t>2</w:t>
    </w:r>
    <w:r w:rsidRPr="00C5280D">
      <w:rPr>
        <w:rStyle w:val="PageNumber"/>
        <w:lang w:val="en-US"/>
      </w:rPr>
      <w:fldChar w:fldCharType="end"/>
    </w:r>
  </w:p>
  <w:p w:rsidR="00E16D6F" w:rsidRPr="00C5280D" w:rsidRDefault="00E16D6F"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F" w:rsidRPr="00C5280D" w:rsidRDefault="00E16D6F" w:rsidP="00EB048E">
    <w:pPr>
      <w:pStyle w:val="Header"/>
      <w:rPr>
        <w:rStyle w:val="PageNumber"/>
        <w:lang w:val="en-US"/>
      </w:rPr>
    </w:pPr>
    <w:r>
      <w:rPr>
        <w:rStyle w:val="PageNumber"/>
        <w:lang w:val="en-US"/>
      </w:rPr>
      <w:t>C/53/INF/4</w:t>
    </w:r>
  </w:p>
  <w:p w:rsidR="00E16D6F" w:rsidRPr="00C5280D" w:rsidRDefault="00E16D6F" w:rsidP="00EB048E">
    <w:pPr>
      <w:pStyle w:val="Header"/>
      <w:rPr>
        <w:lang w:val="en-US"/>
      </w:rPr>
    </w:pPr>
    <w:r>
      <w:rPr>
        <w:lang w:val="en-US"/>
      </w:rPr>
      <w:t xml:space="preserve">Anlage VI,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47F1">
      <w:rPr>
        <w:rStyle w:val="PageNumber"/>
        <w:noProof/>
        <w:lang w:val="en-US"/>
      </w:rPr>
      <w:t>2</w:t>
    </w:r>
    <w:r w:rsidRPr="00C5280D">
      <w:rPr>
        <w:rStyle w:val="PageNumber"/>
        <w:lang w:val="en-US"/>
      </w:rPr>
      <w:fldChar w:fldCharType="end"/>
    </w:r>
  </w:p>
  <w:p w:rsidR="00E16D6F" w:rsidRPr="00C5280D" w:rsidRDefault="00E16D6F"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F" w:rsidRPr="00C5280D" w:rsidRDefault="00E16D6F" w:rsidP="00EB048E">
    <w:pPr>
      <w:pStyle w:val="Header"/>
      <w:rPr>
        <w:rStyle w:val="PageNumber"/>
        <w:lang w:val="en-US"/>
      </w:rPr>
    </w:pPr>
    <w:r>
      <w:rPr>
        <w:rStyle w:val="PageNumber"/>
        <w:lang w:val="en-US"/>
      </w:rPr>
      <w:t>C/53/INF/4</w:t>
    </w:r>
  </w:p>
  <w:p w:rsidR="00E16D6F" w:rsidRPr="00C5280D" w:rsidRDefault="00E16D6F" w:rsidP="00EB048E">
    <w:pPr>
      <w:pStyle w:val="Header"/>
      <w:rPr>
        <w:lang w:val="en-US"/>
      </w:rPr>
    </w:pPr>
    <w:r>
      <w:rPr>
        <w:lang w:val="en-US"/>
      </w:rPr>
      <w:t xml:space="preserve">Anlage VII,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E16D6F" w:rsidRPr="00C5280D" w:rsidRDefault="00E16D6F"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D6F" w:rsidRPr="00C5280D" w:rsidRDefault="00E16D6F" w:rsidP="00EB048E">
    <w:pPr>
      <w:pStyle w:val="Header"/>
      <w:rPr>
        <w:rStyle w:val="PageNumber"/>
        <w:lang w:val="en-US"/>
      </w:rPr>
    </w:pPr>
    <w:r>
      <w:rPr>
        <w:rStyle w:val="PageNumber"/>
        <w:lang w:val="en-US"/>
      </w:rPr>
      <w:t>C/53/INF/4</w:t>
    </w:r>
  </w:p>
  <w:p w:rsidR="00E16D6F" w:rsidRPr="00C5280D" w:rsidRDefault="00E16D6F" w:rsidP="00EB048E">
    <w:pPr>
      <w:pStyle w:val="Header"/>
      <w:rPr>
        <w:lang w:val="en-US"/>
      </w:rPr>
    </w:pPr>
    <w:r>
      <w:rPr>
        <w:lang w:val="en-US"/>
      </w:rPr>
      <w:t xml:space="preserve">Anlage VIII,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47F1">
      <w:rPr>
        <w:rStyle w:val="PageNumber"/>
        <w:noProof/>
        <w:lang w:val="en-US"/>
      </w:rPr>
      <w:t>4</w:t>
    </w:r>
    <w:r w:rsidRPr="00C5280D">
      <w:rPr>
        <w:rStyle w:val="PageNumber"/>
        <w:lang w:val="en-US"/>
      </w:rPr>
      <w:fldChar w:fldCharType="end"/>
    </w:r>
  </w:p>
  <w:p w:rsidR="00E16D6F" w:rsidRPr="00C5280D" w:rsidRDefault="00E16D6F"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EB1584B"/>
    <w:multiLevelType w:val="hybridMultilevel"/>
    <w:tmpl w:val="F0DE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87F4D"/>
    <w:multiLevelType w:val="hybridMultilevel"/>
    <w:tmpl w:val="ECC4D038"/>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35C2D"/>
    <w:multiLevelType w:val="hybridMultilevel"/>
    <w:tmpl w:val="CDCA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225A00F8"/>
    <w:multiLevelType w:val="hybridMultilevel"/>
    <w:tmpl w:val="D19AB7EA"/>
    <w:lvl w:ilvl="0" w:tplc="080A0001">
      <w:start w:val="1"/>
      <w:numFmt w:val="bullet"/>
      <w:lvlText w:val=""/>
      <w:lvlJc w:val="left"/>
      <w:pPr>
        <w:ind w:left="3240" w:hanging="360"/>
      </w:pPr>
      <w:rPr>
        <w:rFonts w:ascii="Symbol" w:hAnsi="Symbol"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abstractNum w:abstractNumId="6" w15:restartNumberingAfterBreak="0">
    <w:nsid w:val="2DED1BE9"/>
    <w:multiLevelType w:val="hybridMultilevel"/>
    <w:tmpl w:val="C452F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3315F"/>
    <w:multiLevelType w:val="hybridMultilevel"/>
    <w:tmpl w:val="68BA1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C16581"/>
    <w:multiLevelType w:val="hybridMultilevel"/>
    <w:tmpl w:val="8606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07AA2"/>
    <w:multiLevelType w:val="hybridMultilevel"/>
    <w:tmpl w:val="47D4F660"/>
    <w:lvl w:ilvl="0" w:tplc="4F9C7DA2">
      <w:numFmt w:val="bullet"/>
      <w:lvlText w:val="•"/>
      <w:lvlJc w:val="left"/>
      <w:pPr>
        <w:ind w:left="930" w:hanging="57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C08D8"/>
    <w:multiLevelType w:val="hybridMultilevel"/>
    <w:tmpl w:val="E258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86282"/>
    <w:multiLevelType w:val="hybridMultilevel"/>
    <w:tmpl w:val="DD7E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60A90C71"/>
    <w:multiLevelType w:val="hybridMultilevel"/>
    <w:tmpl w:val="F148F746"/>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AE3B7C"/>
    <w:multiLevelType w:val="hybridMultilevel"/>
    <w:tmpl w:val="A5BE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8D5AF7"/>
    <w:multiLevelType w:val="hybridMultilevel"/>
    <w:tmpl w:val="5C1E749E"/>
    <w:lvl w:ilvl="0" w:tplc="6A98DB36">
      <w:start w:val="1"/>
      <w:numFmt w:val="lowerLetter"/>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7" w15:restartNumberingAfterBreak="0">
    <w:nsid w:val="6D010D72"/>
    <w:multiLevelType w:val="hybridMultilevel"/>
    <w:tmpl w:val="D916E032"/>
    <w:lvl w:ilvl="0" w:tplc="040C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941433"/>
    <w:multiLevelType w:val="hybridMultilevel"/>
    <w:tmpl w:val="37700B36"/>
    <w:lvl w:ilvl="0" w:tplc="040C0001">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0"/>
  </w:num>
  <w:num w:numId="2">
    <w:abstractNumId w:val="2"/>
  </w:num>
  <w:num w:numId="3">
    <w:abstractNumId w:val="11"/>
  </w:num>
  <w:num w:numId="4">
    <w:abstractNumId w:val="7"/>
  </w:num>
  <w:num w:numId="5">
    <w:abstractNumId w:val="16"/>
  </w:num>
  <w:num w:numId="6">
    <w:abstractNumId w:val="14"/>
  </w:num>
  <w:num w:numId="7">
    <w:abstractNumId w:val="5"/>
  </w:num>
  <w:num w:numId="8">
    <w:abstractNumId w:val="9"/>
  </w:num>
  <w:num w:numId="9">
    <w:abstractNumId w:val="3"/>
  </w:num>
  <w:num w:numId="10">
    <w:abstractNumId w:val="1"/>
  </w:num>
  <w:num w:numId="11">
    <w:abstractNumId w:val="6"/>
  </w:num>
  <w:num w:numId="12">
    <w:abstractNumId w:val="13"/>
  </w:num>
  <w:num w:numId="13">
    <w:abstractNumId w:val="17"/>
  </w:num>
  <w:num w:numId="14">
    <w:abstractNumId w:val="4"/>
  </w:num>
  <w:num w:numId="15">
    <w:abstractNumId w:val="0"/>
  </w:num>
  <w:num w:numId="16">
    <w:abstractNumId w:val="8"/>
  </w:num>
  <w:num w:numId="17">
    <w:abstractNumId w:val="12"/>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014A5"/>
    <w:rsid w:val="000029A9"/>
    <w:rsid w:val="00010CF3"/>
    <w:rsid w:val="00011E27"/>
    <w:rsid w:val="000148BC"/>
    <w:rsid w:val="00024AB8"/>
    <w:rsid w:val="00030854"/>
    <w:rsid w:val="00036028"/>
    <w:rsid w:val="0004320D"/>
    <w:rsid w:val="00044642"/>
    <w:rsid w:val="000446B9"/>
    <w:rsid w:val="0004661D"/>
    <w:rsid w:val="00047E21"/>
    <w:rsid w:val="00050E16"/>
    <w:rsid w:val="00066DC0"/>
    <w:rsid w:val="000848F3"/>
    <w:rsid w:val="00085505"/>
    <w:rsid w:val="000C4E25"/>
    <w:rsid w:val="000C7021"/>
    <w:rsid w:val="000D183E"/>
    <w:rsid w:val="000D6BBC"/>
    <w:rsid w:val="000D7780"/>
    <w:rsid w:val="000E636A"/>
    <w:rsid w:val="000F2F11"/>
    <w:rsid w:val="000F2F45"/>
    <w:rsid w:val="00103160"/>
    <w:rsid w:val="00105929"/>
    <w:rsid w:val="00110C36"/>
    <w:rsid w:val="001131D5"/>
    <w:rsid w:val="00130753"/>
    <w:rsid w:val="00132265"/>
    <w:rsid w:val="001409F1"/>
    <w:rsid w:val="00141DB8"/>
    <w:rsid w:val="00143A42"/>
    <w:rsid w:val="00172084"/>
    <w:rsid w:val="0017474A"/>
    <w:rsid w:val="001758C6"/>
    <w:rsid w:val="001829B6"/>
    <w:rsid w:val="00182B99"/>
    <w:rsid w:val="001A13BC"/>
    <w:rsid w:val="001A7BAA"/>
    <w:rsid w:val="001B3564"/>
    <w:rsid w:val="001B4D3B"/>
    <w:rsid w:val="001C1525"/>
    <w:rsid w:val="001F13A3"/>
    <w:rsid w:val="0020051A"/>
    <w:rsid w:val="0021332C"/>
    <w:rsid w:val="00213982"/>
    <w:rsid w:val="00214C72"/>
    <w:rsid w:val="002338F0"/>
    <w:rsid w:val="0024416D"/>
    <w:rsid w:val="002564B7"/>
    <w:rsid w:val="00256BFA"/>
    <w:rsid w:val="00271911"/>
    <w:rsid w:val="002800A0"/>
    <w:rsid w:val="002801B3"/>
    <w:rsid w:val="002803A6"/>
    <w:rsid w:val="00281060"/>
    <w:rsid w:val="002940E8"/>
    <w:rsid w:val="00294751"/>
    <w:rsid w:val="002A4DDE"/>
    <w:rsid w:val="002A4DEE"/>
    <w:rsid w:val="002A6E50"/>
    <w:rsid w:val="002B4298"/>
    <w:rsid w:val="002C14CE"/>
    <w:rsid w:val="002C256A"/>
    <w:rsid w:val="002C60F6"/>
    <w:rsid w:val="0030305D"/>
    <w:rsid w:val="00305A7F"/>
    <w:rsid w:val="003152FE"/>
    <w:rsid w:val="003203B7"/>
    <w:rsid w:val="00327436"/>
    <w:rsid w:val="00335BED"/>
    <w:rsid w:val="00344BD6"/>
    <w:rsid w:val="00354FED"/>
    <w:rsid w:val="0035528D"/>
    <w:rsid w:val="00361821"/>
    <w:rsid w:val="00361E9E"/>
    <w:rsid w:val="003845A7"/>
    <w:rsid w:val="00387CDD"/>
    <w:rsid w:val="0039633A"/>
    <w:rsid w:val="003B6EE8"/>
    <w:rsid w:val="003C0A21"/>
    <w:rsid w:val="003C108B"/>
    <w:rsid w:val="003C7FBE"/>
    <w:rsid w:val="003D1E09"/>
    <w:rsid w:val="003D227C"/>
    <w:rsid w:val="003D2B4D"/>
    <w:rsid w:val="003F5F2B"/>
    <w:rsid w:val="00403E13"/>
    <w:rsid w:val="00444A88"/>
    <w:rsid w:val="00445C49"/>
    <w:rsid w:val="004547F1"/>
    <w:rsid w:val="00474DA4"/>
    <w:rsid w:val="00476B4D"/>
    <w:rsid w:val="004805FA"/>
    <w:rsid w:val="004935D2"/>
    <w:rsid w:val="004B029F"/>
    <w:rsid w:val="004B1215"/>
    <w:rsid w:val="004C1768"/>
    <w:rsid w:val="004D047D"/>
    <w:rsid w:val="004F014F"/>
    <w:rsid w:val="004F1E9E"/>
    <w:rsid w:val="004F305A"/>
    <w:rsid w:val="00512164"/>
    <w:rsid w:val="00520297"/>
    <w:rsid w:val="005338F9"/>
    <w:rsid w:val="0054281C"/>
    <w:rsid w:val="00543516"/>
    <w:rsid w:val="00544581"/>
    <w:rsid w:val="0055268D"/>
    <w:rsid w:val="00572396"/>
    <w:rsid w:val="0057430D"/>
    <w:rsid w:val="00575C13"/>
    <w:rsid w:val="00576BE4"/>
    <w:rsid w:val="005A400A"/>
    <w:rsid w:val="005A659F"/>
    <w:rsid w:val="005B5A7D"/>
    <w:rsid w:val="005F7B92"/>
    <w:rsid w:val="00612379"/>
    <w:rsid w:val="0061510E"/>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01A18"/>
    <w:rsid w:val="0071271E"/>
    <w:rsid w:val="00717A8E"/>
    <w:rsid w:val="0072052F"/>
    <w:rsid w:val="00732DEC"/>
    <w:rsid w:val="00735BD5"/>
    <w:rsid w:val="00745115"/>
    <w:rsid w:val="007451EC"/>
    <w:rsid w:val="00751613"/>
    <w:rsid w:val="007556F6"/>
    <w:rsid w:val="00760EEF"/>
    <w:rsid w:val="00777EE5"/>
    <w:rsid w:val="00782255"/>
    <w:rsid w:val="00784836"/>
    <w:rsid w:val="0079023E"/>
    <w:rsid w:val="00795D91"/>
    <w:rsid w:val="007A2854"/>
    <w:rsid w:val="007C1D92"/>
    <w:rsid w:val="007C3C19"/>
    <w:rsid w:val="007C4CB9"/>
    <w:rsid w:val="007D0B9D"/>
    <w:rsid w:val="007D19B0"/>
    <w:rsid w:val="007D4635"/>
    <w:rsid w:val="007F498F"/>
    <w:rsid w:val="00801C95"/>
    <w:rsid w:val="0080674A"/>
    <w:rsid w:val="0080679D"/>
    <w:rsid w:val="008108B0"/>
    <w:rsid w:val="00811B20"/>
    <w:rsid w:val="008211B5"/>
    <w:rsid w:val="0082296E"/>
    <w:rsid w:val="00823234"/>
    <w:rsid w:val="00824099"/>
    <w:rsid w:val="00846D7C"/>
    <w:rsid w:val="00867AC1"/>
    <w:rsid w:val="00890DF8"/>
    <w:rsid w:val="008A2DA2"/>
    <w:rsid w:val="008A488A"/>
    <w:rsid w:val="008A743F"/>
    <w:rsid w:val="008C0970"/>
    <w:rsid w:val="008D0BC5"/>
    <w:rsid w:val="008D2CF7"/>
    <w:rsid w:val="00900C26"/>
    <w:rsid w:val="0090197F"/>
    <w:rsid w:val="00903264"/>
    <w:rsid w:val="00906DDC"/>
    <w:rsid w:val="00927A1A"/>
    <w:rsid w:val="009326B2"/>
    <w:rsid w:val="00934E09"/>
    <w:rsid w:val="00936253"/>
    <w:rsid w:val="00940D46"/>
    <w:rsid w:val="00952DD4"/>
    <w:rsid w:val="00965AE7"/>
    <w:rsid w:val="00967D30"/>
    <w:rsid w:val="00970FED"/>
    <w:rsid w:val="0097783A"/>
    <w:rsid w:val="00982A9E"/>
    <w:rsid w:val="00982C5C"/>
    <w:rsid w:val="00992D82"/>
    <w:rsid w:val="00997029"/>
    <w:rsid w:val="00997630"/>
    <w:rsid w:val="009A7339"/>
    <w:rsid w:val="009A784F"/>
    <w:rsid w:val="009B440E"/>
    <w:rsid w:val="009D4F47"/>
    <w:rsid w:val="009D690D"/>
    <w:rsid w:val="009E65B6"/>
    <w:rsid w:val="009F77CF"/>
    <w:rsid w:val="00A24C10"/>
    <w:rsid w:val="00A3365A"/>
    <w:rsid w:val="00A42AC3"/>
    <w:rsid w:val="00A430CF"/>
    <w:rsid w:val="00A51E51"/>
    <w:rsid w:val="00A54309"/>
    <w:rsid w:val="00A605CB"/>
    <w:rsid w:val="00A655AE"/>
    <w:rsid w:val="00A70760"/>
    <w:rsid w:val="00A97C8B"/>
    <w:rsid w:val="00AA0BC7"/>
    <w:rsid w:val="00AA1D2C"/>
    <w:rsid w:val="00AB22DC"/>
    <w:rsid w:val="00AB2B93"/>
    <w:rsid w:val="00AB530F"/>
    <w:rsid w:val="00AB7E5B"/>
    <w:rsid w:val="00AC2883"/>
    <w:rsid w:val="00AC3AD1"/>
    <w:rsid w:val="00AE0EF1"/>
    <w:rsid w:val="00AE2937"/>
    <w:rsid w:val="00B07301"/>
    <w:rsid w:val="00B11F3E"/>
    <w:rsid w:val="00B15B67"/>
    <w:rsid w:val="00B224DE"/>
    <w:rsid w:val="00B30C11"/>
    <w:rsid w:val="00B324D4"/>
    <w:rsid w:val="00B36650"/>
    <w:rsid w:val="00B46575"/>
    <w:rsid w:val="00B57130"/>
    <w:rsid w:val="00B61777"/>
    <w:rsid w:val="00B84BBD"/>
    <w:rsid w:val="00BA43FB"/>
    <w:rsid w:val="00BA786E"/>
    <w:rsid w:val="00BC127D"/>
    <w:rsid w:val="00BC1FE6"/>
    <w:rsid w:val="00BC2845"/>
    <w:rsid w:val="00BD19EB"/>
    <w:rsid w:val="00C0502E"/>
    <w:rsid w:val="00C061B6"/>
    <w:rsid w:val="00C2295C"/>
    <w:rsid w:val="00C2446C"/>
    <w:rsid w:val="00C315A3"/>
    <w:rsid w:val="00C36AE5"/>
    <w:rsid w:val="00C41F17"/>
    <w:rsid w:val="00C459C8"/>
    <w:rsid w:val="00C50958"/>
    <w:rsid w:val="00C527FA"/>
    <w:rsid w:val="00C5280D"/>
    <w:rsid w:val="00C53EB3"/>
    <w:rsid w:val="00C5791C"/>
    <w:rsid w:val="00C66290"/>
    <w:rsid w:val="00C72B7A"/>
    <w:rsid w:val="00C7701B"/>
    <w:rsid w:val="00C973F2"/>
    <w:rsid w:val="00CA304C"/>
    <w:rsid w:val="00CA774A"/>
    <w:rsid w:val="00CA79DF"/>
    <w:rsid w:val="00CA7E58"/>
    <w:rsid w:val="00CB0E4D"/>
    <w:rsid w:val="00CC11B0"/>
    <w:rsid w:val="00CC2841"/>
    <w:rsid w:val="00CF1330"/>
    <w:rsid w:val="00CF7E36"/>
    <w:rsid w:val="00D254A4"/>
    <w:rsid w:val="00D32A63"/>
    <w:rsid w:val="00D3708D"/>
    <w:rsid w:val="00D40426"/>
    <w:rsid w:val="00D57C96"/>
    <w:rsid w:val="00D57D18"/>
    <w:rsid w:val="00D91203"/>
    <w:rsid w:val="00D95174"/>
    <w:rsid w:val="00D97E1F"/>
    <w:rsid w:val="00DA4973"/>
    <w:rsid w:val="00DA6F36"/>
    <w:rsid w:val="00DA78ED"/>
    <w:rsid w:val="00DB2EB5"/>
    <w:rsid w:val="00DB596E"/>
    <w:rsid w:val="00DB7773"/>
    <w:rsid w:val="00DC00EA"/>
    <w:rsid w:val="00DC3802"/>
    <w:rsid w:val="00DD5762"/>
    <w:rsid w:val="00E022D9"/>
    <w:rsid w:val="00E07D87"/>
    <w:rsid w:val="00E13772"/>
    <w:rsid w:val="00E16D6F"/>
    <w:rsid w:val="00E23B4A"/>
    <w:rsid w:val="00E26C47"/>
    <w:rsid w:val="00E32F7E"/>
    <w:rsid w:val="00E356B0"/>
    <w:rsid w:val="00E5267B"/>
    <w:rsid w:val="00E57FD3"/>
    <w:rsid w:val="00E63C0E"/>
    <w:rsid w:val="00E66432"/>
    <w:rsid w:val="00E72D49"/>
    <w:rsid w:val="00E7593C"/>
    <w:rsid w:val="00E7678A"/>
    <w:rsid w:val="00E935F1"/>
    <w:rsid w:val="00E94A81"/>
    <w:rsid w:val="00EA1FFB"/>
    <w:rsid w:val="00EB0195"/>
    <w:rsid w:val="00EB048E"/>
    <w:rsid w:val="00EB461D"/>
    <w:rsid w:val="00EB4E9C"/>
    <w:rsid w:val="00EB4F9F"/>
    <w:rsid w:val="00EE34DF"/>
    <w:rsid w:val="00EF2F89"/>
    <w:rsid w:val="00EF4AEE"/>
    <w:rsid w:val="00F03E98"/>
    <w:rsid w:val="00F062E2"/>
    <w:rsid w:val="00F1237A"/>
    <w:rsid w:val="00F22CBD"/>
    <w:rsid w:val="00F272F1"/>
    <w:rsid w:val="00F45372"/>
    <w:rsid w:val="00F560F7"/>
    <w:rsid w:val="00F6334D"/>
    <w:rsid w:val="00F63599"/>
    <w:rsid w:val="00F946E7"/>
    <w:rsid w:val="00FA49AB"/>
    <w:rsid w:val="00FB3788"/>
    <w:rsid w:val="00FB6D43"/>
    <w:rsid w:val="00FD09E4"/>
    <w:rsid w:val="00FD5074"/>
    <w:rsid w:val="00FD6D81"/>
    <w:rsid w:val="00FE39C7"/>
    <w:rsid w:val="00FE745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772"/>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E13772"/>
    <w:rPr>
      <w:rFonts w:ascii="Arial" w:hAnsi="Arial"/>
      <w:noProof w:val="0"/>
      <w:sz w:val="20"/>
      <w:lang w:val="de-DE"/>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01A18"/>
    <w:pPr>
      <w:ind w:left="1134" w:hanging="567"/>
      <w:jc w:val="left"/>
    </w:pPr>
    <w:rPr>
      <w:szCs w:val="22"/>
    </w:rPr>
  </w:style>
  <w:style w:type="character" w:customStyle="1" w:styleId="FootnoteTextChar">
    <w:name w:val="Footnote Text Char"/>
    <w:link w:val="FootnoteText"/>
    <w:rsid w:val="00701A18"/>
    <w:rPr>
      <w:rFonts w:ascii="Arial" w:hAnsi="Arial"/>
      <w:sz w:val="16"/>
    </w:rPr>
  </w:style>
  <w:style w:type="table" w:styleId="TableGrid">
    <w:name w:val="Table Grid"/>
    <w:basedOn w:val="TableNormal"/>
    <w:rsid w:val="0070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doc_path_name Char"/>
    <w:basedOn w:val="DefaultParagraphFont"/>
    <w:link w:val="Footer"/>
    <w:rsid w:val="00701A18"/>
    <w:rPr>
      <w:rFonts w:ascii="Arial" w:hAnsi="Arial"/>
      <w:sz w:val="14"/>
    </w:rPr>
  </w:style>
  <w:style w:type="paragraph" w:styleId="BodyTextIndent2">
    <w:name w:val="Body Text Indent 2"/>
    <w:basedOn w:val="Normal"/>
    <w:link w:val="BodyTextIndent2Char"/>
    <w:rsid w:val="00701A18"/>
    <w:pPr>
      <w:spacing w:after="120" w:line="480" w:lineRule="auto"/>
      <w:ind w:left="283"/>
    </w:pPr>
  </w:style>
  <w:style w:type="character" w:customStyle="1" w:styleId="BodyTextIndent2Char">
    <w:name w:val="Body Text Indent 2 Char"/>
    <w:basedOn w:val="DefaultParagraphFont"/>
    <w:link w:val="BodyTextIndent2"/>
    <w:rsid w:val="00701A18"/>
    <w:rPr>
      <w:rFonts w:ascii="Arial" w:hAnsi="Arial"/>
    </w:rPr>
  </w:style>
  <w:style w:type="character" w:styleId="Strong">
    <w:name w:val="Strong"/>
    <w:uiPriority w:val="22"/>
    <w:qFormat/>
    <w:rsid w:val="00701A18"/>
    <w:rPr>
      <w:b/>
      <w:bCs/>
    </w:rPr>
  </w:style>
  <w:style w:type="character" w:styleId="Emphasis">
    <w:name w:val="Emphasis"/>
    <w:uiPriority w:val="99"/>
    <w:qFormat/>
    <w:rsid w:val="00701A18"/>
    <w:rPr>
      <w:rFonts w:cs="Times New Roman"/>
      <w:i/>
      <w:iCs/>
    </w:rPr>
  </w:style>
  <w:style w:type="paragraph" w:styleId="BodyTextIndent">
    <w:name w:val="Body Text Indent"/>
    <w:basedOn w:val="Normal"/>
    <w:link w:val="BodyTextIndentChar"/>
    <w:semiHidden/>
    <w:unhideWhenUsed/>
    <w:rsid w:val="002564B7"/>
    <w:pPr>
      <w:spacing w:after="120"/>
      <w:ind w:left="283"/>
    </w:pPr>
  </w:style>
  <w:style w:type="character" w:customStyle="1" w:styleId="BodyTextIndentChar">
    <w:name w:val="Body Text Indent Char"/>
    <w:basedOn w:val="DefaultParagraphFont"/>
    <w:link w:val="BodyTextIndent"/>
    <w:semiHidden/>
    <w:rsid w:val="002564B7"/>
    <w:rPr>
      <w:rFonts w:ascii="Arial" w:hAnsi="Arial"/>
    </w:rPr>
  </w:style>
  <w:style w:type="paragraph" w:customStyle="1" w:styleId="Default">
    <w:name w:val="Default"/>
    <w:rsid w:val="002564B7"/>
    <w:pPr>
      <w:autoSpaceDE w:val="0"/>
      <w:autoSpaceDN w:val="0"/>
      <w:adjustRightInd w:val="0"/>
    </w:pPr>
    <w:rPr>
      <w:rFonts w:ascii="Arial" w:hAnsi="Arial" w:cs="Arial"/>
      <w:color w:val="000000"/>
      <w:sz w:val="24"/>
      <w:szCs w:val="24"/>
    </w:rPr>
  </w:style>
  <w:style w:type="paragraph" w:styleId="PlainText">
    <w:name w:val="Plain Text"/>
    <w:basedOn w:val="Normal"/>
    <w:link w:val="PlainTextChar"/>
    <w:semiHidden/>
    <w:rsid w:val="002564B7"/>
    <w:pPr>
      <w:jc w:val="left"/>
    </w:pPr>
    <w:rPr>
      <w:rFonts w:ascii="Courier New" w:hAnsi="Courier New"/>
      <w:lang w:val="en-GB" w:eastAsia="hu-HU"/>
    </w:rPr>
  </w:style>
  <w:style w:type="character" w:customStyle="1" w:styleId="PlainTextChar">
    <w:name w:val="Plain Text Char"/>
    <w:basedOn w:val="DefaultParagraphFont"/>
    <w:link w:val="PlainText"/>
    <w:semiHidden/>
    <w:rsid w:val="002564B7"/>
    <w:rPr>
      <w:rFonts w:ascii="Courier New" w:hAnsi="Courier New"/>
      <w:lang w:val="en-GB" w:eastAsia="hu-HU"/>
    </w:rPr>
  </w:style>
  <w:style w:type="paragraph" w:customStyle="1" w:styleId="TextBody">
    <w:name w:val="Text Body"/>
    <w:basedOn w:val="Normal"/>
    <w:rsid w:val="002564B7"/>
    <w:pPr>
      <w:widowControl w:val="0"/>
      <w:suppressAutoHyphens/>
      <w:spacing w:after="140" w:line="288" w:lineRule="auto"/>
      <w:jc w:val="left"/>
    </w:pPr>
    <w:rPr>
      <w:rFonts w:ascii="Liberation Serif" w:eastAsia="Droid Sans Fallback" w:hAnsi="Liberation Serif" w:cs="FreeSans"/>
      <w:sz w:val="24"/>
      <w:szCs w:val="24"/>
      <w:lang w:val="hu-HU" w:eastAsia="zh-CN" w:bidi="hi-IN"/>
    </w:rPr>
  </w:style>
  <w:style w:type="paragraph" w:styleId="NormalWeb">
    <w:name w:val="Normal (Web)"/>
    <w:basedOn w:val="Normal"/>
    <w:uiPriority w:val="99"/>
    <w:unhideWhenUsed/>
    <w:rsid w:val="003C108B"/>
    <w:pPr>
      <w:spacing w:before="100" w:beforeAutospacing="1" w:after="100" w:afterAutospacing="1"/>
      <w:jc w:val="left"/>
    </w:pPr>
    <w:rPr>
      <w:rFonts w:ascii="Times New Roman" w:hAnsi="Times New Roman"/>
      <w:sz w:val="24"/>
      <w:szCs w:val="24"/>
    </w:rPr>
  </w:style>
  <w:style w:type="paragraph" w:styleId="ListBullet">
    <w:name w:val="List Bullet"/>
    <w:basedOn w:val="Normal"/>
    <w:rsid w:val="002338F0"/>
    <w:pPr>
      <w:numPr>
        <w:numId w:val="12"/>
      </w:numPr>
      <w:spacing w:after="240"/>
    </w:pPr>
    <w:rPr>
      <w:lang w:val="en-GB"/>
    </w:rPr>
  </w:style>
  <w:style w:type="character" w:customStyle="1" w:styleId="EndnoteTextChar">
    <w:name w:val="Endnote Text Char"/>
    <w:basedOn w:val="DefaultParagraphFont"/>
    <w:link w:val="EndnoteText"/>
    <w:semiHidden/>
    <w:rsid w:val="00982C5C"/>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yperlink" Target="mailto:director@kephis.org" TargetMode="External"/><Relationship Id="rId26" Type="http://schemas.openxmlformats.org/officeDocument/2006/relationships/image" Target="media/image3.png"/><Relationship Id="rId39" Type="http://schemas.openxmlformats.org/officeDocument/2006/relationships/header" Target="header17.xml"/><Relationship Id="rId21" Type="http://schemas.openxmlformats.org/officeDocument/2006/relationships/header" Target="header10.xml"/><Relationship Id="rId34" Type="http://schemas.openxmlformats.org/officeDocument/2006/relationships/hyperlink" Target="http://www.uzb.minpolj.gov.rs/index.php?option=com_Inhalt&amp;view=Artikel&amp;id=61&amp;Itemid=14&amp;lang=en"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9.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yperlink" Target="http://www.coboru.pl/Polska/Podstawy_prawne/D20040567.pdf" TargetMode="External"/><Relationship Id="rId32" Type="http://schemas.openxmlformats.org/officeDocument/2006/relationships/header" Target="header14.xml"/><Relationship Id="rId37" Type="http://schemas.openxmlformats.org/officeDocument/2006/relationships/image" Target="media/image4.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1.xml"/><Relationship Id="rId28" Type="http://schemas.openxmlformats.org/officeDocument/2006/relationships/hyperlink" Target="http://www.coboru.pl" TargetMode="Externa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yperlink" Target="http://www.kephis.org" TargetMode="Externa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yperlink" Target="https://www.mbie.govt.nz/have-your-say/plant-variety-rights-act-1987-review-options-paper" TargetMode="External"/><Relationship Id="rId27" Type="http://schemas.openxmlformats.org/officeDocument/2006/relationships/hyperlink" Target="http://www.coboru.pl" TargetMode="External"/><Relationship Id="rId30" Type="http://schemas.openxmlformats.org/officeDocument/2006/relationships/hyperlink" Target="http://www.seed.go.kr" TargetMode="External"/><Relationship Id="rId35" Type="http://schemas.openxmlformats.org/officeDocument/2006/relationships/hyperlink" Target="http://www.uzb.minpolj.gov.rs/index.php?lang=en"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chart" Target="charts/chart1.xml"/><Relationship Id="rId25" Type="http://schemas.openxmlformats.org/officeDocument/2006/relationships/hyperlink" Target="http://www.coboru.pl/Polska/Podstawy_prawne/DU20152166.pdf" TargetMode="External"/><Relationship Id="rId33" Type="http://schemas.openxmlformats.org/officeDocument/2006/relationships/header" Target="header15.xml"/><Relationship Id="rId38"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PBR status in Kenya</a:t>
            </a:r>
          </a:p>
        </c:rich>
      </c:tx>
      <c:layout/>
      <c:overlay val="0"/>
      <c:spPr>
        <a:noFill/>
        <a:ln>
          <a:noFill/>
        </a:ln>
        <a:effectLst/>
      </c:spPr>
    </c:title>
    <c:autoTitleDeleted val="0"/>
    <c:plotArea>
      <c:layout/>
      <c:barChart>
        <c:barDir val="col"/>
        <c:grouping val="clustered"/>
        <c:varyColors val="0"/>
        <c:ser>
          <c:idx val="0"/>
          <c:order val="0"/>
          <c:tx>
            <c:strRef>
              <c:f>[graph.xlsx]Sheet1!$B$1</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[graph.xlsx]Sheet1!$A$2:$A$14</c:f>
              <c:strCache>
                <c:ptCount val="13"/>
                <c:pt idx="0">
                  <c:v>Cancellation</c:v>
                </c:pt>
                <c:pt idx="1">
                  <c:v>Complete</c:v>
                </c:pt>
                <c:pt idx="2">
                  <c:v>Contested</c:v>
                </c:pt>
                <c:pt idx="3">
                  <c:v>Granted</c:v>
                </c:pt>
                <c:pt idx="4">
                  <c:v>Incomplete</c:v>
                </c:pt>
                <c:pt idx="5">
                  <c:v>Rejected</c:v>
                </c:pt>
                <c:pt idx="6">
                  <c:v>Under DUS Examination</c:v>
                </c:pt>
                <c:pt idx="7">
                  <c:v>Awaiting gazettement</c:v>
                </c:pt>
                <c:pt idx="8">
                  <c:v>Surrender</c:v>
                </c:pt>
                <c:pt idx="9">
                  <c:v>Extension</c:v>
                </c:pt>
                <c:pt idx="10">
                  <c:v>Withdrawal</c:v>
                </c:pt>
                <c:pt idx="11">
                  <c:v>No of applications</c:v>
                </c:pt>
                <c:pt idx="12">
                  <c:v>Awaiting DUS report</c:v>
                </c:pt>
              </c:strCache>
            </c:strRef>
          </c:cat>
          <c:val>
            <c:numRef>
              <c:f>[graph.xlsx]Sheet1!$B$2:$B$14</c:f>
              <c:numCache>
                <c:formatCode>General</c:formatCode>
                <c:ptCount val="13"/>
                <c:pt idx="0">
                  <c:v>0</c:v>
                </c:pt>
                <c:pt idx="1">
                  <c:v>98</c:v>
                </c:pt>
                <c:pt idx="2">
                  <c:v>0</c:v>
                </c:pt>
                <c:pt idx="3">
                  <c:v>53</c:v>
                </c:pt>
                <c:pt idx="4">
                  <c:v>3</c:v>
                </c:pt>
                <c:pt idx="5">
                  <c:v>0</c:v>
                </c:pt>
                <c:pt idx="6">
                  <c:v>11</c:v>
                </c:pt>
                <c:pt idx="7">
                  <c:v>110</c:v>
                </c:pt>
                <c:pt idx="8">
                  <c:v>11</c:v>
                </c:pt>
                <c:pt idx="9">
                  <c:v>5</c:v>
                </c:pt>
                <c:pt idx="10">
                  <c:v>72</c:v>
                </c:pt>
                <c:pt idx="11">
                  <c:v>90</c:v>
                </c:pt>
                <c:pt idx="12">
                  <c:v>45</c:v>
                </c:pt>
              </c:numCache>
            </c:numRef>
          </c:val>
          <c:extLst>
            <c:ext xmlns:c16="http://schemas.microsoft.com/office/drawing/2014/chart" uri="{C3380CC4-5D6E-409C-BE32-E72D297353CC}">
              <c16:uniqueId val="{00000000-8071-4E05-9980-20BB6CFC4A11}"/>
            </c:ext>
          </c:extLst>
        </c:ser>
        <c:dLbls>
          <c:showLegendKey val="0"/>
          <c:showVal val="0"/>
          <c:showCatName val="0"/>
          <c:showSerName val="0"/>
          <c:showPercent val="0"/>
          <c:showBubbleSize val="0"/>
        </c:dLbls>
        <c:gapWidth val="219"/>
        <c:overlap val="-27"/>
        <c:axId val="462328576"/>
        <c:axId val="462330112"/>
      </c:barChart>
      <c:catAx>
        <c:axId val="46232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330112"/>
        <c:crosses val="autoZero"/>
        <c:auto val="1"/>
        <c:lblAlgn val="ctr"/>
        <c:lblOffset val="100"/>
        <c:noMultiLvlLbl val="0"/>
      </c:catAx>
      <c:valAx>
        <c:axId val="462330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328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c_53_EN.dotx</Template>
  <TotalTime>196</TotalTime>
  <Pages>40</Pages>
  <Words>11906</Words>
  <Characters>80154</Characters>
  <Application>Microsoft Office Word</Application>
  <DocSecurity>0</DocSecurity>
  <Lines>667</Lines>
  <Paragraphs>183</Paragraphs>
  <ScaleCrop>false</ScaleCrop>
  <HeadingPairs>
    <vt:vector size="2" baseType="variant">
      <vt:variant>
        <vt:lpstr>Title</vt:lpstr>
      </vt:variant>
      <vt:variant>
        <vt:i4>1</vt:i4>
      </vt:variant>
    </vt:vector>
  </HeadingPairs>
  <TitlesOfParts>
    <vt:vector size="1" baseType="lpstr">
      <vt:lpstr>C/53/INF/4</vt:lpstr>
    </vt:vector>
  </TitlesOfParts>
  <Company>UPOV</Company>
  <LinksUpToDate>false</LinksUpToDate>
  <CharactersWithSpaces>91877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C/53/INF/4</dc:title>
  <dc:creator>SANCHEZ VIZCAINO GOMEZ Rosa Maria</dc:creator>
  <cp:lastModifiedBy>SANCHEZ VIZCAINO GOMEZ Rosa Maria</cp:lastModifiedBy>
  <cp:revision>37</cp:revision>
  <cp:lastPrinted>2019-10-04T09:13:00Z</cp:lastPrinted>
  <dcterms:created xsi:type="dcterms:W3CDTF">2019-10-24T07:18:00Z</dcterms:created>
  <dcterms:modified xsi:type="dcterms:W3CDTF">2019-10-29T17:32:00Z</dcterms:modified>
</cp:coreProperties>
</file>