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0E6F4D" w:rsidP="000E6F4D">
            <w:pPr>
              <w:pStyle w:val="Lettrine"/>
            </w:pPr>
            <w:r>
              <w:t>G</w:t>
            </w:r>
          </w:p>
        </w:tc>
      </w:tr>
      <w:tr w:rsidR="00DC3802" w:rsidRPr="001E039D" w:rsidTr="00645CA8">
        <w:trPr>
          <w:trHeight w:val="219"/>
        </w:trPr>
        <w:tc>
          <w:tcPr>
            <w:tcW w:w="6522" w:type="dxa"/>
          </w:tcPr>
          <w:p w:rsidR="00DC3802" w:rsidRPr="004673D5" w:rsidRDefault="000E6F4D" w:rsidP="000E6F4D">
            <w:pPr>
              <w:pStyle w:val="upove"/>
              <w:rPr>
                <w:lang w:val="de-DE"/>
              </w:rPr>
            </w:pPr>
            <w:r w:rsidRPr="004673D5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4673D5" w:rsidRDefault="00DC3802" w:rsidP="00DA4973">
            <w:pPr>
              <w:rPr>
                <w:lang w:val="de-DE"/>
              </w:rPr>
            </w:pPr>
          </w:p>
        </w:tc>
      </w:tr>
    </w:tbl>
    <w:p w:rsidR="000E6F4D" w:rsidRPr="004673D5" w:rsidRDefault="000E6F4D" w:rsidP="00DC3802">
      <w:pPr>
        <w:rPr>
          <w:lang w:val="de-DE"/>
        </w:rPr>
      </w:pPr>
    </w:p>
    <w:p w:rsidR="00DA4973" w:rsidRPr="004673D5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A0B98" w:rsidTr="00EB4E9C">
        <w:tc>
          <w:tcPr>
            <w:tcW w:w="6512" w:type="dxa"/>
          </w:tcPr>
          <w:p w:rsidR="000E6F4D" w:rsidRPr="004673D5" w:rsidRDefault="00151213" w:rsidP="000E6F4D">
            <w:pPr>
              <w:pStyle w:val="Sessiontc"/>
              <w:spacing w:line="240" w:lineRule="auto"/>
              <w:rPr>
                <w:lang w:val="de-DE"/>
              </w:rPr>
            </w:pPr>
            <w:r w:rsidRPr="004673D5">
              <w:rPr>
                <w:lang w:val="de-DE"/>
              </w:rPr>
              <w:t xml:space="preserve">Der </w:t>
            </w:r>
            <w:r w:rsidR="000E6F4D" w:rsidRPr="004673D5">
              <w:rPr>
                <w:lang w:val="de-DE"/>
              </w:rPr>
              <w:t>Rat</w:t>
            </w:r>
          </w:p>
          <w:p w:rsidR="00EB4E9C" w:rsidRPr="00791B73" w:rsidRDefault="000E6F4D" w:rsidP="000E6F4D">
            <w:pPr>
              <w:pStyle w:val="Sessiontcplacedate"/>
            </w:pPr>
            <w:r w:rsidRPr="004673D5">
              <w:rPr>
                <w:lang w:val="de-DE"/>
              </w:rPr>
              <w:t xml:space="preserve">Zweiundfünfzigste ordentliche Tagung </w:t>
            </w:r>
            <w:r w:rsidR="00791B73" w:rsidRPr="004673D5">
              <w:rPr>
                <w:lang w:val="de-DE"/>
              </w:rPr>
              <w:br/>
            </w:r>
            <w:r w:rsidRPr="004673D5">
              <w:rPr>
                <w:lang w:val="de-DE"/>
              </w:rPr>
              <w:t xml:space="preserve">Genf, 2. </w:t>
            </w:r>
            <w:r w:rsidRPr="00791B73">
              <w:t>November 2018</w:t>
            </w:r>
          </w:p>
        </w:tc>
        <w:tc>
          <w:tcPr>
            <w:tcW w:w="3127" w:type="dxa"/>
          </w:tcPr>
          <w:p w:rsidR="000E6F4D" w:rsidRPr="004673D5" w:rsidRDefault="000E6F4D" w:rsidP="000E6F4D">
            <w:pPr>
              <w:pStyle w:val="Doccode"/>
              <w:rPr>
                <w:lang w:val="de-DE"/>
              </w:rPr>
            </w:pPr>
            <w:r w:rsidRPr="004673D5">
              <w:rPr>
                <w:lang w:val="de-DE"/>
              </w:rPr>
              <w:t>C/52/10</w:t>
            </w:r>
          </w:p>
          <w:p w:rsidR="000E6F4D" w:rsidRPr="004673D5" w:rsidRDefault="000E6F4D" w:rsidP="000E6F4D">
            <w:pPr>
              <w:pStyle w:val="Docoriginal"/>
              <w:rPr>
                <w:lang w:val="de-DE"/>
              </w:rPr>
            </w:pPr>
            <w:r w:rsidRPr="004673D5">
              <w:rPr>
                <w:lang w:val="de-DE"/>
              </w:rPr>
              <w:t>O</w:t>
            </w:r>
            <w:r w:rsidR="00791B73" w:rsidRPr="004673D5">
              <w:rPr>
                <w:lang w:val="de-DE"/>
              </w:rPr>
              <w:t>riginal</w:t>
            </w:r>
            <w:r w:rsidRPr="004673D5">
              <w:rPr>
                <w:lang w:val="de-DE"/>
              </w:rPr>
              <w:t>:</w:t>
            </w:r>
            <w:r w:rsidR="00B5087B">
              <w:rPr>
                <w:b w:val="0"/>
                <w:lang w:val="de-DE"/>
              </w:rPr>
              <w:t xml:space="preserve"> e</w:t>
            </w:r>
            <w:r w:rsidRPr="004673D5">
              <w:rPr>
                <w:b w:val="0"/>
                <w:lang w:val="de-DE"/>
              </w:rPr>
              <w:t>nglisch</w:t>
            </w:r>
          </w:p>
          <w:p w:rsidR="00EB4E9C" w:rsidRPr="004673D5" w:rsidRDefault="000E6F4D" w:rsidP="001E039D">
            <w:pPr>
              <w:pStyle w:val="Docoriginal"/>
              <w:rPr>
                <w:lang w:val="de-DE"/>
              </w:rPr>
            </w:pPr>
            <w:r w:rsidRPr="001E039D">
              <w:rPr>
                <w:lang w:val="de-DE"/>
              </w:rPr>
              <w:t>D</w:t>
            </w:r>
            <w:r w:rsidR="00791B73" w:rsidRPr="001E039D">
              <w:rPr>
                <w:lang w:val="de-DE"/>
              </w:rPr>
              <w:t>atum</w:t>
            </w:r>
            <w:r w:rsidRPr="001E039D">
              <w:rPr>
                <w:lang w:val="de-DE"/>
              </w:rPr>
              <w:t>:</w:t>
            </w:r>
            <w:r w:rsidRPr="001E039D">
              <w:rPr>
                <w:b w:val="0"/>
                <w:lang w:val="de-DE"/>
              </w:rPr>
              <w:t xml:space="preserve"> </w:t>
            </w:r>
            <w:r w:rsidRPr="001E039D">
              <w:rPr>
                <w:lang w:val="de-DE"/>
              </w:rPr>
              <w:t xml:space="preserve"> </w:t>
            </w:r>
            <w:r w:rsidRPr="001E039D">
              <w:rPr>
                <w:b w:val="0"/>
                <w:lang w:val="de-DE"/>
              </w:rPr>
              <w:t>1</w:t>
            </w:r>
            <w:r w:rsidR="001E039D" w:rsidRPr="001E039D">
              <w:rPr>
                <w:b w:val="0"/>
                <w:lang w:val="de-DE"/>
              </w:rPr>
              <w:t>9</w:t>
            </w:r>
            <w:r w:rsidRPr="001E039D">
              <w:rPr>
                <w:b w:val="0"/>
                <w:lang w:val="de-DE"/>
              </w:rPr>
              <w:t>. Oktober 2018</w:t>
            </w:r>
          </w:p>
        </w:tc>
      </w:tr>
    </w:tbl>
    <w:p w:rsidR="000E6F4D" w:rsidRPr="004673D5" w:rsidRDefault="000E6F4D" w:rsidP="000E6F4D">
      <w:pPr>
        <w:pStyle w:val="Titleofdoc0"/>
        <w:jc w:val="both"/>
        <w:rPr>
          <w:lang w:val="de-DE"/>
        </w:rPr>
      </w:pPr>
      <w:bookmarkStart w:id="0" w:name="TitleOfDoc"/>
      <w:bookmarkEnd w:id="0"/>
      <w:r w:rsidRPr="004673D5">
        <w:rPr>
          <w:lang w:val="de-DE"/>
        </w:rPr>
        <w:t>Bericht über den Fortschritt der Arbeiten des Technischen Ausschusses, der Technischen Arbeitsgruppen und der Arbeitsgruppe für biochemische und molekulare Verfahren und insbesondere für DNS-Profilierungsverfahren</w:t>
      </w:r>
      <w:r w:rsidR="006231AE" w:rsidRPr="004673D5">
        <w:rPr>
          <w:lang w:val="de-DE"/>
        </w:rPr>
        <w:t xml:space="preserve"> </w:t>
      </w:r>
    </w:p>
    <w:p w:rsidR="000E6F4D" w:rsidRPr="004673D5" w:rsidRDefault="000E6F4D" w:rsidP="000E6F4D">
      <w:pPr>
        <w:pStyle w:val="preparedby1"/>
        <w:jc w:val="left"/>
        <w:rPr>
          <w:lang w:val="de-DE"/>
        </w:rPr>
      </w:pPr>
      <w:bookmarkStart w:id="1" w:name="Prepared"/>
      <w:bookmarkEnd w:id="1"/>
      <w:r w:rsidRPr="004673D5">
        <w:rPr>
          <w:lang w:val="de-DE"/>
        </w:rPr>
        <w:t>vom Verbandsbüro erstelltes Dokument</w:t>
      </w:r>
    </w:p>
    <w:p w:rsidR="000E6F4D" w:rsidRPr="004673D5" w:rsidRDefault="000E6F4D" w:rsidP="000E6F4D">
      <w:pPr>
        <w:pStyle w:val="Disclaimer"/>
        <w:rPr>
          <w:lang w:val="de-DE"/>
        </w:rPr>
      </w:pPr>
      <w:r w:rsidRPr="004673D5">
        <w:rPr>
          <w:lang w:val="de-DE"/>
        </w:rPr>
        <w:t>Haftungsausschluß:  dieses Dokument gibt nicht die Grundsätze oder eine Anleitung der UPOV wieder</w:t>
      </w:r>
    </w:p>
    <w:p w:rsidR="000E6F4D" w:rsidRPr="00AA0B98" w:rsidRDefault="005D007E" w:rsidP="005D007E">
      <w:pPr>
        <w:rPr>
          <w:lang w:val="de-DE"/>
        </w:rPr>
      </w:pPr>
      <w:r w:rsidRPr="00BD4338">
        <w:fldChar w:fldCharType="begin"/>
      </w:r>
      <w:r w:rsidRPr="004673D5">
        <w:rPr>
          <w:lang w:val="de-DE"/>
        </w:rPr>
        <w:instrText xml:space="preserve"> AUTONUM  </w:instrText>
      </w:r>
      <w:r w:rsidRPr="00BD4338">
        <w:fldChar w:fldCharType="end"/>
      </w:r>
      <w:r w:rsidRPr="004673D5">
        <w:rPr>
          <w:lang w:val="de-DE"/>
        </w:rPr>
        <w:tab/>
      </w:r>
      <w:r w:rsidR="004673D5" w:rsidRPr="00AA0B98">
        <w:rPr>
          <w:lang w:val="de-DE"/>
        </w:rPr>
        <w:t xml:space="preserve">Auf seiner dreiundfünfzigsten Tagung vom 3. bis 5. April 2017 in Genf prüfte der Technische Ausschuß </w:t>
      </w:r>
      <w:r w:rsidRPr="00AA0B98">
        <w:rPr>
          <w:lang w:val="de-DE"/>
        </w:rPr>
        <w:t>(</w:t>
      </w:r>
      <w:r w:rsidR="00AB30F7" w:rsidRPr="00AA0B98">
        <w:rPr>
          <w:lang w:val="de-DE"/>
        </w:rPr>
        <w:t>TC</w:t>
      </w:r>
      <w:r w:rsidRPr="00AA0B98">
        <w:rPr>
          <w:lang w:val="de-DE"/>
        </w:rPr>
        <w:t xml:space="preserve">) </w:t>
      </w:r>
      <w:r w:rsidR="004673D5" w:rsidRPr="00AA0B98">
        <w:rPr>
          <w:lang w:val="de-DE"/>
        </w:rPr>
        <w:t>das Arbeitsprogramm für seine vierundf</w:t>
      </w:r>
      <w:r w:rsidR="00B5087B">
        <w:rPr>
          <w:lang w:val="de-DE"/>
        </w:rPr>
        <w:t>ünfzigste Tagung und war sich darin einig</w:t>
      </w:r>
      <w:r w:rsidR="004673D5" w:rsidRPr="00AA0B98">
        <w:rPr>
          <w:lang w:val="de-DE"/>
        </w:rPr>
        <w:t>, daß sein</w:t>
      </w:r>
      <w:r w:rsidR="00B5087B">
        <w:rPr>
          <w:lang w:val="de-DE"/>
        </w:rPr>
        <w:t xml:space="preserve"> Arbeitsprogramm durch eine Tag</w:t>
      </w:r>
      <w:r w:rsidR="004673D5" w:rsidRPr="00AA0B98">
        <w:rPr>
          <w:lang w:val="de-DE"/>
        </w:rPr>
        <w:t>ung am 29. und 30. Oktober 2018 abgedeckt werden könnte</w:t>
      </w:r>
      <w:r w:rsidRPr="00AA0B98">
        <w:rPr>
          <w:lang w:val="de-DE"/>
        </w:rPr>
        <w:t>.</w:t>
      </w:r>
    </w:p>
    <w:p w:rsidR="000E6F4D" w:rsidRPr="00AA0B98" w:rsidRDefault="000E6F4D" w:rsidP="005D007E">
      <w:pPr>
        <w:rPr>
          <w:lang w:val="de-DE"/>
        </w:rPr>
      </w:pPr>
    </w:p>
    <w:p w:rsidR="000E6F4D" w:rsidRPr="004673D5" w:rsidRDefault="005D007E" w:rsidP="000E6F4D">
      <w:pPr>
        <w:rPr>
          <w:lang w:val="de-DE"/>
        </w:rPr>
      </w:pPr>
      <w:r w:rsidRPr="00BD4338">
        <w:fldChar w:fldCharType="begin"/>
      </w:r>
      <w:r w:rsidRPr="004673D5">
        <w:rPr>
          <w:lang w:val="de-DE"/>
        </w:rPr>
        <w:instrText xml:space="preserve"> AUTONUM  </w:instrText>
      </w:r>
      <w:r w:rsidRPr="00BD4338">
        <w:fldChar w:fldCharType="end"/>
      </w:r>
      <w:r w:rsidRPr="004673D5">
        <w:rPr>
          <w:lang w:val="de-DE"/>
        </w:rPr>
        <w:tab/>
      </w:r>
      <w:r w:rsidR="000E6F4D" w:rsidRPr="004673D5">
        <w:rPr>
          <w:lang w:val="de-DE"/>
        </w:rPr>
        <w:tab/>
        <w:t>Für die vierundneunzigste Tagung des Beratenden Ausschusses wurde folgendes Programm vereinbart:</w:t>
      </w:r>
    </w:p>
    <w:p w:rsidR="000E6F4D" w:rsidRPr="004673D5" w:rsidRDefault="000E6F4D" w:rsidP="005D007E">
      <w:pPr>
        <w:rPr>
          <w:lang w:val="de-DE"/>
        </w:rPr>
      </w:pP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1. </w:t>
      </w:r>
      <w:r w:rsidRPr="004673D5">
        <w:rPr>
          <w:lang w:val="de-DE"/>
        </w:rPr>
        <w:tab/>
        <w:t>Eröffnung der Tagung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2.</w:t>
      </w:r>
      <w:r w:rsidRPr="004673D5">
        <w:rPr>
          <w:lang w:val="de-DE"/>
        </w:rPr>
        <w:tab/>
        <w:t>Annahme der Tagesordnung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3.</w:t>
      </w:r>
      <w:r w:rsidRPr="004673D5">
        <w:rPr>
          <w:lang w:val="de-DE"/>
        </w:rPr>
        <w:tab/>
        <w:t>Bericht über die Entwicklungen in der UPOV, u. a. die auf den letzten Tagungen des Verwaltungs- und Rechtsausschusses, des Beratenden Ausschusses und des Rates erörterten wichtigen Angelegenheiten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4.</w:t>
      </w:r>
      <w:r w:rsidRPr="004673D5">
        <w:rPr>
          <w:lang w:val="de-DE"/>
        </w:rPr>
        <w:tab/>
        <w:t>Bericht über den Fortschritt der Arbeiten der Technischen Arbeitsgruppen, einschließlich der Arbeitsgruppe für biochemische und molekulare Verfahren und insbesondere für DNS-Profilierungsverfahren (BMT)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5.</w:t>
      </w:r>
      <w:r w:rsidRPr="004673D5">
        <w:rPr>
          <w:lang w:val="de-DE"/>
        </w:rPr>
        <w:tab/>
        <w:t>Fragen, die von den technischen Arbeitsgruppen aufgeworfen wurden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6. </w:t>
      </w:r>
      <w:r w:rsidRPr="004673D5">
        <w:rPr>
          <w:lang w:val="de-DE"/>
        </w:rPr>
        <w:tab/>
        <w:t>TGP-Dokumente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7. </w:t>
      </w:r>
      <w:r w:rsidRPr="004673D5">
        <w:rPr>
          <w:lang w:val="de-DE"/>
        </w:rPr>
        <w:tab/>
        <w:t>Zusammenarbeit bei der Prüfung</w:t>
      </w:r>
      <w:r w:rsidR="00AB30F7" w:rsidRPr="004673D5">
        <w:rPr>
          <w:lang w:val="de-DE"/>
        </w:rPr>
        <w:t xml:space="preserve"> </w:t>
      </w:r>
    </w:p>
    <w:p w:rsidR="000E6F4D" w:rsidRPr="004673D5" w:rsidRDefault="005D336E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8. </w:t>
      </w:r>
      <w:r w:rsidRPr="004673D5">
        <w:rPr>
          <w:lang w:val="de-DE"/>
        </w:rPr>
        <w:tab/>
      </w:r>
      <w:r w:rsidR="00A25B6C">
        <w:rPr>
          <w:lang w:val="de-DE"/>
        </w:rPr>
        <w:t>Ansätze, u</w:t>
      </w:r>
      <w:r w:rsidR="000E6F4D" w:rsidRPr="004673D5">
        <w:rPr>
          <w:lang w:val="de-DE"/>
        </w:rPr>
        <w:t>m Pflanzenmaterial v</w:t>
      </w:r>
      <w:r w:rsidR="00A25B6C">
        <w:rPr>
          <w:lang w:val="de-DE"/>
        </w:rPr>
        <w:t>on Züchtern zu erhalten, und zur</w:t>
      </w:r>
      <w:r w:rsidR="000E6F4D" w:rsidRPr="004673D5">
        <w:rPr>
          <w:lang w:val="de-DE"/>
        </w:rPr>
        <w:t xml:space="preserve"> Festlegung von Sorten, deren Vorhandensein allgemein bekannt ist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9.</w:t>
      </w:r>
      <w:r w:rsidRPr="004673D5">
        <w:rPr>
          <w:lang w:val="de-DE"/>
        </w:rPr>
        <w:tab/>
        <w:t>Informationen und Datenbanken</w:t>
      </w:r>
    </w:p>
    <w:p w:rsidR="000E6F4D" w:rsidRPr="004673D5" w:rsidRDefault="000E6F4D" w:rsidP="000E6F4D">
      <w:pPr>
        <w:tabs>
          <w:tab w:val="left" w:pos="1701"/>
        </w:tabs>
        <w:spacing w:after="120"/>
        <w:ind w:left="1134" w:right="567"/>
        <w:rPr>
          <w:lang w:val="de-DE"/>
        </w:rPr>
      </w:pPr>
      <w:r w:rsidRPr="004673D5">
        <w:rPr>
          <w:lang w:val="de-DE"/>
        </w:rPr>
        <w:t>a)</w:t>
      </w:r>
      <w:r w:rsidRPr="004673D5">
        <w:rPr>
          <w:lang w:val="de-DE"/>
        </w:rPr>
        <w:tab/>
        <w:t>UPOV-Informationsdatenbanken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tabs>
          <w:tab w:val="left" w:pos="1701"/>
        </w:tabs>
        <w:spacing w:after="120"/>
        <w:ind w:left="1134" w:right="567"/>
        <w:rPr>
          <w:lang w:val="de-DE"/>
        </w:rPr>
      </w:pPr>
      <w:r w:rsidRPr="004673D5">
        <w:rPr>
          <w:lang w:val="de-DE"/>
        </w:rPr>
        <w:t>b)</w:t>
      </w:r>
      <w:r w:rsidRPr="004673D5">
        <w:rPr>
          <w:lang w:val="de-DE"/>
        </w:rPr>
        <w:tab/>
        <w:t>Elektronisches Antragsformular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tabs>
          <w:tab w:val="left" w:pos="1701"/>
        </w:tabs>
        <w:spacing w:after="120"/>
        <w:ind w:left="1134" w:right="567"/>
        <w:rPr>
          <w:lang w:val="de-DE"/>
        </w:rPr>
      </w:pPr>
      <w:r w:rsidRPr="004673D5">
        <w:rPr>
          <w:lang w:val="de-DE"/>
        </w:rPr>
        <w:t>c)</w:t>
      </w:r>
      <w:r w:rsidRPr="004673D5">
        <w:rPr>
          <w:lang w:val="de-DE"/>
        </w:rPr>
        <w:tab/>
        <w:t>Austausch und Verwendung von Software und Ausrüstung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tabs>
          <w:tab w:val="left" w:pos="1701"/>
        </w:tabs>
        <w:spacing w:after="120"/>
        <w:ind w:left="1134" w:right="567"/>
        <w:rPr>
          <w:lang w:val="de-DE"/>
        </w:rPr>
      </w:pPr>
      <w:r w:rsidRPr="004673D5">
        <w:rPr>
          <w:lang w:val="de-DE"/>
        </w:rPr>
        <w:t>d)</w:t>
      </w:r>
      <w:r w:rsidRPr="004673D5">
        <w:rPr>
          <w:lang w:val="de-DE"/>
        </w:rPr>
        <w:tab/>
        <w:t>Datenbanken für Sortenbeschreibungen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10. </w:t>
      </w:r>
      <w:r w:rsidRPr="004673D5">
        <w:rPr>
          <w:lang w:val="de-DE"/>
        </w:rPr>
        <w:tab/>
        <w:t>Anzahl von Wachstumsperioden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11.</w:t>
      </w:r>
      <w:r w:rsidRPr="004673D5">
        <w:rPr>
          <w:lang w:val="de-DE"/>
        </w:rPr>
        <w:tab/>
        <w:t>Angelegenheiten betreffend Sortenbeschreibungen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12.</w:t>
      </w:r>
      <w:r w:rsidRPr="004673D5">
        <w:rPr>
          <w:lang w:val="de-DE"/>
        </w:rPr>
        <w:tab/>
        <w:t>Entwicklung berechneter Schwellenwerte für die Ausschließung allgemein bekannter Sorten von der zweiten Wachstumsperiode bei Anwendung von COYD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13.</w:t>
      </w:r>
      <w:r w:rsidRPr="004673D5">
        <w:rPr>
          <w:lang w:val="de-DE"/>
        </w:rPr>
        <w:tab/>
        <w:t>Statistische Verfahren für visuell erfasste Merkmale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14. </w:t>
      </w:r>
      <w:r w:rsidR="00791B73" w:rsidRPr="004673D5">
        <w:rPr>
          <w:lang w:val="de-DE"/>
        </w:rPr>
        <w:tab/>
      </w:r>
      <w:r w:rsidRPr="004673D5">
        <w:rPr>
          <w:lang w:val="de-DE"/>
        </w:rPr>
        <w:t>Molekulare Verfahren</w:t>
      </w:r>
      <w:r w:rsidR="007C7E15" w:rsidRPr="004673D5">
        <w:rPr>
          <w:lang w:val="de-DE"/>
        </w:rPr>
        <w:t xml:space="preserve"> </w:t>
      </w:r>
    </w:p>
    <w:p w:rsidR="000E6F4D" w:rsidRPr="004673D5" w:rsidRDefault="000E6F4D" w:rsidP="001E039D">
      <w:pPr>
        <w:keepNext/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15.</w:t>
      </w:r>
      <w:r w:rsidRPr="004673D5">
        <w:rPr>
          <w:lang w:val="de-DE"/>
        </w:rPr>
        <w:tab/>
        <w:t>Erörterungen zu: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1E039D">
      <w:pPr>
        <w:keepNext/>
        <w:spacing w:after="120"/>
        <w:ind w:left="1701" w:right="567" w:hanging="567"/>
        <w:rPr>
          <w:lang w:val="de-DE"/>
        </w:rPr>
      </w:pPr>
      <w:r w:rsidRPr="004673D5">
        <w:rPr>
          <w:lang w:val="de-DE"/>
        </w:rPr>
        <w:lastRenderedPageBreak/>
        <w:t>a)</w:t>
      </w:r>
      <w:r w:rsidRPr="004673D5">
        <w:rPr>
          <w:lang w:val="de-DE"/>
        </w:rPr>
        <w:tab/>
        <w:t>Mindestabständen zwischen Sorten</w:t>
      </w:r>
    </w:p>
    <w:p w:rsidR="000E6F4D" w:rsidRPr="004673D5" w:rsidRDefault="000E6F4D" w:rsidP="000E6F4D">
      <w:pPr>
        <w:spacing w:after="120"/>
        <w:ind w:left="1701" w:right="567" w:hanging="567"/>
        <w:rPr>
          <w:lang w:val="de-DE"/>
        </w:rPr>
      </w:pPr>
      <w:r w:rsidRPr="004673D5">
        <w:rPr>
          <w:lang w:val="de-DE"/>
        </w:rPr>
        <w:t>b)</w:t>
      </w:r>
      <w:r w:rsidRPr="004673D5">
        <w:rPr>
          <w:lang w:val="de-DE"/>
        </w:rPr>
        <w:tab/>
        <w:t>Verbesserung der Beteiligung neuer Verbandsmitglieder an der Arbeit des TC und der TWP (einschließlich der Bereitstellung von Schulungen unter Verwendung von UPOV-Instrumenten für neue Verbandsmitglieder)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16. </w:t>
      </w:r>
      <w:r w:rsidRPr="004673D5">
        <w:rPr>
          <w:lang w:val="de-DE"/>
        </w:rPr>
        <w:tab/>
        <w:t>Sortenbezeichnungen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17.</w:t>
      </w:r>
      <w:r w:rsidRPr="004673D5">
        <w:rPr>
          <w:lang w:val="de-DE"/>
        </w:rPr>
        <w:tab/>
        <w:t>Vorbereitende Arbeitstagungen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18.</w:t>
      </w:r>
      <w:r w:rsidRPr="004673D5">
        <w:rPr>
          <w:lang w:val="de-DE"/>
        </w:rPr>
        <w:tab/>
        <w:t>Liste der Gattungen und Arten, für die die Behörden über praktische Erfahrung bei der Prüfung der Unterscheidbarkeit, Homogenität und Beständigkeit verfügen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 xml:space="preserve">19. </w:t>
      </w:r>
      <w:r w:rsidRPr="004673D5">
        <w:rPr>
          <w:lang w:val="de-DE"/>
        </w:rPr>
        <w:tab/>
        <w:t>Prüfungsrichtlinien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20.</w:t>
      </w:r>
      <w:r w:rsidRPr="004673D5">
        <w:rPr>
          <w:lang w:val="de-DE"/>
        </w:rPr>
        <w:tab/>
        <w:t>Programm der fünfundfünfzigsten Tagung</w:t>
      </w:r>
      <w:r w:rsidR="00AB30F7" w:rsidRPr="004673D5">
        <w:rPr>
          <w:lang w:val="de-DE"/>
        </w:rPr>
        <w:t xml:space="preserve"> 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21.</w:t>
      </w:r>
      <w:r w:rsidRPr="004673D5">
        <w:rPr>
          <w:lang w:val="de-DE"/>
        </w:rPr>
        <w:tab/>
        <w:t>Annahme des Berichts (sofern zeitlich möglich)</w:t>
      </w:r>
    </w:p>
    <w:p w:rsidR="000E6F4D" w:rsidRPr="004673D5" w:rsidRDefault="000E6F4D" w:rsidP="000E6F4D">
      <w:pPr>
        <w:spacing w:after="120"/>
        <w:ind w:left="1134" w:right="567" w:hanging="567"/>
        <w:rPr>
          <w:lang w:val="de-DE"/>
        </w:rPr>
      </w:pPr>
      <w:r w:rsidRPr="004673D5">
        <w:rPr>
          <w:lang w:val="de-DE"/>
        </w:rPr>
        <w:t>22.</w:t>
      </w:r>
      <w:r w:rsidRPr="004673D5">
        <w:rPr>
          <w:lang w:val="de-DE"/>
        </w:rPr>
        <w:tab/>
        <w:t>Schließung der Tagung</w:t>
      </w:r>
    </w:p>
    <w:p w:rsidR="000E6F4D" w:rsidRPr="004673D5" w:rsidRDefault="005D007E" w:rsidP="00414D0B">
      <w:pPr>
        <w:spacing w:after="120"/>
        <w:ind w:left="567" w:right="567"/>
        <w:rPr>
          <w:lang w:val="de-DE"/>
        </w:rPr>
      </w:pPr>
      <w:r w:rsidRPr="004673D5">
        <w:rPr>
          <w:lang w:val="de-DE"/>
        </w:rPr>
        <w:t>(</w:t>
      </w:r>
      <w:r w:rsidR="00C025F9" w:rsidRPr="004673D5">
        <w:rPr>
          <w:lang w:val="de-DE"/>
        </w:rPr>
        <w:t xml:space="preserve">vergleiche Dokumente </w:t>
      </w:r>
      <w:r w:rsidR="00AB30F7" w:rsidRPr="004673D5">
        <w:rPr>
          <w:lang w:val="de-DE"/>
        </w:rPr>
        <w:t>TC</w:t>
      </w:r>
      <w:r w:rsidRPr="004673D5">
        <w:rPr>
          <w:lang w:val="de-DE"/>
        </w:rPr>
        <w:t>/</w:t>
      </w:r>
      <w:r w:rsidR="00AB30F7" w:rsidRPr="004673D5">
        <w:rPr>
          <w:lang w:val="de-DE"/>
        </w:rPr>
        <w:t>53</w:t>
      </w:r>
      <w:r w:rsidRPr="004673D5">
        <w:rPr>
          <w:lang w:val="de-DE"/>
        </w:rPr>
        <w:t>/</w:t>
      </w:r>
      <w:r w:rsidR="00AB30F7" w:rsidRPr="004673D5">
        <w:rPr>
          <w:lang w:val="de-DE"/>
        </w:rPr>
        <w:t>3</w:t>
      </w:r>
      <w:r w:rsidRPr="004673D5">
        <w:rPr>
          <w:lang w:val="de-DE"/>
        </w:rPr>
        <w:t xml:space="preserve">1 </w:t>
      </w:r>
      <w:r w:rsidR="00E2732F" w:rsidRPr="004673D5">
        <w:rPr>
          <w:lang w:val="de-DE"/>
        </w:rPr>
        <w:t>„Bericht“,</w:t>
      </w:r>
      <w:r w:rsidR="000E6F4D" w:rsidRPr="004673D5">
        <w:rPr>
          <w:lang w:val="de-DE"/>
        </w:rPr>
        <w:t>u</w:t>
      </w:r>
      <w:r w:rsidRPr="004673D5">
        <w:rPr>
          <w:lang w:val="de-DE"/>
        </w:rPr>
        <w:t xml:space="preserve">nd </w:t>
      </w:r>
      <w:r w:rsidR="00AB30F7" w:rsidRPr="004673D5">
        <w:rPr>
          <w:lang w:val="de-DE"/>
        </w:rPr>
        <w:t>TC</w:t>
      </w:r>
      <w:r w:rsidRPr="004673D5">
        <w:rPr>
          <w:lang w:val="de-DE"/>
        </w:rPr>
        <w:t>/</w:t>
      </w:r>
      <w:r w:rsidR="00782938" w:rsidRPr="004673D5">
        <w:rPr>
          <w:lang w:val="de-DE"/>
        </w:rPr>
        <w:t>5</w:t>
      </w:r>
      <w:r w:rsidR="00AB30F7" w:rsidRPr="004673D5">
        <w:rPr>
          <w:lang w:val="de-DE"/>
        </w:rPr>
        <w:t>4</w:t>
      </w:r>
      <w:r w:rsidR="00782938" w:rsidRPr="004673D5">
        <w:rPr>
          <w:lang w:val="de-DE"/>
        </w:rPr>
        <w:t>/1</w:t>
      </w:r>
      <w:r w:rsidRPr="004673D5">
        <w:rPr>
          <w:lang w:val="de-DE"/>
        </w:rPr>
        <w:t xml:space="preserve"> </w:t>
      </w:r>
      <w:r w:rsidR="00E2732F" w:rsidRPr="004673D5">
        <w:rPr>
          <w:lang w:val="de-DE"/>
        </w:rPr>
        <w:t>„Entwurf einer Tagesordnung“</w:t>
      </w:r>
      <w:r w:rsidRPr="004673D5">
        <w:rPr>
          <w:lang w:val="de-DE"/>
        </w:rPr>
        <w:t>)</w:t>
      </w:r>
    </w:p>
    <w:p w:rsidR="000E6F4D" w:rsidRPr="004673D5" w:rsidRDefault="000E6F4D" w:rsidP="005D007E">
      <w:pPr>
        <w:keepNext/>
        <w:rPr>
          <w:lang w:val="de-DE"/>
        </w:rPr>
      </w:pPr>
    </w:p>
    <w:p w:rsidR="00AA0B98" w:rsidRPr="001E039D" w:rsidRDefault="005D007E" w:rsidP="00AA0B98">
      <w:pPr>
        <w:rPr>
          <w:spacing w:val="2"/>
          <w:lang w:val="de-DE"/>
        </w:rPr>
      </w:pPr>
      <w:r w:rsidRPr="001E039D">
        <w:rPr>
          <w:spacing w:val="2"/>
        </w:rPr>
        <w:fldChar w:fldCharType="begin"/>
      </w:r>
      <w:r w:rsidRPr="001E039D">
        <w:rPr>
          <w:spacing w:val="2"/>
          <w:lang w:val="de-DE"/>
        </w:rPr>
        <w:instrText xml:space="preserve"> AUTONUM  </w:instrText>
      </w:r>
      <w:r w:rsidRPr="001E039D">
        <w:rPr>
          <w:spacing w:val="2"/>
        </w:rPr>
        <w:fldChar w:fldCharType="end"/>
      </w:r>
      <w:r w:rsidRPr="001E039D">
        <w:rPr>
          <w:spacing w:val="2"/>
          <w:lang w:val="de-DE"/>
        </w:rPr>
        <w:tab/>
      </w:r>
      <w:r w:rsidR="00AA0B98" w:rsidRPr="001E039D">
        <w:rPr>
          <w:spacing w:val="2"/>
          <w:lang w:val="de-DE"/>
        </w:rPr>
        <w:t>Es ist davon auszugehen, daß der Bericht über die vierundfün</w:t>
      </w:r>
      <w:r w:rsidR="001E039D" w:rsidRPr="001E039D">
        <w:rPr>
          <w:spacing w:val="2"/>
          <w:lang w:val="de-DE"/>
        </w:rPr>
        <w:t>fzigste Tagung des TC (Dokument </w:t>
      </w:r>
      <w:r w:rsidR="00AA0B98" w:rsidRPr="001E039D">
        <w:rPr>
          <w:spacing w:val="2"/>
          <w:lang w:val="de-DE"/>
        </w:rPr>
        <w:t>TC/54/[31]) am 31. Oktober 2018 auf der UPOV-Website zur Ve</w:t>
      </w:r>
      <w:r w:rsidR="001E039D" w:rsidRPr="001E039D">
        <w:rPr>
          <w:spacing w:val="2"/>
          <w:lang w:val="de-DE"/>
        </w:rPr>
        <w:t xml:space="preserve">rfügung gestellt wird. </w:t>
      </w:r>
      <w:r w:rsidR="001E039D" w:rsidRPr="001E039D">
        <w:rPr>
          <w:lang w:val="de-DE"/>
        </w:rPr>
        <w:t>Dokument </w:t>
      </w:r>
      <w:r w:rsidR="00AA0B98" w:rsidRPr="001E039D">
        <w:rPr>
          <w:lang w:val="de-DE"/>
        </w:rPr>
        <w:t>TC/54/[31] wird einen Bericht über den Fortschritt der Arbeiten und das Arbeitsprogramm des TC,</w:t>
      </w:r>
      <w:r w:rsidR="00AA0B98" w:rsidRPr="001E039D">
        <w:rPr>
          <w:spacing w:val="2"/>
          <w:lang w:val="de-DE"/>
        </w:rPr>
        <w:t xml:space="preserve"> der Technischen Arbeitsgruppen (TWP) und der Arbeitsgruppe für biochemische und molekulare Verfahren und insbesondere für DNS-Profilierungsverfahren (BMT) enthalten. </w:t>
      </w:r>
    </w:p>
    <w:p w:rsidR="00AA0B98" w:rsidRPr="00AA0B98" w:rsidRDefault="00AA0B98" w:rsidP="00AA0B98">
      <w:pPr>
        <w:rPr>
          <w:lang w:val="de-DE"/>
        </w:rPr>
      </w:pPr>
    </w:p>
    <w:p w:rsidR="00AA0B98" w:rsidRPr="00AA0B98" w:rsidRDefault="00AA0B98" w:rsidP="00AA0B98">
      <w:pPr>
        <w:rPr>
          <w:lang w:val="de-DE"/>
        </w:rPr>
      </w:pPr>
      <w:r w:rsidRPr="00AA0B98">
        <w:rPr>
          <w:lang w:val="de-DE"/>
        </w:rPr>
        <w:fldChar w:fldCharType="begin"/>
      </w:r>
      <w:r w:rsidRPr="00AA0B98">
        <w:rPr>
          <w:lang w:val="de-DE"/>
        </w:rPr>
        <w:instrText xml:space="preserve"> AUTONUM  </w:instrText>
      </w:r>
      <w:r w:rsidRPr="00AA0B98">
        <w:rPr>
          <w:lang w:val="de-DE"/>
        </w:rPr>
        <w:fldChar w:fldCharType="end"/>
      </w:r>
      <w:r w:rsidRPr="00AA0B98">
        <w:rPr>
          <w:lang w:val="de-DE"/>
        </w:rPr>
        <w:tab/>
        <w:t xml:space="preserve">Ein mündlicher Bericht über die vierundfünfzigste Tagung des TC und über das Programm für seine fünfundfünfzigste Tagung wird auf der zweiundfünfzigsten ordentlichen Tagung des Rates erstattet werden. </w:t>
      </w:r>
    </w:p>
    <w:p w:rsidR="00AA0B98" w:rsidRPr="00AA0B98" w:rsidRDefault="00AA0B98" w:rsidP="00AA0B98">
      <w:pPr>
        <w:rPr>
          <w:lang w:val="de-DE"/>
        </w:rPr>
      </w:pPr>
    </w:p>
    <w:p w:rsidR="00AA0B98" w:rsidRPr="00AA0B98" w:rsidRDefault="00AA0B98" w:rsidP="00AA0B98">
      <w:pPr>
        <w:pStyle w:val="DecisionParagraphs"/>
        <w:keepNext/>
        <w:keepLines/>
        <w:rPr>
          <w:lang w:val="de-DE"/>
        </w:rPr>
      </w:pPr>
      <w:r w:rsidRPr="00AA0B98">
        <w:rPr>
          <w:lang w:val="de-DE"/>
        </w:rPr>
        <w:fldChar w:fldCharType="begin"/>
      </w:r>
      <w:r w:rsidRPr="00AA0B98">
        <w:rPr>
          <w:lang w:val="de-DE"/>
        </w:rPr>
        <w:instrText xml:space="preserve"> AUTONUM  </w:instrText>
      </w:r>
      <w:r w:rsidRPr="00AA0B98">
        <w:rPr>
          <w:lang w:val="de-DE"/>
        </w:rPr>
        <w:fldChar w:fldCharType="end"/>
      </w:r>
      <w:r w:rsidRPr="00AA0B98">
        <w:rPr>
          <w:lang w:val="de-DE"/>
        </w:rPr>
        <w:tab/>
        <w:t>Der Rat wird ersucht,</w:t>
      </w:r>
    </w:p>
    <w:p w:rsidR="00AA0B98" w:rsidRPr="00AA0B98" w:rsidRDefault="00AA0B98" w:rsidP="00AA0B98">
      <w:pPr>
        <w:pStyle w:val="DecisionParagraphs"/>
        <w:keepNext/>
        <w:keepLines/>
        <w:rPr>
          <w:lang w:val="de-DE"/>
        </w:rPr>
      </w:pPr>
    </w:p>
    <w:p w:rsidR="00AA0B98" w:rsidRPr="00AA0B98" w:rsidRDefault="00AA0B98" w:rsidP="00AA0B98">
      <w:pPr>
        <w:pStyle w:val="DecisionParagraphs"/>
        <w:keepNext/>
        <w:keepLines/>
        <w:rPr>
          <w:lang w:val="de-DE"/>
        </w:rPr>
      </w:pPr>
      <w:r w:rsidRPr="00AA0B98">
        <w:rPr>
          <w:lang w:val="de-DE"/>
        </w:rPr>
        <w:tab/>
        <w:t>a)</w:t>
      </w:r>
      <w:r w:rsidRPr="00AA0B98">
        <w:rPr>
          <w:lang w:val="de-DE"/>
        </w:rPr>
        <w:tab/>
        <w:t>zur Kenntnis zu nehmen, daß auf der zweiundfünfzigsten ordentlichen Tagung des Rates mündlich über die vierundfünfzigste Tagung des TC und über das Programm für seine fünfundfünfzigste Tagung berichtet wird;</w:t>
      </w:r>
    </w:p>
    <w:p w:rsidR="00AA0B98" w:rsidRPr="00AA0B98" w:rsidRDefault="00AA0B98" w:rsidP="00AA0B98">
      <w:pPr>
        <w:pStyle w:val="DecisionParagraphs"/>
        <w:keepNext/>
        <w:keepLines/>
        <w:rPr>
          <w:lang w:val="de-DE"/>
        </w:rPr>
      </w:pPr>
    </w:p>
    <w:p w:rsidR="00AA0B98" w:rsidRPr="00AA0B98" w:rsidRDefault="00AA0B98" w:rsidP="00AA0B98">
      <w:pPr>
        <w:pStyle w:val="DecisionParagraphs"/>
        <w:keepNext/>
        <w:keepLines/>
        <w:rPr>
          <w:lang w:val="de-DE"/>
        </w:rPr>
      </w:pPr>
      <w:r w:rsidRPr="00AA0B98">
        <w:rPr>
          <w:lang w:val="de-DE"/>
        </w:rPr>
        <w:tab/>
        <w:t>b)</w:t>
      </w:r>
      <w:r w:rsidRPr="00AA0B98">
        <w:rPr>
          <w:lang w:val="de-DE"/>
        </w:rPr>
        <w:tab/>
        <w:t>zur Kenntnis zu nehmen, daß davon auszugehen ist, daß der Bericht über die vierundfünfzigste Tagung des TC (Dokument TC/54/[31]), einschließlich eines Fortschrittsberichts über d</w:t>
      </w:r>
      <w:bookmarkStart w:id="2" w:name="_GoBack"/>
      <w:bookmarkEnd w:id="2"/>
      <w:r w:rsidRPr="00AA0B98">
        <w:rPr>
          <w:lang w:val="de-DE"/>
        </w:rPr>
        <w:t>ie Arbeit</w:t>
      </w:r>
      <w:r w:rsidR="00A25B6C">
        <w:rPr>
          <w:lang w:val="de-DE"/>
        </w:rPr>
        <w:t>en</w:t>
      </w:r>
      <w:r w:rsidRPr="00AA0B98">
        <w:rPr>
          <w:lang w:val="de-DE"/>
        </w:rPr>
        <w:t xml:space="preserve"> und das Arbeitsprogramm für den TC, die TWP und die BMT am 31. Oktober 2018 auf der UPOV-Website veröffentlicht wird; und</w:t>
      </w:r>
    </w:p>
    <w:p w:rsidR="00AA0B98" w:rsidRPr="00AA0B98" w:rsidRDefault="00AA0B98" w:rsidP="00AA0B98">
      <w:pPr>
        <w:pStyle w:val="DecisionParagraphs"/>
        <w:keepNext/>
        <w:keepLines/>
        <w:rPr>
          <w:lang w:val="de-DE"/>
        </w:rPr>
      </w:pPr>
    </w:p>
    <w:p w:rsidR="00AA0B98" w:rsidRPr="00AA0B98" w:rsidRDefault="00AA0B98" w:rsidP="00AA0B98">
      <w:pPr>
        <w:pStyle w:val="DecisionParagraphs"/>
        <w:keepNext/>
        <w:keepLines/>
        <w:rPr>
          <w:lang w:val="de-DE"/>
        </w:rPr>
      </w:pPr>
      <w:r w:rsidRPr="00AA0B98">
        <w:rPr>
          <w:lang w:val="de-DE"/>
        </w:rPr>
        <w:tab/>
        <w:t>c)</w:t>
      </w:r>
      <w:r w:rsidRPr="00AA0B98">
        <w:rPr>
          <w:lang w:val="de-DE"/>
        </w:rPr>
        <w:tab/>
        <w:t>den Fortschrittsbericht und das Arbeitsprogramm für den TC, die TWP und die BMT, wie im mündlichen Bericht auf der zweiundfünfzigsten ordentlichen Tagung des Rates und in Dokument TC/54/[31] dargelegt, zu billigen.</w:t>
      </w:r>
    </w:p>
    <w:p w:rsidR="000E6F4D" w:rsidRPr="00AA0B98" w:rsidRDefault="000E6F4D" w:rsidP="005D007E">
      <w:pPr>
        <w:rPr>
          <w:lang w:val="de-DE"/>
        </w:rPr>
      </w:pPr>
    </w:p>
    <w:p w:rsidR="000E6F4D" w:rsidRPr="00AA0B98" w:rsidRDefault="000E6F4D" w:rsidP="005D007E">
      <w:pPr>
        <w:rPr>
          <w:lang w:val="de-DE"/>
        </w:rPr>
      </w:pPr>
    </w:p>
    <w:p w:rsidR="000E6F4D" w:rsidRPr="00AA0B98" w:rsidRDefault="000E6F4D" w:rsidP="005D007E">
      <w:pPr>
        <w:rPr>
          <w:lang w:val="de-DE"/>
        </w:rPr>
      </w:pPr>
    </w:p>
    <w:p w:rsidR="000E6F4D" w:rsidRPr="00AA0B98" w:rsidRDefault="000E6F4D" w:rsidP="000E6F4D">
      <w:pPr>
        <w:jc w:val="right"/>
        <w:rPr>
          <w:lang w:val="de-DE"/>
        </w:rPr>
      </w:pPr>
      <w:r w:rsidRPr="00AA0B98">
        <w:rPr>
          <w:lang w:val="de-DE"/>
        </w:rPr>
        <w:t>[Ende des Dokuments]</w:t>
      </w:r>
    </w:p>
    <w:p w:rsidR="000E6F4D" w:rsidRPr="00AA0B98" w:rsidRDefault="000E6F4D" w:rsidP="009B440E">
      <w:pPr>
        <w:jc w:val="left"/>
        <w:rPr>
          <w:lang w:val="de-DE"/>
        </w:rPr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D2" w:rsidRDefault="00CF63D2" w:rsidP="006655D3">
      <w:r>
        <w:separator/>
      </w:r>
    </w:p>
    <w:p w:rsidR="00CF63D2" w:rsidRDefault="00CF63D2" w:rsidP="006655D3"/>
    <w:p w:rsidR="00CF63D2" w:rsidRDefault="00CF63D2" w:rsidP="006655D3"/>
  </w:endnote>
  <w:endnote w:type="continuationSeparator" w:id="0">
    <w:p w:rsidR="00CF63D2" w:rsidRDefault="00CF63D2" w:rsidP="006655D3">
      <w:r>
        <w:separator/>
      </w:r>
    </w:p>
    <w:p w:rsidR="00CF63D2" w:rsidRPr="00294751" w:rsidRDefault="00CF63D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F63D2" w:rsidRPr="00294751" w:rsidRDefault="00CF63D2" w:rsidP="006655D3">
      <w:pPr>
        <w:rPr>
          <w:lang w:val="fr-FR"/>
        </w:rPr>
      </w:pPr>
    </w:p>
    <w:p w:rsidR="00CF63D2" w:rsidRPr="00294751" w:rsidRDefault="00CF63D2" w:rsidP="006655D3">
      <w:pPr>
        <w:rPr>
          <w:lang w:val="fr-FR"/>
        </w:rPr>
      </w:pPr>
    </w:p>
  </w:endnote>
  <w:endnote w:type="continuationNotice" w:id="1">
    <w:p w:rsidR="00CF63D2" w:rsidRPr="00294751" w:rsidRDefault="00CF63D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F63D2" w:rsidRPr="00294751" w:rsidRDefault="00CF63D2" w:rsidP="006655D3">
      <w:pPr>
        <w:rPr>
          <w:lang w:val="fr-FR"/>
        </w:rPr>
      </w:pPr>
    </w:p>
    <w:p w:rsidR="00CF63D2" w:rsidRPr="00294751" w:rsidRDefault="00CF63D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D" w:rsidRDefault="000E6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D" w:rsidRDefault="000E6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D" w:rsidRDefault="000E6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D2" w:rsidRDefault="00CF63D2" w:rsidP="006655D3">
      <w:r>
        <w:separator/>
      </w:r>
    </w:p>
  </w:footnote>
  <w:footnote w:type="continuationSeparator" w:id="0">
    <w:p w:rsidR="00CF63D2" w:rsidRDefault="00CF63D2" w:rsidP="006655D3">
      <w:r>
        <w:separator/>
      </w:r>
    </w:p>
  </w:footnote>
  <w:footnote w:type="continuationNotice" w:id="1">
    <w:p w:rsidR="00CF63D2" w:rsidRPr="00AB530F" w:rsidRDefault="00CF63D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D" w:rsidRDefault="000E6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E6F4D" w:rsidP="000E6F4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C/52/10</w:t>
    </w:r>
  </w:p>
  <w:p w:rsidR="00182B99" w:rsidRPr="00C5280D" w:rsidRDefault="00713CCE" w:rsidP="000E6F4D">
    <w:pPr>
      <w:pStyle w:val="Header"/>
      <w:rPr>
        <w:lang w:val="en-US"/>
      </w:rPr>
    </w:pPr>
    <w:r>
      <w:rPr>
        <w:lang w:val="en-US"/>
      </w:rPr>
      <w:t>Seite</w:t>
    </w:r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1E039D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F4D" w:rsidRDefault="000E6F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deu"/>
    <w:docVar w:name="TermBases" w:val="WIPOLDTERM"/>
    <w:docVar w:name="TermBaseURL" w:val="empty"/>
    <w:docVar w:name="TextBases" w:val="TextBase TMs\WorkspaceETS\UPOV\UPOV_ETS"/>
    <w:docVar w:name="TextBaseURL" w:val="empty"/>
    <w:docVar w:name="UILng" w:val="en"/>
  </w:docVars>
  <w:rsids>
    <w:rsidRoot w:val="00172084"/>
    <w:rsid w:val="00010CF3"/>
    <w:rsid w:val="00011E27"/>
    <w:rsid w:val="000148BC"/>
    <w:rsid w:val="00015D8B"/>
    <w:rsid w:val="000240A6"/>
    <w:rsid w:val="00024AB8"/>
    <w:rsid w:val="00030854"/>
    <w:rsid w:val="00036028"/>
    <w:rsid w:val="00044642"/>
    <w:rsid w:val="000446B9"/>
    <w:rsid w:val="00047E21"/>
    <w:rsid w:val="00050E16"/>
    <w:rsid w:val="00070123"/>
    <w:rsid w:val="00085505"/>
    <w:rsid w:val="000B06A2"/>
    <w:rsid w:val="000C4E25"/>
    <w:rsid w:val="000C7021"/>
    <w:rsid w:val="000D6BBC"/>
    <w:rsid w:val="000D7780"/>
    <w:rsid w:val="000E636A"/>
    <w:rsid w:val="000E6F4D"/>
    <w:rsid w:val="000E7DCE"/>
    <w:rsid w:val="000F2F11"/>
    <w:rsid w:val="00105929"/>
    <w:rsid w:val="00110C36"/>
    <w:rsid w:val="001131D5"/>
    <w:rsid w:val="00141DB8"/>
    <w:rsid w:val="00151213"/>
    <w:rsid w:val="00172084"/>
    <w:rsid w:val="0017474A"/>
    <w:rsid w:val="001758C6"/>
    <w:rsid w:val="00182B99"/>
    <w:rsid w:val="001868F3"/>
    <w:rsid w:val="001C1525"/>
    <w:rsid w:val="001D5E46"/>
    <w:rsid w:val="001E039D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633A"/>
    <w:rsid w:val="003C4564"/>
    <w:rsid w:val="003C7FBE"/>
    <w:rsid w:val="003D227C"/>
    <w:rsid w:val="003D2B4D"/>
    <w:rsid w:val="003F5F2B"/>
    <w:rsid w:val="00400534"/>
    <w:rsid w:val="00414D0B"/>
    <w:rsid w:val="00444A88"/>
    <w:rsid w:val="004673D5"/>
    <w:rsid w:val="00474DA4"/>
    <w:rsid w:val="00476B4D"/>
    <w:rsid w:val="004805FA"/>
    <w:rsid w:val="004935D2"/>
    <w:rsid w:val="004B1215"/>
    <w:rsid w:val="004C5BD1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D007E"/>
    <w:rsid w:val="005D336E"/>
    <w:rsid w:val="005F7B92"/>
    <w:rsid w:val="00612379"/>
    <w:rsid w:val="006153B6"/>
    <w:rsid w:val="0061555F"/>
    <w:rsid w:val="006231AE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3CCE"/>
    <w:rsid w:val="00732DEC"/>
    <w:rsid w:val="00735BD5"/>
    <w:rsid w:val="007451EC"/>
    <w:rsid w:val="00751613"/>
    <w:rsid w:val="007556F6"/>
    <w:rsid w:val="00760EEF"/>
    <w:rsid w:val="00777EE5"/>
    <w:rsid w:val="00782938"/>
    <w:rsid w:val="00784836"/>
    <w:rsid w:val="0079023E"/>
    <w:rsid w:val="00791B73"/>
    <w:rsid w:val="007A2854"/>
    <w:rsid w:val="007C1D92"/>
    <w:rsid w:val="007C3C19"/>
    <w:rsid w:val="007C4CB9"/>
    <w:rsid w:val="007C7E15"/>
    <w:rsid w:val="007D0AA9"/>
    <w:rsid w:val="007D0B9D"/>
    <w:rsid w:val="007D19B0"/>
    <w:rsid w:val="007D4635"/>
    <w:rsid w:val="007F2598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57A"/>
    <w:rsid w:val="008C0970"/>
    <w:rsid w:val="008D0BC5"/>
    <w:rsid w:val="008D2CF7"/>
    <w:rsid w:val="008D54A8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280E"/>
    <w:rsid w:val="009D690D"/>
    <w:rsid w:val="009E65B6"/>
    <w:rsid w:val="009F77CF"/>
    <w:rsid w:val="00A24C10"/>
    <w:rsid w:val="00A25B6C"/>
    <w:rsid w:val="00A3365A"/>
    <w:rsid w:val="00A42AC3"/>
    <w:rsid w:val="00A430CF"/>
    <w:rsid w:val="00A54309"/>
    <w:rsid w:val="00A54F8A"/>
    <w:rsid w:val="00A870D9"/>
    <w:rsid w:val="00AA0B98"/>
    <w:rsid w:val="00AB2B93"/>
    <w:rsid w:val="00AB30F7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087B"/>
    <w:rsid w:val="00B61443"/>
    <w:rsid w:val="00B61777"/>
    <w:rsid w:val="00B72850"/>
    <w:rsid w:val="00B84BBD"/>
    <w:rsid w:val="00BA43FB"/>
    <w:rsid w:val="00BC127D"/>
    <w:rsid w:val="00BC1FE6"/>
    <w:rsid w:val="00BD4338"/>
    <w:rsid w:val="00C025F9"/>
    <w:rsid w:val="00C061B6"/>
    <w:rsid w:val="00C16EDD"/>
    <w:rsid w:val="00C2446C"/>
    <w:rsid w:val="00C36AE5"/>
    <w:rsid w:val="00C41F17"/>
    <w:rsid w:val="00C527FA"/>
    <w:rsid w:val="00C5280D"/>
    <w:rsid w:val="00C53EB3"/>
    <w:rsid w:val="00C542DE"/>
    <w:rsid w:val="00C5791C"/>
    <w:rsid w:val="00C66290"/>
    <w:rsid w:val="00C72B7A"/>
    <w:rsid w:val="00C84CEC"/>
    <w:rsid w:val="00C973F2"/>
    <w:rsid w:val="00CA304C"/>
    <w:rsid w:val="00CA774A"/>
    <w:rsid w:val="00CC11B0"/>
    <w:rsid w:val="00CC2841"/>
    <w:rsid w:val="00CF1330"/>
    <w:rsid w:val="00CF63D2"/>
    <w:rsid w:val="00CF7E36"/>
    <w:rsid w:val="00CF7E71"/>
    <w:rsid w:val="00D302FA"/>
    <w:rsid w:val="00D3708D"/>
    <w:rsid w:val="00D40426"/>
    <w:rsid w:val="00D57C96"/>
    <w:rsid w:val="00D57D18"/>
    <w:rsid w:val="00D91203"/>
    <w:rsid w:val="00D95174"/>
    <w:rsid w:val="00DA4973"/>
    <w:rsid w:val="00DA6F36"/>
    <w:rsid w:val="00DB5787"/>
    <w:rsid w:val="00DB596E"/>
    <w:rsid w:val="00DB7773"/>
    <w:rsid w:val="00DC00EA"/>
    <w:rsid w:val="00DC3802"/>
    <w:rsid w:val="00DF37F1"/>
    <w:rsid w:val="00E05580"/>
    <w:rsid w:val="00E07D87"/>
    <w:rsid w:val="00E2732F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B606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99E67"/>
  <w15:docId w15:val="{31044BBA-F594-4654-8A29-1E7D0F7D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5D007E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C/52</vt:lpstr>
      <vt:lpstr>C/52</vt:lpstr>
    </vt:vector>
  </TitlesOfParts>
  <Company>UPOV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SANCHEZ-VIZCAINO GOMEZ Rosa Maria</dc:creator>
  <cp:lastModifiedBy>SANTOS Carla Marina</cp:lastModifiedBy>
  <cp:revision>6</cp:revision>
  <cp:lastPrinted>2018-06-05T14:18:00Z</cp:lastPrinted>
  <dcterms:created xsi:type="dcterms:W3CDTF">2018-10-20T15:29:00Z</dcterms:created>
  <dcterms:modified xsi:type="dcterms:W3CDTF">2018-10-22T16:39:00Z</dcterms:modified>
</cp:coreProperties>
</file>