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93368" w:rsidRPr="00B95BAA">
        <w:tc>
          <w:tcPr>
            <w:tcW w:w="6522" w:type="dxa"/>
          </w:tcPr>
          <w:p w:rsidR="00493368" w:rsidRPr="00B95BAA" w:rsidRDefault="007A313B">
            <w:pPr>
              <w:rPr>
                <w:szCs w:val="24"/>
                <w:lang w:val="de-DE"/>
              </w:rPr>
            </w:pPr>
            <w:r>
              <w:rPr>
                <w:noProof/>
                <w:snapToGrid/>
                <w:szCs w:val="24"/>
                <w:lang w:eastAsia="en-US"/>
              </w:rPr>
              <w:drawing>
                <wp:inline distT="0" distB="0" distL="0" distR="0">
                  <wp:extent cx="948690" cy="245745"/>
                  <wp:effectExtent l="0" t="0" r="3810" b="190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690" cy="245745"/>
                          </a:xfrm>
                          <a:prstGeom prst="rect">
                            <a:avLst/>
                          </a:prstGeom>
                          <a:noFill/>
                          <a:ln>
                            <a:noFill/>
                          </a:ln>
                        </pic:spPr>
                      </pic:pic>
                    </a:graphicData>
                  </a:graphic>
                </wp:inline>
              </w:drawing>
            </w:r>
          </w:p>
        </w:tc>
        <w:tc>
          <w:tcPr>
            <w:tcW w:w="3117" w:type="dxa"/>
          </w:tcPr>
          <w:p w:rsidR="00493368" w:rsidRPr="00B95BAA" w:rsidRDefault="00493368">
            <w:pPr>
              <w:pStyle w:val="Lettrine"/>
              <w:rPr>
                <w:bCs w:val="0"/>
                <w:szCs w:val="24"/>
                <w:lang w:val="de-DE"/>
              </w:rPr>
            </w:pPr>
            <w:r w:rsidRPr="00B95BAA">
              <w:rPr>
                <w:bCs w:val="0"/>
                <w:noProof/>
                <w:szCs w:val="24"/>
                <w:lang w:val="de-DE"/>
              </w:rPr>
              <w:t>G</w:t>
            </w:r>
          </w:p>
        </w:tc>
      </w:tr>
      <w:tr w:rsidR="00493368" w:rsidRPr="002149CA">
        <w:trPr>
          <w:trHeight w:val="219"/>
        </w:trPr>
        <w:tc>
          <w:tcPr>
            <w:tcW w:w="6522" w:type="dxa"/>
          </w:tcPr>
          <w:p w:rsidR="00493368" w:rsidRPr="00B95BAA" w:rsidRDefault="00493368">
            <w:pPr>
              <w:pStyle w:val="upove"/>
              <w:rPr>
                <w:szCs w:val="24"/>
                <w:lang w:val="de-DE"/>
              </w:rPr>
            </w:pPr>
            <w:r w:rsidRPr="00B95BAA">
              <w:rPr>
                <w:szCs w:val="24"/>
                <w:lang w:val="de-DE"/>
              </w:rPr>
              <w:t>Internationaler Verband zum Schutz von Pflanzenzüchtungen</w:t>
            </w:r>
          </w:p>
        </w:tc>
        <w:tc>
          <w:tcPr>
            <w:tcW w:w="3117" w:type="dxa"/>
          </w:tcPr>
          <w:p w:rsidR="00493368" w:rsidRPr="00B95BAA" w:rsidRDefault="00493368">
            <w:pPr>
              <w:rPr>
                <w:szCs w:val="24"/>
                <w:lang w:val="de-DE"/>
              </w:rPr>
            </w:pPr>
          </w:p>
        </w:tc>
      </w:tr>
    </w:tbl>
    <w:p w:rsidR="00493368" w:rsidRPr="00B95BAA" w:rsidRDefault="00493368">
      <w:pPr>
        <w:rPr>
          <w:szCs w:val="24"/>
          <w:lang w:val="de-DE"/>
        </w:rPr>
      </w:pPr>
    </w:p>
    <w:p w:rsidR="00493368" w:rsidRPr="00B95BAA" w:rsidRDefault="00493368">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93368" w:rsidRPr="002149CA">
        <w:tc>
          <w:tcPr>
            <w:tcW w:w="6512" w:type="dxa"/>
            <w:tcBorders>
              <w:bottom w:val="single" w:sz="4" w:space="0" w:color="auto"/>
            </w:tcBorders>
          </w:tcPr>
          <w:p w:rsidR="00493368" w:rsidRPr="00B95BAA" w:rsidRDefault="00493368">
            <w:pPr>
              <w:pStyle w:val="Sessiontc"/>
              <w:spacing w:line="240" w:lineRule="auto"/>
              <w:rPr>
                <w:bCs w:val="0"/>
                <w:szCs w:val="24"/>
                <w:lang w:val="de-DE"/>
              </w:rPr>
            </w:pPr>
            <w:r w:rsidRPr="00B95BAA">
              <w:rPr>
                <w:bCs w:val="0"/>
                <w:szCs w:val="24"/>
                <w:lang w:val="de-DE"/>
              </w:rPr>
              <w:t>Rat</w:t>
            </w:r>
          </w:p>
          <w:p w:rsidR="00493368" w:rsidRPr="00B95BAA" w:rsidRDefault="00493368">
            <w:pPr>
              <w:pStyle w:val="Sessiontcplacedate"/>
              <w:rPr>
                <w:bCs w:val="0"/>
                <w:szCs w:val="24"/>
                <w:lang w:val="de-DE"/>
              </w:rPr>
            </w:pPr>
            <w:r w:rsidRPr="00B95BAA">
              <w:rPr>
                <w:bCs w:val="0"/>
                <w:szCs w:val="24"/>
                <w:lang w:val="de-DE"/>
              </w:rPr>
              <w:t>Einundfünfzigste ordentliche Tagung</w:t>
            </w:r>
            <w:r w:rsidRPr="00B95BAA">
              <w:rPr>
                <w:bCs w:val="0"/>
                <w:szCs w:val="24"/>
                <w:lang w:val="de-DE"/>
              </w:rPr>
              <w:br/>
              <w:t>Genf, 26. Oktober 2017</w:t>
            </w:r>
          </w:p>
        </w:tc>
        <w:tc>
          <w:tcPr>
            <w:tcW w:w="3127" w:type="dxa"/>
            <w:tcBorders>
              <w:bottom w:val="single" w:sz="4" w:space="0" w:color="auto"/>
            </w:tcBorders>
          </w:tcPr>
          <w:p w:rsidR="00493368" w:rsidRPr="00B95BAA" w:rsidRDefault="00493368">
            <w:pPr>
              <w:pStyle w:val="Doccode"/>
              <w:rPr>
                <w:bCs w:val="0"/>
                <w:szCs w:val="24"/>
                <w:lang w:val="de-DE"/>
              </w:rPr>
            </w:pPr>
            <w:r w:rsidRPr="00B95BAA">
              <w:rPr>
                <w:bCs w:val="0"/>
                <w:szCs w:val="24"/>
                <w:lang w:val="de-DE"/>
              </w:rPr>
              <w:t>C/51/9</w:t>
            </w:r>
          </w:p>
          <w:p w:rsidR="00493368" w:rsidRPr="002149CA" w:rsidRDefault="00493368">
            <w:pPr>
              <w:pStyle w:val="Docoriginal"/>
              <w:rPr>
                <w:bCs w:val="0"/>
                <w:szCs w:val="24"/>
                <w:lang w:val="de-DE"/>
              </w:rPr>
            </w:pPr>
            <w:r w:rsidRPr="002149CA">
              <w:rPr>
                <w:bCs w:val="0"/>
                <w:szCs w:val="24"/>
                <w:lang w:val="de-DE"/>
              </w:rPr>
              <w:t>Original:</w:t>
            </w:r>
            <w:r w:rsidRPr="002149CA">
              <w:rPr>
                <w:b w:val="0"/>
                <w:bCs w:val="0"/>
                <w:spacing w:val="0"/>
                <w:szCs w:val="24"/>
                <w:lang w:val="de-DE"/>
              </w:rPr>
              <w:t xml:space="preserve">  Englisch</w:t>
            </w:r>
          </w:p>
          <w:p w:rsidR="00493368" w:rsidRPr="00B95BAA" w:rsidRDefault="00493368">
            <w:pPr>
              <w:pStyle w:val="Docoriginal"/>
              <w:rPr>
                <w:bCs w:val="0"/>
                <w:szCs w:val="24"/>
                <w:lang w:val="de-DE"/>
              </w:rPr>
            </w:pPr>
            <w:r w:rsidRPr="002149CA">
              <w:rPr>
                <w:bCs w:val="0"/>
                <w:szCs w:val="24"/>
                <w:lang w:val="de-DE"/>
              </w:rPr>
              <w:t>Datum:</w:t>
            </w:r>
            <w:r w:rsidRPr="002149CA">
              <w:rPr>
                <w:b w:val="0"/>
                <w:bCs w:val="0"/>
                <w:spacing w:val="0"/>
                <w:szCs w:val="24"/>
                <w:lang w:val="de-DE"/>
              </w:rPr>
              <w:t xml:space="preserve">  </w:t>
            </w:r>
            <w:r w:rsidR="002149CA" w:rsidRPr="002149CA">
              <w:rPr>
                <w:b w:val="0"/>
                <w:bCs w:val="0"/>
                <w:spacing w:val="0"/>
                <w:szCs w:val="24"/>
                <w:lang w:val="de-DE"/>
              </w:rPr>
              <w:t>10</w:t>
            </w:r>
            <w:r w:rsidRPr="002149CA">
              <w:rPr>
                <w:b w:val="0"/>
                <w:bCs w:val="0"/>
                <w:spacing w:val="0"/>
                <w:szCs w:val="24"/>
                <w:lang w:val="de-DE"/>
              </w:rPr>
              <w:t>. Oktober 2017</w:t>
            </w:r>
          </w:p>
        </w:tc>
      </w:tr>
    </w:tbl>
    <w:p w:rsidR="00493368" w:rsidRPr="00B95BAA" w:rsidRDefault="00493368">
      <w:pPr>
        <w:pStyle w:val="Titleofdoc0"/>
        <w:rPr>
          <w:szCs w:val="24"/>
          <w:lang w:val="de-DE"/>
        </w:rPr>
      </w:pPr>
      <w:bookmarkStart w:id="0" w:name="Prepared"/>
      <w:bookmarkStart w:id="1" w:name="TitleOfDoc"/>
      <w:r w:rsidRPr="00B95BAA">
        <w:rPr>
          <w:szCs w:val="24"/>
          <w:lang w:val="de-DE"/>
        </w:rPr>
        <w:t>Bericht über den Fortschritt der Arbeiten des Verwaltungs- und Rechtsausschusses</w:t>
      </w:r>
    </w:p>
    <w:bookmarkEnd w:id="0"/>
    <w:bookmarkEnd w:id="1"/>
    <w:p w:rsidR="00493368" w:rsidRPr="00B95BAA" w:rsidRDefault="00493368">
      <w:pPr>
        <w:pStyle w:val="preparedby1"/>
        <w:jc w:val="left"/>
        <w:rPr>
          <w:iCs w:val="0"/>
          <w:szCs w:val="24"/>
          <w:lang w:val="de-DE"/>
        </w:rPr>
      </w:pPr>
      <w:r w:rsidRPr="00B95BAA">
        <w:rPr>
          <w:iCs w:val="0"/>
          <w:szCs w:val="24"/>
          <w:lang w:val="de-DE"/>
        </w:rPr>
        <w:t>Vom Verbandsbüro erstelltes Dokument</w:t>
      </w:r>
    </w:p>
    <w:p w:rsidR="00493368" w:rsidRPr="00B95BAA" w:rsidRDefault="00493368">
      <w:pPr>
        <w:pStyle w:val="Disclaimer"/>
        <w:rPr>
          <w:iCs w:val="0"/>
          <w:szCs w:val="24"/>
          <w:lang w:val="de-DE"/>
        </w:rPr>
      </w:pPr>
      <w:r w:rsidRPr="00B95BAA">
        <w:rPr>
          <w:iCs w:val="0"/>
          <w:szCs w:val="24"/>
          <w:lang w:val="de-DE"/>
        </w:rPr>
        <w:t>Haftungsausschluß:  dieses Dokument gibt nicht die Grundsätze oder eine Anleitung der UPOV wieder</w:t>
      </w:r>
    </w:p>
    <w:p w:rsidR="00493368" w:rsidRPr="00B95BAA" w:rsidRDefault="00493368">
      <w:pPr>
        <w:rPr>
          <w:szCs w:val="24"/>
          <w:lang w:val="de-DE"/>
        </w:rPr>
      </w:pPr>
      <w:r w:rsidRPr="00B95BAA">
        <w:rPr>
          <w:szCs w:val="24"/>
          <w:lang w:val="de-DE"/>
        </w:rPr>
        <w:fldChar w:fldCharType="begin"/>
      </w:r>
      <w:r w:rsidRPr="00B95BAA">
        <w:rPr>
          <w:szCs w:val="24"/>
          <w:lang w:val="de-DE"/>
        </w:rPr>
        <w:instrText xml:space="preserve"> AUTONUM  </w:instrText>
      </w:r>
      <w:r w:rsidRPr="00B95BAA">
        <w:rPr>
          <w:szCs w:val="24"/>
          <w:lang w:val="de-DE"/>
        </w:rPr>
        <w:fldChar w:fldCharType="end"/>
      </w:r>
      <w:r w:rsidRPr="00B95BAA">
        <w:rPr>
          <w:szCs w:val="24"/>
          <w:lang w:val="de-DE"/>
        </w:rPr>
        <w:tab/>
        <w:t>Der Verwaltungs- und Rechtsausschuß (CAJ) prüfte auf seiner dreiundsiebzigsten Tagung am 25. Oktober 2016 in Genf das Arbeitsprogramm für seine vierundsiebzigste Tagung und vereinbarte, daß dieses Programm im Rahmen einer Sitzung am 23. und 24. Oktober 2017 abgedeckt werden könnte.</w:t>
      </w:r>
    </w:p>
    <w:p w:rsidR="00493368" w:rsidRPr="00B95BAA" w:rsidRDefault="00493368">
      <w:pPr>
        <w:rPr>
          <w:szCs w:val="24"/>
          <w:lang w:val="de-DE"/>
        </w:rPr>
      </w:pPr>
    </w:p>
    <w:p w:rsidR="00493368" w:rsidRPr="00B95BAA" w:rsidRDefault="00493368">
      <w:pPr>
        <w:rPr>
          <w:szCs w:val="24"/>
          <w:lang w:val="de-DE"/>
        </w:rPr>
      </w:pPr>
      <w:r w:rsidRPr="00B95BAA">
        <w:rPr>
          <w:szCs w:val="24"/>
          <w:lang w:val="de-DE"/>
        </w:rPr>
        <w:fldChar w:fldCharType="begin"/>
      </w:r>
      <w:r w:rsidRPr="00B95BAA">
        <w:rPr>
          <w:szCs w:val="24"/>
          <w:lang w:val="de-DE"/>
        </w:rPr>
        <w:instrText xml:space="preserve"> AUTONUM  </w:instrText>
      </w:r>
      <w:r w:rsidRPr="00B95BAA">
        <w:rPr>
          <w:szCs w:val="24"/>
          <w:lang w:val="de-DE"/>
        </w:rPr>
        <w:fldChar w:fldCharType="end"/>
      </w:r>
      <w:r w:rsidRPr="00B95BAA">
        <w:rPr>
          <w:szCs w:val="24"/>
          <w:lang w:val="de-DE"/>
        </w:rPr>
        <w:tab/>
        <w:t>Für die vierundsiebzigste Tagung des CAJ wurde folgendes Programm vereinbart:</w:t>
      </w:r>
    </w:p>
    <w:p w:rsidR="00493368" w:rsidRPr="00B95BAA" w:rsidRDefault="00493368">
      <w:pPr>
        <w:rPr>
          <w:szCs w:val="24"/>
          <w:lang w:val="de-DE"/>
        </w:rPr>
      </w:pPr>
    </w:p>
    <w:p w:rsidR="00493368" w:rsidRPr="00B95BAA" w:rsidRDefault="00493368">
      <w:pPr>
        <w:spacing w:after="120"/>
        <w:ind w:left="1134" w:right="567" w:hanging="567"/>
        <w:jc w:val="left"/>
        <w:rPr>
          <w:szCs w:val="24"/>
          <w:lang w:val="de-DE"/>
        </w:rPr>
      </w:pPr>
      <w:r w:rsidRPr="00B95BAA">
        <w:rPr>
          <w:szCs w:val="24"/>
          <w:lang w:val="de-DE"/>
        </w:rPr>
        <w:t>1.</w:t>
      </w:r>
      <w:r w:rsidRPr="00B95BAA">
        <w:rPr>
          <w:szCs w:val="24"/>
          <w:lang w:val="de-DE"/>
        </w:rPr>
        <w:tab/>
        <w:t>Eröffnung der Tagung</w:t>
      </w:r>
    </w:p>
    <w:p w:rsidR="00493368" w:rsidRPr="00B95BAA" w:rsidRDefault="00493368">
      <w:pPr>
        <w:spacing w:after="120"/>
        <w:ind w:left="1134" w:right="567" w:hanging="567"/>
        <w:jc w:val="left"/>
        <w:rPr>
          <w:szCs w:val="24"/>
          <w:lang w:val="de-DE"/>
        </w:rPr>
      </w:pPr>
      <w:r w:rsidRPr="00B95BAA">
        <w:rPr>
          <w:szCs w:val="24"/>
          <w:lang w:val="de-DE"/>
        </w:rPr>
        <w:t>2.</w:t>
      </w:r>
      <w:r w:rsidRPr="00B95BAA">
        <w:rPr>
          <w:szCs w:val="24"/>
          <w:lang w:val="de-DE"/>
        </w:rPr>
        <w:tab/>
        <w:t>Annahme der Tagesordnung</w:t>
      </w:r>
    </w:p>
    <w:p w:rsidR="00493368" w:rsidRPr="00B95BAA" w:rsidRDefault="00493368">
      <w:pPr>
        <w:spacing w:after="120"/>
        <w:ind w:left="1134" w:right="567" w:hanging="567"/>
        <w:jc w:val="left"/>
        <w:rPr>
          <w:szCs w:val="24"/>
          <w:lang w:val="de-DE"/>
        </w:rPr>
      </w:pPr>
      <w:r w:rsidRPr="00B95BAA">
        <w:rPr>
          <w:szCs w:val="24"/>
          <w:lang w:val="de-DE"/>
        </w:rPr>
        <w:t>3.</w:t>
      </w:r>
      <w:r w:rsidRPr="00B95BAA">
        <w:rPr>
          <w:szCs w:val="24"/>
          <w:lang w:val="de-DE"/>
        </w:rPr>
        <w:tab/>
        <w:t>Bericht über die Entwicklungen im Technischen Ausschuß</w:t>
      </w:r>
    </w:p>
    <w:p w:rsidR="00493368" w:rsidRPr="00B95BAA" w:rsidRDefault="00493368">
      <w:pPr>
        <w:spacing w:after="120"/>
        <w:ind w:left="1134" w:right="567" w:hanging="567"/>
        <w:jc w:val="left"/>
        <w:rPr>
          <w:szCs w:val="24"/>
          <w:lang w:val="de-DE"/>
        </w:rPr>
      </w:pPr>
      <w:r w:rsidRPr="00B95BAA">
        <w:rPr>
          <w:szCs w:val="24"/>
          <w:lang w:val="de-DE"/>
        </w:rPr>
        <w:t>4.</w:t>
      </w:r>
      <w:r w:rsidRPr="00B95BAA">
        <w:rPr>
          <w:szCs w:val="24"/>
          <w:lang w:val="de-DE"/>
        </w:rPr>
        <w:tab/>
        <w:t>Ausarbeitung von Informationsmaterial zum UPOV-Übereinkommen</w:t>
      </w:r>
    </w:p>
    <w:p w:rsidR="00493368" w:rsidRPr="00B95BAA" w:rsidRDefault="00493368">
      <w:pPr>
        <w:spacing w:after="120"/>
        <w:ind w:left="1701" w:right="567" w:hanging="567"/>
        <w:jc w:val="left"/>
        <w:rPr>
          <w:szCs w:val="24"/>
          <w:lang w:val="de-DE"/>
        </w:rPr>
      </w:pPr>
      <w:r w:rsidRPr="00B95BAA">
        <w:rPr>
          <w:szCs w:val="24"/>
          <w:lang w:val="de-DE"/>
        </w:rPr>
        <w:t xml:space="preserve">a) </w:t>
      </w:r>
      <w:r w:rsidRPr="00B95BAA">
        <w:rPr>
          <w:szCs w:val="24"/>
          <w:lang w:val="de-DE"/>
        </w:rPr>
        <w:tab/>
        <w:t xml:space="preserve">Etwaige Überarbeitung von Dokument UPOV/EXN/EDV/2 „Erläuterungen zu den im wesentlichen abgeleiteten Sorten </w:t>
      </w:r>
      <w:r w:rsidR="002149CA">
        <w:rPr>
          <w:szCs w:val="24"/>
          <w:lang w:val="de-DE"/>
        </w:rPr>
        <w:t xml:space="preserve">nach der Akte von 1991 des </w:t>
      </w:r>
      <w:r w:rsidR="002149CA" w:rsidRPr="002149CA">
        <w:rPr>
          <w:lang w:val="de-DE"/>
        </w:rPr>
        <w:t>UPOV</w:t>
      </w:r>
      <w:r w:rsidR="002149CA">
        <w:rPr>
          <w:lang w:val="de-DE"/>
        </w:rPr>
        <w:noBreakHyphen/>
      </w:r>
      <w:bookmarkStart w:id="2" w:name="_GoBack"/>
      <w:bookmarkEnd w:id="2"/>
      <w:r w:rsidRPr="002149CA">
        <w:rPr>
          <w:lang w:val="de-DE"/>
        </w:rPr>
        <w:t>Übereinkommens</w:t>
      </w:r>
      <w:r w:rsidRPr="00B95BAA">
        <w:rPr>
          <w:szCs w:val="24"/>
          <w:lang w:val="de-DE"/>
        </w:rPr>
        <w:t xml:space="preserve">“ </w:t>
      </w:r>
    </w:p>
    <w:p w:rsidR="00493368" w:rsidRPr="00B95BAA" w:rsidRDefault="00493368">
      <w:pPr>
        <w:spacing w:after="120"/>
        <w:ind w:left="1701" w:right="567" w:hanging="567"/>
        <w:jc w:val="left"/>
        <w:rPr>
          <w:szCs w:val="24"/>
          <w:lang w:val="de-DE"/>
        </w:rPr>
      </w:pPr>
      <w:r w:rsidRPr="00B95BAA">
        <w:rPr>
          <w:szCs w:val="24"/>
          <w:lang w:val="de-DE"/>
        </w:rPr>
        <w:t>b)</w:t>
      </w:r>
      <w:r w:rsidRPr="00B95BAA">
        <w:rPr>
          <w:szCs w:val="24"/>
          <w:lang w:val="de-DE"/>
        </w:rPr>
        <w:tab/>
        <w:t>Etwaige Überarbeitung von Dokument UPOV/EXN/CAL/1 „Erläuterungen zu den Bedingungen und Einschränkungen im Zusammenhang mit der Zustimmung des Züchters in bezug auf Vermehrungsmaterial nach dem UPOV-Übereinkommen“</w:t>
      </w:r>
    </w:p>
    <w:p w:rsidR="00493368" w:rsidRPr="00B95BAA" w:rsidRDefault="00493368">
      <w:pPr>
        <w:spacing w:after="120"/>
        <w:ind w:left="1701" w:right="567" w:hanging="567"/>
        <w:jc w:val="left"/>
        <w:rPr>
          <w:szCs w:val="24"/>
          <w:lang w:val="de-DE"/>
        </w:rPr>
      </w:pPr>
      <w:r w:rsidRPr="00B95BAA">
        <w:rPr>
          <w:szCs w:val="24"/>
          <w:lang w:val="de-DE"/>
        </w:rPr>
        <w:t>c)</w:t>
      </w:r>
      <w:r w:rsidRPr="00B95BAA">
        <w:rPr>
          <w:szCs w:val="24"/>
          <w:lang w:val="de-DE"/>
        </w:rPr>
        <w:tab/>
        <w:t>Etwaige Überarbeitung von Dokument UPOV/EXN/PRP/2 „Erläuterungen zum v</w:t>
      </w:r>
      <w:r w:rsidR="002149CA">
        <w:rPr>
          <w:szCs w:val="24"/>
          <w:lang w:val="de-DE"/>
        </w:rPr>
        <w:t>orläufigen Schutz nach dem UPOV</w:t>
      </w:r>
      <w:r w:rsidR="002149CA" w:rsidRPr="00B95BAA">
        <w:rPr>
          <w:szCs w:val="24"/>
          <w:lang w:val="de-DE"/>
        </w:rPr>
        <w:t>-</w:t>
      </w:r>
      <w:r w:rsidRPr="00B95BAA">
        <w:rPr>
          <w:szCs w:val="24"/>
          <w:lang w:val="de-DE"/>
        </w:rPr>
        <w:t>Übereinkommen“</w:t>
      </w:r>
    </w:p>
    <w:p w:rsidR="00493368" w:rsidRPr="00B95BAA" w:rsidRDefault="00493368">
      <w:pPr>
        <w:spacing w:after="120"/>
        <w:ind w:left="1701" w:right="567" w:hanging="567"/>
        <w:jc w:val="left"/>
        <w:rPr>
          <w:szCs w:val="24"/>
          <w:lang w:val="de-DE"/>
        </w:rPr>
      </w:pPr>
      <w:r w:rsidRPr="00B95BAA">
        <w:rPr>
          <w:szCs w:val="24"/>
          <w:lang w:val="de-DE"/>
        </w:rPr>
        <w:t>d)</w:t>
      </w:r>
      <w:r w:rsidRPr="00B95BAA">
        <w:rPr>
          <w:szCs w:val="24"/>
          <w:lang w:val="de-DE"/>
        </w:rPr>
        <w:tab/>
        <w:t>UPOV-Musteramtsblatt für Sortenschutz (Überarbeitung)</w:t>
      </w:r>
    </w:p>
    <w:p w:rsidR="00493368" w:rsidRPr="00B95BAA" w:rsidRDefault="00493368">
      <w:pPr>
        <w:spacing w:after="120"/>
        <w:ind w:left="1134" w:right="567" w:hanging="567"/>
        <w:jc w:val="left"/>
        <w:rPr>
          <w:szCs w:val="24"/>
          <w:lang w:val="de-DE"/>
        </w:rPr>
      </w:pPr>
      <w:r w:rsidRPr="00B95BAA">
        <w:rPr>
          <w:szCs w:val="24"/>
          <w:lang w:val="de-DE"/>
        </w:rPr>
        <w:t>5.</w:t>
      </w:r>
      <w:r w:rsidRPr="00B95BAA">
        <w:rPr>
          <w:szCs w:val="24"/>
          <w:lang w:val="de-DE"/>
        </w:rPr>
        <w:tab/>
        <w:t>Sortenbezeichnungen</w:t>
      </w:r>
    </w:p>
    <w:p w:rsidR="00493368" w:rsidRPr="00B95BAA" w:rsidRDefault="00493368">
      <w:pPr>
        <w:spacing w:after="120"/>
        <w:ind w:left="1134" w:right="567" w:hanging="567"/>
        <w:jc w:val="left"/>
        <w:rPr>
          <w:szCs w:val="24"/>
          <w:lang w:val="de-DE"/>
        </w:rPr>
      </w:pPr>
      <w:r w:rsidRPr="00B95BAA">
        <w:rPr>
          <w:szCs w:val="24"/>
          <w:lang w:val="de-DE"/>
        </w:rPr>
        <w:t>6.</w:t>
      </w:r>
      <w:r w:rsidRPr="00B95BAA">
        <w:rPr>
          <w:szCs w:val="24"/>
          <w:lang w:val="de-DE"/>
        </w:rPr>
        <w:tab/>
        <w:t>Informationen und Datenbanken</w:t>
      </w:r>
    </w:p>
    <w:p w:rsidR="00493368" w:rsidRPr="00B95BAA" w:rsidRDefault="00493368">
      <w:pPr>
        <w:spacing w:after="120"/>
        <w:ind w:left="1701" w:right="567" w:hanging="567"/>
        <w:jc w:val="left"/>
        <w:rPr>
          <w:szCs w:val="24"/>
          <w:lang w:val="de-DE"/>
        </w:rPr>
      </w:pPr>
      <w:r w:rsidRPr="00B95BAA">
        <w:rPr>
          <w:szCs w:val="24"/>
          <w:lang w:val="de-DE"/>
        </w:rPr>
        <w:t>a)</w:t>
      </w:r>
      <w:r w:rsidRPr="00B95BAA">
        <w:rPr>
          <w:szCs w:val="24"/>
          <w:lang w:val="de-DE"/>
        </w:rPr>
        <w:tab/>
        <w:t>Elektronisches Antragsformblatt</w:t>
      </w:r>
    </w:p>
    <w:p w:rsidR="00493368" w:rsidRPr="00B95BAA" w:rsidRDefault="00493368">
      <w:pPr>
        <w:spacing w:after="120"/>
        <w:ind w:left="1701" w:right="567" w:hanging="567"/>
        <w:jc w:val="left"/>
        <w:rPr>
          <w:szCs w:val="24"/>
          <w:lang w:val="de-DE"/>
        </w:rPr>
      </w:pPr>
      <w:r w:rsidRPr="00B95BAA">
        <w:rPr>
          <w:szCs w:val="24"/>
          <w:lang w:val="de-DE"/>
        </w:rPr>
        <w:t>b)</w:t>
      </w:r>
      <w:r w:rsidRPr="00B95BAA">
        <w:rPr>
          <w:szCs w:val="24"/>
          <w:lang w:val="de-DE"/>
        </w:rPr>
        <w:tab/>
        <w:t>UPOV-Informationsdatenbanken</w:t>
      </w:r>
    </w:p>
    <w:p w:rsidR="00493368" w:rsidRPr="00B95BAA" w:rsidRDefault="00493368">
      <w:pPr>
        <w:spacing w:after="120"/>
        <w:ind w:left="1701" w:right="567" w:hanging="567"/>
        <w:jc w:val="left"/>
        <w:rPr>
          <w:szCs w:val="24"/>
          <w:lang w:val="de-DE"/>
        </w:rPr>
      </w:pPr>
      <w:r w:rsidRPr="00B95BAA">
        <w:rPr>
          <w:szCs w:val="24"/>
          <w:lang w:val="de-DE"/>
        </w:rPr>
        <w:t>c)</w:t>
      </w:r>
      <w:r w:rsidRPr="00B95BAA">
        <w:rPr>
          <w:szCs w:val="24"/>
          <w:lang w:val="de-DE"/>
        </w:rPr>
        <w:tab/>
        <w:t>Austausch und Verwendung von Software und Ausrüstung</w:t>
      </w:r>
    </w:p>
    <w:p w:rsidR="00493368" w:rsidRPr="00B95BAA" w:rsidRDefault="00493368">
      <w:pPr>
        <w:spacing w:after="120"/>
        <w:ind w:left="3261" w:right="567" w:hanging="1560"/>
        <w:jc w:val="left"/>
        <w:rPr>
          <w:szCs w:val="24"/>
          <w:lang w:val="de-DE"/>
        </w:rPr>
      </w:pPr>
      <w:r w:rsidRPr="00B95BAA">
        <w:rPr>
          <w:szCs w:val="24"/>
          <w:lang w:val="de-DE"/>
        </w:rPr>
        <w:t>- UPOV/INF/16</w:t>
      </w:r>
      <w:r w:rsidRPr="00B95BAA">
        <w:rPr>
          <w:szCs w:val="24"/>
          <w:lang w:val="de-DE"/>
        </w:rPr>
        <w:tab/>
        <w:t xml:space="preserve">Austauschbare Software (Überarbeitung) </w:t>
      </w:r>
    </w:p>
    <w:p w:rsidR="00493368" w:rsidRPr="00B95BAA" w:rsidRDefault="00493368">
      <w:pPr>
        <w:spacing w:after="120"/>
        <w:ind w:left="3261" w:right="567" w:hanging="1560"/>
        <w:jc w:val="left"/>
        <w:rPr>
          <w:szCs w:val="24"/>
          <w:lang w:val="de-DE"/>
        </w:rPr>
      </w:pPr>
      <w:r w:rsidRPr="00B95BAA">
        <w:rPr>
          <w:szCs w:val="24"/>
          <w:lang w:val="de-DE"/>
        </w:rPr>
        <w:t>- UPOV/INF/22</w:t>
      </w:r>
      <w:r w:rsidRPr="00B95BAA">
        <w:rPr>
          <w:szCs w:val="24"/>
          <w:lang w:val="de-DE"/>
        </w:rPr>
        <w:tab/>
        <w:t xml:space="preserve">Von Verbandsmitgliedern verwendete Software und Ausrüstung (Überarbeitung) </w:t>
      </w:r>
    </w:p>
    <w:p w:rsidR="00493368" w:rsidRPr="00B95BAA" w:rsidRDefault="00493368">
      <w:pPr>
        <w:spacing w:after="120"/>
        <w:ind w:left="1134" w:right="567" w:hanging="567"/>
        <w:jc w:val="left"/>
        <w:rPr>
          <w:szCs w:val="24"/>
          <w:lang w:val="de-DE"/>
        </w:rPr>
      </w:pPr>
      <w:r w:rsidRPr="00B95BAA">
        <w:rPr>
          <w:szCs w:val="24"/>
          <w:lang w:val="de-DE"/>
        </w:rPr>
        <w:t>7.</w:t>
      </w:r>
      <w:r w:rsidRPr="00B95BAA">
        <w:rPr>
          <w:szCs w:val="24"/>
          <w:lang w:val="de-DE"/>
        </w:rPr>
        <w:tab/>
        <w:t>TGP-Dokumente</w:t>
      </w:r>
    </w:p>
    <w:p w:rsidR="00493368" w:rsidRPr="00B95BAA" w:rsidRDefault="00493368">
      <w:pPr>
        <w:spacing w:after="120"/>
        <w:ind w:left="1134" w:right="567" w:hanging="567"/>
        <w:jc w:val="left"/>
        <w:rPr>
          <w:szCs w:val="24"/>
          <w:lang w:val="de-DE"/>
        </w:rPr>
      </w:pPr>
      <w:r w:rsidRPr="00B95BAA">
        <w:rPr>
          <w:szCs w:val="24"/>
          <w:lang w:val="de-DE"/>
        </w:rPr>
        <w:t>8.</w:t>
      </w:r>
      <w:r w:rsidRPr="00B95BAA">
        <w:rPr>
          <w:szCs w:val="24"/>
          <w:lang w:val="de-DE"/>
        </w:rPr>
        <w:tab/>
        <w:t>Molekulare Verfahren</w:t>
      </w:r>
    </w:p>
    <w:p w:rsidR="00493368" w:rsidRPr="00B95BAA" w:rsidRDefault="00493368">
      <w:pPr>
        <w:spacing w:after="120"/>
        <w:ind w:left="1134" w:right="567" w:hanging="567"/>
        <w:jc w:val="left"/>
        <w:rPr>
          <w:szCs w:val="24"/>
          <w:lang w:val="de-DE"/>
        </w:rPr>
      </w:pPr>
      <w:r w:rsidRPr="00B95BAA">
        <w:rPr>
          <w:szCs w:val="24"/>
          <w:lang w:val="de-DE"/>
        </w:rPr>
        <w:t>9.</w:t>
      </w:r>
      <w:r w:rsidRPr="00B95BAA">
        <w:rPr>
          <w:szCs w:val="24"/>
          <w:lang w:val="de-DE"/>
        </w:rPr>
        <w:tab/>
        <w:t>Programm der fünfundsiebzigsten Tagung</w:t>
      </w:r>
    </w:p>
    <w:p w:rsidR="00493368" w:rsidRPr="00B95BAA" w:rsidRDefault="00493368">
      <w:pPr>
        <w:spacing w:after="120"/>
        <w:ind w:left="1134" w:right="567" w:hanging="567"/>
        <w:jc w:val="left"/>
        <w:rPr>
          <w:szCs w:val="24"/>
          <w:lang w:val="de-DE"/>
        </w:rPr>
      </w:pPr>
      <w:r w:rsidRPr="00B95BAA">
        <w:rPr>
          <w:szCs w:val="24"/>
          <w:lang w:val="de-DE"/>
        </w:rPr>
        <w:t>10.</w:t>
      </w:r>
      <w:r w:rsidRPr="00B95BAA">
        <w:rPr>
          <w:szCs w:val="24"/>
          <w:lang w:val="de-DE"/>
        </w:rPr>
        <w:tab/>
        <w:t>Annahme des Berichts über die Entschließungen (sofern zeitlich möglich)</w:t>
      </w:r>
    </w:p>
    <w:p w:rsidR="00493368" w:rsidRPr="00B95BAA" w:rsidRDefault="00493368">
      <w:pPr>
        <w:spacing w:after="120"/>
        <w:ind w:left="1134" w:right="567" w:hanging="567"/>
        <w:jc w:val="left"/>
        <w:rPr>
          <w:szCs w:val="24"/>
          <w:lang w:val="de-DE"/>
        </w:rPr>
      </w:pPr>
      <w:r w:rsidRPr="00B95BAA">
        <w:rPr>
          <w:szCs w:val="24"/>
          <w:lang w:val="de-DE"/>
        </w:rPr>
        <w:t>11.</w:t>
      </w:r>
      <w:r w:rsidRPr="00B95BAA">
        <w:rPr>
          <w:szCs w:val="24"/>
          <w:lang w:val="de-DE"/>
        </w:rPr>
        <w:tab/>
        <w:t>Schließung der Tagung</w:t>
      </w:r>
    </w:p>
    <w:p w:rsidR="00493368" w:rsidRPr="00B95BAA" w:rsidRDefault="00493368">
      <w:pPr>
        <w:spacing w:after="120"/>
        <w:ind w:left="567" w:right="567"/>
        <w:jc w:val="left"/>
        <w:rPr>
          <w:szCs w:val="24"/>
          <w:lang w:val="de-DE"/>
        </w:rPr>
      </w:pPr>
      <w:r w:rsidRPr="00B95BAA">
        <w:rPr>
          <w:szCs w:val="24"/>
          <w:lang w:val="de-DE"/>
        </w:rPr>
        <w:t>(vergleiche Dokumente CAJ/73/10 „Bericht über die Entschließungen“, Absatz 59, und CAJ/74/1 Rev. „Revidierter Entwurf der Tagesordnung“)</w:t>
      </w:r>
    </w:p>
    <w:p w:rsidR="00493368" w:rsidRPr="00B95BAA" w:rsidRDefault="00493368">
      <w:pPr>
        <w:keepNext/>
        <w:rPr>
          <w:szCs w:val="24"/>
          <w:lang w:val="de-DE"/>
        </w:rPr>
      </w:pPr>
      <w:r w:rsidRPr="00B95BAA">
        <w:rPr>
          <w:szCs w:val="24"/>
          <w:lang w:val="de-DE"/>
        </w:rPr>
        <w:lastRenderedPageBreak/>
        <w:fldChar w:fldCharType="begin"/>
      </w:r>
      <w:r w:rsidRPr="00B95BAA">
        <w:rPr>
          <w:szCs w:val="24"/>
          <w:lang w:val="de-DE"/>
        </w:rPr>
        <w:instrText xml:space="preserve"> AUTONUM  </w:instrText>
      </w:r>
      <w:r w:rsidRPr="00B95BAA">
        <w:rPr>
          <w:szCs w:val="24"/>
          <w:lang w:val="de-DE"/>
        </w:rPr>
        <w:fldChar w:fldCharType="end"/>
      </w:r>
      <w:r w:rsidRPr="00B95BAA">
        <w:rPr>
          <w:szCs w:val="24"/>
          <w:lang w:val="de-DE"/>
        </w:rPr>
        <w:tab/>
        <w:t>Der Vorsitzende des CAJ, Herr Anthony Parker (Kanada), wird auf der einundfünfzigsten ordentlichen Tagung des Rates mündlich über die vierundsiebzigste Tagung des CAJ und das Programm für seine fünfundsiebzigste Tagung berichten. Der Bericht über die Entschließungen der vierundsiebzigsten Tagung des CAJ (Dokument CAJ/74/10) wird am 24. Oktober 2017 auf der UPOV</w:t>
      </w:r>
      <w:r w:rsidR="00B95BAA" w:rsidRPr="00B95BAA">
        <w:rPr>
          <w:szCs w:val="24"/>
          <w:lang w:val="de-DE"/>
        </w:rPr>
        <w:t>-</w:t>
      </w:r>
      <w:r w:rsidRPr="00B95BAA">
        <w:rPr>
          <w:szCs w:val="24"/>
          <w:lang w:val="de-DE"/>
        </w:rPr>
        <w:t>Website zur Verfügung gestellt.</w:t>
      </w:r>
    </w:p>
    <w:p w:rsidR="00493368" w:rsidRPr="00B95BAA" w:rsidRDefault="00493368">
      <w:pPr>
        <w:rPr>
          <w:szCs w:val="24"/>
          <w:lang w:val="de-DE"/>
        </w:rPr>
      </w:pPr>
    </w:p>
    <w:p w:rsidR="00493368" w:rsidRPr="00B95BAA" w:rsidRDefault="00493368">
      <w:pPr>
        <w:pStyle w:val="DecisionParagraphs"/>
        <w:rPr>
          <w:szCs w:val="24"/>
          <w:lang w:val="de-DE"/>
        </w:rPr>
      </w:pPr>
      <w:r w:rsidRPr="00B95BAA">
        <w:rPr>
          <w:szCs w:val="24"/>
          <w:lang w:val="de-DE"/>
        </w:rPr>
        <w:fldChar w:fldCharType="begin"/>
      </w:r>
      <w:r w:rsidRPr="00B95BAA">
        <w:rPr>
          <w:szCs w:val="24"/>
          <w:lang w:val="de-DE"/>
        </w:rPr>
        <w:instrText xml:space="preserve"> AUTONUM  </w:instrText>
      </w:r>
      <w:r w:rsidRPr="00B95BAA">
        <w:rPr>
          <w:szCs w:val="24"/>
          <w:lang w:val="de-DE"/>
        </w:rPr>
        <w:fldChar w:fldCharType="end"/>
      </w:r>
      <w:r w:rsidRPr="00B95BAA">
        <w:rPr>
          <w:szCs w:val="24"/>
          <w:lang w:val="de-DE"/>
        </w:rPr>
        <w:tab/>
        <w:t>Der Rat wird ersucht,</w:t>
      </w:r>
    </w:p>
    <w:p w:rsidR="00493368" w:rsidRPr="00B95BAA" w:rsidRDefault="00493368">
      <w:pPr>
        <w:pStyle w:val="DecisionParagraphs"/>
        <w:rPr>
          <w:szCs w:val="24"/>
          <w:lang w:val="de-DE"/>
        </w:rPr>
      </w:pPr>
    </w:p>
    <w:p w:rsidR="00493368" w:rsidRPr="00B95BAA" w:rsidRDefault="00493368">
      <w:pPr>
        <w:pStyle w:val="DecisionParagraphs"/>
        <w:rPr>
          <w:szCs w:val="24"/>
          <w:lang w:val="de-DE"/>
        </w:rPr>
      </w:pPr>
      <w:r w:rsidRPr="00B95BAA">
        <w:rPr>
          <w:szCs w:val="24"/>
          <w:lang w:val="de-DE"/>
        </w:rPr>
        <w:tab/>
        <w:t>a)</w:t>
      </w:r>
      <w:r w:rsidRPr="00B95BAA">
        <w:rPr>
          <w:szCs w:val="24"/>
          <w:lang w:val="de-DE"/>
        </w:rPr>
        <w:tab/>
        <w:t>zur Kenntnis zu nehmen, daß der CAJ auf der einundfünfzigsten ordentlichen Tagung des Rates mündlich über die vierundsiebzigste Tagung des CAJ und über das Programm für seine fünfundsiebzigste Tagung berichten wird;</w:t>
      </w:r>
    </w:p>
    <w:p w:rsidR="00493368" w:rsidRPr="00B95BAA" w:rsidRDefault="00493368">
      <w:pPr>
        <w:pStyle w:val="DecisionParagraphs"/>
        <w:rPr>
          <w:szCs w:val="24"/>
          <w:lang w:val="de-DE"/>
        </w:rPr>
      </w:pPr>
    </w:p>
    <w:p w:rsidR="00493368" w:rsidRPr="00B95BAA" w:rsidRDefault="00493368">
      <w:pPr>
        <w:pStyle w:val="DecisionParagraphs"/>
        <w:rPr>
          <w:szCs w:val="24"/>
          <w:lang w:val="de-DE"/>
        </w:rPr>
      </w:pPr>
      <w:r w:rsidRPr="00B95BAA">
        <w:rPr>
          <w:szCs w:val="24"/>
          <w:lang w:val="de-DE"/>
        </w:rPr>
        <w:tab/>
        <w:t>b)</w:t>
      </w:r>
      <w:r w:rsidRPr="00B95BAA">
        <w:rPr>
          <w:szCs w:val="24"/>
          <w:lang w:val="de-DE"/>
        </w:rPr>
        <w:tab/>
        <w:t>zur Kenntnis zu nehmen, daß der Bericht über die Entschließungen der vierundsiebzigsten Tagung des CAJ (Dokument CAJ/74/10) am 24.</w:t>
      </w:r>
      <w:r w:rsidR="00B95BAA" w:rsidRPr="00B95BAA">
        <w:rPr>
          <w:szCs w:val="24"/>
          <w:lang w:val="de-DE"/>
        </w:rPr>
        <w:t> </w:t>
      </w:r>
      <w:r w:rsidRPr="00B95BAA">
        <w:rPr>
          <w:szCs w:val="24"/>
          <w:lang w:val="de-DE"/>
        </w:rPr>
        <w:t>Oktober 2017 auf der UPOV</w:t>
      </w:r>
      <w:r w:rsidR="00B95BAA" w:rsidRPr="00B95BAA">
        <w:rPr>
          <w:szCs w:val="24"/>
          <w:lang w:val="de-DE"/>
        </w:rPr>
        <w:t>-</w:t>
      </w:r>
      <w:r w:rsidRPr="00B95BAA">
        <w:rPr>
          <w:szCs w:val="24"/>
          <w:lang w:val="de-DE"/>
        </w:rPr>
        <w:t>Website zur Verfügung gestellt wird; und</w:t>
      </w:r>
    </w:p>
    <w:p w:rsidR="00493368" w:rsidRPr="00B95BAA" w:rsidRDefault="00493368">
      <w:pPr>
        <w:pStyle w:val="DecisionParagraphs"/>
        <w:rPr>
          <w:szCs w:val="24"/>
          <w:lang w:val="de-DE"/>
        </w:rPr>
      </w:pPr>
    </w:p>
    <w:p w:rsidR="00493368" w:rsidRPr="00B95BAA" w:rsidRDefault="00493368">
      <w:pPr>
        <w:pStyle w:val="DecisionParagraphs"/>
        <w:rPr>
          <w:szCs w:val="24"/>
          <w:lang w:val="de-DE"/>
        </w:rPr>
      </w:pPr>
      <w:r w:rsidRPr="00B95BAA">
        <w:rPr>
          <w:szCs w:val="24"/>
          <w:lang w:val="de-DE"/>
        </w:rPr>
        <w:tab/>
        <w:t>c)</w:t>
      </w:r>
      <w:r w:rsidRPr="00B95BAA">
        <w:rPr>
          <w:szCs w:val="24"/>
          <w:lang w:val="de-DE"/>
        </w:rPr>
        <w:tab/>
        <w:t>das Arbeitsprogramm für die fünfundsiebzigste Tagung des CAJ, wie im mündlichen Bericht des Vorsitzenden des CAJ auf der einundfünfzigsten ordentlichen Tagung des Rats und in Dokument CAJ/74/10 „Bericht über die Entschließungen“</w:t>
      </w:r>
      <w:r w:rsidR="00B95BAA" w:rsidRPr="00B95BAA">
        <w:rPr>
          <w:szCs w:val="24"/>
          <w:lang w:val="de-DE"/>
        </w:rPr>
        <w:t xml:space="preserve"> </w:t>
      </w:r>
      <w:r w:rsidRPr="00B95BAA">
        <w:rPr>
          <w:szCs w:val="24"/>
          <w:lang w:val="de-DE"/>
        </w:rPr>
        <w:t>dargelegt, anzunehmen.</w:t>
      </w:r>
    </w:p>
    <w:p w:rsidR="00493368" w:rsidRPr="00B95BAA" w:rsidRDefault="00493368">
      <w:pPr>
        <w:rPr>
          <w:szCs w:val="24"/>
          <w:lang w:val="de-DE"/>
        </w:rPr>
      </w:pPr>
    </w:p>
    <w:p w:rsidR="00493368" w:rsidRPr="00B95BAA" w:rsidRDefault="00493368">
      <w:pPr>
        <w:rPr>
          <w:szCs w:val="24"/>
          <w:lang w:val="de-DE"/>
        </w:rPr>
      </w:pPr>
    </w:p>
    <w:p w:rsidR="00493368" w:rsidRPr="00B95BAA" w:rsidRDefault="00493368">
      <w:pPr>
        <w:rPr>
          <w:szCs w:val="24"/>
          <w:lang w:val="de-DE"/>
        </w:rPr>
      </w:pPr>
    </w:p>
    <w:p w:rsidR="00493368" w:rsidRPr="00B95BAA" w:rsidRDefault="00493368">
      <w:pPr>
        <w:jc w:val="right"/>
        <w:rPr>
          <w:szCs w:val="24"/>
          <w:lang w:val="de-DE"/>
        </w:rPr>
      </w:pPr>
      <w:r w:rsidRPr="00B95BAA">
        <w:rPr>
          <w:szCs w:val="24"/>
          <w:lang w:val="de-DE"/>
        </w:rPr>
        <w:t>[Ende des Dokuments]</w:t>
      </w:r>
    </w:p>
    <w:p w:rsidR="00493368" w:rsidRPr="00B95BAA" w:rsidRDefault="00493368">
      <w:pPr>
        <w:jc w:val="left"/>
        <w:rPr>
          <w:szCs w:val="24"/>
          <w:lang w:val="de-DE"/>
        </w:rPr>
      </w:pPr>
    </w:p>
    <w:sectPr w:rsidR="00493368" w:rsidRPr="00B95BAA">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68" w:rsidRDefault="00493368">
      <w:pPr>
        <w:rPr>
          <w:szCs w:val="24"/>
        </w:rPr>
      </w:pPr>
      <w:r>
        <w:rPr>
          <w:szCs w:val="24"/>
        </w:rPr>
        <w:separator/>
      </w:r>
    </w:p>
    <w:p w:rsidR="00493368" w:rsidRDefault="00493368">
      <w:pPr>
        <w:rPr>
          <w:szCs w:val="24"/>
        </w:rPr>
      </w:pPr>
    </w:p>
    <w:p w:rsidR="00493368" w:rsidRDefault="00493368">
      <w:pPr>
        <w:rPr>
          <w:szCs w:val="24"/>
        </w:rPr>
      </w:pPr>
    </w:p>
  </w:endnote>
  <w:endnote w:type="continuationSeparator" w:id="0">
    <w:p w:rsidR="00493368" w:rsidRDefault="00493368">
      <w:pPr>
        <w:rPr>
          <w:szCs w:val="24"/>
        </w:rPr>
      </w:pPr>
      <w:r>
        <w:rPr>
          <w:szCs w:val="24"/>
        </w:rPr>
        <w:separator/>
      </w:r>
    </w:p>
    <w:p w:rsidR="00493368" w:rsidRDefault="00493368">
      <w:pPr>
        <w:pStyle w:val="Footer"/>
        <w:spacing w:after="60"/>
        <w:rPr>
          <w:sz w:val="18"/>
          <w:szCs w:val="24"/>
          <w:lang w:val="fr-FR"/>
        </w:rPr>
      </w:pPr>
      <w:r>
        <w:rPr>
          <w:noProof/>
          <w:sz w:val="18"/>
          <w:szCs w:val="24"/>
          <w:lang w:val="fr-FR"/>
        </w:rPr>
        <w:t>[Suite de la note de la page précédente]</w:t>
      </w:r>
    </w:p>
    <w:p w:rsidR="00493368" w:rsidRDefault="00493368">
      <w:pPr>
        <w:rPr>
          <w:szCs w:val="24"/>
          <w:lang w:val="fr-FR"/>
        </w:rPr>
      </w:pPr>
    </w:p>
    <w:p w:rsidR="00493368" w:rsidRDefault="00493368">
      <w:pPr>
        <w:rPr>
          <w:szCs w:val="24"/>
          <w:lang w:val="fr-FR"/>
        </w:rPr>
      </w:pPr>
    </w:p>
  </w:endnote>
  <w:endnote w:type="continuationNotice" w:id="1">
    <w:p w:rsidR="00493368" w:rsidRDefault="00493368">
      <w:pPr>
        <w:rPr>
          <w:szCs w:val="24"/>
          <w:lang w:val="fr-FR"/>
        </w:rPr>
      </w:pPr>
      <w:r>
        <w:rPr>
          <w:noProof/>
          <w:szCs w:val="24"/>
          <w:lang w:val="fr-FR"/>
        </w:rPr>
        <w:t>[Suite de la note page suivante]</w:t>
      </w:r>
    </w:p>
    <w:p w:rsidR="00493368" w:rsidRDefault="00493368">
      <w:pPr>
        <w:rPr>
          <w:szCs w:val="24"/>
          <w:lang w:val="fr-FR"/>
        </w:rPr>
      </w:pPr>
    </w:p>
    <w:p w:rsidR="00493368" w:rsidRDefault="00493368">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68" w:rsidRDefault="00493368">
      <w:pPr>
        <w:rPr>
          <w:szCs w:val="24"/>
        </w:rPr>
      </w:pPr>
      <w:r>
        <w:rPr>
          <w:szCs w:val="24"/>
        </w:rPr>
        <w:separator/>
      </w:r>
    </w:p>
  </w:footnote>
  <w:footnote w:type="continuationSeparator" w:id="0">
    <w:p w:rsidR="00493368" w:rsidRDefault="00493368">
      <w:pPr>
        <w:rPr>
          <w:szCs w:val="24"/>
        </w:rPr>
      </w:pPr>
      <w:r>
        <w:rPr>
          <w:szCs w:val="24"/>
        </w:rPr>
        <w:separator/>
      </w:r>
    </w:p>
  </w:footnote>
  <w:footnote w:type="continuationNotice" w:id="1">
    <w:p w:rsidR="00493368" w:rsidRDefault="00493368">
      <w:pPr>
        <w:pStyle w:val="Footer"/>
        <w:rPr>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68" w:rsidRDefault="00493368">
    <w:pPr>
      <w:pStyle w:val="Header"/>
      <w:rPr>
        <w:rStyle w:val="PageNumber"/>
        <w:szCs w:val="24"/>
        <w:lang w:val="en-US"/>
      </w:rPr>
    </w:pPr>
    <w:r>
      <w:rPr>
        <w:rStyle w:val="PageNumber"/>
        <w:noProof/>
        <w:szCs w:val="24"/>
        <w:lang w:val="en-US"/>
      </w:rPr>
      <w:t>C/51/9</w:t>
    </w:r>
  </w:p>
  <w:p w:rsidR="00493368" w:rsidRDefault="00B95BAA">
    <w:pPr>
      <w:pStyle w:val="Header"/>
      <w:rPr>
        <w:szCs w:val="24"/>
        <w:lang w:val="en-US"/>
      </w:rPr>
    </w:pPr>
    <w:proofErr w:type="spellStart"/>
    <w:r>
      <w:rPr>
        <w:szCs w:val="24"/>
        <w:lang w:val="en-US"/>
      </w:rPr>
      <w:t>Seite</w:t>
    </w:r>
    <w:proofErr w:type="spellEnd"/>
    <w:r w:rsidR="00493368">
      <w:rPr>
        <w:szCs w:val="24"/>
        <w:lang w:val="en-US"/>
      </w:rPr>
      <w:t xml:space="preserve"> </w:t>
    </w:r>
    <w:r w:rsidR="00493368">
      <w:rPr>
        <w:rStyle w:val="PageNumber"/>
        <w:szCs w:val="24"/>
        <w:lang w:val="en-US"/>
      </w:rPr>
      <w:fldChar w:fldCharType="begin"/>
    </w:r>
    <w:r w:rsidR="00493368">
      <w:rPr>
        <w:rStyle w:val="PageNumber"/>
        <w:szCs w:val="24"/>
        <w:lang w:val="en-US"/>
      </w:rPr>
      <w:instrText xml:space="preserve"> PAGE </w:instrText>
    </w:r>
    <w:r w:rsidR="00493368">
      <w:rPr>
        <w:rStyle w:val="PageNumber"/>
        <w:szCs w:val="24"/>
        <w:lang w:val="en-US"/>
      </w:rPr>
      <w:fldChar w:fldCharType="separate"/>
    </w:r>
    <w:r w:rsidR="002149CA">
      <w:rPr>
        <w:rStyle w:val="PageNumber"/>
        <w:noProof/>
        <w:szCs w:val="24"/>
        <w:lang w:val="en-US"/>
      </w:rPr>
      <w:t>2</w:t>
    </w:r>
    <w:r w:rsidR="00493368">
      <w:rPr>
        <w:rStyle w:val="PageNumber"/>
        <w:szCs w:val="24"/>
        <w:lang w:val="en-US"/>
      </w:rPr>
      <w:fldChar w:fldCharType="end"/>
    </w:r>
  </w:p>
  <w:p w:rsidR="00493368" w:rsidRDefault="00493368">
    <w:pP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7359"/>
    <w:multiLevelType w:val="hybridMultilevel"/>
    <w:tmpl w:val="FBDCCB36"/>
    <w:lvl w:ilvl="0" w:tplc="7188CA94">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4B"/>
    <w:rsid w:val="00010CF3"/>
    <w:rsid w:val="00011E27"/>
    <w:rsid w:val="000148BC"/>
    <w:rsid w:val="00024AB8"/>
    <w:rsid w:val="0003053A"/>
    <w:rsid w:val="00030854"/>
    <w:rsid w:val="00036028"/>
    <w:rsid w:val="00044642"/>
    <w:rsid w:val="000446B9"/>
    <w:rsid w:val="00047E21"/>
    <w:rsid w:val="00050E16"/>
    <w:rsid w:val="00085505"/>
    <w:rsid w:val="000A68B4"/>
    <w:rsid w:val="000C4E25"/>
    <w:rsid w:val="000C7021"/>
    <w:rsid w:val="000D6BBC"/>
    <w:rsid w:val="000D7780"/>
    <w:rsid w:val="000E636A"/>
    <w:rsid w:val="000F2F11"/>
    <w:rsid w:val="00105929"/>
    <w:rsid w:val="00110C36"/>
    <w:rsid w:val="001131D5"/>
    <w:rsid w:val="00141DB8"/>
    <w:rsid w:val="0014392C"/>
    <w:rsid w:val="00153B58"/>
    <w:rsid w:val="00172084"/>
    <w:rsid w:val="0017474A"/>
    <w:rsid w:val="001758C6"/>
    <w:rsid w:val="00182B99"/>
    <w:rsid w:val="001A6EBA"/>
    <w:rsid w:val="001C1525"/>
    <w:rsid w:val="001E1F02"/>
    <w:rsid w:val="001E79AF"/>
    <w:rsid w:val="001F13E7"/>
    <w:rsid w:val="0021332C"/>
    <w:rsid w:val="00213982"/>
    <w:rsid w:val="002149CA"/>
    <w:rsid w:val="00214C72"/>
    <w:rsid w:val="0024416D"/>
    <w:rsid w:val="002514F1"/>
    <w:rsid w:val="00271911"/>
    <w:rsid w:val="002800A0"/>
    <w:rsid w:val="002801B3"/>
    <w:rsid w:val="00281060"/>
    <w:rsid w:val="002940E8"/>
    <w:rsid w:val="00294751"/>
    <w:rsid w:val="002A6E50"/>
    <w:rsid w:val="002B4298"/>
    <w:rsid w:val="002C256A"/>
    <w:rsid w:val="002C446D"/>
    <w:rsid w:val="00305A7F"/>
    <w:rsid w:val="003152FE"/>
    <w:rsid w:val="00327436"/>
    <w:rsid w:val="00330611"/>
    <w:rsid w:val="00344BD6"/>
    <w:rsid w:val="0035528D"/>
    <w:rsid w:val="00361821"/>
    <w:rsid w:val="00361E9E"/>
    <w:rsid w:val="00365DC1"/>
    <w:rsid w:val="0039633A"/>
    <w:rsid w:val="003C7FBE"/>
    <w:rsid w:val="003D227C"/>
    <w:rsid w:val="003D2B4D"/>
    <w:rsid w:val="003D4A4B"/>
    <w:rsid w:val="003F5F2B"/>
    <w:rsid w:val="00444A88"/>
    <w:rsid w:val="0046613B"/>
    <w:rsid w:val="00474DA4"/>
    <w:rsid w:val="00476B4D"/>
    <w:rsid w:val="004805FA"/>
    <w:rsid w:val="00493368"/>
    <w:rsid w:val="004935D2"/>
    <w:rsid w:val="004B1215"/>
    <w:rsid w:val="004D047D"/>
    <w:rsid w:val="004D57D0"/>
    <w:rsid w:val="004F1E9E"/>
    <w:rsid w:val="004F305A"/>
    <w:rsid w:val="00512164"/>
    <w:rsid w:val="00520297"/>
    <w:rsid w:val="005338F9"/>
    <w:rsid w:val="0054281C"/>
    <w:rsid w:val="00544581"/>
    <w:rsid w:val="0055268D"/>
    <w:rsid w:val="00576BE4"/>
    <w:rsid w:val="005A400A"/>
    <w:rsid w:val="005B6699"/>
    <w:rsid w:val="005F7B92"/>
    <w:rsid w:val="00612379"/>
    <w:rsid w:val="00613CB1"/>
    <w:rsid w:val="006153B6"/>
    <w:rsid w:val="0061555F"/>
    <w:rsid w:val="00636CA6"/>
    <w:rsid w:val="00640E66"/>
    <w:rsid w:val="00641200"/>
    <w:rsid w:val="00644052"/>
    <w:rsid w:val="00645CA8"/>
    <w:rsid w:val="00655DE4"/>
    <w:rsid w:val="006655D3"/>
    <w:rsid w:val="00667404"/>
    <w:rsid w:val="00687EB4"/>
    <w:rsid w:val="00692352"/>
    <w:rsid w:val="00695C56"/>
    <w:rsid w:val="006A5CDE"/>
    <w:rsid w:val="006A644A"/>
    <w:rsid w:val="006B17D2"/>
    <w:rsid w:val="006B2D0E"/>
    <w:rsid w:val="006C224E"/>
    <w:rsid w:val="006D780A"/>
    <w:rsid w:val="006F1E94"/>
    <w:rsid w:val="0071271E"/>
    <w:rsid w:val="00732DEC"/>
    <w:rsid w:val="00735BD5"/>
    <w:rsid w:val="007451EC"/>
    <w:rsid w:val="00751613"/>
    <w:rsid w:val="007528A3"/>
    <w:rsid w:val="007556F6"/>
    <w:rsid w:val="00760EEF"/>
    <w:rsid w:val="007745BC"/>
    <w:rsid w:val="00777EE5"/>
    <w:rsid w:val="00784836"/>
    <w:rsid w:val="0079023E"/>
    <w:rsid w:val="007A2854"/>
    <w:rsid w:val="007A313B"/>
    <w:rsid w:val="007C1D92"/>
    <w:rsid w:val="007C4CB9"/>
    <w:rsid w:val="007D0B9D"/>
    <w:rsid w:val="007D19B0"/>
    <w:rsid w:val="007D4635"/>
    <w:rsid w:val="007F498F"/>
    <w:rsid w:val="0080679D"/>
    <w:rsid w:val="008108B0"/>
    <w:rsid w:val="00811B20"/>
    <w:rsid w:val="00815738"/>
    <w:rsid w:val="008211B5"/>
    <w:rsid w:val="0082296E"/>
    <w:rsid w:val="00824099"/>
    <w:rsid w:val="00846D7C"/>
    <w:rsid w:val="00867AC1"/>
    <w:rsid w:val="00890DF8"/>
    <w:rsid w:val="008A743F"/>
    <w:rsid w:val="008C0970"/>
    <w:rsid w:val="008D0BC5"/>
    <w:rsid w:val="008D2CF7"/>
    <w:rsid w:val="00900C26"/>
    <w:rsid w:val="0090197F"/>
    <w:rsid w:val="00903264"/>
    <w:rsid w:val="00906DDC"/>
    <w:rsid w:val="0091668A"/>
    <w:rsid w:val="00934E09"/>
    <w:rsid w:val="00936253"/>
    <w:rsid w:val="00940D46"/>
    <w:rsid w:val="00952DD4"/>
    <w:rsid w:val="00965AE7"/>
    <w:rsid w:val="00970FED"/>
    <w:rsid w:val="00992D82"/>
    <w:rsid w:val="00997029"/>
    <w:rsid w:val="009A7339"/>
    <w:rsid w:val="009B440E"/>
    <w:rsid w:val="009D690D"/>
    <w:rsid w:val="009E65B6"/>
    <w:rsid w:val="009F77CF"/>
    <w:rsid w:val="00A24C10"/>
    <w:rsid w:val="00A3365A"/>
    <w:rsid w:val="00A42AC3"/>
    <w:rsid w:val="00A430CF"/>
    <w:rsid w:val="00A54309"/>
    <w:rsid w:val="00A74D86"/>
    <w:rsid w:val="00AB2B93"/>
    <w:rsid w:val="00AB530F"/>
    <w:rsid w:val="00AB7E5B"/>
    <w:rsid w:val="00AC2883"/>
    <w:rsid w:val="00AE0EF1"/>
    <w:rsid w:val="00AE2937"/>
    <w:rsid w:val="00B07301"/>
    <w:rsid w:val="00B11F3E"/>
    <w:rsid w:val="00B224DE"/>
    <w:rsid w:val="00B324D4"/>
    <w:rsid w:val="00B37174"/>
    <w:rsid w:val="00B46575"/>
    <w:rsid w:val="00B61777"/>
    <w:rsid w:val="00B84BBD"/>
    <w:rsid w:val="00B95BAA"/>
    <w:rsid w:val="00BA43FB"/>
    <w:rsid w:val="00BB7123"/>
    <w:rsid w:val="00BC127D"/>
    <w:rsid w:val="00BC1FE6"/>
    <w:rsid w:val="00BC72BB"/>
    <w:rsid w:val="00C061B6"/>
    <w:rsid w:val="00C22FF4"/>
    <w:rsid w:val="00C2446C"/>
    <w:rsid w:val="00C36AE5"/>
    <w:rsid w:val="00C41F17"/>
    <w:rsid w:val="00C46D28"/>
    <w:rsid w:val="00C527FA"/>
    <w:rsid w:val="00C5280D"/>
    <w:rsid w:val="00C53EB3"/>
    <w:rsid w:val="00C5791C"/>
    <w:rsid w:val="00C651CE"/>
    <w:rsid w:val="00C66290"/>
    <w:rsid w:val="00C71373"/>
    <w:rsid w:val="00C72B7A"/>
    <w:rsid w:val="00C973F2"/>
    <w:rsid w:val="00CA304C"/>
    <w:rsid w:val="00CA774A"/>
    <w:rsid w:val="00CC11B0"/>
    <w:rsid w:val="00CC2841"/>
    <w:rsid w:val="00CE7507"/>
    <w:rsid w:val="00CF1330"/>
    <w:rsid w:val="00CF3A94"/>
    <w:rsid w:val="00CF78FA"/>
    <w:rsid w:val="00CF7E36"/>
    <w:rsid w:val="00D3708D"/>
    <w:rsid w:val="00D40426"/>
    <w:rsid w:val="00D57C96"/>
    <w:rsid w:val="00D57D18"/>
    <w:rsid w:val="00D65FF9"/>
    <w:rsid w:val="00D91203"/>
    <w:rsid w:val="00D95174"/>
    <w:rsid w:val="00DA4973"/>
    <w:rsid w:val="00DA6F36"/>
    <w:rsid w:val="00DB596E"/>
    <w:rsid w:val="00DB7773"/>
    <w:rsid w:val="00DC00EA"/>
    <w:rsid w:val="00DC3802"/>
    <w:rsid w:val="00E07D87"/>
    <w:rsid w:val="00E242E3"/>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63599"/>
    <w:rsid w:val="00FA49AB"/>
    <w:rsid w:val="00FE39C7"/>
    <w:rsid w:val="00FE61A1"/>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 w:val="left" w:pos="5954"/>
      </w:tabs>
      <w:ind w:left="4820"/>
    </w:pPr>
    <w:rPr>
      <w:i/>
      <w:lang w:val="fr-CH"/>
    </w:rPr>
  </w:style>
  <w:style w:type="paragraph" w:styleId="FootnoteText">
    <w:name w:val="footnote text"/>
    <w:basedOn w:val="Normal"/>
    <w:autoRedefine/>
    <w:pPr>
      <w:spacing w:before="60"/>
      <w:ind w:left="567" w:hanging="567"/>
    </w:pPr>
    <w:rPr>
      <w:sz w:val="16"/>
    </w:rPr>
  </w:style>
  <w:style w:type="character" w:styleId="FootnoteReference">
    <w:name w:val="footnote reference"/>
    <w:basedOn w:val="DefaultParagraphFont"/>
    <w:semiHidden/>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styleId="TOC2">
    <w:name w:val="toc 2"/>
    <w:basedOn w:val="Normal"/>
    <w:next w:val="Normal"/>
    <w:autoRedefine/>
    <w:pPr>
      <w:tabs>
        <w:tab w:val="right" w:leader="dot" w:pos="9639"/>
      </w:tabs>
      <w:spacing w:after="120"/>
      <w:ind w:left="454" w:right="851" w:hanging="284"/>
      <w:contextualSpacing/>
      <w:jc w:val="left"/>
    </w:pPr>
    <w:rPr>
      <w:smallCaps/>
    </w:rPr>
  </w:style>
  <w:style w:type="paragraph" w:styleId="TOC3">
    <w:name w:val="toc 3"/>
    <w:basedOn w:val="Normal"/>
    <w:next w:val="Normal"/>
    <w:autoRedefine/>
    <w:pPr>
      <w:tabs>
        <w:tab w:val="right" w:leader="dot" w:pos="9639"/>
      </w:tabs>
      <w:spacing w:after="120"/>
      <w:ind w:left="568" w:right="851" w:hanging="284"/>
      <w:jc w:val="left"/>
    </w:pPr>
    <w:rPr>
      <w:sz w:val="18"/>
      <w:lang w:val="fr-FR"/>
    </w:rPr>
  </w:style>
  <w:style w:type="character" w:styleId="Hyperlink">
    <w:name w:val="Hyperlink"/>
    <w:basedOn w:val="DefaultParagraphFont"/>
    <w:rPr>
      <w:rFonts w:ascii="Arial" w:hAnsi="Arial" w:cs="Times New Roman"/>
      <w:color w:val="0000FF"/>
      <w:u w:val="single"/>
    </w:rPr>
  </w:style>
  <w:style w:type="paragraph" w:styleId="TOC4">
    <w:name w:val="toc 4"/>
    <w:basedOn w:val="Normal"/>
    <w:next w:val="Normal"/>
    <w:autoRedefine/>
    <w:pPr>
      <w:tabs>
        <w:tab w:val="right" w:leader="dot" w:pos="9639"/>
      </w:tabs>
      <w:spacing w:after="120"/>
      <w:ind w:left="738" w:right="851" w:hanging="284"/>
      <w:jc w:val="left"/>
    </w:pPr>
    <w:rPr>
      <w:i/>
      <w:sz w:val="18"/>
      <w:lang w:val="fr-FR"/>
    </w:rPr>
  </w:style>
  <w:style w:type="paragraph" w:styleId="TOC1">
    <w:name w:val="toc 1"/>
    <w:basedOn w:val="Normal"/>
    <w:next w:val="Normal"/>
    <w:autoRedefine/>
    <w:pPr>
      <w:tabs>
        <w:tab w:val="right" w:leader="dot" w:pos="9639"/>
      </w:tabs>
      <w:spacing w:after="120"/>
      <w:jc w:val="center"/>
    </w:pPr>
    <w:rPr>
      <w:caps/>
    </w:rPr>
  </w:style>
  <w:style w:type="paragraph" w:styleId="TOC5">
    <w:name w:val="toc 5"/>
    <w:basedOn w:val="Normal"/>
    <w:next w:val="Normal"/>
    <w:autoRedefine/>
    <w:pPr>
      <w:tabs>
        <w:tab w:val="right" w:leader="dot" w:pos="9639"/>
      </w:tabs>
      <w:spacing w:after="120"/>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character" w:customStyle="1" w:styleId="DecisionParagraphsChar">
    <w:name w:val="DecisionParagraphs Char"/>
    <w:locked/>
    <w:rPr>
      <w:rFonts w:ascii="Arial" w:hAnsi="Arial"/>
      <w:i/>
    </w:rPr>
  </w:style>
  <w:style w:type="paragraph" w:styleId="ListParagraph">
    <w:name w:val="List Paragraph"/>
    <w:basedOn w:val="Normal"/>
    <w:qFormat/>
    <w:pPr>
      <w:ind w:left="720"/>
      <w:contextualSpacing/>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 w:val="left" w:pos="5954"/>
      </w:tabs>
      <w:ind w:left="4820"/>
    </w:pPr>
    <w:rPr>
      <w:i/>
      <w:lang w:val="fr-CH"/>
    </w:rPr>
  </w:style>
  <w:style w:type="paragraph" w:styleId="FootnoteText">
    <w:name w:val="footnote text"/>
    <w:basedOn w:val="Normal"/>
    <w:autoRedefine/>
    <w:pPr>
      <w:spacing w:before="60"/>
      <w:ind w:left="567" w:hanging="567"/>
    </w:pPr>
    <w:rPr>
      <w:sz w:val="16"/>
    </w:rPr>
  </w:style>
  <w:style w:type="character" w:styleId="FootnoteReference">
    <w:name w:val="footnote reference"/>
    <w:basedOn w:val="DefaultParagraphFont"/>
    <w:semiHidden/>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styleId="TOC2">
    <w:name w:val="toc 2"/>
    <w:basedOn w:val="Normal"/>
    <w:next w:val="Normal"/>
    <w:autoRedefine/>
    <w:pPr>
      <w:tabs>
        <w:tab w:val="right" w:leader="dot" w:pos="9639"/>
      </w:tabs>
      <w:spacing w:after="120"/>
      <w:ind w:left="454" w:right="851" w:hanging="284"/>
      <w:contextualSpacing/>
      <w:jc w:val="left"/>
    </w:pPr>
    <w:rPr>
      <w:smallCaps/>
    </w:rPr>
  </w:style>
  <w:style w:type="paragraph" w:styleId="TOC3">
    <w:name w:val="toc 3"/>
    <w:basedOn w:val="Normal"/>
    <w:next w:val="Normal"/>
    <w:autoRedefine/>
    <w:pPr>
      <w:tabs>
        <w:tab w:val="right" w:leader="dot" w:pos="9639"/>
      </w:tabs>
      <w:spacing w:after="120"/>
      <w:ind w:left="568" w:right="851" w:hanging="284"/>
      <w:jc w:val="left"/>
    </w:pPr>
    <w:rPr>
      <w:sz w:val="18"/>
      <w:lang w:val="fr-FR"/>
    </w:rPr>
  </w:style>
  <w:style w:type="character" w:styleId="Hyperlink">
    <w:name w:val="Hyperlink"/>
    <w:basedOn w:val="DefaultParagraphFont"/>
    <w:rPr>
      <w:rFonts w:ascii="Arial" w:hAnsi="Arial" w:cs="Times New Roman"/>
      <w:color w:val="0000FF"/>
      <w:u w:val="single"/>
    </w:rPr>
  </w:style>
  <w:style w:type="paragraph" w:styleId="TOC4">
    <w:name w:val="toc 4"/>
    <w:basedOn w:val="Normal"/>
    <w:next w:val="Normal"/>
    <w:autoRedefine/>
    <w:pPr>
      <w:tabs>
        <w:tab w:val="right" w:leader="dot" w:pos="9639"/>
      </w:tabs>
      <w:spacing w:after="120"/>
      <w:ind w:left="738" w:right="851" w:hanging="284"/>
      <w:jc w:val="left"/>
    </w:pPr>
    <w:rPr>
      <w:i/>
      <w:sz w:val="18"/>
      <w:lang w:val="fr-FR"/>
    </w:rPr>
  </w:style>
  <w:style w:type="paragraph" w:styleId="TOC1">
    <w:name w:val="toc 1"/>
    <w:basedOn w:val="Normal"/>
    <w:next w:val="Normal"/>
    <w:autoRedefine/>
    <w:pPr>
      <w:tabs>
        <w:tab w:val="right" w:leader="dot" w:pos="9639"/>
      </w:tabs>
      <w:spacing w:after="120"/>
      <w:jc w:val="center"/>
    </w:pPr>
    <w:rPr>
      <w:caps/>
    </w:rPr>
  </w:style>
  <w:style w:type="paragraph" w:styleId="TOC5">
    <w:name w:val="toc 5"/>
    <w:basedOn w:val="Normal"/>
    <w:next w:val="Normal"/>
    <w:autoRedefine/>
    <w:pPr>
      <w:tabs>
        <w:tab w:val="right" w:leader="dot" w:pos="9639"/>
      </w:tabs>
      <w:spacing w:after="120"/>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character" w:customStyle="1" w:styleId="DecisionParagraphsChar">
    <w:name w:val="DecisionParagraphs Char"/>
    <w:locked/>
    <w:rPr>
      <w:rFonts w:ascii="Arial" w:hAnsi="Arial"/>
      <w:i/>
    </w:rPr>
  </w:style>
  <w:style w:type="paragraph" w:styleId="ListParagraph">
    <w:name w:val="List Paragraph"/>
    <w:basedOn w:val="Normal"/>
    <w:qFormat/>
    <w:pPr>
      <w:ind w:left="720"/>
      <w:contextualSpacing/>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2894</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2017-10-11T08:48:00Z</cp:lastPrinted>
  <dcterms:created xsi:type="dcterms:W3CDTF">2017-10-12T09:29:00Z</dcterms:created>
  <dcterms:modified xsi:type="dcterms:W3CDTF">2017-10-12T12:06:00Z</dcterms:modified>
</cp:coreProperties>
</file>